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8"/>
        <w:rPr>
          <w:rFonts w:hint="eastAsia" w:ascii="黑体" w:eastAsia="黑体"/>
          <w:color w:val="auto"/>
          <w:szCs w:val="21"/>
          <w:highlight w:val="none"/>
          <w:lang w:eastAsia="zh-CN"/>
        </w:rPr>
      </w:pPr>
    </w:p>
    <w:p>
      <w:pPr>
        <w:pStyle w:val="8"/>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GDZT2022156B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横沥镇市政道路雨水管道清淤项目（第一期）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东莞市横沥镇公用事业服务中心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rPr>
          <w:rFonts w:hint="eastAsia"/>
          <w:color w:val="auto"/>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本项目不需提供</w:t>
      </w:r>
      <w:r>
        <w:rPr>
          <w:rFonts w:hint="eastAsia" w:ascii="宋体" w:hAnsi="宋体" w:eastAsia="宋体" w:cs="宋体"/>
          <w:color w:val="auto"/>
          <w:sz w:val="21"/>
          <w:szCs w:val="21"/>
          <w:highlight w:val="none"/>
        </w:rPr>
        <w:t>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_Toc30725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 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_Toc30725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6"/>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3"/>
        <w:spacing w:before="0" w:after="0" w:line="240" w:lineRule="auto"/>
        <w:rPr>
          <w:color w:val="auto"/>
          <w:sz w:val="28"/>
          <w:szCs w:val="28"/>
          <w:highlight w:val="none"/>
        </w:rPr>
      </w:pPr>
      <w:bookmarkStart w:id="0" w:name="_Toc17306"/>
      <w:bookmarkStart w:id="1" w:name="_Toc14033"/>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pPr>
        <w:pStyle w:val="4"/>
        <w:spacing w:before="0" w:after="0" w:line="360" w:lineRule="auto"/>
        <w:jc w:val="center"/>
        <w:rPr>
          <w:rFonts w:ascii="宋体" w:hAnsi="宋体" w:eastAsia="宋体" w:cs="宋体"/>
          <w:color w:val="auto"/>
          <w:highlight w:val="none"/>
        </w:rPr>
      </w:pPr>
      <w:bookmarkStart w:id="2" w:name="_Toc7988"/>
      <w:bookmarkStart w:id="3" w:name="_Toc8850"/>
      <w:bookmarkStart w:id="4" w:name="_Toc1420"/>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color w:val="auto"/>
          <w:sz w:val="21"/>
          <w:szCs w:val="21"/>
          <w:highlight w:val="none"/>
          <w:u w:val="single"/>
          <w:lang w:eastAsia="zh-CN"/>
        </w:rPr>
        <w:t>东莞市横沥镇公用事业服务中心</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横沥镇市政道路雨水管道清淤项目（第一期）</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GDZT2022156B</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横沥镇市政道路雨水管道清淤项目（第一期）</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5"/>
        <w:gridCol w:w="4247"/>
        <w:gridCol w:w="609"/>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highlight w:val="none"/>
                <w:u w:val="single"/>
                <w:lang w:eastAsia="zh-CN"/>
              </w:rPr>
              <w:t>横沥镇市政道路雨水管道清淤项目（第一期）</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bCs/>
                <w:color w:val="auto"/>
                <w:sz w:val="21"/>
                <w:szCs w:val="21"/>
                <w:highlight w:val="none"/>
                <w:u w:val="single"/>
                <w:lang w:eastAsia="zh-CN"/>
              </w:rPr>
              <w:t>673,143.23</w:t>
            </w:r>
            <w:r>
              <w:rPr>
                <w:rFonts w:hint="eastAsia" w:ascii="宋体" w:hAnsi="宋体" w:eastAsia="宋体"/>
                <w:b/>
                <w:bCs/>
                <w:color w:val="auto"/>
                <w:sz w:val="21"/>
                <w:szCs w:val="21"/>
                <w:highlight w:val="none"/>
                <w:u w:val="single"/>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，不得参加同一合同项下的政府采购活动。为本项目提供整体设计、规范编制或者项目管理、监理、检测等服务的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shd w:val="clear"/>
        <w:spacing w:after="0" w:line="360" w:lineRule="auto"/>
        <w:ind w:firstLine="411" w:firstLineChars="196"/>
        <w:rPr>
          <w:rFonts w:ascii="宋体" w:hAnsi="宋体" w:eastAsia="宋体"/>
          <w:color w:val="auto"/>
          <w:sz w:val="21"/>
          <w:szCs w:val="21"/>
          <w:highlight w:val="none"/>
        </w:rPr>
      </w:pPr>
      <w:r>
        <w:rPr>
          <w:rFonts w:hint="eastAsia"/>
          <w:color w:val="auto"/>
          <w:highlight w:val="none"/>
          <w:lang w:val="en-US" w:eastAsia="zh-CN"/>
        </w:rPr>
        <w:t>（1）供应商</w:t>
      </w:r>
      <w:r>
        <w:rPr>
          <w:rFonts w:hint="eastAsia"/>
          <w:color w:val="auto"/>
          <w:highlight w:val="none"/>
        </w:rPr>
        <w:t>须具有有效期内市政公用工程专业承包资质乙级</w:t>
      </w:r>
      <w:r>
        <w:rPr>
          <w:rFonts w:hint="eastAsia"/>
          <w:color w:val="auto"/>
          <w:highlight w:val="none"/>
          <w:lang w:eastAsia="zh-CN"/>
        </w:rPr>
        <w:t>（</w:t>
      </w:r>
      <w:r>
        <w:rPr>
          <w:rFonts w:hint="eastAsia"/>
          <w:color w:val="auto"/>
          <w:highlight w:val="none"/>
        </w:rPr>
        <w:t>或以上</w:t>
      </w:r>
      <w:r>
        <w:rPr>
          <w:rFonts w:hint="eastAsia"/>
          <w:color w:val="auto"/>
          <w:highlight w:val="none"/>
          <w:lang w:eastAsia="zh-CN"/>
        </w:rPr>
        <w:t>）</w:t>
      </w:r>
      <w:r>
        <w:rPr>
          <w:rFonts w:hint="eastAsia"/>
          <w:color w:val="auto"/>
          <w:highlight w:val="none"/>
        </w:rPr>
        <w:t>资质</w:t>
      </w:r>
      <w:r>
        <w:rPr>
          <w:rFonts w:hint="eastAsia"/>
          <w:color w:val="auto"/>
          <w:highlight w:val="none"/>
          <w:lang w:eastAsia="zh-CN"/>
        </w:rPr>
        <w:t>【</w:t>
      </w:r>
      <w:r>
        <w:rPr>
          <w:rFonts w:hint="eastAsia"/>
          <w:color w:val="auto"/>
          <w:highlight w:val="none"/>
        </w:rPr>
        <w:t>或更换资质证书前有效期内市政公用工程施工总承包三级</w:t>
      </w:r>
      <w:r>
        <w:rPr>
          <w:rFonts w:hint="eastAsia"/>
          <w:color w:val="auto"/>
          <w:highlight w:val="none"/>
          <w:lang w:eastAsia="zh-CN"/>
        </w:rPr>
        <w:t>（</w:t>
      </w:r>
      <w:r>
        <w:rPr>
          <w:rFonts w:hint="eastAsia"/>
          <w:color w:val="auto"/>
          <w:highlight w:val="none"/>
        </w:rPr>
        <w:t>或以上</w:t>
      </w:r>
      <w:r>
        <w:rPr>
          <w:rFonts w:hint="eastAsia"/>
          <w:color w:val="auto"/>
          <w:highlight w:val="none"/>
          <w:lang w:eastAsia="zh-CN"/>
        </w:rPr>
        <w:t>）</w:t>
      </w:r>
      <w:r>
        <w:rPr>
          <w:rFonts w:hint="eastAsia"/>
          <w:color w:val="auto"/>
          <w:highlight w:val="none"/>
        </w:rPr>
        <w:t>资质</w:t>
      </w:r>
      <w:r>
        <w:rPr>
          <w:rFonts w:hint="eastAsia"/>
          <w:color w:val="auto"/>
          <w:highlight w:val="none"/>
          <w:lang w:eastAsia="zh-CN"/>
        </w:rPr>
        <w:t>】</w:t>
      </w:r>
      <w:r>
        <w:rPr>
          <w:rFonts w:hint="eastAsia" w:ascii="宋体" w:hAnsi="宋体" w:eastAsia="宋体" w:cs="Times New Roman"/>
          <w:color w:val="auto"/>
          <w:sz w:val="21"/>
          <w:szCs w:val="21"/>
          <w:highlight w:val="none"/>
        </w:rPr>
        <w:t>。</w:t>
      </w:r>
    </w:p>
    <w:p>
      <w:pPr>
        <w:shd w:val="clear"/>
        <w:spacing w:after="0" w:line="360" w:lineRule="auto"/>
        <w:ind w:firstLine="411" w:firstLineChars="196"/>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本项目整体专门面向中小企业采购。</w:t>
      </w:r>
      <w:r>
        <w:rPr>
          <w:rFonts w:hint="eastAsia"/>
          <w:color w:val="auto"/>
          <w:highlight w:val="none"/>
          <w:lang w:val="en-US" w:eastAsia="zh-CN"/>
        </w:rPr>
        <w:t>供应商</w:t>
      </w:r>
      <w:r>
        <w:rPr>
          <w:rFonts w:hint="eastAsia"/>
          <w:color w:val="auto"/>
          <w:highlight w:val="none"/>
        </w:rPr>
        <w:t>须符合本项目采购标的对应行业（本项目行业为：</w:t>
      </w:r>
      <w:r>
        <w:rPr>
          <w:rFonts w:hint="eastAsia"/>
          <w:color w:val="auto"/>
          <w:highlight w:val="none"/>
          <w:lang w:val="en-US" w:eastAsia="zh-CN"/>
        </w:rPr>
        <w:t>其他未列明行业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pPr>
        <w:bidi w:val="0"/>
        <w:rPr>
          <w:rFonts w:hint="eastAsia"/>
          <w:lang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21</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28</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21</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28</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1、递交响应文件时间：202</w:t>
      </w:r>
      <w:r>
        <w:rPr>
          <w:rFonts w:hint="eastAsia" w:ascii="宋体" w:hAnsi="宋体"/>
          <w:bCs/>
          <w:color w:val="auto"/>
          <w:sz w:val="21"/>
          <w:szCs w:val="21"/>
          <w:highlight w:val="none"/>
          <w:lang w:val="en-US" w:eastAsia="zh-CN"/>
        </w:rPr>
        <w:t>3</w:t>
      </w:r>
      <w:r>
        <w:rPr>
          <w:rFonts w:hint="eastAsia" w:ascii="宋体" w:hAnsi="宋体" w:eastAsia="宋体"/>
          <w:bCs/>
          <w:color w:val="auto"/>
          <w:sz w:val="21"/>
          <w:szCs w:val="21"/>
          <w:highlight w:val="none"/>
        </w:rPr>
        <w:t>年</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日</w:t>
      </w:r>
      <w:r>
        <w:rPr>
          <w:rFonts w:hint="eastAsia" w:ascii="宋体" w:hAnsi="宋体" w:eastAsia="宋体"/>
          <w:bCs/>
          <w:color w:val="auto"/>
          <w:sz w:val="21"/>
          <w:szCs w:val="21"/>
          <w:highlight w:val="none"/>
        </w:rPr>
        <w:t>下午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00</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30</w:t>
      </w:r>
      <w:r>
        <w:rPr>
          <w:rFonts w:hint="eastAsia" w:ascii="宋体" w:hAnsi="宋体" w:eastAsia="宋体"/>
          <w:bCs/>
          <w:color w:val="auto"/>
          <w:sz w:val="21"/>
          <w:szCs w:val="21"/>
          <w:highlight w:val="none"/>
        </w:rPr>
        <w:t>。</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2、响应截止及开标时间：202</w:t>
      </w:r>
      <w:r>
        <w:rPr>
          <w:rFonts w:hint="eastAsia" w:ascii="宋体" w:hAnsi="宋体"/>
          <w:bCs/>
          <w:color w:val="auto"/>
          <w:sz w:val="21"/>
          <w:szCs w:val="21"/>
          <w:highlight w:val="none"/>
          <w:lang w:val="en-US" w:eastAsia="zh-CN"/>
        </w:rPr>
        <w:t>3</w:t>
      </w:r>
      <w:r>
        <w:rPr>
          <w:rFonts w:hint="eastAsia" w:ascii="宋体" w:hAnsi="宋体" w:eastAsia="宋体"/>
          <w:bCs/>
          <w:color w:val="auto"/>
          <w:sz w:val="21"/>
          <w:szCs w:val="21"/>
          <w:highlight w:val="none"/>
        </w:rPr>
        <w:t>年</w:t>
      </w:r>
      <w:r>
        <w:rPr>
          <w:rFonts w:hint="eastAsia" w:ascii="宋体" w:hAnsi="宋体"/>
          <w:color w:val="auto"/>
          <w:sz w:val="21"/>
          <w:szCs w:val="21"/>
          <w:highlight w:val="none"/>
          <w:lang w:val="en-US" w:eastAsia="zh-CN"/>
        </w:rPr>
        <w:t>1</w:t>
      </w:r>
      <w:bookmarkStart w:id="401" w:name="_GoBack"/>
      <w:bookmarkEnd w:id="401"/>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日</w:t>
      </w:r>
      <w:r>
        <w:rPr>
          <w:rFonts w:hint="eastAsia" w:ascii="宋体" w:hAnsi="宋体" w:eastAsia="宋体"/>
          <w:bCs/>
          <w:color w:val="auto"/>
          <w:sz w:val="21"/>
          <w:szCs w:val="21"/>
          <w:highlight w:val="none"/>
        </w:rPr>
        <w:t>下午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w:t>
      </w:r>
      <w:r>
        <w:rPr>
          <w:rFonts w:hint="eastAsia" w:ascii="宋体" w:hAnsi="宋体"/>
          <w:bCs/>
          <w:color w:val="auto"/>
          <w:sz w:val="21"/>
          <w:szCs w:val="21"/>
          <w:highlight w:val="none"/>
          <w:lang w:val="en-US" w:eastAsia="zh-CN"/>
        </w:rPr>
        <w:t>30</w:t>
      </w:r>
      <w:r>
        <w:rPr>
          <w:rFonts w:hint="eastAsia" w:ascii="宋体" w:hAnsi="宋体" w:eastAsia="宋体"/>
          <w:bCs/>
          <w:color w:val="auto"/>
          <w:sz w:val="21"/>
          <w:szCs w:val="21"/>
          <w:highlight w:val="none"/>
        </w:rPr>
        <w:t>分。</w:t>
      </w:r>
    </w:p>
    <w:p>
      <w:pPr>
        <w:spacing w:after="0" w:line="360" w:lineRule="auto"/>
        <w:ind w:firstLine="411" w:firstLineChars="19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3、接收响应文件地点：东莞市南城街道鸿福路199号（市民服务中心）411室。</w:t>
      </w:r>
    </w:p>
    <w:p>
      <w:pPr>
        <w:bidi w:val="0"/>
        <w:rPr>
          <w:color w:val="auto"/>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吴工</w:t>
      </w:r>
    </w:p>
    <w:p>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地址：东莞市横沥镇</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0769-82301212</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月</w:t>
      </w:r>
    </w:p>
    <w:p>
      <w:pPr>
        <w:pStyle w:val="7"/>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5" w:name="_Toc28550"/>
      <w:bookmarkStart w:id="6" w:name="_Toc31060"/>
      <w:r>
        <w:rPr>
          <w:rFonts w:hint="eastAsia"/>
          <w:color w:val="auto"/>
          <w:sz w:val="28"/>
          <w:szCs w:val="28"/>
          <w:highlight w:val="none"/>
          <w:lang w:val="en-US" w:eastAsia="zh-CN"/>
        </w:rPr>
        <w:br w:type="page"/>
      </w:r>
    </w:p>
    <w:p>
      <w:pPr>
        <w:pStyle w:val="3"/>
        <w:spacing w:before="0" w:after="0" w:line="240" w:lineRule="auto"/>
        <w:rPr>
          <w:rFonts w:hint="eastAsia"/>
          <w:color w:val="auto"/>
          <w:sz w:val="28"/>
          <w:szCs w:val="28"/>
          <w:highlight w:val="none"/>
          <w:lang w:val="en-US" w:eastAsia="zh-CN"/>
        </w:rPr>
      </w:pPr>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FE"/>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财政</w:t>
            </w:r>
            <w:r>
              <w:rPr>
                <w:rFonts w:hint="eastAsia" w:ascii="宋体" w:hAnsi="宋体" w:eastAsia="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lang w:val="en-US" w:eastAsia="zh-CN"/>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符合须知“优惠政策”中联合体规定的</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本项目不需要</w:t>
            </w:r>
            <w:r>
              <w:rPr>
                <w:rFonts w:hint="eastAsia" w:ascii="宋体" w:hAnsi="宋体" w:eastAsia="宋体"/>
                <w:b/>
                <w:color w:val="auto"/>
                <w:sz w:val="21"/>
                <w:szCs w:val="21"/>
                <w:highlight w:val="none"/>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陆仟</w:t>
            </w:r>
            <w:r>
              <w:rPr>
                <w:rFonts w:hint="eastAsia" w:ascii="宋体" w:hAnsi="宋体" w:eastAsia="宋体"/>
                <w:color w:val="auto"/>
                <w:sz w:val="21"/>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pPr>
        <w:bidi w:val="0"/>
        <w:rPr>
          <w:rFonts w:hint="eastAsia"/>
          <w:color w:val="auto"/>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ind w:left="0" w:leftChars="0" w:firstLine="0" w:firstLineChars="0"/>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8" w:name="_Toc4043"/>
      <w:bookmarkStart w:id="9" w:name="_Hlk55300595"/>
      <w:bookmarkStart w:id="10" w:name="_Toc13473"/>
      <w:bookmarkStart w:id="11" w:name="_Toc9572"/>
      <w:r>
        <w:rPr>
          <w:rFonts w:hint="eastAsia"/>
          <w:color w:val="auto"/>
          <w:sz w:val="28"/>
          <w:szCs w:val="28"/>
          <w:highlight w:val="none"/>
          <w:lang w:val="en-US" w:eastAsia="zh-CN"/>
        </w:rPr>
        <w:br w:type="page"/>
      </w:r>
    </w:p>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ascii="宋体" w:hAnsi="宋体" w:eastAsia="宋体" w:cs="宋体"/>
          <w:color w:val="auto"/>
          <w:sz w:val="24"/>
          <w:szCs w:val="24"/>
          <w:highlight w:val="none"/>
        </w:rPr>
      </w:pPr>
      <w:bookmarkStart w:id="15" w:name="_Toc462"/>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价格评分（</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价格分计算方法：满足磋商文件要求且价格最低的响应报价为评标基准价，其价格分为满分。其他供应商的价格分统一按照下列公式计算：</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响应报价得分=(评标基准价／响应报价)×价格权值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商务评分（</w:t>
            </w:r>
            <w:r>
              <w:rPr>
                <w:rFonts w:hint="eastAsia" w:ascii="宋体" w:eastAsia="宋体" w:cs="宋体"/>
                <w:bCs/>
                <w:color w:val="auto"/>
                <w:sz w:val="21"/>
                <w:szCs w:val="21"/>
                <w:highlight w:val="none"/>
                <w:lang w:val="en-US" w:eastAsia="zh-CN"/>
              </w:rPr>
              <w:t>20</w:t>
            </w:r>
            <w:r>
              <w:rPr>
                <w:rFonts w:hint="eastAsia" w:ascii="宋体" w:hAnsi="宋体" w:eastAsia="宋体" w:cs="宋体"/>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体系认证</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供应商具有由国家认监委批准设立的认证机构颁发并在有效期内的质量管理体系认证、环境管理体系认证、职业健康安全管理体系认证</w:t>
            </w:r>
            <w:r>
              <w:rPr>
                <w:rFonts w:hint="eastAsia" w:ascii="宋体" w:eastAsia="宋体" w:cs="宋体"/>
                <w:bCs/>
                <w:color w:val="auto"/>
                <w:sz w:val="21"/>
                <w:szCs w:val="21"/>
                <w:highlight w:val="none"/>
                <w:lang w:val="zh-CN" w:eastAsia="zh-CN"/>
              </w:rPr>
              <w:t>的</w:t>
            </w:r>
            <w:r>
              <w:rPr>
                <w:rFonts w:hint="eastAsia" w:ascii="宋体" w:eastAsia="宋体" w:cs="宋体"/>
                <w:bCs/>
                <w:color w:val="auto"/>
                <w:sz w:val="21"/>
                <w:szCs w:val="21"/>
                <w:highlight w:val="none"/>
                <w:lang w:val="zh-CN"/>
              </w:rPr>
              <w:t>，每具有一个得</w:t>
            </w:r>
            <w:r>
              <w:rPr>
                <w:rFonts w:hint="eastAsia" w:ascii="宋体" w:eastAsia="宋体" w:cs="宋体"/>
                <w:bCs/>
                <w:color w:val="auto"/>
                <w:sz w:val="21"/>
                <w:szCs w:val="21"/>
                <w:highlight w:val="none"/>
                <w:lang w:val="en-US" w:eastAsia="zh-CN"/>
              </w:rPr>
              <w:t>2</w:t>
            </w:r>
            <w:r>
              <w:rPr>
                <w:rFonts w:hint="eastAsia" w:asci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lang w:val="en-US" w:eastAsia="zh-CN"/>
              </w:rPr>
              <w:t>6</w:t>
            </w:r>
            <w:r>
              <w:rPr>
                <w:rFonts w:hint="eastAsia" w:ascii="宋体" w:eastAsia="宋体" w:cs="宋体"/>
                <w:bCs/>
                <w:color w:val="auto"/>
                <w:sz w:val="21"/>
                <w:szCs w:val="21"/>
                <w:highlight w:val="none"/>
                <w:lang w:val="zh-CN"/>
              </w:rPr>
              <w:t>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注：须提供有效证书复印件并加盖供应商公章，不符合以上要求的不得分。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asci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供应商</w:t>
            </w:r>
            <w:r>
              <w:rPr>
                <w:rFonts w:hint="eastAsia" w:ascii="宋体" w:eastAsia="宋体" w:cs="宋体"/>
                <w:bCs/>
                <w:color w:val="auto"/>
                <w:sz w:val="21"/>
                <w:szCs w:val="21"/>
                <w:highlight w:val="none"/>
              </w:rPr>
              <w:t>具有</w:t>
            </w:r>
            <w:r>
              <w:rPr>
                <w:rFonts w:hint="eastAsia" w:ascii="宋体" w:eastAsia="宋体" w:cs="宋体"/>
                <w:bCs/>
                <w:color w:val="auto"/>
                <w:sz w:val="21"/>
                <w:szCs w:val="21"/>
                <w:highlight w:val="none"/>
                <w:lang w:val="en-US" w:eastAsia="zh-CN"/>
              </w:rPr>
              <w:t>管道</w:t>
            </w:r>
            <w:r>
              <w:rPr>
                <w:rFonts w:hint="eastAsia" w:ascii="宋体" w:eastAsia="宋体" w:cs="宋体"/>
                <w:bCs/>
                <w:color w:val="auto"/>
                <w:sz w:val="21"/>
                <w:szCs w:val="21"/>
                <w:highlight w:val="none"/>
              </w:rPr>
              <w:t>清淤类</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或市政工程类</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zh-CN"/>
              </w:rPr>
              <w:t>项目业绩</w:t>
            </w:r>
            <w:r>
              <w:rPr>
                <w:rFonts w:hint="eastAsia" w:ascii="宋体" w:eastAsia="宋体" w:cs="宋体"/>
                <w:bCs/>
                <w:color w:val="auto"/>
                <w:sz w:val="21"/>
                <w:szCs w:val="21"/>
                <w:highlight w:val="none"/>
              </w:rPr>
              <w:t>的</w:t>
            </w:r>
            <w:r>
              <w:rPr>
                <w:rFonts w:hint="eastAsia" w:ascii="宋体" w:eastAsia="宋体" w:cs="宋体"/>
                <w:bCs/>
                <w:color w:val="auto"/>
                <w:sz w:val="21"/>
                <w:szCs w:val="21"/>
                <w:highlight w:val="none"/>
                <w:lang w:val="zh-CN"/>
              </w:rPr>
              <w:t>，每提供一个合同业绩得</w:t>
            </w:r>
            <w:r>
              <w:rPr>
                <w:rFonts w:hint="eastAsia" w:ascii="宋体" w:eastAsia="宋体" w:cs="宋体"/>
                <w:bCs/>
                <w:color w:val="auto"/>
                <w:sz w:val="21"/>
                <w:szCs w:val="21"/>
                <w:highlight w:val="none"/>
                <w:lang w:val="en-US" w:eastAsia="zh-CN"/>
              </w:rPr>
              <w:t>4</w:t>
            </w:r>
            <w:r>
              <w:rPr>
                <w:rFonts w:hint="eastAsia" w:asci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lang w:val="en-US" w:eastAsia="zh-CN"/>
              </w:rPr>
              <w:t>12</w:t>
            </w:r>
            <w:r>
              <w:rPr>
                <w:rFonts w:hint="eastAsia" w:ascii="宋体" w:eastAsia="宋体" w:cs="宋体"/>
                <w:bCs/>
                <w:color w:val="auto"/>
                <w:sz w:val="21"/>
                <w:szCs w:val="21"/>
                <w:highlight w:val="none"/>
                <w:lang w:val="zh-CN"/>
              </w:rPr>
              <w:t>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注：须提供合同复印件并加盖供应商公章，</w:t>
            </w:r>
            <w:r>
              <w:rPr>
                <w:rFonts w:hint="eastAsia" w:ascii="宋体" w:eastAsia="宋体" w:cs="宋体"/>
                <w:bCs/>
                <w:color w:val="auto"/>
                <w:sz w:val="21"/>
                <w:szCs w:val="21"/>
                <w:highlight w:val="none"/>
                <w:lang w:val="en-US" w:eastAsia="zh-CN"/>
              </w:rPr>
              <w:t>否则</w:t>
            </w:r>
            <w:r>
              <w:rPr>
                <w:rFonts w:hint="eastAsia" w:ascii="宋体" w:eastAsia="宋体" w:cs="宋体"/>
                <w:bCs/>
                <w:color w:val="auto"/>
                <w:sz w:val="21"/>
                <w:szCs w:val="21"/>
                <w:highlight w:val="none"/>
                <w:lang w:val="zh-CN"/>
              </w:rPr>
              <w:t>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3</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服务响应</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color w:val="auto"/>
                <w:szCs w:val="21"/>
                <w:highlight w:val="none"/>
              </w:rPr>
            </w:pPr>
            <w:r>
              <w:rPr>
                <w:rFonts w:hint="eastAsia" w:ascii="宋体" w:hAnsi="宋体" w:cs="宋体"/>
                <w:bCs/>
                <w:color w:val="auto"/>
                <w:szCs w:val="21"/>
                <w:highlight w:val="none"/>
              </w:rPr>
              <w:t>根据供应商提供的服务响应时间承诺进行评分。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color w:val="auto"/>
                <w:szCs w:val="21"/>
                <w:highlight w:val="none"/>
              </w:rPr>
            </w:pPr>
            <w:r>
              <w:rPr>
                <w:rFonts w:hint="eastAsia" w:ascii="宋体" w:hAnsi="宋体" w:cs="宋体"/>
                <w:bCs/>
                <w:color w:val="auto"/>
                <w:szCs w:val="21"/>
                <w:highlight w:val="none"/>
              </w:rPr>
              <w:t>（1）承诺在接到采购人通知后</w:t>
            </w: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小时内到现场，得</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color w:val="auto"/>
                <w:szCs w:val="21"/>
                <w:highlight w:val="none"/>
              </w:rPr>
            </w:pPr>
            <w:r>
              <w:rPr>
                <w:rFonts w:hint="eastAsia" w:ascii="宋体" w:hAnsi="宋体" w:cs="宋体"/>
                <w:bCs/>
                <w:color w:val="auto"/>
                <w:szCs w:val="21"/>
                <w:highlight w:val="none"/>
              </w:rPr>
              <w:t>（2）承诺在接到采购人通知后</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rPr>
              <w:t>小时内到现场，得</w:t>
            </w: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color w:val="auto"/>
                <w:szCs w:val="21"/>
                <w:highlight w:val="none"/>
              </w:rPr>
            </w:pPr>
            <w:r>
              <w:rPr>
                <w:rFonts w:hint="eastAsia" w:ascii="宋体" w:hAnsi="宋体" w:cs="宋体"/>
                <w:bCs/>
                <w:color w:val="auto"/>
                <w:szCs w:val="21"/>
                <w:highlight w:val="none"/>
              </w:rPr>
              <w:t>（3）承诺在接到采购人通知后3小时</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含</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内到现场，得</w:t>
            </w:r>
            <w:r>
              <w:rPr>
                <w:rFonts w:hint="eastAsia" w:ascii="宋体" w:hAnsi="宋体" w:cs="宋体"/>
                <w:bCs/>
                <w:color w:val="auto"/>
                <w:szCs w:val="21"/>
                <w:highlight w:val="none"/>
                <w:lang w:val="en-US" w:eastAsia="zh-CN"/>
              </w:rPr>
              <w:t>0.5</w:t>
            </w:r>
            <w:r>
              <w:rPr>
                <w:rFonts w:hint="eastAsia" w:ascii="宋体" w:hAnsi="宋体" w:cs="宋体"/>
                <w:bCs/>
                <w:color w:val="auto"/>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bCs/>
                <w:color w:val="auto"/>
                <w:szCs w:val="21"/>
                <w:highlight w:val="none"/>
              </w:rPr>
            </w:pPr>
            <w:r>
              <w:rPr>
                <w:rFonts w:hint="eastAsia" w:ascii="宋体" w:hAnsi="宋体" w:cs="宋体"/>
                <w:bCs/>
                <w:color w:val="auto"/>
                <w:szCs w:val="21"/>
                <w:highlight w:val="none"/>
              </w:rPr>
              <w:t>（4）承诺在接到采购人通知后超过3小时</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不含</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到现场，不得分。</w:t>
            </w:r>
          </w:p>
          <w:p>
            <w:pPr>
              <w:pStyle w:val="35"/>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注：</w:t>
            </w:r>
            <w:r>
              <w:rPr>
                <w:rFonts w:hint="eastAsia" w:ascii="宋体" w:eastAsia="宋体" w:cs="宋体"/>
                <w:bCs/>
                <w:color w:val="auto"/>
                <w:sz w:val="21"/>
                <w:szCs w:val="21"/>
                <w:highlight w:val="none"/>
              </w:rPr>
              <w:t>须提供服务承诺书并加盖供应商公章，否则不得分。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eastAsia="宋体" w:cs="宋体"/>
                <w:bCs/>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技术评分（</w:t>
            </w:r>
            <w:r>
              <w:rPr>
                <w:rFonts w:hint="eastAsia" w:ascii="宋体" w:hAnsi="宋体" w:cs="宋体"/>
                <w:bCs/>
                <w:color w:val="auto"/>
                <w:sz w:val="21"/>
                <w:szCs w:val="21"/>
                <w:highlight w:val="none"/>
                <w:lang w:val="en-US" w:eastAsia="zh-CN"/>
              </w:rPr>
              <w:t>70</w:t>
            </w:r>
            <w:r>
              <w:rPr>
                <w:rFonts w:hint="eastAsia" w:ascii="宋体" w:hAnsi="宋体" w:eastAsia="宋体" w:cs="宋体"/>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项目的理解</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根据供应商对本项目现场的熟悉程度、理解及项目重点和难点的分析，以及根据项目重点和难点所采取的措施等进行</w:t>
            </w:r>
            <w:r>
              <w:rPr>
                <w:rFonts w:hint="eastAsia" w:ascii="宋体" w:hAnsi="宋体" w:eastAsia="宋体" w:cs="宋体"/>
                <w:bCs/>
                <w:color w:val="auto"/>
                <w:sz w:val="21"/>
                <w:szCs w:val="21"/>
                <w:highlight w:val="none"/>
                <w:lang w:val="en-US" w:eastAsia="zh-CN"/>
              </w:rPr>
              <w:t>综合</w:t>
            </w:r>
            <w:r>
              <w:rPr>
                <w:rFonts w:hint="eastAsia" w:ascii="宋体" w:hAnsi="宋体" w:eastAsia="宋体" w:cs="宋体"/>
                <w:bCs/>
                <w:color w:val="auto"/>
                <w:sz w:val="21"/>
                <w:szCs w:val="21"/>
                <w:highlight w:val="none"/>
              </w:rPr>
              <w:t>评价</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现场的熟悉程度深入，重点和难点分析合理、所采取的应急计划和措施可行性强，得10分；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深入，重点和难点分析</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合理、所采取的应急计划和措施可行性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rPr>
              <w:t>强，得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现场的熟悉程度一般，重点和难点分析</w:t>
            </w:r>
            <w:r>
              <w:rPr>
                <w:rFonts w:hint="eastAsia" w:ascii="宋体" w:hAnsi="宋体" w:eastAsia="宋体" w:cs="宋体"/>
                <w:bCs/>
                <w:color w:val="auto"/>
                <w:sz w:val="21"/>
                <w:szCs w:val="21"/>
                <w:highlight w:val="none"/>
                <w:lang w:val="en-US" w:eastAsia="zh-CN"/>
              </w:rPr>
              <w:t>基本合理</w:t>
            </w:r>
            <w:r>
              <w:rPr>
                <w:rFonts w:hint="eastAsia" w:ascii="宋体" w:hAnsi="宋体" w:eastAsia="宋体" w:cs="宋体"/>
                <w:bCs/>
                <w:color w:val="auto"/>
                <w:sz w:val="21"/>
                <w:szCs w:val="21"/>
                <w:highlight w:val="none"/>
              </w:rPr>
              <w:t>、所采取的应急计划和措施可行性一般，得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现场的熟悉程度肤浅，重点和难点分析基本合理、所采取的应急计划和措施可行性较差，得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项目实施</w:t>
            </w:r>
            <w:r>
              <w:rPr>
                <w:rFonts w:hint="eastAsia" w:ascii="宋体" w:hAnsi="宋体" w:eastAsia="宋体" w:cs="宋体"/>
                <w:color w:val="auto"/>
                <w:sz w:val="21"/>
                <w:szCs w:val="21"/>
                <w:highlight w:val="none"/>
                <w:lang w:val="zh-CN"/>
              </w:rPr>
              <w:t>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rPr>
              <w:t>供应商</w:t>
            </w:r>
            <w:r>
              <w:rPr>
                <w:rFonts w:hint="eastAsia" w:ascii="宋体" w:hAnsi="宋体" w:cs="宋体"/>
                <w:bCs/>
                <w:color w:val="auto"/>
                <w:sz w:val="21"/>
                <w:szCs w:val="21"/>
                <w:highlight w:val="none"/>
                <w:lang w:val="zh-CN"/>
              </w:rPr>
              <w:t>项目实施方案</w:t>
            </w:r>
            <w:r>
              <w:rPr>
                <w:rFonts w:hint="eastAsia" w:ascii="宋体" w:hAnsi="宋体" w:eastAsia="宋体" w:cs="宋体"/>
                <w:bCs/>
                <w:color w:val="auto"/>
                <w:sz w:val="21"/>
                <w:szCs w:val="21"/>
                <w:highlight w:val="none"/>
                <w:lang w:val="zh-CN"/>
              </w:rPr>
              <w:t>的</w:t>
            </w:r>
            <w:r>
              <w:rPr>
                <w:rFonts w:hint="eastAsia" w:ascii="宋体" w:hAnsi="宋体" w:eastAsia="宋体" w:cs="宋体"/>
                <w:bCs/>
                <w:color w:val="auto"/>
                <w:sz w:val="21"/>
                <w:szCs w:val="21"/>
                <w:highlight w:val="none"/>
                <w:lang w:val="en-US" w:eastAsia="zh-CN"/>
              </w:rPr>
              <w:t>针对</w:t>
            </w:r>
            <w:r>
              <w:rPr>
                <w:rFonts w:hint="eastAsia" w:ascii="宋体" w:hAnsi="宋体" w:eastAsia="宋体" w:cs="宋体"/>
                <w:bCs/>
                <w:color w:val="auto"/>
                <w:sz w:val="21"/>
                <w:szCs w:val="21"/>
                <w:highlight w:val="none"/>
                <w:lang w:val="zh-CN"/>
              </w:rPr>
              <w:t>性、</w:t>
            </w:r>
            <w:r>
              <w:rPr>
                <w:rFonts w:hint="eastAsia" w:ascii="宋体" w:hAnsi="宋体" w:eastAsia="宋体" w:cs="宋体"/>
                <w:bCs/>
                <w:color w:val="auto"/>
                <w:sz w:val="21"/>
                <w:szCs w:val="21"/>
                <w:highlight w:val="none"/>
                <w:lang w:val="en-US" w:eastAsia="zh-CN"/>
              </w:rPr>
              <w:t>合理</w:t>
            </w:r>
            <w:r>
              <w:rPr>
                <w:rFonts w:hint="eastAsia" w:ascii="宋体" w:hAnsi="宋体" w:eastAsia="宋体" w:cs="宋体"/>
                <w:bCs/>
                <w:color w:val="auto"/>
                <w:sz w:val="21"/>
                <w:szCs w:val="21"/>
                <w:highlight w:val="none"/>
                <w:lang w:val="zh-CN"/>
              </w:rPr>
              <w:t>性、</w:t>
            </w:r>
            <w:r>
              <w:rPr>
                <w:rFonts w:hint="eastAsia" w:ascii="宋体" w:hAnsi="宋体" w:eastAsia="宋体" w:cs="宋体"/>
                <w:bCs/>
                <w:color w:val="auto"/>
                <w:sz w:val="21"/>
                <w:szCs w:val="21"/>
                <w:highlight w:val="none"/>
                <w:lang w:val="en-US" w:eastAsia="zh-CN"/>
              </w:rPr>
              <w:t>可行</w:t>
            </w:r>
            <w:r>
              <w:rPr>
                <w:rFonts w:hint="eastAsia" w:ascii="宋体" w:hAnsi="宋体" w:eastAsia="宋体" w:cs="宋体"/>
                <w:bCs/>
                <w:color w:val="auto"/>
                <w:sz w:val="21"/>
                <w:szCs w:val="21"/>
                <w:highlight w:val="none"/>
                <w:lang w:val="zh-CN"/>
              </w:rPr>
              <w:t>性等进行综合评价：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cs="宋体"/>
                <w:bCs/>
                <w:color w:val="auto"/>
                <w:sz w:val="21"/>
                <w:szCs w:val="21"/>
                <w:highlight w:val="none"/>
                <w:lang w:val="zh-CN"/>
              </w:rPr>
              <w:t>项目实施方案</w:t>
            </w:r>
            <w:r>
              <w:rPr>
                <w:rFonts w:hint="eastAsia" w:ascii="宋体" w:hAnsi="宋体" w:eastAsia="宋体" w:cs="宋体"/>
                <w:bCs/>
                <w:color w:val="auto"/>
                <w:sz w:val="21"/>
                <w:szCs w:val="21"/>
                <w:highlight w:val="none"/>
                <w:lang w:val="zh-CN"/>
              </w:rPr>
              <w:t>针对性强、合理、可行，得</w:t>
            </w: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cs="宋体"/>
                <w:bCs/>
                <w:color w:val="auto"/>
                <w:sz w:val="21"/>
                <w:szCs w:val="21"/>
                <w:highlight w:val="none"/>
                <w:lang w:val="zh-CN"/>
              </w:rPr>
              <w:t>项目实施方案</w:t>
            </w:r>
            <w:r>
              <w:rPr>
                <w:rFonts w:hint="eastAsia" w:ascii="宋体" w:hAnsi="宋体" w:eastAsia="宋体" w:cs="宋体"/>
                <w:bCs/>
                <w:color w:val="auto"/>
                <w:sz w:val="21"/>
                <w:szCs w:val="21"/>
                <w:highlight w:val="none"/>
                <w:lang w:val="zh-CN"/>
              </w:rPr>
              <w:t>针对性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合理、</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可行，得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cs="宋体"/>
                <w:bCs/>
                <w:color w:val="auto"/>
                <w:sz w:val="21"/>
                <w:szCs w:val="21"/>
                <w:highlight w:val="none"/>
                <w:lang w:val="zh-CN"/>
              </w:rPr>
              <w:t>项目实施方案</w:t>
            </w:r>
            <w:r>
              <w:rPr>
                <w:rFonts w:hint="eastAsia" w:ascii="宋体" w:hAnsi="宋体" w:eastAsia="宋体" w:cs="宋体"/>
                <w:bCs/>
                <w:color w:val="auto"/>
                <w:sz w:val="21"/>
                <w:szCs w:val="21"/>
                <w:highlight w:val="none"/>
                <w:lang w:val="zh-CN"/>
              </w:rPr>
              <w:t>针对性一般、合理</w:t>
            </w:r>
            <w:r>
              <w:rPr>
                <w:rFonts w:hint="eastAsia" w:ascii="宋体" w:hAnsi="宋体" w:eastAsia="宋体" w:cs="宋体"/>
                <w:bCs/>
                <w:color w:val="auto"/>
                <w:sz w:val="21"/>
                <w:szCs w:val="21"/>
                <w:highlight w:val="none"/>
                <w:lang w:val="en-US" w:eastAsia="zh-CN"/>
              </w:rPr>
              <w:t>性一般</w:t>
            </w:r>
            <w:r>
              <w:rPr>
                <w:rFonts w:hint="eastAsia" w:ascii="宋体" w:hAnsi="宋体" w:eastAsia="宋体" w:cs="宋体"/>
                <w:bCs/>
                <w:color w:val="auto"/>
                <w:sz w:val="21"/>
                <w:szCs w:val="21"/>
                <w:highlight w:val="none"/>
                <w:lang w:val="zh-CN"/>
              </w:rPr>
              <w:t>，得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cs="宋体"/>
                <w:bCs/>
                <w:color w:val="auto"/>
                <w:sz w:val="21"/>
                <w:szCs w:val="21"/>
                <w:highlight w:val="none"/>
                <w:lang w:val="zh-CN"/>
              </w:rPr>
              <w:t>项目实施方案</w:t>
            </w:r>
            <w:r>
              <w:rPr>
                <w:rFonts w:hint="eastAsia" w:ascii="宋体" w:hAnsi="宋体" w:eastAsia="宋体" w:cs="宋体"/>
                <w:bCs/>
                <w:color w:val="auto"/>
                <w:sz w:val="21"/>
                <w:szCs w:val="21"/>
                <w:highlight w:val="none"/>
                <w:lang w:val="zh-CN"/>
              </w:rPr>
              <w:t>针对性差、不够合理，得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1</w:t>
            </w:r>
            <w:r>
              <w:rPr>
                <w:rFonts w:hint="eastAsia" w:asci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安全文明方案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rPr>
              <w:t>供应商</w:t>
            </w:r>
            <w:r>
              <w:rPr>
                <w:rFonts w:hint="eastAsia" w:ascii="宋体" w:hAnsi="宋体" w:eastAsia="宋体" w:cs="宋体"/>
                <w:bCs/>
                <w:color w:val="auto"/>
                <w:sz w:val="21"/>
                <w:szCs w:val="21"/>
                <w:highlight w:val="none"/>
                <w:lang w:val="zh-CN"/>
              </w:rPr>
              <w:t>提供的安全文明措施、配套设备设施、达到的标准及承诺等进行综合评价:</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完整、可行性强，完全满足并优于招标文件要求，得</w:t>
            </w:r>
            <w:r>
              <w:rPr>
                <w:rFonts w:hint="eastAsia" w:ascii="宋体" w:hAnsi="宋体" w:eastAsia="宋体" w:cs="宋体"/>
                <w:bCs/>
                <w:color w:val="auto"/>
                <w:sz w:val="21"/>
                <w:szCs w:val="21"/>
                <w:highlight w:val="none"/>
              </w:rPr>
              <w:t>10</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完整、可行性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强，满足招标文件要求，得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en-US" w:eastAsia="zh-CN"/>
              </w:rPr>
              <w:t>基本</w:t>
            </w:r>
            <w:r>
              <w:rPr>
                <w:rFonts w:hint="eastAsia" w:ascii="宋体" w:hAnsi="宋体" w:eastAsia="宋体" w:cs="宋体"/>
                <w:bCs/>
                <w:color w:val="auto"/>
                <w:sz w:val="21"/>
                <w:szCs w:val="21"/>
                <w:highlight w:val="none"/>
                <w:lang w:val="zh-CN"/>
              </w:rPr>
              <w:t>完整、可行性一般，符合招标文件要求，得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val="zh-CN"/>
              </w:rPr>
              <w:t>基本完整、可行性较差，基本符合招标文件要求，得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根据供应商提供的应急方案（包括但不限于人员应急方案、现场施工应急方案、恶劣天气应急方案等）进行综合评</w:t>
            </w:r>
            <w:r>
              <w:rPr>
                <w:rFonts w:hint="eastAsia" w:ascii="宋体" w:hAnsi="宋体" w:eastAsia="宋体" w:cs="宋体"/>
                <w:bCs/>
                <w:color w:val="auto"/>
                <w:sz w:val="21"/>
                <w:szCs w:val="21"/>
                <w:highlight w:val="none"/>
                <w:lang w:val="en-US" w:eastAsia="zh-CN"/>
              </w:rPr>
              <w:t>价</w:t>
            </w:r>
            <w:r>
              <w:rPr>
                <w:rFonts w:hint="eastAsia" w:ascii="宋体" w:hAnsi="宋体" w:eastAsia="宋体" w:cs="宋体"/>
                <w:bCs/>
                <w:color w:val="auto"/>
                <w:sz w:val="21"/>
                <w:szCs w:val="21"/>
                <w:highlight w:val="none"/>
                <w:lang w:val="zh-CN"/>
              </w:rPr>
              <w:t>：</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方案完整，可操作性强，可行性强，针对性强，得</w:t>
            </w:r>
            <w:r>
              <w:rPr>
                <w:rFonts w:hint="eastAsia" w:ascii="宋体" w:hAnsi="宋体" w:eastAsia="宋体" w:cs="宋体"/>
                <w:bCs/>
                <w:color w:val="auto"/>
                <w:sz w:val="21"/>
                <w:szCs w:val="21"/>
                <w:highlight w:val="none"/>
              </w:rPr>
              <w:t>10</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完整，可操作性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强，可行性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强，针对性</w:t>
            </w:r>
            <w:r>
              <w:rPr>
                <w:rFonts w:hint="eastAsia" w:ascii="宋体" w:hAnsi="宋体" w:eastAsia="宋体" w:cs="宋体"/>
                <w:bCs/>
                <w:color w:val="auto"/>
                <w:sz w:val="21"/>
                <w:szCs w:val="21"/>
                <w:highlight w:val="none"/>
                <w:lang w:val="en-US" w:eastAsia="zh-CN"/>
              </w:rPr>
              <w:t>较</w:t>
            </w:r>
            <w:r>
              <w:rPr>
                <w:rFonts w:hint="eastAsia" w:ascii="宋体" w:hAnsi="宋体" w:eastAsia="宋体" w:cs="宋体"/>
                <w:bCs/>
                <w:color w:val="auto"/>
                <w:sz w:val="21"/>
                <w:szCs w:val="21"/>
                <w:highlight w:val="none"/>
                <w:lang w:val="zh-CN"/>
              </w:rPr>
              <w:t>强，得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方案基本完整，可操作性一般，可行性一般，针对性一般，得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方案不完整，可操作性差，可行性差，针对性差，得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质量保证措施</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w:t>
            </w:r>
            <w:r>
              <w:rPr>
                <w:rFonts w:hint="eastAsia" w:ascii="宋体" w:hAnsi="宋体" w:cs="宋体"/>
                <w:bCs/>
                <w:color w:val="auto"/>
                <w:kern w:val="2"/>
                <w:sz w:val="21"/>
                <w:szCs w:val="21"/>
                <w:highlight w:val="none"/>
                <w:lang w:val="zh-CN"/>
              </w:rPr>
              <w:t>供应商</w:t>
            </w:r>
            <w:r>
              <w:rPr>
                <w:rFonts w:hint="eastAsia" w:ascii="宋体" w:hAnsi="宋体" w:eastAsia="宋体" w:cs="宋体"/>
                <w:bCs/>
                <w:color w:val="auto"/>
                <w:kern w:val="2"/>
                <w:sz w:val="21"/>
                <w:szCs w:val="21"/>
                <w:highlight w:val="none"/>
                <w:lang w:val="zh-CN"/>
              </w:rPr>
              <w:t>是否能根据本项目要求提供详细的服务质量</w:t>
            </w:r>
            <w:r>
              <w:rPr>
                <w:rFonts w:hint="eastAsia" w:ascii="宋体" w:hAnsi="宋体" w:eastAsia="宋体" w:cs="宋体"/>
                <w:bCs/>
                <w:color w:val="auto"/>
                <w:kern w:val="2"/>
                <w:sz w:val="21"/>
                <w:szCs w:val="21"/>
                <w:highlight w:val="none"/>
                <w:lang w:val="zh-CN" w:eastAsia="zh-CN"/>
              </w:rPr>
              <w:t>方案</w:t>
            </w:r>
            <w:r>
              <w:rPr>
                <w:rFonts w:hint="eastAsia" w:ascii="宋体" w:hAnsi="宋体" w:eastAsia="宋体" w:cs="宋体"/>
                <w:bCs/>
                <w:color w:val="auto"/>
                <w:kern w:val="2"/>
                <w:sz w:val="21"/>
                <w:szCs w:val="21"/>
                <w:highlight w:val="none"/>
                <w:lang w:val="zh-CN"/>
              </w:rPr>
              <w:t>保证目标，并提供具体可行、详细的保证措施等进行综合评审。</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质量保证措施</w:t>
            </w:r>
            <w:r>
              <w:rPr>
                <w:rFonts w:hint="eastAsia" w:ascii="宋体" w:hAnsi="宋体" w:eastAsia="宋体" w:cs="宋体"/>
                <w:bCs/>
                <w:color w:val="auto"/>
                <w:kern w:val="2"/>
                <w:sz w:val="21"/>
                <w:szCs w:val="21"/>
                <w:highlight w:val="none"/>
                <w:lang w:val="zh-CN" w:eastAsia="zh-CN"/>
              </w:rPr>
              <w:t>方案</w:t>
            </w:r>
            <w:r>
              <w:rPr>
                <w:rFonts w:hint="eastAsia" w:ascii="宋体" w:hAnsi="宋体" w:eastAsia="宋体" w:cs="宋体"/>
                <w:bCs/>
                <w:color w:val="auto"/>
                <w:kern w:val="2"/>
                <w:sz w:val="21"/>
                <w:szCs w:val="21"/>
                <w:highlight w:val="none"/>
                <w:lang w:val="zh-CN"/>
              </w:rPr>
              <w:t>科学完整，可行性强，得</w:t>
            </w:r>
            <w:r>
              <w:rPr>
                <w:rFonts w:hint="eastAsia" w:ascii="宋体" w:hAnsi="宋体" w:cs="宋体"/>
                <w:bCs/>
                <w:color w:val="auto"/>
                <w:kern w:val="2"/>
                <w:sz w:val="21"/>
                <w:szCs w:val="21"/>
                <w:highlight w:val="none"/>
                <w:lang w:val="en-US" w:eastAsia="zh-CN"/>
              </w:rPr>
              <w:t>15</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质量保证措施</w:t>
            </w:r>
            <w:r>
              <w:rPr>
                <w:rFonts w:hint="eastAsia" w:ascii="宋体" w:hAnsi="宋体" w:eastAsia="宋体" w:cs="宋体"/>
                <w:bCs/>
                <w:color w:val="auto"/>
                <w:kern w:val="2"/>
                <w:sz w:val="21"/>
                <w:szCs w:val="21"/>
                <w:highlight w:val="none"/>
                <w:lang w:val="zh-CN" w:eastAsia="zh-CN"/>
              </w:rPr>
              <w:t>方案</w:t>
            </w:r>
            <w:r>
              <w:rPr>
                <w:rFonts w:hint="eastAsia" w:ascii="宋体" w:hAnsi="宋体" w:eastAsia="宋体" w:cs="宋体"/>
                <w:bCs/>
                <w:color w:val="auto"/>
                <w:kern w:val="2"/>
                <w:sz w:val="21"/>
                <w:szCs w:val="21"/>
                <w:highlight w:val="none"/>
                <w:lang w:val="zh-CN"/>
              </w:rPr>
              <w:t>较为完整，可行性较强，得</w:t>
            </w:r>
            <w:r>
              <w:rPr>
                <w:rFonts w:hint="eastAsia" w:ascii="宋体" w:hAnsi="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质量保证措施</w:t>
            </w:r>
            <w:r>
              <w:rPr>
                <w:rFonts w:hint="eastAsia" w:ascii="宋体" w:hAnsi="宋体" w:eastAsia="宋体" w:cs="宋体"/>
                <w:bCs/>
                <w:color w:val="auto"/>
                <w:kern w:val="2"/>
                <w:sz w:val="21"/>
                <w:szCs w:val="21"/>
                <w:highlight w:val="none"/>
                <w:lang w:val="zh-CN" w:eastAsia="zh-CN"/>
              </w:rPr>
              <w:t>方案</w:t>
            </w:r>
            <w:r>
              <w:rPr>
                <w:rFonts w:hint="eastAsia" w:ascii="宋体" w:hAnsi="宋体" w:eastAsia="宋体" w:cs="宋体"/>
                <w:bCs/>
                <w:color w:val="auto"/>
                <w:kern w:val="2"/>
                <w:sz w:val="21"/>
                <w:szCs w:val="21"/>
                <w:highlight w:val="none"/>
                <w:lang w:val="zh-CN"/>
              </w:rPr>
              <w:t>基本完整，可行性一般，得</w:t>
            </w:r>
            <w:r>
              <w:rPr>
                <w:rFonts w:hint="eastAsia" w:ascii="宋体" w:hAnsi="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both"/>
              <w:textAlignment w:val="auto"/>
              <w:rPr>
                <w:rFonts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质量保证措施</w:t>
            </w:r>
            <w:r>
              <w:rPr>
                <w:rFonts w:hint="eastAsia" w:ascii="宋体" w:hAnsi="宋体" w:eastAsia="宋体" w:cs="宋体"/>
                <w:bCs/>
                <w:color w:val="auto"/>
                <w:kern w:val="2"/>
                <w:sz w:val="21"/>
                <w:szCs w:val="21"/>
                <w:highlight w:val="none"/>
                <w:lang w:val="zh-CN" w:eastAsia="zh-CN"/>
              </w:rPr>
              <w:t>方案</w:t>
            </w:r>
            <w:r>
              <w:rPr>
                <w:rFonts w:hint="eastAsia" w:ascii="宋体" w:hAnsi="宋体" w:eastAsia="宋体" w:cs="宋体"/>
                <w:bCs/>
                <w:color w:val="auto"/>
                <w:kern w:val="2"/>
                <w:sz w:val="21"/>
                <w:szCs w:val="21"/>
                <w:highlight w:val="none"/>
                <w:lang w:val="zh-CN"/>
              </w:rPr>
              <w:t>简单，可行性差，得1分。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lang w:val="zh-CN"/>
              </w:rPr>
              <w:t>无提供质量保证措施，不得分。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color w:val="auto"/>
                <w:kern w:val="2"/>
                <w:sz w:val="21"/>
                <w:szCs w:val="21"/>
                <w:highlight w:val="none"/>
              </w:rPr>
              <w:t>管理制度</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根据</w:t>
            </w:r>
            <w:r>
              <w:rPr>
                <w:rFonts w:hint="eastAsia" w:ascii="宋体" w:eastAsia="宋体" w:cs="宋体"/>
                <w:color w:val="auto"/>
                <w:sz w:val="21"/>
                <w:szCs w:val="21"/>
                <w:highlight w:val="none"/>
                <w:lang w:eastAsia="zh-CN"/>
              </w:rPr>
              <w:t>供应商</w:t>
            </w:r>
            <w:r>
              <w:rPr>
                <w:rFonts w:hint="eastAsia" w:ascii="宋体" w:eastAsia="宋体" w:cs="宋体"/>
                <w:color w:val="auto"/>
                <w:sz w:val="21"/>
                <w:szCs w:val="21"/>
                <w:highlight w:val="none"/>
              </w:rPr>
              <w:t>的规章管理制度进行综合评审：</w:t>
            </w:r>
          </w:p>
          <w:p>
            <w:pPr>
              <w:pStyle w:val="35"/>
              <w:spacing w:line="240" w:lineRule="auto"/>
              <w:ind w:firstLine="420" w:firstLineChars="200"/>
              <w:rPr>
                <w:rFonts w:hint="eastAsia" w:ascii="宋体" w:eastAsia="宋体" w:cs="宋体"/>
                <w:color w:val="auto"/>
                <w:sz w:val="21"/>
                <w:szCs w:val="21"/>
                <w:highlight w:val="none"/>
              </w:rPr>
            </w:pPr>
            <w:r>
              <w:rPr>
                <w:rFonts w:hint="eastAsia" w:ascii="宋体" w:eastAsia="宋体" w:cs="宋体"/>
                <w:color w:val="auto"/>
                <w:sz w:val="21"/>
                <w:szCs w:val="21"/>
                <w:highlight w:val="none"/>
              </w:rPr>
              <w:t>制度详细完整，可行性强，得</w:t>
            </w: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rPr>
              <w:t>分。</w:t>
            </w:r>
          </w:p>
          <w:p>
            <w:pPr>
              <w:pStyle w:val="3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制度</w:t>
            </w:r>
            <w:r>
              <w:rPr>
                <w:rFonts w:hint="eastAsia" w:ascii="宋体" w:eastAsia="宋体" w:cs="宋体"/>
                <w:color w:val="auto"/>
                <w:sz w:val="21"/>
                <w:szCs w:val="21"/>
                <w:highlight w:val="none"/>
                <w:lang w:val="en-US" w:eastAsia="zh-CN"/>
              </w:rPr>
              <w:t>较</w:t>
            </w:r>
            <w:r>
              <w:rPr>
                <w:rFonts w:hint="eastAsia" w:ascii="宋体" w:eastAsia="宋体" w:cs="宋体"/>
                <w:color w:val="auto"/>
                <w:sz w:val="21"/>
                <w:szCs w:val="21"/>
                <w:highlight w:val="none"/>
              </w:rPr>
              <w:t>详细完整，可行性</w:t>
            </w:r>
            <w:r>
              <w:rPr>
                <w:rFonts w:hint="eastAsia" w:ascii="宋体" w:eastAsia="宋体" w:cs="宋体"/>
                <w:color w:val="auto"/>
                <w:sz w:val="21"/>
                <w:szCs w:val="21"/>
                <w:highlight w:val="none"/>
                <w:lang w:val="en-US" w:eastAsia="zh-CN"/>
              </w:rPr>
              <w:t>较</w:t>
            </w:r>
            <w:r>
              <w:rPr>
                <w:rFonts w:hint="eastAsia" w:ascii="宋体" w:eastAsia="宋体" w:cs="宋体"/>
                <w:color w:val="auto"/>
                <w:sz w:val="21"/>
                <w:szCs w:val="21"/>
                <w:highlight w:val="none"/>
              </w:rPr>
              <w:t>强，得</w:t>
            </w:r>
            <w:r>
              <w:rPr>
                <w:rFonts w:hint="eastAsia" w:ascii="宋体" w:eastAsia="宋体" w:cs="宋体"/>
                <w:color w:val="auto"/>
                <w:sz w:val="21"/>
                <w:szCs w:val="21"/>
                <w:highlight w:val="none"/>
                <w:lang w:val="en-US" w:eastAsia="zh-CN"/>
              </w:rPr>
              <w:t>6</w:t>
            </w:r>
            <w:r>
              <w:rPr>
                <w:rFonts w:hint="eastAsia" w:ascii="宋体" w:eastAsia="宋体" w:cs="宋体"/>
                <w:color w:val="auto"/>
                <w:sz w:val="21"/>
                <w:szCs w:val="21"/>
                <w:highlight w:val="none"/>
              </w:rPr>
              <w:t>分。</w:t>
            </w:r>
          </w:p>
          <w:p>
            <w:pPr>
              <w:pStyle w:val="3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制度基本完整，可行性一般，得3分。</w:t>
            </w:r>
          </w:p>
          <w:p>
            <w:pPr>
              <w:pStyle w:val="3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制度不完整，可行性较差，得1分。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color w:val="auto"/>
                <w:sz w:val="21"/>
                <w:szCs w:val="21"/>
                <w:highlight w:val="none"/>
              </w:rPr>
              <w:t>无提供规章管理制度，得0分。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（1）除特殊说明外，以上评审项，同一证明文件不重复计分。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（2）供应商根据以上评分要求提供的响应材料因模糊不清导致评标委员会无法清晰辨认进行评审的，视为无效材料。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after="0" w:line="240" w:lineRule="auto"/>
              <w:ind w:firstLine="0" w:firstLine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 xml:space="preserve">   （3）若因疫情原因暂缓统一托收或阶段性减免社会保险费而导致无法打印社保缴费证明的需提供书面说明并加盖供应商公章，否则不得分。</w:t>
            </w:r>
          </w:p>
        </w:tc>
      </w:tr>
    </w:tbl>
    <w:p>
      <w:pPr>
        <w:bidi w:val="0"/>
        <w:rPr>
          <w:rFonts w:hint="eastAsia"/>
          <w:color w:val="auto"/>
          <w:highlight w:val="none"/>
        </w:rPr>
      </w:pPr>
    </w:p>
    <w:p>
      <w:pPr>
        <w:bidi w:val="0"/>
        <w:rPr>
          <w:rFonts w:hint="eastAsia"/>
          <w:color w:val="auto"/>
        </w:rPr>
      </w:pPr>
    </w:p>
    <w:p>
      <w:pPr>
        <w:bidi w:val="0"/>
        <w:rPr>
          <w:rFonts w:hint="eastAsia"/>
        </w:rPr>
      </w:pPr>
    </w:p>
    <w:p>
      <w:pPr>
        <w:pStyle w:val="3"/>
        <w:spacing w:before="0" w:after="0" w:line="240" w:lineRule="auto"/>
        <w:rPr>
          <w:color w:val="auto"/>
          <w:sz w:val="24"/>
          <w:szCs w:val="24"/>
          <w:highlight w:val="none"/>
        </w:rPr>
      </w:pPr>
      <w:bookmarkStart w:id="17" w:name="_Toc24511"/>
      <w:bookmarkStart w:id="18" w:name="_Toc29685"/>
      <w:bookmarkStart w:id="19" w:name="_Toc2479"/>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pPr>
        <w:pStyle w:val="3"/>
        <w:keepNext w:val="0"/>
        <w:keepLines w:val="0"/>
        <w:spacing w:before="0" w:after="0" w:line="360" w:lineRule="auto"/>
        <w:jc w:val="center"/>
        <w:rPr>
          <w:rFonts w:ascii="宋体" w:hAnsi="宋体" w:eastAsia="宋体"/>
          <w:color w:val="auto"/>
          <w:sz w:val="24"/>
          <w:szCs w:val="21"/>
          <w:highlight w:val="none"/>
        </w:rPr>
      </w:pPr>
      <w:bookmarkStart w:id="21" w:name="_Toc466786434"/>
      <w:bookmarkStart w:id="22" w:name="_Toc28014"/>
      <w:bookmarkStart w:id="23" w:name="_Toc102277756"/>
      <w:bookmarkStart w:id="24" w:name="_Toc507407359"/>
      <w:bookmarkStart w:id="25" w:name="_Toc24057"/>
      <w:bookmarkStart w:id="26" w:name="_Toc6968687"/>
      <w:bookmarkStart w:id="27" w:name="_Toc6882675"/>
      <w:bookmarkStart w:id="28" w:name="_Toc480010692"/>
      <w:bookmarkStart w:id="29" w:name="_Toc468606013"/>
      <w:bookmarkStart w:id="30" w:name="_Toc48207756"/>
      <w:bookmarkStart w:id="31" w:name="_Toc480171863"/>
      <w:bookmarkStart w:id="32" w:name="_Toc467987807"/>
      <w:bookmarkStart w:id="33" w:name="_Toc468157520"/>
      <w:bookmarkStart w:id="34" w:name="_Toc479991566"/>
      <w:bookmarkStart w:id="35" w:name="_Toc458262599"/>
      <w:bookmarkStart w:id="36" w:name="_Toc480020241"/>
      <w:bookmarkStart w:id="37" w:name="_Toc467236724"/>
      <w:bookmarkStart w:id="38" w:name="_Toc480021037"/>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pPr>
        <w:pStyle w:val="4"/>
        <w:keepNext w:val="0"/>
        <w:keepLines w:val="0"/>
        <w:numPr>
          <w:ilvl w:val="0"/>
          <w:numId w:val="3"/>
        </w:numPr>
        <w:adjustRightInd/>
        <w:spacing w:before="0" w:after="0" w:line="360" w:lineRule="auto"/>
        <w:rPr>
          <w:rFonts w:hAnsi="宋体"/>
          <w:color w:val="auto"/>
          <w:sz w:val="21"/>
          <w:szCs w:val="21"/>
          <w:highlight w:val="none"/>
        </w:rPr>
      </w:pPr>
      <w:bookmarkStart w:id="39" w:name="_Toc475249114"/>
      <w:bookmarkStart w:id="40" w:name="_Toc10228"/>
      <w:bookmarkStart w:id="41" w:name="_Toc17291"/>
      <w:r>
        <w:rPr>
          <w:rFonts w:hint="eastAsia" w:hAnsi="宋体"/>
          <w:color w:val="auto"/>
          <w:sz w:val="21"/>
          <w:szCs w:val="21"/>
          <w:highlight w:val="none"/>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pPr>
        <w:jc w:val="left"/>
        <w:rPr>
          <w:rFonts w:ascii="宋体" w:hAnsi="宋体" w:eastAsia="宋体" w:cs="宋体"/>
          <w:color w:val="auto"/>
          <w:sz w:val="21"/>
          <w:szCs w:val="21"/>
          <w:highlight w:val="none"/>
        </w:rPr>
      </w:pPr>
      <w:bookmarkStart w:id="42" w:name="_Toc475249115"/>
    </w:p>
    <w:p>
      <w:pPr>
        <w:pStyle w:val="4"/>
        <w:keepNext w:val="0"/>
        <w:keepLines w:val="0"/>
        <w:numPr>
          <w:ilvl w:val="0"/>
          <w:numId w:val="3"/>
        </w:numPr>
        <w:adjustRightInd/>
        <w:spacing w:before="0" w:after="0" w:line="360" w:lineRule="auto"/>
        <w:rPr>
          <w:rFonts w:hAnsi="宋体"/>
          <w:color w:val="auto"/>
          <w:sz w:val="21"/>
          <w:szCs w:val="21"/>
          <w:highlight w:val="none"/>
        </w:rPr>
      </w:pPr>
      <w:bookmarkStart w:id="43" w:name="_Toc8868"/>
      <w:bookmarkStart w:id="44" w:name="_Toc22176"/>
      <w:r>
        <w:rPr>
          <w:rFonts w:hint="eastAsia" w:hAnsi="宋体"/>
          <w:color w:val="auto"/>
          <w:sz w:val="21"/>
          <w:szCs w:val="21"/>
          <w:highlight w:val="none"/>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pPr>
        <w:rPr>
          <w:rFonts w:ascii="宋体" w:hAnsi="宋体" w:eastAsia="宋体" w:cs="宋体"/>
          <w:color w:val="auto"/>
          <w:sz w:val="21"/>
          <w:szCs w:val="21"/>
          <w:highlight w:val="none"/>
        </w:rPr>
      </w:pPr>
      <w:bookmarkStart w:id="45" w:name="_Toc110953831"/>
      <w:bookmarkStart w:id="46" w:name="_Toc102277757"/>
      <w:bookmarkStart w:id="47" w:name="_Toc507407360"/>
      <w:bookmarkStart w:id="48" w:name="_Toc466786435"/>
      <w:bookmarkStart w:id="49" w:name="_Toc6968688"/>
      <w:bookmarkStart w:id="50" w:name="_Toc6882676"/>
    </w:p>
    <w:p>
      <w:pPr>
        <w:pStyle w:val="4"/>
        <w:keepNext w:val="0"/>
        <w:keepLines w:val="0"/>
        <w:numPr>
          <w:ilvl w:val="0"/>
          <w:numId w:val="3"/>
        </w:numPr>
        <w:adjustRightInd/>
        <w:spacing w:before="0" w:after="0" w:line="360" w:lineRule="auto"/>
        <w:rPr>
          <w:rFonts w:hAnsi="宋体"/>
          <w:color w:val="auto"/>
          <w:sz w:val="21"/>
          <w:szCs w:val="21"/>
          <w:highlight w:val="none"/>
        </w:rPr>
      </w:pPr>
      <w:bookmarkStart w:id="51" w:name="_Toc31412"/>
      <w:bookmarkStart w:id="52" w:name="_Toc1083"/>
      <w:r>
        <w:rPr>
          <w:rFonts w:hint="eastAsia" w:hAnsi="宋体"/>
          <w:color w:val="auto"/>
          <w:sz w:val="21"/>
          <w:szCs w:val="21"/>
          <w:highlight w:val="none"/>
        </w:rPr>
        <w:t>适用法律</w:t>
      </w:r>
      <w:bookmarkEnd w:id="45"/>
      <w:bookmarkEnd w:id="51"/>
      <w:bookmarkEnd w:id="5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highlight w:val="none"/>
        </w:rPr>
      </w:pPr>
      <w:bookmarkStart w:id="53" w:name="_Toc110953832"/>
    </w:p>
    <w:p>
      <w:pPr>
        <w:pStyle w:val="4"/>
        <w:keepNext w:val="0"/>
        <w:keepLines w:val="0"/>
        <w:numPr>
          <w:ilvl w:val="0"/>
          <w:numId w:val="3"/>
        </w:numPr>
        <w:adjustRightInd/>
        <w:spacing w:before="0" w:after="0" w:line="360" w:lineRule="auto"/>
        <w:rPr>
          <w:rFonts w:hAnsi="宋体"/>
          <w:color w:val="auto"/>
          <w:sz w:val="21"/>
          <w:szCs w:val="21"/>
          <w:highlight w:val="none"/>
        </w:rPr>
      </w:pPr>
      <w:bookmarkStart w:id="54" w:name="_Toc15452"/>
      <w:bookmarkStart w:id="55" w:name="_Toc18833"/>
      <w:r>
        <w:rPr>
          <w:rFonts w:hint="eastAsia" w:hAnsi="宋体"/>
          <w:color w:val="auto"/>
          <w:sz w:val="21"/>
          <w:szCs w:val="21"/>
          <w:highlight w:val="none"/>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56" w:name="_Toc29484"/>
      <w:bookmarkStart w:id="57" w:name="_Toc5242"/>
      <w:bookmarkStart w:id="58" w:name="_Toc110953833"/>
      <w:r>
        <w:rPr>
          <w:rFonts w:hint="eastAsia" w:hAnsi="宋体"/>
          <w:color w:val="auto"/>
          <w:sz w:val="21"/>
          <w:szCs w:val="21"/>
          <w:highlight w:val="none"/>
        </w:rPr>
        <w:t>关于联合体报价</w:t>
      </w:r>
      <w:bookmarkEnd w:id="56"/>
      <w:bookmarkEnd w:id="5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highlight w:val="none"/>
        </w:rPr>
      </w:pPr>
    </w:p>
    <w:bookmarkEnd w:id="58"/>
    <w:p>
      <w:pPr>
        <w:pStyle w:val="4"/>
        <w:keepNext w:val="0"/>
        <w:keepLines w:val="0"/>
        <w:numPr>
          <w:ilvl w:val="0"/>
          <w:numId w:val="3"/>
        </w:numPr>
        <w:adjustRightInd/>
        <w:spacing w:before="0" w:after="0" w:line="360" w:lineRule="auto"/>
        <w:rPr>
          <w:rFonts w:hAnsi="宋体"/>
          <w:color w:val="auto"/>
          <w:sz w:val="21"/>
          <w:szCs w:val="21"/>
          <w:highlight w:val="none"/>
        </w:rPr>
      </w:pPr>
      <w:bookmarkStart w:id="59" w:name="_Toc2836"/>
      <w:bookmarkStart w:id="60" w:name="_Toc25157"/>
      <w:r>
        <w:rPr>
          <w:rFonts w:hint="eastAsia" w:hAnsi="宋体"/>
          <w:color w:val="auto"/>
          <w:sz w:val="21"/>
          <w:szCs w:val="21"/>
          <w:highlight w:val="none"/>
        </w:rPr>
        <w:t>关于分支机构报价</w:t>
      </w:r>
      <w:bookmarkEnd w:id="59"/>
      <w:bookmarkEnd w:id="60"/>
    </w:p>
    <w:p>
      <w:pPr>
        <w:numPr>
          <w:ilvl w:val="1"/>
          <w:numId w:val="3"/>
        </w:numPr>
        <w:spacing w:line="360" w:lineRule="auto"/>
        <w:rPr>
          <w:rFonts w:ascii="宋体" w:hAnsi="宋体" w:eastAsia="宋体" w:cs="宋体"/>
          <w:color w:val="auto"/>
          <w:sz w:val="21"/>
          <w:szCs w:val="21"/>
          <w:highlight w:val="none"/>
        </w:rPr>
      </w:pPr>
      <w:bookmarkStart w:id="61" w:name="_Toc98126295"/>
      <w:bookmarkStart w:id="62" w:name="_Toc98126220"/>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63" w:name="_Toc110953834"/>
      <w:bookmarkStart w:id="64" w:name="_Toc16198"/>
      <w:bookmarkStart w:id="65" w:name="_Toc18108"/>
      <w:r>
        <w:rPr>
          <w:rFonts w:hint="eastAsia" w:hAnsi="宋体"/>
          <w:color w:val="auto"/>
          <w:sz w:val="21"/>
          <w:szCs w:val="21"/>
          <w:highlight w:val="none"/>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highlight w:val="none"/>
        </w:rPr>
      </w:pPr>
      <w:bookmarkStart w:id="66" w:name="_Toc98126222"/>
      <w:bookmarkStart w:id="67" w:name="_Toc98126297"/>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68" w:name="_Toc25468"/>
      <w:bookmarkStart w:id="69" w:name="_Toc2358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pPr>
        <w:pStyle w:val="4"/>
        <w:keepNext w:val="0"/>
        <w:keepLines w:val="0"/>
        <w:numPr>
          <w:ilvl w:val="0"/>
          <w:numId w:val="3"/>
        </w:numPr>
        <w:adjustRightInd/>
        <w:spacing w:before="0" w:after="0" w:line="360" w:lineRule="auto"/>
        <w:rPr>
          <w:rFonts w:hAnsi="宋体"/>
          <w:color w:val="auto"/>
          <w:sz w:val="21"/>
          <w:szCs w:val="21"/>
          <w:highlight w:val="none"/>
        </w:rPr>
      </w:pPr>
      <w:bookmarkStart w:id="70" w:name="_Toc110953836"/>
      <w:bookmarkStart w:id="71" w:name="_Toc4511"/>
      <w:bookmarkStart w:id="72" w:name="_Toc21439"/>
      <w:bookmarkStart w:id="73" w:name="_Toc102277758"/>
      <w:bookmarkStart w:id="74" w:name="_Toc6882677"/>
      <w:bookmarkStart w:id="75" w:name="_Toc507407361"/>
      <w:bookmarkStart w:id="76" w:name="_Toc466786436"/>
      <w:bookmarkStart w:id="77" w:name="_Toc6968689"/>
      <w:r>
        <w:rPr>
          <w:rFonts w:hint="eastAsia" w:hAnsi="宋体"/>
          <w:color w:val="auto"/>
          <w:sz w:val="21"/>
          <w:szCs w:val="21"/>
          <w:highlight w:val="none"/>
        </w:rPr>
        <w:t>采购文件构成</w:t>
      </w:r>
      <w:bookmarkEnd w:id="70"/>
      <w:bookmarkEnd w:id="71"/>
      <w:bookmarkEnd w:id="7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pPr>
        <w:pStyle w:val="7"/>
        <w:rPr>
          <w:rFonts w:ascii="宋体" w:hAnsi="宋体" w:eastAsia="宋体" w:cs="宋体"/>
          <w:color w:val="auto"/>
          <w:sz w:val="21"/>
          <w:szCs w:val="21"/>
          <w:highlight w:val="none"/>
        </w:rPr>
      </w:pPr>
    </w:p>
    <w:bookmarkEnd w:id="73"/>
    <w:bookmarkEnd w:id="74"/>
    <w:bookmarkEnd w:id="75"/>
    <w:bookmarkEnd w:id="76"/>
    <w:bookmarkEnd w:id="77"/>
    <w:p>
      <w:pPr>
        <w:pStyle w:val="3"/>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25500"/>
      <w:bookmarkStart w:id="80" w:name="_Toc158"/>
      <w:bookmarkStart w:id="81" w:name="_Toc6968690"/>
      <w:bookmarkStart w:id="82" w:name="_Toc507407362"/>
      <w:bookmarkStart w:id="83" w:name="_Toc102277759"/>
      <w:bookmarkStart w:id="84" w:name="_Toc6882678"/>
      <w:bookmarkStart w:id="85" w:name="_Toc466786437"/>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pPr>
        <w:pStyle w:val="4"/>
        <w:keepNext w:val="0"/>
        <w:keepLines w:val="0"/>
        <w:numPr>
          <w:ilvl w:val="0"/>
          <w:numId w:val="3"/>
        </w:numPr>
        <w:adjustRightInd/>
        <w:spacing w:before="0" w:after="0" w:line="360" w:lineRule="auto"/>
        <w:rPr>
          <w:rFonts w:hAnsi="宋体"/>
          <w:color w:val="auto"/>
          <w:sz w:val="21"/>
          <w:szCs w:val="21"/>
          <w:highlight w:val="none"/>
        </w:rPr>
      </w:pPr>
      <w:bookmarkStart w:id="86" w:name="_Toc19833"/>
      <w:bookmarkStart w:id="87" w:name="_Toc4681"/>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pPr>
        <w:bidi w:val="0"/>
        <w:rPr>
          <w:color w:val="auto"/>
          <w:highlight w:val="none"/>
        </w:rPr>
      </w:pPr>
    </w:p>
    <w:bookmarkEnd w:id="88"/>
    <w:p>
      <w:pPr>
        <w:pStyle w:val="4"/>
        <w:keepNext w:val="0"/>
        <w:keepLines w:val="0"/>
        <w:numPr>
          <w:ilvl w:val="0"/>
          <w:numId w:val="3"/>
        </w:numPr>
        <w:adjustRightInd/>
        <w:spacing w:before="0" w:after="0" w:line="360" w:lineRule="auto"/>
        <w:rPr>
          <w:rFonts w:hAnsi="宋体"/>
          <w:color w:val="auto"/>
          <w:sz w:val="21"/>
          <w:szCs w:val="21"/>
          <w:highlight w:val="none"/>
        </w:rPr>
      </w:pPr>
      <w:bookmarkStart w:id="89" w:name="_Toc18228"/>
      <w:bookmarkStart w:id="90" w:name="_Toc25730"/>
      <w:r>
        <w:rPr>
          <w:rFonts w:hint="eastAsia" w:hAnsi="宋体"/>
          <w:color w:val="auto"/>
          <w:sz w:val="21"/>
          <w:szCs w:val="21"/>
          <w:highlight w:val="none"/>
        </w:rPr>
        <w:t>响应文件编制</w:t>
      </w:r>
      <w:bookmarkEnd w:id="89"/>
      <w:bookmarkEnd w:id="90"/>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pPr>
        <w:spacing w:line="360" w:lineRule="auto"/>
        <w:rPr>
          <w:rFonts w:ascii="宋体" w:hAnsi="宋体" w:eastAsia="宋体"/>
          <w:bCs/>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1" w:name="_Toc26897"/>
      <w:bookmarkStart w:id="92" w:name="_Toc110953840"/>
      <w:bookmarkStart w:id="93" w:name="_Toc11910"/>
      <w:r>
        <w:rPr>
          <w:rFonts w:hint="eastAsia" w:hAnsi="宋体"/>
          <w:color w:val="auto"/>
          <w:sz w:val="21"/>
          <w:szCs w:val="21"/>
          <w:highlight w:val="none"/>
        </w:rPr>
        <w:t>响应文件的内容</w:t>
      </w:r>
      <w:bookmarkEnd w:id="91"/>
      <w:bookmarkEnd w:id="92"/>
      <w:bookmarkEnd w:id="9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pPr>
        <w:spacing w:line="360" w:lineRule="auto"/>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4" w:name="_Toc15387"/>
      <w:bookmarkStart w:id="95" w:name="_Toc1662"/>
      <w:bookmarkStart w:id="96" w:name="_Toc110953841"/>
      <w:r>
        <w:rPr>
          <w:rFonts w:hint="eastAsia" w:hAnsi="宋体"/>
          <w:color w:val="auto"/>
          <w:sz w:val="21"/>
          <w:szCs w:val="21"/>
          <w:highlight w:val="none"/>
        </w:rPr>
        <w:t>响应文件格式</w:t>
      </w:r>
      <w:bookmarkEnd w:id="94"/>
      <w:bookmarkEnd w:id="95"/>
      <w:bookmarkEnd w:id="96"/>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7" w:name="_Toc1898"/>
      <w:bookmarkStart w:id="98" w:name="_Toc21656"/>
      <w:r>
        <w:rPr>
          <w:rFonts w:hint="eastAsia" w:hAnsi="宋体"/>
          <w:color w:val="auto"/>
          <w:sz w:val="21"/>
          <w:szCs w:val="21"/>
          <w:highlight w:val="none"/>
        </w:rPr>
        <w:t>磋商保证金</w:t>
      </w:r>
      <w:bookmarkEnd w:id="97"/>
      <w:bookmarkEnd w:id="98"/>
      <w:r>
        <w:rPr>
          <w:rFonts w:hint="eastAsia" w:hAnsi="宋体"/>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hAnsi="宋体"/>
          <w:color w:val="auto"/>
          <w:sz w:val="21"/>
          <w:szCs w:val="21"/>
          <w:highlight w:val="none"/>
        </w:rPr>
        <w:t>磋商保证金</w:t>
      </w:r>
      <w:r>
        <w:rPr>
          <w:rFonts w:hint="eastAsia" w:hAnsi="宋体"/>
          <w:color w:val="auto"/>
          <w:sz w:val="21"/>
          <w:szCs w:val="21"/>
          <w:highlight w:val="none"/>
          <w:lang w:eastAsia="zh-CN"/>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pPr>
        <w:spacing w:line="480" w:lineRule="exact"/>
        <w:ind w:firstLine="480" w:firstLineChars="200"/>
        <w:rPr>
          <w:rFonts w:ascii="宋体" w:hAnsi="宋体" w:eastAsia="宋体"/>
          <w:color w:val="auto"/>
          <w:sz w:val="24"/>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9" w:name="_Toc480010709"/>
      <w:bookmarkStart w:id="100" w:name="_Toc468157537"/>
      <w:bookmarkStart w:id="101" w:name="_Toc480171880"/>
      <w:bookmarkStart w:id="102" w:name="_Toc458262615"/>
      <w:bookmarkStart w:id="103" w:name="_Toc10456"/>
      <w:bookmarkStart w:id="104" w:name="_Toc503758471"/>
      <w:bookmarkStart w:id="105" w:name="_Toc467236741"/>
      <w:bookmarkStart w:id="106" w:name="_Toc479991583"/>
      <w:bookmarkStart w:id="107" w:name="_Toc110953842"/>
      <w:bookmarkStart w:id="108" w:name="_Toc454701382"/>
      <w:bookmarkStart w:id="109" w:name="_Toc480021054"/>
      <w:bookmarkStart w:id="110" w:name="_Toc25734"/>
      <w:bookmarkStart w:id="111" w:name="_Toc480020258"/>
      <w:bookmarkStart w:id="112" w:name="_Toc468606030"/>
      <w:bookmarkStart w:id="113" w:name="_Toc467987824"/>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7"/>
        <w:rPr>
          <w:rFonts w:ascii="宋体" w:hAnsi="宋体" w:eastAsia="宋体" w:cs="宋体"/>
          <w:color w:val="auto"/>
          <w:sz w:val="21"/>
          <w:szCs w:val="21"/>
          <w:highlight w:val="none"/>
        </w:rPr>
      </w:pPr>
    </w:p>
    <w:bookmarkEnd w:id="81"/>
    <w:bookmarkEnd w:id="82"/>
    <w:bookmarkEnd w:id="83"/>
    <w:bookmarkEnd w:id="84"/>
    <w:bookmarkEnd w:id="85"/>
    <w:p>
      <w:pPr>
        <w:pStyle w:val="3"/>
        <w:keepNext w:val="0"/>
        <w:keepLines w:val="0"/>
        <w:spacing w:before="0" w:after="0" w:line="360" w:lineRule="auto"/>
        <w:jc w:val="center"/>
        <w:rPr>
          <w:rFonts w:ascii="宋体" w:hAnsi="宋体" w:eastAsia="宋体"/>
          <w:color w:val="auto"/>
          <w:sz w:val="24"/>
          <w:szCs w:val="21"/>
          <w:highlight w:val="none"/>
        </w:rPr>
      </w:pPr>
      <w:bookmarkStart w:id="114" w:name="_Toc7006"/>
      <w:bookmarkStart w:id="115" w:name="_Toc110953843"/>
      <w:bookmarkStart w:id="116" w:name="_Toc32392"/>
      <w:bookmarkStart w:id="117" w:name="_Toc6882679"/>
      <w:bookmarkStart w:id="118" w:name="_Toc6968691"/>
      <w:bookmarkStart w:id="119" w:name="_Toc507407363"/>
      <w:bookmarkStart w:id="120" w:name="_Toc466786438"/>
      <w:bookmarkStart w:id="121" w:name="_Toc102277760"/>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pPr>
        <w:pStyle w:val="4"/>
        <w:keepNext w:val="0"/>
        <w:keepLines w:val="0"/>
        <w:numPr>
          <w:ilvl w:val="0"/>
          <w:numId w:val="3"/>
        </w:numPr>
        <w:adjustRightInd/>
        <w:spacing w:before="0" w:after="0" w:line="360" w:lineRule="auto"/>
        <w:rPr>
          <w:rFonts w:hAnsi="宋体"/>
          <w:color w:val="auto"/>
          <w:sz w:val="21"/>
          <w:szCs w:val="21"/>
          <w:highlight w:val="none"/>
        </w:rPr>
      </w:pPr>
      <w:bookmarkStart w:id="122" w:name="_Toc4400"/>
      <w:bookmarkStart w:id="123" w:name="_Toc13611"/>
      <w:bookmarkStart w:id="124" w:name="_Toc110953844"/>
      <w:r>
        <w:rPr>
          <w:rFonts w:hint="eastAsia" w:hAnsi="宋体"/>
          <w:color w:val="auto"/>
          <w:sz w:val="21"/>
          <w:szCs w:val="21"/>
          <w:highlight w:val="none"/>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25" w:name="_Toc6425"/>
      <w:bookmarkStart w:id="126" w:name="_Toc5658"/>
      <w:bookmarkStart w:id="127" w:name="_Toc110953845"/>
      <w:r>
        <w:rPr>
          <w:rFonts w:hint="eastAsia" w:hAnsi="宋体"/>
          <w:color w:val="auto"/>
          <w:sz w:val="21"/>
          <w:szCs w:val="21"/>
          <w:highlight w:val="none"/>
        </w:rPr>
        <w:t>响应文件的递交</w:t>
      </w:r>
      <w:bookmarkEnd w:id="125"/>
      <w:bookmarkEnd w:id="126"/>
      <w:bookmarkEnd w:id="12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pPr>
        <w:bidi w:val="0"/>
        <w:rPr>
          <w:color w:val="auto"/>
          <w:highlight w:val="none"/>
        </w:rPr>
      </w:pPr>
    </w:p>
    <w:p>
      <w:pPr>
        <w:pStyle w:val="4"/>
        <w:keepNext w:val="0"/>
        <w:keepLines w:val="0"/>
        <w:numPr>
          <w:ilvl w:val="0"/>
          <w:numId w:val="3"/>
        </w:numPr>
        <w:adjustRightInd/>
        <w:spacing w:before="0" w:after="0" w:line="360" w:lineRule="auto"/>
        <w:rPr>
          <w:rFonts w:hAnsi="宋体" w:cs="宋体"/>
          <w:color w:val="auto"/>
          <w:sz w:val="21"/>
          <w:szCs w:val="21"/>
          <w:highlight w:val="none"/>
        </w:rPr>
      </w:pPr>
      <w:bookmarkStart w:id="128" w:name="_Toc8440"/>
      <w:bookmarkStart w:id="129" w:name="_Toc23533"/>
      <w:r>
        <w:rPr>
          <w:rFonts w:hint="eastAsia" w:hAnsi="宋体"/>
          <w:color w:val="auto"/>
          <w:sz w:val="21"/>
          <w:szCs w:val="21"/>
          <w:highlight w:val="none"/>
        </w:rPr>
        <w:t>样品（如需提交）</w:t>
      </w:r>
      <w:bookmarkEnd w:id="128"/>
      <w:bookmarkEnd w:id="12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30" w:name="_Toc30009"/>
      <w:bookmarkStart w:id="131" w:name="_Toc3401"/>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4"/>
        <w:keepNext w:val="0"/>
        <w:keepLines w:val="0"/>
        <w:numPr>
          <w:ilvl w:val="0"/>
          <w:numId w:val="3"/>
        </w:numPr>
        <w:adjustRightInd/>
        <w:spacing w:before="0" w:after="0" w:line="360" w:lineRule="auto"/>
        <w:rPr>
          <w:rFonts w:hAnsi="宋体"/>
          <w:color w:val="auto"/>
          <w:sz w:val="21"/>
          <w:szCs w:val="21"/>
          <w:highlight w:val="none"/>
        </w:rPr>
      </w:pPr>
      <w:bookmarkStart w:id="132" w:name="_Toc28590"/>
      <w:bookmarkStart w:id="133" w:name="_Toc8137"/>
      <w:r>
        <w:rPr>
          <w:rFonts w:hint="eastAsia" w:hAnsi="宋体"/>
          <w:color w:val="auto"/>
          <w:sz w:val="21"/>
          <w:szCs w:val="21"/>
          <w:highlight w:val="none"/>
        </w:rPr>
        <w:t>签到及评审方法</w:t>
      </w:r>
      <w:bookmarkEnd w:id="132"/>
      <w:bookmarkEnd w:id="133"/>
    </w:p>
    <w:p>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6" w:name="_Toc10800"/>
      <w:bookmarkStart w:id="137" w:name="_Toc10080"/>
      <w:r>
        <w:rPr>
          <w:rFonts w:hint="eastAsia" w:hAnsi="宋体"/>
          <w:color w:val="auto"/>
          <w:sz w:val="21"/>
          <w:szCs w:val="21"/>
          <w:highlight w:val="none"/>
        </w:rPr>
        <w:t>磋商小组</w:t>
      </w:r>
      <w:bookmarkEnd w:id="134"/>
      <w:bookmarkEnd w:id="136"/>
      <w:bookmarkEnd w:id="13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8" w:name="_Toc17157"/>
      <w:bookmarkStart w:id="139" w:name="_Toc535141844"/>
      <w:bookmarkStart w:id="140" w:name="_Toc17978"/>
      <w:bookmarkStart w:id="141" w:name="_Toc37121259"/>
      <w:r>
        <w:rPr>
          <w:rFonts w:hint="eastAsia" w:hAnsi="宋体"/>
          <w:color w:val="auto"/>
          <w:sz w:val="21"/>
          <w:szCs w:val="21"/>
          <w:highlight w:val="none"/>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4" w:name="_Toc5492"/>
      <w:bookmarkStart w:id="145" w:name="_Toc30797"/>
      <w:r>
        <w:rPr>
          <w:rFonts w:hint="eastAsia" w:hAnsi="宋体"/>
          <w:color w:val="auto"/>
          <w:sz w:val="21"/>
          <w:szCs w:val="21"/>
          <w:highlight w:val="none"/>
        </w:rPr>
        <w:t>最终报价</w:t>
      </w:r>
      <w:bookmarkEnd w:id="144"/>
      <w:bookmarkEnd w:id="14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pPr>
        <w:bidi w:val="0"/>
        <w:rPr>
          <w:color w:val="auto"/>
          <w:highlight w:val="none"/>
        </w:rPr>
      </w:pPr>
    </w:p>
    <w:bookmarkEnd w:id="135"/>
    <w:p>
      <w:pPr>
        <w:pStyle w:val="4"/>
        <w:keepNext w:val="0"/>
        <w:keepLines w:val="0"/>
        <w:numPr>
          <w:ilvl w:val="0"/>
          <w:numId w:val="3"/>
        </w:numPr>
        <w:adjustRightInd/>
        <w:spacing w:before="0" w:after="0" w:line="360" w:lineRule="auto"/>
        <w:rPr>
          <w:rFonts w:hAnsi="宋体"/>
          <w:color w:val="auto"/>
          <w:sz w:val="21"/>
          <w:szCs w:val="21"/>
          <w:highlight w:val="none"/>
        </w:rPr>
      </w:pPr>
      <w:bookmarkStart w:id="146" w:name="_Toc2794"/>
      <w:bookmarkStart w:id="147" w:name="_Toc19157"/>
      <w:r>
        <w:rPr>
          <w:rFonts w:hint="eastAsia" w:hAnsi="宋体"/>
          <w:color w:val="auto"/>
          <w:sz w:val="21"/>
          <w:szCs w:val="21"/>
          <w:highlight w:val="none"/>
        </w:rPr>
        <w:t>综合评分</w:t>
      </w:r>
      <w:bookmarkEnd w:id="146"/>
      <w:bookmarkEnd w:id="14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8" w:name="_Toc30725"/>
      <w:bookmarkStart w:id="149" w:name="_Toc23560"/>
      <w:r>
        <w:rPr>
          <w:rFonts w:hint="eastAsia" w:hAnsi="宋体"/>
          <w:color w:val="auto"/>
          <w:sz w:val="21"/>
          <w:szCs w:val="21"/>
          <w:highlight w:val="none"/>
        </w:rPr>
        <w:t>优惠政策</w:t>
      </w:r>
      <w:bookmarkEnd w:id="148"/>
      <w:bookmarkEnd w:id="14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供应商同时为小型、微型企业、监狱企业、残疾人福利性单位任两种或以上情况的，评审中只享受一次价格扣除，不重复进行价格扣除。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50" w:name="_Toc1066"/>
      <w:bookmarkStart w:id="151" w:name="_Toc2188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0"/>
      <w:bookmarkEnd w:id="151"/>
    </w:p>
    <w:p>
      <w:pPr>
        <w:pStyle w:val="4"/>
        <w:keepNext w:val="0"/>
        <w:keepLines w:val="0"/>
        <w:numPr>
          <w:ilvl w:val="0"/>
          <w:numId w:val="3"/>
        </w:numPr>
        <w:adjustRightInd/>
        <w:spacing w:before="0" w:after="0" w:line="360" w:lineRule="auto"/>
        <w:rPr>
          <w:rFonts w:hAnsi="宋体"/>
          <w:color w:val="auto"/>
          <w:sz w:val="21"/>
          <w:szCs w:val="21"/>
          <w:highlight w:val="none"/>
        </w:rPr>
      </w:pPr>
      <w:bookmarkStart w:id="152" w:name="_Toc19359"/>
      <w:bookmarkStart w:id="153" w:name="_Toc29068"/>
      <w:r>
        <w:rPr>
          <w:rFonts w:hint="eastAsia" w:hAnsi="宋体"/>
          <w:color w:val="auto"/>
          <w:sz w:val="21"/>
          <w:szCs w:val="21"/>
          <w:highlight w:val="none"/>
        </w:rPr>
        <w:t>确定成交</w:t>
      </w:r>
      <w:bookmarkEnd w:id="152"/>
      <w:bookmarkEnd w:id="15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4" w:name="_Toc17569"/>
      <w:bookmarkStart w:id="155" w:name="_Toc3941"/>
      <w:r>
        <w:rPr>
          <w:rFonts w:hint="eastAsia" w:hAnsi="宋体"/>
          <w:color w:val="auto"/>
          <w:sz w:val="21"/>
          <w:szCs w:val="21"/>
          <w:highlight w:val="none"/>
        </w:rPr>
        <w:t>发布采购结果</w:t>
      </w:r>
      <w:bookmarkEnd w:id="154"/>
      <w:bookmarkEnd w:id="15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pPr>
        <w:pStyle w:val="7"/>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6" w:name="_Toc32414"/>
      <w:bookmarkStart w:id="157" w:name="_Toc29067"/>
      <w:r>
        <w:rPr>
          <w:rFonts w:hint="eastAsia" w:hAnsi="宋体"/>
          <w:color w:val="auto"/>
          <w:sz w:val="21"/>
          <w:szCs w:val="21"/>
          <w:highlight w:val="none"/>
        </w:rPr>
        <w:t>原件核查</w:t>
      </w:r>
      <w:bookmarkEnd w:id="156"/>
      <w:bookmarkEnd w:id="15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58" w:name="_Toc110953852"/>
      <w:bookmarkStart w:id="159" w:name="_Toc3829"/>
      <w:bookmarkStart w:id="160" w:name="_Toc37756778"/>
      <w:bookmarkStart w:id="161" w:name="_Toc31756"/>
      <w:bookmarkStart w:id="162"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8"/>
      <w:bookmarkEnd w:id="159"/>
      <w:bookmarkEnd w:id="160"/>
      <w:bookmarkEnd w:id="161"/>
    </w:p>
    <w:p>
      <w:pPr>
        <w:pStyle w:val="4"/>
        <w:keepNext w:val="0"/>
        <w:keepLines w:val="0"/>
        <w:numPr>
          <w:ilvl w:val="0"/>
          <w:numId w:val="3"/>
        </w:numPr>
        <w:adjustRightInd/>
        <w:spacing w:before="0" w:after="0" w:line="360" w:lineRule="auto"/>
        <w:rPr>
          <w:rFonts w:hAnsi="宋体"/>
          <w:color w:val="auto"/>
          <w:sz w:val="21"/>
          <w:szCs w:val="21"/>
          <w:highlight w:val="none"/>
        </w:rPr>
      </w:pPr>
      <w:bookmarkStart w:id="163" w:name="_Toc18000"/>
      <w:bookmarkStart w:id="164" w:name="_Toc29253"/>
      <w:r>
        <w:rPr>
          <w:rFonts w:hint="eastAsia" w:hAnsi="宋体"/>
          <w:color w:val="auto"/>
          <w:sz w:val="21"/>
          <w:szCs w:val="21"/>
          <w:highlight w:val="none"/>
        </w:rPr>
        <w:t>签订合同</w:t>
      </w:r>
      <w:bookmarkEnd w:id="163"/>
      <w:bookmarkEnd w:id="16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65" w:name="_Toc8165"/>
      <w:bookmarkStart w:id="166" w:name="_Toc12802"/>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5"/>
      <w:bookmarkEnd w:id="166"/>
    </w:p>
    <w:p>
      <w:pPr>
        <w:pStyle w:val="4"/>
        <w:keepNext w:val="0"/>
        <w:keepLines w:val="0"/>
        <w:numPr>
          <w:ilvl w:val="0"/>
          <w:numId w:val="3"/>
        </w:numPr>
        <w:adjustRightInd/>
        <w:spacing w:before="0" w:after="0" w:line="360" w:lineRule="auto"/>
        <w:rPr>
          <w:rFonts w:hAnsi="宋体"/>
          <w:color w:val="auto"/>
          <w:sz w:val="21"/>
          <w:szCs w:val="21"/>
          <w:highlight w:val="none"/>
        </w:rPr>
      </w:pPr>
      <w:bookmarkStart w:id="167" w:name="_Toc452"/>
      <w:bookmarkStart w:id="168" w:name="_Toc18663"/>
      <w:r>
        <w:rPr>
          <w:rFonts w:hint="eastAsia" w:hAnsi="宋体"/>
          <w:color w:val="auto"/>
          <w:sz w:val="21"/>
          <w:szCs w:val="21"/>
          <w:highlight w:val="none"/>
        </w:rPr>
        <w:t>询问</w:t>
      </w:r>
      <w:bookmarkEnd w:id="167"/>
      <w:bookmarkEnd w:id="16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69" w:name="_Toc17155"/>
      <w:bookmarkStart w:id="170" w:name="_Toc20114"/>
      <w:r>
        <w:rPr>
          <w:rFonts w:hint="eastAsia" w:hAnsi="宋体"/>
          <w:color w:val="auto"/>
          <w:sz w:val="21"/>
          <w:szCs w:val="21"/>
          <w:highlight w:val="none"/>
        </w:rPr>
        <w:t>质疑</w:t>
      </w:r>
      <w:bookmarkEnd w:id="169"/>
      <w:bookmarkEnd w:id="17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pPr>
        <w:bidi w:val="0"/>
        <w:rPr>
          <w:color w:val="auto"/>
          <w:highlight w:val="none"/>
        </w:rPr>
      </w:pPr>
    </w:p>
    <w:bookmarkEnd w:id="162"/>
    <w:p>
      <w:pPr>
        <w:pStyle w:val="3"/>
        <w:keepNext w:val="0"/>
        <w:keepLines w:val="0"/>
        <w:spacing w:before="0" w:after="0" w:line="360" w:lineRule="auto"/>
        <w:jc w:val="center"/>
        <w:rPr>
          <w:rFonts w:ascii="宋体" w:hAnsi="宋体" w:eastAsia="宋体"/>
          <w:color w:val="auto"/>
          <w:sz w:val="24"/>
          <w:szCs w:val="21"/>
          <w:highlight w:val="none"/>
        </w:rPr>
      </w:pPr>
      <w:bookmarkStart w:id="171" w:name="_Toc5551"/>
      <w:bookmarkStart w:id="172" w:name="_Toc5474"/>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1"/>
      <w:bookmarkEnd w:id="172"/>
    </w:p>
    <w:p>
      <w:pPr>
        <w:pStyle w:val="4"/>
        <w:keepNext w:val="0"/>
        <w:keepLines w:val="0"/>
        <w:numPr>
          <w:ilvl w:val="0"/>
          <w:numId w:val="3"/>
        </w:numPr>
        <w:adjustRightInd/>
        <w:spacing w:before="0" w:after="0" w:line="360" w:lineRule="auto"/>
        <w:rPr>
          <w:rFonts w:hAnsi="宋体"/>
          <w:color w:val="auto"/>
          <w:sz w:val="21"/>
          <w:szCs w:val="21"/>
          <w:highlight w:val="none"/>
        </w:rPr>
      </w:pPr>
      <w:bookmarkStart w:id="173" w:name="_Toc9437"/>
      <w:bookmarkStart w:id="174" w:name="_Toc26991"/>
      <w:r>
        <w:rPr>
          <w:rFonts w:hint="eastAsia" w:hAnsi="宋体"/>
          <w:color w:val="auto"/>
          <w:sz w:val="21"/>
          <w:szCs w:val="21"/>
          <w:highlight w:val="none"/>
        </w:rPr>
        <w:t>成交服务费</w:t>
      </w:r>
      <w:bookmarkEnd w:id="173"/>
      <w:bookmarkEnd w:id="17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5" w:name="_Ref179619574"/>
      <w:r>
        <w:rPr>
          <w:rFonts w:hint="eastAsia" w:ascii="宋体" w:hAnsi="宋体" w:eastAsia="宋体"/>
          <w:color w:val="auto"/>
          <w:sz w:val="21"/>
          <w:szCs w:val="21"/>
          <w:highlight w:val="none"/>
        </w:rPr>
        <w:t>成交人应按照磋商文件中的规定交纳成交服务费。</w:t>
      </w:r>
      <w:bookmarkEnd w:id="175"/>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3"/>
        <w:keepNext w:val="0"/>
        <w:keepLines w:val="0"/>
        <w:spacing w:before="0" w:after="0" w:line="360" w:lineRule="auto"/>
        <w:jc w:val="center"/>
        <w:rPr>
          <w:rFonts w:ascii="宋体" w:hAnsi="宋体" w:eastAsia="宋体"/>
          <w:color w:val="auto"/>
          <w:sz w:val="24"/>
          <w:szCs w:val="21"/>
          <w:highlight w:val="none"/>
        </w:rPr>
      </w:pPr>
      <w:bookmarkStart w:id="176" w:name="_Toc18389"/>
      <w:bookmarkStart w:id="177" w:name="_Toc7834"/>
      <w:bookmarkStart w:id="178" w:name="_Toc56353011"/>
      <w:bookmarkStart w:id="179" w:name="_Toc52021538"/>
      <w:bookmarkStart w:id="180" w:name="_Toc457975339"/>
      <w:bookmarkStart w:id="181" w:name="_Toc476976198"/>
      <w:bookmarkStart w:id="182" w:name="_Toc51939456"/>
      <w:bookmarkStart w:id="183" w:name="_Toc467236766"/>
      <w:bookmarkStart w:id="184" w:name="_Toc51756491"/>
      <w:bookmarkStart w:id="185" w:name="_Toc52027926"/>
      <w:bookmarkStart w:id="186" w:name="_Toc467050236"/>
      <w:bookmarkStart w:id="187" w:name="_Toc486671570"/>
      <w:bookmarkStart w:id="188" w:name="_Toc467049706"/>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6"/>
      <w:bookmarkEnd w:id="177"/>
    </w:p>
    <w:p>
      <w:pPr>
        <w:pStyle w:val="4"/>
        <w:keepNext w:val="0"/>
        <w:keepLines w:val="0"/>
        <w:numPr>
          <w:ilvl w:val="0"/>
          <w:numId w:val="3"/>
        </w:numPr>
        <w:adjustRightInd/>
        <w:spacing w:before="0" w:after="0" w:line="360" w:lineRule="auto"/>
        <w:rPr>
          <w:rFonts w:hAnsi="宋体"/>
          <w:color w:val="auto"/>
          <w:sz w:val="21"/>
          <w:szCs w:val="21"/>
          <w:highlight w:val="none"/>
        </w:rPr>
      </w:pPr>
      <w:bookmarkStart w:id="189" w:name="_Toc10953"/>
      <w:bookmarkStart w:id="190" w:name="_Toc31522"/>
      <w:r>
        <w:rPr>
          <w:rFonts w:hint="eastAsia" w:hAnsi="宋体"/>
          <w:color w:val="auto"/>
          <w:sz w:val="21"/>
          <w:szCs w:val="21"/>
          <w:highlight w:val="none"/>
        </w:rPr>
        <w:t>磋商文件的解释权</w:t>
      </w:r>
      <w:bookmarkEnd w:id="189"/>
      <w:bookmarkEnd w:id="19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pPr>
        <w:bidi w:val="0"/>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3"/>
        <w:spacing w:before="0" w:after="0" w:line="240" w:lineRule="auto"/>
        <w:rPr>
          <w:rFonts w:hint="eastAsia"/>
          <w:color w:val="auto"/>
          <w:sz w:val="28"/>
          <w:szCs w:val="28"/>
          <w:highlight w:val="none"/>
        </w:rPr>
      </w:pPr>
      <w:bookmarkStart w:id="191" w:name="_Toc3162"/>
      <w:bookmarkStart w:id="192" w:name="_Toc7011"/>
      <w:bookmarkStart w:id="193" w:name="_Toc31854"/>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1"/>
      <w:bookmarkEnd w:id="192"/>
      <w:bookmarkEnd w:id="193"/>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4" w:name="_Toc31162"/>
      <w:r>
        <w:rPr>
          <w:rFonts w:hint="eastAsia" w:ascii="宋体" w:hAnsi="宋体"/>
          <w:color w:val="auto"/>
          <w:highlight w:val="none"/>
          <w:lang w:val="en-US" w:eastAsia="zh-CN"/>
        </w:rPr>
        <w:t>第一章 商务需求书</w:t>
      </w:r>
      <w:bookmarkEnd w:id="194"/>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1"/>
        <w:gridCol w:w="1468"/>
        <w:gridCol w:w="64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序号</w:t>
            </w:r>
          </w:p>
        </w:tc>
        <w:tc>
          <w:tcPr>
            <w:tcW w:w="1468"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条款名称</w:t>
            </w:r>
          </w:p>
        </w:tc>
        <w:tc>
          <w:tcPr>
            <w:tcW w:w="6413"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1</w:t>
            </w:r>
          </w:p>
        </w:tc>
        <w:tc>
          <w:tcPr>
            <w:tcW w:w="1468"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供应商资格要求</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详见磋商文件第</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rPr>
              <w:t>部分“供应商资格要求”。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2</w:t>
            </w:r>
          </w:p>
        </w:tc>
        <w:tc>
          <w:tcPr>
            <w:tcW w:w="1468"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完工期</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自合同签订后</w:t>
            </w:r>
            <w:r>
              <w:rPr>
                <w:rFonts w:hint="eastAsia" w:ascii="宋体" w:hAnsi="宋体" w:cs="宋体"/>
                <w:color w:val="auto"/>
                <w:szCs w:val="24"/>
                <w:highlight w:val="none"/>
                <w:lang w:val="en-US" w:eastAsia="zh-CN"/>
              </w:rPr>
              <w:t>40</w:t>
            </w:r>
            <w:r>
              <w:rPr>
                <w:rFonts w:hint="eastAsia" w:ascii="宋体" w:hAnsi="宋体" w:cs="宋体"/>
                <w:color w:val="auto"/>
                <w:szCs w:val="24"/>
                <w:highlight w:val="none"/>
              </w:rPr>
              <w:t>个日历天内完成。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3</w:t>
            </w:r>
          </w:p>
        </w:tc>
        <w:tc>
          <w:tcPr>
            <w:tcW w:w="1468"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质保期</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项目总体质保期为项目竣工验收合格之日起一年。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4</w:t>
            </w:r>
          </w:p>
        </w:tc>
        <w:tc>
          <w:tcPr>
            <w:tcW w:w="1468"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项目地点</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5</w:t>
            </w:r>
          </w:p>
        </w:tc>
        <w:tc>
          <w:tcPr>
            <w:tcW w:w="1468"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报价内容</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报价</w:t>
            </w:r>
            <w:r>
              <w:rPr>
                <w:rFonts w:hint="eastAsia" w:ascii="宋体" w:hAnsi="宋体" w:cs="宋体"/>
                <w:color w:val="auto"/>
                <w:szCs w:val="24"/>
                <w:highlight w:val="none"/>
                <w:lang w:val="en-US" w:eastAsia="zh-CN"/>
              </w:rPr>
              <w:t>包含</w:t>
            </w:r>
            <w:r>
              <w:rPr>
                <w:rFonts w:hint="eastAsia" w:ascii="宋体" w:hAnsi="宋体" w:cs="宋体"/>
                <w:color w:val="auto"/>
                <w:szCs w:val="24"/>
                <w:highlight w:val="none"/>
              </w:rPr>
              <w:t>材料费、人工费、机械设备费、运输费、装卸费、淤泥处置费、场地临时堆放费、验收费、机械进场引发破损的路面、围墙修复以及园林绿化恢复等费用、各种税务费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1"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6</w:t>
            </w:r>
          </w:p>
        </w:tc>
        <w:tc>
          <w:tcPr>
            <w:tcW w:w="1468"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付款方式</w:t>
            </w:r>
          </w:p>
        </w:tc>
        <w:tc>
          <w:tcPr>
            <w:tcW w:w="6413" w:type="dxa"/>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lang w:val="en-US" w:eastAsia="zh-CN"/>
              </w:rPr>
              <w:t>项目</w:t>
            </w:r>
            <w:r>
              <w:rPr>
                <w:rFonts w:hint="eastAsia" w:ascii="宋体" w:hAnsi="宋体" w:cs="宋体"/>
                <w:color w:val="auto"/>
                <w:szCs w:val="24"/>
                <w:highlight w:val="none"/>
              </w:rPr>
              <w:t>竣工验收合格，并结算完毕后，提交请款报告30个工作日内</w:t>
            </w:r>
            <w:r>
              <w:rPr>
                <w:rFonts w:hint="eastAsia" w:ascii="宋体" w:hAnsi="宋体" w:cs="宋体"/>
                <w:color w:val="auto"/>
                <w:szCs w:val="24"/>
                <w:highlight w:val="none"/>
                <w:lang w:val="en-US" w:eastAsia="zh-CN"/>
              </w:rPr>
              <w:t>支</w:t>
            </w:r>
            <w:r>
              <w:rPr>
                <w:rFonts w:hint="eastAsia" w:ascii="宋体" w:hAnsi="宋体" w:cs="宋体"/>
                <w:color w:val="auto"/>
                <w:szCs w:val="24"/>
                <w:highlight w:val="none"/>
              </w:rPr>
              <w:t>付至结算价的</w:t>
            </w:r>
            <w:r>
              <w:rPr>
                <w:rFonts w:hint="eastAsia" w:ascii="宋体" w:hAnsi="宋体" w:cs="宋体"/>
                <w:color w:val="auto"/>
                <w:szCs w:val="24"/>
                <w:highlight w:val="none"/>
                <w:lang w:val="en-US" w:eastAsia="zh-CN"/>
              </w:rPr>
              <w:t>100</w:t>
            </w:r>
            <w:r>
              <w:rPr>
                <w:rFonts w:hint="eastAsia" w:ascii="宋体" w:hAnsi="宋体" w:cs="宋体"/>
                <w:color w:val="auto"/>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1"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7</w:t>
            </w:r>
          </w:p>
        </w:tc>
        <w:tc>
          <w:tcPr>
            <w:tcW w:w="1468"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其它要求</w:t>
            </w:r>
          </w:p>
        </w:tc>
        <w:tc>
          <w:tcPr>
            <w:tcW w:w="6413" w:type="dxa"/>
          </w:tcPr>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成交供应商不得将项目非法分包或转包给任何单位和个人。否则采购人有权即刻终止合同，并由成交供应商赔偿相应损失。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641"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8</w:t>
            </w:r>
          </w:p>
        </w:tc>
        <w:tc>
          <w:tcPr>
            <w:tcW w:w="1468" w:type="dxa"/>
            <w:vAlign w:val="center"/>
          </w:tcPr>
          <w:p>
            <w:pPr>
              <w:spacing w:line="360" w:lineRule="auto"/>
              <w:jc w:val="center"/>
              <w:rPr>
                <w:rFonts w:ascii="宋体" w:hAnsi="宋体" w:cs="宋体"/>
                <w:color w:val="auto"/>
                <w:szCs w:val="24"/>
                <w:highlight w:val="none"/>
              </w:rPr>
            </w:pPr>
            <w:r>
              <w:rPr>
                <w:rFonts w:hint="eastAsia" w:ascii="宋体" w:hAnsi="宋体" w:cs="宋体"/>
                <w:color w:val="auto"/>
                <w:szCs w:val="24"/>
                <w:highlight w:val="none"/>
              </w:rPr>
              <w:t>合同条款</w:t>
            </w:r>
          </w:p>
        </w:tc>
        <w:tc>
          <w:tcPr>
            <w:tcW w:w="6413" w:type="dxa"/>
          </w:tcPr>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Cs w:val="24"/>
                <w:highlight w:val="none"/>
              </w:rPr>
            </w:pPr>
            <w:r>
              <w:rPr>
                <w:rFonts w:hint="eastAsia" w:ascii="宋体" w:hAnsi="宋体" w:cs="宋体"/>
                <w:color w:val="auto"/>
                <w:szCs w:val="24"/>
                <w:highlight w:val="none"/>
              </w:rPr>
              <w:t>供应商实质响应合同各条款。</w:t>
            </w:r>
          </w:p>
        </w:tc>
      </w:tr>
    </w:tbl>
    <w:p>
      <w:pPr>
        <w:bidi w:val="0"/>
        <w:spacing w:line="360" w:lineRule="auto"/>
        <w:rPr>
          <w:rFonts w:hint="eastAsia"/>
          <w:color w:val="auto"/>
          <w:highlight w:val="none"/>
          <w:lang w:val="en-US" w:eastAsia="zh-CN"/>
        </w:rPr>
      </w:pPr>
    </w:p>
    <w:p>
      <w:pPr>
        <w:rPr>
          <w:rFonts w:hint="eastAsia" w:ascii="宋体" w:hAnsi="宋体"/>
          <w:color w:val="auto"/>
          <w:highlight w:val="none"/>
          <w:lang w:val="en-US" w:eastAsia="zh-CN"/>
        </w:rPr>
      </w:pPr>
      <w:bookmarkStart w:id="195" w:name="_Toc19981"/>
      <w:r>
        <w:rPr>
          <w:rFonts w:hint="eastAsia" w:ascii="宋体" w:hAnsi="宋体"/>
          <w:color w:val="auto"/>
          <w:highlight w:val="none"/>
          <w:lang w:val="en-US" w:eastAsia="zh-CN"/>
        </w:rPr>
        <w:br w:type="page"/>
      </w: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color w:val="auto"/>
          <w:highlight w:val="none"/>
        </w:rPr>
      </w:pPr>
      <w:r>
        <w:rPr>
          <w:rFonts w:hint="eastAsia" w:ascii="宋体" w:hAnsi="宋体"/>
          <w:color w:val="auto"/>
          <w:highlight w:val="none"/>
          <w:lang w:val="en-US" w:eastAsia="zh-CN"/>
        </w:rPr>
        <w:t>第二章 技术需求书</w:t>
      </w:r>
      <w:bookmarkEnd w:id="195"/>
      <w:bookmarkStart w:id="196" w:name="_Toc24679"/>
      <w:bookmarkStart w:id="197" w:name="_Toc13112"/>
      <w:bookmarkStart w:id="198" w:name="_Toc14462"/>
      <w:bookmarkStart w:id="199" w:name="_Toc31278"/>
    </w:p>
    <w:p>
      <w:pPr>
        <w:numPr>
          <w:ilvl w:val="0"/>
          <w:numId w:val="20"/>
        </w:numPr>
        <w:bidi w:val="0"/>
        <w:ind w:left="0" w:leftChars="0" w:firstLine="420" w:firstLineChars="0"/>
        <w:outlineLvl w:val="3"/>
        <w:rPr>
          <w:rFonts w:hint="eastAsia"/>
          <w:b/>
          <w:bCs/>
        </w:rPr>
      </w:pPr>
      <w:r>
        <w:rPr>
          <w:rFonts w:hint="eastAsia"/>
          <w:b/>
          <w:bCs/>
        </w:rPr>
        <w:t>项目概述</w:t>
      </w:r>
    </w:p>
    <w:p>
      <w:pPr>
        <w:bidi w:val="0"/>
        <w:ind w:firstLine="420" w:firstLineChars="200"/>
        <w:rPr>
          <w:rFonts w:hint="default"/>
          <w:lang w:val="en-US"/>
        </w:rPr>
      </w:pPr>
      <w:r>
        <w:rPr>
          <w:rFonts w:hint="eastAsia"/>
        </w:rPr>
        <w:t>本项目主要对</w:t>
      </w:r>
      <w:r>
        <w:rPr>
          <w:rFonts w:hint="eastAsia"/>
          <w:lang w:val="en-US" w:eastAsia="zh-CN"/>
        </w:rPr>
        <w:t>横沥镇</w:t>
      </w:r>
      <w:r>
        <w:rPr>
          <w:rFonts w:hint="eastAsia" w:ascii="宋体" w:hAnsi="宋体" w:eastAsia="宋体" w:cs="宋体"/>
          <w:i w:val="0"/>
          <w:iCs w:val="0"/>
          <w:color w:val="000000"/>
          <w:kern w:val="0"/>
          <w:sz w:val="21"/>
          <w:szCs w:val="21"/>
          <w:u w:val="none"/>
          <w:lang w:val="en-US" w:eastAsia="zh-CN" w:bidi="ar"/>
        </w:rPr>
        <w:t>裕宁西路、康乐路、泰和路、南环桥至田坑村委会、维德路、振兴西路、财贸路、振兴中路的雨水管道提供清淤服务。</w:t>
      </w:r>
    </w:p>
    <w:p>
      <w:pPr>
        <w:numPr>
          <w:ilvl w:val="0"/>
          <w:numId w:val="20"/>
        </w:numPr>
        <w:bidi w:val="0"/>
        <w:ind w:left="0" w:leftChars="0" w:firstLine="420" w:firstLineChars="0"/>
        <w:outlineLvl w:val="3"/>
        <w:rPr>
          <w:rFonts w:hint="eastAsia"/>
          <w:b/>
          <w:bCs/>
          <w:lang w:eastAsia="zh-CN"/>
        </w:rPr>
      </w:pPr>
      <w:r>
        <w:rPr>
          <w:rFonts w:hint="eastAsia"/>
          <w:b/>
          <w:bCs/>
          <w:lang w:val="en-US" w:eastAsia="zh-CN"/>
        </w:rPr>
        <w:t>总体要求</w:t>
      </w:r>
    </w:p>
    <w:p>
      <w:pPr>
        <w:bidi w:val="0"/>
        <w:ind w:firstLine="420" w:firstLineChars="200"/>
        <w:rPr>
          <w:rFonts w:hint="eastAsia"/>
        </w:rPr>
      </w:pPr>
      <w:r>
        <w:rPr>
          <w:rFonts w:hint="eastAsia"/>
        </w:rPr>
        <w:t>1、本项目的主要服务内容是启闭井盖、强制通风、有毒气体检测；清洗井环、井壁上的杂物垃圾、清除管内、井内积泥、人工配合清除；清运消纳淤泥及垃圾等。具体的服务内容以采购人提供的相关资料为准。</w:t>
      </w:r>
    </w:p>
    <w:p>
      <w:pPr>
        <w:bidi w:val="0"/>
        <w:ind w:firstLine="420" w:firstLineChars="200"/>
        <w:rPr>
          <w:rFonts w:hint="eastAsia"/>
        </w:rPr>
      </w:pPr>
      <w:r>
        <w:rPr>
          <w:rFonts w:hint="eastAsia"/>
          <w:lang w:val="en-US" w:eastAsia="zh-CN"/>
        </w:rPr>
        <w:t>2</w:t>
      </w:r>
      <w:r>
        <w:rPr>
          <w:rFonts w:hint="eastAsia"/>
        </w:rPr>
        <w:t>、本项目现场用水、用电由</w:t>
      </w:r>
      <w:r>
        <w:rPr>
          <w:rFonts w:hint="eastAsia"/>
          <w:lang w:eastAsia="zh-CN"/>
        </w:rPr>
        <w:t>成交人</w:t>
      </w:r>
      <w:r>
        <w:rPr>
          <w:rFonts w:hint="eastAsia"/>
        </w:rPr>
        <w:t>根据实施需要自行解决并承担费用，水电接驳和报装费用须考虑在</w:t>
      </w:r>
      <w:r>
        <w:rPr>
          <w:rFonts w:hint="eastAsia"/>
          <w:lang w:eastAsia="zh-CN"/>
        </w:rPr>
        <w:t>响应</w:t>
      </w:r>
      <w:r>
        <w:rPr>
          <w:rFonts w:hint="eastAsia"/>
        </w:rPr>
        <w:t>报价中，并由</w:t>
      </w:r>
      <w:r>
        <w:rPr>
          <w:rFonts w:hint="eastAsia"/>
          <w:lang w:eastAsia="zh-CN"/>
        </w:rPr>
        <w:t>成交人</w:t>
      </w:r>
      <w:r>
        <w:rPr>
          <w:rFonts w:hint="eastAsia"/>
        </w:rPr>
        <w:t>办理相关手续。</w:t>
      </w:r>
    </w:p>
    <w:p>
      <w:pPr>
        <w:bidi w:val="0"/>
        <w:ind w:firstLine="420" w:firstLineChars="200"/>
        <w:rPr>
          <w:rFonts w:hint="eastAsia"/>
        </w:rPr>
      </w:pPr>
      <w:r>
        <w:rPr>
          <w:rFonts w:hint="eastAsia"/>
          <w:lang w:val="en-US" w:eastAsia="zh-CN"/>
        </w:rPr>
        <w:t>3</w:t>
      </w:r>
      <w:r>
        <w:rPr>
          <w:rFonts w:hint="eastAsia"/>
        </w:rPr>
        <w:t>、实施沿线的各种地下管线设施、</w:t>
      </w:r>
      <w:r>
        <w:rPr>
          <w:rFonts w:hint="eastAsia"/>
          <w:lang w:eastAsia="zh-CN"/>
        </w:rPr>
        <w:t>成交人</w:t>
      </w:r>
      <w:r>
        <w:rPr>
          <w:rFonts w:hint="eastAsia"/>
        </w:rPr>
        <w:t>须自行探测调查，以确保原有地下管线设施的安全以及排水的通畅，实施过程中若有损坏或堵塞，由</w:t>
      </w:r>
      <w:r>
        <w:rPr>
          <w:rFonts w:hint="eastAsia"/>
          <w:lang w:eastAsia="zh-CN"/>
        </w:rPr>
        <w:t>成交人</w:t>
      </w:r>
      <w:r>
        <w:rPr>
          <w:rFonts w:hint="eastAsia"/>
        </w:rPr>
        <w:t>承担全部责任。</w:t>
      </w:r>
    </w:p>
    <w:p>
      <w:pPr>
        <w:numPr>
          <w:ilvl w:val="0"/>
          <w:numId w:val="20"/>
        </w:numPr>
        <w:bidi w:val="0"/>
        <w:ind w:left="0" w:leftChars="0" w:firstLine="420" w:firstLineChars="0"/>
        <w:outlineLvl w:val="3"/>
        <w:rPr>
          <w:rFonts w:hint="default"/>
          <w:b/>
          <w:bCs/>
          <w:lang w:val="en-US" w:eastAsia="zh-CN"/>
        </w:rPr>
      </w:pPr>
      <w:r>
        <w:rPr>
          <w:rFonts w:hint="eastAsia"/>
          <w:b/>
          <w:bCs/>
          <w:lang w:val="en-US" w:eastAsia="zh-CN"/>
        </w:rPr>
        <w:t>项目清单</w:t>
      </w:r>
    </w:p>
    <w:tbl>
      <w:tblPr>
        <w:tblStyle w:val="22"/>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3"/>
        <w:gridCol w:w="6229"/>
        <w:gridCol w:w="751"/>
        <w:gridCol w:w="8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622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项目名称与特征</w:t>
            </w:r>
          </w:p>
        </w:tc>
        <w:tc>
          <w:tcPr>
            <w:tcW w:w="75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数</w:t>
            </w:r>
            <w:r>
              <w:rPr>
                <w:rFonts w:hint="eastAsia" w:ascii="宋体" w:hAnsi="宋体" w:eastAsia="宋体" w:cs="宋体"/>
                <w:i w:val="0"/>
                <w:iCs w:val="0"/>
                <w:color w:val="000000"/>
                <w:kern w:val="0"/>
                <w:sz w:val="21"/>
                <w:szCs w:val="21"/>
                <w:u w:val="none"/>
                <w:lang w:val="en-US" w:eastAsia="zh-CN" w:bidi="ar"/>
              </w:rPr>
              <w:t>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c>
          <w:tcPr>
            <w:tcW w:w="622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c>
          <w:tcPr>
            <w:tcW w:w="7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right"/>
              <w:rPr>
                <w:rFonts w:hint="eastAsia" w:ascii="宋体" w:hAnsi="宋体" w:eastAsia="宋体" w:cs="宋体"/>
                <w:i w:val="0"/>
                <w:iCs w:val="0"/>
                <w:color w:val="000000"/>
                <w:sz w:val="21"/>
                <w:szCs w:val="21"/>
                <w:u w:val="none"/>
              </w:rPr>
            </w:pP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裕宁西路</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管径400-600mm内 积泥全封管</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管径400-600mm内 积泥1/2内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管径400-600mm内 积泥1/4内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分部小计(裕宁西路)</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right"/>
              <w:rPr>
                <w:rFonts w:hint="eastAsia" w:ascii="宋体" w:hAnsi="宋体" w:eastAsia="宋体" w:cs="宋体"/>
                <w:i w:val="0"/>
                <w:iCs w:val="0"/>
                <w:color w:val="000000"/>
                <w:sz w:val="21"/>
                <w:szCs w:val="21"/>
                <w:u w:val="none"/>
              </w:rPr>
            </w:pP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康乐路</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管径1000-1200mm内 积泥3/4内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5</w:t>
            </w:r>
          </w:p>
        </w:tc>
        <w:tc>
          <w:tcPr>
            <w:tcW w:w="622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管径1000-1200mm内 积泥1/2内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6</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管径1000-1200mm内 积泥1/4内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分部小计(康乐路)</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right"/>
              <w:rPr>
                <w:rFonts w:hint="eastAsia" w:ascii="宋体" w:hAnsi="宋体" w:eastAsia="宋体" w:cs="宋体"/>
                <w:i w:val="0"/>
                <w:iCs w:val="0"/>
                <w:color w:val="000000"/>
                <w:sz w:val="21"/>
                <w:szCs w:val="21"/>
                <w:u w:val="none"/>
              </w:rPr>
            </w:pP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泰和路</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7</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管径300mm内 积泥1/4内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8</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管径400-600mm内 积泥3/4内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9</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管径400-600mm内 积泥1/4内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10</w:t>
            </w:r>
          </w:p>
        </w:tc>
        <w:tc>
          <w:tcPr>
            <w:tcW w:w="622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管径700-900mm内 积泥1/4内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11</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箱涵断面3m2以内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分部小计(泰和路)</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right"/>
              <w:rPr>
                <w:rFonts w:hint="eastAsia" w:ascii="宋体" w:hAnsi="宋体" w:eastAsia="宋体" w:cs="宋体"/>
                <w:i w:val="0"/>
                <w:iCs w:val="0"/>
                <w:color w:val="000000"/>
                <w:sz w:val="21"/>
                <w:szCs w:val="21"/>
                <w:u w:val="none"/>
              </w:rPr>
            </w:pP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南环桥至田坑村委会</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12</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管径700-900mm内 积泥全封管</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13</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管径700-900mm内 积泥3/4内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14</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管径700-900mm内 积泥1/2内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15</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管径700-900mm内 积泥1/4内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分部小计(南环桥至田坑村委会)</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right"/>
              <w:rPr>
                <w:rFonts w:hint="eastAsia" w:ascii="宋体" w:hAnsi="宋体" w:eastAsia="宋体" w:cs="宋体"/>
                <w:i w:val="0"/>
                <w:iCs w:val="0"/>
                <w:color w:val="000000"/>
                <w:sz w:val="21"/>
                <w:szCs w:val="21"/>
                <w:u w:val="none"/>
              </w:rPr>
            </w:pP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维德路</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16</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管径300mm内 积泥3/4内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17</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管径300mm内 积泥1/2内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18</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管径300mm内 积泥1/4内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分部小计(维德路)</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right"/>
              <w:rPr>
                <w:rFonts w:hint="eastAsia" w:ascii="宋体" w:hAnsi="宋体" w:eastAsia="宋体" w:cs="宋体"/>
                <w:i w:val="0"/>
                <w:iCs w:val="0"/>
                <w:color w:val="000000"/>
                <w:sz w:val="21"/>
                <w:szCs w:val="21"/>
                <w:u w:val="none"/>
              </w:rPr>
            </w:pP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振兴西路</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19</w:t>
            </w:r>
          </w:p>
        </w:tc>
        <w:tc>
          <w:tcPr>
            <w:tcW w:w="622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管径700-900mm内 积泥1/4内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20</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管径1000-1200mm内 积泥全封管</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21</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管径1000-1200mm内 积泥3/4内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22</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管径1000-1200mm内 积泥1/2内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23</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管径1000-1200mm内 积泥1/4内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分部小计(振兴西路)</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right"/>
              <w:rPr>
                <w:rFonts w:hint="eastAsia" w:ascii="宋体" w:hAnsi="宋体" w:eastAsia="宋体" w:cs="宋体"/>
                <w:i w:val="0"/>
                <w:iCs w:val="0"/>
                <w:color w:val="000000"/>
                <w:sz w:val="21"/>
                <w:szCs w:val="21"/>
                <w:u w:val="none"/>
              </w:rPr>
            </w:pP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财贸路</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24</w:t>
            </w:r>
          </w:p>
        </w:tc>
        <w:tc>
          <w:tcPr>
            <w:tcW w:w="622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管径400-600mm内 积泥全封管</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25</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管径400-600mm内 积泥3/4内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26</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管径400-600mm内 积泥2/1内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27</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管径400-600mm内 积泥1/4内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分部小计(财贸路)</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right"/>
              <w:rPr>
                <w:rFonts w:hint="eastAsia" w:ascii="宋体" w:hAnsi="宋体" w:eastAsia="宋体" w:cs="宋体"/>
                <w:i w:val="0"/>
                <w:iCs w:val="0"/>
                <w:color w:val="000000"/>
                <w:sz w:val="21"/>
                <w:szCs w:val="21"/>
                <w:u w:val="none"/>
              </w:rPr>
            </w:pP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振兴中路</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28</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管径1000-1200mm内 积泥3/4内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29</w:t>
            </w:r>
          </w:p>
        </w:tc>
        <w:tc>
          <w:tcPr>
            <w:tcW w:w="622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管径1000-1200mm内 积泥1/2内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30</w:t>
            </w: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管道清淤 管径1000-1200mm内 积泥1/4内</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1.启闭井盖、强制通风、有毒气体检测；</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2.清洗井环、井壁上的杂物垃圾、清除管内、井内积泥、人工配合清除；</w:t>
            </w:r>
          </w:p>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3、清运消纳淤泥及垃圾（暂定运距10Km）。</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559.24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6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suppressLineNumbers w:val="0"/>
              <w:kinsoku/>
              <w:wordWrap/>
              <w:overflowPunct/>
              <w:topLinePunct w:val="0"/>
              <w:autoSpaceDE/>
              <w:autoSpaceDN/>
              <w:bidi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分部小计(振兴中路)</w:t>
            </w:r>
          </w:p>
        </w:tc>
        <w:tc>
          <w:tcPr>
            <w:tcW w:w="7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i w:val="0"/>
                <w:iCs w:val="0"/>
                <w:color w:val="000000"/>
                <w:sz w:val="21"/>
                <w:szCs w:val="21"/>
                <w:u w:val="none"/>
              </w:rPr>
            </w:pPr>
          </w:p>
        </w:tc>
      </w:tr>
    </w:tbl>
    <w:p>
      <w:pPr>
        <w:numPr>
          <w:ilvl w:val="0"/>
          <w:numId w:val="20"/>
        </w:numPr>
        <w:bidi w:val="0"/>
        <w:ind w:left="0" w:leftChars="0" w:firstLine="420" w:firstLineChars="0"/>
        <w:outlineLvl w:val="3"/>
        <w:rPr>
          <w:rFonts w:hint="eastAsia"/>
          <w:b/>
          <w:bCs/>
        </w:rPr>
      </w:pPr>
      <w:r>
        <w:rPr>
          <w:rFonts w:hint="eastAsia"/>
          <w:b/>
          <w:bCs/>
        </w:rPr>
        <w:t>技术要求</w:t>
      </w:r>
    </w:p>
    <w:p>
      <w:pPr>
        <w:bidi w:val="0"/>
        <w:ind w:firstLine="420" w:firstLineChars="200"/>
        <w:rPr>
          <w:rFonts w:hint="eastAsia"/>
        </w:rPr>
      </w:pPr>
      <w:r>
        <w:rPr>
          <w:rFonts w:hint="eastAsia"/>
        </w:rPr>
        <w:t>1、管道清淤需达到《城镇排水管渠与泵站运行、维护及安全技术规程》CJJ68-2016、《城镇排水管道维护安全技术规程》CJJ6-2009等规范（注：如有最新相关规范，按最新规范执行）中关于管渠清淤及相关措施的标准要求。</w:t>
      </w:r>
    </w:p>
    <w:p>
      <w:pPr>
        <w:bidi w:val="0"/>
        <w:ind w:firstLine="420" w:firstLineChars="200"/>
        <w:rPr>
          <w:rFonts w:hint="eastAsia"/>
        </w:rPr>
      </w:pPr>
      <w:r>
        <w:rPr>
          <w:rFonts w:hint="eastAsia"/>
        </w:rPr>
        <w:t>2、管段清淤疏通应避免淤泥水浆排入河道或流入无关管渠。清淤疏通期间应采用措施保障有限空间业务人员安全。</w:t>
      </w:r>
    </w:p>
    <w:p>
      <w:pPr>
        <w:bidi w:val="0"/>
        <w:ind w:firstLine="420" w:firstLineChars="200"/>
        <w:rPr>
          <w:rFonts w:hint="eastAsia"/>
        </w:rPr>
      </w:pPr>
      <w:r>
        <w:rPr>
          <w:rFonts w:hint="eastAsia"/>
          <w:lang w:val="en-US" w:eastAsia="zh-CN"/>
        </w:rPr>
        <w:t>3</w:t>
      </w:r>
      <w:r>
        <w:rPr>
          <w:rFonts w:hint="eastAsia"/>
        </w:rPr>
        <w:t>、淤泥运输要符合东莞市淤泥运输相关管理要求。</w:t>
      </w:r>
    </w:p>
    <w:p>
      <w:pPr>
        <w:numPr>
          <w:ilvl w:val="0"/>
          <w:numId w:val="20"/>
        </w:numPr>
        <w:bidi w:val="0"/>
        <w:ind w:left="0" w:leftChars="0" w:firstLine="420" w:firstLineChars="0"/>
        <w:outlineLvl w:val="3"/>
        <w:rPr>
          <w:rFonts w:hint="eastAsia"/>
          <w:b/>
          <w:bCs/>
        </w:rPr>
      </w:pPr>
      <w:r>
        <w:rPr>
          <w:rFonts w:hint="eastAsia"/>
          <w:b/>
          <w:bCs/>
        </w:rPr>
        <w:t>质量管理</w:t>
      </w:r>
    </w:p>
    <w:p>
      <w:pPr>
        <w:bidi w:val="0"/>
        <w:ind w:firstLine="420" w:firstLineChars="200"/>
        <w:rPr>
          <w:rFonts w:hint="eastAsia"/>
        </w:rPr>
      </w:pPr>
      <w:r>
        <w:rPr>
          <w:rFonts w:hint="eastAsia"/>
        </w:rPr>
        <w:t>1</w:t>
      </w:r>
      <w:r>
        <w:rPr>
          <w:rFonts w:hint="eastAsia"/>
          <w:lang w:eastAsia="zh-CN"/>
        </w:rPr>
        <w:t>、成交人</w:t>
      </w:r>
      <w:r>
        <w:rPr>
          <w:rFonts w:hint="eastAsia"/>
        </w:rPr>
        <w:t>应建立质量保证体系，选派有经验的项目技术人员对现场的各个实施环节质量进行检查，</w:t>
      </w:r>
      <w:r>
        <w:rPr>
          <w:rFonts w:hint="eastAsia"/>
          <w:lang w:eastAsia="zh-CN"/>
        </w:rPr>
        <w:t>成交人</w:t>
      </w:r>
      <w:r>
        <w:rPr>
          <w:rFonts w:hint="eastAsia"/>
        </w:rPr>
        <w:t>的质检人员应及时向采购人报告检查中发现的问题，并提供必要的资料。</w:t>
      </w:r>
    </w:p>
    <w:p>
      <w:pPr>
        <w:bidi w:val="0"/>
        <w:ind w:firstLine="420" w:firstLineChars="200"/>
        <w:rPr>
          <w:rFonts w:hint="eastAsia"/>
        </w:rPr>
      </w:pPr>
      <w:r>
        <w:rPr>
          <w:rFonts w:hint="eastAsia"/>
        </w:rPr>
        <w:t>2</w:t>
      </w:r>
      <w:r>
        <w:rPr>
          <w:rFonts w:hint="eastAsia"/>
          <w:lang w:eastAsia="zh-CN"/>
        </w:rPr>
        <w:t>、</w:t>
      </w:r>
      <w:r>
        <w:rPr>
          <w:rFonts w:hint="eastAsia"/>
        </w:rPr>
        <w:t>项目完成后</w:t>
      </w:r>
      <w:r>
        <w:rPr>
          <w:rFonts w:hint="eastAsia"/>
          <w:lang w:eastAsia="zh-CN"/>
        </w:rPr>
        <w:t>成交人</w:t>
      </w:r>
      <w:r>
        <w:rPr>
          <w:rFonts w:hint="eastAsia"/>
        </w:rPr>
        <w:t>应认真进行质量检查，符合设计要求的质量标准后，报请采购人检查复验。</w:t>
      </w:r>
    </w:p>
    <w:p>
      <w:pPr>
        <w:bidi w:val="0"/>
        <w:ind w:firstLine="420" w:firstLineChars="200"/>
        <w:rPr>
          <w:rFonts w:hint="eastAsia"/>
        </w:rPr>
      </w:pPr>
      <w:r>
        <w:rPr>
          <w:rFonts w:hint="eastAsia"/>
        </w:rPr>
        <w:t>3</w:t>
      </w:r>
      <w:r>
        <w:rPr>
          <w:rFonts w:hint="eastAsia"/>
          <w:lang w:eastAsia="zh-CN"/>
        </w:rPr>
        <w:t>、</w:t>
      </w:r>
      <w:r>
        <w:rPr>
          <w:rFonts w:hint="eastAsia"/>
        </w:rPr>
        <w:t>经采购人检查认为质量不合格时，可要求</w:t>
      </w:r>
      <w:r>
        <w:rPr>
          <w:rFonts w:hint="eastAsia"/>
          <w:lang w:eastAsia="zh-CN"/>
        </w:rPr>
        <w:t>成交人</w:t>
      </w:r>
      <w:r>
        <w:rPr>
          <w:rFonts w:hint="eastAsia"/>
        </w:rPr>
        <w:t>返工，</w:t>
      </w:r>
      <w:r>
        <w:rPr>
          <w:rFonts w:hint="eastAsia"/>
          <w:lang w:eastAsia="zh-CN"/>
        </w:rPr>
        <w:t>成交人</w:t>
      </w:r>
      <w:r>
        <w:rPr>
          <w:rFonts w:hint="eastAsia"/>
        </w:rPr>
        <w:t>应按采购人要求的时间返工，直到符合约定的质量标准，由此引起的工期延误和费用由</w:t>
      </w:r>
      <w:r>
        <w:rPr>
          <w:rFonts w:hint="eastAsia"/>
          <w:lang w:eastAsia="zh-CN"/>
        </w:rPr>
        <w:t>成交人</w:t>
      </w:r>
      <w:r>
        <w:rPr>
          <w:rFonts w:hint="eastAsia"/>
        </w:rPr>
        <w:t>自负。</w:t>
      </w:r>
    </w:p>
    <w:p>
      <w:pPr>
        <w:bidi w:val="0"/>
        <w:ind w:firstLine="420" w:firstLineChars="200"/>
        <w:rPr>
          <w:rFonts w:hint="eastAsia"/>
        </w:rPr>
      </w:pPr>
      <w:r>
        <w:rPr>
          <w:rFonts w:hint="eastAsia"/>
        </w:rPr>
        <w:t>4</w:t>
      </w:r>
      <w:r>
        <w:rPr>
          <w:rFonts w:hint="eastAsia"/>
          <w:lang w:eastAsia="zh-CN"/>
        </w:rPr>
        <w:t>、</w:t>
      </w:r>
      <w:r>
        <w:rPr>
          <w:rFonts w:hint="eastAsia"/>
        </w:rPr>
        <w:t>全部项目完工后，</w:t>
      </w:r>
      <w:r>
        <w:rPr>
          <w:rFonts w:hint="eastAsia"/>
          <w:lang w:eastAsia="zh-CN"/>
        </w:rPr>
        <w:t>成交人</w:t>
      </w:r>
      <w:r>
        <w:rPr>
          <w:rFonts w:hint="eastAsia"/>
        </w:rPr>
        <w:t>应整理全部质量检查资料，报采购人，作为整个项目验收资料的一部分。</w:t>
      </w:r>
    </w:p>
    <w:p>
      <w:pPr>
        <w:numPr>
          <w:ilvl w:val="0"/>
          <w:numId w:val="20"/>
        </w:numPr>
        <w:bidi w:val="0"/>
        <w:ind w:left="0" w:leftChars="0" w:firstLine="420" w:firstLineChars="0"/>
        <w:outlineLvl w:val="3"/>
        <w:rPr>
          <w:rFonts w:hint="eastAsia"/>
          <w:b/>
          <w:bCs/>
        </w:rPr>
      </w:pPr>
      <w:r>
        <w:rPr>
          <w:rFonts w:hint="eastAsia"/>
          <w:b/>
          <w:bCs/>
        </w:rPr>
        <w:t>安全文明的要求</w:t>
      </w:r>
    </w:p>
    <w:p>
      <w:pPr>
        <w:bidi w:val="0"/>
        <w:ind w:firstLine="420" w:firstLineChars="200"/>
        <w:rPr>
          <w:rFonts w:hint="eastAsia"/>
        </w:rPr>
      </w:pPr>
      <w:r>
        <w:rPr>
          <w:rFonts w:hint="eastAsia"/>
        </w:rPr>
        <w:t>1</w:t>
      </w:r>
      <w:r>
        <w:rPr>
          <w:rFonts w:hint="eastAsia"/>
          <w:lang w:eastAsia="zh-CN"/>
        </w:rPr>
        <w:t>、成交人</w:t>
      </w:r>
      <w:r>
        <w:rPr>
          <w:rFonts w:hint="eastAsia"/>
        </w:rPr>
        <w:t>应负责其管辖区内的消防、防汛和抗灾工作，配备一定数量的常规消防器材。定期进行防火检查；配置必要的防汛物资和器材，做好洪水和气象的预报工作。</w:t>
      </w:r>
      <w:r>
        <w:rPr>
          <w:rFonts w:hint="eastAsia"/>
          <w:lang w:eastAsia="zh-CN"/>
        </w:rPr>
        <w:t>成交人</w:t>
      </w:r>
      <w:r>
        <w:rPr>
          <w:rFonts w:hint="eastAsia"/>
        </w:rPr>
        <w:t>应对其管辖区内的人员、财产损失负责。</w:t>
      </w:r>
    </w:p>
    <w:p>
      <w:pPr>
        <w:bidi w:val="0"/>
        <w:ind w:firstLine="420" w:firstLineChars="200"/>
        <w:rPr>
          <w:rFonts w:hint="eastAsia"/>
        </w:rPr>
      </w:pPr>
      <w:r>
        <w:rPr>
          <w:rFonts w:hint="eastAsia"/>
        </w:rPr>
        <w:t>2</w:t>
      </w:r>
      <w:r>
        <w:rPr>
          <w:rFonts w:hint="eastAsia"/>
          <w:lang w:eastAsia="zh-CN"/>
        </w:rPr>
        <w:t>、</w:t>
      </w:r>
      <w:r>
        <w:rPr>
          <w:rFonts w:hint="eastAsia"/>
        </w:rPr>
        <w:t>实施过程中作业人员如需下井，需提前对管道进行自然通风，必要时应进行有毒气体检测，确保符合条件方可下井作业。</w:t>
      </w:r>
    </w:p>
    <w:p>
      <w:pPr>
        <w:bidi w:val="0"/>
        <w:ind w:firstLine="420" w:firstLineChars="200"/>
        <w:rPr>
          <w:rFonts w:hint="eastAsia"/>
        </w:rPr>
      </w:pPr>
      <w:r>
        <w:rPr>
          <w:rFonts w:hint="eastAsia"/>
        </w:rPr>
        <w:t>3</w:t>
      </w:r>
      <w:r>
        <w:rPr>
          <w:rFonts w:hint="eastAsia"/>
          <w:lang w:eastAsia="zh-CN"/>
        </w:rPr>
        <w:t>、</w:t>
      </w:r>
      <w:r>
        <w:rPr>
          <w:rFonts w:hint="eastAsia"/>
        </w:rPr>
        <w:t>潜水员下水作业，需提前向采购方申请，审批后方可潜水作业。潜水员必须经过专业培训并取得省级行政主管部门颁发的特种作业证。</w:t>
      </w:r>
    </w:p>
    <w:p>
      <w:pPr>
        <w:bidi w:val="0"/>
        <w:ind w:firstLine="420" w:firstLineChars="200"/>
        <w:rPr>
          <w:rFonts w:hint="eastAsia"/>
        </w:rPr>
      </w:pPr>
      <w:r>
        <w:rPr>
          <w:rFonts w:hint="eastAsia"/>
        </w:rPr>
        <w:t>4</w:t>
      </w:r>
      <w:r>
        <w:rPr>
          <w:rFonts w:hint="eastAsia"/>
          <w:lang w:eastAsia="zh-CN"/>
        </w:rPr>
        <w:t>、</w:t>
      </w:r>
      <w:r>
        <w:rPr>
          <w:rFonts w:hint="eastAsia"/>
        </w:rPr>
        <w:t>清淤过程中，要求使用实施围档进行围蔽，设置交通警示标志，做好交通疏导工作，保证车辆和行人的安全；产生的淤泥和垃圾必须及时处理，不能对道路产生污染，不得影响正常交通及周边环境。</w:t>
      </w:r>
    </w:p>
    <w:p>
      <w:pPr>
        <w:bidi w:val="0"/>
        <w:ind w:firstLine="420" w:firstLineChars="200"/>
        <w:rPr>
          <w:rFonts w:hint="eastAsia"/>
        </w:rPr>
      </w:pPr>
      <w:r>
        <w:rPr>
          <w:rFonts w:hint="eastAsia"/>
        </w:rPr>
        <w:t>5</w:t>
      </w:r>
      <w:r>
        <w:rPr>
          <w:rFonts w:hint="eastAsia"/>
          <w:lang w:eastAsia="zh-CN"/>
        </w:rPr>
        <w:t>、成交人</w:t>
      </w:r>
      <w:r>
        <w:rPr>
          <w:rFonts w:hint="eastAsia"/>
        </w:rPr>
        <w:t>必须落实安全生产措施，且按采购人以及有关部门的要求，配备相关安全警示标志及安全防护设施，对其参与本项目的所有人员进行安全培训，配置统一的工作服和反光袖套，自行解决安全作业问题。在进行作业时，现场一定要做好安全防护后才能进场，同时</w:t>
      </w:r>
      <w:r>
        <w:rPr>
          <w:rFonts w:hint="eastAsia"/>
          <w:lang w:eastAsia="zh-CN"/>
        </w:rPr>
        <w:t>成交人</w:t>
      </w:r>
      <w:r>
        <w:rPr>
          <w:rFonts w:hint="eastAsia"/>
        </w:rPr>
        <w:t>必须认真负责，并注意安全操作，如发生任何意外，</w:t>
      </w:r>
      <w:r>
        <w:rPr>
          <w:rFonts w:hint="eastAsia"/>
          <w:lang w:eastAsia="zh-CN"/>
        </w:rPr>
        <w:t>成交人</w:t>
      </w:r>
      <w:r>
        <w:rPr>
          <w:rFonts w:hint="eastAsia"/>
        </w:rPr>
        <w:t>负责事故处理及一切费用，概与采购人无关，采购人不承担与此相关的任何责任和费用。如</w:t>
      </w:r>
      <w:r>
        <w:rPr>
          <w:rFonts w:hint="eastAsia"/>
          <w:lang w:eastAsia="zh-CN"/>
        </w:rPr>
        <w:t>成交人</w:t>
      </w:r>
      <w:r>
        <w:rPr>
          <w:rFonts w:hint="eastAsia"/>
        </w:rPr>
        <w:t>因安全生产问题给采购人造成损失的，</w:t>
      </w:r>
      <w:r>
        <w:rPr>
          <w:rFonts w:hint="eastAsia"/>
          <w:lang w:eastAsia="zh-CN"/>
        </w:rPr>
        <w:t>成交人</w:t>
      </w:r>
      <w:r>
        <w:rPr>
          <w:rFonts w:hint="eastAsia"/>
        </w:rPr>
        <w:t>应向采购人赔偿全部损失，采购人有权通过法律手段向</w:t>
      </w:r>
      <w:r>
        <w:rPr>
          <w:rFonts w:hint="eastAsia"/>
          <w:lang w:eastAsia="zh-CN"/>
        </w:rPr>
        <w:t>成交人</w:t>
      </w:r>
      <w:r>
        <w:rPr>
          <w:rFonts w:hint="eastAsia"/>
        </w:rPr>
        <w:t>追偿。</w:t>
      </w:r>
    </w:p>
    <w:p>
      <w:pPr>
        <w:bidi w:val="0"/>
        <w:ind w:firstLine="420" w:firstLineChars="200"/>
        <w:rPr>
          <w:rFonts w:hint="eastAsia"/>
        </w:rPr>
      </w:pPr>
      <w:r>
        <w:rPr>
          <w:rFonts w:hint="eastAsia"/>
        </w:rPr>
        <w:t>6</w:t>
      </w:r>
      <w:r>
        <w:rPr>
          <w:rFonts w:hint="eastAsia"/>
          <w:lang w:eastAsia="zh-CN"/>
        </w:rPr>
        <w:t>、成交人</w:t>
      </w:r>
      <w:r>
        <w:rPr>
          <w:rFonts w:hint="eastAsia"/>
        </w:rPr>
        <w:t>应依照有关法律规定，为其履行合同所雇佣的全部人员投保工伤保险和人身意外伤害险，缴纳工伤保险费和人身意外伤害险。</w:t>
      </w:r>
    </w:p>
    <w:p>
      <w:pPr>
        <w:bidi w:val="0"/>
        <w:ind w:firstLine="420" w:firstLineChars="200"/>
        <w:rPr>
          <w:rFonts w:hint="eastAsia"/>
        </w:rPr>
      </w:pPr>
      <w:r>
        <w:rPr>
          <w:rFonts w:hint="eastAsia"/>
        </w:rPr>
        <w:t>7</w:t>
      </w:r>
      <w:r>
        <w:rPr>
          <w:rFonts w:hint="eastAsia"/>
          <w:lang w:eastAsia="zh-CN"/>
        </w:rPr>
        <w:t>、</w:t>
      </w:r>
      <w:r>
        <w:rPr>
          <w:rFonts w:hint="eastAsia"/>
        </w:rPr>
        <w:t>其它参照国家、省、市有关最新规范标准执行。</w:t>
      </w:r>
    </w:p>
    <w:p>
      <w:pPr>
        <w:numPr>
          <w:ilvl w:val="0"/>
          <w:numId w:val="20"/>
        </w:numPr>
        <w:bidi w:val="0"/>
        <w:ind w:left="0" w:leftChars="0" w:firstLine="420" w:firstLineChars="0"/>
        <w:outlineLvl w:val="3"/>
        <w:rPr>
          <w:rFonts w:hint="eastAsia"/>
          <w:b/>
          <w:bCs/>
        </w:rPr>
      </w:pPr>
      <w:r>
        <w:rPr>
          <w:rFonts w:hint="eastAsia"/>
          <w:b/>
          <w:bCs/>
        </w:rPr>
        <w:t>环境保护</w:t>
      </w:r>
    </w:p>
    <w:p>
      <w:pPr>
        <w:bidi w:val="0"/>
        <w:ind w:firstLine="420" w:firstLineChars="200"/>
        <w:rPr>
          <w:rFonts w:hint="eastAsia"/>
        </w:rPr>
      </w:pPr>
      <w:r>
        <w:rPr>
          <w:rFonts w:hint="eastAsia"/>
        </w:rPr>
        <w:t>1</w:t>
      </w:r>
      <w:r>
        <w:rPr>
          <w:rFonts w:hint="eastAsia"/>
          <w:lang w:eastAsia="zh-CN"/>
        </w:rPr>
        <w:t>、成交人</w:t>
      </w:r>
      <w:r>
        <w:rPr>
          <w:rFonts w:hint="eastAsia"/>
        </w:rPr>
        <w:t>应遵守国家和地方有关环境保护的法规、规章，不得使管道淤泥或其他有害物质(扬尘、废水、废油等)污染道路、土地、河流，在城镇要控制噪声，防止扰民。若因违反环境保护有关规定而受到处罚或被要求赔偿，</w:t>
      </w:r>
      <w:r>
        <w:rPr>
          <w:rFonts w:hint="eastAsia"/>
          <w:lang w:eastAsia="zh-CN"/>
        </w:rPr>
        <w:t>成交人</w:t>
      </w:r>
      <w:r>
        <w:rPr>
          <w:rFonts w:hint="eastAsia"/>
        </w:rPr>
        <w:t>应负全部责任。</w:t>
      </w:r>
    </w:p>
    <w:p>
      <w:pPr>
        <w:bidi w:val="0"/>
        <w:ind w:firstLine="420" w:firstLineChars="200"/>
        <w:rPr>
          <w:rFonts w:hint="eastAsia"/>
        </w:rPr>
      </w:pPr>
      <w:r>
        <w:rPr>
          <w:rFonts w:hint="eastAsia"/>
        </w:rPr>
        <w:t>2</w:t>
      </w:r>
      <w:r>
        <w:rPr>
          <w:rFonts w:hint="eastAsia"/>
          <w:lang w:eastAsia="zh-CN"/>
        </w:rPr>
        <w:t>、</w:t>
      </w:r>
      <w:r>
        <w:rPr>
          <w:rFonts w:hint="eastAsia"/>
        </w:rPr>
        <w:t>本项目淤泥处置必须符合相关规定执行，否则由此造成的损失和相关责任均由</w:t>
      </w:r>
      <w:r>
        <w:rPr>
          <w:rFonts w:hint="eastAsia"/>
          <w:lang w:eastAsia="zh-CN"/>
        </w:rPr>
        <w:t>成交人</w:t>
      </w:r>
      <w:r>
        <w:rPr>
          <w:rFonts w:hint="eastAsia"/>
        </w:rPr>
        <w:t>承担，相关费用须考虑在</w:t>
      </w:r>
      <w:r>
        <w:rPr>
          <w:rFonts w:hint="eastAsia"/>
          <w:lang w:eastAsia="zh-CN"/>
        </w:rPr>
        <w:t>响应</w:t>
      </w:r>
      <w:r>
        <w:rPr>
          <w:rFonts w:hint="eastAsia"/>
        </w:rPr>
        <w:t>报价中。</w:t>
      </w:r>
    </w:p>
    <w:p>
      <w:pPr>
        <w:bidi w:val="0"/>
        <w:ind w:firstLine="420" w:firstLineChars="200"/>
        <w:rPr>
          <w:rFonts w:hint="eastAsia"/>
        </w:rPr>
      </w:pPr>
      <w:r>
        <w:rPr>
          <w:rFonts w:hint="eastAsia"/>
        </w:rPr>
        <w:t>3</w:t>
      </w:r>
      <w:r>
        <w:rPr>
          <w:rFonts w:hint="eastAsia"/>
          <w:lang w:eastAsia="zh-CN"/>
        </w:rPr>
        <w:t>、</w:t>
      </w:r>
      <w:r>
        <w:rPr>
          <w:rFonts w:hint="eastAsia"/>
        </w:rPr>
        <w:t>在全部项目完成后，除已征得采购人的同意外，</w:t>
      </w:r>
      <w:r>
        <w:rPr>
          <w:rFonts w:hint="eastAsia"/>
          <w:lang w:eastAsia="zh-CN"/>
        </w:rPr>
        <w:t>成交人</w:t>
      </w:r>
      <w:r>
        <w:rPr>
          <w:rFonts w:hint="eastAsia"/>
        </w:rPr>
        <w:t>必须拆除一切必须拆除的临时设施和临时生活设施。拆除后的场地应彻底清理。凡采购人决定保留的设施，应由采购人与</w:t>
      </w:r>
      <w:r>
        <w:rPr>
          <w:rFonts w:hint="eastAsia"/>
          <w:lang w:eastAsia="zh-CN"/>
        </w:rPr>
        <w:t>成交人</w:t>
      </w:r>
      <w:r>
        <w:rPr>
          <w:rFonts w:hint="eastAsia"/>
        </w:rPr>
        <w:t>协商解决处理办法。</w:t>
      </w:r>
    </w:p>
    <w:p>
      <w:pPr>
        <w:numPr>
          <w:ilvl w:val="0"/>
          <w:numId w:val="20"/>
        </w:numPr>
        <w:bidi w:val="0"/>
        <w:ind w:left="0" w:leftChars="0" w:firstLine="420" w:firstLineChars="0"/>
        <w:outlineLvl w:val="3"/>
        <w:rPr>
          <w:rFonts w:hint="eastAsia"/>
          <w:b/>
          <w:bCs/>
        </w:rPr>
      </w:pPr>
      <w:r>
        <w:rPr>
          <w:rFonts w:hint="eastAsia"/>
          <w:b/>
          <w:bCs/>
        </w:rPr>
        <w:t>项目验收</w:t>
      </w:r>
    </w:p>
    <w:p>
      <w:pPr>
        <w:bidi w:val="0"/>
        <w:ind w:firstLine="420" w:firstLineChars="200"/>
        <w:rPr>
          <w:rFonts w:hint="eastAsia"/>
        </w:rPr>
      </w:pPr>
      <w:r>
        <w:rPr>
          <w:rFonts w:hint="eastAsia"/>
        </w:rPr>
        <w:t>1、项目实施及验收均应按《城镇排水管渠与泵站运行、维护及安全技术规程》CJJ68-2016、《城镇排水管道维护安全技术规程》CJJ6-2009、《给排水管道工程施工及验收规范》（GB50268—2008）等相关规范要求进行。</w:t>
      </w:r>
    </w:p>
    <w:p>
      <w:pPr>
        <w:bidi w:val="0"/>
        <w:ind w:firstLine="420" w:firstLineChars="200"/>
        <w:rPr>
          <w:rFonts w:hint="eastAsia"/>
        </w:rPr>
      </w:pPr>
      <w:r>
        <w:rPr>
          <w:rFonts w:hint="eastAsia"/>
        </w:rPr>
        <w:t>2、</w:t>
      </w:r>
      <w:r>
        <w:rPr>
          <w:rFonts w:hint="eastAsia"/>
          <w:lang w:eastAsia="zh-CN"/>
        </w:rPr>
        <w:t>成交人</w:t>
      </w:r>
      <w:r>
        <w:rPr>
          <w:rFonts w:hint="eastAsia"/>
        </w:rPr>
        <w:t>随时接受采购人的检查，并应为检查提供便利条件，如</w:t>
      </w:r>
      <w:r>
        <w:rPr>
          <w:rFonts w:hint="eastAsia"/>
          <w:lang w:val="en-US" w:eastAsia="zh-CN"/>
        </w:rPr>
        <w:t>清淤</w:t>
      </w:r>
      <w:r>
        <w:rPr>
          <w:rFonts w:hint="eastAsia"/>
        </w:rPr>
        <w:t>质量达不到以上要求，须按采购人要求返工修改，并承担因自身原因导致返工、修改的费用。</w:t>
      </w:r>
    </w:p>
    <w:p>
      <w:pPr>
        <w:bidi w:val="0"/>
        <w:ind w:firstLine="420" w:firstLineChars="200"/>
        <w:rPr>
          <w:rFonts w:hint="eastAsia"/>
        </w:rPr>
      </w:pPr>
      <w:r>
        <w:rPr>
          <w:rFonts w:hint="eastAsia"/>
        </w:rPr>
        <w:t>3、所有管道清淤疏浚处置完毕后，对采购人提出的修改意见，</w:t>
      </w:r>
      <w:r>
        <w:rPr>
          <w:rFonts w:hint="eastAsia"/>
          <w:lang w:eastAsia="zh-CN"/>
        </w:rPr>
        <w:t>成交人</w:t>
      </w:r>
      <w:r>
        <w:rPr>
          <w:rFonts w:hint="eastAsia"/>
        </w:rPr>
        <w:t>按要求修改，并承担由自身原因造成修改的费用。</w:t>
      </w:r>
    </w:p>
    <w:p>
      <w:pPr>
        <w:spacing w:after="0" w:line="360" w:lineRule="auto"/>
        <w:ind w:firstLine="422" w:firstLineChars="200"/>
        <w:rPr>
          <w:rFonts w:hint="eastAsia" w:ascii="宋体" w:hAnsi="宋体" w:eastAsia="宋体" w:cs="Times New Roman"/>
          <w:b/>
          <w:bCs/>
          <w:color w:val="auto"/>
          <w:sz w:val="21"/>
          <w:szCs w:val="21"/>
          <w:highlight w:val="none"/>
        </w:rPr>
      </w:pPr>
    </w:p>
    <w:p>
      <w:pPr>
        <w:spacing w:after="0" w:line="360" w:lineRule="auto"/>
        <w:ind w:firstLine="422" w:firstLineChars="200"/>
        <w:rPr>
          <w:rFonts w:hint="eastAsia" w:eastAsia="宋体"/>
          <w:color w:val="auto"/>
          <w:highlight w:val="none"/>
          <w:lang w:eastAsia="zh-CN"/>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6"/>
      <w:bookmarkEnd w:id="197"/>
      <w:bookmarkEnd w:id="198"/>
      <w:bookmarkEnd w:id="199"/>
      <w:bookmarkStart w:id="200" w:name="_Toc21448"/>
      <w:bookmarkStart w:id="201" w:name="_Toc12485"/>
    </w:p>
    <w:p>
      <w:pPr>
        <w:rPr>
          <w:rFonts w:hint="eastAsia"/>
          <w:color w:val="auto"/>
          <w:sz w:val="28"/>
          <w:szCs w:val="28"/>
          <w:highlight w:val="none"/>
        </w:rPr>
      </w:pPr>
      <w:bookmarkStart w:id="202" w:name="_Toc17329"/>
      <w:r>
        <w:rPr>
          <w:rFonts w:hint="eastAsia"/>
          <w:color w:val="auto"/>
          <w:sz w:val="28"/>
          <w:szCs w:val="28"/>
          <w:highlight w:val="none"/>
        </w:rPr>
        <w:br w:type="page"/>
      </w:r>
    </w:p>
    <w:p>
      <w:pPr>
        <w:pStyle w:val="3"/>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00"/>
      <w:bookmarkEnd w:id="201"/>
      <w:bookmarkEnd w:id="202"/>
      <w:bookmarkStart w:id="203" w:name="_Toc1534"/>
      <w:bookmarkStart w:id="204" w:name="_Toc21155"/>
      <w:bookmarkStart w:id="205" w:name="_Toc13430"/>
    </w:p>
    <w:p>
      <w:pPr>
        <w:pStyle w:val="4"/>
        <w:spacing w:before="0" w:after="0" w:line="240" w:lineRule="auto"/>
        <w:jc w:val="center"/>
        <w:rPr>
          <w:rFonts w:ascii="宋体" w:hAnsi="宋体" w:eastAsia="宋体" w:cs="宋体"/>
          <w:color w:val="auto"/>
          <w:highlight w:val="none"/>
        </w:rPr>
      </w:pPr>
      <w:bookmarkStart w:id="206" w:name="_Toc19575"/>
      <w:bookmarkStart w:id="207" w:name="_Toc16730"/>
      <w:bookmarkStart w:id="208" w:name="_Toc29470"/>
      <w:r>
        <w:rPr>
          <w:rFonts w:hint="eastAsia" w:ascii="宋体" w:hAnsi="宋体" w:eastAsia="宋体" w:cs="宋体"/>
          <w:color w:val="auto"/>
          <w:highlight w:val="none"/>
        </w:rPr>
        <w:t>合同格式</w:t>
      </w:r>
      <w:bookmarkEnd w:id="203"/>
      <w:bookmarkEnd w:id="204"/>
      <w:bookmarkEnd w:id="205"/>
      <w:bookmarkEnd w:id="206"/>
      <w:bookmarkEnd w:id="207"/>
      <w:bookmarkEnd w:id="208"/>
    </w:p>
    <w:p>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为成交单位。为了保护甲、乙双方合法权益，根据《中华人民共和国政府采购法》及其实施条例、《中华人民共和国民法典》，在平等自愿的基础上，按照下面的条款和条件，签署本合同。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pPr>
        <w:pStyle w:val="21"/>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文件及本合同的有关规定制定的方案进行验收，并按国家有关规定、规范进行。</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eastAsia="宋体" w:cs="Times New Roman"/>
          <w:color w:val="auto"/>
          <w:sz w:val="21"/>
          <w:szCs w:val="21"/>
          <w:highlight w:val="none"/>
        </w:rPr>
        <w:t>与验收。</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3、对验收不合格的部分，乙方应在甲方规定时间内及时整改完善直至合格。</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4、乙方</w:t>
      </w:r>
      <w:r>
        <w:rPr>
          <w:rFonts w:hint="eastAsia" w:ascii="宋体" w:hAnsi="宋体" w:eastAsia="宋体" w:cs="Times New Roman"/>
          <w:color w:val="auto"/>
          <w:sz w:val="21"/>
          <w:szCs w:val="21"/>
          <w:highlight w:val="none"/>
        </w:rPr>
        <w:t>保证向</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提供的所有设计文件均自主设计的，不存在知识产权方面的纠纷。</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5、乙方的</w:t>
      </w:r>
      <w:r>
        <w:rPr>
          <w:rFonts w:hint="eastAsia" w:ascii="宋体" w:hAnsi="宋体" w:eastAsia="宋体" w:cs="Times New Roman"/>
          <w:color w:val="auto"/>
          <w:sz w:val="21"/>
          <w:szCs w:val="21"/>
          <w:highlight w:val="none"/>
        </w:rPr>
        <w:t>设计文件应达到一定的高度、深度和广度，应严格按照</w:t>
      </w:r>
      <w:r>
        <w:rPr>
          <w:rFonts w:hint="eastAsia" w:ascii="宋体" w:hAnsi="宋体" w:eastAsia="宋体" w:cs="Times New Roman"/>
          <w:color w:val="auto"/>
          <w:sz w:val="21"/>
          <w:szCs w:val="21"/>
          <w:highlight w:val="none"/>
          <w:lang w:val="en-US" w:eastAsia="zh-CN"/>
        </w:rPr>
        <w:t>采购</w:t>
      </w:r>
      <w:r>
        <w:rPr>
          <w:rFonts w:hint="eastAsia" w:ascii="宋体" w:hAnsi="宋体" w:eastAsia="宋体" w:cs="Times New Roman"/>
          <w:color w:val="auto"/>
          <w:sz w:val="21"/>
          <w:szCs w:val="21"/>
          <w:highlight w:val="none"/>
        </w:rPr>
        <w:t>文件的内容、规模和要求进行设计。设计中必须贯彻 “完整性、统一性、先进性”和“经济、高效、安全”的基本原则，同时应充分考虑智慧道路路网的整体智慧需求及前沿技术的应用。</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设计中引用、套用国家和部颁相关专业的设计规范、标准及新的相关专业的技术标准和要求时，应准确引用和套用。</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8、乙方的</w:t>
      </w:r>
      <w:r>
        <w:rPr>
          <w:rFonts w:hint="eastAsia" w:ascii="宋体" w:hAnsi="宋体" w:eastAsia="宋体" w:cs="Times New Roman"/>
          <w:color w:val="auto"/>
          <w:sz w:val="21"/>
          <w:szCs w:val="21"/>
          <w:highlight w:val="none"/>
        </w:rPr>
        <w:t>设计文件应对施工中的安全注意事项进行说明。</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9、乙方的</w:t>
      </w:r>
      <w:r>
        <w:rPr>
          <w:rFonts w:hint="eastAsia" w:ascii="宋体" w:hAnsi="宋体" w:eastAsia="宋体" w:cs="Times New Roman"/>
          <w:color w:val="auto"/>
          <w:sz w:val="21"/>
          <w:szCs w:val="21"/>
          <w:highlight w:val="none"/>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highlight w:val="none"/>
          <w:lang w:val="en-US" w:eastAsia="zh-CN"/>
        </w:rPr>
        <w:t>甲乙双方</w:t>
      </w:r>
      <w:r>
        <w:rPr>
          <w:rFonts w:hint="eastAsia" w:ascii="宋体" w:hAnsi="宋体" w:eastAsia="宋体" w:cs="Times New Roman"/>
          <w:color w:val="auto"/>
          <w:sz w:val="21"/>
          <w:szCs w:val="21"/>
          <w:highlight w:val="none"/>
        </w:rPr>
        <w:t>协商后决定。</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10、乙方</w:t>
      </w:r>
      <w:r>
        <w:rPr>
          <w:rFonts w:hint="eastAsia" w:ascii="宋体" w:hAnsi="宋体" w:eastAsia="宋体" w:cs="Times New Roman"/>
          <w:color w:val="auto"/>
          <w:sz w:val="21"/>
          <w:szCs w:val="21"/>
          <w:highlight w:val="none"/>
        </w:rPr>
        <w:t>设计文件的编制和装订应利于</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归档保存及保养。</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rPr>
        <w:t>接到设计任务后，按合同要求工期完成初步设计及施工图设计,并通过</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审核确认。</w:t>
      </w:r>
    </w:p>
    <w:p>
      <w:pPr>
        <w:widowControl/>
        <w:adjustRightInd w:val="0"/>
        <w:snapToGrid w:val="0"/>
        <w:spacing w:line="360" w:lineRule="auto"/>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1、中国政府根据现行税法对甲方征收的与本合同有关的一切税费均应由甲方承担。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2、中国政府根据现行税法规定对乙方或其雇员征收的与本合同有关的一切税费应由乙方承担。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2、乙方全部工作人员，须符合东莞市政府用工标准要求。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pPr>
        <w:pStyle w:val="7"/>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pPr>
        <w:rPr>
          <w:rFonts w:ascii="宋体" w:hAnsi="宋体" w:eastAsia="宋体"/>
          <w:b/>
          <w:color w:val="auto"/>
          <w:sz w:val="21"/>
          <w:szCs w:val="21"/>
          <w:highlight w:val="none"/>
        </w:rPr>
      </w:pP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3"/>
        <w:spacing w:before="0" w:after="0" w:line="240" w:lineRule="auto"/>
        <w:rPr>
          <w:color w:val="auto"/>
          <w:sz w:val="28"/>
          <w:szCs w:val="28"/>
          <w:highlight w:val="none"/>
        </w:rPr>
      </w:pPr>
      <w:bookmarkStart w:id="209" w:name="_Toc23749"/>
      <w:bookmarkStart w:id="210" w:name="_Toc15158"/>
      <w:bookmarkStart w:id="211"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09"/>
      <w:bookmarkEnd w:id="210"/>
      <w:bookmarkEnd w:id="211"/>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2" w:name="_Toc6790"/>
      <w:bookmarkStart w:id="213" w:name="_Toc26830"/>
      <w:bookmarkStart w:id="214" w:name="_Toc2434"/>
      <w:r>
        <w:rPr>
          <w:rFonts w:hint="eastAsia"/>
          <w:color w:val="auto"/>
          <w:highlight w:val="none"/>
          <w:lang w:eastAsia="zh-CN"/>
        </w:rPr>
        <w:t>响应文件</w:t>
      </w:r>
      <w:r>
        <w:rPr>
          <w:rFonts w:hint="eastAsia"/>
          <w:color w:val="auto"/>
          <w:highlight w:val="none"/>
        </w:rPr>
        <w:t>目录</w:t>
      </w:r>
      <w:bookmarkEnd w:id="212"/>
      <w:bookmarkEnd w:id="213"/>
      <w:bookmarkEnd w:id="214"/>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5" w:name="_Toc18893"/>
      <w:bookmarkStart w:id="216" w:name="_Toc28116"/>
      <w:bookmarkStart w:id="217" w:name="_Toc25502"/>
      <w:r>
        <w:rPr>
          <w:rFonts w:hint="eastAsia"/>
          <w:color w:val="auto"/>
          <w:highlight w:val="none"/>
        </w:rPr>
        <w:t>评分标准索引表</w:t>
      </w:r>
      <w:bookmarkEnd w:id="215"/>
      <w:bookmarkEnd w:id="216"/>
      <w:bookmarkEnd w:id="217"/>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7"/>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21"/>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8" w:name="_Toc22080"/>
      <w:bookmarkStart w:id="219" w:name="_Toc19057"/>
      <w:bookmarkStart w:id="220" w:name="_Toc30640"/>
      <w:r>
        <w:rPr>
          <w:rFonts w:hint="eastAsia"/>
          <w:color w:val="auto"/>
          <w:highlight w:val="none"/>
          <w:lang w:val="en-US" w:eastAsia="zh-CN"/>
        </w:rPr>
        <w:t>第一章价格文件</w:t>
      </w:r>
      <w:bookmarkEnd w:id="218"/>
      <w:bookmarkEnd w:id="219"/>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4168"/>
      <w:bookmarkStart w:id="222" w:name="_Toc29262"/>
      <w:r>
        <w:rPr>
          <w:rFonts w:hint="eastAsia"/>
          <w:color w:val="auto"/>
          <w:highlight w:val="none"/>
          <w:lang w:val="en-US" w:eastAsia="zh-CN"/>
        </w:rPr>
        <w:t>一、报价一览表</w:t>
      </w:r>
      <w:bookmarkEnd w:id="221"/>
      <w:bookmarkEnd w:id="222"/>
    </w:p>
    <w:p>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7"/>
        <w:rPr>
          <w:color w:val="auto"/>
          <w:highlight w:val="none"/>
        </w:rPr>
      </w:pPr>
    </w:p>
    <w:p>
      <w:pPr>
        <w:pStyle w:val="8"/>
        <w:rPr>
          <w:color w:val="auto"/>
          <w:highlight w:val="none"/>
        </w:rPr>
      </w:pPr>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3" w:name="_Toc31062"/>
      <w:bookmarkStart w:id="224" w:name="_Toc29258"/>
      <w:r>
        <w:rPr>
          <w:rFonts w:hint="eastAsia"/>
          <w:color w:val="auto"/>
          <w:highlight w:val="none"/>
          <w:lang w:val="en-US" w:eastAsia="zh-CN"/>
        </w:rPr>
        <w:t>二、报价明细表</w:t>
      </w:r>
      <w:bookmarkEnd w:id="223"/>
      <w:bookmarkEnd w:id="224"/>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20974"/>
      <w:bookmarkStart w:id="226" w:name="_Toc14734"/>
      <w:r>
        <w:rPr>
          <w:rFonts w:hint="eastAsia"/>
          <w:color w:val="auto"/>
          <w:highlight w:val="none"/>
          <w:lang w:val="en-US" w:eastAsia="zh-CN"/>
        </w:rPr>
        <w:t>三、小型或微型企业（货物/服务/承担的工程）明细表</w:t>
      </w:r>
      <w:bookmarkEnd w:id="225"/>
      <w:bookmarkEnd w:id="226"/>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17483"/>
      <w:bookmarkStart w:id="228" w:name="_Toc16718"/>
      <w:r>
        <w:rPr>
          <w:rFonts w:hint="eastAsia"/>
          <w:color w:val="auto"/>
          <w:highlight w:val="none"/>
          <w:lang w:val="en-US" w:eastAsia="zh-CN"/>
        </w:rPr>
        <w:t>四、节能产品或环境标志产品明细表</w:t>
      </w:r>
      <w:bookmarkEnd w:id="227"/>
      <w:bookmarkEnd w:id="228"/>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29"/>
        <w:rPr>
          <w:rFonts w:hint="eastAsia"/>
          <w:color w:val="auto"/>
          <w:highlight w:val="none"/>
        </w:rPr>
      </w:pPr>
    </w:p>
    <w:p>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所投产品中无节能或环保产品的，请留空或删除此表！</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9" w:name="_Toc8170"/>
      <w:bookmarkStart w:id="230" w:name="_Toc10853"/>
      <w:r>
        <w:rPr>
          <w:rFonts w:hint="eastAsia"/>
          <w:color w:val="auto"/>
          <w:highlight w:val="none"/>
          <w:lang w:val="en-US" w:eastAsia="zh-CN"/>
        </w:rPr>
        <w:t>五、中小企业声明函</w:t>
      </w:r>
      <w:bookmarkEnd w:id="229"/>
      <w:bookmarkEnd w:id="23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1" w:name="_Toc8560"/>
      <w:bookmarkStart w:id="232" w:name="_Toc312"/>
      <w:r>
        <w:rPr>
          <w:rFonts w:hint="eastAsia"/>
          <w:color w:val="auto"/>
          <w:highlight w:val="none"/>
          <w:lang w:val="en-US" w:eastAsia="zh-CN"/>
        </w:rPr>
        <w:t>六、残疾人福利性单位声明函</w:t>
      </w:r>
      <w:bookmarkEnd w:id="231"/>
      <w:bookmarkEnd w:id="232"/>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33" w:name="_Toc509844825"/>
      <w:bookmarkStart w:id="234" w:name="_Toc508960153"/>
      <w:bookmarkStart w:id="235" w:name="_Toc17761"/>
      <w:bookmarkStart w:id="236" w:name="_Toc22970"/>
      <w:bookmarkStart w:id="237" w:name="_Toc509479530"/>
      <w:bookmarkStart w:id="238" w:name="_Toc30247"/>
      <w:bookmarkStart w:id="239" w:name="_Toc508958703"/>
      <w:bookmarkStart w:id="240" w:name="_Toc30277"/>
      <w:bookmarkStart w:id="241" w:name="_Toc510171693"/>
      <w:bookmarkStart w:id="242" w:name="_Toc508898066"/>
      <w:bookmarkStart w:id="243" w:name="_Toc509927455"/>
      <w:bookmarkStart w:id="244" w:name="_Toc2091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33"/>
      <w:bookmarkEnd w:id="234"/>
      <w:bookmarkEnd w:id="235"/>
      <w:bookmarkEnd w:id="236"/>
      <w:bookmarkEnd w:id="237"/>
      <w:bookmarkEnd w:id="238"/>
      <w:bookmarkEnd w:id="239"/>
      <w:bookmarkEnd w:id="240"/>
      <w:bookmarkEnd w:id="241"/>
      <w:bookmarkEnd w:id="242"/>
      <w:bookmarkEnd w:id="243"/>
      <w:bookmarkEnd w:id="244"/>
    </w:p>
    <w:p>
      <w:pPr>
        <w:pStyle w:val="7"/>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45" w:name="_Toc508960154"/>
      <w:bookmarkStart w:id="246" w:name="_Toc508958704"/>
      <w:bookmarkStart w:id="247" w:name="_Toc509844826"/>
      <w:bookmarkStart w:id="248" w:name="_Toc509479531"/>
      <w:bookmarkStart w:id="249" w:name="_Toc28527"/>
      <w:bookmarkStart w:id="250" w:name="_Toc26216"/>
      <w:bookmarkStart w:id="251" w:name="_Toc509927456"/>
      <w:bookmarkStart w:id="252" w:name="_Toc510171694"/>
      <w:bookmarkStart w:id="253" w:name="_Toc21053"/>
      <w:bookmarkStart w:id="254" w:name="_Toc31520"/>
      <w:bookmarkStart w:id="255" w:name="_Toc508898067"/>
      <w:bookmarkStart w:id="256" w:name="_Toc5447"/>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45"/>
      <w:bookmarkEnd w:id="246"/>
      <w:bookmarkEnd w:id="247"/>
      <w:bookmarkEnd w:id="248"/>
      <w:bookmarkEnd w:id="249"/>
      <w:bookmarkEnd w:id="250"/>
      <w:bookmarkEnd w:id="251"/>
      <w:bookmarkEnd w:id="252"/>
      <w:bookmarkEnd w:id="253"/>
      <w:bookmarkEnd w:id="254"/>
      <w:bookmarkEnd w:id="255"/>
      <w:bookmarkEnd w:id="25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7" w:name="_Toc510171695"/>
      <w:bookmarkStart w:id="258" w:name="_Toc508958705"/>
      <w:bookmarkStart w:id="259" w:name="_Toc14653"/>
      <w:bookmarkStart w:id="260" w:name="_Toc9148"/>
      <w:bookmarkStart w:id="261" w:name="_Toc24848"/>
      <w:bookmarkStart w:id="262" w:name="_Toc508898068"/>
      <w:bookmarkStart w:id="263" w:name="_Toc28126"/>
      <w:bookmarkStart w:id="264" w:name="_Toc509927457"/>
      <w:bookmarkStart w:id="265" w:name="_Toc509844827"/>
      <w:bookmarkStart w:id="266" w:name="_Toc509479532"/>
      <w:bookmarkStart w:id="267" w:name="_Toc28626"/>
      <w:bookmarkStart w:id="268" w:name="_Toc508960155"/>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257"/>
      <w:bookmarkEnd w:id="258"/>
      <w:bookmarkEnd w:id="259"/>
      <w:bookmarkEnd w:id="260"/>
      <w:bookmarkEnd w:id="261"/>
      <w:bookmarkEnd w:id="262"/>
      <w:bookmarkEnd w:id="263"/>
      <w:bookmarkEnd w:id="264"/>
      <w:bookmarkEnd w:id="265"/>
      <w:bookmarkEnd w:id="266"/>
      <w:bookmarkEnd w:id="267"/>
      <w:bookmarkEnd w:id="26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9" w:name="_Toc28044"/>
      <w:bookmarkStart w:id="270" w:name="_Toc509927458"/>
      <w:bookmarkStart w:id="271" w:name="_Toc509479533"/>
      <w:bookmarkStart w:id="272" w:name="_Toc22981"/>
      <w:bookmarkStart w:id="273" w:name="_Toc509844828"/>
      <w:bookmarkStart w:id="274" w:name="_Toc510171696"/>
      <w:bookmarkStart w:id="275" w:name="_Toc28686"/>
      <w:bookmarkStart w:id="276" w:name="_Toc7858"/>
      <w:bookmarkStart w:id="277" w:name="_Toc9837"/>
      <w:bookmarkStart w:id="278" w:name="_Toc508960156"/>
      <w:bookmarkStart w:id="279" w:name="_Toc508898069"/>
      <w:bookmarkStart w:id="280" w:name="_Toc508958706"/>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269"/>
      <w:bookmarkEnd w:id="270"/>
      <w:bookmarkEnd w:id="271"/>
      <w:bookmarkEnd w:id="272"/>
      <w:bookmarkEnd w:id="273"/>
      <w:bookmarkEnd w:id="274"/>
      <w:bookmarkEnd w:id="275"/>
      <w:bookmarkEnd w:id="276"/>
      <w:bookmarkEnd w:id="277"/>
      <w:bookmarkEnd w:id="278"/>
      <w:bookmarkEnd w:id="279"/>
      <w:bookmarkEnd w:id="28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1" w:name="_Toc509479534"/>
      <w:bookmarkStart w:id="282" w:name="_Toc508960157"/>
      <w:bookmarkStart w:id="283" w:name="_Toc509844829"/>
      <w:bookmarkStart w:id="284" w:name="_Toc508958707"/>
      <w:bookmarkStart w:id="285" w:name="_Toc509927459"/>
      <w:bookmarkStart w:id="286" w:name="_Toc18843"/>
      <w:bookmarkStart w:id="287" w:name="_Toc510171697"/>
      <w:bookmarkStart w:id="288" w:name="_Toc508898070"/>
      <w:bookmarkStart w:id="289" w:name="_Toc5289"/>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81"/>
      <w:bookmarkEnd w:id="282"/>
      <w:bookmarkEnd w:id="283"/>
      <w:bookmarkEnd w:id="284"/>
      <w:bookmarkEnd w:id="285"/>
      <w:bookmarkEnd w:id="286"/>
      <w:bookmarkEnd w:id="287"/>
      <w:bookmarkEnd w:id="288"/>
      <w:bookmarkEnd w:id="289"/>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0" w:name="_Toc2486"/>
      <w:bookmarkStart w:id="291" w:name="_Toc23948"/>
      <w:r>
        <w:rPr>
          <w:rFonts w:hint="eastAsia"/>
          <w:color w:val="auto"/>
          <w:highlight w:val="none"/>
          <w:lang w:val="en-US" w:eastAsia="zh-CN"/>
        </w:rPr>
        <w:t>第二章商务文件</w:t>
      </w:r>
      <w:bookmarkEnd w:id="290"/>
      <w:bookmarkEnd w:id="291"/>
    </w:p>
    <w:bookmarkEnd w:id="220"/>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2" w:name="_Toc23787"/>
      <w:bookmarkStart w:id="293" w:name="_Toc4151"/>
      <w:r>
        <w:rPr>
          <w:rFonts w:hint="eastAsia"/>
          <w:color w:val="auto"/>
          <w:highlight w:val="none"/>
          <w:lang w:val="en-US" w:eastAsia="zh-CN"/>
        </w:rPr>
        <w:t>一、响应函</w:t>
      </w:r>
      <w:bookmarkEnd w:id="292"/>
      <w:bookmarkEnd w:id="293"/>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4" w:name="_Toc15719"/>
      <w:bookmarkStart w:id="295" w:name="_Toc27961"/>
      <w:r>
        <w:rPr>
          <w:rFonts w:hint="eastAsia"/>
          <w:color w:val="auto"/>
          <w:highlight w:val="none"/>
          <w:lang w:val="en-US" w:eastAsia="zh-CN"/>
        </w:rPr>
        <w:t>二、资格申明函</w:t>
      </w:r>
      <w:bookmarkEnd w:id="294"/>
      <w:bookmarkEnd w:id="295"/>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rPr>
          <w:color w:val="auto"/>
          <w:highlight w:val="none"/>
        </w:rPr>
      </w:pPr>
      <w:bookmarkStart w:id="296"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7" w:name="_Toc21335"/>
      <w:bookmarkStart w:id="298" w:name="_Toc21273"/>
      <w:r>
        <w:rPr>
          <w:rFonts w:hint="eastAsia"/>
          <w:color w:val="auto"/>
          <w:highlight w:val="none"/>
          <w:lang w:val="en-US" w:eastAsia="zh-CN"/>
        </w:rPr>
        <w:t>三、在参与政府采购活动前三年未有重大违法记录、没有不良信用记录的声明函</w:t>
      </w:r>
      <w:bookmarkEnd w:id="297"/>
      <w:bookmarkEnd w:id="298"/>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96"/>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9" w:name="_Toc32128"/>
      <w:bookmarkStart w:id="300" w:name="_Toc13243"/>
      <w:r>
        <w:rPr>
          <w:rFonts w:hint="eastAsia"/>
          <w:color w:val="auto"/>
          <w:highlight w:val="none"/>
          <w:lang w:val="en-US" w:eastAsia="zh-CN"/>
        </w:rPr>
        <w:t>四、法定代表人证明书</w:t>
      </w:r>
      <w:bookmarkEnd w:id="299"/>
      <w:bookmarkEnd w:id="300"/>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1" w:name="_Toc5918"/>
      <w:bookmarkStart w:id="302" w:name="_Toc11689"/>
      <w:r>
        <w:rPr>
          <w:rFonts w:hint="eastAsia"/>
          <w:color w:val="auto"/>
          <w:highlight w:val="none"/>
          <w:lang w:val="en-US" w:eastAsia="zh-CN"/>
        </w:rPr>
        <w:t>五、法定代表人授权书</w:t>
      </w:r>
      <w:bookmarkEnd w:id="301"/>
      <w:bookmarkEnd w:id="302"/>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303"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1197"/>
      <w:bookmarkStart w:id="305" w:name="_Toc24013"/>
      <w:r>
        <w:rPr>
          <w:rFonts w:hint="eastAsia"/>
          <w:color w:val="auto"/>
          <w:highlight w:val="none"/>
          <w:lang w:val="en-US" w:eastAsia="zh-CN"/>
        </w:rPr>
        <w:t>六、供应商基本情况说明</w:t>
      </w:r>
      <w:bookmarkEnd w:id="304"/>
      <w:bookmarkEnd w:id="305"/>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06" w:name="_Toc4926"/>
      <w:bookmarkStart w:id="307" w:name="_Toc1511"/>
      <w:bookmarkStart w:id="308" w:name="_Toc5919"/>
      <w:bookmarkStart w:id="309" w:name="_Toc29995"/>
      <w:bookmarkStart w:id="310" w:name="_Toc24210"/>
      <w:bookmarkStart w:id="311" w:name="_Toc17470"/>
      <w:bookmarkStart w:id="312" w:name="_Toc11992"/>
      <w:r>
        <w:rPr>
          <w:rFonts w:hint="eastAsia"/>
          <w:color w:val="auto"/>
          <w:highlight w:val="none"/>
          <w:lang w:val="en-US" w:eastAsia="zh-CN"/>
        </w:rPr>
        <w:t>七、</w:t>
      </w:r>
      <w:r>
        <w:rPr>
          <w:rFonts w:hint="eastAsia"/>
          <w:color w:val="auto"/>
          <w:highlight w:val="none"/>
        </w:rPr>
        <w:t>营业执照</w:t>
      </w:r>
      <w:bookmarkEnd w:id="306"/>
      <w:bookmarkEnd w:id="307"/>
      <w:bookmarkEnd w:id="308"/>
      <w:bookmarkEnd w:id="309"/>
      <w:bookmarkEnd w:id="310"/>
      <w:bookmarkEnd w:id="311"/>
      <w:bookmarkEnd w:id="312"/>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03"/>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3" w:name="_Toc29439"/>
      <w:bookmarkStart w:id="314" w:name="_Toc12706"/>
      <w:r>
        <w:rPr>
          <w:rFonts w:hint="eastAsia"/>
          <w:color w:val="auto"/>
          <w:highlight w:val="none"/>
          <w:lang w:val="en-US" w:eastAsia="zh-CN"/>
        </w:rPr>
        <w:t>八、</w:t>
      </w:r>
      <w:r>
        <w:rPr>
          <w:rFonts w:hint="eastAsia"/>
          <w:color w:val="auto"/>
          <w:highlight w:val="none"/>
        </w:rPr>
        <w:t>特殊资格要求证明文件</w:t>
      </w:r>
      <w:bookmarkEnd w:id="313"/>
      <w:bookmarkEnd w:id="31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5" w:name="_Toc23341"/>
      <w:bookmarkStart w:id="316" w:name="_Toc14482"/>
      <w:r>
        <w:rPr>
          <w:rFonts w:hint="eastAsia"/>
          <w:color w:val="auto"/>
          <w:highlight w:val="none"/>
          <w:lang w:val="en-US" w:eastAsia="zh-CN"/>
        </w:rPr>
        <w:t>九、</w:t>
      </w:r>
      <w:r>
        <w:rPr>
          <w:rFonts w:hint="eastAsia"/>
          <w:color w:val="auto"/>
          <w:highlight w:val="none"/>
        </w:rPr>
        <w:t>承诺书</w:t>
      </w:r>
      <w:bookmarkEnd w:id="315"/>
      <w:bookmarkEnd w:id="316"/>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17"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17"/>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8" w:name="_Toc13653"/>
      <w:bookmarkStart w:id="319" w:name="_Toc31815"/>
      <w:r>
        <w:rPr>
          <w:rFonts w:hint="eastAsia"/>
          <w:color w:val="auto"/>
          <w:highlight w:val="none"/>
          <w:lang w:val="en-US" w:eastAsia="zh-CN"/>
        </w:rPr>
        <w:t>十、招标代理服务费承诺书</w:t>
      </w:r>
      <w:bookmarkEnd w:id="318"/>
      <w:bookmarkEnd w:id="319"/>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0" w:name="_Toc21582"/>
      <w:bookmarkStart w:id="321" w:name="_Toc1975"/>
      <w:r>
        <w:rPr>
          <w:rFonts w:hint="eastAsia"/>
          <w:color w:val="auto"/>
          <w:highlight w:val="none"/>
          <w:lang w:val="en-US" w:eastAsia="zh-CN"/>
        </w:rPr>
        <w:t>十一、</w:t>
      </w:r>
      <w:r>
        <w:rPr>
          <w:rFonts w:hint="eastAsia"/>
          <w:color w:val="auto"/>
          <w:highlight w:val="none"/>
        </w:rPr>
        <w:t>商务条款偏离表</w:t>
      </w:r>
      <w:bookmarkEnd w:id="320"/>
      <w:bookmarkEnd w:id="321"/>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22"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3" w:name="_Toc25391"/>
      <w:bookmarkStart w:id="324" w:name="_Toc7350"/>
      <w:r>
        <w:rPr>
          <w:rFonts w:hint="eastAsia"/>
          <w:color w:val="auto"/>
          <w:highlight w:val="none"/>
          <w:lang w:val="en-US" w:eastAsia="zh-CN"/>
        </w:rPr>
        <w:t>十二、</w:t>
      </w:r>
      <w:r>
        <w:rPr>
          <w:rFonts w:hint="eastAsia"/>
          <w:color w:val="auto"/>
          <w:highlight w:val="none"/>
        </w:rPr>
        <w:t>业绩表</w:t>
      </w:r>
      <w:bookmarkEnd w:id="323"/>
      <w:bookmarkEnd w:id="324"/>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highlight w:val="none"/>
        </w:rPr>
      </w:pPr>
    </w:p>
    <w:p>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25" w:name="_Toc14688"/>
      <w:bookmarkStart w:id="326" w:name="_Toc25650"/>
      <w:r>
        <w:rPr>
          <w:rFonts w:hint="eastAsia"/>
          <w:color w:val="auto"/>
          <w:highlight w:val="none"/>
          <w:lang w:val="en-US" w:eastAsia="zh-CN"/>
        </w:rPr>
        <w:t>第三章技术文件</w:t>
      </w:r>
      <w:bookmarkEnd w:id="322"/>
      <w:bookmarkEnd w:id="325"/>
      <w:bookmarkEnd w:id="326"/>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7" w:name="_Toc7092"/>
      <w:bookmarkStart w:id="328" w:name="_Toc13588"/>
      <w:r>
        <w:rPr>
          <w:rFonts w:hint="eastAsia"/>
          <w:color w:val="auto"/>
          <w:highlight w:val="none"/>
          <w:lang w:val="en-US" w:eastAsia="zh-CN"/>
        </w:rPr>
        <w:t>一、</w:t>
      </w:r>
      <w:r>
        <w:rPr>
          <w:rFonts w:hint="eastAsia"/>
          <w:color w:val="auto"/>
          <w:highlight w:val="none"/>
        </w:rPr>
        <w:t>技术规格偏离表</w:t>
      </w:r>
      <w:bookmarkEnd w:id="327"/>
      <w:bookmarkEnd w:id="328"/>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29" w:name="_Toc17691"/>
      <w:r>
        <w:rPr>
          <w:rFonts w:hint="eastAsia" w:ascii="宋体" w:hAnsi="宋体" w:eastAsia="宋体"/>
          <w:color w:val="auto"/>
          <w:sz w:val="21"/>
          <w:szCs w:val="21"/>
          <w:highlight w:val="none"/>
        </w:rPr>
        <w:br w:type="page"/>
      </w:r>
      <w:bookmarkEnd w:id="329"/>
      <w:bookmarkStart w:id="330" w:name="_Toc18668"/>
      <w:bookmarkStart w:id="331" w:name="_Toc26078"/>
      <w:bookmarkStart w:id="332" w:name="_Toc6080"/>
      <w:bookmarkStart w:id="333" w:name="_Toc4464"/>
      <w:bookmarkStart w:id="334" w:name="_Toc4827"/>
      <w:bookmarkStart w:id="335" w:name="_Toc1274"/>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6" w:name="_Toc28702"/>
      <w:bookmarkStart w:id="337" w:name="_Toc10734"/>
      <w:r>
        <w:rPr>
          <w:rFonts w:hint="eastAsia"/>
          <w:color w:val="auto"/>
          <w:highlight w:val="none"/>
          <w:lang w:val="en-US" w:eastAsia="zh-CN"/>
        </w:rPr>
        <w:t>二、</w:t>
      </w:r>
      <w:r>
        <w:rPr>
          <w:rFonts w:hint="eastAsia"/>
          <w:color w:val="auto"/>
          <w:highlight w:val="none"/>
        </w:rPr>
        <w:t>重要技术参数（▲）响应表</w:t>
      </w:r>
      <w:bookmarkEnd w:id="330"/>
      <w:bookmarkEnd w:id="331"/>
      <w:bookmarkEnd w:id="332"/>
      <w:bookmarkEnd w:id="333"/>
      <w:bookmarkEnd w:id="334"/>
      <w:bookmarkEnd w:id="335"/>
      <w:bookmarkEnd w:id="336"/>
      <w:bookmarkEnd w:id="337"/>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38" w:name="_Toc27079"/>
            <w:bookmarkStart w:id="339" w:name="_Toc2784"/>
            <w:bookmarkStart w:id="340" w:name="_Toc29642"/>
            <w:bookmarkStart w:id="341" w:name="_Toc29560"/>
            <w:r>
              <w:rPr>
                <w:rFonts w:hint="eastAsia" w:ascii="宋体" w:hAnsi="宋体" w:eastAsia="宋体" w:cs="宋体"/>
                <w:b w:val="0"/>
                <w:bCs w:val="0"/>
                <w:color w:val="auto"/>
                <w:sz w:val="21"/>
                <w:szCs w:val="21"/>
                <w:highlight w:val="none"/>
                <w:lang w:val="en-US" w:eastAsia="zh-CN"/>
              </w:rPr>
              <w:t>序号</w:t>
            </w:r>
            <w:bookmarkEnd w:id="338"/>
            <w:bookmarkEnd w:id="339"/>
            <w:bookmarkEnd w:id="340"/>
            <w:bookmarkEnd w:id="341"/>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42" w:name="_Toc12049"/>
            <w:bookmarkStart w:id="343" w:name="_Toc6189"/>
            <w:bookmarkStart w:id="344" w:name="_Toc15368"/>
            <w:bookmarkStart w:id="345" w:name="_Toc1016"/>
            <w:bookmarkStart w:id="346" w:name="_Toc21739"/>
            <w:bookmarkStart w:id="347" w:name="_Toc16872"/>
            <w:bookmarkStart w:id="348" w:name="_Toc27090"/>
            <w:bookmarkStart w:id="349" w:name="_Toc22448"/>
            <w:bookmarkStart w:id="350" w:name="_Toc10045"/>
            <w:bookmarkStart w:id="351" w:name="_Toc4304"/>
            <w:bookmarkStart w:id="352" w:name="_Toc26124"/>
            <w:bookmarkStart w:id="353" w:name="_Toc14815"/>
            <w:bookmarkStart w:id="354" w:name="_Toc15903"/>
            <w:bookmarkStart w:id="355" w:name="_Toc2700"/>
            <w:bookmarkStart w:id="356" w:name="_Toc19251"/>
            <w:bookmarkStart w:id="357" w:name="_Toc8490"/>
            <w:bookmarkStart w:id="358" w:name="_Toc32531"/>
            <w:bookmarkStart w:id="359" w:name="_Toc24662"/>
            <w:bookmarkStart w:id="360" w:name="_Toc27442"/>
            <w:bookmarkStart w:id="361" w:name="_Toc21809"/>
            <w:bookmarkStart w:id="362" w:name="_Toc22879"/>
            <w:bookmarkStart w:id="363" w:name="_Toc22917"/>
            <w:bookmarkStart w:id="364" w:name="_Toc7333"/>
            <w:bookmarkStart w:id="365" w:name="_Toc8312"/>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6" w:name="_Toc22153"/>
            <w:bookmarkStart w:id="367" w:name="_Toc2408"/>
            <w:bookmarkStart w:id="368" w:name="_Toc10122"/>
            <w:bookmarkStart w:id="369" w:name="_Toc21496"/>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366"/>
            <w:bookmarkEnd w:id="367"/>
            <w:bookmarkEnd w:id="368"/>
            <w:bookmarkEnd w:id="369"/>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0" w:name="_Toc29838"/>
            <w:bookmarkStart w:id="371" w:name="_Toc16003"/>
            <w:bookmarkStart w:id="372" w:name="_Toc27285"/>
            <w:bookmarkStart w:id="373" w:name="_Toc16432"/>
            <w:bookmarkStart w:id="374" w:name="_Toc1330"/>
            <w:bookmarkStart w:id="375" w:name="_Toc17642"/>
            <w:bookmarkStart w:id="376" w:name="_Toc20820"/>
            <w:bookmarkStart w:id="377" w:name="_Toc1912"/>
            <w:bookmarkStart w:id="378" w:name="_Toc5563"/>
            <w:bookmarkStart w:id="379" w:name="_Toc3701"/>
            <w:bookmarkStart w:id="380" w:name="_Toc20139"/>
            <w:bookmarkStart w:id="381" w:name="_Toc5992"/>
            <w:bookmarkStart w:id="382" w:name="_Toc17296"/>
            <w:bookmarkStart w:id="383" w:name="_Toc27185"/>
            <w:r>
              <w:rPr>
                <w:rFonts w:hint="eastAsia" w:ascii="宋体" w:hAnsi="宋体" w:eastAsia="宋体" w:cs="宋体"/>
                <w:b w:val="0"/>
                <w:bCs w:val="0"/>
                <w:color w:val="auto"/>
                <w:sz w:val="21"/>
                <w:szCs w:val="21"/>
                <w:highlight w:val="none"/>
                <w:lang w:val="en-US" w:eastAsia="zh-CN"/>
              </w:rPr>
              <w:t>说明</w:t>
            </w:r>
            <w:bookmarkEnd w:id="370"/>
            <w:bookmarkEnd w:id="371"/>
            <w:bookmarkEnd w:id="372"/>
            <w:bookmarkEnd w:id="373"/>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84" w:name="_Toc857"/>
            <w:bookmarkStart w:id="385" w:name="_Toc19105"/>
            <w:bookmarkStart w:id="386" w:name="_Toc31920"/>
            <w:bookmarkStart w:id="387" w:name="_Toc3520"/>
            <w:r>
              <w:rPr>
                <w:rFonts w:hint="eastAsia" w:ascii="宋体" w:hAnsi="宋体" w:eastAsia="宋体" w:cs="宋体"/>
                <w:b w:val="0"/>
                <w:bCs w:val="0"/>
                <w:color w:val="auto"/>
                <w:sz w:val="21"/>
                <w:szCs w:val="21"/>
                <w:highlight w:val="none"/>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pPr>
        <w:pStyle w:val="32"/>
        <w:spacing w:after="0" w:line="360" w:lineRule="auto"/>
        <w:rPr>
          <w:rFonts w:ascii="宋体" w:hAnsi="宋体" w:eastAsia="宋体"/>
          <w:color w:val="auto"/>
          <w:sz w:val="21"/>
          <w:szCs w:val="21"/>
          <w:highlight w:val="none"/>
        </w:rPr>
      </w:pP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2"/>
        <w:spacing w:after="0" w:line="360" w:lineRule="auto"/>
        <w:rPr>
          <w:rFonts w:ascii="宋体" w:hAnsi="宋体" w:eastAsia="宋体"/>
          <w:color w:val="auto"/>
          <w:sz w:val="21"/>
          <w:szCs w:val="21"/>
          <w:highlight w:val="none"/>
        </w:rPr>
      </w:pPr>
    </w:p>
    <w:p>
      <w:pPr>
        <w:pStyle w:val="32"/>
        <w:numPr>
          <w:ilvl w:val="0"/>
          <w:numId w:val="23"/>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8" w:name="_Toc25570"/>
      <w:bookmarkStart w:id="389" w:name="_Toc19349"/>
      <w:r>
        <w:rPr>
          <w:rFonts w:hint="eastAsia"/>
          <w:color w:val="auto"/>
          <w:highlight w:val="none"/>
          <w:lang w:val="en-US" w:eastAsia="zh-CN"/>
        </w:rPr>
        <w:t>三、</w:t>
      </w:r>
      <w:r>
        <w:rPr>
          <w:rFonts w:hint="eastAsia"/>
          <w:color w:val="auto"/>
          <w:highlight w:val="none"/>
        </w:rPr>
        <w:t>实质性条款（标记★）响应表</w:t>
      </w:r>
      <w:bookmarkEnd w:id="388"/>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90"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89"/>
      <w:bookmarkEnd w:id="390"/>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1" w:name="_Toc16328"/>
      <w:bookmarkStart w:id="392" w:name="_Toc16875"/>
      <w:r>
        <w:rPr>
          <w:rFonts w:hint="eastAsia"/>
          <w:color w:val="auto"/>
          <w:highlight w:val="none"/>
          <w:lang w:val="en-US" w:eastAsia="zh-CN"/>
        </w:rPr>
        <w:t>五、项目负责人及团队成员资料表</w:t>
      </w:r>
      <w:bookmarkEnd w:id="391"/>
      <w:bookmarkEnd w:id="392"/>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93" w:name="_Toc27978"/>
      <w:bookmarkStart w:id="394" w:name="_Toc15431"/>
      <w:r>
        <w:rPr>
          <w:rFonts w:hint="eastAsia"/>
          <w:color w:val="auto"/>
          <w:highlight w:val="none"/>
          <w:lang w:val="en-US" w:eastAsia="zh-CN"/>
        </w:rPr>
        <w:t>六、响应货物明细一览表</w:t>
      </w:r>
      <w:bookmarkEnd w:id="393"/>
      <w:bookmarkEnd w:id="394"/>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10"/>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5" w:name="_Toc31841"/>
      <w:r>
        <w:rPr>
          <w:rFonts w:hint="eastAsia"/>
          <w:color w:val="auto"/>
          <w:highlight w:val="none"/>
          <w:lang w:val="en-US" w:eastAsia="zh-CN"/>
        </w:rPr>
        <w:t>七、政府采购履约担保函</w:t>
      </w:r>
      <w:bookmarkEnd w:id="39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6" w:name="_Toc26782"/>
      <w:bookmarkStart w:id="397" w:name="_Toc17348"/>
      <w:r>
        <w:rPr>
          <w:rFonts w:hint="eastAsia"/>
          <w:color w:val="auto"/>
          <w:highlight w:val="none"/>
          <w:lang w:val="en-US" w:eastAsia="zh-CN"/>
        </w:rPr>
        <w:t>第四章报价信封（单独封装）</w:t>
      </w:r>
      <w:bookmarkEnd w:id="396"/>
      <w:bookmarkEnd w:id="39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98"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9" w:name="_Toc22736"/>
      <w:bookmarkStart w:id="400" w:name="_Toc13881"/>
      <w:r>
        <w:rPr>
          <w:rFonts w:hint="eastAsia"/>
          <w:color w:val="auto"/>
          <w:highlight w:val="none"/>
          <w:lang w:val="en-US" w:eastAsia="zh-CN"/>
        </w:rPr>
        <w:t>第五章联合体共同报价协议书（如有需要）</w:t>
      </w:r>
      <w:bookmarkEnd w:id="399"/>
      <w:bookmarkEnd w:id="40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98"/>
    <w:p>
      <w:pPr>
        <w:spacing w:after="0" w:line="360" w:lineRule="auto"/>
        <w:jc w:val="both"/>
        <w:rPr>
          <w:rFonts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8"/>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9"/>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848B661"/>
    <w:multiLevelType w:val="singleLevel"/>
    <w:tmpl w:val="0848B661"/>
    <w:lvl w:ilvl="0" w:tentative="0">
      <w:start w:val="1"/>
      <w:numFmt w:val="chineseCounting"/>
      <w:suff w:val="nothing"/>
      <w:lvlText w:val="%1、"/>
      <w:lvlJc w:val="left"/>
      <w:pPr>
        <w:ind w:left="0" w:firstLine="420"/>
      </w:pPr>
      <w:rPr>
        <w:rFonts w:hint="eastAsia"/>
      </w:rPr>
    </w:lvl>
  </w:abstractNum>
  <w:abstractNum w:abstractNumId="13">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4">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5">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6">
    <w:nsid w:val="316010E5"/>
    <w:multiLevelType w:val="singleLevel"/>
    <w:tmpl w:val="316010E5"/>
    <w:lvl w:ilvl="0" w:tentative="0">
      <w:start w:val="1"/>
      <w:numFmt w:val="decimal"/>
      <w:suff w:val="nothing"/>
      <w:lvlText w:val="%1．"/>
      <w:lvlJc w:val="left"/>
    </w:lvl>
  </w:abstractNum>
  <w:abstractNum w:abstractNumId="17">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8">
    <w:nsid w:val="3B1B8417"/>
    <w:multiLevelType w:val="singleLevel"/>
    <w:tmpl w:val="3B1B8417"/>
    <w:lvl w:ilvl="0" w:tentative="0">
      <w:start w:val="1"/>
      <w:numFmt w:val="decimal"/>
      <w:suff w:val="nothing"/>
      <w:lvlText w:val="%1、"/>
      <w:lvlJc w:val="left"/>
    </w:lvl>
  </w:abstractNum>
  <w:abstractNum w:abstractNumId="19">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0">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1">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2">
    <w:nsid w:val="6E5CE7BD"/>
    <w:multiLevelType w:val="singleLevel"/>
    <w:tmpl w:val="6E5CE7BD"/>
    <w:lvl w:ilvl="0" w:tentative="0">
      <w:start w:val="1"/>
      <w:numFmt w:val="chineseCounting"/>
      <w:suff w:val="nothing"/>
      <w:lvlText w:val="%1、"/>
      <w:lvlJc w:val="left"/>
      <w:rPr>
        <w:rFonts w:hint="eastAsia"/>
      </w:rPr>
    </w:lvl>
  </w:abstractNum>
  <w:abstractNum w:abstractNumId="23">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2"/>
  </w:num>
  <w:num w:numId="2">
    <w:abstractNumId w:val="18"/>
  </w:num>
  <w:num w:numId="3">
    <w:abstractNumId w:val="10"/>
  </w:num>
  <w:num w:numId="4">
    <w:abstractNumId w:val="23"/>
  </w:num>
  <w:num w:numId="5">
    <w:abstractNumId w:val="19"/>
  </w:num>
  <w:num w:numId="6">
    <w:abstractNumId w:val="4"/>
  </w:num>
  <w:num w:numId="7">
    <w:abstractNumId w:val="5"/>
  </w:num>
  <w:num w:numId="8">
    <w:abstractNumId w:val="0"/>
  </w:num>
  <w:num w:numId="9">
    <w:abstractNumId w:val="1"/>
  </w:num>
  <w:num w:numId="10">
    <w:abstractNumId w:val="17"/>
  </w:num>
  <w:num w:numId="11">
    <w:abstractNumId w:val="15"/>
  </w:num>
  <w:num w:numId="12">
    <w:abstractNumId w:val="7"/>
  </w:num>
  <w:num w:numId="13">
    <w:abstractNumId w:val="6"/>
  </w:num>
  <w:num w:numId="14">
    <w:abstractNumId w:val="20"/>
  </w:num>
  <w:num w:numId="15">
    <w:abstractNumId w:val="3"/>
  </w:num>
  <w:num w:numId="16">
    <w:abstractNumId w:val="9"/>
  </w:num>
  <w:num w:numId="17">
    <w:abstractNumId w:val="13"/>
  </w:num>
  <w:num w:numId="18">
    <w:abstractNumId w:val="14"/>
  </w:num>
  <w:num w:numId="19">
    <w:abstractNumId w:val="21"/>
  </w:num>
  <w:num w:numId="20">
    <w:abstractNumId w:val="12"/>
  </w:num>
  <w:num w:numId="21">
    <w:abstractNumId w:val="8"/>
  </w:num>
  <w:num w:numId="22">
    <w:abstractNumId w:val="11"/>
  </w:num>
  <w:num w:numId="23">
    <w:abstractNumId w:val="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64ACE"/>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088A"/>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272C0"/>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1F878E1"/>
    <w:rsid w:val="02126CDB"/>
    <w:rsid w:val="021832B7"/>
    <w:rsid w:val="021B6F64"/>
    <w:rsid w:val="024E2E49"/>
    <w:rsid w:val="02A741FD"/>
    <w:rsid w:val="02C16E5D"/>
    <w:rsid w:val="02D964CF"/>
    <w:rsid w:val="02DC3F04"/>
    <w:rsid w:val="0340787C"/>
    <w:rsid w:val="03707410"/>
    <w:rsid w:val="037F03E3"/>
    <w:rsid w:val="03A0770F"/>
    <w:rsid w:val="03A27BF9"/>
    <w:rsid w:val="03A448B8"/>
    <w:rsid w:val="03A4578A"/>
    <w:rsid w:val="03AD071E"/>
    <w:rsid w:val="03D10969"/>
    <w:rsid w:val="04492BB2"/>
    <w:rsid w:val="04D54CED"/>
    <w:rsid w:val="04DF1036"/>
    <w:rsid w:val="050F6021"/>
    <w:rsid w:val="05A97DEC"/>
    <w:rsid w:val="05C81981"/>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B37E77"/>
    <w:rsid w:val="09D658E4"/>
    <w:rsid w:val="09F1637C"/>
    <w:rsid w:val="0A25628F"/>
    <w:rsid w:val="0A290B50"/>
    <w:rsid w:val="0A5D1459"/>
    <w:rsid w:val="0AA534D5"/>
    <w:rsid w:val="0AA650EB"/>
    <w:rsid w:val="0AB8066A"/>
    <w:rsid w:val="0AF47339"/>
    <w:rsid w:val="0B22594B"/>
    <w:rsid w:val="0B6709D0"/>
    <w:rsid w:val="0B790EE1"/>
    <w:rsid w:val="0B797387"/>
    <w:rsid w:val="0B9A670B"/>
    <w:rsid w:val="0BC044BE"/>
    <w:rsid w:val="0BDF26F7"/>
    <w:rsid w:val="0C264099"/>
    <w:rsid w:val="0C2B4952"/>
    <w:rsid w:val="0C5B112B"/>
    <w:rsid w:val="0C7B2220"/>
    <w:rsid w:val="0D527BA9"/>
    <w:rsid w:val="0D7A35B6"/>
    <w:rsid w:val="0D890E47"/>
    <w:rsid w:val="0DC64A00"/>
    <w:rsid w:val="0DFC60BA"/>
    <w:rsid w:val="0DFF4FAE"/>
    <w:rsid w:val="0E236A8E"/>
    <w:rsid w:val="0E4249F1"/>
    <w:rsid w:val="0F673021"/>
    <w:rsid w:val="0F6C5A53"/>
    <w:rsid w:val="0F7C5FF6"/>
    <w:rsid w:val="0FC63FBD"/>
    <w:rsid w:val="106C564D"/>
    <w:rsid w:val="107B7B8F"/>
    <w:rsid w:val="107C67CE"/>
    <w:rsid w:val="108F06C9"/>
    <w:rsid w:val="109D68CB"/>
    <w:rsid w:val="10A949B8"/>
    <w:rsid w:val="10C54639"/>
    <w:rsid w:val="10DC50D7"/>
    <w:rsid w:val="11200D07"/>
    <w:rsid w:val="11DA73AF"/>
    <w:rsid w:val="12C60D80"/>
    <w:rsid w:val="12E71C6B"/>
    <w:rsid w:val="131F7A3A"/>
    <w:rsid w:val="132645D0"/>
    <w:rsid w:val="13455ABC"/>
    <w:rsid w:val="1370322B"/>
    <w:rsid w:val="13B27845"/>
    <w:rsid w:val="13BE469F"/>
    <w:rsid w:val="13F87121"/>
    <w:rsid w:val="141A03E1"/>
    <w:rsid w:val="143B2E0B"/>
    <w:rsid w:val="14672B11"/>
    <w:rsid w:val="14892735"/>
    <w:rsid w:val="14CC769D"/>
    <w:rsid w:val="14CF59E6"/>
    <w:rsid w:val="15735E00"/>
    <w:rsid w:val="157D38E3"/>
    <w:rsid w:val="15D359D7"/>
    <w:rsid w:val="15D81E0F"/>
    <w:rsid w:val="161771F3"/>
    <w:rsid w:val="16222D6D"/>
    <w:rsid w:val="163C77BE"/>
    <w:rsid w:val="16453F42"/>
    <w:rsid w:val="16632F86"/>
    <w:rsid w:val="1679588C"/>
    <w:rsid w:val="16994962"/>
    <w:rsid w:val="169E6A82"/>
    <w:rsid w:val="16A71041"/>
    <w:rsid w:val="16AA24BF"/>
    <w:rsid w:val="16F72341"/>
    <w:rsid w:val="17680CAB"/>
    <w:rsid w:val="176E4128"/>
    <w:rsid w:val="1783371F"/>
    <w:rsid w:val="17E62B67"/>
    <w:rsid w:val="180C0192"/>
    <w:rsid w:val="180F4499"/>
    <w:rsid w:val="18213E65"/>
    <w:rsid w:val="18221ECE"/>
    <w:rsid w:val="190B7894"/>
    <w:rsid w:val="19135859"/>
    <w:rsid w:val="196F5988"/>
    <w:rsid w:val="19A2789F"/>
    <w:rsid w:val="1A3109F9"/>
    <w:rsid w:val="1A460CF5"/>
    <w:rsid w:val="1A7F297D"/>
    <w:rsid w:val="1AB16AC1"/>
    <w:rsid w:val="1B034A52"/>
    <w:rsid w:val="1B1F34AD"/>
    <w:rsid w:val="1B8D5DC6"/>
    <w:rsid w:val="1B961E96"/>
    <w:rsid w:val="1BA7712F"/>
    <w:rsid w:val="1BFE1D3B"/>
    <w:rsid w:val="1C2775EC"/>
    <w:rsid w:val="1C750ECE"/>
    <w:rsid w:val="1CA22168"/>
    <w:rsid w:val="1D0836D7"/>
    <w:rsid w:val="1D196139"/>
    <w:rsid w:val="1D3A2A58"/>
    <w:rsid w:val="1D484219"/>
    <w:rsid w:val="1DB85900"/>
    <w:rsid w:val="1DB91DDF"/>
    <w:rsid w:val="1DF051AF"/>
    <w:rsid w:val="1E010AF7"/>
    <w:rsid w:val="1E0178EB"/>
    <w:rsid w:val="1E301173"/>
    <w:rsid w:val="1E38333E"/>
    <w:rsid w:val="1E484E85"/>
    <w:rsid w:val="1E5C7612"/>
    <w:rsid w:val="1EA40BB4"/>
    <w:rsid w:val="1F43381C"/>
    <w:rsid w:val="1F84495C"/>
    <w:rsid w:val="1FA4148D"/>
    <w:rsid w:val="1FA86F5D"/>
    <w:rsid w:val="200E7BD0"/>
    <w:rsid w:val="20121621"/>
    <w:rsid w:val="201A421D"/>
    <w:rsid w:val="20341172"/>
    <w:rsid w:val="204E554F"/>
    <w:rsid w:val="20590035"/>
    <w:rsid w:val="20C35213"/>
    <w:rsid w:val="20FC799E"/>
    <w:rsid w:val="21B538DB"/>
    <w:rsid w:val="22154DDD"/>
    <w:rsid w:val="22213E42"/>
    <w:rsid w:val="22336873"/>
    <w:rsid w:val="22CB610F"/>
    <w:rsid w:val="23175889"/>
    <w:rsid w:val="2373706C"/>
    <w:rsid w:val="238C2182"/>
    <w:rsid w:val="239015D1"/>
    <w:rsid w:val="23BB4E7D"/>
    <w:rsid w:val="23C172D6"/>
    <w:rsid w:val="23F04F64"/>
    <w:rsid w:val="24814CBE"/>
    <w:rsid w:val="24AC168B"/>
    <w:rsid w:val="258C3BEC"/>
    <w:rsid w:val="25A92CDD"/>
    <w:rsid w:val="25E44366"/>
    <w:rsid w:val="25E576CC"/>
    <w:rsid w:val="260E3862"/>
    <w:rsid w:val="262569FC"/>
    <w:rsid w:val="26344C98"/>
    <w:rsid w:val="26E009A8"/>
    <w:rsid w:val="26F56CE2"/>
    <w:rsid w:val="27435D49"/>
    <w:rsid w:val="27A34F71"/>
    <w:rsid w:val="27B36A67"/>
    <w:rsid w:val="27EB0D9B"/>
    <w:rsid w:val="286602C8"/>
    <w:rsid w:val="28665C95"/>
    <w:rsid w:val="28872B17"/>
    <w:rsid w:val="28A64522"/>
    <w:rsid w:val="28CC5B40"/>
    <w:rsid w:val="28FB7971"/>
    <w:rsid w:val="290B3EB9"/>
    <w:rsid w:val="291418C2"/>
    <w:rsid w:val="2950768C"/>
    <w:rsid w:val="297A5FC4"/>
    <w:rsid w:val="2A1113BC"/>
    <w:rsid w:val="2A1E2AFB"/>
    <w:rsid w:val="2A586210"/>
    <w:rsid w:val="2A8D4F8F"/>
    <w:rsid w:val="2A911082"/>
    <w:rsid w:val="2A917B34"/>
    <w:rsid w:val="2AE3766F"/>
    <w:rsid w:val="2B7E4054"/>
    <w:rsid w:val="2BF22742"/>
    <w:rsid w:val="2C987C56"/>
    <w:rsid w:val="2CFF149A"/>
    <w:rsid w:val="2D201865"/>
    <w:rsid w:val="2D352080"/>
    <w:rsid w:val="2D4B5CEA"/>
    <w:rsid w:val="2D652658"/>
    <w:rsid w:val="2DC80C49"/>
    <w:rsid w:val="2DCA6355"/>
    <w:rsid w:val="2DF0699F"/>
    <w:rsid w:val="2DF36FAB"/>
    <w:rsid w:val="2E166748"/>
    <w:rsid w:val="2E556F01"/>
    <w:rsid w:val="2E8E20B4"/>
    <w:rsid w:val="2ED06066"/>
    <w:rsid w:val="2ED1223D"/>
    <w:rsid w:val="2EE470F7"/>
    <w:rsid w:val="2F000139"/>
    <w:rsid w:val="2F3C426E"/>
    <w:rsid w:val="2F561B8A"/>
    <w:rsid w:val="2F9F42DC"/>
    <w:rsid w:val="2FE04319"/>
    <w:rsid w:val="2FF37AB3"/>
    <w:rsid w:val="30AD49F0"/>
    <w:rsid w:val="30FF27D2"/>
    <w:rsid w:val="311573CF"/>
    <w:rsid w:val="31170995"/>
    <w:rsid w:val="31264A30"/>
    <w:rsid w:val="31884E67"/>
    <w:rsid w:val="31A0275E"/>
    <w:rsid w:val="31B7357A"/>
    <w:rsid w:val="31E14405"/>
    <w:rsid w:val="31ED6B08"/>
    <w:rsid w:val="31F915C9"/>
    <w:rsid w:val="322650EA"/>
    <w:rsid w:val="32610CE6"/>
    <w:rsid w:val="328464CE"/>
    <w:rsid w:val="32AB70C5"/>
    <w:rsid w:val="32DC33E0"/>
    <w:rsid w:val="335D0AF5"/>
    <w:rsid w:val="33614D0F"/>
    <w:rsid w:val="3370088C"/>
    <w:rsid w:val="33A3154A"/>
    <w:rsid w:val="33DC2F78"/>
    <w:rsid w:val="3428227C"/>
    <w:rsid w:val="343B1793"/>
    <w:rsid w:val="34672D35"/>
    <w:rsid w:val="35260F83"/>
    <w:rsid w:val="35602226"/>
    <w:rsid w:val="356B72E7"/>
    <w:rsid w:val="3572424F"/>
    <w:rsid w:val="35FC3844"/>
    <w:rsid w:val="36213401"/>
    <w:rsid w:val="36794DEF"/>
    <w:rsid w:val="36AD519D"/>
    <w:rsid w:val="36B57705"/>
    <w:rsid w:val="37406AD8"/>
    <w:rsid w:val="374F1A0B"/>
    <w:rsid w:val="37A103ED"/>
    <w:rsid w:val="37EA5E6E"/>
    <w:rsid w:val="37FF016F"/>
    <w:rsid w:val="38427C0B"/>
    <w:rsid w:val="387C5ABE"/>
    <w:rsid w:val="389B3A1E"/>
    <w:rsid w:val="38DD16CB"/>
    <w:rsid w:val="38EB6119"/>
    <w:rsid w:val="39577CB8"/>
    <w:rsid w:val="399E320F"/>
    <w:rsid w:val="39DE33DA"/>
    <w:rsid w:val="39FA5B4A"/>
    <w:rsid w:val="39FE0BE9"/>
    <w:rsid w:val="3A152386"/>
    <w:rsid w:val="3A3C1AAF"/>
    <w:rsid w:val="3A4B7CC1"/>
    <w:rsid w:val="3A51228C"/>
    <w:rsid w:val="3A552E60"/>
    <w:rsid w:val="3A5D642F"/>
    <w:rsid w:val="3AB210FC"/>
    <w:rsid w:val="3ACE216B"/>
    <w:rsid w:val="3AD95C13"/>
    <w:rsid w:val="3B261E51"/>
    <w:rsid w:val="3B8D031E"/>
    <w:rsid w:val="3B973F88"/>
    <w:rsid w:val="3BC95762"/>
    <w:rsid w:val="3BCD72F7"/>
    <w:rsid w:val="3C414142"/>
    <w:rsid w:val="3C5D406A"/>
    <w:rsid w:val="3C9121FF"/>
    <w:rsid w:val="3CE114D9"/>
    <w:rsid w:val="3CF737A2"/>
    <w:rsid w:val="3CF7509A"/>
    <w:rsid w:val="3D10295A"/>
    <w:rsid w:val="3E0572FD"/>
    <w:rsid w:val="3E1A5292"/>
    <w:rsid w:val="3E501C99"/>
    <w:rsid w:val="3E5A7FE7"/>
    <w:rsid w:val="3EC8179E"/>
    <w:rsid w:val="3EEA70F2"/>
    <w:rsid w:val="3EF66B2E"/>
    <w:rsid w:val="3F217914"/>
    <w:rsid w:val="3F2944D1"/>
    <w:rsid w:val="3FD70BB0"/>
    <w:rsid w:val="3FFB55AC"/>
    <w:rsid w:val="3FFF7438"/>
    <w:rsid w:val="401C5F9D"/>
    <w:rsid w:val="401C690C"/>
    <w:rsid w:val="401D7195"/>
    <w:rsid w:val="406C71E8"/>
    <w:rsid w:val="40A51286"/>
    <w:rsid w:val="40CE3DC0"/>
    <w:rsid w:val="40D7455A"/>
    <w:rsid w:val="40E743E5"/>
    <w:rsid w:val="4110038E"/>
    <w:rsid w:val="413015F5"/>
    <w:rsid w:val="41734CBA"/>
    <w:rsid w:val="41DD7057"/>
    <w:rsid w:val="420F7A65"/>
    <w:rsid w:val="4216611A"/>
    <w:rsid w:val="423E300F"/>
    <w:rsid w:val="425656C8"/>
    <w:rsid w:val="4257273C"/>
    <w:rsid w:val="425D7213"/>
    <w:rsid w:val="42677B61"/>
    <w:rsid w:val="42756DB0"/>
    <w:rsid w:val="42B21AD2"/>
    <w:rsid w:val="42DA7D24"/>
    <w:rsid w:val="42FD694D"/>
    <w:rsid w:val="434A6D8F"/>
    <w:rsid w:val="4397723B"/>
    <w:rsid w:val="43D522BF"/>
    <w:rsid w:val="43D76E9D"/>
    <w:rsid w:val="43FA5777"/>
    <w:rsid w:val="44044D92"/>
    <w:rsid w:val="441C1611"/>
    <w:rsid w:val="44212CEC"/>
    <w:rsid w:val="443C440B"/>
    <w:rsid w:val="443F7DBF"/>
    <w:rsid w:val="44514F52"/>
    <w:rsid w:val="446D66E7"/>
    <w:rsid w:val="44856816"/>
    <w:rsid w:val="448965CB"/>
    <w:rsid w:val="44C5497E"/>
    <w:rsid w:val="44FA2D53"/>
    <w:rsid w:val="4571374F"/>
    <w:rsid w:val="458B1BB0"/>
    <w:rsid w:val="45A67760"/>
    <w:rsid w:val="4611075B"/>
    <w:rsid w:val="46214818"/>
    <w:rsid w:val="467A0297"/>
    <w:rsid w:val="468B7125"/>
    <w:rsid w:val="46C4691F"/>
    <w:rsid w:val="47841568"/>
    <w:rsid w:val="479D1D34"/>
    <w:rsid w:val="47B609C0"/>
    <w:rsid w:val="47CF543E"/>
    <w:rsid w:val="480220DE"/>
    <w:rsid w:val="48044F7F"/>
    <w:rsid w:val="482D31EA"/>
    <w:rsid w:val="485970A0"/>
    <w:rsid w:val="48847961"/>
    <w:rsid w:val="48A41906"/>
    <w:rsid w:val="48B65C71"/>
    <w:rsid w:val="48BB5EC4"/>
    <w:rsid w:val="48F303D7"/>
    <w:rsid w:val="492837FF"/>
    <w:rsid w:val="492E6A57"/>
    <w:rsid w:val="49B86103"/>
    <w:rsid w:val="49E62540"/>
    <w:rsid w:val="4A0030EE"/>
    <w:rsid w:val="4A243364"/>
    <w:rsid w:val="4AB75B3A"/>
    <w:rsid w:val="4AC36065"/>
    <w:rsid w:val="4B560086"/>
    <w:rsid w:val="4B684E77"/>
    <w:rsid w:val="4B7501F5"/>
    <w:rsid w:val="4B8C2DEB"/>
    <w:rsid w:val="4BFA3C9F"/>
    <w:rsid w:val="4C0E3379"/>
    <w:rsid w:val="4C107F48"/>
    <w:rsid w:val="4C3277BC"/>
    <w:rsid w:val="4C686851"/>
    <w:rsid w:val="4CC353EB"/>
    <w:rsid w:val="4CDB1AE6"/>
    <w:rsid w:val="4CF36F3C"/>
    <w:rsid w:val="4CFC69A5"/>
    <w:rsid w:val="4D1C7703"/>
    <w:rsid w:val="4D4F67BA"/>
    <w:rsid w:val="4D603399"/>
    <w:rsid w:val="4D867EE1"/>
    <w:rsid w:val="4DBC4C65"/>
    <w:rsid w:val="4DF63D96"/>
    <w:rsid w:val="4DF6568D"/>
    <w:rsid w:val="4E2E1A80"/>
    <w:rsid w:val="4E550010"/>
    <w:rsid w:val="4E5F14CB"/>
    <w:rsid w:val="4ED109FE"/>
    <w:rsid w:val="4ED95E04"/>
    <w:rsid w:val="4EED7FC5"/>
    <w:rsid w:val="4F3705F8"/>
    <w:rsid w:val="4FAC3540"/>
    <w:rsid w:val="4FBB12F4"/>
    <w:rsid w:val="4FCF1583"/>
    <w:rsid w:val="4FFA7625"/>
    <w:rsid w:val="501B0BF9"/>
    <w:rsid w:val="507D2599"/>
    <w:rsid w:val="50904151"/>
    <w:rsid w:val="5096229D"/>
    <w:rsid w:val="50B44FCE"/>
    <w:rsid w:val="50DC4184"/>
    <w:rsid w:val="51475B39"/>
    <w:rsid w:val="514C3EA7"/>
    <w:rsid w:val="519849E5"/>
    <w:rsid w:val="51B36892"/>
    <w:rsid w:val="51E44D3C"/>
    <w:rsid w:val="524A036B"/>
    <w:rsid w:val="52506DA7"/>
    <w:rsid w:val="529D471C"/>
    <w:rsid w:val="533B2B84"/>
    <w:rsid w:val="535F3BF1"/>
    <w:rsid w:val="537A7243"/>
    <w:rsid w:val="539C1B81"/>
    <w:rsid w:val="53AA6184"/>
    <w:rsid w:val="53AE750F"/>
    <w:rsid w:val="53EB0895"/>
    <w:rsid w:val="53F263AD"/>
    <w:rsid w:val="54693932"/>
    <w:rsid w:val="549A6BFA"/>
    <w:rsid w:val="54A6423F"/>
    <w:rsid w:val="54E72921"/>
    <w:rsid w:val="55806F07"/>
    <w:rsid w:val="559122AD"/>
    <w:rsid w:val="55A44ACC"/>
    <w:rsid w:val="55D9752F"/>
    <w:rsid w:val="55FA2961"/>
    <w:rsid w:val="565E7F4F"/>
    <w:rsid w:val="56775789"/>
    <w:rsid w:val="56857D06"/>
    <w:rsid w:val="56914056"/>
    <w:rsid w:val="569F0E63"/>
    <w:rsid w:val="56A05DC4"/>
    <w:rsid w:val="56DB613D"/>
    <w:rsid w:val="573810DA"/>
    <w:rsid w:val="57D42AC6"/>
    <w:rsid w:val="57FC2169"/>
    <w:rsid w:val="58096275"/>
    <w:rsid w:val="580E4560"/>
    <w:rsid w:val="581C04F1"/>
    <w:rsid w:val="582E6EF7"/>
    <w:rsid w:val="58434392"/>
    <w:rsid w:val="584E30E6"/>
    <w:rsid w:val="587627C6"/>
    <w:rsid w:val="59014D02"/>
    <w:rsid w:val="592E16F6"/>
    <w:rsid w:val="597B384D"/>
    <w:rsid w:val="59996DA8"/>
    <w:rsid w:val="59AC3CE9"/>
    <w:rsid w:val="59C30F1B"/>
    <w:rsid w:val="5A0D5854"/>
    <w:rsid w:val="5A20156F"/>
    <w:rsid w:val="5A2A32CF"/>
    <w:rsid w:val="5A2F40E0"/>
    <w:rsid w:val="5A9847F3"/>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7C2768"/>
    <w:rsid w:val="5CB23AE6"/>
    <w:rsid w:val="5CF55792"/>
    <w:rsid w:val="5CFD533A"/>
    <w:rsid w:val="5D2F72C2"/>
    <w:rsid w:val="5D893B14"/>
    <w:rsid w:val="5DE444A0"/>
    <w:rsid w:val="5E2810D5"/>
    <w:rsid w:val="5E2B7D62"/>
    <w:rsid w:val="5E71411E"/>
    <w:rsid w:val="5EA06921"/>
    <w:rsid w:val="5ED5006A"/>
    <w:rsid w:val="5F236957"/>
    <w:rsid w:val="5F576E4B"/>
    <w:rsid w:val="5F5D4EDE"/>
    <w:rsid w:val="5F7A2C30"/>
    <w:rsid w:val="5FBE370A"/>
    <w:rsid w:val="5FD62906"/>
    <w:rsid w:val="60292845"/>
    <w:rsid w:val="60403E3A"/>
    <w:rsid w:val="61027308"/>
    <w:rsid w:val="612E1A5D"/>
    <w:rsid w:val="614F559F"/>
    <w:rsid w:val="616A73F6"/>
    <w:rsid w:val="61816046"/>
    <w:rsid w:val="62182687"/>
    <w:rsid w:val="62213901"/>
    <w:rsid w:val="62391564"/>
    <w:rsid w:val="62816669"/>
    <w:rsid w:val="62BA0953"/>
    <w:rsid w:val="62D03A7C"/>
    <w:rsid w:val="62F16BCB"/>
    <w:rsid w:val="62F648FE"/>
    <w:rsid w:val="63322716"/>
    <w:rsid w:val="63341DB1"/>
    <w:rsid w:val="63447612"/>
    <w:rsid w:val="637D3ABD"/>
    <w:rsid w:val="63883BB1"/>
    <w:rsid w:val="63907004"/>
    <w:rsid w:val="639A73C1"/>
    <w:rsid w:val="63A10995"/>
    <w:rsid w:val="63A573AB"/>
    <w:rsid w:val="63B73E59"/>
    <w:rsid w:val="63C23EFA"/>
    <w:rsid w:val="63E52E10"/>
    <w:rsid w:val="64210135"/>
    <w:rsid w:val="643A070A"/>
    <w:rsid w:val="644C573D"/>
    <w:rsid w:val="64660CBB"/>
    <w:rsid w:val="648667A7"/>
    <w:rsid w:val="64DB383A"/>
    <w:rsid w:val="65032F85"/>
    <w:rsid w:val="65136B50"/>
    <w:rsid w:val="657E2A35"/>
    <w:rsid w:val="6588751C"/>
    <w:rsid w:val="65A94E9D"/>
    <w:rsid w:val="65C60A92"/>
    <w:rsid w:val="65C7105B"/>
    <w:rsid w:val="65F3550D"/>
    <w:rsid w:val="662203DD"/>
    <w:rsid w:val="66576253"/>
    <w:rsid w:val="666B723B"/>
    <w:rsid w:val="6678045A"/>
    <w:rsid w:val="66DD6702"/>
    <w:rsid w:val="679406CB"/>
    <w:rsid w:val="67C35C0B"/>
    <w:rsid w:val="681233D2"/>
    <w:rsid w:val="681D5EE5"/>
    <w:rsid w:val="68652AB3"/>
    <w:rsid w:val="688B6C68"/>
    <w:rsid w:val="689F1926"/>
    <w:rsid w:val="68AD17BB"/>
    <w:rsid w:val="68D94D22"/>
    <w:rsid w:val="692B2E4A"/>
    <w:rsid w:val="694303FB"/>
    <w:rsid w:val="696A0B34"/>
    <w:rsid w:val="698D6A17"/>
    <w:rsid w:val="69A233E7"/>
    <w:rsid w:val="69EE3535"/>
    <w:rsid w:val="69F954C1"/>
    <w:rsid w:val="6A2031B6"/>
    <w:rsid w:val="6A440C53"/>
    <w:rsid w:val="6A882AD0"/>
    <w:rsid w:val="6AC61F6F"/>
    <w:rsid w:val="6ADE74F0"/>
    <w:rsid w:val="6B1002C0"/>
    <w:rsid w:val="6B1F5CFA"/>
    <w:rsid w:val="6B577FA5"/>
    <w:rsid w:val="6B723594"/>
    <w:rsid w:val="6B805156"/>
    <w:rsid w:val="6B9A1267"/>
    <w:rsid w:val="6BD50977"/>
    <w:rsid w:val="6BEA0C87"/>
    <w:rsid w:val="6BEA2A9B"/>
    <w:rsid w:val="6BEE7CFA"/>
    <w:rsid w:val="6C9C0875"/>
    <w:rsid w:val="6C9D1F03"/>
    <w:rsid w:val="6CAA3931"/>
    <w:rsid w:val="6D3933CA"/>
    <w:rsid w:val="6D7B61EC"/>
    <w:rsid w:val="6DD049FF"/>
    <w:rsid w:val="6E09491E"/>
    <w:rsid w:val="6E0D3655"/>
    <w:rsid w:val="6E5F4465"/>
    <w:rsid w:val="6E8C54DA"/>
    <w:rsid w:val="6EBC0603"/>
    <w:rsid w:val="6EF11E03"/>
    <w:rsid w:val="6F111C62"/>
    <w:rsid w:val="6F2176E5"/>
    <w:rsid w:val="6F3053CA"/>
    <w:rsid w:val="6F36242A"/>
    <w:rsid w:val="6F3D0943"/>
    <w:rsid w:val="6F592303"/>
    <w:rsid w:val="6F5F5B74"/>
    <w:rsid w:val="6F8F583F"/>
    <w:rsid w:val="6F9B1C65"/>
    <w:rsid w:val="6FD47A25"/>
    <w:rsid w:val="6FF44026"/>
    <w:rsid w:val="6FFB146E"/>
    <w:rsid w:val="701A5C74"/>
    <w:rsid w:val="706516C3"/>
    <w:rsid w:val="70864A71"/>
    <w:rsid w:val="70896E68"/>
    <w:rsid w:val="70FE3F45"/>
    <w:rsid w:val="714556B4"/>
    <w:rsid w:val="715B60E9"/>
    <w:rsid w:val="71E96309"/>
    <w:rsid w:val="71EA1FED"/>
    <w:rsid w:val="72284A0C"/>
    <w:rsid w:val="72854629"/>
    <w:rsid w:val="72C16204"/>
    <w:rsid w:val="730313F6"/>
    <w:rsid w:val="731E1007"/>
    <w:rsid w:val="73370D24"/>
    <w:rsid w:val="7359268C"/>
    <w:rsid w:val="739503EB"/>
    <w:rsid w:val="73A05B28"/>
    <w:rsid w:val="73C07D69"/>
    <w:rsid w:val="73E352ED"/>
    <w:rsid w:val="74351555"/>
    <w:rsid w:val="749E2255"/>
    <w:rsid w:val="74B42AE4"/>
    <w:rsid w:val="750A429D"/>
    <w:rsid w:val="75167F59"/>
    <w:rsid w:val="75222DCD"/>
    <w:rsid w:val="755D38A7"/>
    <w:rsid w:val="755F5A0F"/>
    <w:rsid w:val="75614792"/>
    <w:rsid w:val="75784473"/>
    <w:rsid w:val="757E044C"/>
    <w:rsid w:val="75977BC3"/>
    <w:rsid w:val="75B161B3"/>
    <w:rsid w:val="75E470E3"/>
    <w:rsid w:val="76736B32"/>
    <w:rsid w:val="76E3765E"/>
    <w:rsid w:val="76F016FB"/>
    <w:rsid w:val="76FC2AFA"/>
    <w:rsid w:val="77310AF7"/>
    <w:rsid w:val="773F0836"/>
    <w:rsid w:val="77653671"/>
    <w:rsid w:val="778546CC"/>
    <w:rsid w:val="77B56730"/>
    <w:rsid w:val="77C04A8B"/>
    <w:rsid w:val="77D85DB3"/>
    <w:rsid w:val="780252A0"/>
    <w:rsid w:val="78027772"/>
    <w:rsid w:val="78A50513"/>
    <w:rsid w:val="78EE1700"/>
    <w:rsid w:val="793B7339"/>
    <w:rsid w:val="796518DD"/>
    <w:rsid w:val="796C2EB5"/>
    <w:rsid w:val="796E0C55"/>
    <w:rsid w:val="797C5614"/>
    <w:rsid w:val="79AA0532"/>
    <w:rsid w:val="79F70999"/>
    <w:rsid w:val="79FE1DDD"/>
    <w:rsid w:val="7A075767"/>
    <w:rsid w:val="7A212062"/>
    <w:rsid w:val="7A282A11"/>
    <w:rsid w:val="7A9E3ACF"/>
    <w:rsid w:val="7AB90FF6"/>
    <w:rsid w:val="7AC21562"/>
    <w:rsid w:val="7AD474A4"/>
    <w:rsid w:val="7B115232"/>
    <w:rsid w:val="7B401C35"/>
    <w:rsid w:val="7B416BDC"/>
    <w:rsid w:val="7B5350AD"/>
    <w:rsid w:val="7B6867EB"/>
    <w:rsid w:val="7B697C89"/>
    <w:rsid w:val="7B7635D5"/>
    <w:rsid w:val="7B8D34C3"/>
    <w:rsid w:val="7B971D84"/>
    <w:rsid w:val="7BF32F03"/>
    <w:rsid w:val="7C1724A5"/>
    <w:rsid w:val="7C8E3CCF"/>
    <w:rsid w:val="7CA54112"/>
    <w:rsid w:val="7CE50CE4"/>
    <w:rsid w:val="7D2E5ABF"/>
    <w:rsid w:val="7DCA1E7A"/>
    <w:rsid w:val="7E2142A2"/>
    <w:rsid w:val="7E4F5384"/>
    <w:rsid w:val="7E5A6DFA"/>
    <w:rsid w:val="7E613B0F"/>
    <w:rsid w:val="7E7B0BF2"/>
    <w:rsid w:val="7E7C7A78"/>
    <w:rsid w:val="7E8D75B6"/>
    <w:rsid w:val="7EA34F14"/>
    <w:rsid w:val="7EB2417D"/>
    <w:rsid w:val="7EF760EE"/>
    <w:rsid w:val="7F2A21E7"/>
    <w:rsid w:val="7F613A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8"/>
    <w:qFormat/>
    <w:uiPriority w:val="1"/>
    <w:pPr>
      <w:spacing w:before="161"/>
      <w:ind w:left="120"/>
    </w:pPr>
    <w:rPr>
      <w:rFonts w:ascii="宋体" w:hAnsi="宋体" w:eastAsia="宋体" w:cs="宋体"/>
      <w:sz w:val="24"/>
      <w:lang w:val="zh-CN" w:bidi="zh-CN"/>
    </w:rPr>
  </w:style>
  <w:style w:type="paragraph" w:styleId="8">
    <w:name w:val="Body Text First Indent"/>
    <w:basedOn w:val="7"/>
    <w:unhideWhenUsed/>
    <w:qFormat/>
    <w:uiPriority w:val="99"/>
    <w:pPr>
      <w:ind w:firstLine="420" w:firstLineChars="100"/>
    </w:pPr>
    <w:rPr>
      <w:rFonts w:ascii="Times New Roman" w:hAnsi="Times New Roman" w:cs="Times New Roman"/>
    </w:rPr>
  </w:style>
  <w:style w:type="paragraph" w:styleId="9">
    <w:name w:val="toc 3"/>
    <w:basedOn w:val="1"/>
    <w:next w:val="1"/>
    <w:unhideWhenUsed/>
    <w:qFormat/>
    <w:uiPriority w:val="39"/>
    <w:pPr>
      <w:tabs>
        <w:tab w:val="right" w:leader="dot" w:pos="8296"/>
      </w:tabs>
      <w:ind w:left="838" w:leftChars="381"/>
    </w:pPr>
    <w:rPr>
      <w:sz w:val="21"/>
      <w:szCs w:val="21"/>
    </w:rPr>
  </w:style>
  <w:style w:type="paragraph" w:styleId="10">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7"/>
    <w:semiHidden/>
    <w:unhideWhenUsed/>
    <w:qFormat/>
    <w:uiPriority w:val="99"/>
    <w:pPr>
      <w:spacing w:after="0"/>
    </w:pPr>
    <w:rPr>
      <w:sz w:val="18"/>
      <w:szCs w:val="18"/>
    </w:rPr>
  </w:style>
  <w:style w:type="paragraph" w:styleId="13">
    <w:name w:val="footer"/>
    <w:basedOn w:val="1"/>
    <w:link w:val="46"/>
    <w:unhideWhenUsed/>
    <w:qFormat/>
    <w:uiPriority w:val="99"/>
    <w:pPr>
      <w:tabs>
        <w:tab w:val="center" w:pos="4153"/>
        <w:tab w:val="right" w:pos="8306"/>
      </w:tabs>
    </w:pPr>
    <w:rPr>
      <w:sz w:val="18"/>
      <w:szCs w:val="18"/>
    </w:rPr>
  </w:style>
  <w:style w:type="paragraph" w:styleId="14">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pPr>
      <w:snapToGrid w:val="0"/>
      <w:jc w:val="left"/>
    </w:pPr>
    <w:rPr>
      <w:sz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3"/>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next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10"/>
    <w:semiHidden/>
    <w:qFormat/>
    <w:uiPriority w:val="99"/>
    <w:rPr>
      <w:rFonts w:ascii="宋体" w:hAnsi="Courier New" w:eastAsia="宋体" w:cs="Courier New"/>
      <w:sz w:val="21"/>
      <w:szCs w:val="21"/>
    </w:rPr>
  </w:style>
  <w:style w:type="character" w:customStyle="1" w:styleId="45">
    <w:name w:val="页眉 Char"/>
    <w:basedOn w:val="24"/>
    <w:link w:val="14"/>
    <w:qFormat/>
    <w:uiPriority w:val="99"/>
    <w:rPr>
      <w:rFonts w:ascii="Tahoma" w:hAnsi="Tahoma"/>
      <w:sz w:val="18"/>
      <w:szCs w:val="18"/>
    </w:rPr>
  </w:style>
  <w:style w:type="character" w:customStyle="1" w:styleId="46">
    <w:name w:val="页脚 Char"/>
    <w:basedOn w:val="24"/>
    <w:link w:val="13"/>
    <w:qFormat/>
    <w:uiPriority w:val="99"/>
    <w:rPr>
      <w:rFonts w:ascii="Tahoma" w:hAnsi="Tahoma"/>
      <w:sz w:val="18"/>
      <w:szCs w:val="18"/>
    </w:rPr>
  </w:style>
  <w:style w:type="character" w:customStyle="1" w:styleId="47">
    <w:name w:val="批注框文本 Char"/>
    <w:basedOn w:val="24"/>
    <w:link w:val="12"/>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1"/>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79</Pages>
  <Words>34773</Words>
  <Characters>36152</Characters>
  <Lines>264</Lines>
  <Paragraphs>74</Paragraphs>
  <TotalTime>15</TotalTime>
  <ScaleCrop>false</ScaleCrop>
  <LinksUpToDate>false</LinksUpToDate>
  <CharactersWithSpaces>38578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七月！</cp:lastModifiedBy>
  <cp:lastPrinted>2021-04-23T09:50:00Z</cp:lastPrinted>
  <dcterms:modified xsi:type="dcterms:W3CDTF">2022-12-21T04:13:21Z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96467060302C4D438D57B2E4924A406A</vt:lpwstr>
  </property>
</Properties>
</file>