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441900025-2022-01151</w:t>
      </w:r>
    </w:p>
    <w:p>
      <w:pPr>
        <w:jc w:val="center"/>
      </w:pPr>
      <w:r>
        <w:rPr>
          <w:b/>
          <w:sz w:val="24"/>
        </w:rPr>
        <w:t>采购项目编号：</w:t>
      </w:r>
      <w:r>
        <w:rPr>
          <w:b/>
          <w:sz w:val="24"/>
        </w:rPr>
        <w:t>441900025-2022-01151</w:t>
      </w:r>
    </w:p>
    <w:p>
      <w:pPr>
        <w:jc w:val="center"/>
      </w:pPr>
      <w:r>
        <w:rPr>
          <w:b/>
          <w:sz w:val="24"/>
        </w:rPr>
        <w:t>项目名称：</w:t>
      </w:r>
      <w:r>
        <w:rPr>
          <w:b/>
          <w:sz w:val="24"/>
        </w:rPr>
        <w:t>凤岗镇中心区生活垃圾填埋场渗滤液处理站运营管理项目</w:t>
      </w:r>
    </w:p>
    <w:p>
      <w:pPr>
        <w:jc w:val="center"/>
      </w:pPr>
      <w:r>
        <w:rPr>
          <w:b/>
          <w:sz w:val="24"/>
        </w:rPr>
        <w:t>采购人：</w:t>
      </w:r>
      <w:r>
        <w:rPr>
          <w:b/>
          <w:sz w:val="24"/>
        </w:rPr>
        <w:t>东莞市凤岗镇公用事业服务中心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东莞市凤岗镇公用事业服务中心</w:t>
      </w:r>
      <w:r>
        <w:rPr/>
        <w:t>的委托，采用</w:t>
      </w:r>
      <w:r>
        <w:rPr/>
        <w:t>公开招标</w:t>
      </w:r>
      <w:r>
        <w:rPr/>
        <w:t>方式组织采购</w:t>
      </w:r>
      <w:r>
        <w:rPr/>
        <w:t>凤岗镇中心区生活垃圾填埋场渗滤液处理站运营管理项目</w:t>
      </w:r>
      <w:r>
        <w:rPr/>
        <w:t>。欢迎符合资格条件的国内供应商参加投标。</w:t>
      </w:r>
    </w:p>
    <w:p>
      <w:r>
        <w:rPr>
          <w:b/>
          <w:sz w:val="28"/>
        </w:rPr>
        <w:t>一.项目概述</w:t>
      </w:r>
    </w:p>
    <w:p>
      <w:r>
        <w:rPr>
          <w:b/>
          <w:sz w:val="24"/>
        </w:rPr>
        <w:t>1.名称与编号</w:t>
      </w:r>
    </w:p>
    <w:p>
      <w:pPr>
        <w:ind w:firstLine="480"/>
      </w:pPr>
      <w:r>
        <w:rPr/>
        <w:t>项目名称：</w:t>
      </w:r>
      <w:r>
        <w:rPr/>
        <w:t>凤岗镇中心区生活垃圾填埋场渗滤液处理站运营管理项目</w:t>
      </w:r>
    </w:p>
    <w:p>
      <w:pPr>
        <w:ind w:firstLine="480"/>
      </w:pPr>
      <w:r>
        <w:rPr/>
        <w:t>采购计划编号：</w:t>
      </w:r>
      <w:r>
        <w:rPr/>
        <w:t>441900025-2022-01151</w:t>
      </w:r>
    </w:p>
    <w:p>
      <w:pPr>
        <w:ind w:firstLine="480"/>
      </w:pPr>
      <w:r>
        <w:rPr/>
        <w:t>采购项目编号：</w:t>
      </w:r>
      <w:r>
        <w:rPr/>
        <w:t>441900025-2022-01151</w:t>
      </w:r>
    </w:p>
    <w:p>
      <w:pPr>
        <w:ind w:firstLine="480"/>
      </w:pPr>
      <w:r>
        <w:rPr/>
        <w:t>采购方式：</w:t>
      </w:r>
      <w:r>
        <w:rPr/>
        <w:t>公开招标</w:t>
      </w:r>
    </w:p>
    <w:p>
      <w:pPr>
        <w:ind w:firstLine="480"/>
      </w:pPr>
      <w:r>
        <w:rPr/>
        <w:t>预算金额：</w:t>
      </w:r>
      <w:r>
        <w:rPr/>
        <w:t>4,106,250.00</w:t>
      </w:r>
      <w:r>
        <w:rPr/>
        <w:t>元</w:t>
      </w:r>
    </w:p>
    <w:p>
      <w:r>
        <w:rPr>
          <w:b/>
          <w:sz w:val="24"/>
        </w:rPr>
        <w:t>2.项目内容及需求情况（采购项目技术规格、参数及要求）</w:t>
      </w:r>
    </w:p>
    <w:p>
      <w:pPr>
        <w:ind w:firstLine="480"/>
      </w:pPr>
    </w:p>
    <w:p/>
    <w:p>
      <w:r>
        <w:rPr/>
        <w:t>采购包1(凤岗镇中心区生活垃圾填埋场渗滤液处理站运营管理项目):</w:t>
      </w:r>
    </w:p>
    <w:p>
      <w:r>
        <w:rPr/>
        <w:t>采购包预算金额：4,106,250.00元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凤岗镇中心区生活垃圾填埋场渗滤液处理站运营管理项目</w:t>
            </w:r>
          </w:p>
        </w:tc>
        <w:tc>
          <w:tcPr>
            <w:tcW w:type="dxa" w:w="977"/>
          </w:tcPr>
          <w:p>
            <w:r>
              <w:rPr/>
              <w:t>1.0000(批)</w:t>
            </w:r>
          </w:p>
        </w:tc>
        <w:tc>
          <w:tcPr>
            <w:tcW w:type="dxa" w:w="977"/>
          </w:tcPr>
          <w:p>
            <w:r>
              <w:rPr/>
              <w:t>详见第二章</w:t>
            </w:r>
          </w:p>
        </w:tc>
        <w:tc>
          <w:tcPr>
            <w:tcW w:type="dxa" w:w="977"/>
          </w:tcPr>
          <w:p>
            <w:r>
              <w:rPr/>
              <w:t>4,106,250.00</w:t>
            </w:r>
          </w:p>
        </w:tc>
        <w:tc>
          <w:tcPr>
            <w:tcW w:type="dxa" w:w="977"/>
          </w:tcPr>
          <w:p>
            <w:r>
              <w:rPr/>
              <w:t>否</w:t>
            </w:r>
          </w:p>
        </w:tc>
      </w:tr>
    </w:tbl>
    <w:p/>
    <w:p>
      <w:r>
        <w:rPr/>
        <w:t>本采购包不接受联合体投标</w:t>
      </w:r>
    </w:p>
    <w:p/>
    <w:p>
      <w:r>
        <w:rPr/>
        <w:t>合同履行期限：三年。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采购包1（凤岗镇中心区生活垃圾填埋场渗滤液处理站运营管理项目）：</w:t>
      </w:r>
      <w:r>
        <w:rPr/>
        <w:t>本项目不属于专门面向中小企业的采购项目</w:t>
      </w:r>
    </w:p>
    <w:p/>
    <w:p>
      <w:r>
        <w:rPr>
          <w:b/>
          <w:sz w:val="24"/>
        </w:rPr>
        <w:t>3.本项目特定的资格要求：</w:t>
      </w:r>
    </w:p>
    <w:p>
      <w:pPr>
        <w:ind w:firstLine="480"/>
      </w:pPr>
    </w:p>
    <w:p/>
    <w:p>
      <w:r>
        <w:rPr/>
        <w:t>采购包1（凤岗镇中心区生活垃圾填埋场渗滤液处理站运营管理项目）：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东莞市凤岗镇公用事业服务中心</w:t>
      </w:r>
    </w:p>
    <w:p>
      <w:pPr>
        <w:ind w:firstLine="480"/>
      </w:pPr>
      <w:r>
        <w:rPr/>
        <w:t>地址：</w:t>
      </w:r>
      <w:r>
        <w:rPr/>
        <w:t>凤岗镇康佳路19号</w:t>
      </w:r>
    </w:p>
    <w:p>
      <w:pPr>
        <w:ind w:firstLine="480"/>
      </w:pPr>
      <w:r>
        <w:rPr/>
        <w:t>联系方式：</w:t>
      </w:r>
      <w:r>
        <w:rPr/>
        <w:t>0769-87751930</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本项目为凤岗镇中心区生活垃圾填埋场渗滤液处理站运营管理项目。</w:t>
      </w:r>
    </w:p>
    <w:p/>
    <w:p>
      <w:pPr>
        <w:ind w:firstLine="480"/>
      </w:pPr>
    </w:p>
    <w:p/>
    <w:p>
      <w:r>
        <w:rPr/>
        <w:t>采购包1（凤岗镇中心区生活垃圾填埋场渗滤液处理站运营管理项目）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三年。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1期：支付比例100%,1、委托运营管理费用以每月垃圾渗滤液处理量为计算依据，具体费用按中标价格计算后将由财政每个月支付上月运营费用。 2、每月8日（遇节假日顺延或提前），运营单位报送上月的垃圾渗滤液处理量并填报《拨款申请审批表》（财政局统一表格）交到东莞市凤岗镇公用事业服务中心，东莞市凤岗镇公用事业服务中心在7个工作日内对上报的垃圾渗滤液处理量进行审核并加注是否扣减运营单位上月运营费用的审核意见后，报财政局予以核拨。</w:t>
            </w:r>
          </w:p>
        </w:tc>
      </w:tr>
      <w:tr>
        <w:tc>
          <w:tcPr>
            <w:tcW w:type="dxa" w:w="4153"/>
          </w:tcPr>
          <w:p>
            <w:r>
              <w:rPr/>
              <w:t>验收要求</w:t>
            </w:r>
          </w:p>
        </w:tc>
        <w:tc>
          <w:tcPr>
            <w:tcW w:type="dxa" w:w="4153"/>
          </w:tcPr>
          <w:p/>
          <w:p/>
          <w:p/>
          <w:p>
            <w:r>
              <w:rPr/>
              <w:t>1期：按国家相关行业标准验收</w:t>
            </w:r>
          </w:p>
        </w:tc>
      </w:tr>
      <w:tr>
        <w:tc>
          <w:tcPr>
            <w:tcW w:type="dxa" w:w="4153"/>
          </w:tcPr>
          <w:p>
            <w:r>
              <w:rPr/>
              <w:t>履约保证金</w:t>
            </w:r>
          </w:p>
        </w:tc>
        <w:tc>
          <w:tcPr>
            <w:tcW w:type="dxa" w:w="4153"/>
          </w:tcPr>
          <w:p/>
          <w:p/>
          <w:p/>
          <w:p/>
          <w:p>
            <w:r>
              <w:rPr/>
              <w:t>收取比例：5%,说明：说明：中标人应在领取中标通知书之后签订合同之前递交履约保证金，履约保证金可采用保证金（银行转账、电汇）方式，或采用履约保函方式。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★1、报价要求，（1）填埋场渗滤液处理运营费三年服务期总报价不得超出4,106,250.00元，渗滤液处理费单价不得超过75.00元/吨（注：投标人须在分项报价表中填报渗滤液处理费单价，一年按365天计算）。 （2）全年渗滤液处理量结算上限为18250吨（平均上限为50吨/天），若年度期限未到，渗滤液处理量已达全年18250吨上限，运营单位必须在年度剩余期限无偿运行处理剩余渗滤液达标排放。 （3）投标报价包括渗滤液处理费、材料、工具、人工、管理费、利润、税金、风险、招标代理费用等一切因素所有应该和可能发生的费用因素。投标总价（即填埋场渗滤液处理运营费三年服务期总报价）=渗滤液处理费单价*50吨/天（预计数量）*365天*3年。</w:t>
            </w:r>
          </w:p>
          <w:p/>
          <w:p>
            <w:r>
              <w:rPr/>
              <w:t>2、其他要求，投标人应充分结合本招标文件上下文了解项目招标需求、采购文件未尽事宜，将在合同签订或项目执行过程中双方协商确定，供应商须无条件满足采购人的合理要求。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凤岗镇中心区生活垃圾填埋场渗滤液处理站运营管理项目</w:t>
            </w:r>
          </w:p>
        </w:tc>
        <w:tc>
          <w:tcPr>
            <w:tcW w:type="dxa" w:w="933"/>
          </w:tcPr>
          <w:p>
            <w:pPr>
              <w:jc w:val="left"/>
            </w:pPr>
            <w:r>
              <w:rPr/>
              <w:t>批</w:t>
            </w:r>
          </w:p>
        </w:tc>
        <w:tc>
          <w:tcPr>
            <w:tcW w:type="dxa" w:w="933"/>
          </w:tcPr>
          <w:p>
            <w:pPr>
              <w:jc w:val="right"/>
            </w:pPr>
            <w:r>
              <w:rPr/>
              <w:t>1.00</w:t>
            </w:r>
          </w:p>
        </w:tc>
        <w:tc>
          <w:tcPr>
            <w:tcW w:type="dxa" w:w="933"/>
          </w:tcPr>
          <w:p>
            <w:pPr>
              <w:jc w:val="right"/>
            </w:pPr>
            <w:r>
              <w:rPr/>
              <w:t>4,106,250.00</w:t>
            </w:r>
          </w:p>
        </w:tc>
        <w:tc>
          <w:tcPr>
            <w:tcW w:type="dxa" w:w="933"/>
          </w:tcPr>
          <w:p>
            <w:pPr>
              <w:jc w:val="right"/>
            </w:pPr>
            <w:r>
              <w:rPr/>
              <w:t>4,106,250.00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凤岗镇中心区生活垃圾填埋场渗滤液处理站运营管理项目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
            <w:r>
              <w:rPr>
                <w:b/>
                <w:sz w:val="24"/>
              </w:rPr>
              <w:t>一、项目介绍</w:t>
            </w:r>
          </w:p>
          <w:p>
            <w:pPr>
              <w:ind w:firstLine="412"/>
            </w:pPr>
            <w:r>
              <w:rPr>
                <w:sz w:val="21"/>
              </w:rPr>
              <w:t>本项目为凤岗镇中心区生活垃圾填埋场渗滤液处理站运营管理项目。</w:t>
            </w:r>
          </w:p>
          <w:p>
            <w:pPr>
              <w:ind w:firstLine="412"/>
            </w:pPr>
            <w:r>
              <w:rPr>
                <w:sz w:val="21"/>
              </w:rPr>
              <w:t>本项目位于东莞市凤岗镇中心区生活垃圾填埋场范围内（五联坳背塘区域），项目所在地中心经纬度为：北纬</w:t>
            </w:r>
            <w:r>
              <w:rPr>
                <w:sz w:val="21"/>
              </w:rPr>
              <w:t>22°44′17.19″、东经114°7′14.99″。填埋场自1992年开始投入使用，占地面积62000m</w:t>
            </w:r>
            <w:r>
              <w:rPr>
                <w:sz w:val="21"/>
                <w:vertAlign w:val="superscript"/>
              </w:rPr>
              <w:t>2</w:t>
            </w:r>
            <w:r>
              <w:rPr>
                <w:sz w:val="21"/>
              </w:rPr>
              <w:t>，使用时间长达</w:t>
            </w:r>
            <w:r>
              <w:rPr>
                <w:sz w:val="21"/>
              </w:rPr>
              <w:t>22年之久，2012年前垃圾填埋总量约90万吨，场内无渗滤液导排及治理设施，因此生活垃圾卫生填埋场在运营过程中对周边环境产生了一定程度的影响，为进一步加强生活垃圾填埋场的环境保护工作，根据东莞市人民政府部署及相关精神(市政府工作会议纪要[2013]288号、298号)，东莞市凤岗镇人民政府决定对东莞市凤岗镇中心区生活垃圾填埋场实施整治工作，最大限度减少填埋场对周围环境造成的污染，主要包括旧场无害化整治工作、渗滤液处理系统以及配套公用设施运营维护等，该工程于2018年09月18日竣工验收投入运营至今。该场实行生活垃圾全程无害化处理。渗滤液采用MBR+UF+NF/RO的新型水处理工艺，处理流程为：填埋库区 — 导排进入调节池 — 均衡池 — 反硝化池 — 硝化池 — UF超滤系统 — NF纳滤/R0反渗透— 达标排放。渗滤液处理后将达到《生活垃圾填埋场污染控制标准》 (GB6889-2008)表2控制指标要求。</w:t>
            </w:r>
          </w:p>
          <w:p>
            <w:pPr>
              <w:jc w:val="center"/>
            </w:pPr>
            <w:r>
              <w:drawing>
                <wp:inline distT="0" distR="0" distB="0" distL="0">
                  <wp:extent cx="3554729" cy="258242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582428"/>
                          </a:xfrm>
                          <a:prstGeom prst="rect">
                            <a:avLst/>
                          </a:prstGeom>
                        </pic:spPr>
                      </pic:pic>
                    </a:graphicData>
                  </a:graphic>
                </wp:inline>
              </w:drawing>
            </w:r>
            <w:r>
              <w:rPr>
                <w:sz w:val="22"/>
              </w:rPr>
              <w:t xml:space="preserve"> </w:t>
            </w:r>
          </w:p>
          <w:p>
            <w:pPr>
              <w:jc w:val="center"/>
            </w:pPr>
            <w:r>
              <w:rPr>
                <w:b/>
                <w:sz w:val="21"/>
              </w:rPr>
              <w:t>东莞市凤岗镇中心区生活垃圾填埋场卫星图</w:t>
            </w:r>
          </w:p>
          <w:p>
            <w:r>
              <w:rPr>
                <w:b/>
                <w:sz w:val="24"/>
              </w:rPr>
              <w:t>二、项目概况</w:t>
            </w:r>
          </w:p>
          <w:p>
            <w:pPr>
              <w:ind w:firstLine="420"/>
            </w:pPr>
            <w:r>
              <w:rPr>
                <w:sz w:val="21"/>
              </w:rPr>
              <w:t>（一）项目名称：凤岗镇中心区生活垃圾填埋场渗滤液处理站运营管理项目</w:t>
            </w:r>
          </w:p>
          <w:p>
            <w:pPr>
              <w:ind w:firstLine="420"/>
            </w:pPr>
            <w:r>
              <w:rPr>
                <w:sz w:val="21"/>
              </w:rPr>
              <w:t>（二）项目位置：五联坳背塘区域</w:t>
            </w:r>
          </w:p>
          <w:p>
            <w:pPr>
              <w:ind w:firstLine="420"/>
            </w:pPr>
            <w:r>
              <w:rPr>
                <w:sz w:val="21"/>
              </w:rPr>
              <w:t>（三）运营期限：</w:t>
            </w:r>
            <w:r>
              <w:rPr>
                <w:sz w:val="21"/>
              </w:rPr>
              <w:t>三</w:t>
            </w:r>
            <w:r>
              <w:rPr>
                <w:sz w:val="21"/>
              </w:rPr>
              <w:t>年</w:t>
            </w:r>
          </w:p>
          <w:p>
            <w:pPr>
              <w:ind w:firstLine="420"/>
            </w:pPr>
            <w:r>
              <w:rPr>
                <w:sz w:val="21"/>
              </w:rPr>
              <w:t>（四）项目总预算：一年预计运营费用约</w:t>
            </w:r>
            <w:r>
              <w:rPr>
                <w:sz w:val="21"/>
              </w:rPr>
              <w:t>1368750</w:t>
            </w:r>
            <w:r>
              <w:rPr>
                <w:sz w:val="21"/>
              </w:rPr>
              <w:t>.00（75*50*365）元，</w:t>
            </w:r>
            <w:r>
              <w:rPr>
                <w:sz w:val="21"/>
              </w:rPr>
              <w:t>三</w:t>
            </w:r>
            <w:r>
              <w:rPr>
                <w:sz w:val="21"/>
              </w:rPr>
              <w:t>年预计运营费用约</w:t>
            </w:r>
            <w:r>
              <w:rPr>
                <w:sz w:val="21"/>
              </w:rPr>
              <w:t>4106250</w:t>
            </w:r>
            <w:r>
              <w:rPr>
                <w:sz w:val="21"/>
              </w:rPr>
              <w:t>.00元。费用按渗滤液处理水量结算，水量以进水流量计数据为准，费用预算为75元/</w:t>
            </w:r>
            <w:r>
              <w:rPr>
                <w:sz w:val="21"/>
              </w:rPr>
              <w:t>吨</w:t>
            </w:r>
            <w:r>
              <w:rPr>
                <w:sz w:val="21"/>
              </w:rPr>
              <w:t>，并最终以采购中标价为支付依据。</w:t>
            </w:r>
          </w:p>
          <w:p>
            <w:pPr>
              <w:ind w:firstLine="420"/>
            </w:pPr>
            <w:r>
              <w:rPr>
                <w:sz w:val="21"/>
              </w:rPr>
              <w:t>（五）基础资料</w:t>
            </w:r>
          </w:p>
          <w:p>
            <w:r>
              <w:rPr>
                <w:sz w:val="21"/>
              </w:rPr>
              <w:t>处理规模为</w:t>
            </w:r>
            <w:r>
              <w:rPr>
                <w:sz w:val="21"/>
              </w:rPr>
              <w:t>50吨/天；产水率不低于70%。</w:t>
            </w:r>
          </w:p>
          <w:p>
            <w:r>
              <w:rPr>
                <w:sz w:val="21"/>
              </w:rPr>
              <w:t>设计进水水质</w:t>
            </w:r>
          </w:p>
          <w:p>
            <w:pPr>
              <w:ind w:firstLine="422"/>
              <w:jc w:val="center"/>
            </w:pPr>
            <w:r>
              <w:rPr>
                <w:b/>
                <w:sz w:val="21"/>
              </w:rPr>
              <w:t>设计进水水质表</w:t>
            </w:r>
          </w:p>
          <w:tbl>
            <w:tblPr>
              <w:tblBorders>
                <w:top w:val="none" w:color="000000" w:sz="4"/>
                <w:left w:val="none" w:color="000000" w:sz="4"/>
                <w:bottom w:val="none" w:color="000000" w:sz="4"/>
                <w:right w:val="none" w:color="000000" w:sz="4"/>
                <w:insideH w:val="none"/>
                <w:insideV w:val="none"/>
              </w:tblBorders>
            </w:tblPr>
            <w:tblGrid>
              <w:gridCol w:w="929"/>
              <w:gridCol w:w="944"/>
              <w:gridCol w:w="930"/>
              <w:gridCol w:w="932"/>
              <w:gridCol w:w="932"/>
              <w:gridCol w:w="930"/>
            </w:tblGrid>
            <w:tr>
              <w:tc>
                <w:tcPr>
                  <w:tcW w:type="dxa" w:w="929"/>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944"/>
                  <w:tcBorders>
                    <w:top w:val="single" w:color="000000" w:sz="4"/>
                    <w:left w:val="none" w:color="000000" w:sz="4"/>
                    <w:bottom w:val="single" w:color="000000" w:sz="4"/>
                    <w:right w:val="single" w:color="000000" w:sz="4"/>
                  </w:tcBorders>
                  <w:vAlign w:val="top"/>
                </w:tcPr>
                <w:p>
                  <w:pPr>
                    <w:jc w:val="center"/>
                  </w:pPr>
                  <w:r>
                    <w:rPr>
                      <w:sz w:val="21"/>
                    </w:rPr>
                    <w:t>CODcr（mg/L）</w:t>
                  </w:r>
                </w:p>
              </w:tc>
              <w:tc>
                <w:tcPr>
                  <w:tcW w:type="dxa" w:w="930"/>
                  <w:tcBorders>
                    <w:top w:val="single" w:color="000000" w:sz="4"/>
                    <w:left w:val="none" w:color="000000" w:sz="4"/>
                    <w:bottom w:val="single" w:color="000000" w:sz="4"/>
                    <w:right w:val="single" w:color="000000" w:sz="4"/>
                  </w:tcBorders>
                  <w:vAlign w:val="top"/>
                </w:tcPr>
                <w:p>
                  <w:pPr>
                    <w:jc w:val="center"/>
                  </w:pPr>
                  <w:r>
                    <w:rPr>
                      <w:sz w:val="21"/>
                    </w:rPr>
                    <w:t>BOD</w:t>
                  </w:r>
                  <w:r>
                    <w:rPr>
                      <w:sz w:val="21"/>
                      <w:vertAlign w:val="subscript"/>
                    </w:rPr>
                    <w:t>5</w:t>
                  </w:r>
                  <w:r>
                    <w:rPr>
                      <w:sz w:val="21"/>
                    </w:rPr>
                    <w:t>（</w:t>
                  </w:r>
                  <w:r>
                    <w:rPr>
                      <w:sz w:val="21"/>
                    </w:rPr>
                    <w:t>mg/L）</w:t>
                  </w:r>
                </w:p>
              </w:tc>
              <w:tc>
                <w:tcPr>
                  <w:tcW w:type="dxa" w:w="932"/>
                  <w:tcBorders>
                    <w:top w:val="single" w:color="000000" w:sz="4"/>
                    <w:left w:val="none" w:color="000000" w:sz="4"/>
                    <w:bottom w:val="single" w:color="000000" w:sz="4"/>
                    <w:right w:val="single" w:color="000000" w:sz="4"/>
                  </w:tcBorders>
                  <w:vAlign w:val="top"/>
                </w:tcPr>
                <w:p>
                  <w:pPr>
                    <w:jc w:val="center"/>
                  </w:pPr>
                  <w:r>
                    <w:rPr>
                      <w:sz w:val="21"/>
                    </w:rPr>
                    <w:t>SS（mg/L）</w:t>
                  </w:r>
                </w:p>
              </w:tc>
              <w:tc>
                <w:tcPr>
                  <w:tcW w:type="dxa" w:w="932"/>
                  <w:tcBorders>
                    <w:top w:val="single" w:color="000000" w:sz="4"/>
                    <w:left w:val="none" w:color="000000" w:sz="4"/>
                    <w:bottom w:val="single" w:color="000000" w:sz="4"/>
                    <w:right w:val="single" w:color="000000" w:sz="4"/>
                  </w:tcBorders>
                  <w:vAlign w:val="top"/>
                </w:tcPr>
                <w:p>
                  <w:pPr>
                    <w:jc w:val="center"/>
                  </w:pPr>
                  <w:r>
                    <w:rPr>
                      <w:sz w:val="21"/>
                    </w:rPr>
                    <w:t>NH</w:t>
                  </w:r>
                  <w:r>
                    <w:rPr>
                      <w:sz w:val="21"/>
                      <w:vertAlign w:val="subscript"/>
                    </w:rPr>
                    <w:t>3</w:t>
                  </w:r>
                  <w:r>
                    <w:rPr>
                      <w:sz w:val="21"/>
                    </w:rPr>
                    <w:t>-N（mg/L）</w:t>
                  </w:r>
                </w:p>
              </w:tc>
              <w:tc>
                <w:tcPr>
                  <w:tcW w:type="dxa" w:w="930"/>
                  <w:tcBorders>
                    <w:top w:val="single" w:color="000000" w:sz="4"/>
                    <w:left w:val="none" w:color="000000" w:sz="4"/>
                    <w:bottom w:val="single" w:color="000000" w:sz="4"/>
                    <w:right w:val="single" w:color="000000" w:sz="4"/>
                  </w:tcBorders>
                  <w:vAlign w:val="top"/>
                </w:tcPr>
                <w:p>
                  <w:pPr>
                    <w:jc w:val="center"/>
                  </w:pPr>
                  <w:r>
                    <w:rPr>
                      <w:sz w:val="21"/>
                    </w:rPr>
                    <w:t>pH</w:t>
                  </w:r>
                </w:p>
              </w:tc>
            </w:tr>
            <w:tr>
              <w:tc>
                <w:tcPr>
                  <w:tcW w:type="dxa" w:w="929"/>
                  <w:tcBorders>
                    <w:top w:val="none" w:color="000000" w:sz="4"/>
                    <w:left w:val="single" w:color="000000" w:sz="4"/>
                    <w:bottom w:val="single" w:color="000000" w:sz="4"/>
                    <w:right w:val="single" w:color="000000" w:sz="4"/>
                  </w:tcBorders>
                  <w:vAlign w:val="top"/>
                </w:tcPr>
                <w:p>
                  <w:pPr>
                    <w:jc w:val="center"/>
                  </w:pPr>
                  <w:r>
                    <w:rPr>
                      <w:sz w:val="21"/>
                    </w:rPr>
                    <w:t>浓度</w:t>
                  </w:r>
                </w:p>
              </w:tc>
              <w:tc>
                <w:tcPr>
                  <w:tcW w:type="dxa" w:w="944"/>
                  <w:tcBorders>
                    <w:top w:val="none" w:color="000000" w:sz="4"/>
                    <w:left w:val="none" w:color="000000" w:sz="4"/>
                    <w:bottom w:val="single" w:color="000000" w:sz="4"/>
                    <w:right w:val="single" w:color="000000" w:sz="4"/>
                  </w:tcBorders>
                  <w:vAlign w:val="top"/>
                </w:tcPr>
                <w:p>
                  <w:pPr>
                    <w:jc w:val="center"/>
                  </w:pPr>
                  <w:r>
                    <w:rPr>
                      <w:sz w:val="21"/>
                    </w:rPr>
                    <w:t>6000~12000</w:t>
                  </w:r>
                </w:p>
              </w:tc>
              <w:tc>
                <w:tcPr>
                  <w:tcW w:type="dxa" w:w="930"/>
                  <w:tcBorders>
                    <w:top w:val="none" w:color="000000" w:sz="4"/>
                    <w:left w:val="none" w:color="000000" w:sz="4"/>
                    <w:bottom w:val="single" w:color="000000" w:sz="4"/>
                    <w:right w:val="single" w:color="000000" w:sz="4"/>
                  </w:tcBorders>
                  <w:vAlign w:val="top"/>
                </w:tcPr>
                <w:p>
                  <w:pPr>
                    <w:jc w:val="center"/>
                  </w:pPr>
                  <w:r>
                    <w:rPr>
                      <w:sz w:val="21"/>
                    </w:rPr>
                    <w:t>1500~8000</w:t>
                  </w:r>
                </w:p>
              </w:tc>
              <w:tc>
                <w:tcPr>
                  <w:tcW w:type="dxa" w:w="932"/>
                  <w:tcBorders>
                    <w:top w:val="none" w:color="000000" w:sz="4"/>
                    <w:left w:val="none" w:color="000000" w:sz="4"/>
                    <w:bottom w:val="single" w:color="000000" w:sz="4"/>
                    <w:right w:val="single" w:color="000000" w:sz="4"/>
                  </w:tcBorders>
                  <w:vAlign w:val="top"/>
                </w:tcPr>
                <w:p>
                  <w:pPr>
                    <w:jc w:val="center"/>
                  </w:pPr>
                  <w:r>
                    <w:rPr>
                      <w:sz w:val="21"/>
                    </w:rPr>
                    <w:t>600~1000</w:t>
                  </w:r>
                </w:p>
              </w:tc>
              <w:tc>
                <w:tcPr>
                  <w:tcW w:type="dxa" w:w="932"/>
                  <w:tcBorders>
                    <w:top w:val="none" w:color="000000" w:sz="4"/>
                    <w:left w:val="none" w:color="000000" w:sz="4"/>
                    <w:bottom w:val="single" w:color="000000" w:sz="4"/>
                    <w:right w:val="single" w:color="000000" w:sz="4"/>
                  </w:tcBorders>
                  <w:vAlign w:val="top"/>
                </w:tcPr>
                <w:p>
                  <w:pPr>
                    <w:jc w:val="center"/>
                  </w:pPr>
                  <w:r>
                    <w:rPr>
                      <w:sz w:val="21"/>
                    </w:rPr>
                    <w:t>60~500</w:t>
                  </w:r>
                </w:p>
              </w:tc>
              <w:tc>
                <w:tcPr>
                  <w:tcW w:type="dxa" w:w="930"/>
                  <w:tcBorders>
                    <w:top w:val="none" w:color="000000" w:sz="4"/>
                    <w:left w:val="none" w:color="000000" w:sz="4"/>
                    <w:bottom w:val="single" w:color="000000" w:sz="4"/>
                    <w:right w:val="single" w:color="000000" w:sz="4"/>
                  </w:tcBorders>
                  <w:vAlign w:val="top"/>
                </w:tcPr>
                <w:p>
                  <w:pPr>
                    <w:jc w:val="center"/>
                  </w:pPr>
                  <w:r>
                    <w:rPr>
                      <w:sz w:val="21"/>
                    </w:rPr>
                    <w:t>5-10</w:t>
                  </w:r>
                </w:p>
              </w:tc>
            </w:tr>
          </w:tbl>
          <w:p>
            <w:pPr>
              <w:ind w:firstLine="420"/>
            </w:pPr>
            <w:r>
              <w:rPr>
                <w:sz w:val="21"/>
              </w:rPr>
              <w:t>注：设计进水水质仅供投标人参考，以投标人自行现场取样分析为准。</w:t>
            </w:r>
          </w:p>
          <w:p>
            <w:r>
              <w:rPr>
                <w:sz w:val="21"/>
              </w:rPr>
              <w:t>设计</w:t>
            </w:r>
            <w:r>
              <w:rPr>
                <w:sz w:val="21"/>
              </w:rPr>
              <w:t>出</w:t>
            </w:r>
            <w:r>
              <w:rPr>
                <w:sz w:val="21"/>
              </w:rPr>
              <w:t>水水质要求</w:t>
            </w:r>
          </w:p>
          <w:p>
            <w:pPr>
              <w:ind w:firstLine="420"/>
            </w:pPr>
            <w:r>
              <w:rPr>
                <w:sz w:val="21"/>
              </w:rPr>
              <w:t>渗滤液处理出水水质执行《生活垃圾填埋场污染控制标准》（</w:t>
            </w:r>
            <w:r>
              <w:rPr>
                <w:sz w:val="21"/>
              </w:rPr>
              <w:t>GB16889-2008）表2标准，主要指标如下：</w:t>
            </w:r>
          </w:p>
          <w:p>
            <w:pPr>
              <w:ind w:firstLine="422"/>
              <w:jc w:val="center"/>
            </w:pPr>
            <w:r>
              <w:rPr>
                <w:b/>
                <w:sz w:val="21"/>
              </w:rPr>
              <w:t>设计出水水质表</w:t>
            </w:r>
          </w:p>
          <w:tbl>
            <w:tblPr>
              <w:tblBorders>
                <w:top w:val="none" w:color="000000" w:sz="4"/>
                <w:left w:val="none" w:color="000000" w:sz="4"/>
                <w:bottom w:val="none" w:color="000000" w:sz="4"/>
                <w:right w:val="none" w:color="000000" w:sz="4"/>
                <w:insideH w:val="none"/>
                <w:insideV w:val="none"/>
              </w:tblBorders>
            </w:tblPr>
            <w:tblGrid>
              <w:gridCol w:w="796"/>
              <w:gridCol w:w="809"/>
              <w:gridCol w:w="797"/>
              <w:gridCol w:w="801"/>
              <w:gridCol w:w="801"/>
              <w:gridCol w:w="797"/>
              <w:gridCol w:w="797"/>
            </w:tblGrid>
            <w:tr>
              <w:tc>
                <w:tcPr>
                  <w:tcW w:type="dxa" w:w="796"/>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809"/>
                  <w:tcBorders>
                    <w:top w:val="single" w:color="000000" w:sz="4"/>
                    <w:left w:val="none" w:color="000000" w:sz="4"/>
                    <w:bottom w:val="single" w:color="000000" w:sz="4"/>
                    <w:right w:val="single" w:color="000000" w:sz="4"/>
                  </w:tcBorders>
                  <w:vAlign w:val="top"/>
                </w:tcPr>
                <w:p>
                  <w:pPr>
                    <w:jc w:val="center"/>
                  </w:pPr>
                  <w:r>
                    <w:rPr>
                      <w:sz w:val="21"/>
                    </w:rPr>
                    <w:t>CODcr（mg/L）</w:t>
                  </w:r>
                </w:p>
              </w:tc>
              <w:tc>
                <w:tcPr>
                  <w:tcW w:type="dxa" w:w="797"/>
                  <w:tcBorders>
                    <w:top w:val="single" w:color="000000" w:sz="4"/>
                    <w:left w:val="none" w:color="000000" w:sz="4"/>
                    <w:bottom w:val="single" w:color="000000" w:sz="4"/>
                    <w:right w:val="single" w:color="000000" w:sz="4"/>
                  </w:tcBorders>
                  <w:vAlign w:val="top"/>
                </w:tcPr>
                <w:p>
                  <w:pPr>
                    <w:jc w:val="center"/>
                  </w:pPr>
                  <w:r>
                    <w:rPr>
                      <w:sz w:val="21"/>
                    </w:rPr>
                    <w:t>BOD</w:t>
                  </w:r>
                  <w:r>
                    <w:rPr>
                      <w:sz w:val="21"/>
                      <w:vertAlign w:val="subscript"/>
                    </w:rPr>
                    <w:t>5</w:t>
                  </w:r>
                  <w:r>
                    <w:rPr>
                      <w:sz w:val="21"/>
                    </w:rPr>
                    <w:t>（</w:t>
                  </w:r>
                  <w:r>
                    <w:rPr>
                      <w:sz w:val="21"/>
                    </w:rPr>
                    <w:t>mg/L）</w:t>
                  </w:r>
                </w:p>
              </w:tc>
              <w:tc>
                <w:tcPr>
                  <w:tcW w:type="dxa" w:w="801"/>
                  <w:tcBorders>
                    <w:top w:val="single" w:color="000000" w:sz="4"/>
                    <w:left w:val="none" w:color="000000" w:sz="4"/>
                    <w:bottom w:val="single" w:color="000000" w:sz="4"/>
                    <w:right w:val="single" w:color="000000" w:sz="4"/>
                  </w:tcBorders>
                  <w:vAlign w:val="top"/>
                </w:tcPr>
                <w:p>
                  <w:pPr>
                    <w:jc w:val="center"/>
                  </w:pPr>
                  <w:r>
                    <w:rPr>
                      <w:sz w:val="21"/>
                    </w:rPr>
                    <w:t>SS</w:t>
                  </w:r>
                </w:p>
                <w:p>
                  <w:pPr>
                    <w:jc w:val="center"/>
                  </w:pPr>
                  <w:r>
                    <w:rPr>
                      <w:sz w:val="21"/>
                    </w:rPr>
                    <w:t>（</w:t>
                  </w:r>
                  <w:r>
                    <w:rPr>
                      <w:sz w:val="21"/>
                    </w:rPr>
                    <w:t>mg/L）</w:t>
                  </w:r>
                </w:p>
              </w:tc>
              <w:tc>
                <w:tcPr>
                  <w:tcW w:type="dxa" w:w="801"/>
                  <w:tcBorders>
                    <w:top w:val="single" w:color="000000" w:sz="4"/>
                    <w:left w:val="none" w:color="000000" w:sz="4"/>
                    <w:bottom w:val="single" w:color="000000" w:sz="4"/>
                    <w:right w:val="single" w:color="000000" w:sz="4"/>
                  </w:tcBorders>
                  <w:vAlign w:val="top"/>
                </w:tcPr>
                <w:p>
                  <w:pPr>
                    <w:jc w:val="center"/>
                  </w:pPr>
                  <w:r>
                    <w:rPr>
                      <w:sz w:val="21"/>
                    </w:rPr>
                    <w:t>NH</w:t>
                  </w:r>
                  <w:r>
                    <w:rPr>
                      <w:sz w:val="21"/>
                      <w:vertAlign w:val="subscript"/>
                    </w:rPr>
                    <w:t>3</w:t>
                  </w:r>
                  <w:r>
                    <w:rPr>
                      <w:sz w:val="21"/>
                    </w:rPr>
                    <w:t>-N（mg/L）</w:t>
                  </w:r>
                </w:p>
              </w:tc>
              <w:tc>
                <w:tcPr>
                  <w:tcW w:type="dxa" w:w="797"/>
                  <w:tcBorders>
                    <w:top w:val="single" w:color="000000" w:sz="4"/>
                    <w:left w:val="none" w:color="000000" w:sz="4"/>
                    <w:bottom w:val="single" w:color="000000" w:sz="4"/>
                    <w:right w:val="single" w:color="000000" w:sz="4"/>
                  </w:tcBorders>
                  <w:vAlign w:val="top"/>
                </w:tcPr>
                <w:p>
                  <w:pPr>
                    <w:jc w:val="center"/>
                  </w:pPr>
                  <w:r>
                    <w:rPr>
                      <w:sz w:val="21"/>
                    </w:rPr>
                    <w:t>TN</w:t>
                  </w:r>
                </w:p>
                <w:p>
                  <w:pPr>
                    <w:jc w:val="center"/>
                  </w:pPr>
                  <w:r>
                    <w:rPr>
                      <w:sz w:val="21"/>
                    </w:rPr>
                    <w:t>（</w:t>
                  </w:r>
                  <w:r>
                    <w:rPr>
                      <w:sz w:val="21"/>
                    </w:rPr>
                    <w:t>mg/L）</w:t>
                  </w:r>
                </w:p>
              </w:tc>
              <w:tc>
                <w:tcPr>
                  <w:tcW w:type="dxa" w:w="797"/>
                  <w:tcBorders>
                    <w:top w:val="single" w:color="000000" w:sz="4"/>
                    <w:left w:val="none" w:color="000000" w:sz="4"/>
                    <w:bottom w:val="single" w:color="000000" w:sz="4"/>
                    <w:right w:val="single" w:color="000000" w:sz="4"/>
                  </w:tcBorders>
                  <w:vAlign w:val="top"/>
                </w:tcPr>
                <w:p>
                  <w:pPr>
                    <w:jc w:val="center"/>
                  </w:pPr>
                  <w:r>
                    <w:rPr>
                      <w:sz w:val="21"/>
                    </w:rPr>
                    <w:t>pH</w:t>
                  </w:r>
                </w:p>
              </w:tc>
            </w:tr>
            <w:tr>
              <w:tc>
                <w:tcPr>
                  <w:tcW w:type="dxa" w:w="796"/>
                  <w:tcBorders>
                    <w:top w:val="none" w:color="000000" w:sz="4"/>
                    <w:left w:val="single" w:color="000000" w:sz="4"/>
                    <w:bottom w:val="single" w:color="000000" w:sz="4"/>
                    <w:right w:val="single" w:color="000000" w:sz="4"/>
                  </w:tcBorders>
                  <w:vAlign w:val="top"/>
                </w:tcPr>
                <w:p>
                  <w:pPr>
                    <w:jc w:val="center"/>
                  </w:pPr>
                  <w:r>
                    <w:rPr>
                      <w:sz w:val="21"/>
                    </w:rPr>
                    <w:t>表</w:t>
                  </w:r>
                  <w:r>
                    <w:rPr>
                      <w:sz w:val="21"/>
                    </w:rPr>
                    <w:t>2标准</w:t>
                  </w:r>
                </w:p>
              </w:tc>
              <w:tc>
                <w:tcPr>
                  <w:tcW w:type="dxa" w:w="809"/>
                  <w:tcBorders>
                    <w:top w:val="none" w:color="000000" w:sz="4"/>
                    <w:left w:val="none" w:color="000000" w:sz="4"/>
                    <w:bottom w:val="single" w:color="000000" w:sz="4"/>
                    <w:right w:val="single" w:color="000000" w:sz="4"/>
                  </w:tcBorders>
                  <w:vAlign w:val="top"/>
                </w:tcPr>
                <w:p>
                  <w:pPr>
                    <w:jc w:val="center"/>
                  </w:pPr>
                  <w:r>
                    <w:rPr>
                      <w:sz w:val="21"/>
                    </w:rPr>
                    <w:t>≤100</w:t>
                  </w:r>
                </w:p>
              </w:tc>
              <w:tc>
                <w:tcPr>
                  <w:tcW w:type="dxa" w:w="797"/>
                  <w:tcBorders>
                    <w:top w:val="none" w:color="000000" w:sz="4"/>
                    <w:left w:val="none" w:color="000000" w:sz="4"/>
                    <w:bottom w:val="single" w:color="000000" w:sz="4"/>
                    <w:right w:val="single" w:color="000000" w:sz="4"/>
                  </w:tcBorders>
                  <w:vAlign w:val="top"/>
                </w:tcPr>
                <w:p>
                  <w:pPr>
                    <w:jc w:val="center"/>
                  </w:pPr>
                  <w:r>
                    <w:rPr>
                      <w:sz w:val="21"/>
                    </w:rPr>
                    <w:t>≤30</w:t>
                  </w:r>
                </w:p>
              </w:tc>
              <w:tc>
                <w:tcPr>
                  <w:tcW w:type="dxa" w:w="801"/>
                  <w:tcBorders>
                    <w:top w:val="none" w:color="000000" w:sz="4"/>
                    <w:left w:val="none" w:color="000000" w:sz="4"/>
                    <w:bottom w:val="single" w:color="000000" w:sz="4"/>
                    <w:right w:val="single" w:color="000000" w:sz="4"/>
                  </w:tcBorders>
                  <w:vAlign w:val="top"/>
                </w:tcPr>
                <w:p>
                  <w:pPr>
                    <w:jc w:val="center"/>
                  </w:pPr>
                  <w:r>
                    <w:rPr>
                      <w:sz w:val="21"/>
                    </w:rPr>
                    <w:t>≤30</w:t>
                  </w:r>
                </w:p>
              </w:tc>
              <w:tc>
                <w:tcPr>
                  <w:tcW w:type="dxa" w:w="801"/>
                  <w:tcBorders>
                    <w:top w:val="none" w:color="000000" w:sz="4"/>
                    <w:left w:val="none" w:color="000000" w:sz="4"/>
                    <w:bottom w:val="single" w:color="000000" w:sz="4"/>
                    <w:right w:val="single" w:color="000000" w:sz="4"/>
                  </w:tcBorders>
                  <w:vAlign w:val="top"/>
                </w:tcPr>
                <w:p>
                  <w:pPr>
                    <w:jc w:val="center"/>
                  </w:pPr>
                  <w:r>
                    <w:rPr>
                      <w:sz w:val="21"/>
                    </w:rPr>
                    <w:t>≤25</w:t>
                  </w:r>
                </w:p>
              </w:tc>
              <w:tc>
                <w:tcPr>
                  <w:tcW w:type="dxa" w:w="797"/>
                  <w:tcBorders>
                    <w:top w:val="none" w:color="000000" w:sz="4"/>
                    <w:left w:val="none" w:color="000000" w:sz="4"/>
                    <w:bottom w:val="single" w:color="000000" w:sz="4"/>
                    <w:right w:val="single" w:color="000000" w:sz="4"/>
                  </w:tcBorders>
                  <w:vAlign w:val="top"/>
                </w:tcPr>
                <w:p>
                  <w:pPr>
                    <w:jc w:val="center"/>
                  </w:pPr>
                  <w:r>
                    <w:rPr>
                      <w:sz w:val="21"/>
                    </w:rPr>
                    <w:t>≤40</w:t>
                  </w:r>
                </w:p>
              </w:tc>
              <w:tc>
                <w:tcPr>
                  <w:tcW w:type="dxa" w:w="797"/>
                  <w:tcBorders>
                    <w:top w:val="none" w:color="000000" w:sz="4"/>
                    <w:left w:val="none" w:color="000000" w:sz="4"/>
                    <w:bottom w:val="single" w:color="000000" w:sz="4"/>
                    <w:right w:val="single" w:color="000000" w:sz="4"/>
                  </w:tcBorders>
                  <w:vAlign w:val="top"/>
                </w:tcPr>
                <w:p>
                  <w:pPr>
                    <w:jc w:val="center"/>
                  </w:pPr>
                  <w:r>
                    <w:rPr>
                      <w:sz w:val="21"/>
                    </w:rPr>
                    <w:t>5-10</w:t>
                  </w:r>
                </w:p>
              </w:tc>
            </w:tr>
          </w:tbl>
          <w:p>
            <w:r>
              <w:rPr>
                <w:sz w:val="21"/>
              </w:rPr>
              <w:t>清水排放及浓缩液处理</w:t>
            </w:r>
          </w:p>
          <w:p>
            <w:pPr>
              <w:ind w:firstLine="420"/>
            </w:pPr>
            <w:r>
              <w:rPr>
                <w:sz w:val="21"/>
              </w:rPr>
              <w:t>本项目渗滤液处理后需达到《生活垃圾填埋场污染控制标准》（</w:t>
            </w:r>
            <w:r>
              <w:rPr>
                <w:sz w:val="21"/>
              </w:rPr>
              <w:t>GB16889-2008）表2标准后排入市政污水管网；NF/RO浓缩液由东莞市城市管理和综合执法局委托有资质公司实行无害化处理。</w:t>
            </w:r>
          </w:p>
          <w:p>
            <w:r>
              <w:rPr>
                <w:sz w:val="21"/>
              </w:rPr>
              <w:t>本项目工艺流程说明</w:t>
            </w:r>
          </w:p>
          <w:p>
            <w:pPr>
              <w:ind w:firstLine="420"/>
            </w:pPr>
            <w:r>
              <w:rPr>
                <w:sz w:val="21"/>
              </w:rPr>
              <w:t>本项目设计总体工艺单元分为四个系统：渗滤液处理系统、污泥处理系统、浓缩液收集系统和除臭系统。</w:t>
            </w:r>
          </w:p>
          <w:p>
            <w:pPr>
              <w:ind w:firstLine="420"/>
            </w:pPr>
            <w:r>
              <w:rPr>
                <w:sz w:val="21"/>
              </w:rPr>
              <w:t>渗滤液处理系统：采用</w:t>
            </w:r>
            <w:r>
              <w:rPr>
                <w:sz w:val="21"/>
              </w:rPr>
              <w:t>“MBR+UF+NF/RO”为核心的处理工艺。其中MBR系统分为反硝化池、硝化池、UF超滤系统单元及辅助单元；</w:t>
            </w:r>
          </w:p>
          <w:p>
            <w:pPr>
              <w:ind w:firstLine="420"/>
            </w:pPr>
            <w:r>
              <w:rPr>
                <w:sz w:val="21"/>
              </w:rPr>
              <w:t>污泥处理系统：采用</w:t>
            </w:r>
            <w:r>
              <w:rPr>
                <w:sz w:val="21"/>
              </w:rPr>
              <w:t>“离心污泥脱水机”的处理工艺；</w:t>
            </w:r>
          </w:p>
          <w:p>
            <w:pPr>
              <w:ind w:firstLine="420"/>
            </w:pPr>
            <w:r>
              <w:rPr>
                <w:sz w:val="21"/>
              </w:rPr>
              <w:t>浓缩液处理系统：</w:t>
            </w:r>
            <w:r>
              <w:rPr>
                <w:sz w:val="21"/>
              </w:rPr>
              <w:t>NF/RO膜浓液收集；</w:t>
            </w:r>
          </w:p>
          <w:p>
            <w:pPr>
              <w:ind w:firstLine="420"/>
            </w:pPr>
            <w:r>
              <w:rPr>
                <w:sz w:val="21"/>
              </w:rPr>
              <w:t>除臭系统：采用</w:t>
            </w:r>
            <w:r>
              <w:rPr>
                <w:sz w:val="21"/>
              </w:rPr>
              <w:t>“活性氧离子除臭”的处理工艺。</w:t>
            </w:r>
          </w:p>
          <w:p>
            <w:pPr>
              <w:ind w:firstLine="420"/>
            </w:pPr>
            <w:r>
              <w:rPr>
                <w:sz w:val="21"/>
              </w:rPr>
              <w:t>工艺流程如下：</w:t>
            </w:r>
          </w:p>
          <w:p>
            <w:pPr>
              <w:jc w:val="center"/>
            </w:pPr>
            <w:r>
              <w:drawing>
                <wp:inline distT="0" distR="0" distB="0" distL="0">
                  <wp:extent cx="3554729" cy="111166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1111660"/>
                          </a:xfrm>
                          <a:prstGeom prst="rect">
                            <a:avLst/>
                          </a:prstGeom>
                        </pic:spPr>
                      </pic:pic>
                    </a:graphicData>
                  </a:graphic>
                </wp:inline>
              </w:drawing>
            </w:r>
            <w:r>
              <w:rPr>
                <w:sz w:val="22"/>
              </w:rPr>
              <w:t xml:space="preserve"> </w:t>
            </w:r>
          </w:p>
          <w:p>
            <w:pPr>
              <w:jc w:val="center"/>
            </w:pPr>
            <w:r>
              <w:rPr>
                <w:b/>
                <w:sz w:val="21"/>
              </w:rPr>
              <w:t>凤岗镇中心区生活垃圾填埋场渗滤液处理工艺流程图</w:t>
            </w:r>
          </w:p>
          <w:p>
            <w:pPr>
              <w:ind w:firstLine="422"/>
            </w:pPr>
            <w:r>
              <w:rPr>
                <w:b/>
                <w:sz w:val="21"/>
              </w:rPr>
              <w:t>1）渗滤液处理系统</w:t>
            </w:r>
          </w:p>
          <w:p>
            <w:pPr>
              <w:ind w:firstLine="420"/>
            </w:pPr>
            <w:r>
              <w:rPr>
                <w:sz w:val="21"/>
              </w:rPr>
              <w:t>调节池渗滤液经泵提升至均衡池至</w:t>
            </w:r>
            <w:r>
              <w:rPr>
                <w:sz w:val="21"/>
              </w:rPr>
              <w:t>MBR生化系统，进入A/O池组，渗滤液依次流经反硝化池、硝化池，通过内回流，在缺氧、好氧交替的条件下，渗滤液中的有机物、氨氮、硝态氮得到降解去除。生化系统单元处理后的渗滤液通过MBR中的UF超滤系统分离后，清液进入膜深度处理系统处理，浓缩污泥（硝化液）回流至反硝化池，剩余污泥排至污泥浓缩池。</w:t>
            </w:r>
          </w:p>
          <w:p>
            <w:pPr>
              <w:ind w:firstLine="420"/>
            </w:pPr>
            <w:r>
              <w:rPr>
                <w:sz w:val="21"/>
              </w:rPr>
              <w:t>膜深度处理系统包括</w:t>
            </w:r>
            <w:r>
              <w:rPr>
                <w:sz w:val="21"/>
              </w:rPr>
              <w:t>NF和RO系统，UF出水进入NF和R0系统后，通过卷式NF和卷式RO膜对氨氮、总氮和总磷的高效截留，既提高了系统污染物的截留率，又使得浓缩液中的盐分减少，降低浓缩液的处理难度。卷式NF和卷式R0膜系统产生的浓缩液收集处理。</w:t>
            </w:r>
          </w:p>
          <w:p>
            <w:pPr>
              <w:ind w:firstLine="420"/>
            </w:pPr>
            <w:r>
              <w:rPr>
                <w:sz w:val="21"/>
              </w:rPr>
              <w:t>注：由于膜深度处理系统</w:t>
            </w:r>
            <w:r>
              <w:rPr>
                <w:sz w:val="21"/>
              </w:rPr>
              <w:t>正常使用耗损</w:t>
            </w:r>
            <w:r>
              <w:rPr>
                <w:sz w:val="21"/>
              </w:rPr>
              <w:t>无法满足处理水量及出水水质要求，需要更换，中标人提出更换方案，交由招标人实施，费用由招标人负责</w:t>
            </w:r>
            <w:r>
              <w:rPr>
                <w:sz w:val="21"/>
              </w:rPr>
              <w:t>；</w:t>
            </w:r>
            <w:r>
              <w:rPr>
                <w:sz w:val="21"/>
              </w:rPr>
              <w:t>膜深度处理系统</w:t>
            </w:r>
            <w:r>
              <w:rPr>
                <w:sz w:val="21"/>
              </w:rPr>
              <w:t>因操作不当或人为损坏，由</w:t>
            </w:r>
            <w:r>
              <w:rPr>
                <w:sz w:val="21"/>
              </w:rPr>
              <w:t>中标人</w:t>
            </w:r>
            <w:r>
              <w:rPr>
                <w:sz w:val="21"/>
              </w:rPr>
              <w:t>负责</w:t>
            </w:r>
            <w:r>
              <w:rPr>
                <w:sz w:val="21"/>
              </w:rPr>
              <w:t>更换，费用由</w:t>
            </w:r>
            <w:r>
              <w:rPr>
                <w:sz w:val="21"/>
              </w:rPr>
              <w:t>中</w:t>
            </w:r>
            <w:r>
              <w:rPr>
                <w:sz w:val="21"/>
              </w:rPr>
              <w:t>标人</w:t>
            </w:r>
            <w:r>
              <w:rPr>
                <w:sz w:val="21"/>
              </w:rPr>
              <w:t>承担。</w:t>
            </w:r>
          </w:p>
          <w:p>
            <w:pPr>
              <w:ind w:firstLine="422"/>
            </w:pPr>
            <w:r>
              <w:rPr>
                <w:b/>
                <w:sz w:val="21"/>
              </w:rPr>
              <w:t>2）污泥处理系统</w:t>
            </w:r>
          </w:p>
          <w:p>
            <w:pPr>
              <w:ind w:firstLine="420"/>
            </w:pPr>
            <w:r>
              <w:rPr>
                <w:sz w:val="21"/>
              </w:rPr>
              <w:t>污泥处理系统主要由絮凝剂制备装置、污泥脱水机、无轴螺旋输送机、废水提升泵、絮凝剂投加泵、配套电气自控设备和工艺连接管道阀门组成，浓缩后的污泥与混凝剂在污泥浓缩池进行充分混合经泵提升进入污泥脱水系统；污泥进入污泥脱水机后进行压滤脱水，降低污泥含水率，脱水后的脱水污泥按环保相关要求，交由具备相关资质的单位处置，污泥处置费用由中标人负责。压滤后的滤后液与污泥浓缩池排出的上清液一同回流到生化系统继续处理。</w:t>
            </w:r>
          </w:p>
          <w:p>
            <w:pPr>
              <w:ind w:firstLine="422"/>
            </w:pPr>
            <w:r>
              <w:rPr>
                <w:b/>
                <w:sz w:val="21"/>
              </w:rPr>
              <w:t>3）NF和RO膜浓缩液处理系统</w:t>
            </w:r>
          </w:p>
          <w:p>
            <w:pPr>
              <w:ind w:firstLine="420"/>
            </w:pPr>
            <w:r>
              <w:rPr>
                <w:sz w:val="21"/>
              </w:rPr>
              <w:t>本项目</w:t>
            </w:r>
            <w:r>
              <w:rPr>
                <w:sz w:val="21"/>
              </w:rPr>
              <w:t>NF和RO膜系统产生的浓缩液进行收集，交由东莞市城市管理和综合执法局委托有资质公司实行无害化处理。</w:t>
            </w:r>
          </w:p>
          <w:p>
            <w:pPr>
              <w:ind w:firstLine="422"/>
            </w:pPr>
            <w:r>
              <w:rPr>
                <w:b/>
                <w:sz w:val="21"/>
              </w:rPr>
              <w:t>4）除臭系统</w:t>
            </w:r>
          </w:p>
          <w:p>
            <w:pPr>
              <w:ind w:firstLine="420"/>
            </w:pPr>
            <w:r>
              <w:rPr>
                <w:sz w:val="21"/>
              </w:rPr>
              <w:t>采用</w:t>
            </w:r>
            <w:r>
              <w:rPr>
                <w:sz w:val="21"/>
              </w:rPr>
              <w:t>“活性氧离子除臭”的处理工艺。处理流程：各处理点的臭气经收集管收集至活性氧离子除臭系统，臭气在活性氧离子除臭系统内进行处理，生物滤池内的微生物将对臭气进行分解、吸收和吸附，将臭气转化为无毒害、无恶臭的气体排放到大气中。</w:t>
            </w:r>
          </w:p>
          <w:p>
            <w:r>
              <w:rPr>
                <w:b/>
                <w:sz w:val="24"/>
              </w:rPr>
              <w:t>三、人员配置要求</w:t>
            </w:r>
          </w:p>
          <w:p>
            <w:pPr>
              <w:ind w:firstLine="420"/>
            </w:pPr>
            <w:r>
              <w:rPr>
                <w:sz w:val="21"/>
              </w:rPr>
              <w:t>技术负责人需具有垃圾填埋及污水处理相关工作经历，在运营期内有变更技术负责人的，需至少提前</w:t>
            </w:r>
            <w:r>
              <w:rPr>
                <w:sz w:val="21"/>
              </w:rPr>
              <w:t>7天通知采购人。包括但不限于以下人员：</w:t>
            </w:r>
          </w:p>
          <w:tbl>
            <w:tblPr>
              <w:tblBorders>
                <w:top w:val="none" w:color="000000" w:sz="4"/>
                <w:left w:val="none" w:color="000000" w:sz="4"/>
                <w:bottom w:val="none" w:color="000000" w:sz="4"/>
                <w:right w:val="none" w:color="000000" w:sz="4"/>
                <w:insideH w:val="none"/>
                <w:insideV w:val="none"/>
              </w:tblBorders>
            </w:tblPr>
            <w:tblGrid>
              <w:gridCol w:w="704"/>
              <w:gridCol w:w="3136"/>
              <w:gridCol w:w="1746"/>
            </w:tblGrid>
            <w:tr>
              <w:tc>
                <w:tcPr>
                  <w:tcW w:type="dxa" w:w="704"/>
                  <w:tcBorders>
                    <w:top w:val="single" w:color="000000" w:sz="4"/>
                    <w:left w:val="single" w:color="000000" w:sz="4"/>
                    <w:bottom w:val="single" w:color="000000" w:sz="4"/>
                    <w:right w:val="single" w:color="000000" w:sz="4"/>
                  </w:tcBorders>
                  <w:vAlign w:val="top"/>
                </w:tcPr>
                <w:p>
                  <w:pPr>
                    <w:jc w:val="center"/>
                  </w:pPr>
                  <w:r>
                    <w:rPr>
                      <w:b/>
                      <w:sz w:val="21"/>
                    </w:rPr>
                    <w:t>序</w:t>
                  </w:r>
                  <w:r>
                    <w:rPr>
                      <w:b/>
                      <w:sz w:val="21"/>
                    </w:rPr>
                    <w:t xml:space="preserve"> </w:t>
                  </w:r>
                  <w:r>
                    <w:rPr>
                      <w:b/>
                      <w:sz w:val="21"/>
                    </w:rPr>
                    <w:t>号</w:t>
                  </w:r>
                </w:p>
              </w:tc>
              <w:tc>
                <w:tcPr>
                  <w:tcW w:type="dxa" w:w="3136"/>
                  <w:tcBorders>
                    <w:top w:val="single" w:color="000000" w:sz="4"/>
                    <w:left w:val="none" w:color="000000" w:sz="4"/>
                    <w:bottom w:val="single" w:color="000000" w:sz="4"/>
                    <w:right w:val="single" w:color="000000" w:sz="4"/>
                  </w:tcBorders>
                  <w:vAlign w:val="top"/>
                </w:tcPr>
                <w:p>
                  <w:pPr>
                    <w:jc w:val="center"/>
                  </w:pPr>
                  <w:r>
                    <w:rPr>
                      <w:b/>
                      <w:sz w:val="21"/>
                    </w:rPr>
                    <w:t>职</w:t>
                  </w:r>
                  <w:r>
                    <w:rPr>
                      <w:b/>
                      <w:sz w:val="21"/>
                    </w:rPr>
                    <w:t xml:space="preserve"> </w:t>
                  </w:r>
                  <w:r>
                    <w:rPr>
                      <w:b/>
                      <w:sz w:val="21"/>
                    </w:rPr>
                    <w:t>位</w:t>
                  </w:r>
                </w:p>
              </w:tc>
              <w:tc>
                <w:tcPr>
                  <w:tcW w:type="dxa" w:w="1746"/>
                  <w:tcBorders>
                    <w:top w:val="single" w:color="000000" w:sz="4"/>
                    <w:left w:val="none" w:color="000000" w:sz="4"/>
                    <w:bottom w:val="single" w:color="000000" w:sz="4"/>
                    <w:right w:val="single" w:color="000000" w:sz="4"/>
                  </w:tcBorders>
                  <w:vAlign w:val="top"/>
                </w:tcPr>
                <w:p>
                  <w:pPr>
                    <w:jc w:val="center"/>
                  </w:pPr>
                  <w:r>
                    <w:rPr>
                      <w:b/>
                      <w:sz w:val="21"/>
                    </w:rPr>
                    <w:t>数</w:t>
                  </w:r>
                  <w:r>
                    <w:rPr>
                      <w:b/>
                      <w:sz w:val="21"/>
                    </w:rPr>
                    <w:t xml:space="preserve"> </w:t>
                  </w:r>
                  <w:r>
                    <w:rPr>
                      <w:b/>
                      <w:sz w:val="21"/>
                    </w:rPr>
                    <w:t>量</w:t>
                  </w:r>
                </w:p>
              </w:tc>
            </w:tr>
            <w:tr>
              <w:tc>
                <w:tcPr>
                  <w:tcW w:type="dxa" w:w="7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6"/>
                  <w:tcBorders>
                    <w:top w:val="none" w:color="000000" w:sz="4"/>
                    <w:left w:val="none" w:color="000000" w:sz="4"/>
                    <w:bottom w:val="single" w:color="000000" w:sz="4"/>
                    <w:right w:val="single" w:color="000000" w:sz="4"/>
                  </w:tcBorders>
                  <w:vAlign w:val="top"/>
                </w:tcPr>
                <w:p>
                  <w:pPr>
                    <w:jc w:val="center"/>
                  </w:pPr>
                  <w:r>
                    <w:rPr>
                      <w:sz w:val="21"/>
                    </w:rPr>
                    <w:t>项目负责人</w:t>
                  </w:r>
                </w:p>
              </w:tc>
              <w:tc>
                <w:tcPr>
                  <w:tcW w:type="dxa" w:w="17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36"/>
                  <w:tcBorders>
                    <w:top w:val="none" w:color="000000" w:sz="4"/>
                    <w:left w:val="none" w:color="000000" w:sz="4"/>
                    <w:bottom w:val="single" w:color="000000" w:sz="4"/>
                    <w:right w:val="single" w:color="000000" w:sz="4"/>
                  </w:tcBorders>
                  <w:vAlign w:val="top"/>
                </w:tcPr>
                <w:p>
                  <w:pPr>
                    <w:jc w:val="center"/>
                  </w:pPr>
                  <w:r>
                    <w:rPr>
                      <w:sz w:val="21"/>
                    </w:rPr>
                    <w:t>总工程师</w:t>
                  </w:r>
                  <w:r>
                    <w:rPr>
                      <w:sz w:val="21"/>
                    </w:rPr>
                    <w:t>/技术负责人</w:t>
                  </w:r>
                </w:p>
              </w:tc>
              <w:tc>
                <w:tcPr>
                  <w:tcW w:type="dxa" w:w="17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36"/>
                  <w:tcBorders>
                    <w:top w:val="none" w:color="000000" w:sz="4"/>
                    <w:left w:val="none" w:color="000000" w:sz="4"/>
                    <w:bottom w:val="single" w:color="000000" w:sz="4"/>
                    <w:right w:val="single" w:color="000000" w:sz="4"/>
                  </w:tcBorders>
                  <w:vAlign w:val="top"/>
                </w:tcPr>
                <w:p>
                  <w:pPr>
                    <w:jc w:val="center"/>
                  </w:pPr>
                  <w:r>
                    <w:rPr>
                      <w:sz w:val="21"/>
                    </w:rPr>
                    <w:t>污水处理车间</w:t>
                  </w:r>
                  <w:r>
                    <w:rPr>
                      <w:sz w:val="21"/>
                    </w:rPr>
                    <w:t>工</w:t>
                  </w:r>
                </w:p>
              </w:tc>
              <w:tc>
                <w:tcPr>
                  <w:tcW w:type="dxa" w:w="1746"/>
                  <w:tcBorders>
                    <w:top w:val="none" w:color="000000" w:sz="4"/>
                    <w:left w:val="none" w:color="000000" w:sz="4"/>
                    <w:bottom w:val="single" w:color="000000" w:sz="4"/>
                    <w:right w:val="single" w:color="000000" w:sz="4"/>
                  </w:tcBorders>
                  <w:vAlign w:val="top"/>
                </w:tcPr>
                <w:p>
                  <w:pPr>
                    <w:jc w:val="center"/>
                  </w:pPr>
                  <w:r>
                    <w:rPr>
                      <w:sz w:val="21"/>
                    </w:rPr>
                    <w:t>3</w:t>
                  </w:r>
                </w:p>
              </w:tc>
            </w:tr>
            <w:tr>
              <w:tc>
                <w:tcPr>
                  <w:tcW w:type="dxa" w:w="7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36"/>
                  <w:tcBorders>
                    <w:top w:val="none" w:color="000000" w:sz="4"/>
                    <w:left w:val="none" w:color="000000" w:sz="4"/>
                    <w:bottom w:val="single" w:color="000000" w:sz="4"/>
                    <w:right w:val="single" w:color="000000" w:sz="4"/>
                  </w:tcBorders>
                  <w:vAlign w:val="top"/>
                </w:tcPr>
                <w:p>
                  <w:pPr>
                    <w:jc w:val="center"/>
                  </w:pPr>
                  <w:r>
                    <w:rPr>
                      <w:sz w:val="21"/>
                    </w:rPr>
                    <w:t>分析化验员</w:t>
                  </w:r>
                </w:p>
              </w:tc>
              <w:tc>
                <w:tcPr>
                  <w:tcW w:type="dxa" w:w="1746"/>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7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6"/>
                  <w:tcBorders>
                    <w:top w:val="none" w:color="000000" w:sz="4"/>
                    <w:left w:val="none" w:color="000000" w:sz="4"/>
                    <w:bottom w:val="single" w:color="000000" w:sz="4"/>
                    <w:right w:val="single" w:color="000000" w:sz="4"/>
                  </w:tcBorders>
                  <w:vAlign w:val="top"/>
                </w:tcPr>
                <w:p>
                  <w:pPr>
                    <w:jc w:val="center"/>
                  </w:pPr>
                  <w:r>
                    <w:rPr>
                      <w:sz w:val="21"/>
                    </w:rPr>
                    <w:t>合计</w:t>
                  </w:r>
                </w:p>
              </w:tc>
              <w:tc>
                <w:tcPr>
                  <w:tcW w:type="dxa" w:w="1746"/>
                  <w:tcBorders>
                    <w:top w:val="none" w:color="000000" w:sz="4"/>
                    <w:left w:val="none" w:color="000000" w:sz="4"/>
                    <w:bottom w:val="single" w:color="000000" w:sz="4"/>
                    <w:right w:val="single" w:color="000000" w:sz="4"/>
                  </w:tcBorders>
                  <w:vAlign w:val="top"/>
                </w:tcPr>
                <w:p>
                  <w:pPr>
                    <w:jc w:val="center"/>
                  </w:pPr>
                  <w:r>
                    <w:rPr>
                      <w:sz w:val="21"/>
                    </w:rPr>
                    <w:t>6</w:t>
                  </w:r>
                </w:p>
              </w:tc>
            </w:tr>
          </w:tbl>
          <w:p>
            <w:pPr>
              <w:ind w:firstLine="420"/>
            </w:pPr>
            <w:r>
              <w:rPr>
                <w:sz w:val="21"/>
              </w:rPr>
              <w:t>作业人员应经过技术培训和安全教育，熟悉渗滤液处理以及火炬塔运行的安全知识。</w:t>
            </w:r>
          </w:p>
          <w:p>
            <w:r>
              <w:rPr>
                <w:b/>
                <w:sz w:val="24"/>
              </w:rPr>
              <w:t>四、委托运营服务内容、范围及要求</w:t>
            </w:r>
          </w:p>
          <w:p>
            <w:pPr>
              <w:ind w:firstLine="420"/>
            </w:pPr>
            <w:r>
              <w:rPr>
                <w:sz w:val="21"/>
              </w:rPr>
              <w:t>运营服务内容、范围：负责调节池渗滤液取水口</w:t>
            </w:r>
            <w:r>
              <w:rPr>
                <w:sz w:val="21"/>
              </w:rPr>
              <w:t>(调节池漂浮泵开始)至NF/RO膜透过液排放口之间渗滤液处理所需的工艺、电气自控设备、臭气处理设备、浓缩液收集系统污泥脱水系统及各系统之间连接管道阀门的运营服务。中心火炬塔的运行维护范围为火炬塔进风管口至火炬塔燃烧尾气排放口，包含火炬塔配套的设备运行、维护、保养等服务。</w:t>
            </w:r>
          </w:p>
          <w:p>
            <w:pPr>
              <w:ind w:firstLine="420"/>
            </w:pPr>
            <w:r>
              <w:rPr>
                <w:sz w:val="21"/>
              </w:rPr>
              <w:t>具体范围及要求如下：</w:t>
            </w:r>
          </w:p>
          <w:p>
            <w:pPr>
              <w:ind w:firstLine="420"/>
            </w:pPr>
            <w:r>
              <w:rPr>
                <w:sz w:val="21"/>
              </w:rPr>
              <w:t>（</w:t>
            </w:r>
            <w:r>
              <w:rPr>
                <w:sz w:val="21"/>
              </w:rPr>
              <w:t>1）渗滤液处理从调节池取水泵开始的生化系统(两级A/0)、外置式超滤系统、卷式NF系统和卷式R0系统所配备的工艺设备、电气自控设备及系统之间连接管道阀门等的日常运行日常维护及日常检修。</w:t>
            </w:r>
          </w:p>
          <w:p>
            <w:pPr>
              <w:ind w:firstLine="420"/>
            </w:pPr>
            <w:r>
              <w:rPr>
                <w:sz w:val="21"/>
              </w:rPr>
              <w:t>（</w:t>
            </w:r>
            <w:r>
              <w:rPr>
                <w:sz w:val="21"/>
              </w:rPr>
              <w:t>2）污泥处理系统污泥处理系统由絮凝剂制备装置、污泥脱水机、无轴螺旋输送机、废水提升泵、絮凝剂投加泵、配套电气自控设备和工艺连接管道阀门组成。中标单位负责从提升泵开始至无轴螺旋输送机岀料口之间的所有污泥处理系统设备的日常运营、日常维护及日常检修。</w:t>
            </w:r>
          </w:p>
          <w:p>
            <w:pPr>
              <w:ind w:firstLine="420"/>
            </w:pPr>
            <w:r>
              <w:rPr>
                <w:sz w:val="21"/>
              </w:rPr>
              <w:t>（</w:t>
            </w:r>
            <w:r>
              <w:rPr>
                <w:sz w:val="21"/>
              </w:rPr>
              <w:t>3）除臭系统</w:t>
            </w:r>
          </w:p>
          <w:p>
            <w:pPr>
              <w:ind w:firstLine="420"/>
            </w:pPr>
            <w:r>
              <w:rPr>
                <w:sz w:val="21"/>
              </w:rPr>
              <w:t>本项目采用</w:t>
            </w:r>
            <w:r>
              <w:rPr>
                <w:sz w:val="21"/>
              </w:rPr>
              <w:t>“活性氧离子除臭”进行气体处理达标排放。中标单位负责从渗滤液处理系统各构筑物收集臭气管口至活性氧离子除臭系统气体处理排放口之间的所有活性氧离子除臭的日常运营、日常维护及日常检修。</w:t>
            </w:r>
          </w:p>
          <w:p>
            <w:pPr>
              <w:ind w:firstLine="420"/>
            </w:pPr>
            <w:r>
              <w:rPr>
                <w:sz w:val="21"/>
              </w:rPr>
              <w:t>（</w:t>
            </w:r>
            <w:r>
              <w:rPr>
                <w:sz w:val="21"/>
              </w:rPr>
              <w:t>4）浓缩液处理系统</w:t>
            </w:r>
          </w:p>
          <w:p>
            <w:pPr>
              <w:ind w:firstLine="420"/>
            </w:pPr>
            <w:r>
              <w:rPr>
                <w:sz w:val="21"/>
              </w:rPr>
              <w:t>本项目</w:t>
            </w:r>
            <w:r>
              <w:rPr>
                <w:sz w:val="21"/>
              </w:rPr>
              <w:t>NF/R0膜浓缩液采用收集，交由东莞市城市管理和综合执法局委托有资质公司实行无害化处理。</w:t>
            </w:r>
          </w:p>
          <w:p>
            <w:pPr>
              <w:ind w:firstLine="420"/>
            </w:pPr>
            <w:r>
              <w:rPr>
                <w:sz w:val="21"/>
              </w:rPr>
              <w:t>（</w:t>
            </w:r>
            <w:r>
              <w:rPr>
                <w:sz w:val="21"/>
              </w:rPr>
              <w:t>5）负责渗滤液处理站各种设备的保养及维护、维修更换工作（包括污泥、渣物清运及地面、设备清洁工作、膜维护、渗滤液处理后的外排管的维护、保养等），负责渗滤液处理站运行所需要的全部药剂购买和储备。</w:t>
            </w:r>
          </w:p>
          <w:p>
            <w:pPr>
              <w:ind w:firstLine="420"/>
            </w:pPr>
            <w:r>
              <w:rPr>
                <w:sz w:val="21"/>
              </w:rPr>
              <w:t>（</w:t>
            </w:r>
            <w:r>
              <w:rPr>
                <w:sz w:val="21"/>
              </w:rPr>
              <w:t>6）负责委托运营期间生产、消防、人员安全、保险、劳资纠纷处理以及由此产生的一切费用及责任，其中包括超标排污费及由此产生的罚款。</w:t>
            </w:r>
          </w:p>
          <w:p>
            <w:pPr>
              <w:ind w:firstLine="420"/>
            </w:pPr>
            <w:r>
              <w:rPr>
                <w:sz w:val="21"/>
              </w:rPr>
              <w:t>（</w:t>
            </w:r>
            <w:r>
              <w:rPr>
                <w:sz w:val="21"/>
              </w:rPr>
              <w:t>7）中标单位需无条件协助及接受政府相关单位到场参观和检查并积极做好接待工作。</w:t>
            </w:r>
          </w:p>
          <w:p>
            <w:pPr>
              <w:ind w:firstLine="420"/>
            </w:pPr>
            <w:r>
              <w:rPr>
                <w:sz w:val="21"/>
              </w:rPr>
              <w:t>（</w:t>
            </w:r>
            <w:r>
              <w:rPr>
                <w:sz w:val="21"/>
              </w:rPr>
              <w:t>8）填埋场工作人员必须着装统一，挂牌上岗。</w:t>
            </w:r>
          </w:p>
          <w:p>
            <w:pPr>
              <w:ind w:firstLine="420"/>
            </w:pPr>
            <w:r>
              <w:rPr>
                <w:sz w:val="21"/>
              </w:rPr>
              <w:t>（</w:t>
            </w:r>
            <w:r>
              <w:rPr>
                <w:sz w:val="21"/>
              </w:rPr>
              <w:t>9）未经允许，外来人员、车辆一律不准进入填埋场。</w:t>
            </w:r>
          </w:p>
          <w:p>
            <w:r>
              <w:rPr>
                <w:b/>
                <w:sz w:val="24"/>
              </w:rPr>
              <w:t>五、项目运营基本条件</w:t>
            </w:r>
          </w:p>
          <w:p>
            <w:r>
              <w:rPr>
                <w:sz w:val="21"/>
              </w:rPr>
              <w:t>（一）办公室、环境监测室</w:t>
            </w:r>
          </w:p>
          <w:p>
            <w:pPr>
              <w:ind w:firstLine="420"/>
            </w:pPr>
            <w:r>
              <w:rPr>
                <w:sz w:val="21"/>
              </w:rPr>
              <w:t>业主将免费提供渗滤液处理站办公室、环境监测场所给中标单位使用，配置办公设备所需费用、办公费用、监测设备采购以及环境监测所需的一切相关费用由中标单位承担。</w:t>
            </w:r>
          </w:p>
          <w:p>
            <w:r>
              <w:rPr>
                <w:sz w:val="21"/>
              </w:rPr>
              <w:t>（二）照明设施</w:t>
            </w:r>
          </w:p>
          <w:p>
            <w:pPr>
              <w:ind w:firstLine="420"/>
            </w:pPr>
            <w:r>
              <w:rPr>
                <w:sz w:val="21"/>
              </w:rPr>
              <w:t>中标单位根据需求购置填埋场内照明灯，设置、维护、维修费用由中标单位承担。</w:t>
            </w:r>
          </w:p>
          <w:p>
            <w:r>
              <w:rPr>
                <w:sz w:val="21"/>
              </w:rPr>
              <w:t>（三）场内道路</w:t>
            </w:r>
          </w:p>
          <w:p>
            <w:pPr>
              <w:ind w:firstLine="420"/>
            </w:pPr>
            <w:r>
              <w:rPr>
                <w:sz w:val="21"/>
              </w:rPr>
              <w:t>业主提供场内道路给中标单位使用，道路的维护、保养等发生的一切相关费用由中标单位承担。</w:t>
            </w:r>
          </w:p>
          <w:p>
            <w:r>
              <w:rPr>
                <w:sz w:val="21"/>
              </w:rPr>
              <w:t>（四）渗滤液处理站的设施、设备</w:t>
            </w:r>
          </w:p>
          <w:p>
            <w:pPr>
              <w:ind w:firstLine="420"/>
            </w:pPr>
            <w:r>
              <w:rPr>
                <w:sz w:val="21"/>
              </w:rPr>
              <w:t>业主提供现有的渗滤液处理站的设施、设备给中标单位使用，设施、设备运行及维护、维修发生的一切相关费用由中标单位承担。</w:t>
            </w:r>
          </w:p>
          <w:p>
            <w:r>
              <w:rPr>
                <w:sz w:val="21"/>
              </w:rPr>
              <w:t>（五）供水、供电设施、设备</w:t>
            </w:r>
          </w:p>
          <w:p>
            <w:pPr>
              <w:ind w:firstLine="420"/>
            </w:pPr>
            <w:r>
              <w:rPr>
                <w:sz w:val="21"/>
              </w:rPr>
              <w:t>业主提供现有的供水、供电设施、设备给中标单位使用，设施、设备运行及维护、维修发生的一切相关费用由中标单位承担。</w:t>
            </w:r>
          </w:p>
          <w:p>
            <w:r>
              <w:rPr>
                <w:sz w:val="21"/>
              </w:rPr>
              <w:t>（六）在本项目运营期结束前两个月，中标单位须确保设施、设备在项目移交前能正常使用和处于正常运营状态。</w:t>
            </w:r>
          </w:p>
          <w:p>
            <w:r>
              <w:rPr>
                <w:sz w:val="21"/>
              </w:rPr>
              <w:t>（七）项目运营其它基本条件</w:t>
            </w:r>
          </w:p>
          <w:p>
            <w:pPr>
              <w:ind w:firstLine="420"/>
            </w:pPr>
            <w:r>
              <w:rPr>
                <w:sz w:val="21"/>
              </w:rPr>
              <w:t>项目运营的其它基本条件由业主和中标单位协商后在委托运营合同中确定。</w:t>
            </w:r>
          </w:p>
          <w:p>
            <w:r>
              <w:rPr>
                <w:b/>
                <w:sz w:val="24"/>
              </w:rPr>
              <w:t>六、运营工作要求和考评标准</w:t>
            </w:r>
          </w:p>
          <w:p>
            <w:pPr>
              <w:ind w:firstLine="420"/>
            </w:pPr>
            <w:r>
              <w:rPr>
                <w:sz w:val="21"/>
              </w:rPr>
              <w:t>环境污染控制指标必须符合国家现行标准《生活垃圾填埋场污染控制标准》（</w:t>
            </w:r>
            <w:r>
              <w:rPr>
                <w:sz w:val="21"/>
              </w:rPr>
              <w:t>GB16889-2008）的要求；站区臭气排放标准达到《城镇污水处理站污染物排放标准》（GB18918-2002）二级标准；站区噪声需达到《工业企业厂界环境噪声排放标准》（GB12348-2008）Ⅱ类标准。其中，渗滤液处理出水水质执行《生活垃圾填埋场污染控制标准》（GB16889-2008）表2标准。</w:t>
            </w:r>
          </w:p>
          <w:p>
            <w:pPr>
              <w:ind w:firstLine="420"/>
            </w:pPr>
            <w:r>
              <w:rPr>
                <w:sz w:val="21"/>
              </w:rPr>
              <w:t>运营期间，运营单位每个月至少须委托有资质的监测机构进行一次出水水质监测，并向业主提交相应监测报告。</w:t>
            </w:r>
          </w:p>
          <w:p>
            <w:pPr>
              <w:ind w:firstLine="420"/>
            </w:pPr>
            <w:r>
              <w:rPr>
                <w:sz w:val="21"/>
              </w:rPr>
              <w:t>具体运营工作要求包括但不限于附件</w:t>
            </w:r>
            <w:r>
              <w:rPr>
                <w:sz w:val="21"/>
              </w:rPr>
              <w:t>1的内容，详细条款由中标单位与东莞市凤岗镇公用事业服务中心协商后在委托经营合同中确定。</w:t>
            </w:r>
          </w:p>
          <w:p>
            <w:pPr>
              <w:ind w:firstLine="420"/>
            </w:pPr>
            <w:r>
              <w:rPr>
                <w:sz w:val="21"/>
              </w:rPr>
              <w:t>（注：填埋场渗滤液处理运营过程中，排放控制标准若有更新，应根据国家新出台的标准去执行，涉及相关费用，由中标单位</w:t>
            </w:r>
            <w:r>
              <w:rPr>
                <w:sz w:val="21"/>
              </w:rPr>
              <w:t>承担。</w:t>
            </w:r>
            <w:r>
              <w:rPr>
                <w:sz w:val="21"/>
              </w:rPr>
              <w:t>）</w:t>
            </w:r>
          </w:p>
          <w:p>
            <w:r>
              <w:rPr>
                <w:b/>
                <w:sz w:val="24"/>
              </w:rPr>
              <w:t>七、运营监督管理、运营费用计算、核拨及特别条款</w:t>
            </w:r>
          </w:p>
          <w:p>
            <w:pPr>
              <w:ind w:firstLine="420"/>
            </w:pPr>
            <w:r>
              <w:rPr>
                <w:sz w:val="21"/>
              </w:rPr>
              <w:t>（一）运营监管机制</w:t>
            </w:r>
          </w:p>
          <w:p>
            <w:pPr>
              <w:ind w:firstLine="420"/>
            </w:pPr>
            <w:r>
              <w:rPr>
                <w:sz w:val="21"/>
              </w:rPr>
              <w:t>采购人（东莞市凤岗镇公用事业服务中心）根据市场化运营、规范化管理的原则，与中标单位签订填埋场渗滤液处理运营合同，明确双方的责任、权利与义务，由东莞市凤岗镇公用事业服务中心对填埋场渗滤液处理运营的日常监督管理和考评，形成有效的监督管理机制。中标单位须无条件协助及接受采购人与相关监管部门的监管。采购人每天不定时到现场监管。运营方需接受如下监督：</w:t>
            </w:r>
          </w:p>
          <w:p>
            <w:pPr>
              <w:ind w:firstLine="420"/>
            </w:pPr>
            <w:r>
              <w:rPr>
                <w:sz w:val="21"/>
              </w:rPr>
              <w:t>1、运营单位必须保证渗滤液处理站的稳定，确保出水达到设计标准后排放，若因运营单位原因造成出水无法达到《生活垃圾填埋场污染控制标准》（GB16889-2008）中的表2排放限值或外溢造成重大污染事故，运营单位应承担全部责任。</w:t>
            </w:r>
          </w:p>
          <w:p>
            <w:pPr>
              <w:ind w:firstLine="420"/>
            </w:pPr>
            <w:r>
              <w:rPr>
                <w:sz w:val="21"/>
              </w:rPr>
              <w:t>2、在运营单位运营期间，市环保局垃圾渗滤液处理在线监测平台系统正常运作的情况下，若监控系统显示渗滤液处理后的出水水质无法达到相关指标的排放标准，并经环保部门现场取样抽检确认超标的，则对运营单位处以</w:t>
            </w:r>
            <w:r>
              <w:rPr>
                <w:sz w:val="21"/>
              </w:rPr>
              <w:t>2</w:t>
            </w:r>
            <w:r>
              <w:rPr>
                <w:sz w:val="21"/>
              </w:rPr>
              <w:t>万元</w:t>
            </w:r>
            <w:r>
              <w:rPr>
                <w:sz w:val="21"/>
              </w:rPr>
              <w:t>/次罚款，同时运营单位须在2日内整改并达到水质合格的要求</w:t>
            </w:r>
            <w:r>
              <w:rPr>
                <w:sz w:val="21"/>
              </w:rPr>
              <w:t>；</w:t>
            </w:r>
            <w:r>
              <w:rPr>
                <w:sz w:val="21"/>
              </w:rPr>
              <w:t>超过</w:t>
            </w:r>
            <w:r>
              <w:rPr>
                <w:sz w:val="21"/>
              </w:rPr>
              <w:t>3次出水水质</w:t>
            </w:r>
            <w:r>
              <w:rPr>
                <w:sz w:val="21"/>
              </w:rPr>
              <w:t>不达标排放的</w:t>
            </w:r>
            <w:r>
              <w:rPr>
                <w:sz w:val="21"/>
              </w:rPr>
              <w:t>，并经环保部门现场取样抽检确认超标</w:t>
            </w:r>
            <w:r>
              <w:rPr>
                <w:sz w:val="21"/>
              </w:rPr>
              <w:t>的，</w:t>
            </w:r>
            <w:r>
              <w:rPr>
                <w:sz w:val="21"/>
              </w:rPr>
              <w:t>本项目合同自动终止并扣除当月全部运营费用。</w:t>
            </w:r>
          </w:p>
          <w:p>
            <w:pPr>
              <w:ind w:firstLine="420"/>
            </w:pPr>
            <w:r>
              <w:rPr>
                <w:sz w:val="21"/>
              </w:rPr>
              <w:t>3、在提供服务期间，由于运营单位原因，造成浓缩液外溢等环境污染事故的，除承担由此造成的损失外，</w:t>
            </w:r>
            <w:r>
              <w:rPr>
                <w:sz w:val="21"/>
              </w:rPr>
              <w:t>对运营单位处理</w:t>
            </w:r>
            <w:r>
              <w:rPr>
                <w:sz w:val="21"/>
              </w:rPr>
              <w:t>3万元/次罚款。</w:t>
            </w:r>
          </w:p>
          <w:p>
            <w:pPr>
              <w:ind w:firstLine="420"/>
            </w:pPr>
            <w:r>
              <w:rPr>
                <w:sz w:val="21"/>
              </w:rPr>
              <w:t>4、在提供服务期间，由于运营单位原因，造成人身安全等生产事故的，除承担由此造成的损失外，</w:t>
            </w:r>
            <w:r>
              <w:rPr>
                <w:sz w:val="21"/>
              </w:rPr>
              <w:t>对运营单位处以</w:t>
            </w:r>
            <w:r>
              <w:rPr>
                <w:sz w:val="21"/>
              </w:rPr>
              <w:t>3万元/次罚款。</w:t>
            </w:r>
          </w:p>
          <w:p>
            <w:pPr>
              <w:ind w:firstLine="420"/>
            </w:pPr>
            <w:r>
              <w:rPr>
                <w:sz w:val="21"/>
              </w:rPr>
              <w:t>运营质量考评办法</w:t>
            </w:r>
          </w:p>
          <w:p>
            <w:r>
              <w:rPr>
                <w:sz w:val="21"/>
              </w:rPr>
              <w:t xml:space="preserve">    </w:t>
            </w:r>
            <w:r>
              <w:rPr>
                <w:sz w:val="21"/>
              </w:rPr>
              <w:t>1、每月考评标准分满分为100分，运营方如果违规操作，将按照附表2《凤岗镇中心区生活垃圾填埋场渗滤液处理站运营管理项目质量考评标准》相应分值进行扣减。根据月度考评分扣减中标单位当月运营费用的方法：</w:t>
            </w:r>
          </w:p>
          <w:p>
            <w:r>
              <w:rPr>
                <w:sz w:val="21"/>
              </w:rPr>
              <w:t xml:space="preserve">    </w:t>
            </w:r>
            <w:r>
              <w:rPr>
                <w:sz w:val="21"/>
              </w:rPr>
              <w:t>月度考评分在</w:t>
            </w:r>
            <w:r>
              <w:rPr>
                <w:sz w:val="21"/>
              </w:rPr>
              <w:t>90分以上(含90分)，不扣减当月运营费用；</w:t>
            </w:r>
          </w:p>
          <w:p>
            <w:r>
              <w:rPr>
                <w:sz w:val="21"/>
              </w:rPr>
              <w:t xml:space="preserve">    </w:t>
            </w:r>
            <w:r>
              <w:rPr>
                <w:sz w:val="21"/>
              </w:rPr>
              <w:t>月度考评分在</w:t>
            </w:r>
            <w:r>
              <w:rPr>
                <w:sz w:val="21"/>
              </w:rPr>
              <w:t>80分以上(含80分)、90分以下，扣减当月运营费用的5%；</w:t>
            </w:r>
          </w:p>
          <w:p>
            <w:r>
              <w:rPr>
                <w:sz w:val="21"/>
              </w:rPr>
              <w:t xml:space="preserve">    </w:t>
            </w:r>
            <w:r>
              <w:rPr>
                <w:sz w:val="21"/>
              </w:rPr>
              <w:t>月度考评分在</w:t>
            </w:r>
            <w:r>
              <w:rPr>
                <w:sz w:val="21"/>
              </w:rPr>
              <w:t>70以上(含80分)、80分以下，扣减当月运营费用的20%；</w:t>
            </w:r>
          </w:p>
          <w:p>
            <w:pPr>
              <w:ind w:firstLine="420"/>
            </w:pPr>
            <w:r>
              <w:rPr>
                <w:sz w:val="21"/>
              </w:rPr>
              <w:t>月度考评分连续两次在</w:t>
            </w:r>
            <w:r>
              <w:rPr>
                <w:sz w:val="21"/>
              </w:rPr>
              <w:t>70分以下，监管单位有权提前终止合同。</w:t>
            </w:r>
          </w:p>
          <w:p>
            <w:r>
              <w:rPr>
                <w:sz w:val="21"/>
              </w:rPr>
              <w:t xml:space="preserve">     </w:t>
            </w:r>
            <w:r>
              <w:rPr>
                <w:sz w:val="21"/>
              </w:rPr>
              <w:t>2、由东莞市凤岗镇公用事业服务中心协同环保局每月根据《凤岗镇中心区生活垃圾填埋场渗滤液处理站运营管理项目质量考评标准》（见附件2）以随机检查的方式进行运营质量考评，不固定每月的考评时间和次数。</w:t>
            </w:r>
          </w:p>
          <w:p>
            <w:r>
              <w:rPr>
                <w:sz w:val="21"/>
              </w:rPr>
              <w:t xml:space="preserve">     </w:t>
            </w:r>
            <w:r>
              <w:rPr>
                <w:sz w:val="21"/>
              </w:rPr>
              <w:t>3、考评执行实查实扣分制度，每次考评时，如有项目被扣分，采购人下属工作人员将用数码相机把每个扣分项目的现场情况拍摄下来，作为扣分的凭证；累加各项目的扣分即为该次考评的扣分数。</w:t>
            </w:r>
          </w:p>
          <w:p>
            <w:r>
              <w:rPr>
                <w:sz w:val="21"/>
              </w:rPr>
              <w:t xml:space="preserve">     </w:t>
            </w:r>
            <w:r>
              <w:rPr>
                <w:sz w:val="21"/>
              </w:rPr>
              <w:t>4、每次考评后，采购人将以书面形式把当次考评结果送达中标单位(如有扣分，将附上扣分项目的现场拍摄照片)。</w:t>
            </w:r>
          </w:p>
          <w:p>
            <w:r>
              <w:rPr>
                <w:sz w:val="21"/>
              </w:rPr>
              <w:t xml:space="preserve">     </w:t>
            </w:r>
            <w:r>
              <w:rPr>
                <w:sz w:val="21"/>
              </w:rPr>
              <w:t>5、每月2日(遇节假日顺延或提前)，采购人对运营单位上月各次考评扣分数进行累计，再以考评分底分100分减去扣分的累计数，即为中标单位上月的月度考评分。</w:t>
            </w:r>
          </w:p>
          <w:p>
            <w:r>
              <w:rPr>
                <w:sz w:val="21"/>
              </w:rPr>
              <w:t xml:space="preserve">      </w:t>
            </w:r>
            <w:r>
              <w:rPr>
                <w:sz w:val="21"/>
              </w:rPr>
              <w:t>6、每月5日(遇节假日顺延或提前)，采购人以书面形式将中标单位上月的月度考评分送达中标单位。</w:t>
            </w:r>
          </w:p>
          <w:p>
            <w:pPr>
              <w:ind w:firstLine="420"/>
            </w:pPr>
            <w:r>
              <w:rPr>
                <w:sz w:val="21"/>
              </w:rPr>
              <w:t>（三）采购人可根据工作实际，不断完善填埋场渗滤液处理运营工作要求和考评标准，对于一些新出现的运营问题，采购人可以向中标单位发出书面通知，中标单位应参照上述运营工作要求和考评标准提供运营服务。</w:t>
            </w:r>
          </w:p>
          <w:p>
            <w:pPr>
              <w:ind w:firstLine="420"/>
            </w:pPr>
            <w:r>
              <w:rPr>
                <w:sz w:val="21"/>
              </w:rPr>
              <w:t>（四）运营费用的计算和核拨</w:t>
            </w:r>
          </w:p>
          <w:p>
            <w:r>
              <w:rPr>
                <w:sz w:val="21"/>
              </w:rPr>
              <w:t xml:space="preserve">   </w:t>
            </w:r>
            <w:r>
              <w:rPr>
                <w:sz w:val="21"/>
              </w:rPr>
              <w:t>1、 委托运营管理费用以每月处理渗滤液量为计算依据（以进水流量计数据为准），具体费用按中标价格计算后将由财政每个月支付上月运营费用。</w:t>
            </w:r>
          </w:p>
          <w:p>
            <w:r>
              <w:rPr>
                <w:sz w:val="21"/>
              </w:rPr>
              <w:t xml:space="preserve">  </w:t>
            </w:r>
            <w:r>
              <w:rPr>
                <w:sz w:val="21"/>
              </w:rPr>
              <w:t>2、 每月2日（遇节假日顺延或提前），运营单位报送上月的垃圾渗滤液处理量并填报《拨款申请审批表》（财政局统一表格）交到东莞市凤岗镇公用事业服务中心，东莞市凤岗镇公用事业服务中心在7个工作日内对上报的垃圾渗滤液处理量进行审核并加注是否扣减运营单位上月运营费用的审核意见后，报财政局予以核拨。</w:t>
            </w:r>
          </w:p>
          <w:p>
            <w:r>
              <w:rPr>
                <w:sz w:val="21"/>
              </w:rPr>
              <w:t xml:space="preserve">   </w:t>
            </w:r>
            <w:r>
              <w:rPr>
                <w:sz w:val="21"/>
              </w:rPr>
              <w:t>3、由于垃圾填埋场渗滤液产生量与渗滤液处理站处理规模相比较，在雨季渗滤液产生量较为充沛，在旱季渗滤液产生量较为不足，本项目允许运营单位在雨季在确保出水达标的前提下，在设计规模1.3倍范围内处理渗滤液，以补偿旱季渗滤液不足。但年度（12个月）运营费用结算不得超过预算</w:t>
            </w:r>
            <w:r>
              <w:rPr>
                <w:sz w:val="21"/>
              </w:rPr>
              <w:t>（年度运营费用预算为</w:t>
            </w:r>
            <w:r>
              <w:rPr>
                <w:sz w:val="21"/>
              </w:rPr>
              <w:t>1368750元）</w:t>
            </w:r>
            <w:r>
              <w:rPr>
                <w:sz w:val="21"/>
              </w:rPr>
              <w:t>，若年度期限（</w:t>
            </w:r>
            <w:r>
              <w:rPr>
                <w:sz w:val="21"/>
              </w:rPr>
              <w:t>12个月）未到，运营费用结算已达到一年运营费用预算，运营单位必须在年度剩余期限无偿运行渗滤液处理站达标处理渗滤液。</w:t>
            </w:r>
          </w:p>
          <w:p>
            <w:pPr>
              <w:ind w:firstLine="420"/>
            </w:pPr>
            <w:r>
              <w:rPr>
                <w:sz w:val="21"/>
              </w:rPr>
              <w:t>（五）特别条款：提前中止中标单位运营权：</w:t>
            </w:r>
          </w:p>
          <w:p>
            <w:r>
              <w:rPr>
                <w:sz w:val="21"/>
              </w:rPr>
              <w:t xml:space="preserve">   </w:t>
            </w:r>
            <w:r>
              <w:rPr>
                <w:sz w:val="21"/>
              </w:rPr>
              <w:t>1、中标单位将填埋场渗滤液处理站分包或转包给其他单位进行运营；</w:t>
            </w:r>
          </w:p>
          <w:p>
            <w:r>
              <w:rPr>
                <w:sz w:val="21"/>
              </w:rPr>
              <w:t xml:space="preserve">   </w:t>
            </w:r>
            <w:r>
              <w:rPr>
                <w:sz w:val="21"/>
              </w:rPr>
              <w:t>2、中标单位丧失运营资质或无力继续正常履行运营合同；</w:t>
            </w:r>
          </w:p>
          <w:p>
            <w:r>
              <w:rPr>
                <w:sz w:val="21"/>
              </w:rPr>
              <w:t xml:space="preserve">   </w:t>
            </w:r>
            <w:r>
              <w:rPr>
                <w:sz w:val="21"/>
              </w:rPr>
              <w:t>3、填埋场发生中毒、爆炸、火灾等安全事故，管理方要求中标单位在规定时间内进行整改，其逾期未整改或整改后仍达不到相关要求；</w:t>
            </w:r>
          </w:p>
          <w:p>
            <w:r>
              <w:rPr>
                <w:sz w:val="21"/>
              </w:rPr>
              <w:t xml:space="preserve">   </w:t>
            </w:r>
            <w:r>
              <w:rPr>
                <w:sz w:val="21"/>
              </w:rPr>
              <w:t>4、因中标单位内部管理问题造成职员罢工，在24小时内未能解决；</w:t>
            </w:r>
          </w:p>
          <w:p>
            <w:r>
              <w:rPr>
                <w:sz w:val="21"/>
              </w:rPr>
              <w:t xml:space="preserve">   </w:t>
            </w:r>
            <w:r>
              <w:rPr>
                <w:sz w:val="21"/>
              </w:rPr>
              <w:t>5、月度考评分连续两次在70分以下；</w:t>
            </w:r>
          </w:p>
          <w:p>
            <w:r>
              <w:rPr>
                <w:sz w:val="21"/>
              </w:rPr>
              <w:t xml:space="preserve">   </w:t>
            </w:r>
            <w:r>
              <w:rPr>
                <w:sz w:val="21"/>
              </w:rPr>
              <w:t>6、因中标单位自身的过错，没有按渗滤液处理站相关规程进行操作，造成了周边群众不满上访等不利影响，中标单位又无力整改解决；</w:t>
            </w:r>
          </w:p>
          <w:p>
            <w:r>
              <w:rPr>
                <w:sz w:val="21"/>
              </w:rPr>
              <w:t xml:space="preserve">   </w:t>
            </w:r>
            <w:r>
              <w:rPr>
                <w:sz w:val="21"/>
              </w:rPr>
              <w:t xml:space="preserve">7、乙方违规偷排，受到环保部门处罚；  </w:t>
            </w:r>
          </w:p>
          <w:p>
            <w:r>
              <w:rPr>
                <w:sz w:val="21"/>
              </w:rPr>
              <w:t xml:space="preserve">   </w:t>
            </w:r>
            <w:r>
              <w:rPr>
                <w:sz w:val="21"/>
              </w:rPr>
              <w:t>8、因管理不善，导致出水超标，经整改仍不达标（整改期限为30天）。</w:t>
            </w:r>
          </w:p>
          <w:p>
            <w:r>
              <w:rPr>
                <w:sz w:val="21"/>
              </w:rPr>
              <w:t xml:space="preserve">   </w:t>
            </w:r>
            <w:r>
              <w:rPr>
                <w:sz w:val="21"/>
              </w:rPr>
              <w:t>9、</w:t>
            </w:r>
            <w:r>
              <w:rPr>
                <w:sz w:val="21"/>
              </w:rPr>
              <w:t>渗滤液</w:t>
            </w:r>
            <w:r>
              <w:rPr>
                <w:sz w:val="21"/>
              </w:rPr>
              <w:t>原水连续</w:t>
            </w:r>
            <w:r>
              <w:rPr>
                <w:sz w:val="21"/>
              </w:rPr>
              <w:t>2年检测报告达到</w:t>
            </w:r>
            <w:r>
              <w:rPr>
                <w:sz w:val="21"/>
              </w:rPr>
              <w:t>《生活垃圾填埋场污染控制标准》（</w:t>
            </w:r>
            <w:r>
              <w:rPr>
                <w:sz w:val="21"/>
              </w:rPr>
              <w:t>GB16889-2008）中的表2</w:t>
            </w:r>
            <w:r>
              <w:rPr>
                <w:sz w:val="21"/>
              </w:rPr>
              <w:t>标准后，按照环保管理规定可直接排入市政污水管网，本项目合同自动终止。</w:t>
            </w:r>
          </w:p>
          <w:p>
            <w:r>
              <w:rPr>
                <w:b/>
                <w:sz w:val="24"/>
              </w:rPr>
              <w:t>八、项目移交</w:t>
            </w:r>
          </w:p>
          <w:p>
            <w:r>
              <w:rPr>
                <w:sz w:val="21"/>
              </w:rPr>
              <w:t>（一）项目移交的准备</w:t>
            </w:r>
          </w:p>
          <w:p>
            <w:pPr>
              <w:ind w:firstLine="420"/>
            </w:pPr>
            <w:r>
              <w:rPr>
                <w:sz w:val="21"/>
              </w:rPr>
              <w:t>1、在本项目运行期满后的第1天，中标单位应将本项目的管理、运营、维护和修理之权力无偿移交给采购人。在本项目运行期满的90天之前，双方同意成立本项目移交小组，负责商定项目移交的程序与范围，并处理项目移交过程中的各项事宜。</w:t>
            </w:r>
          </w:p>
          <w:p>
            <w:pPr>
              <w:ind w:firstLine="420"/>
            </w:pPr>
            <w:r>
              <w:rPr>
                <w:sz w:val="21"/>
              </w:rPr>
              <w:t>2、经双方同意，在本项目的移交阶段双方都本着友好合作的原则接受经过合法程序确定的本项目的下一任运营者的介入，并对其顺利接管本项目给予必要的包括技术条件和人员培训在内的支持和协助。</w:t>
            </w:r>
          </w:p>
          <w:p>
            <w:pPr>
              <w:ind w:firstLine="420"/>
            </w:pPr>
            <w:r>
              <w:rPr>
                <w:sz w:val="21"/>
              </w:rPr>
              <w:t>3、在本项目的移交日之前30天，中标单位应对本项目的设施、设备进行一次维护、保养，以保证本项目的设施和设备符合移交小组确定的标准，使本项目的设施和设备在移交前能正常使用和处于正常运营状态。</w:t>
            </w:r>
          </w:p>
          <w:p>
            <w:r>
              <w:rPr>
                <w:sz w:val="21"/>
              </w:rPr>
              <w:t>（二）项目移交的范围</w:t>
            </w:r>
          </w:p>
          <w:p>
            <w:pPr>
              <w:ind w:firstLine="420"/>
            </w:pPr>
            <w:r>
              <w:rPr>
                <w:sz w:val="21"/>
              </w:rPr>
              <w:t>1、在本项目的移交日或之前，中标单位必须妥善处理与本项目有关的任何种类或性质的债务、留置权或者其他担保物权，以及相关债权，以保证将本项目的设施、器材、配件、厂房及设备、全部改建设施以及所有对场地的使用权无偿的毫无妨碍的移交给采购人。移交后的本项目应是得到良好维护和处于良好运行状态的。中标单位还应将本项目所有的运营手册、运营记录、移交记录和采购人合理要求的其他资料提交给采购人，以使其能够直接或通过其指定的执行机构继续本项目的运营。</w:t>
            </w:r>
          </w:p>
          <w:p>
            <w:r>
              <w:rPr>
                <w:sz w:val="21"/>
              </w:rPr>
              <w:t xml:space="preserve">   </w:t>
            </w:r>
            <w:r>
              <w:rPr>
                <w:sz w:val="21"/>
              </w:rPr>
              <w:t>2、在本项目的移交日或之前，中标单位应将所有保险单、暂保单和保险单批单转让给采购人或其指定的执行机构。</w:t>
            </w:r>
          </w:p>
          <w:p>
            <w:r>
              <w:rPr>
                <w:sz w:val="21"/>
              </w:rPr>
              <w:t xml:space="preserve">   </w:t>
            </w:r>
            <w:r>
              <w:rPr>
                <w:sz w:val="21"/>
              </w:rPr>
              <w:t>3、在本项目的移交日或之前，中标单位应付清本项目相关的车辆路费、保险、年审等费用及其他相关的一切费用。</w:t>
            </w:r>
          </w:p>
          <w:p>
            <w:r>
              <w:rPr>
                <w:sz w:val="21"/>
              </w:rPr>
              <w:t xml:space="preserve">   </w:t>
            </w:r>
            <w:r>
              <w:rPr>
                <w:sz w:val="21"/>
              </w:rPr>
              <w:t>4、项目移交移走物品包括由中标单位为本项目自行购置的单价在2000元以上的机械设备和仪器。</w:t>
            </w:r>
          </w:p>
          <w:p>
            <w:r>
              <w:rPr>
                <w:sz w:val="21"/>
              </w:rPr>
              <w:t xml:space="preserve">   </w:t>
            </w:r>
            <w:r>
              <w:rPr>
                <w:sz w:val="21"/>
              </w:rPr>
              <w:t>5、项目移交移走物品不包括本项目原有的机械设备和仪器。</w:t>
            </w:r>
          </w:p>
          <w:p>
            <w:r>
              <w:rPr>
                <w:sz w:val="21"/>
              </w:rPr>
              <w:t>（三）移交后的有关事项</w:t>
            </w:r>
          </w:p>
          <w:p>
            <w:r>
              <w:rPr>
                <w:sz w:val="21"/>
              </w:rPr>
              <w:t xml:space="preserve">   </w:t>
            </w:r>
            <w:r>
              <w:rPr>
                <w:sz w:val="21"/>
              </w:rPr>
              <w:t>1、在本项目的移交日之后15天之内，中标单位应自行从本项目场地移走其全部的所属物品。移走的物品仅限于中标单位雇员的个人用品以及与本项目的运营无关的物品（但包括由中标单位为本项目自行购置的单价在2000元以上的机械设备和仪器），不包括本项目原有的主要机械设备及设计图纸、零配件、工具、技术资料、其他项目运营和维护的必需物品。中标单位如果在上述时间内没有移走这些物品，采购人在通知中标单位之后，可以移走或将物品转运至适当的地点以便安全保管。中标单位应承担该搬移、运输和保管的合理费用和风险。</w:t>
            </w:r>
          </w:p>
          <w:p>
            <w:r>
              <w:rPr>
                <w:sz w:val="21"/>
              </w:rPr>
              <w:t xml:space="preserve">   </w:t>
            </w:r>
            <w:r>
              <w:rPr>
                <w:sz w:val="21"/>
              </w:rPr>
              <w:t>2、在本项目的移交过程中和移交之后，采购人无须向中标单位支付任何补偿或移交费用。中标单位及采购人应负责各自的成本和费用，包括将本项目移交给采购人及其指定人的法律费用和支出。</w:t>
            </w:r>
          </w:p>
          <w:p>
            <w:r>
              <w:rPr>
                <w:sz w:val="21"/>
              </w:rPr>
              <w:t xml:space="preserve">   </w:t>
            </w:r>
            <w:r>
              <w:rPr>
                <w:sz w:val="21"/>
              </w:rPr>
              <w:t>3、在本项目的移交日之后，中标单位在本合同的权利和义务即应终止，但是中标单位届时应当完成而未完成的义务除外。采购人或其指定的执行机构应接管项目的运营及因本合同产生的、于本合同终止后仍然有效的任何其他权利和义务。</w:t>
            </w:r>
          </w:p>
          <w:p>
            <w:r>
              <w:rPr>
                <w:sz w:val="21"/>
              </w:rPr>
              <w:t>（四）具体移交条款由中标单位与凤岗镇公用事业服务中心协商后在委托经营合同中确定。</w:t>
            </w: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p>
          <w:p>
            <w:pPr>
              <w:ind w:firstLine="420"/>
            </w:pPr>
            <w:r>
              <w:rPr>
                <w:sz w:val="22"/>
              </w:rPr>
              <w:t xml:space="preserve"> </w:t>
            </w:r>
          </w:p>
          <w:p>
            <w:r>
              <w:rPr>
                <w:b/>
                <w:sz w:val="21"/>
              </w:rPr>
              <w:t>附件</w:t>
            </w:r>
            <w:r>
              <w:rPr>
                <w:b/>
                <w:sz w:val="21"/>
              </w:rPr>
              <w:t>1：</w:t>
            </w:r>
          </w:p>
          <w:p>
            <w:pPr>
              <w:jc w:val="center"/>
            </w:pPr>
            <w:r>
              <w:rPr>
                <w:b/>
                <w:sz w:val="21"/>
              </w:rPr>
              <w:t>填埋场渗滤液处理站后期维护运营工作要求</w:t>
            </w:r>
          </w:p>
          <w:p>
            <w:r>
              <w:rPr>
                <w:sz w:val="22"/>
              </w:rPr>
              <w:t xml:space="preserve"> </w:t>
            </w:r>
          </w:p>
          <w:p>
            <w:r>
              <w:rPr>
                <w:sz w:val="21"/>
              </w:rPr>
              <w:t xml:space="preserve">    </w:t>
            </w:r>
            <w:r>
              <w:rPr>
                <w:sz w:val="21"/>
              </w:rPr>
              <w:t>一、中标单位应按照相关标准、规范，制定保障垃圾填埋场渗滤液处理系统正常运行的生产管理制度、安全生产制度、岗位制度、设备管理制度、消耗品管理制度、危险品管理制度、能耗管理制度、运行管理制度、监测分析制度、成本控制制度、维护维修制度和安全运行应急预案。</w:t>
            </w:r>
          </w:p>
          <w:p>
            <w:r>
              <w:rPr>
                <w:sz w:val="21"/>
              </w:rPr>
              <w:t xml:space="preserve">    </w:t>
            </w:r>
            <w:r>
              <w:rPr>
                <w:sz w:val="21"/>
              </w:rPr>
              <w:t>二、中标单位针对停电、重要设施和设备故障等突发事件制定的安全运行应急预案</w:t>
            </w:r>
            <w:r>
              <w:rPr>
                <w:sz w:val="21"/>
              </w:rPr>
              <w:t>,应当报采购人备案。</w:t>
            </w:r>
          </w:p>
          <w:p>
            <w:pPr>
              <w:ind w:firstLine="480"/>
            </w:pPr>
            <w:r>
              <w:rPr>
                <w:sz w:val="21"/>
              </w:rPr>
              <w:t>三、中标单位负责做好填埋场渗滤液处理站的场地日常维护管理工作，包括渗滤液处理、设备维护、站区绿化保洁、站区排水渠清淤等日常维护管理工作及灾害天气的防洪应急抢险工作。</w:t>
            </w:r>
          </w:p>
          <w:p>
            <w:pPr>
              <w:ind w:firstLine="480"/>
            </w:pPr>
            <w:r>
              <w:rPr>
                <w:sz w:val="21"/>
              </w:rPr>
              <w:t>四、中标单位应定期开展安全生产检查工作，每年至少开展二次消防应急演练，并做好相关台账记录。</w:t>
            </w:r>
          </w:p>
          <w:p>
            <w:r>
              <w:rPr>
                <w:sz w:val="21"/>
              </w:rPr>
              <w:t xml:space="preserve">    </w:t>
            </w:r>
            <w:r>
              <w:rPr>
                <w:sz w:val="21"/>
              </w:rPr>
              <w:t>五、中标单位应定期对填埋场渗滤液处理相关设施、设备进行维护管理，保证设备能够正常使用。</w:t>
            </w:r>
          </w:p>
          <w:p>
            <w:r>
              <w:rPr>
                <w:sz w:val="21"/>
              </w:rPr>
              <w:t xml:space="preserve">    </w:t>
            </w:r>
            <w:r>
              <w:rPr>
                <w:sz w:val="21"/>
              </w:rPr>
              <w:t>六、运行期内，一旦发生污染事故，应立即采取补救措施并向采购人报告。</w:t>
            </w:r>
          </w:p>
          <w:p>
            <w:r>
              <w:rPr>
                <w:sz w:val="21"/>
              </w:rPr>
              <w:t xml:space="preserve">    </w:t>
            </w:r>
            <w:r>
              <w:rPr>
                <w:sz w:val="21"/>
              </w:rPr>
              <w:t>七、中标单位应设置消防设施、设备，并定期检查、维护和更换；场区内严禁烟火，并设置防火隔离带。</w:t>
            </w:r>
          </w:p>
          <w:p>
            <w:r>
              <w:rPr>
                <w:sz w:val="21"/>
              </w:rPr>
              <w:t xml:space="preserve">    </w:t>
            </w:r>
            <w:r>
              <w:rPr>
                <w:sz w:val="21"/>
              </w:rPr>
              <w:t>八、中标单位严禁砍伐、买卖场内绿化树木。</w:t>
            </w:r>
          </w:p>
          <w:p>
            <w:r>
              <w:rPr>
                <w:sz w:val="21"/>
              </w:rPr>
              <w:t xml:space="preserve">    </w:t>
            </w:r>
            <w:r>
              <w:rPr>
                <w:sz w:val="21"/>
              </w:rPr>
              <w:t>九、中标单位应加强对环保设施（渗滤液处理站相关设施）运行状况的现场监管，努力提高环保设施运行管理水平，最大发挥环境保护投资效益，做好区域环境污染防治。污染源治理各方面的责任转移至中标单位，因污染源治理不达标而承担的风险（超标排污费、事故排放等）进行相应的行政处罚，污染源治理各方面的费用由中标单位承担。</w:t>
            </w:r>
          </w:p>
          <w:p>
            <w:r>
              <w:rPr>
                <w:sz w:val="21"/>
              </w:rPr>
              <w:t xml:space="preserve">    </w:t>
            </w:r>
            <w:r>
              <w:rPr>
                <w:sz w:val="21"/>
              </w:rPr>
              <w:t>十、中标单位应对员工进行相关法律法规、专业技术、安全防护、环境保护、紧急处理等理论知识和操作技能培训，员工应经过培训后持证上岗，工作时按规定穿戴劳动保护用品。</w:t>
            </w:r>
          </w:p>
          <w:p>
            <w:r>
              <w:rPr>
                <w:sz w:val="21"/>
              </w:rPr>
              <w:t xml:space="preserve">    </w:t>
            </w:r>
            <w:r>
              <w:rPr>
                <w:sz w:val="21"/>
              </w:rPr>
              <w:t>十一、中标单位应向采购人提供各种机械设备、仪器仪表使用、维护的技术档案、污水收集情况、填埋气体收集与处理情况、环境保护情况、填埋作业设备运行维护记录、突发事件的应急处理记录等资料。</w:t>
            </w:r>
          </w:p>
          <w:p>
            <w:r>
              <w:rPr>
                <w:sz w:val="21"/>
              </w:rPr>
              <w:t xml:space="preserve">    </w:t>
            </w:r>
            <w:r>
              <w:rPr>
                <w:sz w:val="21"/>
              </w:rPr>
              <w:t>十二、中标单位向采购人提交资料应遵守如下规定：</w:t>
            </w:r>
          </w:p>
          <w:p>
            <w:r>
              <w:rPr>
                <w:sz w:val="21"/>
              </w:rPr>
              <w:t xml:space="preserve">   </w:t>
            </w:r>
            <w:r>
              <w:rPr>
                <w:sz w:val="21"/>
              </w:rPr>
              <w:t>（一）每个月份第十日前向采购人提交渗滤液处理站上月的月报表；</w:t>
            </w:r>
          </w:p>
          <w:p>
            <w:r>
              <w:rPr>
                <w:sz w:val="21"/>
              </w:rPr>
              <w:t xml:space="preserve">   </w:t>
            </w:r>
            <w:r>
              <w:rPr>
                <w:sz w:val="21"/>
              </w:rPr>
              <w:t>（二）每年度一月份第二十日前向采购人提交渗滤液处理站上年度的年度报表及本年度的生产运营计划。本年度的生产运营计划经采购人批准后实施，如需变更的，须重新报采购人批准。</w:t>
            </w:r>
          </w:p>
          <w:p>
            <w:r>
              <w:rPr>
                <w:sz w:val="21"/>
              </w:rPr>
              <w:t xml:space="preserve">    </w:t>
            </w:r>
            <w:r>
              <w:rPr>
                <w:sz w:val="21"/>
              </w:rPr>
              <w:t>十三、遇有危及生命安全的突发重大事件或者不可抗力时，中标单位必须在半小时内向监管小组口头报告，</w:t>
            </w:r>
            <w:r>
              <w:rPr>
                <w:sz w:val="21"/>
              </w:rPr>
              <w:t>12小时内向采购人提交书面报告。中标单位应采取应急抢修措施尽快恢复生活垃圾卫生填埋场渗滤液处理站正常状态。</w:t>
            </w:r>
          </w:p>
          <w:p>
            <w:pPr>
              <w:ind w:firstLine="480"/>
            </w:pPr>
            <w:r>
              <w:rPr>
                <w:sz w:val="21"/>
              </w:rPr>
              <w:t>十四、中标单位应配合采购人做好填埋场渗滤液处理站的参观接待工作和上级部门的检查及兄弟县市的交流活动，同时配合做好与周边村民的沟通协调工作，积极配合村民的监督，处理好周边村民的投诉，配合做好人大、政协相关议案的办理工作。</w:t>
            </w:r>
          </w:p>
          <w:p/>
          <w:p/>
          <w:p>
            <w:r>
              <w:rPr>
                <w:b/>
                <w:sz w:val="21"/>
              </w:rPr>
              <w:t>附件</w:t>
            </w:r>
            <w:r>
              <w:rPr>
                <w:b/>
                <w:sz w:val="21"/>
              </w:rPr>
              <w:t>2：</w:t>
            </w:r>
          </w:p>
          <w:p>
            <w:pPr>
              <w:jc w:val="center"/>
            </w:pPr>
            <w:r>
              <w:rPr>
                <w:b/>
                <w:sz w:val="21"/>
              </w:rPr>
              <w:t>凤岗镇中心区生活垃圾填埋场渗滤液处理站运营管理项目质量考评标准</w:t>
            </w:r>
          </w:p>
          <w:tbl>
            <w:tblPr>
              <w:tblBorders>
                <w:top w:val="none" w:color="000000" w:sz="4"/>
                <w:left w:val="none" w:color="000000" w:sz="4"/>
                <w:bottom w:val="none" w:color="000000" w:sz="4"/>
                <w:right w:val="none" w:color="000000" w:sz="4"/>
                <w:insideH w:val="none"/>
                <w:insideV w:val="none"/>
              </w:tblBorders>
            </w:tblPr>
            <w:tblGrid>
              <w:gridCol w:w="478"/>
              <w:gridCol w:w="853"/>
              <w:gridCol w:w="3047"/>
              <w:gridCol w:w="610"/>
              <w:gridCol w:w="610"/>
            </w:tblGrid>
            <w:tr>
              <w:tc>
                <w:tcPr>
                  <w:tcW w:type="dxa" w:w="478"/>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853"/>
                  <w:tcBorders>
                    <w:top w:val="single" w:color="000000" w:sz="4"/>
                    <w:left w:val="none" w:color="000000" w:sz="4"/>
                    <w:bottom w:val="single" w:color="000000" w:sz="4"/>
                    <w:right w:val="single" w:color="000000" w:sz="4"/>
                  </w:tcBorders>
                  <w:vAlign w:val="top"/>
                </w:tcPr>
                <w:p>
                  <w:pPr>
                    <w:jc w:val="center"/>
                  </w:pPr>
                  <w:r>
                    <w:rPr>
                      <w:b/>
                      <w:sz w:val="21"/>
                    </w:rPr>
                    <w:t>考评内容</w:t>
                  </w:r>
                </w:p>
              </w:tc>
              <w:tc>
                <w:tcPr>
                  <w:tcW w:type="dxa" w:w="3047"/>
                  <w:tcBorders>
                    <w:top w:val="single" w:color="000000" w:sz="4"/>
                    <w:left w:val="none" w:color="000000" w:sz="4"/>
                    <w:bottom w:val="single" w:color="000000" w:sz="4"/>
                    <w:right w:val="single" w:color="000000" w:sz="4"/>
                  </w:tcBorders>
                  <w:vAlign w:val="top"/>
                </w:tcPr>
                <w:p>
                  <w:pPr>
                    <w:jc w:val="center"/>
                  </w:pPr>
                  <w:r>
                    <w:rPr>
                      <w:b/>
                      <w:sz w:val="21"/>
                    </w:rPr>
                    <w:t>考评扣分标准</w:t>
                  </w:r>
                </w:p>
              </w:tc>
              <w:tc>
                <w:tcPr>
                  <w:tcW w:type="dxa" w:w="610"/>
                  <w:tcBorders>
                    <w:top w:val="single" w:color="000000" w:sz="4"/>
                    <w:left w:val="none" w:color="000000" w:sz="4"/>
                    <w:bottom w:val="single" w:color="000000" w:sz="4"/>
                    <w:right w:val="single" w:color="000000" w:sz="4"/>
                  </w:tcBorders>
                  <w:vAlign w:val="top"/>
                </w:tcPr>
                <w:p>
                  <w:pPr>
                    <w:jc w:val="center"/>
                  </w:pPr>
                  <w:r>
                    <w:rPr>
                      <w:b/>
                      <w:sz w:val="21"/>
                    </w:rPr>
                    <w:t>项目总分</w:t>
                  </w:r>
                </w:p>
              </w:tc>
              <w:tc>
                <w:tcPr>
                  <w:tcW w:type="dxa" w:w="610"/>
                  <w:tcBorders>
                    <w:top w:val="single" w:color="000000" w:sz="4"/>
                    <w:left w:val="none" w:color="000000" w:sz="4"/>
                    <w:bottom w:val="single" w:color="000000" w:sz="4"/>
                    <w:right w:val="single" w:color="000000" w:sz="4"/>
                  </w:tcBorders>
                  <w:vAlign w:val="top"/>
                </w:tcPr>
                <w:p>
                  <w:pPr>
                    <w:jc w:val="center"/>
                  </w:pPr>
                  <w:r>
                    <w:rPr>
                      <w:b/>
                      <w:sz w:val="21"/>
                    </w:rPr>
                    <w:t>检查得分</w:t>
                  </w:r>
                </w:p>
              </w:tc>
            </w:tr>
            <w:tr>
              <w:tc>
                <w:tcPr>
                  <w:tcW w:type="dxa" w:w="478"/>
                  <w:vMerge w:val="restart"/>
                  <w:tcBorders>
                    <w:top w:val="none" w:color="000000" w:sz="4"/>
                    <w:left w:val="single" w:color="000000" w:sz="4"/>
                    <w:bottom w:val="single" w:color="000000" w:sz="4"/>
                    <w:right w:val="single" w:color="000000" w:sz="4"/>
                  </w:tcBorders>
                  <w:vAlign w:val="top"/>
                </w:tcPr>
                <w:p>
                  <w:r>
                    <w:rPr>
                      <w:sz w:val="21"/>
                    </w:rPr>
                    <w:t>数据</w:t>
                  </w:r>
                </w:p>
                <w:p>
                  <w:r>
                    <w:rPr>
                      <w:sz w:val="21"/>
                    </w:rPr>
                    <w:t>报表</w:t>
                  </w:r>
                </w:p>
              </w:tc>
              <w:tc>
                <w:tcPr>
                  <w:tcW w:type="dxa" w:w="853"/>
                  <w:tcBorders>
                    <w:top w:val="none" w:color="000000" w:sz="4"/>
                    <w:left w:val="none" w:color="000000" w:sz="4"/>
                    <w:bottom w:val="single" w:color="000000" w:sz="4"/>
                    <w:right w:val="single" w:color="000000" w:sz="4"/>
                  </w:tcBorders>
                  <w:vAlign w:val="top"/>
                </w:tcPr>
                <w:p>
                  <w:r>
                    <w:rPr>
                      <w:sz w:val="21"/>
                    </w:rPr>
                    <w:t>报送及时性</w:t>
                  </w:r>
                </w:p>
              </w:tc>
              <w:tc>
                <w:tcPr>
                  <w:tcW w:type="dxa" w:w="3047"/>
                  <w:tcBorders>
                    <w:top w:val="none" w:color="000000" w:sz="4"/>
                    <w:left w:val="none" w:color="000000" w:sz="4"/>
                    <w:bottom w:val="single" w:color="000000" w:sz="4"/>
                    <w:right w:val="single" w:color="000000" w:sz="4"/>
                  </w:tcBorders>
                  <w:vAlign w:val="top"/>
                </w:tcPr>
                <w:p>
                  <w:r>
                    <w:rPr>
                      <w:sz w:val="21"/>
                    </w:rPr>
                    <w:t>不按规定时间上报数据和报表，每次扣</w:t>
                  </w:r>
                  <w:r>
                    <w:rPr>
                      <w:sz w:val="21"/>
                    </w:rPr>
                    <w:t>3分；</w:t>
                  </w:r>
                </w:p>
              </w:tc>
              <w:tc>
                <w:tcPr>
                  <w:tcW w:type="dxa" w:w="610"/>
                  <w:vMerge w:val="restart"/>
                  <w:tcBorders>
                    <w:top w:val="none" w:color="000000" w:sz="4"/>
                    <w:left w:val="none" w:color="000000" w:sz="4"/>
                    <w:bottom w:val="single" w:color="000000" w:sz="4"/>
                    <w:right w:val="single" w:color="000000" w:sz="4"/>
                  </w:tcBorders>
                  <w:vAlign w:val="top"/>
                </w:tcPr>
                <w:p>
                  <w:pPr>
                    <w:jc w:val="center"/>
                  </w:pPr>
                  <w:r>
                    <w:rPr>
                      <w:sz w:val="21"/>
                    </w:rPr>
                    <w:t>10</w:t>
                  </w:r>
                </w:p>
              </w:tc>
              <w:tc>
                <w:tcPr>
                  <w:tcW w:type="dxa" w:w="610"/>
                  <w:vMerge w:val="restart"/>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数据报表准确性与规范管理</w:t>
                  </w:r>
                </w:p>
              </w:tc>
              <w:tc>
                <w:tcPr>
                  <w:tcW w:type="dxa" w:w="3047"/>
                  <w:tcBorders>
                    <w:top w:val="none" w:color="000000" w:sz="4"/>
                    <w:left w:val="none" w:color="000000" w:sz="4"/>
                    <w:bottom w:val="single" w:color="000000" w:sz="4"/>
                    <w:right w:val="single" w:color="000000" w:sz="4"/>
                  </w:tcBorders>
                  <w:vAlign w:val="top"/>
                </w:tcPr>
                <w:p>
                  <w:r>
                    <w:rPr>
                      <w:sz w:val="21"/>
                    </w:rPr>
                    <w:t>报表项目不按要求填报，每次扣</w:t>
                  </w:r>
                  <w:r>
                    <w:rPr>
                      <w:sz w:val="21"/>
                    </w:rPr>
                    <w:t>1分；各类运行资料、报表格式规范、内容齐全、归档立卷，每处不符合扣1分。</w:t>
                  </w: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原始记录真实性</w:t>
                  </w:r>
                </w:p>
              </w:tc>
              <w:tc>
                <w:tcPr>
                  <w:tcW w:type="dxa" w:w="3047"/>
                  <w:tcBorders>
                    <w:top w:val="none" w:color="000000" w:sz="4"/>
                    <w:left w:val="none" w:color="000000" w:sz="4"/>
                    <w:bottom w:val="single" w:color="000000" w:sz="4"/>
                    <w:right w:val="single" w:color="000000" w:sz="4"/>
                  </w:tcBorders>
                  <w:vAlign w:val="top"/>
                </w:tcPr>
                <w:p>
                  <w:r>
                    <w:rPr>
                      <w:sz w:val="21"/>
                    </w:rPr>
                    <w:t>渗滤液处理数据弄虚作假的，每次扣</w:t>
                  </w:r>
                  <w:r>
                    <w:rPr>
                      <w:sz w:val="21"/>
                    </w:rPr>
                    <w:t>5分；</w:t>
                  </w:r>
                </w:p>
              </w:tc>
            </w:tr>
            <w:tr>
              <w:tc>
                <w:tcPr>
                  <w:tcW w:type="dxa" w:w="478"/>
                  <w:vMerge w:val="restart"/>
                  <w:tcBorders>
                    <w:top w:val="none" w:color="000000" w:sz="4"/>
                    <w:left w:val="single" w:color="000000" w:sz="4"/>
                    <w:bottom w:val="single" w:color="000000" w:sz="4"/>
                    <w:right w:val="single" w:color="000000" w:sz="4"/>
                  </w:tcBorders>
                  <w:vAlign w:val="top"/>
                </w:tcPr>
                <w:p>
                  <w:r>
                    <w:rPr>
                      <w:sz w:val="21"/>
                    </w:rPr>
                    <w:t>运营</w:t>
                  </w:r>
                </w:p>
                <w:p>
                  <w:r>
                    <w:rPr>
                      <w:sz w:val="21"/>
                    </w:rPr>
                    <w:t>情况</w:t>
                  </w:r>
                </w:p>
              </w:tc>
              <w:tc>
                <w:tcPr>
                  <w:tcW w:type="dxa" w:w="853"/>
                  <w:tcBorders>
                    <w:top w:val="none" w:color="000000" w:sz="4"/>
                    <w:left w:val="none" w:color="000000" w:sz="4"/>
                    <w:bottom w:val="single" w:color="000000" w:sz="4"/>
                    <w:right w:val="single" w:color="000000" w:sz="4"/>
                  </w:tcBorders>
                  <w:vAlign w:val="top"/>
                </w:tcPr>
                <w:p>
                  <w:r>
                    <w:rPr>
                      <w:sz w:val="21"/>
                    </w:rPr>
                    <w:t>设施设备</w:t>
                  </w:r>
                </w:p>
                <w:p>
                  <w:r>
                    <w:rPr>
                      <w:sz w:val="21"/>
                    </w:rPr>
                    <w:t>使用情况</w:t>
                  </w:r>
                </w:p>
              </w:tc>
              <w:tc>
                <w:tcPr>
                  <w:tcW w:type="dxa" w:w="3047"/>
                  <w:tcBorders>
                    <w:top w:val="none" w:color="000000" w:sz="4"/>
                    <w:left w:val="none" w:color="000000" w:sz="4"/>
                    <w:bottom w:val="single" w:color="000000" w:sz="4"/>
                    <w:right w:val="single" w:color="000000" w:sz="4"/>
                  </w:tcBorders>
                  <w:vAlign w:val="top"/>
                </w:tcPr>
                <w:p>
                  <w:r>
                    <w:rPr>
                      <w:sz w:val="21"/>
                    </w:rPr>
                    <w:t>未定期按制度要求对设施设备进行使用、维护保养、检测与审验、运行与管理记录的，每次扣</w:t>
                  </w:r>
                  <w:r>
                    <w:rPr>
                      <w:sz w:val="21"/>
                    </w:rPr>
                    <w:t>2分；当设施设备出现故障影响垃圾渗滤液处理时，应及时书面通知监管方并预计恢复正常生产的时间，如有违反每次扣2分。</w:t>
                  </w:r>
                </w:p>
              </w:tc>
              <w:tc>
                <w:tcPr>
                  <w:tcW w:type="dxa" w:w="610"/>
                  <w:vMerge w:val="restart"/>
                  <w:tcBorders>
                    <w:top w:val="none" w:color="000000" w:sz="4"/>
                    <w:left w:val="none" w:color="000000" w:sz="4"/>
                    <w:bottom w:val="single" w:color="000000" w:sz="4"/>
                    <w:right w:val="single" w:color="000000" w:sz="4"/>
                  </w:tcBorders>
                  <w:vAlign w:val="top"/>
                </w:tcPr>
                <w:p>
                  <w:pPr>
                    <w:jc w:val="center"/>
                  </w:pPr>
                  <w:r>
                    <w:rPr>
                      <w:sz w:val="21"/>
                    </w:rPr>
                    <w:t>30</w:t>
                  </w:r>
                </w:p>
              </w:tc>
              <w:tc>
                <w:tcPr>
                  <w:tcW w:type="dxa" w:w="610"/>
                  <w:vMerge w:val="restart"/>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渗滤液处理</w:t>
                  </w:r>
                </w:p>
              </w:tc>
              <w:tc>
                <w:tcPr>
                  <w:tcW w:type="dxa" w:w="3047"/>
                  <w:tcBorders>
                    <w:top w:val="none" w:color="000000" w:sz="4"/>
                    <w:left w:val="none" w:color="000000" w:sz="4"/>
                    <w:bottom w:val="single" w:color="000000" w:sz="4"/>
                    <w:right w:val="single" w:color="000000" w:sz="4"/>
                  </w:tcBorders>
                  <w:vAlign w:val="top"/>
                </w:tcPr>
                <w:p>
                  <w:r>
                    <w:rPr>
                      <w:sz w:val="21"/>
                    </w:rPr>
                    <w:t>渗滤液未按《生活垃圾填埋场污染控制标准》（</w:t>
                  </w:r>
                  <w:r>
                    <w:rPr>
                      <w:sz w:val="21"/>
                    </w:rPr>
                    <w:t>GB16889-2008）排放标准超标排放的，或不按操作规程要求在浓缩液回灌过程中造成污染的每项扣10分。</w:t>
                  </w: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站区环境</w:t>
                  </w:r>
                </w:p>
              </w:tc>
              <w:tc>
                <w:tcPr>
                  <w:tcW w:type="dxa" w:w="3047"/>
                  <w:tcBorders>
                    <w:top w:val="none" w:color="000000" w:sz="4"/>
                    <w:left w:val="none" w:color="000000" w:sz="4"/>
                    <w:bottom w:val="single" w:color="000000" w:sz="4"/>
                    <w:right w:val="single" w:color="000000" w:sz="4"/>
                  </w:tcBorders>
                  <w:vAlign w:val="top"/>
                </w:tcPr>
                <w:p>
                  <w:r>
                    <w:rPr>
                      <w:sz w:val="21"/>
                    </w:rPr>
                    <w:t>站区有垃圾杂物、乱堆放，每发现一次扣</w:t>
                  </w:r>
                  <w:r>
                    <w:rPr>
                      <w:sz w:val="21"/>
                    </w:rPr>
                    <w:t>1分；处理站排水设施堵塞未及时清疏的，每发现一次扣2分。</w:t>
                  </w:r>
                </w:p>
              </w:tc>
            </w:tr>
            <w:tr>
              <w:tc>
                <w:tcPr>
                  <w:tcW w:type="dxa" w:w="478"/>
                  <w:vMerge w:val="restart"/>
                  <w:tcBorders>
                    <w:top w:val="none" w:color="000000" w:sz="4"/>
                    <w:left w:val="single" w:color="000000" w:sz="4"/>
                    <w:bottom w:val="single" w:color="000000" w:sz="4"/>
                    <w:right w:val="single" w:color="000000" w:sz="4"/>
                  </w:tcBorders>
                  <w:vAlign w:val="top"/>
                </w:tcPr>
                <w:p>
                  <w:r>
                    <w:rPr>
                      <w:sz w:val="21"/>
                    </w:rPr>
                    <w:t>污染</w:t>
                  </w:r>
                </w:p>
                <w:p>
                  <w:r>
                    <w:rPr>
                      <w:sz w:val="21"/>
                    </w:rPr>
                    <w:t>控制</w:t>
                  </w:r>
                </w:p>
              </w:tc>
              <w:tc>
                <w:tcPr>
                  <w:tcW w:type="dxa" w:w="853"/>
                  <w:tcBorders>
                    <w:top w:val="none" w:color="000000" w:sz="4"/>
                    <w:left w:val="none" w:color="000000" w:sz="4"/>
                    <w:bottom w:val="single" w:color="000000" w:sz="4"/>
                    <w:right w:val="single" w:color="000000" w:sz="4"/>
                  </w:tcBorders>
                  <w:vAlign w:val="top"/>
                </w:tcPr>
                <w:p>
                  <w:r>
                    <w:rPr>
                      <w:sz w:val="21"/>
                    </w:rPr>
                    <w:t>环境监测</w:t>
                  </w:r>
                </w:p>
              </w:tc>
              <w:tc>
                <w:tcPr>
                  <w:tcW w:type="dxa" w:w="3047"/>
                  <w:tcBorders>
                    <w:top w:val="none" w:color="000000" w:sz="4"/>
                    <w:left w:val="none" w:color="000000" w:sz="4"/>
                    <w:bottom w:val="single" w:color="000000" w:sz="4"/>
                    <w:right w:val="single" w:color="000000" w:sz="4"/>
                  </w:tcBorders>
                  <w:vAlign w:val="top"/>
                </w:tcPr>
                <w:p>
                  <w:r>
                    <w:rPr>
                      <w:sz w:val="21"/>
                    </w:rPr>
                    <w:t>站内配备较完善的环境监测设备或有委托监测，定期对渗滤液主要指标进行常规监测，能提供连续、完整、准确的监测资料和报告，每发现一处不符合扣</w:t>
                  </w:r>
                  <w:r>
                    <w:rPr>
                      <w:sz w:val="21"/>
                    </w:rPr>
                    <w:t>1分；因运营方原因造成监测指标超标的，每发现一处扣3分。环保部门不定期对填埋场渗滤液处理站进行环境监测，如监测报告不合格，每次扣5分。</w:t>
                  </w:r>
                </w:p>
              </w:tc>
              <w:tc>
                <w:tcPr>
                  <w:tcW w:type="dxa" w:w="610"/>
                  <w:vMerge w:val="restart"/>
                  <w:tcBorders>
                    <w:top w:val="none" w:color="000000" w:sz="4"/>
                    <w:left w:val="none" w:color="000000" w:sz="4"/>
                    <w:bottom w:val="single" w:color="000000" w:sz="4"/>
                    <w:right w:val="single" w:color="000000" w:sz="4"/>
                  </w:tcBorders>
                  <w:vAlign w:val="top"/>
                </w:tcPr>
                <w:p>
                  <w:pPr>
                    <w:jc w:val="center"/>
                  </w:pPr>
                  <w:r>
                    <w:rPr>
                      <w:sz w:val="21"/>
                    </w:rPr>
                    <w:t>30</w:t>
                  </w:r>
                </w:p>
              </w:tc>
              <w:tc>
                <w:tcPr>
                  <w:tcW w:type="dxa" w:w="610"/>
                  <w:vMerge w:val="restart"/>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站区消杀</w:t>
                  </w:r>
                </w:p>
              </w:tc>
              <w:tc>
                <w:tcPr>
                  <w:tcW w:type="dxa" w:w="3047"/>
                  <w:tcBorders>
                    <w:top w:val="none" w:color="000000" w:sz="4"/>
                    <w:left w:val="none" w:color="000000" w:sz="4"/>
                    <w:bottom w:val="single" w:color="000000" w:sz="4"/>
                    <w:right w:val="single" w:color="000000" w:sz="4"/>
                  </w:tcBorders>
                  <w:vAlign w:val="top"/>
                </w:tcPr>
                <w:p>
                  <w:r>
                    <w:rPr>
                      <w:sz w:val="21"/>
                    </w:rPr>
                    <w:t>没有消杀（蚊、蝇、鼠等）措施，扣</w:t>
                  </w:r>
                  <w:r>
                    <w:rPr>
                      <w:sz w:val="21"/>
                    </w:rPr>
                    <w:t>1分；有措施但效果一般，相关监测指标超标，每次扣1分。</w:t>
                  </w: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臭味控制和绿化维护</w:t>
                  </w:r>
                </w:p>
              </w:tc>
              <w:tc>
                <w:tcPr>
                  <w:tcW w:type="dxa" w:w="3047"/>
                  <w:tcBorders>
                    <w:top w:val="none" w:color="000000" w:sz="4"/>
                    <w:left w:val="none" w:color="000000" w:sz="4"/>
                    <w:bottom w:val="single" w:color="000000" w:sz="4"/>
                    <w:right w:val="single" w:color="000000" w:sz="4"/>
                  </w:tcBorders>
                  <w:vAlign w:val="top"/>
                </w:tcPr>
                <w:p>
                  <w:r>
                    <w:rPr>
                      <w:sz w:val="21"/>
                    </w:rPr>
                    <w:t>站区内无明显臭味，每发现一项不符合扣</w:t>
                  </w:r>
                  <w:r>
                    <w:rPr>
                      <w:sz w:val="21"/>
                    </w:rPr>
                    <w:t>2分，加强对处理站内绿化树木维护，未经业主同意私下砍伐、买卖场内绿化树木，每发现一棵扣1分。</w:t>
                  </w: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危险废物控制</w:t>
                  </w:r>
                </w:p>
              </w:tc>
              <w:tc>
                <w:tcPr>
                  <w:tcW w:type="dxa" w:w="3047"/>
                  <w:tcBorders>
                    <w:top w:val="none" w:color="000000" w:sz="4"/>
                    <w:left w:val="none" w:color="000000" w:sz="4"/>
                    <w:bottom w:val="single" w:color="000000" w:sz="4"/>
                    <w:right w:val="single" w:color="000000" w:sz="4"/>
                  </w:tcBorders>
                  <w:vAlign w:val="top"/>
                </w:tcPr>
                <w:p>
                  <w:r>
                    <w:rPr>
                      <w:sz w:val="21"/>
                    </w:rPr>
                    <w:t>渗滤液在输送全程中未保持密封状态，造成渗滤液溢漏的，当月扣</w:t>
                  </w:r>
                  <w:r>
                    <w:rPr>
                      <w:sz w:val="21"/>
                    </w:rPr>
                    <w:t>3分；因操作不当造成渗滤液泄漏，导致污染事故的，每发现一次扣3分。</w:t>
                  </w:r>
                </w:p>
              </w:tc>
            </w:tr>
            <w:tr>
              <w:tc>
                <w:tcPr>
                  <w:tcW w:type="dxa" w:w="478"/>
                  <w:tcBorders>
                    <w:top w:val="none" w:color="000000" w:sz="4"/>
                    <w:left w:val="single" w:color="000000" w:sz="4"/>
                    <w:bottom w:val="single" w:color="000000" w:sz="4"/>
                    <w:right w:val="single" w:color="000000" w:sz="4"/>
                  </w:tcBorders>
                  <w:vAlign w:val="top"/>
                </w:tcPr>
                <w:p>
                  <w:r>
                    <w:rPr>
                      <w:sz w:val="21"/>
                    </w:rPr>
                    <w:t>投诉</w:t>
                  </w:r>
                </w:p>
                <w:p>
                  <w:r>
                    <w:rPr>
                      <w:sz w:val="21"/>
                    </w:rPr>
                    <w:t>处置</w:t>
                  </w:r>
                </w:p>
                <w:p>
                  <w:r>
                    <w:rPr>
                      <w:sz w:val="21"/>
                    </w:rPr>
                    <w:t>情况</w:t>
                  </w:r>
                </w:p>
              </w:tc>
              <w:tc>
                <w:tcPr>
                  <w:tcW w:type="dxa" w:w="853"/>
                  <w:tcBorders>
                    <w:top w:val="none" w:color="000000" w:sz="4"/>
                    <w:left w:val="none" w:color="000000" w:sz="4"/>
                    <w:bottom w:val="single" w:color="000000" w:sz="4"/>
                    <w:right w:val="single" w:color="000000" w:sz="4"/>
                  </w:tcBorders>
                  <w:vAlign w:val="top"/>
                </w:tcPr>
                <w:p>
                  <w:r>
                    <w:rPr>
                      <w:sz w:val="21"/>
                    </w:rPr>
                    <w:t>投诉处置</w:t>
                  </w:r>
                </w:p>
                <w:p>
                  <w:r>
                    <w:rPr>
                      <w:sz w:val="21"/>
                    </w:rPr>
                    <w:t>情况</w:t>
                  </w:r>
                </w:p>
              </w:tc>
              <w:tc>
                <w:tcPr>
                  <w:tcW w:type="dxa" w:w="3047"/>
                  <w:tcBorders>
                    <w:top w:val="none" w:color="000000" w:sz="4"/>
                    <w:left w:val="none" w:color="000000" w:sz="4"/>
                    <w:bottom w:val="single" w:color="000000" w:sz="4"/>
                    <w:right w:val="single" w:color="000000" w:sz="4"/>
                  </w:tcBorders>
                  <w:vAlign w:val="top"/>
                </w:tcPr>
                <w:p>
                  <w:r>
                    <w:rPr>
                      <w:sz w:val="21"/>
                    </w:rPr>
                    <w:t>及时处理与填埋场渗滤液处理相关的整改通知、信访、投诉案件，并向监管方及时反馈处置情况，如有违反每次扣</w:t>
                  </w:r>
                  <w:r>
                    <w:rPr>
                      <w:sz w:val="21"/>
                    </w:rPr>
                    <w:t>2分；</w:t>
                  </w:r>
                </w:p>
                <w:p>
                  <w:r>
                    <w:rPr>
                      <w:sz w:val="21"/>
                    </w:rPr>
                    <w:t>因运营方责任原因造成在媒体曝光、群众投诉并堵路、在市级检查及重大活动检查等中受到批评或扣分，每次扣</w:t>
                  </w:r>
                  <w:r>
                    <w:rPr>
                      <w:sz w:val="21"/>
                    </w:rPr>
                    <w:t>5分。</w:t>
                  </w:r>
                </w:p>
              </w:tc>
              <w:tc>
                <w:tcPr>
                  <w:tcW w:type="dxa" w:w="6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val="restart"/>
                  <w:tcBorders>
                    <w:top w:val="none" w:color="000000" w:sz="4"/>
                    <w:left w:val="single" w:color="000000" w:sz="4"/>
                    <w:bottom w:val="single" w:color="000000" w:sz="4"/>
                    <w:right w:val="single" w:color="000000" w:sz="4"/>
                  </w:tcBorders>
                  <w:vAlign w:val="top"/>
                </w:tcPr>
                <w:p>
                  <w:r>
                    <w:rPr>
                      <w:sz w:val="21"/>
                    </w:rPr>
                    <w:t>内部</w:t>
                  </w:r>
                </w:p>
                <w:p>
                  <w:r>
                    <w:rPr>
                      <w:sz w:val="21"/>
                    </w:rPr>
                    <w:t>管理</w:t>
                  </w:r>
                </w:p>
              </w:tc>
              <w:tc>
                <w:tcPr>
                  <w:tcW w:type="dxa" w:w="853"/>
                  <w:tcBorders>
                    <w:top w:val="none" w:color="000000" w:sz="4"/>
                    <w:left w:val="none" w:color="000000" w:sz="4"/>
                    <w:bottom w:val="single" w:color="000000" w:sz="4"/>
                    <w:right w:val="single" w:color="000000" w:sz="4"/>
                  </w:tcBorders>
                  <w:vAlign w:val="top"/>
                </w:tcPr>
                <w:p>
                  <w:r>
                    <w:rPr>
                      <w:sz w:val="21"/>
                    </w:rPr>
                    <w:t>运行制度</w:t>
                  </w:r>
                </w:p>
              </w:tc>
              <w:tc>
                <w:tcPr>
                  <w:tcW w:type="dxa" w:w="3047"/>
                  <w:tcBorders>
                    <w:top w:val="none" w:color="000000" w:sz="4"/>
                    <w:left w:val="none" w:color="000000" w:sz="4"/>
                    <w:bottom w:val="single" w:color="000000" w:sz="4"/>
                    <w:right w:val="single" w:color="000000" w:sz="4"/>
                  </w:tcBorders>
                  <w:vAlign w:val="top"/>
                </w:tcPr>
                <w:p>
                  <w:r>
                    <w:rPr>
                      <w:sz w:val="21"/>
                    </w:rPr>
                    <w:t>有运行作业手册及设备设施操作维护保养手册，规章制度、岗位职责健全，每处不符合扣</w:t>
                  </w:r>
                  <w:r>
                    <w:rPr>
                      <w:sz w:val="21"/>
                    </w:rPr>
                    <w:t>1分。</w:t>
                  </w:r>
                </w:p>
              </w:tc>
              <w:tc>
                <w:tcPr>
                  <w:tcW w:type="dxa" w:w="610"/>
                  <w:vMerge w:val="restart"/>
                  <w:tcBorders>
                    <w:top w:val="none" w:color="000000" w:sz="4"/>
                    <w:left w:val="none" w:color="000000" w:sz="4"/>
                    <w:bottom w:val="single" w:color="000000" w:sz="4"/>
                    <w:right w:val="single" w:color="000000" w:sz="4"/>
                  </w:tcBorders>
                  <w:vAlign w:val="top"/>
                </w:tcPr>
                <w:p>
                  <w:pPr>
                    <w:jc w:val="center"/>
                  </w:pPr>
                  <w:r>
                    <w:rPr>
                      <w:sz w:val="21"/>
                    </w:rPr>
                    <w:t>15</w:t>
                  </w: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安全生产</w:t>
                  </w:r>
                </w:p>
              </w:tc>
              <w:tc>
                <w:tcPr>
                  <w:tcW w:type="dxa" w:w="3047"/>
                  <w:tcBorders>
                    <w:top w:val="none" w:color="000000" w:sz="4"/>
                    <w:left w:val="none" w:color="000000" w:sz="4"/>
                    <w:bottom w:val="single" w:color="000000" w:sz="4"/>
                    <w:right w:val="single" w:color="000000" w:sz="4"/>
                  </w:tcBorders>
                  <w:vAlign w:val="top"/>
                </w:tcPr>
                <w:p>
                  <w:r>
                    <w:rPr>
                      <w:sz w:val="21"/>
                    </w:rPr>
                    <w:t>安全措施不健全、不落实或发现事故隐患不及时进行整改，每次扣</w:t>
                  </w:r>
                  <w:r>
                    <w:rPr>
                      <w:sz w:val="21"/>
                    </w:rPr>
                    <w:t>5分；安全警示标识缺失、破损或掉落未及时补上，每处不符扣1分。由于运营方原因造成财产损失或人员伤亡等安全事故，视情节轻重，每宗扣3-5分；隐瞒事故，每宗扣5分。</w:t>
                  </w:r>
                </w:p>
              </w:tc>
              <w:tc>
                <w:tcPr>
                  <w:tcW w:type="dxa" w:w="610"/>
                  <w:vMerge/>
                  <w:tcBorders>
                    <w:top w:val="none" w:color="000000" w:sz="4"/>
                    <w:left w:val="none" w:color="000000" w:sz="4"/>
                    <w:bottom w:val="single" w:color="000000" w:sz="4"/>
                    <w:right w:val="single" w:color="000000" w:sz="4"/>
                  </w:tcBorders>
                </w:tcP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应急制度建立</w:t>
                  </w:r>
                </w:p>
              </w:tc>
              <w:tc>
                <w:tcPr>
                  <w:tcW w:type="dxa" w:w="3047"/>
                  <w:tcBorders>
                    <w:top w:val="none" w:color="000000" w:sz="4"/>
                    <w:left w:val="none" w:color="000000" w:sz="4"/>
                    <w:bottom w:val="single" w:color="000000" w:sz="4"/>
                    <w:right w:val="single" w:color="000000" w:sz="4"/>
                  </w:tcBorders>
                  <w:vAlign w:val="top"/>
                </w:tcPr>
                <w:p>
                  <w:r>
                    <w:rPr>
                      <w:sz w:val="21"/>
                    </w:rPr>
                    <w:t>设置应急预案和配置应急处置设施或措施，建立卫生防护设施的管理和使用规章制度；每处不符合扣</w:t>
                  </w:r>
                  <w:r>
                    <w:rPr>
                      <w:sz w:val="21"/>
                    </w:rPr>
                    <w:t>0.5分。</w:t>
                  </w:r>
                </w:p>
              </w:tc>
              <w:tc>
                <w:tcPr>
                  <w:tcW w:type="dxa" w:w="610"/>
                  <w:vMerge/>
                  <w:tcBorders>
                    <w:top w:val="none" w:color="000000" w:sz="4"/>
                    <w:left w:val="none" w:color="000000" w:sz="4"/>
                    <w:bottom w:val="single" w:color="000000" w:sz="4"/>
                    <w:right w:val="single" w:color="000000" w:sz="4"/>
                  </w:tcBorders>
                </w:tcP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预案实施情况</w:t>
                  </w:r>
                </w:p>
              </w:tc>
              <w:tc>
                <w:tcPr>
                  <w:tcW w:type="dxa" w:w="3047"/>
                  <w:tcBorders>
                    <w:top w:val="none" w:color="000000" w:sz="4"/>
                    <w:left w:val="none" w:color="000000" w:sz="4"/>
                    <w:bottom w:val="single" w:color="000000" w:sz="4"/>
                    <w:right w:val="single" w:color="000000" w:sz="4"/>
                  </w:tcBorders>
                  <w:vAlign w:val="top"/>
                </w:tcPr>
                <w:p>
                  <w:r>
                    <w:rPr>
                      <w:sz w:val="21"/>
                    </w:rPr>
                    <w:t>根据应急预案定期组织演练；在灾害性天气发生前或其它紧急情况时，落实应急预备措施；配合主管部门做好渗滤液的应急处置工作，如有违反每处扣</w:t>
                  </w:r>
                  <w:r>
                    <w:rPr>
                      <w:sz w:val="21"/>
                    </w:rPr>
                    <w:t>1分。</w:t>
                  </w:r>
                </w:p>
              </w:tc>
              <w:tc>
                <w:tcPr>
                  <w:tcW w:type="dxa" w:w="610"/>
                  <w:vMerge/>
                  <w:tcBorders>
                    <w:top w:val="none" w:color="000000" w:sz="4"/>
                    <w:left w:val="none" w:color="000000" w:sz="4"/>
                    <w:bottom w:val="single" w:color="000000" w:sz="4"/>
                    <w:right w:val="single" w:color="000000" w:sz="4"/>
                  </w:tcBorders>
                </w:tcP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val="restart"/>
                  <w:tcBorders>
                    <w:top w:val="none" w:color="000000" w:sz="4"/>
                    <w:left w:val="single" w:color="000000" w:sz="4"/>
                    <w:bottom w:val="single" w:color="000000" w:sz="4"/>
                    <w:right w:val="single" w:color="000000" w:sz="4"/>
                  </w:tcBorders>
                  <w:vAlign w:val="top"/>
                </w:tcPr>
                <w:p>
                  <w:r>
                    <w:rPr>
                      <w:sz w:val="21"/>
                    </w:rPr>
                    <w:t>机械设备</w:t>
                  </w:r>
                </w:p>
              </w:tc>
              <w:tc>
                <w:tcPr>
                  <w:tcW w:type="dxa" w:w="853"/>
                  <w:tcBorders>
                    <w:top w:val="none" w:color="000000" w:sz="4"/>
                    <w:left w:val="none" w:color="000000" w:sz="4"/>
                    <w:bottom w:val="single" w:color="000000" w:sz="4"/>
                    <w:right w:val="single" w:color="000000" w:sz="4"/>
                  </w:tcBorders>
                  <w:vAlign w:val="top"/>
                </w:tcPr>
                <w:p>
                  <w:r>
                    <w:rPr>
                      <w:sz w:val="21"/>
                    </w:rPr>
                    <w:t>用途</w:t>
                  </w:r>
                </w:p>
              </w:tc>
              <w:tc>
                <w:tcPr>
                  <w:tcW w:type="dxa" w:w="3047"/>
                  <w:tcBorders>
                    <w:top w:val="none" w:color="000000" w:sz="4"/>
                    <w:left w:val="none" w:color="000000" w:sz="4"/>
                    <w:bottom w:val="single" w:color="000000" w:sz="4"/>
                    <w:right w:val="single" w:color="000000" w:sz="4"/>
                  </w:tcBorders>
                  <w:vAlign w:val="top"/>
                </w:tcPr>
                <w:p>
                  <w:r>
                    <w:rPr>
                      <w:sz w:val="21"/>
                    </w:rPr>
                    <w:t>擅自将机械设备用于渗滤液处理站运营以外的其它用途，每台次扣</w:t>
                  </w:r>
                  <w:r>
                    <w:rPr>
                      <w:sz w:val="21"/>
                    </w:rPr>
                    <w:t>2分；</w:t>
                  </w:r>
                </w:p>
              </w:tc>
              <w:tc>
                <w:tcPr>
                  <w:tcW w:type="dxa" w:w="610"/>
                  <w:vMerge w:val="restart"/>
                  <w:tcBorders>
                    <w:top w:val="none" w:color="000000" w:sz="4"/>
                    <w:left w:val="none" w:color="000000" w:sz="4"/>
                    <w:bottom w:val="single" w:color="000000" w:sz="4"/>
                    <w:right w:val="single" w:color="000000" w:sz="4"/>
                  </w:tcBorders>
                  <w:vAlign w:val="top"/>
                </w:tcPr>
                <w:p>
                  <w:pPr>
                    <w:jc w:val="center"/>
                  </w:pPr>
                  <w:r>
                    <w:rPr>
                      <w:sz w:val="21"/>
                    </w:rPr>
                    <w:t>5</w:t>
                  </w: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维护保养</w:t>
                  </w:r>
                </w:p>
              </w:tc>
              <w:tc>
                <w:tcPr>
                  <w:tcW w:type="dxa" w:w="3047"/>
                  <w:tcBorders>
                    <w:top w:val="none" w:color="000000" w:sz="4"/>
                    <w:left w:val="none" w:color="000000" w:sz="4"/>
                    <w:bottom w:val="single" w:color="000000" w:sz="4"/>
                    <w:right w:val="single" w:color="000000" w:sz="4"/>
                  </w:tcBorders>
                  <w:vAlign w:val="top"/>
                </w:tcPr>
                <w:p>
                  <w:r>
                    <w:rPr>
                      <w:sz w:val="21"/>
                    </w:rPr>
                    <w:t>不按要求对机械设备进行维护保养，每台次扣</w:t>
                  </w:r>
                  <w:r>
                    <w:rPr>
                      <w:sz w:val="21"/>
                    </w:rPr>
                    <w:t>1分；</w:t>
                  </w:r>
                </w:p>
              </w:tc>
              <w:tc>
                <w:tcPr>
                  <w:tcW w:type="dxa" w:w="610"/>
                  <w:vMerge/>
                  <w:tcBorders>
                    <w:top w:val="none" w:color="000000" w:sz="4"/>
                    <w:left w:val="none" w:color="000000" w:sz="4"/>
                    <w:bottom w:val="single" w:color="000000" w:sz="4"/>
                    <w:right w:val="single" w:color="000000" w:sz="4"/>
                  </w:tcBorders>
                </w:tcP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vMerge/>
                  <w:tcBorders>
                    <w:top w:val="none" w:color="000000" w:sz="4"/>
                    <w:left w:val="single" w:color="000000" w:sz="4"/>
                    <w:bottom w:val="single" w:color="000000" w:sz="4"/>
                    <w:right w:val="single" w:color="000000" w:sz="4"/>
                  </w:tcBorders>
                </w:tcPr>
                <w:p/>
              </w:tc>
              <w:tc>
                <w:tcPr>
                  <w:tcW w:type="dxa" w:w="853"/>
                  <w:tcBorders>
                    <w:top w:val="none" w:color="000000" w:sz="4"/>
                    <w:left w:val="none" w:color="000000" w:sz="4"/>
                    <w:bottom w:val="single" w:color="000000" w:sz="4"/>
                    <w:right w:val="single" w:color="000000" w:sz="4"/>
                  </w:tcBorders>
                  <w:vAlign w:val="top"/>
                </w:tcPr>
                <w:p>
                  <w:r>
                    <w:rPr>
                      <w:sz w:val="21"/>
                    </w:rPr>
                    <w:t>完好率</w:t>
                  </w:r>
                </w:p>
              </w:tc>
              <w:tc>
                <w:tcPr>
                  <w:tcW w:type="dxa" w:w="3047"/>
                  <w:tcBorders>
                    <w:top w:val="none" w:color="000000" w:sz="4"/>
                    <w:left w:val="none" w:color="000000" w:sz="4"/>
                    <w:bottom w:val="single" w:color="000000" w:sz="4"/>
                    <w:right w:val="single" w:color="000000" w:sz="4"/>
                  </w:tcBorders>
                  <w:vAlign w:val="top"/>
                </w:tcPr>
                <w:p>
                  <w:r>
                    <w:rPr>
                      <w:sz w:val="21"/>
                    </w:rPr>
                    <w:t>机械设备完好率低于</w:t>
                  </w:r>
                  <w:r>
                    <w:rPr>
                      <w:sz w:val="21"/>
                    </w:rPr>
                    <w:t>98%，每低1%扣0.5分；</w:t>
                  </w:r>
                </w:p>
              </w:tc>
              <w:tc>
                <w:tcPr>
                  <w:tcW w:type="dxa" w:w="610"/>
                  <w:vMerge/>
                  <w:tcBorders>
                    <w:top w:val="none" w:color="000000" w:sz="4"/>
                    <w:left w:val="none" w:color="000000" w:sz="4"/>
                    <w:bottom w:val="single" w:color="000000" w:sz="4"/>
                    <w:right w:val="single" w:color="000000" w:sz="4"/>
                  </w:tcBorders>
                </w:tcP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tcBorders>
                    <w:top w:val="none" w:color="000000" w:sz="4"/>
                    <w:left w:val="single" w:color="000000" w:sz="4"/>
                    <w:bottom w:val="single" w:color="000000" w:sz="4"/>
                    <w:right w:val="single" w:color="000000" w:sz="4"/>
                  </w:tcBorders>
                  <w:vAlign w:val="top"/>
                </w:tcPr>
                <w:p>
                  <w:r>
                    <w:rPr>
                      <w:sz w:val="21"/>
                    </w:rPr>
                    <w:t>其它</w:t>
                  </w:r>
                </w:p>
              </w:tc>
              <w:tc>
                <w:tcPr>
                  <w:tcW w:type="dxa" w:w="853"/>
                  <w:tcBorders>
                    <w:top w:val="none" w:color="000000" w:sz="4"/>
                    <w:left w:val="none" w:color="000000" w:sz="4"/>
                    <w:bottom w:val="single" w:color="000000" w:sz="4"/>
                    <w:right w:val="single" w:color="000000" w:sz="4"/>
                  </w:tcBorders>
                  <w:vAlign w:val="top"/>
                </w:tcPr>
                <w:p>
                  <w:r>
                    <w:rPr>
                      <w:sz w:val="21"/>
                    </w:rPr>
                    <w:t>其它</w:t>
                  </w:r>
                </w:p>
              </w:tc>
              <w:tc>
                <w:tcPr>
                  <w:tcW w:type="dxa" w:w="3047"/>
                  <w:tcBorders>
                    <w:top w:val="none" w:color="000000" w:sz="4"/>
                    <w:left w:val="none" w:color="000000" w:sz="4"/>
                    <w:bottom w:val="single" w:color="000000" w:sz="4"/>
                    <w:right w:val="single" w:color="000000" w:sz="4"/>
                  </w:tcBorders>
                  <w:vAlign w:val="top"/>
                </w:tcPr>
                <w:p>
                  <w:r>
                    <w:rPr>
                      <w:sz w:val="21"/>
                    </w:rPr>
                    <w:t>不遵守渗滤液处理站相关管理制度，每发现一次扣</w:t>
                  </w:r>
                  <w:r>
                    <w:rPr>
                      <w:sz w:val="21"/>
                    </w:rPr>
                    <w:t>0.5分。未统一着装，每发现一次一人扣0.5分。每发现一次不明外来人员进入渗滤液处理站，扣1分。</w:t>
                  </w:r>
                </w:p>
              </w:tc>
              <w:tc>
                <w:tcPr>
                  <w:tcW w:type="dxa" w:w="610"/>
                  <w:tcBorders>
                    <w:top w:val="none" w:color="000000" w:sz="4"/>
                    <w:left w:val="none" w:color="000000" w:sz="4"/>
                    <w:bottom w:val="single" w:color="000000" w:sz="4"/>
                    <w:right w:val="single" w:color="000000" w:sz="4"/>
                  </w:tcBorders>
                  <w:vAlign w:val="top"/>
                </w:tcPr>
                <w:p>
                  <w:pPr>
                    <w:jc w:val="center"/>
                  </w:pPr>
                  <w:r>
                    <w:rPr>
                      <w:sz w:val="21"/>
                    </w:rPr>
                    <w:t>5</w:t>
                  </w:r>
                </w:p>
              </w:tc>
              <w:tc>
                <w:tcPr>
                  <w:tcW w:type="dxa" w:w="610"/>
                  <w:tcBorders>
                    <w:top w:val="none" w:color="000000" w:sz="4"/>
                    <w:left w:val="none" w:color="000000" w:sz="4"/>
                    <w:bottom w:val="single" w:color="000000" w:sz="4"/>
                    <w:right w:val="single" w:color="000000" w:sz="4"/>
                  </w:tcBorders>
                  <w:vAlign w:val="top"/>
                </w:tcPr>
                <w:p>
                  <w:pPr>
                    <w:jc w:val="center"/>
                  </w:pPr>
                </w:p>
              </w:tc>
            </w:tr>
            <w:tr>
              <w:tc>
                <w:tcPr>
                  <w:tcW w:type="dxa" w:w="478"/>
                  <w:tcBorders>
                    <w:top w:val="none" w:color="000000" w:sz="4"/>
                    <w:left w:val="single" w:color="000000" w:sz="4"/>
                    <w:bottom w:val="single" w:color="000000" w:sz="4"/>
                    <w:right w:val="single" w:color="000000" w:sz="4"/>
                  </w:tcBorders>
                  <w:vAlign w:val="top"/>
                </w:tcPr>
                <w:p>
                  <w:pPr>
                    <w:jc w:val="center"/>
                  </w:pPr>
                </w:p>
              </w:tc>
              <w:tc>
                <w:tcPr>
                  <w:tcW w:type="dxa" w:w="853"/>
                  <w:tcBorders>
                    <w:top w:val="none" w:color="000000" w:sz="4"/>
                    <w:left w:val="none" w:color="000000" w:sz="4"/>
                    <w:bottom w:val="single" w:color="000000" w:sz="4"/>
                    <w:right w:val="single" w:color="000000" w:sz="4"/>
                  </w:tcBorders>
                  <w:vAlign w:val="top"/>
                </w:tcPr>
                <w:p>
                  <w:pPr>
                    <w:jc w:val="center"/>
                  </w:pPr>
                </w:p>
              </w:tc>
              <w:tc>
                <w:tcPr>
                  <w:tcW w:type="dxa" w:w="3047"/>
                  <w:tcBorders>
                    <w:top w:val="none" w:color="000000" w:sz="4"/>
                    <w:left w:val="none" w:color="000000" w:sz="4"/>
                    <w:bottom w:val="single" w:color="000000" w:sz="4"/>
                    <w:right w:val="single" w:color="000000" w:sz="4"/>
                  </w:tcBorders>
                  <w:vAlign w:val="top"/>
                </w:tcPr>
                <w:p>
                  <w:pPr>
                    <w:jc w:val="center"/>
                  </w:pPr>
                  <w:r>
                    <w:rPr>
                      <w:b/>
                      <w:sz w:val="21"/>
                    </w:rPr>
                    <w:t>合计总分</w:t>
                  </w:r>
                </w:p>
              </w:tc>
              <w:tc>
                <w:tcPr>
                  <w:tcW w:type="dxa" w:w="610"/>
                  <w:tcBorders>
                    <w:top w:val="none" w:color="000000" w:sz="4"/>
                    <w:left w:val="none" w:color="000000" w:sz="4"/>
                    <w:bottom w:val="single" w:color="000000" w:sz="4"/>
                    <w:right w:val="single" w:color="000000" w:sz="4"/>
                  </w:tcBorders>
                  <w:vAlign w:val="top"/>
                </w:tcPr>
                <w:p>
                  <w:pPr>
                    <w:jc w:val="center"/>
                  </w:pPr>
                  <w:r>
                    <w:rPr>
                      <w:b/>
                      <w:sz w:val="21"/>
                    </w:rPr>
                    <w:t>100</w:t>
                  </w:r>
                </w:p>
              </w:tc>
              <w:tc>
                <w:tcPr>
                  <w:tcW w:type="dxa" w:w="610"/>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东莞市凤岗镇公用事业服务中心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采购包1：保证金人民币：41,000.00元整。</w:t>
            </w:r>
          </w:p>
          <w:p>
            <w:r>
              <w:rPr/>
              <w:t>开户单位：</w:t>
            </w:r>
            <w:r>
              <w:rPr/>
              <w:t>广东政通招标有限公司</w:t>
            </w:r>
          </w:p>
          <w:p>
            <w:r>
              <w:rPr/>
              <w:t>开户账号：</w:t>
            </w:r>
            <w:r>
              <w:rPr/>
              <w:t>6232590699050054400</w:t>
            </w:r>
          </w:p>
          <w:p>
            <w:r>
              <w:rPr/>
              <w:t>开户银行：</w:t>
            </w:r>
            <w:r>
              <w:rPr/>
              <w:t>广发银行股份有限公司东莞新城支行</w:t>
            </w:r>
          </w:p>
          <w:p>
            <w:r>
              <w:rPr/>
              <w:t>支票提交方式：</w:t>
            </w:r>
            <w:r>
              <w:rPr/>
              <w:t>/</w:t>
            </w:r>
          </w:p>
          <w:p>
            <w:r>
              <w:rPr/>
              <w:t>汇票、本票提交方式：</w:t>
            </w:r>
            <w:r>
              <w:rPr/>
              <w:t>/</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凤岗镇中心区生活垃圾填埋场渗滤液处理站运营管理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采购包1（凤岗镇中心区生活垃圾填埋场渗滤液处理站运营管理项目）：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采购包1（凤岗镇中心区生活垃圾填埋场渗滤液处理站运营管理项目）：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采购包1（凤岗镇中心区生活垃圾填埋场渗滤液处理站运营管理项目）：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采购包1凤岗镇中心区生活垃圾填埋场渗滤液处理站运营管理项目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对本项目用户需求理解程度 (8.0分)</w:t>
            </w:r>
            <w:r>
              <w:rPr/>
              <w:t>，（等次分值选择：</w:t>
            </w:r>
            <w:r>
              <w:rPr/>
              <w:t>0.0;</w:t>
            </w:r>
            <w:r>
              <w:rPr/>
              <w:t>1.0;</w:t>
            </w:r>
            <w:r>
              <w:rPr/>
              <w:t>3.0;</w:t>
            </w:r>
            <w:r>
              <w:rPr/>
              <w:t>5.0;</w:t>
            </w:r>
            <w:r>
              <w:rPr/>
              <w:t>8.0;</w:t>
            </w:r>
            <w:r>
              <w:rPr/>
              <w:t>）</w:t>
            </w:r>
          </w:p>
        </w:tc>
        <w:tc>
          <w:tcPr>
            <w:tcW w:type="dxa" w:w="5076"/>
          </w:tcPr>
          <w:p>
            <w:pPr>
              <w:jc w:val="left"/>
            </w:pPr>
            <w:r>
              <w:rPr/>
              <w:t>根据投标人对本项目用户需求的理解程度及重点难点的分析进行评审： 对招标文件用户需求理解非常透彻，对项目重点难点的理解十分到位，提出的重点难点分析有利于项目实施，完全满足或优于招标需求的，得8分； 对招标文件用户需求理解比较透彻，符合项目实际情况，对项目重点难点的理解分析比较到位，提出的重点难点分析利于项目实施，满足招标需求的，得5分； 对招标文件用户需求理解基本符合项目实际情况，对项目重点难点的理解分析基本到位，基本符合招标需求的，得3分； 对招标文件用户需求理解不符合项目实际情况，对项目重点难点的理解分析不到位的，得1分； 未提供不得分。</w:t>
            </w:r>
          </w:p>
        </w:tc>
      </w:tr>
      <w:tr>
        <w:tc>
          <w:tcPr>
            <w:tcW w:type="dxa" w:w="922"/>
            <w:gridSpan w:val="2"/>
            <w:vMerge/>
          </w:tcPr>
          <w:p/>
        </w:tc>
        <w:tc>
          <w:tcPr>
            <w:tcW w:type="dxa" w:w="2307"/>
          </w:tcPr>
          <w:p>
            <w:pPr>
              <w:jc w:val="left"/>
            </w:pPr>
            <w:r>
              <w:rPr/>
              <w:t>合理化建议 (8.0分)</w:t>
            </w:r>
            <w:r>
              <w:rPr/>
              <w:t>，（等次分值选择：</w:t>
            </w:r>
            <w:r>
              <w:rPr/>
              <w:t>0.0;</w:t>
            </w:r>
            <w:r>
              <w:rPr/>
              <w:t>1.0;</w:t>
            </w:r>
            <w:r>
              <w:rPr/>
              <w:t>4.0;</w:t>
            </w:r>
            <w:r>
              <w:rPr/>
              <w:t>8.0;</w:t>
            </w:r>
            <w:r>
              <w:rPr/>
              <w:t>）</w:t>
            </w:r>
          </w:p>
        </w:tc>
        <w:tc>
          <w:tcPr>
            <w:tcW w:type="dxa" w:w="5076"/>
          </w:tcPr>
          <w:p>
            <w:pPr>
              <w:jc w:val="left"/>
            </w:pPr>
            <w:r>
              <w:rPr/>
              <w:t>根据投标人对本项目重点、难点所提出的合理化建议及实施方案情况进行评审：  提出的合理化建议及实施方案的科学性、合理性、可行性程度高，得8分。  提出的合理化建议及实施方案具有一定的科学性、合理性、可行性的，得4分。  提出的合理化建议及实施方案不具备科学性、合理性、可行性的，得1分。  未提供不得分。</w:t>
            </w:r>
          </w:p>
        </w:tc>
      </w:tr>
      <w:tr>
        <w:tc>
          <w:tcPr>
            <w:tcW w:type="dxa" w:w="922"/>
            <w:gridSpan w:val="2"/>
            <w:vMerge/>
          </w:tcPr>
          <w:p/>
        </w:tc>
        <w:tc>
          <w:tcPr>
            <w:tcW w:type="dxa" w:w="2307"/>
          </w:tcPr>
          <w:p>
            <w:pPr>
              <w:jc w:val="left"/>
            </w:pPr>
            <w:r>
              <w:rPr/>
              <w:t>运维处置方案 (12.0分)</w:t>
            </w:r>
            <w:r>
              <w:rPr/>
              <w:t>，（等次分值选择：</w:t>
            </w:r>
            <w:r>
              <w:rPr/>
              <w:t>0.0;</w:t>
            </w:r>
            <w:r>
              <w:rPr/>
              <w:t>1.0;</w:t>
            </w:r>
            <w:r>
              <w:rPr/>
              <w:t>4.0;</w:t>
            </w:r>
            <w:r>
              <w:rPr/>
              <w:t>8.0;</w:t>
            </w:r>
            <w:r>
              <w:rPr/>
              <w:t>12.0;</w:t>
            </w:r>
            <w:r>
              <w:rPr/>
              <w:t>）</w:t>
            </w:r>
          </w:p>
        </w:tc>
        <w:tc>
          <w:tcPr>
            <w:tcW w:type="dxa" w:w="5076"/>
          </w:tcPr>
          <w:p>
            <w:pPr>
              <w:jc w:val="left"/>
            </w:pPr>
            <w:r>
              <w:rPr/>
              <w:t>根据投标人所提供的运维方案完整性、科学性和合理性进行评审： 运维方案非常完整可行，且详尽合理具体，得12分； 运维方案完整可行，且较合理，得8分； 运维方案可行，且基本满足文件，得4分； 运维方案简单，有简单的方案，得1分； 未提供不得分。</w:t>
            </w:r>
          </w:p>
        </w:tc>
      </w:tr>
      <w:tr>
        <w:tc>
          <w:tcPr>
            <w:tcW w:type="dxa" w:w="922"/>
            <w:gridSpan w:val="2"/>
            <w:vMerge/>
          </w:tcPr>
          <w:p/>
        </w:tc>
        <w:tc>
          <w:tcPr>
            <w:tcW w:type="dxa" w:w="2307"/>
          </w:tcPr>
          <w:p>
            <w:pPr>
              <w:jc w:val="left"/>
            </w:pPr>
            <w:r>
              <w:rPr/>
              <w:t>质量保障措施 (12.0分)</w:t>
            </w:r>
            <w:r>
              <w:rPr/>
              <w:t>，（等次分值选择：</w:t>
            </w:r>
            <w:r>
              <w:rPr/>
              <w:t>0.0;</w:t>
            </w:r>
            <w:r>
              <w:rPr/>
              <w:t>1.0;</w:t>
            </w:r>
            <w:r>
              <w:rPr/>
              <w:t>4.0;</w:t>
            </w:r>
            <w:r>
              <w:rPr/>
              <w:t>8.0;</w:t>
            </w:r>
            <w:r>
              <w:rPr/>
              <w:t>12.0;</w:t>
            </w:r>
            <w:r>
              <w:rPr/>
              <w:t>）</w:t>
            </w:r>
          </w:p>
        </w:tc>
        <w:tc>
          <w:tcPr>
            <w:tcW w:type="dxa" w:w="5076"/>
          </w:tcPr>
          <w:p>
            <w:pPr>
              <w:jc w:val="left"/>
            </w:pPr>
            <w:r>
              <w:rPr/>
              <w:t>对投标人的工作管理制度、设备操作规程、设备维修维护管理规定、危化品使用及管理规程、各工艺段操作规程、物料管理制度进行评审：  工作管理制度、设备操作规程、设备维修维护管理规定、危化品使用及管理规程、各工艺段操作规程、物料管理制度等完整合理的；质量目标与标准，保障符合行业标准的，得12分；  工作管理制度、设备操作规程、设备维修维护管理规定、危化品使用及管理规程、各工艺段操作规程、物料管理制度等较完整合理的；质量目标与标准，保障较符合行业标准的，得8分；  工作管理制度、设备操作规程、设备维修维护管理规定、危化品使用及管理规程、各工艺段操作规程、物料管理制度等基本完整的；质量目标与标准，保障基本符合行业标准的，得4分；  工作管理制度、设备操作规程、设备维修维护管理规定、危化品使用及管理规程、各工艺段操作规程、物料管理制度等不完整的；质量目标与标准，保障不符合行业标准的，得1分。  未提供不得分。</w:t>
            </w:r>
          </w:p>
        </w:tc>
      </w:tr>
      <w:tr>
        <w:tc>
          <w:tcPr>
            <w:tcW w:type="dxa" w:w="922"/>
            <w:gridSpan w:val="2"/>
            <w:vMerge/>
          </w:tcPr>
          <w:p/>
        </w:tc>
        <w:tc>
          <w:tcPr>
            <w:tcW w:type="dxa" w:w="2307"/>
          </w:tcPr>
          <w:p>
            <w:pPr>
              <w:jc w:val="left"/>
            </w:pPr>
            <w:r>
              <w:rPr/>
              <w:t>安全保障与应急处理能力 (12.0分)</w:t>
            </w:r>
            <w:r>
              <w:rPr/>
              <w:t>，（等次分值选择：</w:t>
            </w:r>
            <w:r>
              <w:rPr/>
              <w:t>0.0;</w:t>
            </w:r>
            <w:r>
              <w:rPr/>
              <w:t>1.0;</w:t>
            </w:r>
            <w:r>
              <w:rPr/>
              <w:t>4.0;</w:t>
            </w:r>
            <w:r>
              <w:rPr/>
              <w:t>8.0;</w:t>
            </w:r>
            <w:r>
              <w:rPr/>
              <w:t>12.0;</w:t>
            </w:r>
            <w:r>
              <w:rPr/>
              <w:t>）</w:t>
            </w:r>
          </w:p>
        </w:tc>
        <w:tc>
          <w:tcPr>
            <w:tcW w:type="dxa" w:w="5076"/>
          </w:tcPr>
          <w:p>
            <w:pPr>
              <w:jc w:val="left"/>
            </w:pPr>
            <w:r>
              <w:rPr/>
              <w:t>根据投标人制定的各项安全保障措施，包括但不限于针对设备设施故障抢修、意外情况处置能力（如：台风、暴雨等恶劣天气；化学品泄漏、调节池溢流或溃坝、渗沥液输送管线泄露等突发事件紧急情况）制定应急处理方案和具体实施方案进行评审： 制定的各项安全保障措施合理，针对设备设施故障抢修、意外情况处置能力（如：台风、暴雨等恶劣天气；化学品泄漏、调节池溢流或溃坝、水质变化、渗沥液输送管线泄露等突发事件紧急情况）制定应急处理方案和具体实施方案可行的，得12分；  制定的各项安全保障措施较合理，针对设备设施故障抢修、意外情况处置能力（如：台风、暴雨等恶劣天气；化学品泄漏、调节池溢流或溃坝、水质变化、渗沥液输送管线泄露等突发事件紧急情况）制定应急处理方案和具体实施方案较可行的，得8分；  制定的各项安全保障措施基本合理，针对设备设施故障抢修、意外情况处置能力（如：台风、暴雨等恶劣天气；化学品泄漏、调节池溢流或溃坝、水质变化、渗沥液输送管线泄露等突发事件紧急情况）制定应急处理方案和具体实施方案基本可行的，得4分；  制定的各项安全保障措施合理性较差，针对设备设施故障抢修、意外情况处置能力（如：台风、暴雨等恶劣天气；化学品泄漏、调节池溢流或溃坝、渗沥液输送管线泄露等突发事件紧急情况）制定应急处理方案和具体实施方案可行性较差的，得1分；  未提供不得分。</w:t>
            </w:r>
          </w:p>
        </w:tc>
      </w:tr>
      <w:tr>
        <w:tc>
          <w:tcPr>
            <w:tcW w:type="dxa" w:w="922"/>
            <w:gridSpan w:val="2"/>
            <w:vMerge/>
          </w:tcPr>
          <w:p/>
        </w:tc>
        <w:tc>
          <w:tcPr>
            <w:tcW w:type="dxa" w:w="2307"/>
          </w:tcPr>
          <w:p>
            <w:pPr>
              <w:jc w:val="left"/>
            </w:pPr>
            <w:r>
              <w:rPr/>
              <w:t>环境保护管理措施 (8.0分)</w:t>
            </w:r>
            <w:r>
              <w:rPr/>
              <w:t>，（等次分值选择：</w:t>
            </w:r>
            <w:r>
              <w:rPr/>
              <w:t>0.0;</w:t>
            </w:r>
            <w:r>
              <w:rPr/>
              <w:t>1.0;</w:t>
            </w:r>
            <w:r>
              <w:rPr/>
              <w:t>4.0;</w:t>
            </w:r>
            <w:r>
              <w:rPr/>
              <w:t>8.0;</w:t>
            </w:r>
            <w:r>
              <w:rPr/>
              <w:t>）</w:t>
            </w:r>
          </w:p>
        </w:tc>
        <w:tc>
          <w:tcPr>
            <w:tcW w:type="dxa" w:w="5076"/>
          </w:tcPr>
          <w:p>
            <w:pPr>
              <w:jc w:val="left"/>
            </w:pPr>
            <w:r>
              <w:rPr/>
              <w:t>根据投标人提供环境保护管理措施进行评审： 具备完善的环境保护方案，且方案科学性、合理性、可行性程度高，得8分； 具备较完善的环境保护方案，且方案具有一定的科学性、合理性、可行性的，得4分；  具备环境保护方案但不完善，且方案不具备科学性、合理性、可行性的，得1分；  未提供不得分。</w:t>
            </w:r>
          </w:p>
        </w:tc>
      </w:tr>
      <w:tr>
        <w:tc>
          <w:tcPr>
            <w:tcW w:type="dxa" w:w="922"/>
            <w:gridSpan w:val="2"/>
            <w:vMerge w:val="restart"/>
          </w:tcPr>
          <w:p>
            <w:pPr>
              <w:jc w:val="center"/>
            </w:pPr>
            <w:r>
              <w:rPr/>
              <w:t>商务部分</w:t>
            </w:r>
          </w:p>
        </w:tc>
        <w:tc>
          <w:tcPr>
            <w:tcW w:type="dxa" w:w="2307"/>
          </w:tcPr>
          <w:p>
            <w:pPr>
              <w:jc w:val="left"/>
            </w:pPr>
            <w:r>
              <w:rPr/>
              <w:t>体系认证 (6.0分)</w:t>
            </w:r>
          </w:p>
        </w:tc>
        <w:tc>
          <w:tcPr>
            <w:tcW w:type="dxa" w:w="5076"/>
          </w:tcPr>
          <w:p>
            <w:pPr>
              <w:jc w:val="left"/>
            </w:pPr>
            <w:r>
              <w:rPr/>
              <w:t>投标人具有由国家认监委批准设立的认证机构颁发并在有效期内的质量管理体系认证、环境管理体系认证、职业健康安全管理体系认证的，每个得2分，本项最高得6分。 注：须提供有效证书复印件并加盖投标人公章，不符合以上要求的不得分。</w:t>
            </w:r>
          </w:p>
        </w:tc>
      </w:tr>
      <w:tr>
        <w:tc>
          <w:tcPr>
            <w:tcW w:type="dxa" w:w="922"/>
            <w:gridSpan w:val="2"/>
            <w:vMerge/>
          </w:tcPr>
          <w:p/>
        </w:tc>
        <w:tc>
          <w:tcPr>
            <w:tcW w:type="dxa" w:w="2307"/>
          </w:tcPr>
          <w:p>
            <w:pPr>
              <w:jc w:val="left"/>
            </w:pPr>
            <w:r>
              <w:rPr/>
              <w:t>拟投入本项目的人员情况 (9.0分)</w:t>
            </w:r>
          </w:p>
        </w:tc>
        <w:tc>
          <w:tcPr>
            <w:tcW w:type="dxa" w:w="5076"/>
          </w:tcPr>
          <w:p>
            <w:pPr>
              <w:jc w:val="left"/>
            </w:pPr>
            <w:r>
              <w:rPr/>
              <w:t>1、投标人拟投入本项目的总工程师/技术负责人具有机械工程类中级（或以上）职称证书的，得1.5分，本项最高得1.5分。 2、投标人拟投入本项目的服务人员（总工程师/技术负责人除外）具有环境工程类或化工类中级（或以上）职称的，每个得1.5分，本项最高得7.5分。 备注：须提供人员职称证书复印件及投标人为其购买的距开标前6个月（不含开标当月）内任意一个月社保证明复印件加盖投标人公章。（同一个人具有多个职称证的按一人一证计分，不重复得分。）</w:t>
            </w:r>
          </w:p>
        </w:tc>
      </w:tr>
      <w:tr>
        <w:tc>
          <w:tcPr>
            <w:tcW w:type="dxa" w:w="922"/>
            <w:gridSpan w:val="2"/>
            <w:vMerge/>
          </w:tcPr>
          <w:p/>
        </w:tc>
        <w:tc>
          <w:tcPr>
            <w:tcW w:type="dxa" w:w="2307"/>
          </w:tcPr>
          <w:p>
            <w:pPr>
              <w:jc w:val="left"/>
            </w:pPr>
            <w:r>
              <w:rPr/>
              <w:t>业绩 (15.0分)</w:t>
            </w:r>
          </w:p>
        </w:tc>
        <w:tc>
          <w:tcPr>
            <w:tcW w:type="dxa" w:w="5076"/>
          </w:tcPr>
          <w:p>
            <w:pPr>
              <w:jc w:val="left"/>
            </w:pPr>
            <w:r>
              <w:rPr/>
              <w:t>投标人具有渗滤液（或浓缩液）的处置（或运营）业绩的，每提供一个得5分，本项最高得15分。 注：须提供合同复印件并加盖投标人公章，否则不得分。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441900025-2022-01151</w:t>
      </w:r>
    </w:p>
    <w:p>
      <w:pPr>
        <w:jc w:val="center"/>
      </w:pPr>
      <w:r>
        <w:rPr>
          <w:b/>
          <w:sz w:val="24"/>
        </w:rPr>
        <w:t>采购项目编号：</w:t>
      </w:r>
      <w:r>
        <w:rPr>
          <w:b/>
          <w:sz w:val="24"/>
        </w:rPr>
        <w:t>441900025-2022-01151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凤岗镇中心区生活垃圾填埋场渗滤液处理站运营管理项目</w:t>
      </w:r>
      <w:r>
        <w:rPr>
          <w:u w:val="single"/>
        </w:rPr>
        <w:t>”</w:t>
      </w:r>
      <w:r>
        <w:rPr/>
        <w:t>项目的招标[采购项目编号为：</w:t>
      </w:r>
      <w:r>
        <w:rPr>
          <w:u w:val="single"/>
        </w:rPr>
        <w:t>441900025-2022-01151</w:t>
      </w:r>
      <w:r>
        <w:rPr/>
        <w:t>]，我方愿参与投标。</w:t>
      </w:r>
    </w:p>
    <w:p>
      <w:pPr>
        <w:ind w:firstLine="480"/>
      </w:pPr>
      <w:r>
        <w:rPr/>
        <w:t>我方确认收到贵方提供的</w:t>
      </w:r>
      <w:r>
        <w:rPr>
          <w:u w:val="single"/>
        </w:rPr>
        <w:t>“</w:t>
      </w:r>
      <w:r>
        <w:rPr>
          <w:u w:val="single"/>
        </w:rPr>
        <w:t>凤岗镇中心区生活垃圾填埋场渗滤液处理站运营管理项目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凤岗镇中心区生活垃圾填埋场渗滤液处理站运营管理项目</w:t>
      </w:r>
      <w:r>
        <w:rPr/>
        <w:t>”项目采购[采购项目编号为</w:t>
      </w:r>
      <w:r>
        <w:rPr/>
        <w:t>441900025-2022-01151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东莞市凤岗镇公用事业服务中心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凤岗镇中心区生活垃圾填埋场渗滤液处理站运营管理项目</w:t>
      </w:r>
      <w:r>
        <w:rPr/>
        <w:t>招标中获中标（采购项目编号：</w:t>
      </w:r>
      <w:r>
        <w:rPr/>
        <w:t>441900025-2022-01151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凤岗镇中心区生活垃圾填埋场渗滤液处理站运营管理项目</w:t>
      </w:r>
      <w:r>
        <w:rPr/>
        <w:t>”项目（采购项目编号：</w:t>
      </w:r>
      <w:r>
        <w:rPr/>
        <w:t>441900025-2022-01151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 Id="rId7" Target="media/image2.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