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GDZT2022151B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东莞市商业学校（东校区）更换变压器配电工程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5"/>
        <w:spacing w:before="0" w:after="0" w:line="360" w:lineRule="auto"/>
        <w:jc w:val="center"/>
        <w:rPr>
          <w:rFonts w:ascii="宋体" w:hAnsi="宋体" w:eastAsia="宋体" w:cs="宋体"/>
          <w:color w:val="auto"/>
          <w:highlight w:val="none"/>
        </w:rPr>
      </w:pPr>
      <w:bookmarkStart w:id="2" w:name="_Toc7988"/>
      <w:bookmarkStart w:id="3" w:name="_Toc1420"/>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东莞市商业学校</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东莞市商业学校（东校区）更换变压器配电工程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GDZT2022151B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东莞市商业学校（东校区）更换变压器配电工程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5"/>
        <w:gridCol w:w="4458"/>
        <w:gridCol w:w="539"/>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东莞市商业学校（东校区）更换变压器配电工程</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u w:val="single"/>
              </w:rPr>
              <w:t>698,757.78元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供应商须具备</w:t>
      </w:r>
      <w:r>
        <w:rPr>
          <w:rFonts w:hint="eastAsia" w:ascii="宋体" w:hAnsi="宋体" w:eastAsia="宋体"/>
          <w:color w:val="auto"/>
          <w:sz w:val="21"/>
          <w:szCs w:val="21"/>
          <w:highlight w:val="none"/>
        </w:rPr>
        <w:t>以下其中</w:t>
      </w:r>
      <w:r>
        <w:rPr>
          <w:rFonts w:hint="eastAsia" w:ascii="宋体" w:hAnsi="宋体" w:eastAsia="宋体"/>
          <w:color w:val="auto"/>
          <w:sz w:val="21"/>
          <w:szCs w:val="21"/>
          <w:highlight w:val="none"/>
          <w:lang w:eastAsia="zh-CN"/>
        </w:rPr>
        <w:t>任意</w:t>
      </w:r>
      <w:r>
        <w:rPr>
          <w:rFonts w:hint="eastAsia" w:ascii="宋体" w:hAnsi="宋体" w:eastAsia="宋体"/>
          <w:color w:val="auto"/>
          <w:sz w:val="21"/>
          <w:szCs w:val="21"/>
          <w:highlight w:val="none"/>
        </w:rPr>
        <w:t>一种资质：①电力工程施工总承包企业资质；②机电工程施工总承包企业资质；③输变电工程专业承包</w:t>
      </w:r>
      <w:r>
        <w:rPr>
          <w:rFonts w:hint="eastAsia" w:ascii="宋体" w:hAnsi="宋体" w:eastAsia="宋体"/>
          <w:color w:val="auto"/>
          <w:sz w:val="21"/>
          <w:szCs w:val="21"/>
          <w:highlight w:val="none"/>
          <w:lang w:eastAsia="zh-CN"/>
        </w:rPr>
        <w:t>企业</w:t>
      </w:r>
      <w:r>
        <w:rPr>
          <w:rFonts w:hint="eastAsia" w:ascii="宋体" w:hAnsi="宋体" w:eastAsia="宋体"/>
          <w:color w:val="auto"/>
          <w:sz w:val="21"/>
          <w:szCs w:val="21"/>
          <w:highlight w:val="none"/>
        </w:rPr>
        <w:t>资质；</w:t>
      </w:r>
      <w:r>
        <w:rPr>
          <w:rFonts w:hint="eastAsia" w:ascii="宋体" w:hAnsi="宋体" w:eastAsia="宋体"/>
          <w:color w:val="auto"/>
          <w:sz w:val="21"/>
          <w:szCs w:val="21"/>
          <w:highlight w:val="none"/>
          <w:lang w:eastAsia="zh-CN"/>
        </w:rPr>
        <w:t>④</w:t>
      </w:r>
      <w:r>
        <w:rPr>
          <w:rFonts w:hint="eastAsia" w:ascii="宋体" w:hAnsi="宋体" w:eastAsia="宋体"/>
          <w:color w:val="auto"/>
          <w:sz w:val="21"/>
          <w:szCs w:val="21"/>
          <w:highlight w:val="none"/>
        </w:rPr>
        <w:t>《承装（修、试）电力设施许可证》承装类别五级或以上资质。</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07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07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1、递交响应文件时间：2022年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 xml:space="preserve">00 </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2、响应截止及开标时间：2022年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黄老师</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东莞市东城区</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0769-22661642</w:t>
      </w:r>
      <w:bookmarkStart w:id="401" w:name="_GoBack"/>
      <w:bookmarkEnd w:id="401"/>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财政</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Toc13473"/>
      <w:bookmarkStart w:id="9" w:name="_Hlk55300595"/>
      <w:bookmarkStart w:id="10" w:name="_Toc4043"/>
      <w:bookmarkStart w:id="11" w:name="_Toc9572"/>
      <w:r>
        <w:rPr>
          <w:rFonts w:hint="eastAsia"/>
          <w:color w:val="auto"/>
          <w:sz w:val="28"/>
          <w:szCs w:val="28"/>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规范、</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安全文明施工制度及保障措施缺乏可行性及</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rPr>
              <w:t>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所提供项目质量控制和检验方法的详细性、合理性、针对性等进行综合评审：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项目质量控制和检验方法详细完整合理，方案针对性高，切合本项目需求，得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具有注册建造师</w:t>
            </w:r>
            <w:r>
              <w:rPr>
                <w:rFonts w:hint="eastAsia"/>
                <w:color w:val="auto"/>
                <w:highlight w:val="none"/>
                <w:lang w:val="en-US" w:eastAsia="zh-CN"/>
              </w:rPr>
              <w:t>及项目负责人安全生产合格</w:t>
            </w:r>
            <w:r>
              <w:rPr>
                <w:rFonts w:hint="eastAsia" w:ascii="宋体" w:hAnsi="宋体" w:eastAsia="宋体" w:cs="宋体"/>
                <w:bCs/>
                <w:color w:val="auto"/>
                <w:sz w:val="21"/>
                <w:szCs w:val="21"/>
                <w:highlight w:val="none"/>
              </w:rPr>
              <w:t>证书的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本项最高得5分。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须提供人员</w:t>
            </w:r>
            <w:r>
              <w:rPr>
                <w:rFonts w:hint="eastAsia" w:ascii="宋体" w:hAnsi="宋体" w:cs="宋体"/>
                <w:bCs/>
                <w:color w:val="auto"/>
                <w:sz w:val="21"/>
                <w:szCs w:val="21"/>
                <w:highlight w:val="none"/>
                <w:lang w:val="en-US" w:eastAsia="zh-CN"/>
              </w:rPr>
              <w:t>有效</w:t>
            </w:r>
            <w:r>
              <w:rPr>
                <w:rFonts w:hint="eastAsia" w:ascii="宋体" w:hAnsi="宋体" w:eastAsia="宋体" w:cs="宋体"/>
                <w:bCs/>
                <w:color w:val="auto"/>
                <w:sz w:val="21"/>
                <w:szCs w:val="21"/>
                <w:highlight w:val="none"/>
              </w:rPr>
              <w:t>证书</w:t>
            </w:r>
            <w:r>
              <w:rPr>
                <w:rFonts w:hint="eastAsia" w:ascii="宋体" w:hAnsi="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rPr>
              <w:t>及</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spacing w:before="0" w:after="0" w:line="240" w:lineRule="auto"/>
        <w:rPr>
          <w:color w:val="auto"/>
          <w:sz w:val="24"/>
          <w:szCs w:val="24"/>
          <w:highlight w:val="none"/>
        </w:rPr>
      </w:pPr>
      <w:bookmarkStart w:id="17" w:name="_Toc24511"/>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507407359"/>
      <w:bookmarkStart w:id="23" w:name="_Toc102277756"/>
      <w:bookmarkStart w:id="24" w:name="_Toc6968687"/>
      <w:bookmarkStart w:id="25" w:name="_Toc24057"/>
      <w:bookmarkStart w:id="26" w:name="_Toc6882675"/>
      <w:bookmarkStart w:id="27" w:name="_Toc28014"/>
      <w:bookmarkStart w:id="28" w:name="_Toc480020241"/>
      <w:bookmarkStart w:id="29" w:name="_Toc48207756"/>
      <w:bookmarkStart w:id="30" w:name="_Toc480171863"/>
      <w:bookmarkStart w:id="31" w:name="_Toc467236724"/>
      <w:bookmarkStart w:id="32" w:name="_Toc458262599"/>
      <w:bookmarkStart w:id="33" w:name="_Toc467987807"/>
      <w:bookmarkStart w:id="34" w:name="_Toc479991566"/>
      <w:bookmarkStart w:id="35" w:name="_Toc480010692"/>
      <w:bookmarkStart w:id="36" w:name="_Toc468157520"/>
      <w:bookmarkStart w:id="37" w:name="_Toc480021037"/>
      <w:bookmarkStart w:id="38" w:name="_Toc46860601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6882676"/>
      <w:bookmarkStart w:id="48" w:name="_Toc102277757"/>
      <w:bookmarkStart w:id="49" w:name="_Toc6968688"/>
      <w:bookmarkStart w:id="50" w:name="_Toc507407360"/>
    </w:p>
    <w:p>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6882677"/>
      <w:bookmarkStart w:id="74" w:name="_Toc466786436"/>
      <w:bookmarkStart w:id="75" w:name="_Toc6968689"/>
      <w:bookmarkStart w:id="76" w:name="_Toc102277758"/>
      <w:bookmarkStart w:id="77" w:name="_Toc507407361"/>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968690"/>
      <w:bookmarkStart w:id="82" w:name="_Toc466786437"/>
      <w:bookmarkStart w:id="83" w:name="_Toc6882678"/>
      <w:bookmarkStart w:id="84" w:name="_Toc102277759"/>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26897"/>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4" w:name="_Toc15387"/>
      <w:bookmarkStart w:id="95" w:name="_Toc1662"/>
      <w:bookmarkStart w:id="96" w:name="_Toc110953841"/>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480021054"/>
      <w:bookmarkStart w:id="100" w:name="_Toc454701382"/>
      <w:bookmarkStart w:id="101" w:name="_Toc467236741"/>
      <w:bookmarkStart w:id="102" w:name="_Toc458262615"/>
      <w:bookmarkStart w:id="103" w:name="_Toc503758471"/>
      <w:bookmarkStart w:id="104" w:name="_Toc10456"/>
      <w:bookmarkStart w:id="105" w:name="_Toc468157537"/>
      <w:bookmarkStart w:id="106" w:name="_Toc480171880"/>
      <w:bookmarkStart w:id="107" w:name="_Toc468606030"/>
      <w:bookmarkStart w:id="108" w:name="_Toc25734"/>
      <w:bookmarkStart w:id="109" w:name="_Toc480020258"/>
      <w:bookmarkStart w:id="110" w:name="_Toc479991583"/>
      <w:bookmarkStart w:id="111" w:name="_Toc467987824"/>
      <w:bookmarkStart w:id="112" w:name="_Toc110953842"/>
      <w:bookmarkStart w:id="113" w:name="_Toc480010709"/>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6968691"/>
      <w:bookmarkStart w:id="118" w:name="_Toc6882679"/>
      <w:bookmarkStart w:id="119" w:name="_Toc466786438"/>
      <w:bookmarkStart w:id="120" w:name="_Toc507407363"/>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110953845"/>
      <w:bookmarkStart w:id="127" w:name="_Toc5658"/>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17157"/>
      <w:bookmarkStart w:id="139" w:name="_Toc17978"/>
      <w:bookmarkStart w:id="140" w:name="_Toc37121259"/>
      <w:bookmarkStart w:id="141" w:name="_Toc535141844"/>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7756778"/>
      <w:bookmarkStart w:id="160" w:name="_Toc3829"/>
      <w:bookmarkStart w:id="161" w:name="_Toc31756"/>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4"/>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57975339"/>
      <w:bookmarkStart w:id="179" w:name="_Toc56353011"/>
      <w:bookmarkStart w:id="180" w:name="_Toc51939456"/>
      <w:bookmarkStart w:id="181" w:name="_Toc51756491"/>
      <w:bookmarkStart w:id="182" w:name="_Toc52027926"/>
      <w:bookmarkStart w:id="183" w:name="_Toc486671570"/>
      <w:bookmarkStart w:id="184" w:name="_Toc467236766"/>
      <w:bookmarkStart w:id="185" w:name="_Toc467050236"/>
      <w:bookmarkStart w:id="186" w:name="_Toc476976198"/>
      <w:bookmarkStart w:id="187" w:name="_Toc52021538"/>
      <w:bookmarkStart w:id="188" w:name="_Toc46704970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highlight w:val="none"/>
        </w:rPr>
      </w:pPr>
      <w:bookmarkStart w:id="191" w:name="_Toc7011"/>
      <w:bookmarkStart w:id="192" w:name="_Toc3162"/>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0"/>
        <w:gridCol w:w="1369"/>
        <w:gridCol w:w="6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4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完工期</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Cs w:val="21"/>
                <w:highlight w:val="none"/>
              </w:rPr>
            </w:pPr>
            <w:r>
              <w:rPr>
                <w:rFonts w:hint="eastAsia" w:ascii="宋体" w:hAnsi="宋体" w:eastAsia="宋体" w:cs="宋体"/>
                <w:b w:val="0"/>
                <w:bCs/>
                <w:color w:val="auto"/>
                <w:kern w:val="2"/>
                <w:sz w:val="21"/>
                <w:szCs w:val="21"/>
                <w:highlight w:val="none"/>
                <w:lang w:val="en-US" w:eastAsia="zh-CN" w:bidi="ar-SA"/>
              </w:rPr>
              <w:t>签订合同后，</w:t>
            </w:r>
            <w:r>
              <w:rPr>
                <w:rFonts w:hint="eastAsia" w:ascii="宋体" w:hAnsi="宋体" w:cs="宋体"/>
                <w:b w:val="0"/>
                <w:bCs/>
                <w:color w:val="auto"/>
                <w:kern w:val="2"/>
                <w:sz w:val="21"/>
                <w:szCs w:val="21"/>
                <w:highlight w:val="none"/>
                <w:lang w:val="en-US" w:eastAsia="zh-CN" w:bidi="ar-SA"/>
              </w:rPr>
              <w:t>60</w:t>
            </w:r>
            <w:r>
              <w:rPr>
                <w:rFonts w:hint="eastAsia" w:ascii="宋体" w:hAnsi="宋体" w:eastAsia="宋体" w:cs="宋体"/>
                <w:b w:val="0"/>
                <w:bCs/>
                <w:color w:val="auto"/>
                <w:kern w:val="2"/>
                <w:sz w:val="21"/>
                <w:szCs w:val="21"/>
                <w:highlight w:val="none"/>
                <w:lang w:val="en-US" w:eastAsia="zh-CN" w:bidi="ar-SA"/>
              </w:rPr>
              <w:t>天内完成（包括供货、施工、安装、调试、验收工作）。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质保期</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Cs w:val="21"/>
                <w:highlight w:val="none"/>
              </w:rPr>
            </w:pPr>
            <w:r>
              <w:rPr>
                <w:rFonts w:hint="eastAsia" w:ascii="宋体" w:hAnsi="宋体" w:eastAsia="宋体" w:cs="宋体"/>
                <w:b w:val="0"/>
                <w:bCs/>
                <w:color w:val="auto"/>
                <w:kern w:val="2"/>
                <w:sz w:val="21"/>
                <w:szCs w:val="21"/>
                <w:highlight w:val="none"/>
                <w:lang w:val="en-US" w:eastAsia="zh-CN" w:bidi="ar-SA"/>
              </w:rPr>
              <w:t>质保期为</w:t>
            </w:r>
            <w:r>
              <w:rPr>
                <w:rFonts w:hint="eastAsia" w:ascii="宋体" w:hAnsi="宋体" w:cs="宋体"/>
                <w:b w:val="0"/>
                <w:bCs/>
                <w:color w:val="auto"/>
                <w:kern w:val="2"/>
                <w:sz w:val="21"/>
                <w:szCs w:val="21"/>
                <w:highlight w:val="none"/>
                <w:lang w:val="en-US" w:eastAsia="zh-CN" w:bidi="ar-SA"/>
              </w:rPr>
              <w:t>1</w:t>
            </w:r>
            <w:r>
              <w:rPr>
                <w:rFonts w:hint="eastAsia" w:ascii="宋体" w:hAnsi="宋体" w:eastAsia="宋体" w:cs="宋体"/>
                <w:b w:val="0"/>
                <w:bCs/>
                <w:color w:val="auto"/>
                <w:kern w:val="2"/>
                <w:sz w:val="21"/>
                <w:szCs w:val="21"/>
                <w:highlight w:val="none"/>
                <w:lang w:val="en-US" w:eastAsia="zh-CN" w:bidi="ar-SA"/>
              </w:rPr>
              <w:t>年。供货并安装完毕，并经采购人验收合格之日起进入质保期。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673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w:t>
            </w:r>
            <w:r>
              <w:rPr>
                <w:rFonts w:hint="eastAsia" w:ascii="宋体" w:hAnsi="宋体" w:cs="宋体"/>
                <w:b w:val="0"/>
                <w:bCs/>
                <w:color w:val="auto"/>
                <w:kern w:val="2"/>
                <w:sz w:val="21"/>
                <w:szCs w:val="21"/>
                <w:highlight w:val="none"/>
                <w:lang w:val="en-US" w:eastAsia="zh-CN" w:bidi="ar-SA"/>
              </w:rPr>
              <w:t>合同签订后7天内，支付合同金额的30%，</w:t>
            </w:r>
            <w:r>
              <w:rPr>
                <w:rFonts w:hint="eastAsia" w:ascii="宋体" w:hAnsi="宋体" w:eastAsia="宋体" w:cs="宋体"/>
                <w:b w:val="0"/>
                <w:bCs/>
                <w:color w:val="auto"/>
                <w:kern w:val="2"/>
                <w:sz w:val="21"/>
                <w:szCs w:val="21"/>
                <w:highlight w:val="none"/>
                <w:lang w:val="en-US" w:eastAsia="zh-CN" w:bidi="ar-SA"/>
              </w:rPr>
              <w:t>设备安装及工程施工完成后，经试运行及相关主管部门验收合格后支付</w:t>
            </w:r>
            <w:r>
              <w:rPr>
                <w:rFonts w:hint="eastAsia" w:ascii="宋体" w:hAnsi="宋体" w:cs="宋体"/>
                <w:b w:val="0"/>
                <w:bCs/>
                <w:color w:val="auto"/>
                <w:kern w:val="2"/>
                <w:sz w:val="21"/>
                <w:szCs w:val="21"/>
                <w:highlight w:val="none"/>
                <w:lang w:val="en-US" w:eastAsia="zh-CN" w:bidi="ar-SA"/>
              </w:rPr>
              <w:t>至</w:t>
            </w:r>
            <w:r>
              <w:rPr>
                <w:rFonts w:hint="eastAsia" w:ascii="宋体" w:hAnsi="宋体" w:eastAsia="宋体" w:cs="宋体"/>
                <w:b w:val="0"/>
                <w:bCs/>
                <w:color w:val="auto"/>
                <w:kern w:val="2"/>
                <w:sz w:val="21"/>
                <w:szCs w:val="21"/>
                <w:highlight w:val="none"/>
                <w:lang w:val="en-US" w:eastAsia="zh-CN" w:bidi="ar-SA"/>
              </w:rPr>
              <w:t>合同金额的97%，剩余3%将在质保期满后支付。</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2、货款按约定的方式支付，成交单位凭以下有效的文件向采购人提出支付货款的申请：</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theme="minorBidi"/>
                <w:color w:val="auto"/>
                <w:sz w:val="22"/>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①合同；②成交单位开具的正式发票；③中标（成交）通知书。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Cs w:val="21"/>
                <w:highlight w:val="none"/>
              </w:rPr>
            </w:pPr>
            <w:r>
              <w:rPr>
                <w:rFonts w:hint="eastAsia" w:ascii="宋体" w:hAnsi="宋体" w:eastAsia="宋体" w:cs="宋体"/>
                <w:b w:val="0"/>
                <w:bCs/>
                <w:color w:val="auto"/>
                <w:kern w:val="2"/>
                <w:sz w:val="21"/>
                <w:szCs w:val="21"/>
                <w:highlight w:val="none"/>
              </w:rPr>
              <w:t>采购人指定地点。（如有变化另行确定）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9"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投标报价采取打包报价的方式，投标报价包括材料、工具、人工、管理费、利润、税金、风险、招标代理费用等一切因素所有应该和可能发生的费用因素</w:t>
            </w:r>
            <w:r>
              <w:rPr>
                <w:rFonts w:hint="eastAsia" w:ascii="宋体" w:hAnsi="宋体" w:eastAsia="宋体"/>
                <w:color w:val="auto"/>
                <w:szCs w:val="21"/>
                <w:highlight w:val="none"/>
                <w:lang w:eastAsia="zh-CN"/>
              </w:rPr>
              <w:t>。</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r>
              <w:rPr>
                <w:rFonts w:hint="eastAsia" w:ascii="宋体" w:hAnsi="宋体" w:eastAsia="宋体" w:cs="宋体"/>
                <w:color w:val="auto"/>
                <w:sz w:val="21"/>
                <w:szCs w:val="21"/>
                <w:highlight w:val="none"/>
                <w:lang w:val="zh-CN" w:eastAsia="zh-CN" w:bidi="zh-CN"/>
              </w:rPr>
              <w:t>本项目预算包含绿色施工安全防护措施费：27</w:t>
            </w:r>
            <w:r>
              <w:rPr>
                <w:rFonts w:hint="eastAsia" w:ascii="宋体" w:hAnsi="宋体" w:cs="宋体"/>
                <w:color w:val="auto"/>
                <w:sz w:val="21"/>
                <w:szCs w:val="21"/>
                <w:highlight w:val="none"/>
                <w:lang w:val="en-US" w:eastAsia="zh-CN" w:bidi="zh-CN"/>
              </w:rPr>
              <w:t>,</w:t>
            </w:r>
            <w:r>
              <w:rPr>
                <w:rFonts w:hint="eastAsia" w:ascii="宋体" w:hAnsi="宋体" w:eastAsia="宋体" w:cs="宋体"/>
                <w:color w:val="auto"/>
                <w:sz w:val="21"/>
                <w:szCs w:val="21"/>
                <w:highlight w:val="none"/>
                <w:lang w:val="zh-CN" w:eastAsia="zh-CN" w:bidi="zh-CN"/>
              </w:rPr>
              <w:t>142.5</w:t>
            </w:r>
            <w:r>
              <w:rPr>
                <w:rFonts w:hint="eastAsia" w:ascii="宋体" w:hAnsi="宋体" w:cs="宋体"/>
                <w:color w:val="auto"/>
                <w:sz w:val="21"/>
                <w:szCs w:val="21"/>
                <w:highlight w:val="none"/>
                <w:lang w:val="en-US" w:eastAsia="zh-CN" w:bidi="zh-CN"/>
              </w:rPr>
              <w:t>0</w:t>
            </w:r>
            <w:r>
              <w:rPr>
                <w:rFonts w:hint="eastAsia" w:ascii="宋体" w:hAnsi="宋体" w:eastAsia="宋体" w:cs="宋体"/>
                <w:color w:val="auto"/>
                <w:sz w:val="21"/>
                <w:szCs w:val="21"/>
                <w:highlight w:val="none"/>
                <w:lang w:val="zh-CN" w:eastAsia="zh-CN" w:bidi="zh-CN"/>
              </w:rPr>
              <w:t>元，绿色施工安全防护措施费按给定固定金额进行填报，不作下浮。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4"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合同条款</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lang w:eastAsia="zh-CN"/>
              </w:rPr>
              <w:t>供应商</w:t>
            </w:r>
            <w:r>
              <w:rPr>
                <w:rFonts w:ascii="宋体" w:hAnsi="宋体" w:eastAsia="宋体"/>
                <w:color w:val="auto"/>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6"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其它要求</w:t>
            </w:r>
          </w:p>
        </w:tc>
        <w:tc>
          <w:tcPr>
            <w:tcW w:w="6730"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theme="minorBidi"/>
                <w:b/>
                <w:color w:val="auto"/>
                <w:sz w:val="22"/>
                <w:szCs w:val="21"/>
                <w:highlight w:val="none"/>
                <w:lang w:val="en-US" w:eastAsia="zh-CN" w:bidi="ar-SA"/>
              </w:rPr>
            </w:pPr>
            <w:r>
              <w:rPr>
                <w:rFonts w:hint="eastAsia" w:ascii="宋体" w:hAnsi="宋体" w:eastAsia="宋体"/>
                <w:color w:val="auto"/>
                <w:szCs w:val="21"/>
                <w:highlight w:val="none"/>
                <w:lang w:eastAsia="zh-CN"/>
              </w:rPr>
              <w:t>供应商</w:t>
            </w:r>
            <w:r>
              <w:rPr>
                <w:rFonts w:hint="eastAsia" w:ascii="宋体" w:hAnsi="宋体" w:eastAsia="宋体"/>
                <w:color w:val="auto"/>
                <w:szCs w:val="21"/>
                <w:highlight w:val="none"/>
              </w:rPr>
              <w:t>应充分结合本</w:t>
            </w:r>
            <w:r>
              <w:rPr>
                <w:rFonts w:hint="eastAsia" w:ascii="宋体" w:hAnsi="宋体" w:eastAsia="宋体"/>
                <w:color w:val="auto"/>
                <w:szCs w:val="21"/>
                <w:highlight w:val="none"/>
                <w:lang w:eastAsia="zh-CN"/>
              </w:rPr>
              <w:t>采购</w:t>
            </w:r>
            <w:r>
              <w:rPr>
                <w:rFonts w:hint="eastAsia" w:ascii="宋体" w:hAnsi="宋体" w:eastAsia="宋体"/>
                <w:color w:val="auto"/>
                <w:szCs w:val="21"/>
                <w:highlight w:val="none"/>
              </w:rPr>
              <w:t>文件上下文了解项目招标需求、采购文件未尽事宜，将在合同签订或项目执行过程中双方协商确定，供应商须无条件满足采购单位的合理要求。</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31278"/>
      <w:bookmarkStart w:id="197" w:name="_Toc14462"/>
      <w:bookmarkStart w:id="198" w:name="_Toc13112"/>
      <w:bookmarkStart w:id="199" w:name="_Toc24679"/>
    </w:p>
    <w:p>
      <w:pPr>
        <w:pStyle w:val="5"/>
        <w:numPr>
          <w:ilvl w:val="0"/>
          <w:numId w:val="20"/>
        </w:numPr>
        <w:bidi w:val="0"/>
        <w:rPr>
          <w:rFonts w:hint="eastAsia"/>
          <w:color w:val="auto"/>
          <w:highlight w:val="none"/>
          <w:lang w:val="en-US" w:eastAsia="zh-CN"/>
        </w:rPr>
      </w:pPr>
      <w:r>
        <w:rPr>
          <w:rFonts w:hint="eastAsia"/>
          <w:color w:val="auto"/>
          <w:highlight w:val="none"/>
          <w:lang w:val="en-US" w:eastAsia="zh-CN"/>
        </w:rPr>
        <w:t>工程量清单</w:t>
      </w:r>
    </w:p>
    <w:tbl>
      <w:tblPr>
        <w:tblStyle w:val="22"/>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0"/>
        <w:gridCol w:w="2046"/>
        <w:gridCol w:w="4241"/>
        <w:gridCol w:w="680"/>
        <w:gridCol w:w="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24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项目特征描述</w:t>
            </w:r>
          </w:p>
        </w:tc>
        <w:tc>
          <w:tcPr>
            <w:tcW w:w="6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99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42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6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42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6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拆除部分</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拆除变压器 S9-315kVA</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1.名称:拆除变压器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2.容量:S9-315kVA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拆除低压开关柜</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1.名称:拆除低压开关柜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拆除变压器围栏</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1.名称:拆除变压器围栏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拆除避雷器</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1.名称:拆除避雷器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拆除FN5墙上开关开关</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1.名称:拆除FN5墙上开关开关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带形母线</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1.名称:拆除3*(60*6)高压架空母线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 BVV-1*300</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2.型号、规格:BVV-1*300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 ZRC-YJV22-8.7/15kV-3*120</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2.型号、规格:ZRC-YJV22-8.7/15kV-3*120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拆除电力电缆头（截面120mm2以下）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2.规格:截面120mm2以下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拆除电力电缆头（截面400mm2以下）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2.规格:截面400mm2以下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拆除电力电缆头（截面240mm2以下）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2.规格:截面240mm2以下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拆除电力电缆头（截面185mm2以下）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1.名称:拆除电力电缆头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2.规格:截面185mm2以下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3.运距:由投标人自行考虑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砖砌体拆除</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1、人工拆除实心砖墙，废料外运10km内</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金属门窗拆除</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2、拆除电房门废料外运10km内</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安装部分</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高压进线柜 G01</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1.名称:高压进线柜 G01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2.母线配置方式:单母线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高压出线柜 G02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1.名称:高压出线柜 G02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2.母线配置方式:单母线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高压出线柜 G03</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1.名称:高压出线柜 G03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2.母线配置方式:单母线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高压出线柜 G04</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1.名称:高压出线柜 G04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2.母线配置方式:单母线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高压计量柜更换CT</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1.名称:高压计量柜更换CT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干式变压器 SCB13-1000kVA</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1.名称:干式变压器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2.型号、容量:SCB13-1000kVA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3.基础型钢形式、规格:镀锌扁钢-100*8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4.其它:变压器承台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5.含强制风冷装置、外壳柜体、轴流风机、温控仪、支撑附件、中性接地等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低压进线柜 1P04</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1.名称:低压进线柜 1P04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低压补偿柜 1P03</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1.名称:低压补偿柜 1P03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低压出线柜 1P02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1.名称:低压出线柜 1P02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低压出线柜 1P01</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1.名称:低压出线柜 1P01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2.基础型钢形式、规格:10#槽钢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3.含柜体内元器件等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密集型母线槽 2000A/4P</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1.名称:密集型母线槽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2.规格:2000A/4P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3.含母线槽专用配件、支吊架等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母线槽始端箱 2000A</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1.名称:母线槽始端箱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2.容量(A):2000A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4.其他:含软连接，搭接铜排</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不间断电源设备</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1.名称:UPS电源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2.规格:1000W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 YJV22-8.7/15kV-3*120mm2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2.型号、规格:YJV22-3*120mm2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3.材质:铜芯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4.敷设方式、部位:桥架内敷设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 YJV22-8.7/15kV-3*70mm2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2.型号、规格:YJV22-3*70mm2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3.材质:铜芯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4.敷设方式、部位:桥架内敷设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 BVV-1*400mm2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2.型号、规格:BVV-1*400mm2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3.材质:铜芯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4.敷设方式、部位:桥架内敷设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10kV以下户内热熔铜芯电缆中间头（3*120mm2）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1.名称:电缆中间头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2.规格:3*120mm2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3.材质、类型:铜芯、热缩式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4.安装部位:户内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10kV以下户内热熔式铜芯电缆终端头（3*70mm2）</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1.名称:电缆终端头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2.规格:3*70mm2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3.材质、类型:铜芯、热熔式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4.安装部位:户内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1kV以下户内干包式铜芯电缆终端头（240mm2以下）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1.名称:电缆终端头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2.规格:240mm2以下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3.材质、类型:铜芯、干包式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4.安装部位:户内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5.电压等级(kV):1kV以下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电缆沟</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1.名称:电缆沟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2.位置:高压配电房</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防火堵洞</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1.名称:防火堵洞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2.材质:防火泥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3.部位:盘柜下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处</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打洞(孔)</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1.名称:打洞(孔)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2.规格:400*400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电力变压器系统调试（1000kVA以下）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1.名称:电力变压器系统调试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2.容量(kV.A):1000kVA以下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送配电装置系统调试（10kV以下）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1.名称:送配电装置系统调试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3.类型:综合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送配电装置系统调试（1kV以下）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1.名称:送配电装置系统调试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3.类型:综合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母线调试（10kV以下）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1.名称:母线调试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母线调试（1kV以下）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1.名称:母线调试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避雷器调试（10kV以下）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1.名称:避雷器调试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电容器调试（1kV以下）</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1.名称:电容器调试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"五防"系统调试</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1.名称:"五防"系统调试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电缆试验</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1.名称:交流耐压试验、局放试验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2.电压等级(kV):10kV以下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3.符合施工规范要求</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接地装置调试</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1.名称:接地装置调试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2.类别:接地网</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附属安全设施及工具</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1.名称:附属安全设施及工具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2.类别:与变配电相关的工具箱、绝缘手套、绝缘鞋、地面绝缘胶皮、高压验电杆、三相挂接地线、高压(含PT柜)及低压框架断路器维修小车、灭火器(含沙桶)、高低压配电系统示意图挂屏、防鼠板等</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1.名称:接地母线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2.材质:镀锌扁钢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3.规格:40*4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4.安装部位:户内</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金属(塑钢)门</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1、钢质防火门制作安装</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推车贮压式ABC干粉灭火器 35kg</w:t>
            </w:r>
          </w:p>
        </w:tc>
        <w:tc>
          <w:tcPr>
            <w:tcW w:w="42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1.名称:推车贮压式ABC干粉灭火器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2.规格、型号: 35kg</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51</w:t>
            </w:r>
          </w:p>
        </w:tc>
        <w:tc>
          <w:tcPr>
            <w:tcW w:w="6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措施项目</w:t>
            </w:r>
          </w:p>
        </w:tc>
        <w:tc>
          <w:tcPr>
            <w:tcW w:w="6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kern w:val="0"/>
                <w:sz w:val="21"/>
                <w:szCs w:val="21"/>
                <w:u w:val="none"/>
                <w:lang w:val="en-US" w:eastAsia="zh-CN" w:bidi="ar"/>
              </w:rPr>
              <w:t>项</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p>
        </w:tc>
      </w:tr>
    </w:tbl>
    <w:p>
      <w:pPr>
        <w:bidi w:val="0"/>
        <w:rPr>
          <w:rFonts w:hint="default"/>
          <w:color w:val="auto"/>
          <w:highlight w:val="none"/>
          <w:lang w:val="en-US" w:eastAsia="zh-CN"/>
        </w:rPr>
      </w:pPr>
    </w:p>
    <w:p>
      <w:pPr>
        <w:pStyle w:val="5"/>
        <w:bidi w:val="0"/>
        <w:rPr>
          <w:rFonts w:hint="eastAsia"/>
          <w:color w:val="auto"/>
          <w:highlight w:val="none"/>
          <w:lang w:eastAsia="zh-CN"/>
        </w:rPr>
      </w:pPr>
      <w:r>
        <w:rPr>
          <w:rFonts w:hint="eastAsia"/>
          <w:color w:val="auto"/>
          <w:highlight w:val="none"/>
          <w:lang w:eastAsia="zh-CN"/>
        </w:rPr>
        <w:t>二、总体要求</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全部工程质量应符合本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的规定。如果本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未明确规定时，又无现行标准,则应符合通常为人们所公认的技术标准。</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无论本</w:t>
      </w:r>
      <w:r>
        <w:rPr>
          <w:rFonts w:hint="eastAsia" w:ascii="宋体" w:hAnsi="宋体" w:eastAsia="宋体" w:cs="宋体"/>
          <w:color w:val="auto"/>
          <w:kern w:val="2"/>
          <w:sz w:val="21"/>
          <w:szCs w:val="21"/>
          <w:highlight w:val="none"/>
          <w:lang w:eastAsia="zh-CN"/>
        </w:rPr>
        <w:t>技术需求书</w:t>
      </w:r>
      <w:r>
        <w:rPr>
          <w:rFonts w:hint="eastAsia" w:ascii="宋体" w:hAnsi="宋体" w:eastAsia="宋体" w:cs="宋体"/>
          <w:color w:val="auto"/>
          <w:kern w:val="2"/>
          <w:sz w:val="21"/>
          <w:szCs w:val="21"/>
          <w:highlight w:val="none"/>
        </w:rPr>
        <w:t>有无规定，</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都要提供施工用的材料、设备、工具、燃料、水、各种类型的支撑和锚具、办公室、仓库、车间、职员、劳力、临时设施、照明设备等；维护施工场地和建筑物的安全，提供急救设备和受过训练的急救人员，提供职工及民工的卫生设施和消防设备、工资、及其他工程费用，修复和清理施工现场，保持施工现场处于良好状态。</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在报价和施工组织方案设计时应充分考虑技术条件的要求。</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应负责办理施工所需证件、停水、停电、中断道路交通、爆破作业等的申请批准手续,</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在必要时予以配合。办证时占用外部场地、道路等行政事业性收费由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承担。</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应对场区的施工条件、工程地质条件、周边环境、管线、交通疏解及设计文件有充分的认识及了解；并拟定相应的施工方案及采取的措施。</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Times New Roman"/>
          <w:b/>
          <w:color w:val="auto"/>
          <w:kern w:val="2"/>
          <w:sz w:val="24"/>
          <w:szCs w:val="22"/>
          <w:highlight w:val="none"/>
          <w:lang w:val="en-US" w:eastAsia="zh-CN" w:bidi="ar-SA"/>
        </w:rPr>
      </w:pPr>
      <w:r>
        <w:rPr>
          <w:rFonts w:hint="eastAsia" w:ascii="宋体" w:hAnsi="宋体" w:eastAsia="宋体" w:cs="宋体"/>
          <w:color w:val="auto"/>
          <w:kern w:val="2"/>
          <w:sz w:val="21"/>
          <w:szCs w:val="21"/>
          <w:highlight w:val="none"/>
          <w:lang w:val="en-US" w:eastAsia="zh-CN" w:bidi="ar-SA"/>
        </w:rPr>
        <w:t>6、供应商必须明确本工程的关键工期、关键工序以及工程中的难点、重点；并拟定相应的施工方案、施工工艺、技术措施以及确保关键工期实现的保证措施。</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
          <w:bCs/>
          <w:color w:val="auto"/>
          <w:kern w:val="2"/>
          <w:sz w:val="24"/>
          <w:szCs w:val="24"/>
          <w:highlight w:val="none"/>
          <w:lang w:eastAsia="zh-CN"/>
        </w:rPr>
      </w:pPr>
    </w:p>
    <w:p>
      <w:pPr>
        <w:pStyle w:val="5"/>
        <w:bidi w:val="0"/>
        <w:rPr>
          <w:rFonts w:hint="eastAsia"/>
          <w:color w:val="auto"/>
          <w:highlight w:val="none"/>
        </w:rPr>
      </w:pPr>
      <w:r>
        <w:rPr>
          <w:rFonts w:hint="eastAsia"/>
          <w:color w:val="auto"/>
          <w:highlight w:val="none"/>
          <w:lang w:eastAsia="zh-CN"/>
        </w:rPr>
        <w:t>三、</w:t>
      </w:r>
      <w:r>
        <w:rPr>
          <w:rFonts w:hint="eastAsia"/>
          <w:color w:val="auto"/>
          <w:highlight w:val="none"/>
        </w:rPr>
        <w:t>施工现场</w:t>
      </w:r>
      <w:r>
        <w:rPr>
          <w:rFonts w:hint="eastAsia"/>
          <w:color w:val="auto"/>
          <w:highlight w:val="none"/>
          <w:lang w:eastAsia="zh-CN"/>
        </w:rPr>
        <w:t>及具体</w:t>
      </w:r>
      <w:r>
        <w:rPr>
          <w:rFonts w:hint="eastAsia"/>
          <w:color w:val="auto"/>
          <w:highlight w:val="none"/>
        </w:rPr>
        <w:t>要求</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应全面负责施工范围内现场施工管理，对施工场地内的用水、用电、施工现场的安全与卫生、场地内的施工协调等负全部的管理责任。</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临时设施用地</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本工程施工场地，具体面积及布置情况以</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提供的本工程用地为准。</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提供的场地范围内的管线迁改由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完成。</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完成施工后，应按照</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的要求恢复场地，如</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无特别的要求，</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应原样恢复场地。</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临时设施条件与要求</w:t>
      </w:r>
      <w:r>
        <w:rPr>
          <w:rFonts w:hint="eastAsia" w:ascii="宋体" w:hAnsi="宋体" w:eastAsia="宋体" w:cs="宋体"/>
          <w:color w:val="auto"/>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接管施工场地后，</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向</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说明施工水、电设施情况，</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按有关合同条款规定自行报装施工用水、施工用电。施工期间</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应对这些设施进行保养、维护，以保证其正常使用，工程完工后应负责拆除或移交后续施工单位。如果</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要求，</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负责的供水、照明设施在此合同实施期间为其它</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提供分表接口，水表、电表及以后的管线由使用单位承担和安装。</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应遵守</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下达的有关文件，有责任及有义务作好与其他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的施工协调工作，按</w:t>
      </w:r>
      <w:r>
        <w:rPr>
          <w:rFonts w:hint="eastAsia" w:ascii="宋体" w:hAnsi="宋体" w:eastAsia="宋体" w:cs="宋体"/>
          <w:color w:val="auto"/>
          <w:kern w:val="2"/>
          <w:sz w:val="21"/>
          <w:szCs w:val="21"/>
          <w:highlight w:val="none"/>
          <w:lang w:eastAsia="zh-CN"/>
        </w:rPr>
        <w:t>采购人</w:t>
      </w:r>
      <w:r>
        <w:rPr>
          <w:rFonts w:hint="eastAsia" w:ascii="宋体" w:hAnsi="宋体" w:eastAsia="宋体" w:cs="宋体"/>
          <w:color w:val="auto"/>
          <w:kern w:val="2"/>
          <w:sz w:val="21"/>
          <w:szCs w:val="21"/>
          <w:highlight w:val="none"/>
        </w:rPr>
        <w:t>的指令及有关水电管理办法向施工场地内施工的其他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提供水源和电源接口并计收水电费。</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施工用电</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施工用电由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自行报装，</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负责从附近接电点接驳至工地，并承担相关费用。</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施工用水</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施工用水由</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从附近市政管网中接驳至工地，含供水管、管沟、水表等，是完成全部相关项目工程所需的全部费用，包括修建、维护、拆除等全部工作。</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施工排水</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进场后，应布设好场地内的排水系统，确保场区内的施工、生活污水、雨水能顺利的疏排。</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在施工期间应根据当地地形、最高水位、雨季水量采取充分的防洪措施，确保场地和人员的安全。</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临时设施及场地硬化</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应根据场地条件、施工安排、场内运输组织作好临时设施、临时排水及道路的布置,向有关部门办理报建手续。</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施工围蔽要求</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本工程生活办公区与施工场区的围蔽要求，按当地建设行政主管部门实施。</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的施工机械</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用于工程施工的一切施工机械，必须类型齐全、配套完整、并能满足施工质量和进度的要求，其机械状况应能满足工程及施工安全的要求，并能完成保证质量的作业。</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施工机械的使用与操作，应不使邻近的结构物、公用设施、财产或其他道路受到损伤、损坏或造成污染。</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在投标书中承诺的施工机械设备计划，必须严格执行。</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、建设或改造所需工具设施物料由</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自备、自费运到现场，完工后自费搬走。</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11</w:t>
      </w:r>
      <w:r>
        <w:rPr>
          <w:rFonts w:hint="eastAsia" w:ascii="宋体" w:hAnsi="宋体" w:eastAsia="宋体" w:cs="宋体"/>
          <w:color w:val="auto"/>
          <w:kern w:val="2"/>
          <w:sz w:val="21"/>
          <w:szCs w:val="21"/>
          <w:highlight w:val="none"/>
        </w:rPr>
        <w:t>、调试：按国家相关验收规范进行，分阶段进行调试。</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、项目的实施工作全部由</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负责，但必须在采购人的指定人员的参与下进行。投标文件中须给出的具体建设或改造和验收方法，在实际实施前必须先经采购人同意方可进行。调试的原始记录须经各方签字后作为验收的文件之一。</w:t>
      </w:r>
    </w:p>
    <w:p>
      <w:pPr>
        <w:widowControl w:val="0"/>
        <w:spacing w:line="360" w:lineRule="auto"/>
        <w:ind w:firstLine="0" w:firstLineChars="0"/>
        <w:jc w:val="both"/>
        <w:rPr>
          <w:rFonts w:hint="eastAsia" w:ascii="宋体" w:hAnsi="宋体" w:eastAsia="宋体" w:cs="Times New Roman"/>
          <w:b/>
          <w:color w:val="auto"/>
          <w:kern w:val="2"/>
          <w:sz w:val="24"/>
          <w:szCs w:val="22"/>
          <w:highlight w:val="none"/>
          <w:lang w:val="en-US" w:eastAsia="zh-CN" w:bidi="ar-SA"/>
        </w:rPr>
      </w:pPr>
    </w:p>
    <w:p>
      <w:pPr>
        <w:pStyle w:val="5"/>
        <w:bidi w:val="0"/>
        <w:rPr>
          <w:rFonts w:hint="eastAsia"/>
          <w:color w:val="auto"/>
          <w:highlight w:val="none"/>
          <w:lang w:val="en-US" w:eastAsia="zh-CN"/>
        </w:rPr>
      </w:pPr>
      <w:r>
        <w:rPr>
          <w:rFonts w:hint="eastAsia"/>
          <w:color w:val="auto"/>
          <w:highlight w:val="none"/>
          <w:lang w:val="en-US" w:eastAsia="zh-CN"/>
        </w:rPr>
        <w:t>四、质保要求</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完毕</w:t>
      </w:r>
      <w:r>
        <w:rPr>
          <w:rFonts w:hint="eastAsia" w:ascii="宋体" w:hAnsi="宋体" w:eastAsia="宋体" w:cs="宋体"/>
          <w:color w:val="auto"/>
          <w:kern w:val="2"/>
          <w:sz w:val="21"/>
          <w:szCs w:val="21"/>
          <w:highlight w:val="none"/>
          <w:lang w:eastAsia="zh-CN"/>
        </w:rPr>
        <w:t>后</w:t>
      </w:r>
      <w:r>
        <w:rPr>
          <w:rFonts w:hint="eastAsia" w:ascii="宋体" w:hAnsi="宋体" w:eastAsia="宋体" w:cs="宋体"/>
          <w:color w:val="auto"/>
          <w:kern w:val="2"/>
          <w:sz w:val="21"/>
          <w:szCs w:val="21"/>
          <w:highlight w:val="none"/>
        </w:rPr>
        <w:t>，并经采购人验收合格之日起进入质保期。</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2、在质保期内由</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负责对设施进行维护保养，排除故障，无偿提供非操作不当及非外部原因造成的部件、配件的更换。质保期内，所有维修服务均为上门服务，由此产生的费用均不再收取（质保期内，由</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免费提供必要的备品备件及服务）。</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3、故障保修响应时间为：4小时内响应到用户现场。如果故障在检修8小时后仍无法排除，供应商应在24小时内提供不低于故障产品规格型号档次的备用产品供用户使用，直至故障产品修复。对于重大紧急故障，</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技术人员在2小时内到达最终用户现场免费服务。</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4、质保期内，</w:t>
      </w:r>
      <w:r>
        <w:rPr>
          <w:rFonts w:hint="eastAsia" w:ascii="宋体" w:hAnsi="宋体" w:eastAsia="宋体" w:cs="宋体"/>
          <w:color w:val="auto"/>
          <w:kern w:val="2"/>
          <w:sz w:val="21"/>
          <w:szCs w:val="21"/>
          <w:highlight w:val="none"/>
          <w:lang w:eastAsia="zh-CN"/>
        </w:rPr>
        <w:t>成交单位</w:t>
      </w:r>
      <w:r>
        <w:rPr>
          <w:rFonts w:hint="eastAsia" w:ascii="宋体" w:hAnsi="宋体" w:eastAsia="宋体" w:cs="宋体"/>
          <w:color w:val="auto"/>
          <w:kern w:val="2"/>
          <w:sz w:val="21"/>
          <w:szCs w:val="21"/>
          <w:highlight w:val="none"/>
        </w:rPr>
        <w:t>须每月派人上门按照国家现行的有关维修保养规范进行系统、全面的维修和保养，检查各系统的各功能和情况是否正常使用，发现问题及时处理，每次检测均要书面记录，并经双方签字认可，留作存档备查。</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5、该</w:t>
      </w:r>
      <w:r>
        <w:rPr>
          <w:rFonts w:hint="eastAsia" w:ascii="宋体" w:hAnsi="宋体" w:eastAsia="宋体" w:cs="宋体"/>
          <w:color w:val="auto"/>
          <w:kern w:val="2"/>
          <w:sz w:val="21"/>
          <w:szCs w:val="21"/>
          <w:highlight w:val="none"/>
          <w:lang w:eastAsia="zh-CN"/>
        </w:rPr>
        <w:t>设施</w:t>
      </w:r>
      <w:r>
        <w:rPr>
          <w:rFonts w:hint="eastAsia" w:ascii="宋体" w:hAnsi="宋体" w:eastAsia="宋体" w:cs="宋体"/>
          <w:color w:val="auto"/>
          <w:kern w:val="2"/>
          <w:sz w:val="21"/>
          <w:szCs w:val="21"/>
          <w:highlight w:val="none"/>
        </w:rPr>
        <w:t>在后期使用过程中，应加强对该</w:t>
      </w:r>
      <w:r>
        <w:rPr>
          <w:rFonts w:hint="eastAsia" w:ascii="宋体" w:hAnsi="宋体" w:eastAsia="宋体" w:cs="宋体"/>
          <w:color w:val="auto"/>
          <w:kern w:val="2"/>
          <w:sz w:val="21"/>
          <w:szCs w:val="21"/>
          <w:highlight w:val="none"/>
          <w:lang w:eastAsia="zh-CN"/>
        </w:rPr>
        <w:t>设施</w:t>
      </w:r>
      <w:r>
        <w:rPr>
          <w:rFonts w:hint="eastAsia" w:ascii="宋体" w:hAnsi="宋体" w:eastAsia="宋体" w:cs="宋体"/>
          <w:color w:val="auto"/>
          <w:kern w:val="2"/>
          <w:sz w:val="21"/>
          <w:szCs w:val="21"/>
          <w:highlight w:val="none"/>
        </w:rPr>
        <w:t>的日常保养及观察工作（至少每年一次）。对在日常使用中出现的异常情况，及时进行处理。</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6、成交单位</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过程中必需加强质量管理工作。材料的采购，应按照部标或国标选择优质产品。施工工序要符合国家古建筑修缮有关质量标准与法规。</w:t>
      </w:r>
    </w:p>
    <w:p>
      <w:pPr>
        <w:widowControl w:val="0"/>
        <w:spacing w:line="360" w:lineRule="auto"/>
        <w:ind w:firstLine="0" w:firstLineChars="0"/>
        <w:jc w:val="both"/>
        <w:rPr>
          <w:rFonts w:hint="eastAsia" w:ascii="宋体" w:hAnsi="宋体" w:eastAsia="宋体" w:cs="Times New Roman"/>
          <w:b/>
          <w:color w:val="auto"/>
          <w:kern w:val="2"/>
          <w:sz w:val="24"/>
          <w:szCs w:val="22"/>
          <w:highlight w:val="none"/>
          <w:lang w:val="en-US" w:eastAsia="zh-CN" w:bidi="ar-SA"/>
        </w:rPr>
      </w:pPr>
    </w:p>
    <w:p>
      <w:pPr>
        <w:pStyle w:val="5"/>
        <w:bidi w:val="0"/>
        <w:rPr>
          <w:rFonts w:hint="eastAsia"/>
          <w:color w:val="auto"/>
          <w:highlight w:val="none"/>
          <w:lang w:val="en-US" w:eastAsia="zh-CN"/>
        </w:rPr>
      </w:pPr>
      <w:r>
        <w:rPr>
          <w:rFonts w:hint="eastAsia"/>
          <w:color w:val="auto"/>
          <w:highlight w:val="none"/>
          <w:lang w:val="en-US" w:eastAsia="zh-CN"/>
        </w:rPr>
        <w:t>五、其它</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zh-CN"/>
        </w:rPr>
        <w:t>供应商应根据采购要求，在投标文件中提供切实可行的实施服务方案。</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2、成交单位在供货</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过程中必须采取足够的安全措施，确保施工的安全，并自行负责相关安全责任。</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3、成交单位在</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过程中，如需对场地作局部破损，必须在供货</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实施前取得采购人的书面同意，并承诺负责恢复原状，采购人不另行支付任何费用。</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4、在施工期间，由于非施工单位原因，</w:t>
      </w:r>
      <w:r>
        <w:rPr>
          <w:rFonts w:hint="eastAsia" w:ascii="宋体" w:hAnsi="宋体" w:eastAsia="宋体" w:cs="宋体"/>
          <w:color w:val="auto"/>
          <w:kern w:val="2"/>
          <w:sz w:val="21"/>
          <w:szCs w:val="21"/>
          <w:highlight w:val="none"/>
        </w:rPr>
        <w:fldChar w:fldCharType="begin"/>
      </w:r>
      <w:r>
        <w:rPr>
          <w:rFonts w:hint="eastAsia" w:ascii="宋体" w:hAnsi="宋体" w:eastAsia="宋体" w:cs="宋体"/>
          <w:color w:val="auto"/>
          <w:kern w:val="2"/>
          <w:sz w:val="21"/>
          <w:szCs w:val="21"/>
          <w:highlight w:val="none"/>
        </w:rPr>
        <w:instrText xml:space="preserve"> HYPERLINK "https://www.baidu.com/s?wd=%E6%9D%90%E6%96%99%E4%BB%B7%E6%A0%BC&amp;tn=44039180_cpr&amp;fenlei=mv6quAkxTZn0IZRqIHckPjm4nH00T1YLnW-BPAmvm1Tsn1mznWRY0ZwV5Hcvrjm3rH6sPfKWUMw85HfYnjn4nH6sgvPsT6KdThsqpZwYTjCEQLGCpyw9Uz4Bmy-bIi4WUvYETgN-TLwGUv3En10dn1DLnWTY" \t "https://zhidao.baidu.com/question/_blank" </w:instrText>
      </w:r>
      <w:r>
        <w:rPr>
          <w:rFonts w:hint="eastAsia" w:ascii="宋体" w:hAnsi="宋体" w:eastAsia="宋体" w:cs="宋体"/>
          <w:color w:val="auto"/>
          <w:kern w:val="2"/>
          <w:sz w:val="21"/>
          <w:szCs w:val="21"/>
          <w:highlight w:val="none"/>
        </w:rPr>
        <w:fldChar w:fldCharType="separate"/>
      </w:r>
      <w:r>
        <w:rPr>
          <w:rFonts w:hint="eastAsia" w:ascii="宋体" w:hAnsi="宋体" w:eastAsia="宋体" w:cs="宋体"/>
          <w:color w:val="auto"/>
          <w:kern w:val="2"/>
          <w:sz w:val="21"/>
          <w:szCs w:val="21"/>
          <w:highlight w:val="none"/>
        </w:rPr>
        <w:t>材料价格</w:t>
      </w:r>
      <w:r>
        <w:rPr>
          <w:rFonts w:hint="eastAsia" w:ascii="宋体" w:hAnsi="宋体" w:eastAsia="宋体" w:cs="宋体"/>
          <w:color w:val="auto"/>
          <w:kern w:val="2"/>
          <w:sz w:val="21"/>
          <w:szCs w:val="21"/>
          <w:highlight w:val="none"/>
        </w:rPr>
        <w:fldChar w:fldCharType="end"/>
      </w:r>
      <w:r>
        <w:rPr>
          <w:rFonts w:hint="eastAsia" w:ascii="宋体" w:hAnsi="宋体" w:eastAsia="宋体" w:cs="宋体"/>
          <w:color w:val="auto"/>
          <w:kern w:val="2"/>
          <w:sz w:val="21"/>
          <w:szCs w:val="21"/>
          <w:highlight w:val="none"/>
        </w:rPr>
        <w:t>增长超出允许的范围内，在结算时，</w:t>
      </w:r>
      <w:r>
        <w:rPr>
          <w:rFonts w:hint="eastAsia" w:ascii="宋体" w:hAnsi="宋体" w:eastAsia="宋体" w:cs="宋体"/>
          <w:color w:val="auto"/>
          <w:kern w:val="2"/>
          <w:sz w:val="21"/>
          <w:szCs w:val="21"/>
          <w:highlight w:val="none"/>
          <w:lang w:val="en-US" w:eastAsia="zh-CN"/>
        </w:rPr>
        <w:t>不再对</w:t>
      </w:r>
      <w:r>
        <w:rPr>
          <w:rFonts w:hint="eastAsia" w:ascii="宋体" w:hAnsi="宋体" w:eastAsia="宋体" w:cs="宋体"/>
          <w:color w:val="auto"/>
          <w:kern w:val="2"/>
          <w:sz w:val="21"/>
          <w:szCs w:val="21"/>
          <w:highlight w:val="none"/>
        </w:rPr>
        <w:t>材料</w:t>
      </w:r>
      <w:r>
        <w:rPr>
          <w:rFonts w:hint="eastAsia" w:ascii="宋体" w:hAnsi="宋体" w:eastAsia="宋体" w:cs="宋体"/>
          <w:color w:val="auto"/>
          <w:kern w:val="2"/>
          <w:sz w:val="21"/>
          <w:szCs w:val="21"/>
          <w:highlight w:val="none"/>
          <w:lang w:val="en-US" w:eastAsia="zh-CN"/>
        </w:rPr>
        <w:t>价格</w:t>
      </w:r>
      <w:r>
        <w:rPr>
          <w:rFonts w:hint="eastAsia" w:ascii="宋体" w:hAnsi="宋体" w:eastAsia="宋体" w:cs="宋体"/>
          <w:color w:val="auto"/>
          <w:kern w:val="2"/>
          <w:sz w:val="21"/>
          <w:szCs w:val="21"/>
          <w:highlight w:val="none"/>
        </w:rPr>
        <w:t>差价</w:t>
      </w:r>
      <w:r>
        <w:rPr>
          <w:rFonts w:hint="eastAsia" w:ascii="宋体" w:hAnsi="宋体" w:eastAsia="宋体" w:cs="宋体"/>
          <w:color w:val="auto"/>
          <w:kern w:val="2"/>
          <w:sz w:val="21"/>
          <w:szCs w:val="21"/>
          <w:highlight w:val="none"/>
          <w:lang w:val="en-US" w:eastAsia="zh-CN"/>
        </w:rPr>
        <w:t>进行调整</w:t>
      </w:r>
      <w:r>
        <w:rPr>
          <w:rFonts w:hint="eastAsia" w:ascii="宋体" w:hAnsi="宋体" w:eastAsia="宋体" w:cs="宋体"/>
          <w:color w:val="auto"/>
          <w:kern w:val="2"/>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5、项目过程中所产生的废弃材料（如废弃土方等）须由成交单位按</w:t>
      </w:r>
      <w:r>
        <w:rPr>
          <w:rFonts w:hint="eastAsia" w:ascii="宋体" w:hAnsi="宋体" w:eastAsia="宋体" w:cs="宋体"/>
          <w:color w:val="auto"/>
          <w:kern w:val="2"/>
          <w:sz w:val="21"/>
          <w:szCs w:val="21"/>
          <w:highlight w:val="none"/>
          <w:lang w:eastAsia="zh-CN"/>
        </w:rPr>
        <w:t>施工</w:t>
      </w:r>
      <w:r>
        <w:rPr>
          <w:rFonts w:hint="eastAsia" w:ascii="宋体" w:hAnsi="宋体" w:eastAsia="宋体" w:cs="宋体"/>
          <w:color w:val="auto"/>
          <w:kern w:val="2"/>
          <w:sz w:val="21"/>
          <w:szCs w:val="21"/>
          <w:highlight w:val="none"/>
        </w:rPr>
        <w:t>相关规定自行安排处理，采购人将不再另外支付相关费用。</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6、维护过程中，成交单位必须合理安排工作时段，施工过程中做好行人行车安全防范提示等工作，施工过程中所产生的一切负面影响将由成交单位承担。</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7、项目未尽事宜将在采购合同中另行约定，成交单位应同意采购单位基于为顺利完成本项目所提出的各项合理要求。</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8、项目清单为本次采购最低要求，各供应商可以自行优化供货计划，为本项目设计最优投标方案。</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w:t>
      </w:r>
      <w:r>
        <w:rPr>
          <w:rFonts w:hint="eastAsia" w:ascii="宋体" w:hAnsi="宋体" w:eastAsia="宋体" w:cs="宋体"/>
          <w:color w:val="auto"/>
          <w:kern w:val="2"/>
          <w:sz w:val="21"/>
          <w:szCs w:val="21"/>
          <w:highlight w:val="none"/>
          <w:lang w:eastAsia="zh-CN"/>
        </w:rPr>
        <w:t>如需施工备案，</w:t>
      </w:r>
      <w:r>
        <w:rPr>
          <w:rFonts w:hint="eastAsia" w:ascii="宋体" w:hAnsi="宋体" w:eastAsia="宋体" w:cs="宋体"/>
          <w:color w:val="auto"/>
          <w:kern w:val="2"/>
          <w:sz w:val="21"/>
          <w:szCs w:val="21"/>
          <w:highlight w:val="none"/>
        </w:rPr>
        <w:t>成交后成交单位须到当地主管部门进行项目施工备案。</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10、由于成交单位的原因，导致双方签订的合同终止，成交单位因此而遭受的损失，将由成交单位独立承担，采购人对此不负任何责任，也不作任何赔偿。</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11、供应商拟派的项目经理未在其他任何在建工程中任职项目负责人或项目经理。</w:t>
      </w:r>
    </w:p>
    <w:p>
      <w:pPr>
        <w:keepNext w:val="0"/>
        <w:keepLines w:val="0"/>
        <w:pageBreakBefore w:val="0"/>
        <w:widowControl w:val="0"/>
        <w:kinsoku/>
        <w:wordWrap/>
        <w:overflowPunct/>
        <w:topLinePunct w:val="0"/>
        <w:autoSpaceDE/>
        <w:autoSpaceDN/>
        <w:bidi w:val="0"/>
        <w:adjustRightInd/>
        <w:snapToGrid/>
        <w:spacing w:after="0" w:line="288"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文件的技术规格中指出的工艺、材料和设备的标准以及参照的品牌或型号仅起说明作用，并没有任何限制性。</w:t>
      </w:r>
      <w:r>
        <w:rPr>
          <w:rFonts w:hint="eastAsia" w:ascii="宋体" w:hAnsi="宋体" w:eastAsia="宋体" w:cs="宋体"/>
          <w:color w:val="auto"/>
          <w:kern w:val="2"/>
          <w:sz w:val="21"/>
          <w:szCs w:val="21"/>
          <w:highlight w:val="none"/>
          <w:lang w:eastAsia="zh-CN"/>
        </w:rPr>
        <w:t>供应商</w:t>
      </w:r>
      <w:r>
        <w:rPr>
          <w:rFonts w:hint="eastAsia" w:ascii="宋体" w:hAnsi="宋体" w:eastAsia="宋体" w:cs="宋体"/>
          <w:color w:val="auto"/>
          <w:kern w:val="2"/>
          <w:sz w:val="21"/>
          <w:szCs w:val="21"/>
          <w:highlight w:val="none"/>
        </w:rPr>
        <w:t>可以选用替代标准、品牌或型号，但这些替代要实质上满足或超过文件的要求。</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21155"/>
      <w:bookmarkStart w:id="205" w:name="_Toc1534"/>
    </w:p>
    <w:p>
      <w:pPr>
        <w:pStyle w:val="5"/>
        <w:spacing w:before="0" w:after="0" w:line="240" w:lineRule="auto"/>
        <w:jc w:val="center"/>
        <w:rPr>
          <w:rFonts w:ascii="宋体" w:hAnsi="宋体" w:eastAsia="宋体" w:cs="宋体"/>
          <w:color w:val="auto"/>
          <w:highlight w:val="none"/>
        </w:rPr>
      </w:pPr>
      <w:bookmarkStart w:id="206" w:name="_Toc16730"/>
      <w:bookmarkStart w:id="207" w:name="_Toc19575"/>
      <w:bookmarkStart w:id="208" w:name="_Toc2947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 xml:space="preserve">按国家及相关行业标准进行验收。 </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9" w:name="_Toc15158"/>
      <w:bookmarkStart w:id="210" w:name="_Toc23749"/>
      <w:bookmarkStart w:id="21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6790"/>
      <w:bookmarkStart w:id="213" w:name="_Toc26830"/>
      <w:bookmarkStart w:id="214" w:name="_Toc2434"/>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18893"/>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19057"/>
      <w:bookmarkStart w:id="219" w:name="_Toc22080"/>
      <w:bookmarkStart w:id="220" w:name="_Toc30640"/>
      <w:r>
        <w:rPr>
          <w:rFonts w:hint="eastAsia"/>
          <w:color w:val="auto"/>
          <w:highlight w:val="none"/>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4168"/>
      <w:bookmarkStart w:id="222" w:name="_Toc29262"/>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pStyle w:val="21"/>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6718"/>
      <w:bookmarkStart w:id="228" w:name="_Toc17483"/>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9927455"/>
      <w:bookmarkStart w:id="234" w:name="_Toc508960153"/>
      <w:bookmarkStart w:id="235" w:name="_Toc508958703"/>
      <w:bookmarkStart w:id="236" w:name="_Toc22970"/>
      <w:bookmarkStart w:id="237" w:name="_Toc30247"/>
      <w:bookmarkStart w:id="238" w:name="_Toc510171693"/>
      <w:bookmarkStart w:id="239" w:name="_Toc30277"/>
      <w:bookmarkStart w:id="240" w:name="_Toc509479530"/>
      <w:bookmarkStart w:id="241" w:name="_Toc17761"/>
      <w:bookmarkStart w:id="242" w:name="_Toc509844825"/>
      <w:bookmarkStart w:id="243" w:name="_Toc20910"/>
      <w:bookmarkStart w:id="244"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898067"/>
      <w:bookmarkStart w:id="246" w:name="_Toc31520"/>
      <w:bookmarkStart w:id="247" w:name="_Toc26216"/>
      <w:bookmarkStart w:id="248" w:name="_Toc509844826"/>
      <w:bookmarkStart w:id="249" w:name="_Toc5447"/>
      <w:bookmarkStart w:id="250" w:name="_Toc508958704"/>
      <w:bookmarkStart w:id="251" w:name="_Toc510171694"/>
      <w:bookmarkStart w:id="252" w:name="_Toc21053"/>
      <w:bookmarkStart w:id="253" w:name="_Toc509479531"/>
      <w:bookmarkStart w:id="254" w:name="_Toc28527"/>
      <w:bookmarkStart w:id="255" w:name="_Toc509927456"/>
      <w:bookmarkStart w:id="256" w:name="_Toc50896015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28626"/>
      <w:bookmarkStart w:id="258" w:name="_Toc14653"/>
      <w:bookmarkStart w:id="259" w:name="_Toc24848"/>
      <w:bookmarkStart w:id="260" w:name="_Toc9148"/>
      <w:bookmarkStart w:id="261" w:name="_Toc508960155"/>
      <w:bookmarkStart w:id="262" w:name="_Toc509844827"/>
      <w:bookmarkStart w:id="263" w:name="_Toc28126"/>
      <w:bookmarkStart w:id="264" w:name="_Toc509927457"/>
      <w:bookmarkStart w:id="265" w:name="_Toc508958705"/>
      <w:bookmarkStart w:id="266" w:name="_Toc508898068"/>
      <w:bookmarkStart w:id="267" w:name="_Toc509479532"/>
      <w:bookmarkStart w:id="268" w:name="_Toc510171695"/>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9837"/>
      <w:bookmarkStart w:id="270" w:name="_Toc7858"/>
      <w:bookmarkStart w:id="271" w:name="_Toc509927458"/>
      <w:bookmarkStart w:id="272" w:name="_Toc508960156"/>
      <w:bookmarkStart w:id="273" w:name="_Toc509479533"/>
      <w:bookmarkStart w:id="274" w:name="_Toc508898069"/>
      <w:bookmarkStart w:id="275" w:name="_Toc22981"/>
      <w:bookmarkStart w:id="276" w:name="_Toc509844828"/>
      <w:bookmarkStart w:id="277" w:name="_Toc510171696"/>
      <w:bookmarkStart w:id="278" w:name="_Toc28044"/>
      <w:bookmarkStart w:id="279" w:name="_Toc508958706"/>
      <w:bookmarkStart w:id="280" w:name="_Toc2868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10171697"/>
      <w:bookmarkStart w:id="282" w:name="_Toc508958707"/>
      <w:bookmarkStart w:id="283" w:name="_Toc509479534"/>
      <w:bookmarkStart w:id="284" w:name="_Toc18843"/>
      <w:bookmarkStart w:id="285" w:name="_Toc508960157"/>
      <w:bookmarkStart w:id="286" w:name="_Toc5289"/>
      <w:bookmarkStart w:id="287" w:name="_Toc509927459"/>
      <w:bookmarkStart w:id="288" w:name="_Toc509844829"/>
      <w:bookmarkStart w:id="289"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15719"/>
      <w:bookmarkStart w:id="295" w:name="_Toc27961"/>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5919"/>
      <w:bookmarkStart w:id="307" w:name="_Toc17470"/>
      <w:bookmarkStart w:id="308" w:name="_Toc4926"/>
      <w:bookmarkStart w:id="309" w:name="_Toc29995"/>
      <w:bookmarkStart w:id="310" w:name="_Toc1511"/>
      <w:bookmarkStart w:id="311" w:name="_Toc24210"/>
      <w:bookmarkStart w:id="312" w:name="_Toc11992"/>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12706"/>
      <w:bookmarkStart w:id="314" w:name="_Toc29439"/>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13653"/>
      <w:bookmarkStart w:id="319" w:name="_Toc31815"/>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1582"/>
      <w:bookmarkStart w:id="321" w:name="_Toc1975"/>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350"/>
      <w:bookmarkStart w:id="324" w:name="_Toc25391"/>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14688"/>
      <w:bookmarkStart w:id="326" w:name="_Toc25650"/>
      <w:r>
        <w:rPr>
          <w:rFonts w:hint="eastAsia"/>
          <w:color w:val="auto"/>
          <w:highlight w:val="none"/>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3588"/>
      <w:bookmarkStart w:id="328" w:name="_Toc7092"/>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6080"/>
      <w:bookmarkStart w:id="331" w:name="_Toc18668"/>
      <w:bookmarkStart w:id="332" w:name="_Toc26078"/>
      <w:bookmarkStart w:id="333" w:name="_Toc4464"/>
      <w:bookmarkStart w:id="334" w:name="_Toc1274"/>
      <w:bookmarkStart w:id="335" w:name="_Toc482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9642"/>
            <w:bookmarkStart w:id="340" w:name="_Toc2784"/>
            <w:bookmarkStart w:id="341" w:name="_Toc29560"/>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2700"/>
            <w:bookmarkStart w:id="343" w:name="_Toc15368"/>
            <w:bookmarkStart w:id="344" w:name="_Toc4304"/>
            <w:bookmarkStart w:id="345" w:name="_Toc6189"/>
            <w:bookmarkStart w:id="346" w:name="_Toc22448"/>
            <w:bookmarkStart w:id="347" w:name="_Toc21739"/>
            <w:bookmarkStart w:id="348" w:name="_Toc1016"/>
            <w:bookmarkStart w:id="349" w:name="_Toc10045"/>
            <w:bookmarkStart w:id="350" w:name="_Toc26124"/>
            <w:bookmarkStart w:id="351" w:name="_Toc27090"/>
            <w:bookmarkStart w:id="352" w:name="_Toc15903"/>
            <w:bookmarkStart w:id="353" w:name="_Toc14815"/>
            <w:bookmarkStart w:id="354" w:name="_Toc12049"/>
            <w:bookmarkStart w:id="355" w:name="_Toc16872"/>
            <w:bookmarkStart w:id="356" w:name="_Toc22917"/>
            <w:bookmarkStart w:id="357" w:name="_Toc7333"/>
            <w:bookmarkStart w:id="358" w:name="_Toc19251"/>
            <w:bookmarkStart w:id="359" w:name="_Toc8312"/>
            <w:bookmarkStart w:id="360" w:name="_Toc21809"/>
            <w:bookmarkStart w:id="361" w:name="_Toc27442"/>
            <w:bookmarkStart w:id="362" w:name="_Toc8490"/>
            <w:bookmarkStart w:id="363" w:name="_Toc32531"/>
            <w:bookmarkStart w:id="364" w:name="_Toc22879"/>
            <w:bookmarkStart w:id="365" w:name="_Toc2466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2153"/>
            <w:bookmarkStart w:id="367" w:name="_Toc2408"/>
            <w:bookmarkStart w:id="368" w:name="_Toc21496"/>
            <w:bookmarkStart w:id="369" w:name="_Toc10122"/>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432"/>
            <w:bookmarkStart w:id="371" w:name="_Toc27285"/>
            <w:bookmarkStart w:id="372" w:name="_Toc29838"/>
            <w:bookmarkStart w:id="373" w:name="_Toc16003"/>
            <w:bookmarkStart w:id="374" w:name="_Toc5992"/>
            <w:bookmarkStart w:id="375" w:name="_Toc1330"/>
            <w:bookmarkStart w:id="376" w:name="_Toc3701"/>
            <w:bookmarkStart w:id="377" w:name="_Toc20139"/>
            <w:bookmarkStart w:id="378" w:name="_Toc17642"/>
            <w:bookmarkStart w:id="379" w:name="_Toc17296"/>
            <w:bookmarkStart w:id="380" w:name="_Toc5563"/>
            <w:bookmarkStart w:id="381" w:name="_Toc1912"/>
            <w:bookmarkStart w:id="382" w:name="_Toc27185"/>
            <w:bookmarkStart w:id="383" w:name="_Toc20820"/>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520"/>
            <w:bookmarkStart w:id="385" w:name="_Toc31920"/>
            <w:bookmarkStart w:id="386" w:name="_Toc19105"/>
            <w:bookmarkStart w:id="387" w:name="_Toc857"/>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13881"/>
      <w:bookmarkStart w:id="400" w:name="_Toc22736"/>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1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B4D3F0D9"/>
    <w:multiLevelType w:val="singleLevel"/>
    <w:tmpl w:val="B4D3F0D9"/>
    <w:lvl w:ilvl="0" w:tentative="0">
      <w:start w:val="1"/>
      <w:numFmt w:val="chineseCounting"/>
      <w:suff w:val="nothing"/>
      <w:lvlText w:val="%1、"/>
      <w:lvlJc w:val="left"/>
      <w:rPr>
        <w:rFonts w:hint="eastAsia"/>
      </w:rPr>
    </w:lvl>
  </w:abstractNum>
  <w:abstractNum w:abstractNumId="6">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7">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8">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9">
    <w:nsid w:val="CFF174A5"/>
    <w:multiLevelType w:val="singleLevel"/>
    <w:tmpl w:val="CFF174A5"/>
    <w:lvl w:ilvl="0" w:tentative="0">
      <w:start w:val="1"/>
      <w:numFmt w:val="decimal"/>
      <w:suff w:val="nothing"/>
      <w:lvlText w:val="%1、"/>
      <w:lvlJc w:val="left"/>
    </w:lvl>
  </w:abstractNum>
  <w:abstractNum w:abstractNumId="10">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1">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4">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5">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1"/>
  </w:num>
  <w:num w:numId="4">
    <w:abstractNumId w:val="23"/>
  </w:num>
  <w:num w:numId="5">
    <w:abstractNumId w:val="19"/>
  </w:num>
  <w:num w:numId="6">
    <w:abstractNumId w:val="4"/>
  </w:num>
  <w:num w:numId="7">
    <w:abstractNumId w:val="6"/>
  </w:num>
  <w:num w:numId="8">
    <w:abstractNumId w:val="0"/>
  </w:num>
  <w:num w:numId="9">
    <w:abstractNumId w:val="1"/>
  </w:num>
  <w:num w:numId="10">
    <w:abstractNumId w:val="17"/>
  </w:num>
  <w:num w:numId="11">
    <w:abstractNumId w:val="15"/>
  </w:num>
  <w:num w:numId="12">
    <w:abstractNumId w:val="8"/>
  </w:num>
  <w:num w:numId="13">
    <w:abstractNumId w:val="7"/>
  </w:num>
  <w:num w:numId="14">
    <w:abstractNumId w:val="20"/>
  </w:num>
  <w:num w:numId="15">
    <w:abstractNumId w:val="3"/>
  </w:num>
  <w:num w:numId="16">
    <w:abstractNumId w:val="10"/>
  </w:num>
  <w:num w:numId="17">
    <w:abstractNumId w:val="13"/>
  </w:num>
  <w:num w:numId="18">
    <w:abstractNumId w:val="14"/>
  </w:num>
  <w:num w:numId="19">
    <w:abstractNumId w:val="21"/>
  </w:num>
  <w:num w:numId="20">
    <w:abstractNumId w:val="5"/>
  </w:num>
  <w:num w:numId="21">
    <w:abstractNumId w:val="9"/>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2DC3F04"/>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0259C"/>
    <w:rsid w:val="09242E62"/>
    <w:rsid w:val="093C069F"/>
    <w:rsid w:val="09417888"/>
    <w:rsid w:val="095909FF"/>
    <w:rsid w:val="09855177"/>
    <w:rsid w:val="09870F93"/>
    <w:rsid w:val="09D658E4"/>
    <w:rsid w:val="09F1637C"/>
    <w:rsid w:val="0A25628F"/>
    <w:rsid w:val="0A290B50"/>
    <w:rsid w:val="0A5D1459"/>
    <w:rsid w:val="0AA534D5"/>
    <w:rsid w:val="0AA650EB"/>
    <w:rsid w:val="0AB8066A"/>
    <w:rsid w:val="0AF47339"/>
    <w:rsid w:val="0B22594B"/>
    <w:rsid w:val="0B6709D0"/>
    <w:rsid w:val="0B797387"/>
    <w:rsid w:val="0B9A670B"/>
    <w:rsid w:val="0BC044BE"/>
    <w:rsid w:val="0BDF26F7"/>
    <w:rsid w:val="0C264099"/>
    <w:rsid w:val="0C2B4952"/>
    <w:rsid w:val="0C40696A"/>
    <w:rsid w:val="0C5B112B"/>
    <w:rsid w:val="0C7B2220"/>
    <w:rsid w:val="0D527BA9"/>
    <w:rsid w:val="0D890E47"/>
    <w:rsid w:val="0DC64A00"/>
    <w:rsid w:val="0DFC60BA"/>
    <w:rsid w:val="0DFF4FAE"/>
    <w:rsid w:val="0E236A8E"/>
    <w:rsid w:val="0E4249F1"/>
    <w:rsid w:val="0F6C5A53"/>
    <w:rsid w:val="0F7C5FF6"/>
    <w:rsid w:val="0FC63FBD"/>
    <w:rsid w:val="106C564D"/>
    <w:rsid w:val="107B7B8F"/>
    <w:rsid w:val="107C67CE"/>
    <w:rsid w:val="108F06C9"/>
    <w:rsid w:val="109D68CB"/>
    <w:rsid w:val="10A949B8"/>
    <w:rsid w:val="10C54639"/>
    <w:rsid w:val="10DC50D7"/>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9762FD"/>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B7894"/>
    <w:rsid w:val="19135859"/>
    <w:rsid w:val="196F5988"/>
    <w:rsid w:val="19A2789F"/>
    <w:rsid w:val="1A3109F9"/>
    <w:rsid w:val="1A460CF5"/>
    <w:rsid w:val="1A540DBE"/>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4C48F2"/>
    <w:rsid w:val="1F84495C"/>
    <w:rsid w:val="1FA4148D"/>
    <w:rsid w:val="1FA86F5D"/>
    <w:rsid w:val="200E7BD0"/>
    <w:rsid w:val="20121621"/>
    <w:rsid w:val="201A421D"/>
    <w:rsid w:val="20341172"/>
    <w:rsid w:val="204E554F"/>
    <w:rsid w:val="20590035"/>
    <w:rsid w:val="2097103B"/>
    <w:rsid w:val="20C35213"/>
    <w:rsid w:val="20FC799E"/>
    <w:rsid w:val="22154DDD"/>
    <w:rsid w:val="22213E42"/>
    <w:rsid w:val="22336873"/>
    <w:rsid w:val="22CB610F"/>
    <w:rsid w:val="23175889"/>
    <w:rsid w:val="2373706C"/>
    <w:rsid w:val="238C2182"/>
    <w:rsid w:val="239015D1"/>
    <w:rsid w:val="23BB4E7D"/>
    <w:rsid w:val="23C172D6"/>
    <w:rsid w:val="23F04F64"/>
    <w:rsid w:val="24814CBE"/>
    <w:rsid w:val="24AC168B"/>
    <w:rsid w:val="258C3BEC"/>
    <w:rsid w:val="25A92CDD"/>
    <w:rsid w:val="25E44366"/>
    <w:rsid w:val="25E576CC"/>
    <w:rsid w:val="260E3862"/>
    <w:rsid w:val="262569FC"/>
    <w:rsid w:val="26344C98"/>
    <w:rsid w:val="26794BE2"/>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B05B3C"/>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4D7AE9"/>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213401"/>
    <w:rsid w:val="36794DEF"/>
    <w:rsid w:val="36AD519D"/>
    <w:rsid w:val="36B57705"/>
    <w:rsid w:val="37406AD8"/>
    <w:rsid w:val="374F1A0B"/>
    <w:rsid w:val="37A103ED"/>
    <w:rsid w:val="37EA5E6E"/>
    <w:rsid w:val="37FF016F"/>
    <w:rsid w:val="38427C0B"/>
    <w:rsid w:val="387C5ABE"/>
    <w:rsid w:val="389B3A1E"/>
    <w:rsid w:val="38EB6119"/>
    <w:rsid w:val="399E320F"/>
    <w:rsid w:val="39DE33DA"/>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9121FF"/>
    <w:rsid w:val="3CE114D9"/>
    <w:rsid w:val="3CF737A2"/>
    <w:rsid w:val="3CF7509A"/>
    <w:rsid w:val="3D10295A"/>
    <w:rsid w:val="3DEC02AE"/>
    <w:rsid w:val="3E0572FD"/>
    <w:rsid w:val="3E1A5292"/>
    <w:rsid w:val="3E4D0373"/>
    <w:rsid w:val="3E5A7FE7"/>
    <w:rsid w:val="3EC8179E"/>
    <w:rsid w:val="3EEA70F2"/>
    <w:rsid w:val="3EF66B2E"/>
    <w:rsid w:val="3F217914"/>
    <w:rsid w:val="3FD70BB0"/>
    <w:rsid w:val="3FFB55AC"/>
    <w:rsid w:val="401C5F9D"/>
    <w:rsid w:val="401C690C"/>
    <w:rsid w:val="401D7195"/>
    <w:rsid w:val="404305FB"/>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6D66E7"/>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AC3540"/>
    <w:rsid w:val="4FBB12F4"/>
    <w:rsid w:val="4FCF1583"/>
    <w:rsid w:val="4FFA7625"/>
    <w:rsid w:val="501B0BF9"/>
    <w:rsid w:val="504E3F0E"/>
    <w:rsid w:val="507D2599"/>
    <w:rsid w:val="50904151"/>
    <w:rsid w:val="5096229D"/>
    <w:rsid w:val="50B44FCE"/>
    <w:rsid w:val="50BA7DF8"/>
    <w:rsid w:val="50DC4184"/>
    <w:rsid w:val="51475B39"/>
    <w:rsid w:val="514C3EA7"/>
    <w:rsid w:val="519849E5"/>
    <w:rsid w:val="51B36892"/>
    <w:rsid w:val="51E44D3C"/>
    <w:rsid w:val="524A036B"/>
    <w:rsid w:val="52506DA7"/>
    <w:rsid w:val="529D471C"/>
    <w:rsid w:val="52C74FC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D9752F"/>
    <w:rsid w:val="55FA2961"/>
    <w:rsid w:val="565E7F4F"/>
    <w:rsid w:val="56775789"/>
    <w:rsid w:val="56857D06"/>
    <w:rsid w:val="56914056"/>
    <w:rsid w:val="569F0E63"/>
    <w:rsid w:val="56A05DC4"/>
    <w:rsid w:val="56DB613D"/>
    <w:rsid w:val="573810DA"/>
    <w:rsid w:val="57FC2169"/>
    <w:rsid w:val="58096275"/>
    <w:rsid w:val="580E4560"/>
    <w:rsid w:val="581C04F1"/>
    <w:rsid w:val="582E6EF7"/>
    <w:rsid w:val="58434392"/>
    <w:rsid w:val="584E30E6"/>
    <w:rsid w:val="587627C6"/>
    <w:rsid w:val="59014D02"/>
    <w:rsid w:val="59186D4A"/>
    <w:rsid w:val="592E16F6"/>
    <w:rsid w:val="597B384D"/>
    <w:rsid w:val="59996DA8"/>
    <w:rsid w:val="59A44E33"/>
    <w:rsid w:val="59AC3CE9"/>
    <w:rsid w:val="59C30F1B"/>
    <w:rsid w:val="59F22FDF"/>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391564"/>
    <w:rsid w:val="62816669"/>
    <w:rsid w:val="62BA0953"/>
    <w:rsid w:val="62D03A7C"/>
    <w:rsid w:val="62F16BCB"/>
    <w:rsid w:val="62F648FE"/>
    <w:rsid w:val="63341DB1"/>
    <w:rsid w:val="63447612"/>
    <w:rsid w:val="63907004"/>
    <w:rsid w:val="639A73C1"/>
    <w:rsid w:val="63A10995"/>
    <w:rsid w:val="63A573AB"/>
    <w:rsid w:val="63B73E59"/>
    <w:rsid w:val="63C23EFA"/>
    <w:rsid w:val="63E52E10"/>
    <w:rsid w:val="64210135"/>
    <w:rsid w:val="643A070A"/>
    <w:rsid w:val="644C573D"/>
    <w:rsid w:val="64660CBB"/>
    <w:rsid w:val="648667A7"/>
    <w:rsid w:val="64DB383A"/>
    <w:rsid w:val="65032F85"/>
    <w:rsid w:val="65136B50"/>
    <w:rsid w:val="657E2A35"/>
    <w:rsid w:val="6588751C"/>
    <w:rsid w:val="65A94E9D"/>
    <w:rsid w:val="65C60A92"/>
    <w:rsid w:val="65C7105B"/>
    <w:rsid w:val="65F3550D"/>
    <w:rsid w:val="662203DD"/>
    <w:rsid w:val="66433661"/>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4B50A7"/>
    <w:rsid w:val="6B577FA5"/>
    <w:rsid w:val="6B723594"/>
    <w:rsid w:val="6B805156"/>
    <w:rsid w:val="6B9A1267"/>
    <w:rsid w:val="6BD50977"/>
    <w:rsid w:val="6BEA0C87"/>
    <w:rsid w:val="6BEA2A9B"/>
    <w:rsid w:val="6C145A34"/>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9E2255"/>
    <w:rsid w:val="74B42AE4"/>
    <w:rsid w:val="750A429D"/>
    <w:rsid w:val="75167F59"/>
    <w:rsid w:val="755D38A7"/>
    <w:rsid w:val="755F5A0F"/>
    <w:rsid w:val="75614792"/>
    <w:rsid w:val="75784473"/>
    <w:rsid w:val="757E044C"/>
    <w:rsid w:val="75977BC3"/>
    <w:rsid w:val="75B161B3"/>
    <w:rsid w:val="75E470E3"/>
    <w:rsid w:val="76325810"/>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03774"/>
    <w:rsid w:val="78EE1700"/>
    <w:rsid w:val="793B7339"/>
    <w:rsid w:val="796518DD"/>
    <w:rsid w:val="796C2EB5"/>
    <w:rsid w:val="796E0C55"/>
    <w:rsid w:val="797C5614"/>
    <w:rsid w:val="79AA0532"/>
    <w:rsid w:val="79F70999"/>
    <w:rsid w:val="79FE1DDD"/>
    <w:rsid w:val="7A075767"/>
    <w:rsid w:val="7A212062"/>
    <w:rsid w:val="7A282A11"/>
    <w:rsid w:val="7A3F337C"/>
    <w:rsid w:val="7A9B3689"/>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365A9A"/>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81</Pages>
  <Words>34594</Words>
  <Characters>36189</Characters>
  <Lines>264</Lines>
  <Paragraphs>74</Paragraphs>
  <TotalTime>11</TotalTime>
  <ScaleCrop>false</ScaleCrop>
  <LinksUpToDate>false</LinksUpToDate>
  <CharactersWithSpaces>38971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2022-11-07T10:18:04Z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DEAB68F8B36B40FD9478E3D7C6D629D6</vt:lpwstr>
  </property>
</Properties>
</file>