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竞争性磋商文件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cstate="print"/>
                    <a:srcRect l="6233" t="18358" r="67326" b="19339"/>
                    <a:stretch>
                      <a:fillRect/>
                    </a:stretch>
                  </pic:blipFill>
                  <pic:spPr>
                    <a:xfrm>
                      <a:off x="0" y="0"/>
                      <a:ext cx="2129790" cy="2035175"/>
                    </a:xfrm>
                    <a:prstGeom prst="rect">
                      <a:avLst/>
                    </a:prstGeom>
                  </pic:spPr>
                </pic:pic>
              </a:graphicData>
            </a:graphic>
          </wp:inline>
        </w:drawing>
      </w:r>
    </w:p>
    <w:p>
      <w:pPr>
        <w:pStyle w:val="3"/>
        <w:ind w:firstLine="240"/>
        <w:rPr>
          <w:rFonts w:ascii="黑体" w:eastAsia="黑体"/>
          <w:color w:val="auto"/>
          <w:szCs w:val="21"/>
          <w:highlight w:val="none"/>
        </w:rPr>
      </w:pPr>
    </w:p>
    <w:p>
      <w:pPr>
        <w:pStyle w:val="3"/>
        <w:ind w:left="0" w:firstLine="0" w:firstLineChars="0"/>
        <w:rPr>
          <w:rFonts w:ascii="黑体" w:eastAsia="黑体"/>
          <w:color w:val="auto"/>
          <w:szCs w:val="21"/>
          <w:highlight w:val="none"/>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GDZT2022149B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东莞市横沥资产经营管理有限公司厂房城市更新项目地上建筑物拆零变现工程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东莞市横沥资产经营管理有限公司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cstate="print"/>
                    <a:stretch>
                      <a:fillRect/>
                    </a:stretch>
                  </pic:blipFill>
                  <pic:spPr>
                    <a:xfrm>
                      <a:off x="0" y="0"/>
                      <a:ext cx="5266690" cy="2573655"/>
                    </a:xfrm>
                    <a:prstGeom prst="rect">
                      <a:avLst/>
                    </a:prstGeom>
                  </pic:spPr>
                </pic:pic>
              </a:graphicData>
            </a:graphic>
          </wp:inline>
        </w:drawing>
      </w:r>
    </w:p>
    <w:p>
      <w:pPr>
        <w:rPr>
          <w:color w:val="auto"/>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"_Toc14033" </w:instrText>
      </w:r>
      <w:r>
        <w:rPr>
          <w:color w:val="auto"/>
          <w:highlight w:val="none"/>
        </w:rPr>
        <w:fldChar w:fldCharType="separate"/>
      </w:r>
      <w:r>
        <w:rPr>
          <w:rFonts w:hint="eastAsia" w:cs="宋体"/>
          <w:color w:val="auto"/>
          <w:sz w:val="21"/>
          <w:szCs w:val="21"/>
          <w:highlight w:val="none"/>
        </w:rPr>
        <w:t>第一部分 磋商邀请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_Toc14033 \h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"_Toc7988" </w:instrText>
      </w:r>
      <w:r>
        <w:rPr>
          <w:color w:val="auto"/>
          <w:highlight w:val="none"/>
        </w:rPr>
        <w:fldChar w:fldCharType="separate"/>
      </w:r>
      <w:r>
        <w:rPr>
          <w:rFonts w:hint="eastAsia" w:ascii="宋体" w:hAnsi="宋体" w:cs="宋体"/>
          <w:color w:val="auto"/>
          <w:highlight w:val="none"/>
        </w:rPr>
        <w:t>磋商邀请书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_Toc7988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"_Toc31060" </w:instrText>
      </w:r>
      <w:r>
        <w:rPr>
          <w:color w:val="auto"/>
          <w:highlight w:val="none"/>
        </w:rPr>
        <w:fldChar w:fldCharType="separate"/>
      </w:r>
      <w:r>
        <w:rPr>
          <w:rFonts w:hint="eastAsia" w:cs="宋体"/>
          <w:color w:val="auto"/>
          <w:sz w:val="21"/>
          <w:szCs w:val="21"/>
          <w:highlight w:val="none"/>
        </w:rPr>
        <w:t>第二部分 磋商资料表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_Toc31060 \h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_Toc4043 \h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"_Toc462"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_Toc462 \h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"_Toc24511" </w:instrText>
      </w:r>
      <w:r>
        <w:rPr>
          <w:color w:val="auto"/>
          <w:highlight w:val="none"/>
        </w:rPr>
        <w:fldChar w:fldCharType="separate"/>
      </w:r>
      <w:r>
        <w:rPr>
          <w:rFonts w:hint="eastAsia" w:cs="宋体"/>
          <w:color w:val="auto"/>
          <w:sz w:val="21"/>
          <w:szCs w:val="21"/>
          <w:highlight w:val="none"/>
        </w:rPr>
        <w:t>第四部分 供应商须知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_Toc24511 \h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"_Toc28014" </w:instrText>
      </w:r>
      <w:r>
        <w:rPr>
          <w:color w:val="auto"/>
          <w:highlight w:val="none"/>
        </w:rPr>
        <w:fldChar w:fldCharType="separate"/>
      </w:r>
      <w:r>
        <w:rPr>
          <w:rFonts w:hint="eastAsia" w:cs="宋体"/>
          <w:color w:val="auto"/>
          <w:sz w:val="21"/>
          <w:szCs w:val="21"/>
          <w:highlight w:val="none"/>
        </w:rPr>
        <w:t>第一章说  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_Toc28014 \h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"_Toc17291" </w:instrText>
      </w:r>
      <w:r>
        <w:rPr>
          <w:color w:val="auto"/>
          <w:highlight w:val="none"/>
        </w:rPr>
        <w:fldChar w:fldCharType="separate"/>
      </w:r>
      <w:r>
        <w:rPr>
          <w:rFonts w:hint="eastAsia" w:ascii="宋体" w:hAnsi="宋体" w:cs="宋体"/>
          <w:color w:val="auto"/>
          <w:highlight w:val="none"/>
        </w:rPr>
        <w:t>1. 适用范围</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_Toc17291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"_Toc8868" </w:instrText>
      </w:r>
      <w:r>
        <w:rPr>
          <w:color w:val="auto"/>
          <w:highlight w:val="none"/>
        </w:rPr>
        <w:fldChar w:fldCharType="separate"/>
      </w:r>
      <w:r>
        <w:rPr>
          <w:rFonts w:hint="eastAsia" w:ascii="宋体" w:hAnsi="宋体" w:cs="宋体"/>
          <w:color w:val="auto"/>
          <w:highlight w:val="none"/>
        </w:rPr>
        <w:t>2. 定义</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_Toc8868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hint="eastAsia" w:ascii="宋体" w:hAnsi="宋体" w:cs="宋体"/>
          <w:color w:val="auto"/>
          <w:highlight w:val="none"/>
        </w:rPr>
        <w:t>3. 适用法律</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"_Toc18833" </w:instrText>
      </w:r>
      <w:r>
        <w:rPr>
          <w:color w:val="auto"/>
          <w:highlight w:val="none"/>
        </w:rPr>
        <w:fldChar w:fldCharType="separate"/>
      </w:r>
      <w:r>
        <w:rPr>
          <w:rFonts w:hint="eastAsia" w:ascii="宋体" w:hAnsi="宋体" w:cs="宋体"/>
          <w:color w:val="auto"/>
          <w:highlight w:val="none"/>
        </w:rPr>
        <w:t>4. 知识产权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_Toc18833 \h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"_Toc5242" </w:instrText>
      </w:r>
      <w:r>
        <w:rPr>
          <w:color w:val="auto"/>
          <w:highlight w:val="none"/>
        </w:rPr>
        <w:fldChar w:fldCharType="separate"/>
      </w:r>
      <w:r>
        <w:rPr>
          <w:rFonts w:hint="eastAsia" w:ascii="宋体" w:hAnsi="宋体" w:cs="宋体"/>
          <w:color w:val="auto"/>
          <w:highlight w:val="none"/>
        </w:rPr>
        <w:t>5. 关于联合体报价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_Toc5242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"_Toc25157" </w:instrText>
      </w:r>
      <w:r>
        <w:rPr>
          <w:color w:val="auto"/>
          <w:highlight w:val="none"/>
        </w:rPr>
        <w:fldChar w:fldCharType="separate"/>
      </w:r>
      <w:r>
        <w:rPr>
          <w:rFonts w:hint="eastAsia" w:ascii="宋体" w:hAnsi="宋体" w:cs="宋体"/>
          <w:color w:val="auto"/>
          <w:highlight w:val="none"/>
        </w:rPr>
        <w:t>6. 关于分支机构报价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_Toc25157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"_Toc18108" </w:instrText>
      </w:r>
      <w:r>
        <w:rPr>
          <w:color w:val="auto"/>
          <w:highlight w:val="none"/>
        </w:rPr>
        <w:fldChar w:fldCharType="separate"/>
      </w:r>
      <w:r>
        <w:rPr>
          <w:rFonts w:hint="eastAsia" w:ascii="宋体" w:hAnsi="宋体" w:cs="宋体"/>
          <w:color w:val="auto"/>
          <w:highlight w:val="none"/>
        </w:rPr>
        <w:t>7. 保密及其它注意事项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_Toc18108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s="宋体"/>
          <w:color w:val="auto"/>
          <w:sz w:val="21"/>
          <w:szCs w:val="21"/>
          <w:highlight w:val="none"/>
        </w:rPr>
        <w:t>第二章磋商文件说明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_Toc25468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"_Toc21439" </w:instrText>
      </w:r>
      <w:r>
        <w:rPr>
          <w:color w:val="auto"/>
          <w:highlight w:val="none"/>
        </w:rPr>
        <w:fldChar w:fldCharType="separate"/>
      </w:r>
      <w:r>
        <w:rPr>
          <w:rFonts w:hint="eastAsia" w:ascii="宋体" w:hAnsi="宋体" w:cs="宋体"/>
          <w:color w:val="auto"/>
          <w:highlight w:val="none"/>
        </w:rPr>
        <w:t>8. 采购文件构成</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_Toc21439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"_Toc158" </w:instrText>
      </w:r>
      <w:r>
        <w:rPr>
          <w:color w:val="auto"/>
          <w:highlight w:val="none"/>
        </w:rPr>
        <w:fldChar w:fldCharType="separate"/>
      </w:r>
      <w:r>
        <w:rPr>
          <w:rFonts w:hint="eastAsia" w:cs="宋体"/>
          <w:color w:val="auto"/>
          <w:sz w:val="21"/>
          <w:szCs w:val="21"/>
          <w:highlight w:val="none"/>
        </w:rPr>
        <w:t>第三章响应文件的编制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_Toc158 \h </w:instrText>
      </w:r>
      <w:r>
        <w:rPr>
          <w:rFonts w:hint="eastAsia" w:cs="宋体"/>
          <w:color w:val="auto"/>
          <w:sz w:val="21"/>
          <w:szCs w:val="21"/>
          <w:highlight w:val="none"/>
        </w:rPr>
        <w:fldChar w:fldCharType="separate"/>
      </w:r>
      <w:r>
        <w:rPr>
          <w:rFonts w:hint="eastAsia" w:cs="宋体"/>
          <w:color w:val="auto"/>
          <w:sz w:val="21"/>
          <w:szCs w:val="21"/>
          <w:highlight w:val="none"/>
        </w:rPr>
        <w:t>17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"_Toc19833" </w:instrText>
      </w:r>
      <w:r>
        <w:rPr>
          <w:color w:val="auto"/>
          <w:highlight w:val="none"/>
        </w:rPr>
        <w:fldChar w:fldCharType="separate"/>
      </w:r>
      <w:r>
        <w:rPr>
          <w:rFonts w:hint="eastAsia" w:ascii="宋体" w:hAnsi="宋体" w:cs="宋体"/>
          <w:color w:val="auto"/>
          <w:highlight w:val="none"/>
        </w:rPr>
        <w:t>9. 响应文件的语言及度量衡单位</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_Toc19833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"_Toc18228" </w:instrText>
      </w:r>
      <w:r>
        <w:rPr>
          <w:color w:val="auto"/>
          <w:highlight w:val="none"/>
        </w:rPr>
        <w:fldChar w:fldCharType="separate"/>
      </w:r>
      <w:r>
        <w:rPr>
          <w:rFonts w:hint="eastAsia" w:ascii="宋体" w:hAnsi="宋体" w:cs="宋体"/>
          <w:color w:val="auto"/>
          <w:highlight w:val="none"/>
        </w:rPr>
        <w:t>10. 响应文件编制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_Toc18228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"_Toc26897" </w:instrText>
      </w:r>
      <w:r>
        <w:rPr>
          <w:color w:val="auto"/>
          <w:highlight w:val="none"/>
        </w:rPr>
        <w:fldChar w:fldCharType="separate"/>
      </w:r>
      <w:r>
        <w:rPr>
          <w:rFonts w:hint="eastAsia" w:ascii="宋体" w:hAnsi="宋体" w:cs="宋体"/>
          <w:color w:val="auto"/>
          <w:highlight w:val="none"/>
        </w:rPr>
        <w:t>11. 响应文件的内容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_Toc26897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"_Toc1662" </w:instrText>
      </w:r>
      <w:r>
        <w:rPr>
          <w:color w:val="auto"/>
          <w:highlight w:val="none"/>
        </w:rPr>
        <w:fldChar w:fldCharType="separate"/>
      </w:r>
      <w:r>
        <w:rPr>
          <w:rFonts w:hint="eastAsia" w:ascii="宋体" w:hAnsi="宋体" w:cs="宋体"/>
          <w:color w:val="auto"/>
          <w:highlight w:val="none"/>
        </w:rPr>
        <w:t>12.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_Toc1662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"_Toc21656" </w:instrText>
      </w:r>
      <w:r>
        <w:rPr>
          <w:color w:val="auto"/>
          <w:highlight w:val="none"/>
        </w:rPr>
        <w:fldChar w:fldCharType="separate"/>
      </w:r>
      <w:r>
        <w:rPr>
          <w:rFonts w:hint="eastAsia" w:ascii="宋体" w:hAnsi="宋体" w:cs="宋体"/>
          <w:color w:val="auto"/>
          <w:highlight w:val="none"/>
        </w:rPr>
        <w:t>13. 磋商保证金（本项目不需提供磋商保证金）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_Toc21656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"_Toc10456" </w:instrText>
      </w:r>
      <w:r>
        <w:rPr>
          <w:color w:val="auto"/>
          <w:highlight w:val="none"/>
        </w:rPr>
        <w:fldChar w:fldCharType="separate"/>
      </w:r>
      <w:r>
        <w:rPr>
          <w:rFonts w:hint="eastAsia" w:ascii="宋体" w:hAnsi="宋体" w:cs="宋体"/>
          <w:color w:val="auto"/>
          <w:highlight w:val="none"/>
        </w:rPr>
        <w:t>14. ★报价（响应文件）有效期</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_Toc10456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"_Toc7006" </w:instrText>
      </w:r>
      <w:r>
        <w:rPr>
          <w:color w:val="auto"/>
          <w:highlight w:val="none"/>
        </w:rPr>
        <w:fldChar w:fldCharType="separate"/>
      </w:r>
      <w:r>
        <w:rPr>
          <w:rFonts w:hint="eastAsia" w:cs="宋体"/>
          <w:color w:val="auto"/>
          <w:sz w:val="21"/>
          <w:szCs w:val="21"/>
          <w:highlight w:val="none"/>
        </w:rPr>
        <w:t>第四章响应文件的递交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_Toc7006 \h </w:instrText>
      </w:r>
      <w:r>
        <w:rPr>
          <w:rFonts w:hint="eastAsia" w:cs="宋体"/>
          <w:color w:val="auto"/>
          <w:sz w:val="21"/>
          <w:szCs w:val="21"/>
          <w:highlight w:val="none"/>
        </w:rPr>
        <w:fldChar w:fldCharType="separate"/>
      </w:r>
      <w:r>
        <w:rPr>
          <w:rFonts w:hint="eastAsia" w:cs="宋体"/>
          <w:color w:val="auto"/>
          <w:sz w:val="21"/>
          <w:szCs w:val="21"/>
          <w:highlight w:val="none"/>
        </w:rPr>
        <w:t>19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"_Toc13611" </w:instrText>
      </w:r>
      <w:r>
        <w:rPr>
          <w:color w:val="auto"/>
          <w:highlight w:val="none"/>
        </w:rPr>
        <w:fldChar w:fldCharType="separate"/>
      </w:r>
      <w:r>
        <w:rPr>
          <w:rFonts w:hint="eastAsia" w:ascii="宋体" w:hAnsi="宋体" w:cs="宋体"/>
          <w:color w:val="auto"/>
          <w:highlight w:val="none"/>
        </w:rPr>
        <w:t>15. 响应文件的密封和标记</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_Toc13611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ascii="宋体" w:hAnsi="宋体" w:cs="宋体"/>
          <w:color w:val="auto"/>
          <w:highlight w:val="none"/>
        </w:rPr>
        <w:t>16. 响应文件的递交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_Toc5658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"_Toc8440" </w:instrText>
      </w:r>
      <w:r>
        <w:rPr>
          <w:color w:val="auto"/>
          <w:highlight w:val="none"/>
        </w:rPr>
        <w:fldChar w:fldCharType="separate"/>
      </w:r>
      <w:r>
        <w:rPr>
          <w:rFonts w:hint="eastAsia" w:ascii="宋体" w:hAnsi="宋体" w:cs="宋体"/>
          <w:color w:val="auto"/>
          <w:highlight w:val="none"/>
        </w:rPr>
        <w:t>17. 样品（如需提交）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_Toc8440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cs="宋体"/>
          <w:color w:val="auto"/>
          <w:sz w:val="21"/>
          <w:szCs w:val="21"/>
          <w:highlight w:val="none"/>
        </w:rPr>
        <w:t>第五章磋商、评审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_Toc3401 \h </w:instrText>
      </w:r>
      <w:r>
        <w:rPr>
          <w:rFonts w:hint="eastAsia" w:cs="宋体"/>
          <w:color w:val="auto"/>
          <w:sz w:val="21"/>
          <w:szCs w:val="21"/>
          <w:highlight w:val="none"/>
        </w:rPr>
        <w:fldChar w:fldCharType="separate"/>
      </w:r>
      <w:r>
        <w:rPr>
          <w:rFonts w:hint="eastAsia" w:cs="宋体"/>
          <w:color w:val="auto"/>
          <w:sz w:val="21"/>
          <w:szCs w:val="21"/>
          <w:highlight w:val="none"/>
        </w:rPr>
        <w:t>21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"_Toc8137" </w:instrText>
      </w:r>
      <w:r>
        <w:rPr>
          <w:color w:val="auto"/>
          <w:highlight w:val="none"/>
        </w:rPr>
        <w:fldChar w:fldCharType="separate"/>
      </w:r>
      <w:r>
        <w:rPr>
          <w:rFonts w:hint="eastAsia" w:ascii="宋体" w:hAnsi="宋体" w:cs="宋体"/>
          <w:color w:val="auto"/>
          <w:highlight w:val="none"/>
        </w:rPr>
        <w:t>18. 签到及评审方法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_Toc8137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"_Toc10080" </w:instrText>
      </w:r>
      <w:r>
        <w:rPr>
          <w:color w:val="auto"/>
          <w:highlight w:val="none"/>
        </w:rPr>
        <w:fldChar w:fldCharType="separate"/>
      </w:r>
      <w:r>
        <w:rPr>
          <w:rFonts w:hint="eastAsia" w:ascii="宋体" w:hAnsi="宋体" w:cs="宋体"/>
          <w:color w:val="auto"/>
          <w:highlight w:val="none"/>
        </w:rPr>
        <w:t>19. 磋商小组</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_Toc10080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"_Toc17157" </w:instrText>
      </w:r>
      <w:r>
        <w:rPr>
          <w:color w:val="auto"/>
          <w:highlight w:val="none"/>
        </w:rPr>
        <w:fldChar w:fldCharType="separate"/>
      </w:r>
      <w:r>
        <w:rPr>
          <w:rFonts w:hint="eastAsia" w:ascii="宋体" w:hAnsi="宋体" w:cs="宋体"/>
          <w:color w:val="auto"/>
          <w:highlight w:val="none"/>
        </w:rPr>
        <w:t>20. 对响应文件的初审</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_Toc17157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"_Toc18895" </w:instrText>
      </w:r>
      <w:r>
        <w:rPr>
          <w:color w:val="auto"/>
          <w:highlight w:val="none"/>
        </w:rPr>
        <w:fldChar w:fldCharType="separate"/>
      </w:r>
      <w:r>
        <w:rPr>
          <w:rFonts w:hint="eastAsia" w:ascii="宋体" w:hAnsi="宋体" w:cs="宋体"/>
          <w:color w:val="auto"/>
          <w:highlight w:val="none"/>
        </w:rPr>
        <w:t>21. 技术商务磋商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_Toc18895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"_Toc5492" </w:instrText>
      </w:r>
      <w:r>
        <w:rPr>
          <w:color w:val="auto"/>
          <w:highlight w:val="none"/>
        </w:rPr>
        <w:fldChar w:fldCharType="separate"/>
      </w:r>
      <w:r>
        <w:rPr>
          <w:rFonts w:hint="eastAsia" w:ascii="宋体" w:hAnsi="宋体" w:cs="宋体"/>
          <w:color w:val="auto"/>
          <w:highlight w:val="none"/>
        </w:rPr>
        <w:t>22. 最终报价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_Toc5492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"_Toc2794" </w:instrText>
      </w:r>
      <w:r>
        <w:rPr>
          <w:color w:val="auto"/>
          <w:highlight w:val="none"/>
        </w:rPr>
        <w:fldChar w:fldCharType="separate"/>
      </w:r>
      <w:r>
        <w:rPr>
          <w:rFonts w:hint="eastAsia" w:ascii="宋体" w:hAnsi="宋体" w:cs="宋体"/>
          <w:color w:val="auto"/>
          <w:highlight w:val="none"/>
        </w:rPr>
        <w:t>23. 综合评分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_Toc2794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"_Toc30725" </w:instrText>
      </w:r>
      <w:r>
        <w:rPr>
          <w:color w:val="auto"/>
          <w:highlight w:val="none"/>
        </w:rPr>
        <w:fldChar w:fldCharType="separate"/>
      </w:r>
      <w:r>
        <w:rPr>
          <w:rFonts w:hint="eastAsia" w:ascii="宋体" w:hAnsi="宋体" w:cs="宋体"/>
          <w:color w:val="auto"/>
          <w:highlight w:val="none"/>
        </w:rPr>
        <w:t>24. 优惠政策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_Toc30725 \h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"_Toc1066" </w:instrText>
      </w:r>
      <w:r>
        <w:rPr>
          <w:color w:val="auto"/>
          <w:highlight w:val="none"/>
        </w:rPr>
        <w:fldChar w:fldCharType="separate"/>
      </w:r>
      <w:r>
        <w:rPr>
          <w:rFonts w:hint="eastAsia" w:cs="宋体"/>
          <w:color w:val="auto"/>
          <w:sz w:val="21"/>
          <w:szCs w:val="21"/>
          <w:highlight w:val="none"/>
        </w:rPr>
        <w:t>第六章确定成交供应商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_Toc1066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"_Toc29068" </w:instrText>
      </w:r>
      <w:r>
        <w:rPr>
          <w:color w:val="auto"/>
          <w:highlight w:val="none"/>
        </w:rPr>
        <w:fldChar w:fldCharType="separate"/>
      </w:r>
      <w:r>
        <w:rPr>
          <w:rFonts w:hint="eastAsia" w:ascii="宋体" w:hAnsi="宋体" w:cs="宋体"/>
          <w:color w:val="auto"/>
          <w:highlight w:val="none"/>
        </w:rPr>
        <w:t>25. 确定成交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_Toc29068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ascii="宋体" w:hAnsi="宋体" w:cs="宋体"/>
          <w:color w:val="auto"/>
          <w:highlight w:val="none"/>
        </w:rPr>
        <w:t>26. 发布采购结果</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_Toc3941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"_Toc29067" </w:instrText>
      </w:r>
      <w:r>
        <w:rPr>
          <w:color w:val="auto"/>
          <w:highlight w:val="none"/>
        </w:rPr>
        <w:fldChar w:fldCharType="separate"/>
      </w:r>
      <w:r>
        <w:rPr>
          <w:rFonts w:hint="eastAsia" w:ascii="宋体" w:hAnsi="宋体" w:cs="宋体"/>
          <w:color w:val="auto"/>
          <w:highlight w:val="none"/>
        </w:rPr>
        <w:t>27. 原件核查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_Toc29067 \h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"_Toc3829" </w:instrText>
      </w:r>
      <w:r>
        <w:rPr>
          <w:color w:val="auto"/>
          <w:highlight w:val="none"/>
        </w:rPr>
        <w:fldChar w:fldCharType="separate"/>
      </w:r>
      <w:r>
        <w:rPr>
          <w:rFonts w:hint="eastAsia" w:cs="宋体"/>
          <w:color w:val="auto"/>
          <w:sz w:val="21"/>
          <w:szCs w:val="21"/>
          <w:highlight w:val="none"/>
        </w:rPr>
        <w:t>第七章签订合同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_Toc3829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"_Toc18000" </w:instrText>
      </w:r>
      <w:r>
        <w:rPr>
          <w:color w:val="auto"/>
          <w:highlight w:val="none"/>
        </w:rPr>
        <w:fldChar w:fldCharType="separate"/>
      </w:r>
      <w:r>
        <w:rPr>
          <w:rFonts w:hint="eastAsia" w:ascii="宋体" w:hAnsi="宋体" w:cs="宋体"/>
          <w:color w:val="auto"/>
          <w:highlight w:val="none"/>
        </w:rPr>
        <w:t>28. 签订合同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_Toc18000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"_Toc8165" </w:instrText>
      </w:r>
      <w:r>
        <w:rPr>
          <w:color w:val="auto"/>
          <w:highlight w:val="none"/>
        </w:rPr>
        <w:fldChar w:fldCharType="separate"/>
      </w:r>
      <w:r>
        <w:rPr>
          <w:rFonts w:hint="eastAsia" w:cs="宋体"/>
          <w:color w:val="auto"/>
          <w:sz w:val="21"/>
          <w:szCs w:val="21"/>
          <w:highlight w:val="none"/>
        </w:rPr>
        <w:t>第八章询问或质疑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_Toc8165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ascii="宋体" w:hAnsi="宋体" w:cs="宋体"/>
          <w:color w:val="auto"/>
          <w:highlight w:val="none"/>
        </w:rPr>
        <w:t>29. 询问</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_Toc18663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"_Toc20114" </w:instrText>
      </w:r>
      <w:r>
        <w:rPr>
          <w:color w:val="auto"/>
          <w:highlight w:val="none"/>
        </w:rPr>
        <w:fldChar w:fldCharType="separate"/>
      </w:r>
      <w:r>
        <w:rPr>
          <w:rFonts w:hint="eastAsia" w:ascii="宋体" w:hAnsi="宋体" w:cs="宋体"/>
          <w:color w:val="auto"/>
          <w:highlight w:val="none"/>
        </w:rPr>
        <w:t>30. 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_Toc20114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cs="宋体"/>
          <w:color w:val="auto"/>
          <w:sz w:val="21"/>
          <w:szCs w:val="21"/>
          <w:highlight w:val="none"/>
        </w:rPr>
        <w:t>第九章成交服务费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_Toc5551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"_Toc26991" </w:instrText>
      </w:r>
      <w:r>
        <w:rPr>
          <w:color w:val="auto"/>
          <w:highlight w:val="none"/>
        </w:rPr>
        <w:fldChar w:fldCharType="separate"/>
      </w:r>
      <w:r>
        <w:rPr>
          <w:rFonts w:hint="eastAsia" w:ascii="宋体" w:hAnsi="宋体" w:cs="宋体"/>
          <w:color w:val="auto"/>
          <w:highlight w:val="none"/>
        </w:rPr>
        <w:t>31. 成交服务费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_Toc26991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eastAsia" w:cs="宋体"/>
          <w:color w:val="auto"/>
          <w:sz w:val="21"/>
          <w:szCs w:val="21"/>
          <w:highlight w:val="none"/>
        </w:rPr>
        <w:t>第十章其他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_Toc7834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"_Toc10953" </w:instrText>
      </w:r>
      <w:r>
        <w:rPr>
          <w:color w:val="auto"/>
          <w:highlight w:val="none"/>
        </w:rPr>
        <w:fldChar w:fldCharType="separate"/>
      </w:r>
      <w:r>
        <w:rPr>
          <w:rFonts w:hint="eastAsia" w:ascii="宋体" w:hAnsi="宋体" w:cs="宋体"/>
          <w:color w:val="auto"/>
          <w:highlight w:val="none"/>
        </w:rPr>
        <w:t>32. 磋商文件的解释权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_Toc10953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"_Toc3162"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_Toc3162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_Toc31162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"_Toc19981"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_Toc19981 \h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"_Toc17329"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_Toc17329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_Toc29470 \h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"_Toc15158" </w:instrText>
      </w:r>
      <w:r>
        <w:rPr>
          <w:color w:val="auto"/>
          <w:highlight w:val="none"/>
        </w:rPr>
        <w:fldChar w:fldCharType="separate"/>
      </w:r>
      <w:r>
        <w:rPr>
          <w:rFonts w:hint="eastAsia" w:cs="宋体"/>
          <w:color w:val="auto"/>
          <w:sz w:val="21"/>
          <w:szCs w:val="21"/>
          <w:highlight w:val="none"/>
        </w:rPr>
        <w:t>第七部分  响应文件格式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_Toc15158 \h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"_Toc2434" </w:instrText>
      </w:r>
      <w:r>
        <w:rPr>
          <w:color w:val="auto"/>
          <w:highlight w:val="none"/>
        </w:rPr>
        <w:fldChar w:fldCharType="separate"/>
      </w:r>
      <w:r>
        <w:rPr>
          <w:rFonts w:hint="eastAsia" w:ascii="宋体" w:hAnsi="宋体" w:cs="宋体"/>
          <w:color w:val="auto"/>
          <w:highlight w:val="none"/>
        </w:rPr>
        <w:t>响应文件目录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_Toc2434 \h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_Toc28116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"_Toc19057"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_Toc19057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ascii="宋体" w:hAnsi="宋体" w:cs="宋体"/>
          <w:color w:val="auto"/>
          <w:highlight w:val="none"/>
        </w:rPr>
        <w:t>一、报价一览表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_Toc29262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"_Toc29258"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_Toc29258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"_Toc14734"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_Toc14734 \h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"_Toc17483"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_Toc17483 \h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"_Toc8170"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_Toc8170 \h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"_Toc312"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_Toc312 \h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_Toc2486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ascii="宋体" w:hAnsi="宋体" w:cs="宋体"/>
          <w:color w:val="auto"/>
          <w:highlight w:val="none"/>
        </w:rPr>
        <w:t>一、响应函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_Toc4151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"_Toc27961"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_Toc27961 \h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"_Toc21335"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_Toc21335 \h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"_Toc32128"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_Toc32128 \h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"_Toc11689"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_Toc11689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"_Toc1197" </w:instrText>
      </w:r>
      <w:r>
        <w:rPr>
          <w:color w:val="auto"/>
          <w:highlight w:val="none"/>
        </w:rPr>
        <w:fldChar w:fldCharType="separate"/>
      </w:r>
      <w:r>
        <w:rPr>
          <w:rFonts w:hint="eastAsia" w:ascii="宋体" w:hAnsi="宋体" w:cs="宋体"/>
          <w:color w:val="auto"/>
          <w:highlight w:val="none"/>
        </w:rPr>
        <w:t>六、供应商基本情况说明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_Toc1197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"_Toc11992"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_Toc11992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"_Toc12706"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_Toc12706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"_Toc14482"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_Toc14482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"_Toc31815"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_Toc31815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"_Toc21582"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_Toc21582 \h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_Toc7350 \h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"_Toc25650"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_Toc25650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"_Toc13588"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_Toc13588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"_Toc28702"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_Toc28702 \h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s="宋体"/>
          <w:color w:val="auto"/>
          <w:highlight w:val="none"/>
        </w:rPr>
        <w:t>三、实质性条款（标记★）响应表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_Toc25570 \h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"_Toc14250"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_Toc14250 \h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"_Toc16875"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_Toc16875 \h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"_Toc27978" </w:instrText>
      </w:r>
      <w:r>
        <w:rPr>
          <w:color w:val="auto"/>
          <w:highlight w:val="none"/>
        </w:rPr>
        <w:fldChar w:fldCharType="separate"/>
      </w:r>
      <w:r>
        <w:rPr>
          <w:rFonts w:hint="eastAsia" w:ascii="宋体" w:hAnsi="宋体" w:cs="宋体"/>
          <w:color w:val="auto"/>
          <w:highlight w:val="none"/>
        </w:rPr>
        <w:t>六、响应货物明细一览表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_Toc27978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"_Toc31841"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_Toc31841 \h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"_Toc17348" </w:instrText>
      </w:r>
      <w:r>
        <w:rPr>
          <w:color w:val="auto"/>
          <w:highlight w:val="none"/>
        </w:rPr>
        <w:fldChar w:fldCharType="separate"/>
      </w:r>
      <w:r>
        <w:rPr>
          <w:rFonts w:hint="eastAsia" w:ascii="宋体" w:hAnsi="宋体" w:cs="宋体"/>
          <w:color w:val="auto"/>
          <w:highlight w:val="none"/>
        </w:rPr>
        <w:t>第四章报价信封（单独封装）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_Toc17348 \h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"_Toc13881" </w:instrText>
      </w:r>
      <w:r>
        <w:rPr>
          <w:color w:val="auto"/>
          <w:highlight w:val="none"/>
        </w:rPr>
        <w:fldChar w:fldCharType="separate"/>
      </w:r>
      <w:r>
        <w:rPr>
          <w:rFonts w:hint="eastAsia" w:ascii="宋体" w:hAnsi="宋体" w:cs="宋体"/>
          <w:color w:val="auto"/>
          <w:highlight w:val="none"/>
        </w:rPr>
        <w:t>第五章联合体共同报价协议书（如有需要）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_Toc13881 \h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第一部分 磋商邀请</w:t>
      </w:r>
      <w:bookmarkEnd w:id="0"/>
      <w:bookmarkEnd w:id="1"/>
    </w:p>
    <w:p>
      <w:pPr>
        <w:pStyle w:val="6"/>
        <w:jc w:val="center"/>
        <w:rPr>
          <w:rFonts w:ascii="宋体" w:hAnsi="宋体" w:cs="宋体"/>
          <w:color w:val="auto"/>
          <w:highlight w:val="none"/>
        </w:rPr>
      </w:pPr>
      <w:bookmarkStart w:id="2" w:name="_Toc1420"/>
      <w:bookmarkStart w:id="3" w:name="_Toc7988"/>
      <w:bookmarkStart w:id="4" w:name="_Toc8850"/>
      <w:r>
        <w:rPr>
          <w:rFonts w:hint="eastAsia" w:ascii="宋体" w:hAnsi="宋体" w:cs="宋体"/>
          <w:color w:val="auto"/>
          <w:highlight w:val="none"/>
        </w:rPr>
        <w:t>磋商邀请书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rPr>
        <w:t>东莞市横沥资产经营管理有限公司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东莞市横沥资产经营管理有限公司厂房城市更新项目地上建筑物拆零变现工程</w:t>
      </w:r>
      <w:r>
        <w:rPr>
          <w:rFonts w:hint="eastAsia" w:ascii="宋体" w:hAnsi="宋体" w:cs="Times New Roman"/>
          <w:color w:val="auto"/>
          <w:szCs w:val="21"/>
          <w:highlight w:val="none"/>
        </w:rPr>
        <w:t>进行国内竞争性磋商采购</w:t>
      </w:r>
      <w:r>
        <w:rPr>
          <w:rFonts w:hint="eastAsia" w:ascii="宋体" w:hAnsi="宋体"/>
          <w:color w:val="auto"/>
          <w:szCs w:val="21"/>
          <w:highlight w:val="none"/>
        </w:rPr>
        <w:t>，欢迎符合磋商文件要求的国内供应商参加</w:t>
      </w:r>
      <w:r>
        <w:rPr>
          <w:rFonts w:hint="eastAsia" w:hAnsi="宋体"/>
          <w:color w:val="auto"/>
          <w:szCs w:val="21"/>
          <w:highlight w:val="none"/>
        </w:rPr>
        <w:t>参与本次政府采购活动</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项目编号：GDZT2022149B；</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东莞市横沥资产经营管理有限公司厂房城市更新项目地上建筑物拆零变现工程</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7"/>
        <w:gridCol w:w="7359"/>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441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29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2"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w:t>
            </w:r>
          </w:p>
        </w:tc>
        <w:tc>
          <w:tcPr>
            <w:tcW w:w="4414"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 w:val="22"/>
                <w:highlight w:val="none"/>
                <w:lang w:eastAsia="zh-CN"/>
              </w:rPr>
            </w:pPr>
            <w:r>
              <w:rPr>
                <w:rFonts w:hint="eastAsia" w:ascii="宋体" w:hAnsi="宋体"/>
                <w:b/>
                <w:color w:val="auto"/>
                <w:szCs w:val="21"/>
                <w:highlight w:val="none"/>
                <w:u w:val="single"/>
                <w:lang w:eastAsia="zh-CN"/>
              </w:rPr>
              <w:t>东莞市横沥资产经营管理有限公司厂房城市更新项目地上建筑物拆零变现工程</w:t>
            </w:r>
          </w:p>
        </w:tc>
        <w:tc>
          <w:tcPr>
            <w:tcW w:w="292"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s="宋体"/>
                <w:color w:val="auto"/>
                <w:sz w:val="22"/>
                <w:highlight w:val="none"/>
              </w:rPr>
              <w:t>1项</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供应商的单位负责人为同一人或者存在直接控股、管理关系的不同供应商，不得参加同一合同项下的政府采购活动。为本项目提供整体设计、规范编制或者项目管理、监理、检测等服务的供应商，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响应截止日当天在“信用中国”网站及中国政府采购网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pStyle w:val="2"/>
        <w:spacing w:before="0"/>
        <w:ind w:left="0"/>
        <w:rPr>
          <w:color w:val="auto"/>
          <w:sz w:val="21"/>
          <w:szCs w:val="21"/>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11" w:firstLineChars="196"/>
        <w:rPr>
          <w:rFonts w:ascii="宋体" w:hAnsi="宋体"/>
          <w:color w:val="auto"/>
          <w:szCs w:val="21"/>
          <w:highlight w:val="none"/>
        </w:rPr>
      </w:pPr>
      <w:r>
        <w:rPr>
          <w:rFonts w:hint="eastAsia"/>
          <w:color w:val="auto"/>
          <w:highlight w:val="none"/>
        </w:rPr>
        <w:t>供应商须具有有效期内建筑施工总承包资质叁级（或以上）资质</w:t>
      </w:r>
      <w:r>
        <w:rPr>
          <w:rFonts w:hint="eastAsia" w:ascii="宋体" w:hAnsi="宋体" w:cs="Times New Roman"/>
          <w:color w:val="auto"/>
          <w:szCs w:val="21"/>
          <w:highlight w:val="none"/>
        </w:rPr>
        <w:t>。</w:t>
      </w:r>
    </w:p>
    <w:p>
      <w:pPr>
        <w:ind w:firstLine="411" w:firstLineChars="196"/>
        <w:rPr>
          <w:rFonts w:ascii="宋体" w:hAnsi="宋体"/>
          <w:color w:val="auto"/>
          <w:szCs w:val="21"/>
          <w:highlight w:val="none"/>
        </w:rPr>
      </w:pPr>
      <w:r>
        <w:rPr>
          <w:rFonts w:hint="eastAsia" w:ascii="宋体" w:hAnsi="宋体" w:cs="Times New Roman"/>
          <w:color w:val="auto"/>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三、项目公示时间、磋商文件领购时间、地点、方式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1、项目公示时间：2022年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2、磋商文件领购</w:t>
      </w:r>
      <w:r>
        <w:rPr>
          <w:rFonts w:ascii="宋体" w:hAnsi="宋体"/>
          <w:color w:val="auto"/>
          <w:szCs w:val="21"/>
          <w:highlight w:val="none"/>
        </w:rPr>
        <w:t>时间：</w:t>
      </w:r>
      <w:r>
        <w:rPr>
          <w:rFonts w:hint="eastAsia" w:ascii="宋体" w:hAnsi="宋体"/>
          <w:color w:val="auto"/>
          <w:szCs w:val="21"/>
          <w:highlight w:val="none"/>
        </w:rPr>
        <w:t>2022年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注：（1）供应商可自购价：人民币300元整）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（2）现场支持现金支行打印磋商文件最后1页中的“获取磋商文件登记表”进行填写并带到现场进行领购，并现场领取发票。（磋商文件领付、微信支付、支付宝支付等支付方式，请将相应表格交予我司简小姐。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（3）磋商文件电子版可在政通招标网（http://www.zttendering.com/）相关招标信息公告下自行下载。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3、磋商文件领购地点：东莞市南城街道鸿福路199号（市民服务中心）411室。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4、磋商文件领购方式：现场领购。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供应商在领购磋商文件时须提供如下证明材料：《营业执照》复印件（加盖公章）或《事业单位法人证书》复印件（加盖公章）或其他主体证书复印件（加盖公章），自然人参加报价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五、响应截止时间、开标时间及地点</w:t>
      </w:r>
    </w:p>
    <w:p>
      <w:pPr>
        <w:ind w:firstLine="411" w:firstLineChars="196"/>
        <w:rPr>
          <w:rFonts w:ascii="宋体" w:hAnsi="宋体"/>
          <w:bCs/>
          <w:color w:val="auto"/>
          <w:szCs w:val="21"/>
          <w:highlight w:val="none"/>
        </w:rPr>
      </w:pPr>
      <w:r>
        <w:rPr>
          <w:rFonts w:hint="eastAsia" w:ascii="宋体" w:hAnsi="宋体"/>
          <w:bCs/>
          <w:color w:val="auto"/>
          <w:szCs w:val="21"/>
          <w:highlight w:val="none"/>
        </w:rPr>
        <w:t>1、递交响应文件时间：2022年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30</w:t>
      </w:r>
      <w:r>
        <w:rPr>
          <w:rFonts w:hint="eastAsia" w:ascii="宋体" w:hAnsi="宋体"/>
          <w:bCs/>
          <w:color w:val="auto"/>
          <w:szCs w:val="21"/>
          <w:highlight w:val="none"/>
        </w:rPr>
        <w:t>～</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00</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r>
        <w:rPr>
          <w:rFonts w:hint="eastAsia" w:ascii="宋体" w:hAnsi="宋体"/>
          <w:bCs/>
          <w:color w:val="auto"/>
          <w:szCs w:val="21"/>
          <w:highlight w:val="none"/>
        </w:rPr>
        <w:t>2、响应截止及开标时间：2022年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7</w:t>
      </w:r>
      <w:r>
        <w:rPr>
          <w:rFonts w:hint="eastAsia" w:ascii="宋体" w:hAnsi="宋体"/>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00</w:t>
      </w:r>
      <w:r>
        <w:rPr>
          <w:rFonts w:hint="eastAsia" w:ascii="宋体" w:hAnsi="宋体"/>
          <w:bCs/>
          <w:color w:val="auto"/>
          <w:szCs w:val="21"/>
          <w:highlight w:val="none"/>
        </w:rPr>
        <w:t>分。</w:t>
      </w:r>
    </w:p>
    <w:p>
      <w:pPr>
        <w:ind w:firstLine="411" w:firstLineChars="196"/>
        <w:rPr>
          <w:rFonts w:ascii="宋体" w:hAnsi="宋体"/>
          <w:bCs/>
          <w:color w:val="auto"/>
          <w:szCs w:val="21"/>
          <w:highlight w:val="none"/>
        </w:rPr>
      </w:pPr>
      <w:r>
        <w:rPr>
          <w:rFonts w:hint="eastAsia" w:ascii="宋体" w:hAnsi="宋体"/>
          <w:bCs/>
          <w:color w:val="auto"/>
          <w:szCs w:val="21"/>
          <w:highlight w:val="none"/>
        </w:rPr>
        <w:t>3、接收响应文件地点：东莞市南城街道鸿福路199号（市民服务中心）411室。</w:t>
      </w:r>
    </w:p>
    <w:p>
      <w:pPr>
        <w:rPr>
          <w:color w:val="auto"/>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张工</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0769-83717636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2022年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p>
    <w:p>
      <w:pPr>
        <w:pStyle w:val="2"/>
        <w:rPr>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rPr>
          <w:color w:val="auto"/>
          <w:sz w:val="28"/>
          <w:szCs w:val="28"/>
          <w:highlight w:val="none"/>
        </w:rPr>
      </w:pPr>
      <w:bookmarkStart w:id="5" w:name="_Toc31060"/>
      <w:bookmarkStart w:id="6" w:name="_Toc28550"/>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第二部分</w:t>
      </w:r>
      <w:bookmarkStart w:id="7" w:name="_Toc20683"/>
      <w:r>
        <w:rPr>
          <w:rFonts w:hint="eastAsia"/>
          <w:color w:val="auto"/>
          <w:sz w:val="28"/>
          <w:szCs w:val="28"/>
          <w:highlight w:val="none"/>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项目限价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磋商语言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详见供应商须知。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磋商保证金：本项目不需提供磋商保证金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供应商应提交以下响应文件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报价文件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小型或微型企业、监狱企业、残疾人福利性单位磋商价格折扣标准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s="宋体"/>
                <w:color w:val="auto"/>
                <w:kern w:val="2"/>
                <w:szCs w:val="21"/>
                <w:highlight w:val="none"/>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供应商符合须知“优惠政策”中联合体规定的响应价格折扣标准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供应商所投产品为获得节能产品认证或环境标志产品认证证书的价格折扣标准（相关规定详见供应商须知“优惠政策”）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lang w:eastAsia="zh-CN"/>
              </w:rPr>
              <w:t>中标（成交）</w:t>
            </w:r>
            <w:r>
              <w:rPr>
                <w:rFonts w:hint="eastAsia" w:ascii="宋体" w:hAnsi="宋体"/>
                <w:b/>
                <w:color w:val="auto"/>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（1）本项目固定收取</w:t>
            </w:r>
            <w:r>
              <w:rPr>
                <w:rFonts w:hint="eastAsia" w:ascii="宋体" w:hAnsi="宋体"/>
                <w:color w:val="auto"/>
                <w:szCs w:val="21"/>
                <w:highlight w:val="none"/>
                <w:lang w:eastAsia="zh-CN"/>
              </w:rPr>
              <w:t>中标（成交）</w:t>
            </w:r>
            <w:r>
              <w:rPr>
                <w:rFonts w:hint="eastAsia" w:ascii="宋体" w:hAnsi="宋体"/>
                <w:color w:val="auto"/>
                <w:szCs w:val="21"/>
                <w:highlight w:val="none"/>
              </w:rPr>
              <w:t>服务费金额为人民币</w:t>
            </w:r>
            <w:r>
              <w:rPr>
                <w:rFonts w:hint="eastAsia" w:ascii="宋体" w:hAnsi="宋体"/>
                <w:color w:val="auto"/>
                <w:szCs w:val="21"/>
                <w:highlight w:val="none"/>
                <w:lang w:val="en-US" w:eastAsia="zh-CN"/>
              </w:rPr>
              <w:t>伍仟</w:t>
            </w:r>
            <w:r>
              <w:rPr>
                <w:rFonts w:hint="eastAsia" w:ascii="宋体" w:hAnsi="宋体"/>
                <w:color w:val="auto"/>
                <w:szCs w:val="21"/>
                <w:highlight w:val="none"/>
              </w:rPr>
              <w:t>元整（¥</w:t>
            </w:r>
            <w:r>
              <w:rPr>
                <w:rFonts w:hint="eastAsia" w:ascii="宋体" w:hAnsi="宋体"/>
                <w:color w:val="auto"/>
                <w:szCs w:val="21"/>
                <w:highlight w:val="none"/>
                <w:lang w:val="en-US" w:eastAsia="zh-CN"/>
              </w:rPr>
              <w:t>5</w:t>
            </w:r>
            <w:r>
              <w:rPr>
                <w:rFonts w:hint="eastAsia" w:ascii="宋体" w:hAnsi="宋体"/>
                <w:color w:val="auto"/>
                <w:szCs w:val="21"/>
                <w:highlight w:val="none"/>
              </w:rPr>
              <w:t>,000.00），向</w:t>
            </w:r>
            <w:r>
              <w:rPr>
                <w:rFonts w:hint="eastAsia" w:ascii="宋体" w:hAnsi="宋体"/>
                <w:color w:val="auto"/>
                <w:szCs w:val="21"/>
                <w:highlight w:val="none"/>
                <w:lang w:eastAsia="zh-CN"/>
              </w:rPr>
              <w:t>中标（成交）</w:t>
            </w:r>
            <w:r>
              <w:rPr>
                <w:rFonts w:hint="eastAsia" w:ascii="宋体" w:hAnsi="宋体"/>
                <w:color w:val="auto"/>
                <w:szCs w:val="21"/>
                <w:highlight w:val="none"/>
              </w:rPr>
              <w:t>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中标（成交）</w:t>
            </w:r>
            <w:r>
              <w:rPr>
                <w:rFonts w:hint="eastAsia" w:ascii="宋体" w:hAnsi="宋体"/>
                <w:color w:val="auto"/>
                <w:szCs w:val="21"/>
                <w:highlight w:val="none"/>
              </w:rPr>
              <w:t>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w:t>
            </w:r>
          </w:p>
        </w:tc>
      </w:tr>
    </w:tbl>
    <w:p>
      <w:pPr>
        <w:rPr>
          <w:color w:val="auto"/>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rPr>
          <w:color w:val="auto"/>
          <w:sz w:val="28"/>
          <w:szCs w:val="28"/>
          <w:highlight w:val="none"/>
        </w:rPr>
      </w:pPr>
      <w:bookmarkStart w:id="8" w:name="_Toc4043"/>
      <w:bookmarkStart w:id="9" w:name="_Toc13473"/>
      <w:bookmarkStart w:id="10" w:name="_Hlk55300595"/>
      <w:bookmarkStart w:id="11" w:name="_Toc9572"/>
      <w:r>
        <w:rPr>
          <w:rFonts w:hint="eastAsia"/>
          <w:color w:val="auto"/>
          <w:sz w:val="28"/>
          <w:szCs w:val="28"/>
          <w:highlight w:val="none"/>
        </w:rPr>
        <w:br w:type="page"/>
      </w:r>
    </w:p>
    <w:p>
      <w:pPr>
        <w:pStyle w:val="5"/>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6"/>
        <w:spacing w:line="240" w:lineRule="auto"/>
        <w:jc w:val="center"/>
        <w:rPr>
          <w:rFonts w:ascii="宋体" w:hAnsi="宋体" w:cs="宋体"/>
          <w:color w:val="auto"/>
          <w:sz w:val="24"/>
          <w:szCs w:val="24"/>
          <w:highlight w:val="none"/>
        </w:rPr>
      </w:pPr>
      <w:bookmarkStart w:id="15" w:name="_Toc18413"/>
      <w:bookmarkStart w:id="16" w:name="_Toc462"/>
      <w:r>
        <w:rPr>
          <w:rFonts w:hint="eastAsia" w:ascii="宋体" w:hAnsi="宋体" w:cs="宋体"/>
          <w:color w:val="auto"/>
          <w:sz w:val="24"/>
          <w:szCs w:val="24"/>
          <w:highlight w:val="none"/>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价格评分（40分）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adjustRightInd/>
              <w:snapToGrid/>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满足磋商文件要求且最终响应总价（即成交人需支付给采购人总金额）最高的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报价为评标基准价，其他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的价格分统一按照下列公式计算：</w:t>
            </w:r>
          </w:p>
          <w:p>
            <w:pPr>
              <w:adjustRightInd/>
              <w:snapToGrid/>
              <w:spacing w:line="240" w:lineRule="auto"/>
              <w:ind w:firstLine="420" w:firstLineChars="200"/>
              <w:rPr>
                <w:rFonts w:ascii="宋体" w:hAnsi="宋体" w:cs="宋体"/>
                <w:bCs/>
                <w:color w:val="auto"/>
                <w:szCs w:val="21"/>
                <w:highlight w:val="none"/>
                <w:lang w:val="zh-CN"/>
              </w:rPr>
            </w:pPr>
            <w:r>
              <w:rPr>
                <w:rFonts w:hint="eastAsia" w:ascii="宋体" w:hAnsi="宋体" w:cs="宋体"/>
                <w:color w:val="auto"/>
                <w:szCs w:val="21"/>
                <w:highlight w:val="none"/>
              </w:rPr>
              <w:t>响应报价得分=（最终响应总价（即成交人需支付给采购人总金额）/评标基准价）×40×100%</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商务技术评分（60分）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供应商</w:t>
            </w:r>
            <w:r>
              <w:rPr>
                <w:rFonts w:hint="eastAsia" w:ascii="宋体" w:eastAsia="宋体" w:cs="宋体"/>
                <w:bCs/>
                <w:color w:val="auto"/>
                <w:sz w:val="21"/>
                <w:szCs w:val="21"/>
                <w:highlight w:val="none"/>
              </w:rPr>
              <w:t>具有建筑物拆除类</w:t>
            </w:r>
            <w:r>
              <w:rPr>
                <w:rFonts w:hint="eastAsia" w:ascii="宋体" w:eastAsia="宋体" w:cs="宋体"/>
                <w:bCs/>
                <w:color w:val="auto"/>
                <w:sz w:val="21"/>
                <w:szCs w:val="21"/>
                <w:highlight w:val="none"/>
                <w:lang w:val="zh-CN"/>
              </w:rPr>
              <w:t>项目业绩</w:t>
            </w:r>
            <w:r>
              <w:rPr>
                <w:rFonts w:hint="eastAsia" w:ascii="宋体" w:eastAsia="宋体" w:cs="宋体"/>
                <w:bCs/>
                <w:color w:val="auto"/>
                <w:sz w:val="21"/>
                <w:szCs w:val="21"/>
                <w:highlight w:val="none"/>
              </w:rPr>
              <w:t>的</w:t>
            </w:r>
            <w:r>
              <w:rPr>
                <w:rFonts w:hint="eastAsia" w:asci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rPr>
              <w:t>1</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rPr>
              <w:t>5</w:t>
            </w:r>
            <w:r>
              <w:rPr>
                <w:rFonts w:hint="eastAsia" w:ascii="宋体" w:eastAsia="宋体" w:cs="宋体"/>
                <w:bCs/>
                <w:color w:val="auto"/>
                <w:sz w:val="21"/>
                <w:szCs w:val="21"/>
                <w:highlight w:val="none"/>
                <w:lang w:val="zh-CN"/>
              </w:rPr>
              <w:t>分。</w:t>
            </w:r>
          </w:p>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注：须提供合同复印件并加盖供应商公章，</w:t>
            </w:r>
            <w:r>
              <w:rPr>
                <w:rFonts w:hint="eastAsia" w:ascii="宋体" w:eastAsia="宋体" w:cs="宋体"/>
                <w:bCs/>
                <w:color w:val="auto"/>
                <w:sz w:val="21"/>
                <w:szCs w:val="21"/>
                <w:highlight w:val="none"/>
              </w:rPr>
              <w:t>否则</w:t>
            </w:r>
            <w:r>
              <w:rPr>
                <w:rFonts w:hint="eastAsia" w:asci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根据供应商对本项目现场的熟悉程度、理解及项目重点和难点的分析，以及根据项目重点和难点所采取的措施等进行综合评价：</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现场的熟悉程度深入，重点和难点分析合理、所采取的应急计划和措施可行性强，得8分；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现场的熟悉程度较深入，重点和难点分析较合理、所采取的应急计划和措施可行性较强，得5分；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现场的熟悉程度一般，重点和难点分析基本合理、所采取的应急计划和措施可行性一般，得3分；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现场的熟悉程度肤浅，重点和难点分析基本合理、所采取的应急计划和措施可行性较差，得1分；</w:t>
            </w:r>
          </w:p>
          <w:p>
            <w:pPr>
              <w:spacing w:line="24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项目实施</w:t>
            </w:r>
            <w:r>
              <w:rPr>
                <w:rFonts w:hint="eastAsia" w:ascii="宋体" w:eastAsia="宋体" w:cs="宋体"/>
                <w:color w:val="auto"/>
                <w:sz w:val="21"/>
                <w:szCs w:val="21"/>
                <w:highlight w:val="none"/>
                <w:lang w:val="zh-CN"/>
              </w:rPr>
              <w:t>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供应商提供的</w:t>
            </w:r>
            <w:r>
              <w:rPr>
                <w:rFonts w:hint="eastAsia" w:ascii="宋体" w:cs="宋体"/>
                <w:color w:val="auto"/>
                <w:szCs w:val="21"/>
                <w:highlight w:val="none"/>
              </w:rPr>
              <w:t>项目实施</w:t>
            </w:r>
            <w:r>
              <w:rPr>
                <w:rFonts w:hint="eastAsia" w:ascii="宋体" w:hAnsi="宋体" w:cs="宋体"/>
                <w:bCs/>
                <w:color w:val="auto"/>
                <w:szCs w:val="21"/>
                <w:highlight w:val="none"/>
                <w:lang w:val="zh-CN"/>
              </w:rPr>
              <w:t>方案的</w:t>
            </w:r>
            <w:r>
              <w:rPr>
                <w:rFonts w:hint="eastAsia" w:ascii="宋体" w:hAnsi="宋体" w:cs="宋体"/>
                <w:bCs/>
                <w:color w:val="auto"/>
                <w:szCs w:val="21"/>
                <w:highlight w:val="none"/>
              </w:rPr>
              <w:t>针对</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合理</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可行</w:t>
            </w:r>
            <w:r>
              <w:rPr>
                <w:rFonts w:hint="eastAsia" w:ascii="宋体" w:hAnsi="宋体" w:cs="宋体"/>
                <w:bCs/>
                <w:color w:val="auto"/>
                <w:szCs w:val="21"/>
                <w:highlight w:val="none"/>
                <w:lang w:val="zh-CN"/>
              </w:rPr>
              <w:t>性等进行综合评价：</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项目实施方案针对性强、合理、可行，得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合理、</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可行，得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项目实施方案针对性一般、合理</w:t>
            </w:r>
            <w:r>
              <w:rPr>
                <w:rFonts w:hint="eastAsia" w:ascii="宋体" w:hAnsi="宋体" w:cs="宋体"/>
                <w:bCs/>
                <w:color w:val="auto"/>
                <w:szCs w:val="21"/>
                <w:highlight w:val="none"/>
              </w:rPr>
              <w:t>性一般</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项目实施方案针对性差、不够合理，得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w:t>
            </w:r>
            <w:r>
              <w:rPr>
                <w:rFonts w:hint="eastAsia" w:ascii="宋体" w:hAnsi="宋体" w:cs="宋体"/>
                <w:bCs/>
                <w:color w:val="auto"/>
                <w:szCs w:val="21"/>
                <w:highlight w:val="none"/>
                <w:lang w:val="zh-CN"/>
              </w:rPr>
              <w:t>提供的安全文明措施、配套设备设施、达到的标准及承诺等进行综合评价:</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完整、可行性强，完全满足并优于采购文件要求，得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强，满足采购文件要求，得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完整、可行性一般，符合采购文件要求，得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基本完整、可行性较差，基本符合采购文件要求，得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根据供应商提供的应急方案（包括但不限于人员应急方案、现场施工应急方案、恶劣天气应急方案等）进行综合评</w:t>
            </w:r>
            <w:r>
              <w:rPr>
                <w:rFonts w:hint="eastAsia" w:ascii="宋体" w:hAnsi="宋体" w:cs="宋体"/>
                <w:bCs/>
                <w:color w:val="auto"/>
                <w:szCs w:val="21"/>
                <w:highlight w:val="none"/>
              </w:rPr>
              <w:t>价</w:t>
            </w:r>
            <w:r>
              <w:rPr>
                <w:rFonts w:hint="eastAsia" w:ascii="宋体" w:hAnsi="宋体" w:cs="宋体"/>
                <w:bCs/>
                <w:color w:val="auto"/>
                <w:szCs w:val="21"/>
                <w:highlight w:val="none"/>
                <w:lang w:val="zh-CN"/>
              </w:rPr>
              <w:t>：</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方案完整，可操作性强，可行性强，针对性强，得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完整，可操作性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强，针对性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方案基本完整，可操作性一般，可行性一般，针对性一般，得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方案不完整，可操作性差，可行性差，针对性差，得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bCs/>
                <w:color w:val="auto"/>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供应商提供的</w:t>
            </w:r>
            <w:r>
              <w:rPr>
                <w:rFonts w:hint="eastAsia" w:ascii="宋体" w:hAnsi="宋体" w:cs="宋体"/>
                <w:bCs/>
                <w:color w:val="auto"/>
                <w:szCs w:val="21"/>
                <w:highlight w:val="none"/>
                <w:lang w:val="zh-CN"/>
              </w:rPr>
              <w:t>验收方案、承诺验收达到标准、整改方案及标准等进行综合评价:</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完整、可行性强，完全满足并优于采购文件要求，得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强，满足采购文件要求，得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完整、可行性一般，符合采购文件要求，得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基本完整、可行性较差，基本符合采购文件要求，得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24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7</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w:t>
            </w:r>
            <w:r>
              <w:rPr>
                <w:rFonts w:hint="eastAsia" w:ascii="宋体" w:eastAsia="宋体" w:cs="宋体"/>
                <w:color w:val="auto"/>
                <w:sz w:val="21"/>
                <w:szCs w:val="21"/>
                <w:highlight w:val="none"/>
                <w:lang w:eastAsia="zh-CN"/>
              </w:rPr>
              <w:t>供应商</w:t>
            </w:r>
            <w:r>
              <w:rPr>
                <w:rFonts w:hint="eastAsia" w:ascii="宋体" w:eastAsia="宋体" w:cs="宋体"/>
                <w:color w:val="auto"/>
                <w:sz w:val="21"/>
                <w:szCs w:val="21"/>
                <w:highlight w:val="none"/>
              </w:rPr>
              <w:t>的规章管理制度进行综合评审：</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制度详细完整，可行性强，得7分。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制度基本完整，可行性一般，得4分。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pPr>
              <w:spacing w:line="240" w:lineRule="auto"/>
              <w:ind w:firstLine="420" w:firstLineChars="200"/>
              <w:rPr>
                <w:rFonts w:ascii="宋体" w:hAnsi="宋体" w:cs="宋体"/>
                <w:bCs/>
                <w:color w:val="auto"/>
                <w:szCs w:val="21"/>
                <w:highlight w:val="none"/>
                <w:lang w:val="zh-CN"/>
              </w:rPr>
            </w:pPr>
            <w:r>
              <w:rPr>
                <w:rFonts w:hint="eastAsia" w:ascii="宋体" w:cs="宋体"/>
                <w:color w:val="auto"/>
                <w:szCs w:val="21"/>
                <w:highlight w:val="none"/>
              </w:rPr>
              <w:t>无提供规章管理制度，得0分。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（1）除特殊说明外，以上评审项，同一证明文件不重复计分。</w:t>
            </w:r>
          </w:p>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（2）供应商根据以上评分要求提供的响应材料因模糊不清导致评标委员会无法清晰辨认进行评审的，视为无效材料。</w:t>
            </w:r>
          </w:p>
          <w:p>
            <w:pPr>
              <w:pStyle w:val="35"/>
              <w:spacing w:line="240" w:lineRule="auto"/>
              <w:ind w:firstLine="0" w:firstLineChars="0"/>
              <w:jc w:val="left"/>
              <w:rPr>
                <w:rFonts w:ascii="宋体" w:eastAsia="宋体" w:cs="宋体"/>
                <w:bCs/>
                <w:color w:val="auto"/>
                <w:sz w:val="21"/>
                <w:szCs w:val="21"/>
                <w:highlight w:val="none"/>
              </w:rPr>
            </w:pPr>
            <w:r>
              <w:rPr>
                <w:rFonts w:hint="eastAsia" w:asci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3"/>
        <w:rPr>
          <w:color w:val="auto"/>
          <w:highlight w:val="none"/>
        </w:rPr>
      </w:pPr>
    </w:p>
    <w:p>
      <w:pPr>
        <w:pStyle w:val="3"/>
        <w:rPr>
          <w:color w:val="auto"/>
          <w:highlight w:val="none"/>
        </w:rPr>
      </w:pPr>
    </w:p>
    <w:p>
      <w:pPr>
        <w:pStyle w:val="3"/>
        <w:ind w:firstLine="240"/>
        <w:rPr>
          <w:color w:val="auto"/>
          <w:highlight w:val="none"/>
        </w:rPr>
      </w:pPr>
    </w:p>
    <w:p>
      <w:pPr>
        <w:rPr>
          <w:color w:val="auto"/>
          <w:highlight w:val="none"/>
        </w:rPr>
      </w:pPr>
    </w:p>
    <w:p>
      <w:pPr>
        <w:pStyle w:val="5"/>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第四部分 供应商须知</w:t>
      </w:r>
      <w:bookmarkEnd w:id="17"/>
      <w:bookmarkEnd w:id="18"/>
      <w:bookmarkEnd w:id="19"/>
    </w:p>
    <w:p>
      <w:pPr>
        <w:pStyle w:val="5"/>
        <w:keepNext w:val="0"/>
        <w:keepLines w:val="0"/>
        <w:spacing w:before="0" w:after="0" w:line="360" w:lineRule="auto"/>
        <w:jc w:val="center"/>
        <w:rPr>
          <w:rFonts w:ascii="宋体" w:hAnsi="宋体" w:eastAsia="宋体"/>
          <w:color w:val="auto"/>
          <w:sz w:val="24"/>
          <w:szCs w:val="21"/>
          <w:highlight w:val="none"/>
        </w:rPr>
      </w:pPr>
      <w:bookmarkStart w:id="21" w:name="_Toc6968687"/>
      <w:bookmarkStart w:id="22" w:name="_Toc466786434"/>
      <w:bookmarkStart w:id="23" w:name="_Toc6882675"/>
      <w:bookmarkStart w:id="24" w:name="_Toc28014"/>
      <w:bookmarkStart w:id="25" w:name="_Toc102277756"/>
      <w:bookmarkStart w:id="26" w:name="_Toc24057"/>
      <w:bookmarkStart w:id="27" w:name="_Toc507407359"/>
      <w:bookmarkStart w:id="28" w:name="_Toc480021037"/>
      <w:bookmarkStart w:id="29" w:name="_Toc479991566"/>
      <w:bookmarkStart w:id="30" w:name="_Toc48207756"/>
      <w:bookmarkStart w:id="31" w:name="_Toc480171863"/>
      <w:bookmarkStart w:id="32" w:name="_Toc467236724"/>
      <w:bookmarkStart w:id="33" w:name="_Toc458262599"/>
      <w:bookmarkStart w:id="34" w:name="_Toc467987807"/>
      <w:bookmarkStart w:id="35" w:name="_Toc468157520"/>
      <w:bookmarkStart w:id="36" w:name="_Toc480010692"/>
      <w:bookmarkStart w:id="37" w:name="_Toc480020241"/>
      <w:bookmarkStart w:id="38" w:name="_Toc468606013"/>
      <w:r>
        <w:rPr>
          <w:rFonts w:hint="eastAsia" w:ascii="宋体" w:hAnsi="宋体" w:eastAsia="宋体"/>
          <w:color w:val="auto"/>
          <w:sz w:val="24"/>
          <w:szCs w:val="21"/>
          <w:highlight w:val="none"/>
        </w:rPr>
        <w:t>第一章说  明</w:t>
      </w:r>
      <w:bookmarkEnd w:id="21"/>
      <w:bookmarkEnd w:id="22"/>
      <w:bookmarkEnd w:id="23"/>
      <w:bookmarkEnd w:id="24"/>
      <w:bookmarkEnd w:id="25"/>
      <w:bookmarkEnd w:id="26"/>
      <w:bookmarkEnd w:id="27"/>
    </w:p>
    <w:p>
      <w:pPr>
        <w:pStyle w:val="6"/>
        <w:keepNext w:val="0"/>
        <w:keepLines w:val="0"/>
        <w:numPr>
          <w:ilvl w:val="0"/>
          <w:numId w:val="3"/>
        </w:numPr>
        <w:adjustRightInd/>
        <w:rPr>
          <w:rFonts w:hAnsi="宋体"/>
          <w:color w:val="auto"/>
          <w:sz w:val="21"/>
          <w:szCs w:val="21"/>
          <w:highlight w:val="none"/>
        </w:rPr>
      </w:pPr>
      <w:bookmarkStart w:id="39" w:name="_Toc475249114"/>
      <w:bookmarkStart w:id="40" w:name="_Toc10228"/>
      <w:bookmarkStart w:id="41" w:name="_Toc17291"/>
      <w:r>
        <w:rPr>
          <w:rFonts w:hint="eastAsia" w:hAnsi="宋体"/>
          <w:color w:val="auto"/>
          <w:sz w:val="21"/>
          <w:szCs w:val="21"/>
          <w:highlight w:val="none"/>
        </w:rPr>
        <w:t>适用范围</w:t>
      </w:r>
      <w:bookmarkEnd w:id="39"/>
      <w:bookmarkEnd w:id="40"/>
      <w:bookmarkEnd w:id="41"/>
    </w:p>
    <w:p>
      <w:pPr>
        <w:numPr>
          <w:ilvl w:val="1"/>
          <w:numId w:val="4"/>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本磋商文件仅适用于本次采购邀请中所叙述的项目。</w:t>
      </w:r>
    </w:p>
    <w:p>
      <w:pPr>
        <w:rPr>
          <w:rFonts w:ascii="宋体" w:hAnsi="宋体" w:cs="宋体"/>
          <w:color w:val="auto"/>
          <w:szCs w:val="21"/>
          <w:highlight w:val="none"/>
        </w:rPr>
      </w:pPr>
      <w:bookmarkStart w:id="42" w:name="_Toc475249115"/>
    </w:p>
    <w:p>
      <w:pPr>
        <w:pStyle w:val="6"/>
        <w:keepNext w:val="0"/>
        <w:keepLines w:val="0"/>
        <w:numPr>
          <w:ilvl w:val="0"/>
          <w:numId w:val="3"/>
        </w:numPr>
        <w:adjustRightInd/>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“采购代理机构”是指广东政通招标有限公司。</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“供应商”指根据磋商文件要求进行文件领购并向采购代理机构提交响应文件参与本项目的法人。</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“货物”是指</w:t>
      </w:r>
      <w:r>
        <w:rPr>
          <w:rFonts w:ascii="宋体" w:hAnsi="宋体"/>
          <w:color w:val="auto"/>
          <w:szCs w:val="21"/>
          <w:highlight w:val="none"/>
        </w:rPr>
        <w:t>各种形态和种类的物品，包括原材料、燃料、设备、产品等</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“工程”是指建设工程，包括建筑物和构筑物的新建、改建、扩建及其相关的装修、拆除、修缮等。</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“语言”是指采购文件的语言为简体中文。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“日期”是指公历日。</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“时间”是指北京时间。</w:t>
      </w:r>
    </w:p>
    <w:p>
      <w:pPr>
        <w:rPr>
          <w:rFonts w:ascii="宋体" w:hAnsi="宋体" w:cs="宋体"/>
          <w:color w:val="auto"/>
          <w:szCs w:val="21"/>
          <w:highlight w:val="none"/>
        </w:rPr>
      </w:pPr>
      <w:bookmarkStart w:id="45" w:name="_Toc110953831"/>
      <w:bookmarkStart w:id="46" w:name="_Toc102277757"/>
      <w:bookmarkStart w:id="47" w:name="_Toc507407360"/>
      <w:bookmarkStart w:id="48" w:name="_Toc6882676"/>
      <w:bookmarkStart w:id="49" w:name="_Toc6968688"/>
      <w:bookmarkStart w:id="50" w:name="_Toc466786435"/>
    </w:p>
    <w:p>
      <w:pPr>
        <w:pStyle w:val="6"/>
        <w:keepNext w:val="0"/>
        <w:keepLines w:val="0"/>
        <w:numPr>
          <w:ilvl w:val="0"/>
          <w:numId w:val="3"/>
        </w:numPr>
        <w:adjustRightInd/>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6"/>
        <w:keepNext w:val="0"/>
        <w:keepLines w:val="0"/>
        <w:numPr>
          <w:ilvl w:val="0"/>
          <w:numId w:val="3"/>
        </w:numPr>
        <w:adjustRightInd/>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采购货物为计算机办公设备或含有计算机办公设备时，供应商提供的产品必须是预装正版操作系统软件的计算机产品。</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供应商提供的服务、货物经认定存在侵权行为的，其响应文件无效，并上报相关监管部门。</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对接受联合体报价的项目：两个以上的自然人、法人或者其他组织可以组成一个联合体，以一个供应商的身份共同参加政府采购。</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采购人根据采购项目的特殊要求规定供应商特定条件的，联合体各方中至少应当有一方符合采购人规定的特定条件。</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联合体中有同类资质的供应商按照联合体分工承担相同工作的，应当按照资质等级较低的联合体成员确定资质等级。</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除联合体协议明确授权盖章单位外，联合体报价时响应文件中所有要求盖章的地方均须加盖联合体所有组成成员的公章，否则该处盖章无效。</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rPr>
          <w:color w:val="auto"/>
          <w:highlight w:val="none"/>
        </w:rPr>
      </w:pPr>
    </w:p>
    <w:bookmarkEnd w:id="58"/>
    <w:p>
      <w:pPr>
        <w:pStyle w:val="6"/>
        <w:keepNext w:val="0"/>
        <w:keepLines w:val="0"/>
        <w:numPr>
          <w:ilvl w:val="0"/>
          <w:numId w:val="3"/>
        </w:numPr>
        <w:adjustRightInd/>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rPr>
          <w:rFonts w:ascii="宋体" w:hAnsi="宋体" w:cs="宋体"/>
          <w:color w:val="auto"/>
          <w:szCs w:val="21"/>
          <w:highlight w:val="none"/>
        </w:rPr>
      </w:pPr>
      <w:bookmarkStart w:id="61" w:name="_Toc98126220"/>
      <w:bookmarkStart w:id="62" w:name="_Toc98126295"/>
      <w:r>
        <w:rPr>
          <w:rFonts w:hint="eastAsia" w:ascii="宋体" w:hAnsi="宋体" w:cs="宋体"/>
          <w:color w:val="auto"/>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63" w:name="_Toc16198"/>
      <w:bookmarkStart w:id="64" w:name="_Toc110953834"/>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rPr>
          <w:rFonts w:ascii="宋体" w:hAnsi="宋体" w:cs="宋体"/>
          <w:color w:val="auto"/>
          <w:szCs w:val="21"/>
          <w:highlight w:val="none"/>
        </w:rPr>
      </w:pPr>
      <w:bookmarkStart w:id="66" w:name="_Toc98126222"/>
      <w:bookmarkStart w:id="67" w:name="_Toc98126297"/>
      <w:r>
        <w:rPr>
          <w:rFonts w:hint="eastAsia" w:ascii="宋体" w:hAnsi="宋体" w:cs="宋体"/>
          <w:color w:val="auto"/>
          <w:szCs w:val="21"/>
          <w:highlight w:val="none"/>
        </w:rPr>
        <w:t>凡参与采购工作的有关人员均应自觉接受有关主管部门的监督，不得向他人透露可能影响公平竞争的有关情况。</w:t>
      </w:r>
      <w:bookmarkEnd w:id="66"/>
      <w:bookmarkEnd w:id="6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在评审期间，供应商不得向磋商小组成员询问评审情况，不得进行旨在影响评审结果的活动。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供应商应承担所有与准备和参加报价有关的费用。不论报价的结果如何，采购代理机构和采购人均无义务和责任承担这些费用。</w:t>
      </w:r>
    </w:p>
    <w:p>
      <w:pPr>
        <w:ind w:firstLine="420" w:firstLineChars="200"/>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rPr>
        <w:t>第二章磋商文件说明</w:t>
      </w:r>
      <w:bookmarkEnd w:id="46"/>
      <w:bookmarkEnd w:id="47"/>
      <w:bookmarkEnd w:id="48"/>
      <w:bookmarkEnd w:id="49"/>
      <w:bookmarkEnd w:id="50"/>
      <w:bookmarkEnd w:id="68"/>
      <w:bookmarkEnd w:id="69"/>
    </w:p>
    <w:p>
      <w:pPr>
        <w:pStyle w:val="6"/>
        <w:keepNext w:val="0"/>
        <w:keepLines w:val="0"/>
        <w:numPr>
          <w:ilvl w:val="0"/>
          <w:numId w:val="3"/>
        </w:numPr>
        <w:adjustRightInd/>
        <w:rPr>
          <w:rFonts w:hAnsi="宋体"/>
          <w:color w:val="auto"/>
          <w:sz w:val="21"/>
          <w:szCs w:val="21"/>
          <w:highlight w:val="none"/>
        </w:rPr>
      </w:pPr>
      <w:bookmarkStart w:id="70" w:name="_Toc21439"/>
      <w:bookmarkStart w:id="71" w:name="_Toc110953836"/>
      <w:bookmarkStart w:id="72" w:name="_Toc4511"/>
      <w:bookmarkStart w:id="73" w:name="_Toc466786436"/>
      <w:bookmarkStart w:id="74" w:name="_Toc507407361"/>
      <w:bookmarkStart w:id="75" w:name="_Toc6968689"/>
      <w:bookmarkStart w:id="76" w:name="_Toc6882677"/>
      <w:bookmarkStart w:id="77" w:name="_Toc102277758"/>
      <w:r>
        <w:rPr>
          <w:rFonts w:hint="eastAsia" w:hAnsi="宋体"/>
          <w:color w:val="auto"/>
          <w:sz w:val="21"/>
          <w:szCs w:val="21"/>
          <w:highlight w:val="none"/>
        </w:rPr>
        <w:t>采购文件构成</w:t>
      </w:r>
      <w:bookmarkEnd w:id="70"/>
      <w:bookmarkEnd w:id="71"/>
      <w:bookmarkEnd w:id="7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采购文件由下列文件以及在采购过程中发出的澄清更正文件组成：</w:t>
      </w:r>
    </w:p>
    <w:p>
      <w:pPr>
        <w:pStyle w:val="2"/>
        <w:numPr>
          <w:ilvl w:val="0"/>
          <w:numId w:val="6"/>
        </w:numPr>
        <w:spacing w:before="0"/>
        <w:rPr>
          <w:color w:val="auto"/>
          <w:sz w:val="21"/>
          <w:szCs w:val="21"/>
          <w:highlight w:val="none"/>
        </w:rPr>
      </w:pPr>
      <w:r>
        <w:rPr>
          <w:rFonts w:hint="eastAsia"/>
          <w:color w:val="auto"/>
          <w:sz w:val="21"/>
          <w:szCs w:val="21"/>
          <w:highlight w:val="none"/>
        </w:rPr>
        <w:t>磋商邀请函；</w:t>
      </w:r>
    </w:p>
    <w:p>
      <w:pPr>
        <w:pStyle w:val="2"/>
        <w:numPr>
          <w:ilvl w:val="0"/>
          <w:numId w:val="6"/>
        </w:numPr>
        <w:spacing w:before="0"/>
        <w:rPr>
          <w:color w:val="auto"/>
          <w:sz w:val="21"/>
          <w:szCs w:val="21"/>
          <w:highlight w:val="none"/>
        </w:rPr>
      </w:pPr>
      <w:r>
        <w:rPr>
          <w:rFonts w:hint="eastAsia"/>
          <w:color w:val="auto"/>
          <w:sz w:val="21"/>
          <w:szCs w:val="21"/>
          <w:highlight w:val="none"/>
        </w:rPr>
        <w:t>磋商资料表；</w:t>
      </w:r>
    </w:p>
    <w:p>
      <w:pPr>
        <w:pStyle w:val="2"/>
        <w:numPr>
          <w:ilvl w:val="0"/>
          <w:numId w:val="6"/>
        </w:numPr>
        <w:spacing w:before="0"/>
        <w:rPr>
          <w:color w:val="auto"/>
          <w:sz w:val="21"/>
          <w:szCs w:val="21"/>
          <w:highlight w:val="none"/>
        </w:rPr>
      </w:pPr>
      <w:r>
        <w:rPr>
          <w:rFonts w:hint="eastAsia"/>
          <w:color w:val="auto"/>
          <w:sz w:val="21"/>
          <w:szCs w:val="21"/>
          <w:highlight w:val="none"/>
        </w:rPr>
        <w:t>供应商须知；</w:t>
      </w:r>
    </w:p>
    <w:p>
      <w:pPr>
        <w:pStyle w:val="2"/>
        <w:numPr>
          <w:ilvl w:val="0"/>
          <w:numId w:val="6"/>
        </w:numPr>
        <w:spacing w:before="0"/>
        <w:rPr>
          <w:color w:val="auto"/>
          <w:sz w:val="21"/>
          <w:szCs w:val="21"/>
          <w:highlight w:val="none"/>
        </w:rPr>
      </w:pPr>
      <w:r>
        <w:rPr>
          <w:rFonts w:hint="eastAsia"/>
          <w:color w:val="auto"/>
          <w:sz w:val="21"/>
          <w:szCs w:val="21"/>
          <w:highlight w:val="none"/>
        </w:rPr>
        <w:t>用户需求；</w:t>
      </w:r>
    </w:p>
    <w:p>
      <w:pPr>
        <w:pStyle w:val="2"/>
        <w:numPr>
          <w:ilvl w:val="0"/>
          <w:numId w:val="6"/>
        </w:numPr>
        <w:spacing w:before="0"/>
        <w:rPr>
          <w:color w:val="auto"/>
          <w:sz w:val="21"/>
          <w:szCs w:val="21"/>
          <w:highlight w:val="none"/>
        </w:rPr>
      </w:pPr>
      <w:r>
        <w:rPr>
          <w:rFonts w:hint="eastAsia"/>
          <w:color w:val="auto"/>
          <w:sz w:val="21"/>
          <w:szCs w:val="21"/>
          <w:highlight w:val="none"/>
        </w:rPr>
        <w:t>合同书格式；</w:t>
      </w:r>
    </w:p>
    <w:p>
      <w:pPr>
        <w:pStyle w:val="2"/>
        <w:numPr>
          <w:ilvl w:val="0"/>
          <w:numId w:val="6"/>
        </w:numPr>
        <w:spacing w:before="0"/>
        <w:rPr>
          <w:color w:val="auto"/>
          <w:sz w:val="21"/>
          <w:szCs w:val="21"/>
          <w:highlight w:val="none"/>
        </w:rPr>
      </w:pPr>
      <w:r>
        <w:rPr>
          <w:rFonts w:hint="eastAsia"/>
          <w:color w:val="auto"/>
          <w:sz w:val="21"/>
          <w:szCs w:val="21"/>
          <w:highlight w:val="none"/>
        </w:rPr>
        <w:t>响应文件格式；</w:t>
      </w:r>
    </w:p>
    <w:p>
      <w:pPr>
        <w:pStyle w:val="2"/>
        <w:numPr>
          <w:ilvl w:val="0"/>
          <w:numId w:val="6"/>
        </w:numPr>
        <w:spacing w:before="0"/>
        <w:rPr>
          <w:color w:val="auto"/>
          <w:sz w:val="21"/>
          <w:szCs w:val="21"/>
          <w:highlight w:val="none"/>
        </w:rPr>
      </w:pPr>
      <w:r>
        <w:rPr>
          <w:rFonts w:hint="eastAsia"/>
          <w:color w:val="auto"/>
          <w:sz w:val="21"/>
          <w:szCs w:val="21"/>
          <w:highlight w:val="none"/>
        </w:rPr>
        <w:t>在采购过程中由集中采购机构发出的澄清更正文件等。</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采购文件的澄清更正：</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采购期间，供应商有义务上网查看，公告一经上网发布，即视为送达。因供应商未及时上网查看而造成的所有后果，由供应商自行承担。</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根据采购的具体情况，采购代理机构可延长响应文件递交截止时间和磋商时间，并将变更时间在指定媒体上发布公告及通知所有报名及购买采购文件的供应商。</w:t>
      </w:r>
    </w:p>
    <w:p>
      <w:pPr>
        <w:pStyle w:val="2"/>
        <w:rPr>
          <w:color w:val="auto"/>
          <w:sz w:val="21"/>
          <w:szCs w:val="21"/>
          <w:highlight w:val="none"/>
        </w:rPr>
      </w:pPr>
    </w:p>
    <w:bookmarkEnd w:id="73"/>
    <w:bookmarkEnd w:id="74"/>
    <w:bookmarkEnd w:id="75"/>
    <w:bookmarkEnd w:id="76"/>
    <w:bookmarkEnd w:id="77"/>
    <w:p>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507407362"/>
      <w:bookmarkStart w:id="83" w:name="_Toc102277759"/>
      <w:bookmarkStart w:id="84" w:name="_Toc6968690"/>
      <w:bookmarkStart w:id="85" w:name="_Toc6882678"/>
      <w:r>
        <w:rPr>
          <w:rFonts w:hint="eastAsia" w:ascii="宋体" w:hAnsi="宋体" w:eastAsia="宋体"/>
          <w:color w:val="auto"/>
          <w:sz w:val="24"/>
          <w:szCs w:val="21"/>
          <w:highlight w:val="none"/>
        </w:rPr>
        <w:t>第三章响应文件的</w:t>
      </w:r>
      <w:bookmarkEnd w:id="78"/>
      <w:r>
        <w:rPr>
          <w:rFonts w:hint="eastAsia" w:ascii="宋体" w:hAnsi="宋体" w:eastAsia="宋体"/>
          <w:color w:val="auto"/>
          <w:sz w:val="24"/>
          <w:szCs w:val="21"/>
          <w:highlight w:val="none"/>
        </w:rPr>
        <w:t>编制</w:t>
      </w:r>
      <w:bookmarkEnd w:id="79"/>
      <w:bookmarkEnd w:id="80"/>
    </w:p>
    <w:p>
      <w:pPr>
        <w:pStyle w:val="6"/>
        <w:keepNext w:val="0"/>
        <w:keepLines w:val="0"/>
        <w:numPr>
          <w:ilvl w:val="0"/>
          <w:numId w:val="3"/>
        </w:numPr>
        <w:adjustRightInd/>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color w:val="auto"/>
          <w:szCs w:val="21"/>
          <w:highlight w:val="none"/>
        </w:rPr>
        <w:t>（中文译本应由翻译机构盖章或者翻译人员签名确认，否则按无效处理）</w:t>
      </w:r>
      <w:r>
        <w:rPr>
          <w:rFonts w:hint="eastAsia" w:ascii="宋体" w:hAnsi="宋体"/>
          <w:bCs/>
          <w:color w:val="auto"/>
          <w:szCs w:val="21"/>
          <w:highlight w:val="none"/>
        </w:rPr>
        <w:t>。</w:t>
      </w:r>
    </w:p>
    <w:p>
      <w:pPr>
        <w:numPr>
          <w:ilvl w:val="1"/>
          <w:numId w:val="3"/>
        </w:numPr>
        <w:rPr>
          <w:rFonts w:ascii="宋体" w:hAnsi="宋体"/>
          <w:bCs/>
          <w:color w:val="auto"/>
          <w:szCs w:val="21"/>
          <w:highlight w:val="none"/>
        </w:rPr>
      </w:pPr>
      <w:r>
        <w:rPr>
          <w:rFonts w:hint="eastAsia" w:ascii="宋体" w:hAnsi="宋体"/>
          <w:bCs/>
          <w:color w:val="auto"/>
          <w:szCs w:val="21"/>
          <w:highlight w:val="none"/>
        </w:rPr>
        <w:t>除非采购文件在技术规格中另有规定，供应商在采购文件中及其与采购代理机构和采购人所有往来文件中的所有计量单位均应采用中华人民共和国法定计量单位。</w:t>
      </w:r>
    </w:p>
    <w:p>
      <w:pPr>
        <w:rPr>
          <w:color w:val="auto"/>
          <w:highlight w:val="none"/>
        </w:rPr>
      </w:pPr>
    </w:p>
    <w:bookmarkEnd w:id="88"/>
    <w:p>
      <w:pPr>
        <w:pStyle w:val="6"/>
        <w:keepNext w:val="0"/>
        <w:keepLines w:val="0"/>
        <w:numPr>
          <w:ilvl w:val="0"/>
          <w:numId w:val="3"/>
        </w:numPr>
        <w:adjustRightInd/>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rPr>
          <w:rFonts w:ascii="宋体" w:hAnsi="宋体"/>
          <w:bCs/>
          <w:color w:val="auto"/>
          <w:szCs w:val="21"/>
          <w:highlight w:val="none"/>
        </w:rPr>
      </w:pPr>
      <w:r>
        <w:rPr>
          <w:rFonts w:hint="eastAsia" w:ascii="宋体" w:hAnsi="宋体"/>
          <w:bCs/>
          <w:color w:val="auto"/>
          <w:szCs w:val="21"/>
          <w:highlight w:val="none"/>
        </w:rPr>
        <w:t>如果因为供应商响应文件填报的内容不详，或没有提供采购文件中所要求的全部资料及数据，由此造成的后果，其责任由供应商承担。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rPr>
          <w:rFonts w:ascii="宋体" w:hAnsi="宋体"/>
          <w:bCs/>
          <w:color w:val="auto"/>
          <w:szCs w:val="21"/>
          <w:highlight w:val="none"/>
        </w:rPr>
      </w:pPr>
      <w:r>
        <w:rPr>
          <w:rFonts w:hint="eastAsia" w:ascii="宋体" w:hAnsi="宋体"/>
          <w:bCs/>
          <w:color w:val="auto"/>
          <w:szCs w:val="21"/>
          <w:highlight w:val="none"/>
        </w:rPr>
        <w:t>报价：</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供应商应按响应文件的</w:t>
      </w:r>
      <w:r>
        <w:rPr>
          <w:rFonts w:hint="eastAsia" w:ascii="宋体" w:hAnsi="宋体"/>
          <w:color w:val="auto"/>
          <w:szCs w:val="21"/>
          <w:highlight w:val="none"/>
        </w:rPr>
        <w:t>用户需求中的要求进行一次报价</w:t>
      </w:r>
      <w:r>
        <w:rPr>
          <w:rFonts w:hint="eastAsia" w:ascii="宋体" w:hAnsi="宋体"/>
          <w:bCs/>
          <w:color w:val="auto"/>
          <w:szCs w:val="21"/>
          <w:highlight w:val="none"/>
        </w:rPr>
        <w:t>；</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供应商所提供的货物和服务均应以人民币</w:t>
      </w:r>
      <w:r>
        <w:rPr>
          <w:rFonts w:hint="eastAsia" w:ascii="宋体" w:hAnsi="宋体"/>
          <w:color w:val="auto"/>
          <w:szCs w:val="21"/>
          <w:highlight w:val="none"/>
        </w:rPr>
        <w:t>（或相关费率）</w:t>
      </w:r>
      <w:r>
        <w:rPr>
          <w:rFonts w:hint="eastAsia" w:ascii="宋体" w:hAnsi="宋体"/>
          <w:bCs/>
          <w:color w:val="auto"/>
          <w:szCs w:val="21"/>
          <w:highlight w:val="none"/>
        </w:rPr>
        <w:t>报价（具体报价要求详见用户需求）；</w:t>
      </w:r>
    </w:p>
    <w:p>
      <w:pPr>
        <w:numPr>
          <w:ilvl w:val="0"/>
          <w:numId w:val="8"/>
        </w:numPr>
        <w:rPr>
          <w:rFonts w:ascii="宋体" w:hAnsi="宋体"/>
          <w:bCs/>
          <w:color w:val="auto"/>
          <w:szCs w:val="21"/>
          <w:highlight w:val="none"/>
        </w:rPr>
      </w:pPr>
      <w:r>
        <w:rPr>
          <w:rFonts w:hint="eastAsia" w:ascii="宋体" w:hAnsi="宋体"/>
          <w:bCs/>
          <w:color w:val="auto"/>
          <w:szCs w:val="21"/>
          <w:highlight w:val="none"/>
        </w:rPr>
        <w:t>报价应包含完成本次采购所有服务内容的费用，包含各种税务费及合同实施过程中的全部费用；</w:t>
      </w:r>
    </w:p>
    <w:p>
      <w:pPr>
        <w:numPr>
          <w:ilvl w:val="0"/>
          <w:numId w:val="8"/>
        </w:numPr>
        <w:rPr>
          <w:rFonts w:ascii="宋体" w:hAnsi="宋体"/>
          <w:bCs/>
          <w:color w:val="auto"/>
          <w:szCs w:val="21"/>
          <w:highlight w:val="none"/>
        </w:rPr>
      </w:pPr>
      <w:r>
        <w:rPr>
          <w:rFonts w:hint="eastAsia" w:ascii="宋体" w:hAnsi="宋体"/>
          <w:bCs/>
          <w:color w:val="auto"/>
          <w:szCs w:val="21"/>
          <w:highlight w:val="none"/>
        </w:rPr>
        <w:t>经磋商后，供应商所报的最后磋商报价在合同执行过程中是固定不变的，不得以任何理由予以变更；</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供应商只能就单个项目提供唯一的方案和报价，不接受选择性的方案和报价，方案或报价不是唯一的响应文件作无效处理；</w:t>
      </w:r>
    </w:p>
    <w:p>
      <w:pPr>
        <w:numPr>
          <w:ilvl w:val="0"/>
          <w:numId w:val="8"/>
        </w:numPr>
        <w:rPr>
          <w:rFonts w:ascii="宋体" w:hAnsi="宋体"/>
          <w:bCs/>
          <w:color w:val="auto"/>
          <w:szCs w:val="21"/>
          <w:highlight w:val="none"/>
        </w:rPr>
      </w:pPr>
      <w:r>
        <w:rPr>
          <w:rFonts w:hint="eastAsia" w:ascii="宋体" w:hAnsi="宋体"/>
          <w:bCs/>
          <w:color w:val="auto"/>
          <w:szCs w:val="21"/>
          <w:highlight w:val="none"/>
        </w:rPr>
        <w:t>最终报价文件为供应商响应文件组成的一部分，其报价有效期应与响应文件有效期保持一致；</w:t>
      </w:r>
    </w:p>
    <w:p>
      <w:pPr>
        <w:numPr>
          <w:ilvl w:val="0"/>
          <w:numId w:val="8"/>
        </w:numPr>
        <w:rPr>
          <w:rFonts w:ascii="宋体" w:hAnsi="宋体"/>
          <w:bCs/>
          <w:color w:val="auto"/>
          <w:szCs w:val="21"/>
          <w:highlight w:val="none"/>
        </w:rPr>
      </w:pPr>
      <w:r>
        <w:rPr>
          <w:rFonts w:hint="eastAsia" w:ascii="宋体" w:hAnsi="宋体"/>
          <w:bCs/>
          <w:color w:val="auto"/>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rPr>
          <w:rFonts w:ascii="宋体" w:hAnsi="宋体"/>
          <w:color w:val="auto"/>
          <w:szCs w:val="21"/>
          <w:highlight w:val="none"/>
        </w:rPr>
      </w:pPr>
      <w:r>
        <w:rPr>
          <w:rFonts w:hint="eastAsia" w:ascii="宋体" w:hAnsi="宋体"/>
          <w:bCs/>
          <w:color w:val="auto"/>
          <w:szCs w:val="21"/>
          <w:highlight w:val="none"/>
        </w:rPr>
        <w:t>供应商名称与供应商公章不一致，若供应商名称已进行变更，应在响应文件中提供相应的证明材料并加盖公章，否则响应文件无效。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响应文件密封、标记及内容与本项目采购信息不符，导致无法分辨所参与项目为本项目的，响应文件无效。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响应文件的签署：未按采购文件要求或未按响应文件所要求格式对响应文件进行签署授权的，其报价无效。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电报、电话、传真、电子邮件形式的响应文件概不接受。</w:t>
      </w:r>
    </w:p>
    <w:p>
      <w:pPr>
        <w:rPr>
          <w:rFonts w:ascii="宋体" w:hAnsi="宋体"/>
          <w:bCs/>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1" w:name="_Toc26897"/>
      <w:bookmarkStart w:id="92" w:name="_Toc11910"/>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rPr>
          <w:rFonts w:ascii="宋体" w:hAnsi="宋体"/>
          <w:bCs/>
          <w:color w:val="auto"/>
          <w:szCs w:val="21"/>
          <w:highlight w:val="none"/>
        </w:rPr>
      </w:pPr>
      <w:r>
        <w:rPr>
          <w:rFonts w:hint="eastAsia" w:ascii="宋体" w:hAnsi="宋体"/>
          <w:bCs/>
          <w:color w:val="auto"/>
          <w:szCs w:val="21"/>
          <w:highlight w:val="none"/>
        </w:rPr>
        <w:t>证明供应商合格和资格的文件。</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响应文件格式中要求必须提供的表格。</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rPr>
        <w:t>（</w:t>
      </w:r>
      <w:r>
        <w:rPr>
          <w:rFonts w:hint="eastAsia" w:ascii="宋体" w:hAnsi="宋体"/>
          <w:color w:val="auto"/>
          <w:sz w:val="21"/>
          <w:szCs w:val="21"/>
          <w:highlight w:val="none"/>
        </w:rPr>
        <w:t>本项目不需提供</w:t>
      </w:r>
      <w:r>
        <w:rPr>
          <w:rFonts w:hint="eastAsia" w:hAnsi="宋体"/>
          <w:color w:val="auto"/>
          <w:sz w:val="21"/>
          <w:szCs w:val="21"/>
          <w:highlight w:val="none"/>
        </w:rPr>
        <w:t>磋商保证金）</w:t>
      </w:r>
    </w:p>
    <w:p>
      <w:pPr>
        <w:numPr>
          <w:ilvl w:val="1"/>
          <w:numId w:val="3"/>
        </w:numPr>
        <w:rPr>
          <w:rFonts w:ascii="宋体" w:hAnsi="宋体"/>
          <w:bCs/>
          <w:color w:val="auto"/>
          <w:szCs w:val="21"/>
          <w:highlight w:val="none"/>
        </w:rPr>
      </w:pPr>
      <w:r>
        <w:rPr>
          <w:rFonts w:hint="eastAsia" w:ascii="宋体" w:hAnsi="宋体"/>
          <w:color w:val="auto"/>
          <w:szCs w:val="21"/>
          <w:highlight w:val="none"/>
        </w:rPr>
        <w:t>磋商保证金金额与采购文件要求金额保持一致（详见磋商资料表）。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磋商保证金有效期与响应文件有效期保持一致。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缴纳磋商保证金的供应商与参与本项目的供应商名称必须一致，非参与本项目的供应商缴纳的磋商保证金无效。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采用银行转账、电汇方式提交的,付至采购代理机构指定账户上。 (详见磋商资料表)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采用担保函提交的，应符合下列规定：</w:t>
      </w:r>
    </w:p>
    <w:p>
      <w:pPr>
        <w:pStyle w:val="2"/>
        <w:numPr>
          <w:ilvl w:val="0"/>
          <w:numId w:val="9"/>
        </w:numPr>
        <w:spacing w:before="0"/>
        <w:rPr>
          <w:color w:val="auto"/>
          <w:sz w:val="21"/>
          <w:szCs w:val="21"/>
          <w:highlight w:val="none"/>
        </w:rPr>
      </w:pPr>
      <w:r>
        <w:rPr>
          <w:rFonts w:hint="eastAsia"/>
          <w:color w:val="auto"/>
          <w:sz w:val="21"/>
          <w:szCs w:val="21"/>
          <w:highlight w:val="none"/>
        </w:rPr>
        <w:t>担保函有效期应与响应文件有效期一致；</w:t>
      </w:r>
    </w:p>
    <w:p>
      <w:pPr>
        <w:pStyle w:val="2"/>
        <w:numPr>
          <w:ilvl w:val="0"/>
          <w:numId w:val="9"/>
        </w:numPr>
        <w:spacing w:before="0"/>
        <w:rPr>
          <w:color w:val="auto"/>
          <w:sz w:val="21"/>
          <w:szCs w:val="21"/>
          <w:highlight w:val="none"/>
        </w:rPr>
      </w:pPr>
      <w:r>
        <w:rPr>
          <w:rFonts w:hint="eastAsia"/>
          <w:color w:val="auto"/>
          <w:sz w:val="21"/>
          <w:szCs w:val="21"/>
          <w:highlight w:val="none"/>
        </w:rPr>
        <w:t>担保金额应与本项目的磋商保证金一致；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保证金不接受现金方式（包括以存现方式）提交，未按要求提交磋商保证金的供应商其响应文件作无效处理。</w:t>
      </w:r>
    </w:p>
    <w:p>
      <w:pPr>
        <w:numPr>
          <w:ilvl w:val="1"/>
          <w:numId w:val="3"/>
        </w:numPr>
        <w:rPr>
          <w:rFonts w:ascii="宋体" w:hAnsi="宋体"/>
          <w:bCs/>
          <w:color w:val="auto"/>
          <w:szCs w:val="21"/>
          <w:highlight w:val="none"/>
        </w:rPr>
      </w:pPr>
      <w:r>
        <w:rPr>
          <w:rFonts w:hint="eastAsia" w:ascii="宋体" w:hAnsi="宋体"/>
          <w:bCs/>
          <w:color w:val="auto"/>
          <w:szCs w:val="21"/>
          <w:highlight w:val="none"/>
        </w:rPr>
        <w:t>未成交的供应商保证金在采购结果公示发出后5个工作日内退还，成交供应商的保证金在采购合同签订后5个工作日内退还。</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为方便退还未成交的供应商保证金，供应商应制作《磋商保证金汇入情况说明》随响应文件一并递交。</w:t>
      </w:r>
    </w:p>
    <w:p>
      <w:pPr>
        <w:numPr>
          <w:ilvl w:val="1"/>
          <w:numId w:val="3"/>
        </w:numPr>
        <w:rPr>
          <w:rFonts w:ascii="宋体" w:hAnsi="宋体"/>
          <w:bCs/>
          <w:color w:val="auto"/>
          <w:szCs w:val="21"/>
          <w:highlight w:val="none"/>
        </w:rPr>
      </w:pPr>
      <w:r>
        <w:rPr>
          <w:rFonts w:hint="eastAsia" w:ascii="宋体" w:hAnsi="宋体"/>
          <w:bCs/>
          <w:color w:val="auto"/>
          <w:szCs w:val="21"/>
          <w:highlight w:val="none"/>
        </w:rPr>
        <w:t>有下列情形之一的，磋商保证金不予退还：</w:t>
      </w:r>
    </w:p>
    <w:p>
      <w:pPr>
        <w:pStyle w:val="2"/>
        <w:numPr>
          <w:ilvl w:val="0"/>
          <w:numId w:val="10"/>
        </w:numPr>
        <w:spacing w:before="0"/>
        <w:rPr>
          <w:color w:val="auto"/>
          <w:sz w:val="21"/>
          <w:szCs w:val="21"/>
          <w:highlight w:val="none"/>
        </w:rPr>
      </w:pPr>
      <w:r>
        <w:rPr>
          <w:rFonts w:hint="eastAsia"/>
          <w:color w:val="auto"/>
          <w:sz w:val="21"/>
          <w:szCs w:val="21"/>
          <w:highlight w:val="none"/>
        </w:rPr>
        <w:t>供应商在提交响应文件截止时间后撤回响应文件的；</w:t>
      </w:r>
    </w:p>
    <w:p>
      <w:pPr>
        <w:pStyle w:val="2"/>
        <w:numPr>
          <w:ilvl w:val="0"/>
          <w:numId w:val="10"/>
        </w:numPr>
        <w:spacing w:before="0"/>
        <w:rPr>
          <w:color w:val="auto"/>
          <w:sz w:val="21"/>
          <w:szCs w:val="21"/>
          <w:highlight w:val="none"/>
        </w:rPr>
      </w:pPr>
      <w:r>
        <w:rPr>
          <w:rFonts w:hint="eastAsia"/>
          <w:color w:val="auto"/>
          <w:sz w:val="21"/>
          <w:szCs w:val="21"/>
          <w:highlight w:val="none"/>
        </w:rPr>
        <w:t>供应商在响应文件中提供虚假材料的；</w:t>
      </w:r>
    </w:p>
    <w:p>
      <w:pPr>
        <w:pStyle w:val="2"/>
        <w:numPr>
          <w:ilvl w:val="0"/>
          <w:numId w:val="10"/>
        </w:numPr>
        <w:spacing w:before="0"/>
        <w:rPr>
          <w:color w:val="auto"/>
          <w:sz w:val="21"/>
          <w:szCs w:val="21"/>
          <w:highlight w:val="none"/>
        </w:rPr>
      </w:pPr>
      <w:r>
        <w:rPr>
          <w:rFonts w:hint="eastAsia"/>
          <w:color w:val="auto"/>
          <w:sz w:val="21"/>
          <w:szCs w:val="21"/>
          <w:highlight w:val="none"/>
        </w:rPr>
        <w:t>除因不可抗力或磋商文件（本文件）、询价通知书（本文件）认可的情形以外，成交供应商不与采购人签订合同的；</w:t>
      </w:r>
    </w:p>
    <w:p>
      <w:pPr>
        <w:pStyle w:val="2"/>
        <w:numPr>
          <w:ilvl w:val="0"/>
          <w:numId w:val="10"/>
        </w:numPr>
        <w:spacing w:before="0"/>
        <w:rPr>
          <w:color w:val="auto"/>
          <w:sz w:val="21"/>
          <w:szCs w:val="21"/>
          <w:highlight w:val="none"/>
        </w:rPr>
      </w:pPr>
      <w:r>
        <w:rPr>
          <w:rFonts w:hint="eastAsia"/>
          <w:color w:val="auto"/>
          <w:sz w:val="21"/>
          <w:szCs w:val="21"/>
          <w:highlight w:val="none"/>
        </w:rPr>
        <w:t>供应商与采购人、其他供应商或者采购代理机构恶意串通的；</w:t>
      </w:r>
    </w:p>
    <w:p>
      <w:pPr>
        <w:pStyle w:val="2"/>
        <w:numPr>
          <w:ilvl w:val="0"/>
          <w:numId w:val="10"/>
        </w:numPr>
        <w:spacing w:before="0"/>
        <w:rPr>
          <w:color w:val="auto"/>
          <w:sz w:val="21"/>
          <w:szCs w:val="21"/>
          <w:highlight w:val="none"/>
        </w:rPr>
      </w:pPr>
      <w:r>
        <w:rPr>
          <w:rFonts w:hint="eastAsia"/>
          <w:color w:val="auto"/>
          <w:sz w:val="21"/>
          <w:szCs w:val="21"/>
          <w:highlight w:val="none"/>
        </w:rPr>
        <w:t>采购文件规定的其他情形。</w:t>
      </w:r>
    </w:p>
    <w:p>
      <w:pPr>
        <w:spacing w:line="480" w:lineRule="exact"/>
        <w:ind w:firstLine="480" w:firstLineChars="200"/>
        <w:rPr>
          <w:rFonts w:ascii="宋体" w:hAnsi="宋体"/>
          <w:color w:val="auto"/>
          <w:sz w:val="24"/>
          <w:szCs w:val="21"/>
          <w:highlight w:val="none"/>
        </w:rPr>
      </w:pPr>
    </w:p>
    <w:p>
      <w:pPr>
        <w:pStyle w:val="6"/>
        <w:keepNext w:val="0"/>
        <w:keepLines w:val="0"/>
        <w:numPr>
          <w:ilvl w:val="0"/>
          <w:numId w:val="3"/>
        </w:numPr>
        <w:adjustRightInd/>
        <w:rPr>
          <w:rFonts w:hAnsi="宋体"/>
          <w:color w:val="auto"/>
          <w:sz w:val="21"/>
          <w:szCs w:val="21"/>
          <w:highlight w:val="none"/>
        </w:rPr>
      </w:pPr>
      <w:bookmarkStart w:id="99" w:name="_Toc480021054"/>
      <w:bookmarkStart w:id="100" w:name="_Toc467236741"/>
      <w:bookmarkStart w:id="101" w:name="_Toc25734"/>
      <w:bookmarkStart w:id="102" w:name="_Toc480020258"/>
      <w:bookmarkStart w:id="103" w:name="_Toc480010709"/>
      <w:bookmarkStart w:id="104" w:name="_Toc454701382"/>
      <w:bookmarkStart w:id="105" w:name="_Toc468157537"/>
      <w:bookmarkStart w:id="106" w:name="_Toc503758471"/>
      <w:bookmarkStart w:id="107" w:name="_Toc467987824"/>
      <w:bookmarkStart w:id="108" w:name="_Toc458262615"/>
      <w:bookmarkStart w:id="109" w:name="_Toc110953842"/>
      <w:bookmarkStart w:id="110" w:name="_Toc10456"/>
      <w:bookmarkStart w:id="111" w:name="_Toc480171880"/>
      <w:bookmarkStart w:id="112" w:name="_Toc479991583"/>
      <w:bookmarkStart w:id="113" w:name="_Toc468606030"/>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响应文件从开启响应文件之日起，报价（响应文件）有效期为90个日历日。</w:t>
      </w:r>
    </w:p>
    <w:p>
      <w:pPr>
        <w:numPr>
          <w:ilvl w:val="1"/>
          <w:numId w:val="3"/>
        </w:numPr>
        <w:rPr>
          <w:rFonts w:ascii="宋体" w:hAnsi="宋体"/>
          <w:bCs/>
          <w:color w:val="auto"/>
          <w:szCs w:val="21"/>
          <w:highlight w:val="none"/>
        </w:rPr>
      </w:pPr>
      <w:r>
        <w:rPr>
          <w:rFonts w:hint="eastAsia" w:ascii="宋体" w:hAnsi="宋体"/>
          <w:bCs/>
          <w:color w:val="auto"/>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color w:val="auto"/>
          <w:sz w:val="21"/>
          <w:szCs w:val="21"/>
          <w:highlight w:val="none"/>
        </w:rPr>
      </w:pPr>
    </w:p>
    <w:bookmarkEnd w:id="81"/>
    <w:bookmarkEnd w:id="82"/>
    <w:bookmarkEnd w:id="83"/>
    <w:bookmarkEnd w:id="84"/>
    <w:bookmarkEnd w:id="85"/>
    <w:p>
      <w:pPr>
        <w:pStyle w:val="5"/>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102277760"/>
      <w:bookmarkStart w:id="118" w:name="_Toc6968691"/>
      <w:bookmarkStart w:id="119" w:name="_Toc507407363"/>
      <w:bookmarkStart w:id="120" w:name="_Toc466786438"/>
      <w:bookmarkStart w:id="121" w:name="_Toc6882679"/>
      <w:r>
        <w:rPr>
          <w:rFonts w:hint="eastAsia" w:ascii="宋体" w:hAnsi="宋体" w:eastAsia="宋体"/>
          <w:color w:val="auto"/>
          <w:sz w:val="24"/>
          <w:szCs w:val="21"/>
          <w:highlight w:val="none"/>
        </w:rPr>
        <w:t>第四章响应文件的递交</w:t>
      </w:r>
      <w:bookmarkEnd w:id="114"/>
      <w:bookmarkEnd w:id="115"/>
      <w:bookmarkEnd w:id="116"/>
    </w:p>
    <w:p>
      <w:pPr>
        <w:pStyle w:val="6"/>
        <w:keepNext w:val="0"/>
        <w:keepLines w:val="0"/>
        <w:numPr>
          <w:ilvl w:val="0"/>
          <w:numId w:val="3"/>
        </w:numPr>
        <w:adjustRightInd/>
        <w:rPr>
          <w:rFonts w:hAnsi="宋体"/>
          <w:color w:val="auto"/>
          <w:sz w:val="21"/>
          <w:szCs w:val="21"/>
          <w:highlight w:val="none"/>
        </w:rPr>
      </w:pPr>
      <w:bookmarkStart w:id="122" w:name="_Toc13611"/>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供应商应当对响应文件进行装订，价格文件、商务文件、技术文件可合装订为一册，也可根据自身需要分册装订，对未经装订的响应文件可能发生的文件散落或缺损，由此产生的后果由供应商承担。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rPr>
          <w:rFonts w:ascii="宋体" w:hAnsi="宋体"/>
          <w:bCs/>
          <w:color w:val="auto"/>
          <w:szCs w:val="21"/>
          <w:highlight w:val="none"/>
        </w:rPr>
      </w:pPr>
      <w:r>
        <w:rPr>
          <w:rFonts w:hint="eastAsia" w:ascii="宋体" w:hAnsi="宋体"/>
          <w:bCs/>
          <w:color w:val="auto"/>
          <w:szCs w:val="21"/>
          <w:highlight w:val="none"/>
        </w:rPr>
        <w:t>联合体响应文件的【正本】及【副本】的封面及骑缝均须加盖所有联合体组成成员的公章。（文件每页盖章等同于盖骑缝章）</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供应商可将响应文件正本和所有的副本分开密封装在单独的信封中，且在信封上标明“正本”“副本”字样。然后再将所有信封封装在一个外层信封中。</w:t>
      </w:r>
    </w:p>
    <w:p>
      <w:pPr>
        <w:numPr>
          <w:ilvl w:val="1"/>
          <w:numId w:val="3"/>
        </w:numPr>
        <w:rPr>
          <w:rFonts w:ascii="宋体" w:hAnsi="宋体"/>
          <w:bCs/>
          <w:color w:val="auto"/>
          <w:szCs w:val="21"/>
          <w:highlight w:val="none"/>
        </w:rPr>
      </w:pPr>
      <w:r>
        <w:rPr>
          <w:rFonts w:hint="eastAsia" w:ascii="宋体" w:hAnsi="宋体"/>
          <w:bCs/>
          <w:color w:val="auto"/>
          <w:szCs w:val="21"/>
          <w:highlight w:val="none"/>
        </w:rPr>
        <w:t>电子文件内容包括：由供应商自行制作的与正本文件一致的所有文件。</w:t>
      </w:r>
      <w:r>
        <w:rPr>
          <w:rFonts w:ascii="宋体" w:hAnsi="宋体"/>
          <w:color w:val="auto"/>
          <w:szCs w:val="21"/>
          <w:highlight w:val="none"/>
        </w:rPr>
        <w:t>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，与正本密封包装，随正本提交。</w:t>
      </w:r>
      <w:r>
        <w:rPr>
          <w:rFonts w:hint="eastAsia" w:ascii="宋体" w:hAnsi="宋体"/>
          <w:bCs/>
          <w:color w:val="auto"/>
          <w:szCs w:val="21"/>
          <w:highlight w:val="none"/>
        </w:rPr>
        <w:t>电报、电话、传真、电子邮件形式的电子响应文件概不接受。</w:t>
      </w:r>
    </w:p>
    <w:p>
      <w:pPr>
        <w:numPr>
          <w:ilvl w:val="1"/>
          <w:numId w:val="3"/>
        </w:numPr>
        <w:rPr>
          <w:rFonts w:ascii="宋体" w:hAnsi="宋体"/>
          <w:bCs/>
          <w:color w:val="auto"/>
          <w:szCs w:val="21"/>
          <w:highlight w:val="none"/>
        </w:rPr>
      </w:pPr>
      <w:r>
        <w:rPr>
          <w:rFonts w:hint="eastAsia" w:ascii="宋体" w:hAnsi="宋体"/>
          <w:color w:val="auto"/>
          <w:szCs w:val="21"/>
          <w:highlight w:val="none"/>
        </w:rPr>
        <w:t>所有的信封均应注明：</w:t>
      </w:r>
    </w:p>
    <w:p>
      <w:pPr>
        <w:rPr>
          <w:rFonts w:ascii="宋体" w:hAnsi="宋体"/>
          <w:color w:val="auto"/>
          <w:szCs w:val="21"/>
          <w:highlight w:val="none"/>
        </w:rPr>
      </w:pPr>
      <w:r>
        <w:rPr>
          <w:rFonts w:hint="eastAsia" w:ascii="宋体" w:hAnsi="宋体"/>
          <w:color w:val="auto"/>
          <w:szCs w:val="21"/>
          <w:highlight w:val="none"/>
        </w:rPr>
        <w:t>收件人：广东政通招标有限公司</w:t>
      </w:r>
    </w:p>
    <w:p>
      <w:pPr>
        <w:rPr>
          <w:rFonts w:ascii="宋体" w:hAnsi="宋体"/>
          <w:color w:val="auto"/>
          <w:szCs w:val="21"/>
          <w:highlight w:val="none"/>
        </w:rPr>
      </w:pPr>
      <w:r>
        <w:rPr>
          <w:rFonts w:hint="eastAsia" w:ascii="宋体" w:hAnsi="宋体"/>
          <w:color w:val="auto"/>
          <w:szCs w:val="21"/>
          <w:highlight w:val="none"/>
        </w:rPr>
        <w:t>供应商名称：</w:t>
      </w:r>
    </w:p>
    <w:p>
      <w:pPr>
        <w:rPr>
          <w:rFonts w:ascii="宋体" w:hAnsi="宋体"/>
          <w:color w:val="auto"/>
          <w:szCs w:val="21"/>
          <w:highlight w:val="none"/>
        </w:rPr>
      </w:pPr>
      <w:r>
        <w:rPr>
          <w:rFonts w:hint="eastAsia" w:ascii="宋体" w:hAnsi="宋体"/>
          <w:color w:val="auto"/>
          <w:szCs w:val="21"/>
          <w:highlight w:val="none"/>
        </w:rPr>
        <w:t>项目名称：</w:t>
      </w:r>
    </w:p>
    <w:p>
      <w:pPr>
        <w:rPr>
          <w:rFonts w:ascii="宋体" w:hAnsi="宋体"/>
          <w:color w:val="auto"/>
          <w:szCs w:val="21"/>
          <w:highlight w:val="none"/>
        </w:rPr>
      </w:pPr>
      <w:r>
        <w:rPr>
          <w:rFonts w:hint="eastAsia" w:ascii="宋体" w:hAnsi="宋体"/>
          <w:color w:val="auto"/>
          <w:szCs w:val="21"/>
          <w:highlight w:val="none"/>
        </w:rPr>
        <w:t>采购项目编号：</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25" w:name="_Toc5658"/>
      <w:bookmarkStart w:id="126" w:name="_Toc6425"/>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rPr>
          <w:rFonts w:ascii="宋体" w:hAnsi="宋体"/>
          <w:color w:val="auto"/>
          <w:szCs w:val="21"/>
          <w:highlight w:val="none"/>
        </w:rPr>
      </w:pPr>
      <w:r>
        <w:rPr>
          <w:rFonts w:hint="eastAsia" w:ascii="宋体" w:hAnsi="宋体"/>
          <w:color w:val="auto"/>
          <w:szCs w:val="21"/>
          <w:highlight w:val="none"/>
        </w:rPr>
        <w:t>所有经密封的响应文件及单独密封的报价文件都必须在响应截止时间之前送至采购代理机构。</w:t>
      </w:r>
    </w:p>
    <w:p>
      <w:pPr>
        <w:numPr>
          <w:ilvl w:val="1"/>
          <w:numId w:val="3"/>
        </w:numPr>
        <w:rPr>
          <w:rFonts w:ascii="宋体" w:hAnsi="宋体"/>
          <w:color w:val="auto"/>
          <w:szCs w:val="21"/>
          <w:highlight w:val="none"/>
        </w:rPr>
      </w:pPr>
      <w:r>
        <w:rPr>
          <w:rFonts w:hint="eastAsia" w:ascii="宋体" w:hAnsi="宋体"/>
          <w:color w:val="auto"/>
          <w:szCs w:val="21"/>
          <w:highlight w:val="none"/>
        </w:rPr>
        <w:t>报价文件作为响应文件组成的一部分，采购文件所规定的初审事项适用于报价文件。</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采购代理机构将拒绝接收出现以下情况的响应文件：</w:t>
      </w:r>
    </w:p>
    <w:p>
      <w:pPr>
        <w:pStyle w:val="2"/>
        <w:numPr>
          <w:ilvl w:val="0"/>
          <w:numId w:val="11"/>
        </w:numPr>
        <w:spacing w:before="0"/>
        <w:rPr>
          <w:color w:val="auto"/>
          <w:sz w:val="21"/>
          <w:szCs w:val="21"/>
          <w:highlight w:val="none"/>
        </w:rPr>
      </w:pPr>
      <w:r>
        <w:rPr>
          <w:rFonts w:hint="eastAsia"/>
          <w:color w:val="auto"/>
          <w:sz w:val="21"/>
          <w:szCs w:val="21"/>
          <w:highlight w:val="none"/>
        </w:rPr>
        <w:t>采用透明包装进行密封或未进行密封的响应文件；</w:t>
      </w:r>
    </w:p>
    <w:p>
      <w:pPr>
        <w:pStyle w:val="2"/>
        <w:numPr>
          <w:ilvl w:val="0"/>
          <w:numId w:val="11"/>
        </w:numPr>
        <w:spacing w:before="0"/>
        <w:rPr>
          <w:color w:val="auto"/>
          <w:sz w:val="21"/>
          <w:szCs w:val="21"/>
          <w:highlight w:val="none"/>
        </w:rPr>
      </w:pPr>
      <w:r>
        <w:rPr>
          <w:rFonts w:hint="eastAsia"/>
          <w:color w:val="auto"/>
          <w:sz w:val="21"/>
          <w:szCs w:val="21"/>
          <w:highlight w:val="none"/>
        </w:rPr>
        <w:t>密封破损导致响应文件内容直接或间接泄露的响应文件；</w:t>
      </w:r>
    </w:p>
    <w:p>
      <w:pPr>
        <w:pStyle w:val="2"/>
        <w:numPr>
          <w:ilvl w:val="0"/>
          <w:numId w:val="11"/>
        </w:numPr>
        <w:spacing w:before="0"/>
        <w:rPr>
          <w:color w:val="auto"/>
          <w:sz w:val="21"/>
          <w:szCs w:val="21"/>
          <w:highlight w:val="none"/>
        </w:rPr>
      </w:pPr>
      <w:r>
        <w:rPr>
          <w:rFonts w:hint="eastAsia"/>
          <w:color w:val="auto"/>
          <w:sz w:val="21"/>
          <w:szCs w:val="21"/>
          <w:highlight w:val="none"/>
        </w:rPr>
        <w:t>密封信封上项目编号错误的响应文件；</w:t>
      </w:r>
    </w:p>
    <w:p>
      <w:pPr>
        <w:pStyle w:val="2"/>
        <w:numPr>
          <w:ilvl w:val="0"/>
          <w:numId w:val="11"/>
        </w:numPr>
        <w:spacing w:before="0"/>
        <w:rPr>
          <w:color w:val="auto"/>
          <w:sz w:val="21"/>
          <w:szCs w:val="21"/>
          <w:highlight w:val="none"/>
        </w:rPr>
      </w:pPr>
      <w:r>
        <w:rPr>
          <w:rFonts w:hint="eastAsia"/>
          <w:color w:val="auto"/>
          <w:sz w:val="21"/>
          <w:szCs w:val="21"/>
          <w:highlight w:val="none"/>
        </w:rPr>
        <w:t>未进行项目报名的供应商（以采购代理机构报名表及报名发票为准）递交的响应文件；</w:t>
      </w:r>
    </w:p>
    <w:p>
      <w:pPr>
        <w:pStyle w:val="2"/>
        <w:numPr>
          <w:ilvl w:val="0"/>
          <w:numId w:val="11"/>
        </w:numPr>
        <w:spacing w:before="0"/>
        <w:rPr>
          <w:color w:val="auto"/>
          <w:sz w:val="21"/>
          <w:szCs w:val="21"/>
          <w:highlight w:val="none"/>
        </w:rPr>
      </w:pPr>
      <w:r>
        <w:rPr>
          <w:rFonts w:hint="eastAsia"/>
          <w:color w:val="auto"/>
          <w:sz w:val="21"/>
          <w:szCs w:val="21"/>
          <w:highlight w:val="none"/>
        </w:rPr>
        <w:t>项目名称出现严重歧义或未标注所参与项目信息导致无法分辨所参与项目为本项目的响应文件；</w:t>
      </w:r>
    </w:p>
    <w:p>
      <w:pPr>
        <w:pStyle w:val="2"/>
        <w:numPr>
          <w:ilvl w:val="0"/>
          <w:numId w:val="11"/>
        </w:numPr>
        <w:spacing w:before="0"/>
        <w:rPr>
          <w:color w:val="auto"/>
          <w:sz w:val="21"/>
          <w:szCs w:val="21"/>
          <w:highlight w:val="none"/>
        </w:rPr>
      </w:pPr>
      <w:r>
        <w:rPr>
          <w:rFonts w:hint="eastAsia"/>
          <w:color w:val="auto"/>
          <w:sz w:val="21"/>
          <w:szCs w:val="21"/>
          <w:highlight w:val="none"/>
        </w:rPr>
        <w:t>未递交磋商保证金供应商递交的响应文件；</w:t>
      </w:r>
    </w:p>
    <w:p>
      <w:pPr>
        <w:pStyle w:val="2"/>
        <w:numPr>
          <w:ilvl w:val="0"/>
          <w:numId w:val="11"/>
        </w:numPr>
        <w:spacing w:before="0"/>
        <w:rPr>
          <w:color w:val="auto"/>
          <w:sz w:val="21"/>
          <w:szCs w:val="21"/>
          <w:highlight w:val="none"/>
        </w:rPr>
      </w:pPr>
      <w:r>
        <w:rPr>
          <w:rFonts w:hint="eastAsia"/>
          <w:color w:val="auto"/>
          <w:sz w:val="21"/>
          <w:szCs w:val="21"/>
          <w:highlight w:val="none"/>
        </w:rPr>
        <w:t>采用传真、电传的响应文件；</w:t>
      </w:r>
    </w:p>
    <w:p>
      <w:pPr>
        <w:pStyle w:val="2"/>
        <w:numPr>
          <w:ilvl w:val="0"/>
          <w:numId w:val="11"/>
        </w:numPr>
        <w:spacing w:before="0"/>
        <w:rPr>
          <w:color w:val="auto"/>
          <w:sz w:val="21"/>
          <w:szCs w:val="21"/>
          <w:highlight w:val="none"/>
        </w:rPr>
      </w:pPr>
      <w:r>
        <w:rPr>
          <w:rFonts w:hint="eastAsia"/>
          <w:color w:val="auto"/>
          <w:sz w:val="21"/>
          <w:szCs w:val="21"/>
          <w:highlight w:val="none"/>
        </w:rPr>
        <w:t>多个包号的一并密封的响应文件；</w:t>
      </w:r>
    </w:p>
    <w:p>
      <w:pPr>
        <w:pStyle w:val="2"/>
        <w:numPr>
          <w:ilvl w:val="0"/>
          <w:numId w:val="11"/>
        </w:numPr>
        <w:spacing w:before="0"/>
        <w:rPr>
          <w:color w:val="auto"/>
          <w:sz w:val="21"/>
          <w:szCs w:val="21"/>
          <w:highlight w:val="none"/>
        </w:rPr>
      </w:pPr>
      <w:r>
        <w:rPr>
          <w:rFonts w:hint="eastAsia"/>
          <w:color w:val="auto"/>
          <w:sz w:val="21"/>
          <w:szCs w:val="21"/>
          <w:highlight w:val="none"/>
        </w:rPr>
        <w:t>迟交的响应文件；</w:t>
      </w:r>
    </w:p>
    <w:p>
      <w:pPr>
        <w:pStyle w:val="2"/>
        <w:numPr>
          <w:ilvl w:val="0"/>
          <w:numId w:val="11"/>
        </w:numPr>
        <w:spacing w:before="0"/>
        <w:rPr>
          <w:color w:val="auto"/>
          <w:sz w:val="21"/>
          <w:szCs w:val="21"/>
          <w:highlight w:val="none"/>
        </w:rPr>
      </w:pPr>
      <w:r>
        <w:rPr>
          <w:rFonts w:hint="eastAsia"/>
          <w:color w:val="auto"/>
          <w:sz w:val="21"/>
          <w:szCs w:val="21"/>
          <w:highlight w:val="none"/>
        </w:rPr>
        <w:t>磋商文件规定的其他情形。</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采购代理机构对所有响应文件的误投或提前启封概不负责。</w:t>
      </w:r>
    </w:p>
    <w:p>
      <w:pPr>
        <w:numPr>
          <w:ilvl w:val="1"/>
          <w:numId w:val="3"/>
        </w:numPr>
        <w:rPr>
          <w:rFonts w:ascii="宋体" w:hAnsi="宋体"/>
          <w:color w:val="auto"/>
          <w:szCs w:val="21"/>
          <w:highlight w:val="none"/>
        </w:rPr>
      </w:pPr>
      <w:r>
        <w:rPr>
          <w:rFonts w:hint="eastAsia" w:ascii="宋体" w:hAnsi="宋体"/>
          <w:color w:val="auto"/>
          <w:szCs w:val="21"/>
          <w:highlight w:val="none"/>
        </w:rPr>
        <w:t>供应商同时参加几个包磋商时必须按采购文件要求按包号分别制作响应文件，分别密封递交。</w:t>
      </w:r>
    </w:p>
    <w:p>
      <w:pPr>
        <w:numPr>
          <w:ilvl w:val="1"/>
          <w:numId w:val="3"/>
        </w:numPr>
        <w:rPr>
          <w:rFonts w:ascii="宋体" w:hAnsi="宋体"/>
          <w:color w:val="auto"/>
          <w:szCs w:val="21"/>
          <w:highlight w:val="none"/>
        </w:rPr>
      </w:pPr>
      <w:r>
        <w:rPr>
          <w:rFonts w:hint="eastAsia" w:ascii="宋体" w:hAnsi="宋体"/>
          <w:color w:val="auto"/>
          <w:szCs w:val="21"/>
          <w:highlight w:val="none"/>
        </w:rPr>
        <w:t>递交的响应文件中所提供的通讯方式应保持联络畅通，因联系不上而导致的所有后果由供应商自行承担。</w:t>
      </w:r>
    </w:p>
    <w:p>
      <w:pPr>
        <w:rPr>
          <w:color w:val="auto"/>
          <w:highlight w:val="none"/>
        </w:rPr>
      </w:pPr>
    </w:p>
    <w:p>
      <w:pPr>
        <w:pStyle w:val="6"/>
        <w:keepNext w:val="0"/>
        <w:keepLines w:val="0"/>
        <w:numPr>
          <w:ilvl w:val="0"/>
          <w:numId w:val="3"/>
        </w:numPr>
        <w:adjustRightInd/>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rPr>
          <w:rFonts w:ascii="宋体" w:hAnsi="宋体"/>
          <w:color w:val="auto"/>
          <w:szCs w:val="21"/>
          <w:highlight w:val="none"/>
        </w:rPr>
      </w:pPr>
      <w:r>
        <w:rPr>
          <w:rFonts w:hint="eastAsia" w:ascii="宋体" w:hAnsi="宋体"/>
          <w:color w:val="auto"/>
          <w:szCs w:val="21"/>
          <w:highlight w:val="none"/>
        </w:rPr>
        <w:t>如有必要，采购代理机构可以要求供应商提供本服务项目涉及的部分设备或产品样品，供应商在磋商时应提交《样品清单》。</w:t>
      </w:r>
    </w:p>
    <w:p>
      <w:pPr>
        <w:numPr>
          <w:ilvl w:val="1"/>
          <w:numId w:val="3"/>
        </w:numPr>
        <w:rPr>
          <w:rFonts w:ascii="宋体" w:hAnsi="宋体"/>
          <w:color w:val="auto"/>
          <w:szCs w:val="21"/>
          <w:highlight w:val="none"/>
        </w:rPr>
      </w:pPr>
      <w:r>
        <w:rPr>
          <w:rFonts w:hint="eastAsia" w:ascii="宋体" w:hAnsi="宋体"/>
          <w:color w:val="auto"/>
          <w:szCs w:val="21"/>
          <w:highlight w:val="none"/>
        </w:rPr>
        <w:t>为方便评审，供应商在提供样品时，应在所提供的样品表面显著位置标注供应商的名称、包号、样品名称、采购文件规定的服务或货物编号。</w:t>
      </w:r>
    </w:p>
    <w:p>
      <w:pPr>
        <w:numPr>
          <w:ilvl w:val="1"/>
          <w:numId w:val="3"/>
        </w:numPr>
        <w:rPr>
          <w:rFonts w:ascii="宋体" w:hAnsi="宋体"/>
          <w:color w:val="auto"/>
          <w:szCs w:val="21"/>
          <w:highlight w:val="none"/>
        </w:rPr>
      </w:pPr>
      <w:r>
        <w:rPr>
          <w:rFonts w:hint="eastAsia" w:ascii="宋体" w:hAnsi="宋体"/>
          <w:color w:val="auto"/>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6"/>
        <w:keepNext w:val="0"/>
        <w:keepLines w:val="0"/>
        <w:numPr>
          <w:ilvl w:val="0"/>
          <w:numId w:val="3"/>
        </w:numPr>
        <w:adjustRightInd/>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rPr>
          <w:rFonts w:ascii="宋体" w:hAnsi="宋体"/>
          <w:color w:val="auto"/>
          <w:szCs w:val="21"/>
          <w:highlight w:val="none"/>
        </w:rPr>
      </w:pPr>
      <w:bookmarkStart w:id="134" w:name="_Toc475249135"/>
      <w:bookmarkStart w:id="135" w:name="_Toc475249138"/>
      <w:r>
        <w:rPr>
          <w:rFonts w:hint="eastAsia" w:ascii="宋体" w:hAnsi="宋体"/>
          <w:color w:val="auto"/>
          <w:szCs w:val="21"/>
          <w:highlight w:val="none"/>
        </w:rPr>
        <w:t>供应商应在《磋商邀请函》规定的日期、时间和地点递交响应文件并进行现场签到。</w:t>
      </w:r>
    </w:p>
    <w:p>
      <w:pPr>
        <w:numPr>
          <w:ilvl w:val="1"/>
          <w:numId w:val="3"/>
        </w:numPr>
        <w:rPr>
          <w:rFonts w:ascii="宋体" w:hAnsi="宋体"/>
          <w:color w:val="auto"/>
          <w:szCs w:val="21"/>
          <w:highlight w:val="none"/>
        </w:rPr>
      </w:pPr>
      <w:r>
        <w:rPr>
          <w:rFonts w:hint="eastAsia" w:ascii="宋体" w:hAnsi="宋体"/>
          <w:color w:val="auto"/>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rPr>
          <w:rFonts w:ascii="宋体" w:hAnsi="宋体"/>
          <w:color w:val="auto"/>
          <w:szCs w:val="21"/>
          <w:highlight w:val="none"/>
        </w:rPr>
      </w:pPr>
      <w:r>
        <w:rPr>
          <w:rFonts w:hint="eastAsia" w:ascii="宋体" w:hAnsi="宋体"/>
          <w:color w:val="auto"/>
          <w:szCs w:val="21"/>
          <w:highlight w:val="none"/>
        </w:rPr>
        <w:t>本项目采用综合评分法。</w:t>
      </w:r>
    </w:p>
    <w:p>
      <w:pPr>
        <w:numPr>
          <w:ilvl w:val="1"/>
          <w:numId w:val="3"/>
        </w:numPr>
        <w:rPr>
          <w:rFonts w:ascii="宋体" w:hAnsi="宋体"/>
          <w:color w:val="auto"/>
          <w:szCs w:val="21"/>
          <w:highlight w:val="none"/>
        </w:rPr>
      </w:pPr>
      <w:r>
        <w:rPr>
          <w:rFonts w:hint="eastAsia" w:ascii="宋体" w:hAnsi="宋体"/>
          <w:color w:val="auto"/>
          <w:szCs w:val="21"/>
          <w:highlight w:val="none"/>
        </w:rPr>
        <w:t>通过资格性和符合性审查的有效供应商方有资格提交最终报价及进入综合评审。</w:t>
      </w:r>
    </w:p>
    <w:p>
      <w:pPr>
        <w:numPr>
          <w:ilvl w:val="1"/>
          <w:numId w:val="3"/>
        </w:numPr>
        <w:rPr>
          <w:rFonts w:ascii="宋体" w:hAnsi="宋体"/>
          <w:color w:val="auto"/>
          <w:szCs w:val="21"/>
          <w:highlight w:val="none"/>
        </w:rPr>
      </w:pPr>
      <w:r>
        <w:rPr>
          <w:rFonts w:hint="eastAsia" w:ascii="宋体" w:hAnsi="宋体"/>
          <w:color w:val="auto"/>
          <w:szCs w:val="21"/>
          <w:highlight w:val="none"/>
        </w:rPr>
        <w:t>根据财库〔2015〕124 号，在采购过程中符合要求的供应商只有 2 家的，竞争性磋商采购活动继续进行。</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rPr>
          <w:rFonts w:ascii="宋体" w:hAnsi="宋体"/>
          <w:color w:val="auto"/>
          <w:szCs w:val="21"/>
          <w:highlight w:val="none"/>
        </w:rPr>
      </w:pPr>
      <w:r>
        <w:rPr>
          <w:rFonts w:hint="eastAsia" w:ascii="宋体" w:hAnsi="宋体"/>
          <w:color w:val="auto"/>
          <w:szCs w:val="21"/>
          <w:highlight w:val="none"/>
        </w:rPr>
        <w:t>本次采购依法组建磋商小组。</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从递交响应文件截止到签订合同，凡与审查、澄清、评审和供应商响应文件有关的资料，均不得向任何供应商及与磋商无关的其他人透露。</w:t>
      </w:r>
    </w:p>
    <w:p>
      <w:pPr>
        <w:rPr>
          <w:rFonts w:ascii="宋体" w:hAnsi="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138" w:name="_Toc17157"/>
      <w:bookmarkStart w:id="139" w:name="_Toc17978"/>
      <w:bookmarkStart w:id="140" w:name="_Toc535141844"/>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rPr>
          <w:rFonts w:ascii="宋体" w:hAnsi="宋体"/>
          <w:color w:val="auto"/>
          <w:szCs w:val="21"/>
          <w:highlight w:val="none"/>
        </w:rPr>
      </w:pPr>
      <w:r>
        <w:rPr>
          <w:rFonts w:hint="eastAsia" w:ascii="宋体" w:hAnsi="宋体"/>
          <w:color w:val="auto"/>
          <w:szCs w:val="21"/>
          <w:highlight w:val="none"/>
        </w:rPr>
        <w:t>开启响应文件后，采购代理机构将组织磋商小组对响应文件进行初审，初审包括资格性审查和符合性审查。</w:t>
      </w:r>
    </w:p>
    <w:p>
      <w:pPr>
        <w:numPr>
          <w:ilvl w:val="1"/>
          <w:numId w:val="3"/>
        </w:numPr>
        <w:rPr>
          <w:rFonts w:ascii="宋体" w:hAnsi="宋体"/>
          <w:color w:val="auto"/>
          <w:szCs w:val="21"/>
          <w:highlight w:val="none"/>
        </w:rPr>
      </w:pPr>
      <w:r>
        <w:rPr>
          <w:rFonts w:hint="eastAsia" w:ascii="宋体" w:hAnsi="宋体"/>
          <w:color w:val="auto"/>
          <w:szCs w:val="21"/>
          <w:highlight w:val="none"/>
        </w:rPr>
        <w:t>资格性审查是指依据法律规定和磋商文件的规定，对响应文件中的资格证明等进行审查，确定供应商是否具备响应资格。</w:t>
      </w:r>
      <w:r>
        <w:rPr>
          <w:rFonts w:hint="eastAsia" w:ascii="宋体" w:hAnsi="宋体"/>
          <w:b/>
          <w:color w:val="auto"/>
          <w:szCs w:val="21"/>
          <w:highlight w:val="none"/>
        </w:rPr>
        <w:t>资格性检查中发现下列情形之一的，其报价及响应文件作无效处理。</w:t>
      </w:r>
    </w:p>
    <w:p>
      <w:pPr>
        <w:numPr>
          <w:ilvl w:val="0"/>
          <w:numId w:val="12"/>
        </w:numPr>
        <w:rPr>
          <w:rFonts w:ascii="宋体" w:hAnsi="宋体"/>
          <w:color w:val="auto"/>
          <w:szCs w:val="21"/>
          <w:highlight w:val="none"/>
        </w:rPr>
      </w:pPr>
      <w:r>
        <w:rPr>
          <w:rFonts w:hint="eastAsia" w:ascii="宋体" w:hAnsi="宋体"/>
          <w:color w:val="auto"/>
          <w:szCs w:val="21"/>
          <w:highlight w:val="none"/>
        </w:rPr>
        <w:t>资格瑕疵</w:t>
      </w:r>
    </w:p>
    <w:p>
      <w:pPr>
        <w:ind w:firstLine="567"/>
        <w:rPr>
          <w:rFonts w:ascii="宋体" w:hAnsi="宋体"/>
          <w:color w:val="auto"/>
          <w:szCs w:val="21"/>
          <w:highlight w:val="none"/>
        </w:rPr>
      </w:pPr>
      <w:r>
        <w:rPr>
          <w:rFonts w:hint="eastAsia" w:ascii="宋体" w:hAnsi="宋体"/>
          <w:color w:val="auto"/>
          <w:szCs w:val="21"/>
          <w:highlight w:val="none"/>
        </w:rPr>
        <w:t>包括但不限于：①资格证明文件未提供或不符合采购文件要求的；</w:t>
      </w:r>
      <w:r>
        <w:rPr>
          <w:rFonts w:ascii="宋体" w:hAnsi="宋体"/>
          <w:color w:val="auto"/>
          <w:szCs w:val="21"/>
          <w:highlight w:val="none"/>
        </w:rPr>
        <w:t xml:space="preserve"> </w:t>
      </w:r>
      <w:r>
        <w:rPr>
          <w:rFonts w:hint="eastAsia" w:ascii="宋体" w:hAnsi="宋体"/>
          <w:color w:val="auto"/>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rPr>
          <w:rFonts w:ascii="宋体" w:hAnsi="宋体"/>
          <w:color w:val="auto"/>
          <w:szCs w:val="21"/>
          <w:highlight w:val="none"/>
        </w:rPr>
      </w:pPr>
      <w:r>
        <w:rPr>
          <w:rFonts w:hint="eastAsia" w:ascii="宋体" w:hAnsi="宋体"/>
          <w:color w:val="auto"/>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b/>
          <w:color w:val="auto"/>
          <w:szCs w:val="21"/>
          <w:highlight w:val="none"/>
        </w:rPr>
        <w:t>符合性检查中发现下列情形之一的，其报价及响应文件作无效处理。</w:t>
      </w:r>
    </w:p>
    <w:p>
      <w:pPr>
        <w:numPr>
          <w:ilvl w:val="0"/>
          <w:numId w:val="13"/>
        </w:numPr>
        <w:rPr>
          <w:rFonts w:ascii="宋体" w:hAnsi="宋体"/>
          <w:color w:val="auto"/>
          <w:szCs w:val="21"/>
          <w:highlight w:val="none"/>
        </w:rPr>
      </w:pPr>
      <w:r>
        <w:rPr>
          <w:rFonts w:hint="eastAsia" w:ascii="宋体" w:hAnsi="宋体"/>
          <w:color w:val="auto"/>
          <w:szCs w:val="21"/>
          <w:highlight w:val="none"/>
        </w:rPr>
        <w:t>响应文件的有效性、完整性瑕疵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rPr>
          <w:rFonts w:ascii="宋体" w:hAnsi="宋体"/>
          <w:color w:val="auto"/>
          <w:szCs w:val="21"/>
          <w:highlight w:val="none"/>
        </w:rPr>
      </w:pPr>
      <w:r>
        <w:rPr>
          <w:rFonts w:hint="eastAsia" w:ascii="宋体" w:hAnsi="宋体"/>
          <w:color w:val="auto"/>
          <w:szCs w:val="21"/>
          <w:highlight w:val="none"/>
        </w:rPr>
        <w:t>技术响应瑕疵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rPr>
          <w:rFonts w:ascii="宋体" w:hAnsi="宋体"/>
          <w:color w:val="auto"/>
          <w:szCs w:val="21"/>
          <w:highlight w:val="none"/>
        </w:rPr>
      </w:pPr>
      <w:r>
        <w:rPr>
          <w:rFonts w:hint="eastAsia" w:ascii="宋体" w:hAnsi="宋体"/>
          <w:color w:val="auto"/>
          <w:szCs w:val="21"/>
          <w:highlight w:val="none"/>
        </w:rPr>
        <w:t>商务响应瑕疵</w:t>
      </w:r>
    </w:p>
    <w:p>
      <w:pPr>
        <w:ind w:firstLine="567"/>
        <w:rPr>
          <w:rFonts w:ascii="宋体" w:hAnsi="宋体"/>
          <w:color w:val="auto"/>
          <w:szCs w:val="21"/>
          <w:highlight w:val="none"/>
        </w:rPr>
      </w:pPr>
      <w:r>
        <w:rPr>
          <w:rFonts w:hint="eastAsia" w:ascii="宋体" w:hAnsi="宋体"/>
          <w:color w:val="auto"/>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rPr>
          <w:rFonts w:ascii="宋体" w:hAnsi="宋体"/>
          <w:color w:val="auto"/>
          <w:szCs w:val="21"/>
          <w:highlight w:val="none"/>
        </w:rPr>
      </w:pPr>
      <w:r>
        <w:rPr>
          <w:rFonts w:hint="eastAsia" w:ascii="宋体" w:hAnsi="宋体"/>
          <w:color w:val="auto"/>
          <w:szCs w:val="21"/>
          <w:highlight w:val="none"/>
        </w:rPr>
        <w:t>报价瑕疵</w:t>
      </w:r>
    </w:p>
    <w:p>
      <w:pPr>
        <w:ind w:firstLine="567"/>
        <w:rPr>
          <w:rFonts w:ascii="宋体" w:hAnsi="宋体"/>
          <w:color w:val="auto"/>
          <w:szCs w:val="21"/>
          <w:highlight w:val="none"/>
        </w:rPr>
      </w:pPr>
      <w:r>
        <w:rPr>
          <w:rFonts w:hint="eastAsia" w:ascii="宋体" w:hAnsi="宋体"/>
          <w:color w:val="auto"/>
          <w:szCs w:val="21"/>
          <w:highlight w:val="none"/>
        </w:rPr>
        <w:t>包括但不限于：①一次报价或最终报价</w:t>
      </w:r>
      <w:r>
        <w:rPr>
          <w:rFonts w:hint="eastAsia" w:ascii="宋体" w:hAnsi="宋体"/>
          <w:color w:val="auto"/>
          <w:szCs w:val="21"/>
          <w:highlight w:val="none"/>
          <w:lang w:val="en-US" w:eastAsia="zh-CN"/>
        </w:rPr>
        <w:t>不满足</w:t>
      </w:r>
      <w:r>
        <w:rPr>
          <w:rFonts w:hint="eastAsia" w:ascii="宋体" w:hAnsi="宋体"/>
          <w:color w:val="auto"/>
          <w:szCs w:val="21"/>
          <w:highlight w:val="none"/>
        </w:rPr>
        <w:t>本采购文件明确的项目预算或文件明确的限价</w:t>
      </w:r>
      <w:r>
        <w:rPr>
          <w:rFonts w:hint="eastAsia" w:ascii="宋体" w:hAnsi="宋体"/>
          <w:color w:val="auto"/>
          <w:szCs w:val="21"/>
          <w:highlight w:val="none"/>
          <w:lang w:val="en-US" w:eastAsia="zh-CN"/>
        </w:rPr>
        <w:t>要求</w:t>
      </w:r>
      <w:r>
        <w:rPr>
          <w:rFonts w:hint="eastAsia" w:ascii="宋体" w:hAnsi="宋体"/>
          <w:color w:val="auto"/>
          <w:szCs w:val="21"/>
          <w:highlight w:val="none"/>
        </w:rPr>
        <w:t>；②未按采购文件要求进行报价的；③报价内容或报价格式不符合采购文件要求的；④报价有严重缺漏项的。</w:t>
      </w:r>
    </w:p>
    <w:p>
      <w:pPr>
        <w:numPr>
          <w:ilvl w:val="0"/>
          <w:numId w:val="13"/>
        </w:numPr>
        <w:rPr>
          <w:rFonts w:ascii="宋体" w:hAnsi="宋体"/>
          <w:color w:val="auto"/>
          <w:szCs w:val="21"/>
          <w:highlight w:val="none"/>
        </w:rPr>
      </w:pPr>
      <w:r>
        <w:rPr>
          <w:rFonts w:hint="eastAsia" w:ascii="宋体" w:hAnsi="宋体"/>
          <w:color w:val="auto"/>
          <w:szCs w:val="21"/>
          <w:highlight w:val="none"/>
        </w:rPr>
        <w:t>违规行为</w:t>
      </w:r>
    </w:p>
    <w:p>
      <w:pPr>
        <w:ind w:firstLine="567"/>
        <w:rPr>
          <w:rFonts w:ascii="宋体" w:hAnsi="宋体"/>
          <w:color w:val="auto"/>
          <w:szCs w:val="21"/>
          <w:highlight w:val="none"/>
        </w:rPr>
      </w:pPr>
      <w:r>
        <w:rPr>
          <w:rFonts w:hint="eastAsia" w:ascii="宋体" w:hAnsi="宋体"/>
          <w:color w:val="auto"/>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rPr>
          <w:rFonts w:ascii="宋体" w:hAnsi="宋体"/>
          <w:color w:val="auto"/>
          <w:szCs w:val="21"/>
          <w:highlight w:val="none"/>
        </w:rPr>
      </w:pPr>
      <w:r>
        <w:rPr>
          <w:rFonts w:hint="eastAsia" w:ascii="宋体" w:hAnsi="宋体"/>
          <w:color w:val="auto"/>
          <w:szCs w:val="21"/>
          <w:highlight w:val="none"/>
        </w:rPr>
        <w:t>法律法规及磋商文件中规定的其它情形</w:t>
      </w:r>
    </w:p>
    <w:p>
      <w:pPr>
        <w:ind w:firstLine="567"/>
        <w:rPr>
          <w:rFonts w:ascii="宋体" w:hAnsi="宋体"/>
          <w:color w:val="auto"/>
          <w:szCs w:val="21"/>
          <w:highlight w:val="none"/>
        </w:rPr>
      </w:pPr>
      <w:r>
        <w:rPr>
          <w:rFonts w:hint="eastAsia" w:ascii="宋体" w:hAnsi="宋体"/>
          <w:color w:val="auto"/>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rPr>
          <w:rFonts w:ascii="宋体" w:hAnsi="宋体"/>
          <w:color w:val="auto"/>
          <w:szCs w:val="21"/>
          <w:highlight w:val="none"/>
        </w:rPr>
      </w:pPr>
      <w:r>
        <w:rPr>
          <w:rFonts w:hint="eastAsia" w:ascii="宋体" w:hAnsi="宋体"/>
          <w:color w:val="auto"/>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rPr>
          <w:rFonts w:ascii="宋体" w:hAnsi="宋体"/>
          <w:color w:val="auto"/>
          <w:szCs w:val="21"/>
          <w:highlight w:val="none"/>
        </w:rPr>
      </w:pPr>
      <w:r>
        <w:rPr>
          <w:rFonts w:hint="eastAsia" w:ascii="宋体" w:hAnsi="宋体"/>
          <w:color w:val="auto"/>
          <w:szCs w:val="21"/>
          <w:highlight w:val="none"/>
        </w:rPr>
        <w:t>磋商小组确定响应文件的响应性，只根据响应文件本身的内容，而不寻找外部的证据。</w:t>
      </w:r>
    </w:p>
    <w:p>
      <w:pPr>
        <w:numPr>
          <w:ilvl w:val="1"/>
          <w:numId w:val="3"/>
        </w:numPr>
        <w:rPr>
          <w:rFonts w:ascii="宋体" w:hAnsi="宋体"/>
          <w:color w:val="auto"/>
          <w:szCs w:val="21"/>
          <w:highlight w:val="none"/>
        </w:rPr>
      </w:pPr>
      <w:r>
        <w:rPr>
          <w:rFonts w:hint="eastAsia" w:ascii="宋体" w:hAnsi="宋体"/>
          <w:color w:val="auto"/>
          <w:szCs w:val="21"/>
          <w:highlight w:val="none"/>
        </w:rPr>
        <w:t>实质上没有响应磋商文件要求的响应文件将被拒绝。供应商不得通过修正或撤销不合要求的偏离或保留从而使其响应成为实质上的响应。</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rPr>
          <w:rFonts w:ascii="宋体" w:hAnsi="宋体"/>
          <w:color w:val="auto"/>
          <w:szCs w:val="21"/>
          <w:highlight w:val="none"/>
        </w:rPr>
      </w:pPr>
      <w:r>
        <w:rPr>
          <w:rFonts w:hint="eastAsia" w:ascii="宋体" w:hAnsi="宋体"/>
          <w:color w:val="auto"/>
          <w:szCs w:val="21"/>
          <w:highlight w:val="none"/>
        </w:rPr>
        <w:t>磋商小组所有成员应当集中与单一供应商分别进行磋商，并给予所有参加磋商的供应商平等的磋商机会。其磋商顺序以供应商签到顺序为准。</w:t>
      </w:r>
    </w:p>
    <w:p>
      <w:pPr>
        <w:numPr>
          <w:ilvl w:val="1"/>
          <w:numId w:val="3"/>
        </w:numPr>
        <w:rPr>
          <w:rFonts w:ascii="宋体" w:hAnsi="宋体"/>
          <w:color w:val="auto"/>
          <w:szCs w:val="21"/>
          <w:highlight w:val="none"/>
        </w:rPr>
      </w:pPr>
      <w:r>
        <w:rPr>
          <w:rFonts w:hint="eastAsia" w:ascii="宋体" w:hAnsi="宋体"/>
          <w:color w:val="auto"/>
          <w:szCs w:val="21"/>
          <w:highlight w:val="none"/>
        </w:rPr>
        <w:t>磋商使用语言为中文。</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磋商小组将拒绝与出现以下情况的供应商授权代表进行磋商：</w:t>
      </w:r>
    </w:p>
    <w:p>
      <w:pPr>
        <w:pStyle w:val="2"/>
        <w:numPr>
          <w:ilvl w:val="0"/>
          <w:numId w:val="14"/>
        </w:numPr>
        <w:spacing w:before="0"/>
        <w:rPr>
          <w:color w:val="auto"/>
          <w:sz w:val="21"/>
          <w:szCs w:val="21"/>
          <w:highlight w:val="none"/>
        </w:rPr>
      </w:pPr>
      <w:r>
        <w:rPr>
          <w:rFonts w:hint="eastAsia"/>
          <w:color w:val="auto"/>
          <w:sz w:val="21"/>
          <w:szCs w:val="21"/>
          <w:highlight w:val="none"/>
        </w:rPr>
        <w:t>供应商授权代表无有效授权的；</w:t>
      </w:r>
    </w:p>
    <w:p>
      <w:pPr>
        <w:pStyle w:val="2"/>
        <w:numPr>
          <w:ilvl w:val="0"/>
          <w:numId w:val="14"/>
        </w:numPr>
        <w:spacing w:before="0"/>
        <w:rPr>
          <w:color w:val="auto"/>
          <w:sz w:val="21"/>
          <w:szCs w:val="21"/>
          <w:highlight w:val="none"/>
        </w:rPr>
      </w:pPr>
      <w:r>
        <w:rPr>
          <w:rFonts w:hint="eastAsia"/>
          <w:color w:val="auto"/>
          <w:sz w:val="21"/>
          <w:szCs w:val="21"/>
          <w:highlight w:val="none"/>
        </w:rPr>
        <w:t>供应商响应文件中的授权代表与现场进行磋商的授权代表不一致的；</w:t>
      </w:r>
    </w:p>
    <w:p>
      <w:pPr>
        <w:pStyle w:val="2"/>
        <w:numPr>
          <w:ilvl w:val="0"/>
          <w:numId w:val="14"/>
        </w:numPr>
        <w:spacing w:before="0"/>
        <w:rPr>
          <w:color w:val="auto"/>
          <w:sz w:val="21"/>
          <w:szCs w:val="21"/>
          <w:highlight w:val="none"/>
        </w:rPr>
      </w:pPr>
      <w:r>
        <w:rPr>
          <w:rFonts w:hint="eastAsia"/>
          <w:color w:val="auto"/>
          <w:sz w:val="21"/>
          <w:szCs w:val="21"/>
          <w:highlight w:val="none"/>
        </w:rPr>
        <w:t>法人参加磋商但无法定代表人证明书的；</w:t>
      </w:r>
    </w:p>
    <w:p>
      <w:pPr>
        <w:pStyle w:val="2"/>
        <w:numPr>
          <w:ilvl w:val="0"/>
          <w:numId w:val="14"/>
        </w:numPr>
        <w:spacing w:before="0"/>
        <w:rPr>
          <w:color w:val="auto"/>
          <w:sz w:val="21"/>
          <w:szCs w:val="21"/>
          <w:highlight w:val="none"/>
        </w:rPr>
      </w:pPr>
      <w:r>
        <w:rPr>
          <w:rFonts w:hint="eastAsia"/>
          <w:color w:val="auto"/>
          <w:sz w:val="21"/>
          <w:szCs w:val="21"/>
          <w:highlight w:val="none"/>
        </w:rPr>
        <w:t>授权代表现场不能出具可证明其身份信息的证件或文件的；</w:t>
      </w:r>
    </w:p>
    <w:p>
      <w:pPr>
        <w:pStyle w:val="2"/>
        <w:numPr>
          <w:ilvl w:val="0"/>
          <w:numId w:val="14"/>
        </w:numPr>
        <w:spacing w:before="0"/>
        <w:rPr>
          <w:color w:val="auto"/>
          <w:sz w:val="21"/>
          <w:szCs w:val="21"/>
          <w:highlight w:val="none"/>
        </w:rPr>
      </w:pPr>
      <w:r>
        <w:rPr>
          <w:rFonts w:hint="eastAsia"/>
          <w:color w:val="auto"/>
          <w:sz w:val="21"/>
          <w:szCs w:val="21"/>
          <w:highlight w:val="none"/>
        </w:rPr>
        <w:t>供应商一次报价</w:t>
      </w:r>
      <w:r>
        <w:rPr>
          <w:rFonts w:hint="eastAsia"/>
          <w:color w:val="auto"/>
          <w:sz w:val="21"/>
          <w:szCs w:val="21"/>
          <w:highlight w:val="none"/>
          <w:lang w:val="en-US" w:eastAsia="zh-CN"/>
        </w:rPr>
        <w:t>不满足</w:t>
      </w:r>
      <w:r>
        <w:rPr>
          <w:rFonts w:hint="eastAsia"/>
          <w:color w:val="auto"/>
          <w:sz w:val="21"/>
          <w:szCs w:val="21"/>
          <w:highlight w:val="none"/>
        </w:rPr>
        <w:t>采购文件所规定的预算或限价</w:t>
      </w:r>
      <w:r>
        <w:rPr>
          <w:rFonts w:hint="eastAsia"/>
          <w:color w:val="auto"/>
          <w:sz w:val="21"/>
          <w:szCs w:val="21"/>
          <w:highlight w:val="none"/>
          <w:lang w:val="en-US" w:eastAsia="zh-CN"/>
        </w:rPr>
        <w:t>要求</w:t>
      </w:r>
      <w:r>
        <w:rPr>
          <w:rFonts w:hint="eastAsia"/>
          <w:color w:val="auto"/>
          <w:sz w:val="21"/>
          <w:szCs w:val="21"/>
          <w:highlight w:val="none"/>
        </w:rPr>
        <w:t>的；</w:t>
      </w:r>
    </w:p>
    <w:p>
      <w:pPr>
        <w:pStyle w:val="2"/>
        <w:numPr>
          <w:ilvl w:val="0"/>
          <w:numId w:val="14"/>
        </w:numPr>
        <w:spacing w:before="0"/>
        <w:rPr>
          <w:color w:val="auto"/>
          <w:sz w:val="21"/>
          <w:szCs w:val="21"/>
          <w:highlight w:val="none"/>
        </w:rPr>
      </w:pPr>
      <w:r>
        <w:rPr>
          <w:rFonts w:hint="eastAsia"/>
          <w:color w:val="auto"/>
          <w:sz w:val="21"/>
          <w:szCs w:val="21"/>
          <w:highlight w:val="none"/>
        </w:rPr>
        <w:t>扰乱磋商秩序，干扰采购工作正常进行的；</w:t>
      </w:r>
    </w:p>
    <w:p>
      <w:pPr>
        <w:pStyle w:val="2"/>
        <w:numPr>
          <w:ilvl w:val="0"/>
          <w:numId w:val="14"/>
        </w:numPr>
        <w:spacing w:before="0"/>
        <w:rPr>
          <w:color w:val="auto"/>
          <w:sz w:val="21"/>
          <w:szCs w:val="21"/>
          <w:highlight w:val="none"/>
        </w:rPr>
      </w:pPr>
      <w:r>
        <w:rPr>
          <w:rFonts w:hint="eastAsia"/>
          <w:color w:val="auto"/>
          <w:sz w:val="21"/>
          <w:szCs w:val="21"/>
          <w:highlight w:val="none"/>
        </w:rPr>
        <w:t>直接或间接影响其他供应商进行最终报价的；</w:t>
      </w:r>
    </w:p>
    <w:p>
      <w:pPr>
        <w:pStyle w:val="2"/>
        <w:numPr>
          <w:ilvl w:val="0"/>
          <w:numId w:val="14"/>
        </w:numPr>
        <w:spacing w:before="0"/>
        <w:rPr>
          <w:color w:val="auto"/>
          <w:sz w:val="21"/>
          <w:szCs w:val="21"/>
          <w:highlight w:val="none"/>
        </w:rPr>
      </w:pPr>
      <w:r>
        <w:rPr>
          <w:rFonts w:hint="eastAsia"/>
          <w:color w:val="auto"/>
          <w:sz w:val="21"/>
          <w:szCs w:val="21"/>
          <w:highlight w:val="none"/>
        </w:rPr>
        <w:t>磋商小组认定为违规的情况；</w:t>
      </w:r>
    </w:p>
    <w:p>
      <w:pPr>
        <w:pStyle w:val="2"/>
        <w:numPr>
          <w:ilvl w:val="0"/>
          <w:numId w:val="14"/>
        </w:numPr>
        <w:spacing w:before="0"/>
        <w:rPr>
          <w:color w:val="auto"/>
          <w:sz w:val="21"/>
          <w:szCs w:val="21"/>
          <w:highlight w:val="none"/>
        </w:rPr>
      </w:pPr>
      <w:r>
        <w:rPr>
          <w:rFonts w:hint="eastAsia"/>
          <w:color w:val="auto"/>
          <w:sz w:val="21"/>
          <w:szCs w:val="21"/>
          <w:highlight w:val="none"/>
        </w:rPr>
        <w:t>采购文件规定的其他情况。</w:t>
      </w:r>
    </w:p>
    <w:p>
      <w:pPr>
        <w:numPr>
          <w:ilvl w:val="1"/>
          <w:numId w:val="3"/>
        </w:numPr>
        <w:rPr>
          <w:rFonts w:ascii="宋体" w:hAnsi="宋体"/>
          <w:color w:val="auto"/>
          <w:szCs w:val="21"/>
          <w:highlight w:val="none"/>
        </w:rPr>
      </w:pPr>
      <w:r>
        <w:rPr>
          <w:rFonts w:hint="eastAsia" w:ascii="宋体" w:hAnsi="宋体"/>
          <w:color w:val="auto"/>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rPr>
          <w:rFonts w:ascii="宋体" w:hAnsi="宋体"/>
          <w:color w:val="auto"/>
          <w:szCs w:val="21"/>
          <w:highlight w:val="none"/>
        </w:rPr>
      </w:pPr>
      <w:r>
        <w:rPr>
          <w:rFonts w:hint="eastAsia" w:ascii="宋体" w:hAnsi="宋体"/>
          <w:color w:val="auto"/>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rPr>
          <w:rFonts w:ascii="宋体" w:hAnsi="宋体"/>
          <w:color w:val="auto"/>
          <w:szCs w:val="21"/>
          <w:highlight w:val="none"/>
        </w:rPr>
      </w:pPr>
      <w:r>
        <w:rPr>
          <w:rFonts w:hint="eastAsia" w:ascii="宋体" w:hAnsi="宋体"/>
          <w:color w:val="auto"/>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通过初审，但未在规定时间内进行最终报价的供应商，其报价文件上的报价视为其最终报价。</w:t>
      </w:r>
    </w:p>
    <w:p>
      <w:pPr>
        <w:numPr>
          <w:ilvl w:val="1"/>
          <w:numId w:val="3"/>
        </w:numPr>
        <w:rPr>
          <w:rFonts w:ascii="宋体" w:hAnsi="宋体"/>
          <w:color w:val="auto"/>
          <w:szCs w:val="21"/>
          <w:highlight w:val="none"/>
        </w:rPr>
      </w:pPr>
      <w:r>
        <w:rPr>
          <w:rFonts w:hint="eastAsia" w:ascii="宋体" w:hAnsi="宋体"/>
          <w:color w:val="auto"/>
          <w:szCs w:val="21"/>
          <w:highlight w:val="none"/>
        </w:rPr>
        <w:t>已提交响应文件的供应商，在提交最后报价之前，可以根据磋商情况退出磋商。响应文件不予退还，磋商保证金按采购文件规定进行退还。退出磋商的供应商不进入综合评分环节。</w:t>
      </w:r>
    </w:p>
    <w:p>
      <w:pPr>
        <w:rPr>
          <w:color w:val="auto"/>
          <w:highlight w:val="none"/>
        </w:rPr>
      </w:pPr>
    </w:p>
    <w:bookmarkEnd w:id="135"/>
    <w:p>
      <w:pPr>
        <w:pStyle w:val="6"/>
        <w:keepNext w:val="0"/>
        <w:keepLines w:val="0"/>
        <w:numPr>
          <w:ilvl w:val="0"/>
          <w:numId w:val="3"/>
        </w:numPr>
        <w:adjustRightInd/>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rPr>
          <w:rFonts w:ascii="宋体" w:hAnsi="宋体"/>
          <w:color w:val="auto"/>
          <w:szCs w:val="21"/>
          <w:highlight w:val="none"/>
        </w:rPr>
      </w:pP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rPr>
          <w:rFonts w:ascii="宋体" w:hAnsi="宋体"/>
          <w:color w:val="auto"/>
          <w:szCs w:val="21"/>
          <w:highlight w:val="none"/>
        </w:rPr>
      </w:pPr>
      <w:r>
        <w:rPr>
          <w:rFonts w:hint="eastAsia" w:ascii="宋体" w:hAnsi="宋体"/>
          <w:color w:val="auto"/>
          <w:szCs w:val="21"/>
          <w:highlight w:val="none"/>
        </w:rPr>
        <w:t>价格评审：</w:t>
      </w:r>
    </w:p>
    <w:p>
      <w:pPr>
        <w:pStyle w:val="2"/>
        <w:numPr>
          <w:ilvl w:val="0"/>
          <w:numId w:val="15"/>
        </w:numPr>
        <w:spacing w:before="0"/>
        <w:rPr>
          <w:color w:val="auto"/>
          <w:sz w:val="21"/>
          <w:szCs w:val="21"/>
          <w:highlight w:val="none"/>
        </w:rPr>
      </w:pPr>
      <w:r>
        <w:rPr>
          <w:rFonts w:hint="eastAsia"/>
          <w:color w:val="auto"/>
          <w:sz w:val="21"/>
          <w:szCs w:val="21"/>
          <w:highlight w:val="none"/>
        </w:rPr>
        <w:t>以各供应商最终报价进行评审；</w:t>
      </w:r>
    </w:p>
    <w:p>
      <w:pPr>
        <w:pStyle w:val="2"/>
        <w:numPr>
          <w:ilvl w:val="0"/>
          <w:numId w:val="15"/>
        </w:numPr>
        <w:spacing w:before="0"/>
        <w:rPr>
          <w:color w:val="auto"/>
          <w:sz w:val="21"/>
          <w:szCs w:val="21"/>
          <w:highlight w:val="none"/>
        </w:rPr>
      </w:pPr>
      <w:r>
        <w:rPr>
          <w:rFonts w:hint="eastAsia"/>
          <w:color w:val="auto"/>
          <w:sz w:val="21"/>
          <w:szCs w:val="21"/>
          <w:highlight w:val="none"/>
        </w:rPr>
        <w:t>报价错误修正原则：</w:t>
      </w:r>
    </w:p>
    <w:p>
      <w:pPr>
        <w:pStyle w:val="2"/>
        <w:spacing w:before="0"/>
        <w:ind w:left="420"/>
        <w:rPr>
          <w:color w:val="auto"/>
          <w:sz w:val="21"/>
          <w:szCs w:val="21"/>
          <w:highlight w:val="none"/>
        </w:rPr>
      </w:pPr>
      <w:r>
        <w:rPr>
          <w:rFonts w:hint="eastAsia"/>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spacing w:before="0"/>
        <w:ind w:left="420"/>
        <w:rPr>
          <w:color w:val="auto"/>
          <w:sz w:val="21"/>
          <w:szCs w:val="21"/>
          <w:highlight w:val="none"/>
        </w:rPr>
      </w:pPr>
      <w:r>
        <w:rPr>
          <w:rFonts w:hint="eastAsia"/>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numPr>
          <w:ilvl w:val="0"/>
          <w:numId w:val="15"/>
        </w:numPr>
        <w:spacing w:before="0"/>
        <w:rPr>
          <w:color w:val="auto"/>
          <w:sz w:val="21"/>
          <w:szCs w:val="21"/>
          <w:highlight w:val="none"/>
        </w:rPr>
      </w:pPr>
      <w:r>
        <w:rPr>
          <w:rFonts w:hint="eastAsia"/>
          <w:color w:val="auto"/>
          <w:sz w:val="21"/>
          <w:szCs w:val="21"/>
          <w:highlight w:val="none"/>
        </w:rPr>
        <w:t>对报价服务报价漏项的，作非实质性响应处理。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技术商务评审要求详见《商务技术评分及价格权重表》。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rPr>
          <w:rFonts w:ascii="宋体" w:hAnsi="宋体"/>
          <w:color w:val="auto"/>
          <w:szCs w:val="21"/>
          <w:highlight w:val="none"/>
        </w:rPr>
      </w:pPr>
      <w:r>
        <w:rPr>
          <w:rFonts w:hint="eastAsia" w:ascii="宋体" w:hAnsi="宋体"/>
          <w:color w:val="auto"/>
          <w:szCs w:val="21"/>
          <w:highlight w:val="none"/>
        </w:rPr>
        <w:t>对小型或微型企业、监狱企业、残疾人福利性单位报价的扶持：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rPr>
          <w:rFonts w:ascii="宋体" w:hAnsi="宋体"/>
          <w:color w:val="auto"/>
          <w:szCs w:val="21"/>
          <w:highlight w:val="none"/>
        </w:rPr>
      </w:pPr>
      <w:r>
        <w:rPr>
          <w:rFonts w:hint="eastAsia" w:ascii="宋体" w:hAnsi="宋体"/>
          <w:color w:val="auto"/>
          <w:szCs w:val="21"/>
          <w:highlight w:val="none"/>
        </w:rPr>
        <w:t>供应商为小型或微型企业且响应产品含小型或微型企业产品时，其对应产品价格的扣除详见磋商资料表。</w:t>
      </w:r>
    </w:p>
    <w:p>
      <w:pPr>
        <w:numPr>
          <w:ilvl w:val="1"/>
          <w:numId w:val="3"/>
        </w:numPr>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rPr>
          <w:rFonts w:ascii="宋体" w:hAnsi="宋体"/>
          <w:color w:val="auto"/>
          <w:szCs w:val="21"/>
          <w:highlight w:val="none"/>
        </w:rPr>
      </w:pPr>
      <w:r>
        <w:rPr>
          <w:rFonts w:hint="eastAsia" w:ascii="宋体" w:hAnsi="宋体"/>
          <w:color w:val="auto"/>
          <w:szCs w:val="21"/>
          <w:highlight w:val="none"/>
        </w:rPr>
        <w:t>供应商同时为小型、微型企业、监狱企业、残疾人福利性单位任两种或以上情况的，评审中只享受一次价格扣除，不重复进行价格扣除。</w:t>
      </w:r>
    </w:p>
    <w:p>
      <w:pPr>
        <w:numPr>
          <w:ilvl w:val="1"/>
          <w:numId w:val="3"/>
        </w:numPr>
        <w:rPr>
          <w:rFonts w:ascii="宋体" w:hAnsi="宋体"/>
          <w:color w:val="auto"/>
          <w:szCs w:val="21"/>
          <w:highlight w:val="none"/>
        </w:rPr>
      </w:pPr>
      <w:r>
        <w:rPr>
          <w:rFonts w:hint="eastAsia" w:ascii="宋体" w:hAnsi="宋体"/>
          <w:color w:val="auto"/>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pStyle w:val="2"/>
        <w:numPr>
          <w:ilvl w:val="0"/>
          <w:numId w:val="16"/>
        </w:numPr>
        <w:spacing w:before="0"/>
        <w:rPr>
          <w:color w:val="auto"/>
          <w:sz w:val="21"/>
          <w:szCs w:val="21"/>
          <w:highlight w:val="none"/>
        </w:rPr>
      </w:pPr>
      <w:r>
        <w:rPr>
          <w:rFonts w:hint="eastAsia"/>
          <w:color w:val="auto"/>
          <w:sz w:val="21"/>
          <w:szCs w:val="21"/>
          <w:highlight w:val="none"/>
        </w:rPr>
        <w:t>安置的残疾人占本单位在职职工人数的比例不低于25%（含25%），并且安置的残疾人人数不少于10人（含10人）；</w:t>
      </w:r>
    </w:p>
    <w:p>
      <w:pPr>
        <w:pStyle w:val="2"/>
        <w:numPr>
          <w:ilvl w:val="0"/>
          <w:numId w:val="16"/>
        </w:numPr>
        <w:spacing w:before="0"/>
        <w:rPr>
          <w:color w:val="auto"/>
          <w:sz w:val="21"/>
          <w:szCs w:val="21"/>
          <w:highlight w:val="none"/>
        </w:rPr>
      </w:pPr>
      <w:r>
        <w:rPr>
          <w:rFonts w:hint="eastAsia"/>
          <w:color w:val="auto"/>
          <w:sz w:val="21"/>
          <w:szCs w:val="21"/>
          <w:highlight w:val="none"/>
        </w:rPr>
        <w:t>依法与安置的每位残疾人签订了一年以上（含一年）的劳动合同或服务协议；</w:t>
      </w:r>
    </w:p>
    <w:p>
      <w:pPr>
        <w:pStyle w:val="2"/>
        <w:numPr>
          <w:ilvl w:val="0"/>
          <w:numId w:val="16"/>
        </w:numPr>
        <w:spacing w:before="0"/>
        <w:rPr>
          <w:color w:val="auto"/>
          <w:sz w:val="21"/>
          <w:szCs w:val="21"/>
          <w:highlight w:val="none"/>
        </w:rPr>
      </w:pPr>
      <w:r>
        <w:rPr>
          <w:rFonts w:hint="eastAsia"/>
          <w:color w:val="auto"/>
          <w:sz w:val="21"/>
          <w:szCs w:val="21"/>
          <w:highlight w:val="none"/>
        </w:rPr>
        <w:t>为安置的每位残疾人按月足额缴纳了基本养老保险、基本医疗保险、失业保险、工伤保险和生育保险等社会保险费；</w:t>
      </w:r>
    </w:p>
    <w:p>
      <w:pPr>
        <w:pStyle w:val="2"/>
        <w:numPr>
          <w:ilvl w:val="0"/>
          <w:numId w:val="16"/>
        </w:numPr>
        <w:spacing w:before="0"/>
        <w:rPr>
          <w:color w:val="auto"/>
          <w:sz w:val="21"/>
          <w:szCs w:val="21"/>
          <w:highlight w:val="none"/>
        </w:rPr>
      </w:pPr>
      <w:r>
        <w:rPr>
          <w:rFonts w:hint="eastAsia"/>
          <w:color w:val="auto"/>
          <w:sz w:val="21"/>
          <w:szCs w:val="21"/>
          <w:highlight w:val="none"/>
        </w:rPr>
        <w:t>通过银行等金融机构向安置的每位残疾人，按月支付了不低于单位所在区县适用的经省级人民政府批准的月最低工资标准的工资；</w:t>
      </w:r>
    </w:p>
    <w:p>
      <w:pPr>
        <w:pStyle w:val="2"/>
        <w:numPr>
          <w:ilvl w:val="0"/>
          <w:numId w:val="16"/>
        </w:numPr>
        <w:spacing w:before="0"/>
        <w:rPr>
          <w:color w:val="auto"/>
          <w:sz w:val="21"/>
          <w:szCs w:val="21"/>
          <w:highlight w:val="none"/>
        </w:rPr>
      </w:pPr>
      <w:r>
        <w:rPr>
          <w:rFonts w:hint="eastAsia"/>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rPr>
          <w:rFonts w:ascii="宋体" w:hAnsi="宋体"/>
          <w:color w:val="auto"/>
          <w:szCs w:val="21"/>
          <w:highlight w:val="none"/>
        </w:rPr>
      </w:pPr>
      <w:r>
        <w:rPr>
          <w:rFonts w:hint="eastAsia" w:ascii="宋体" w:hAnsi="宋体"/>
          <w:color w:val="auto"/>
          <w:szCs w:val="21"/>
          <w:highlight w:val="none"/>
        </w:rPr>
        <w:t>对节能产品或环境标志产品的扶持：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环境标志产品政府采购执行机制的通知》（粤财采购函〔2020〕1号）的规定，对提供节能产品或环境标志产品的响应单位的价格给予一定比例扣除（扣除比例详见磋商资料表）。</w:t>
      </w:r>
    </w:p>
    <w:p>
      <w:pPr>
        <w:numPr>
          <w:ilvl w:val="1"/>
          <w:numId w:val="3"/>
        </w:numPr>
        <w:rPr>
          <w:rFonts w:ascii="宋体" w:hAnsi="宋体"/>
          <w:color w:val="auto"/>
          <w:szCs w:val="21"/>
          <w:highlight w:val="none"/>
        </w:rPr>
      </w:pPr>
      <w:r>
        <w:rPr>
          <w:rFonts w:hint="eastAsia" w:ascii="宋体" w:hAnsi="宋体"/>
          <w:color w:val="auto"/>
          <w:szCs w:val="21"/>
          <w:highlight w:val="none"/>
        </w:rPr>
        <w:t>提供节能产品或环境标志产品的供应商其产品应符合以下规定：</w:t>
      </w:r>
    </w:p>
    <w:p>
      <w:pPr>
        <w:pStyle w:val="2"/>
        <w:numPr>
          <w:ilvl w:val="0"/>
          <w:numId w:val="17"/>
        </w:numPr>
        <w:spacing w:before="0"/>
        <w:rPr>
          <w:color w:val="auto"/>
          <w:sz w:val="21"/>
          <w:szCs w:val="21"/>
          <w:highlight w:val="none"/>
        </w:rPr>
      </w:pPr>
      <w:r>
        <w:rPr>
          <w:rFonts w:hint="eastAsia"/>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numPr>
          <w:ilvl w:val="0"/>
          <w:numId w:val="17"/>
        </w:numPr>
        <w:spacing w:before="0"/>
        <w:rPr>
          <w:color w:val="auto"/>
          <w:sz w:val="21"/>
          <w:szCs w:val="21"/>
          <w:highlight w:val="none"/>
        </w:rPr>
      </w:pPr>
      <w:r>
        <w:rPr>
          <w:rFonts w:hint="eastAsia"/>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numPr>
          <w:ilvl w:val="0"/>
          <w:numId w:val="17"/>
        </w:numPr>
        <w:spacing w:before="0"/>
        <w:rPr>
          <w:color w:val="auto"/>
          <w:sz w:val="21"/>
          <w:szCs w:val="21"/>
          <w:highlight w:val="none"/>
        </w:rPr>
      </w:pPr>
      <w:r>
        <w:rPr>
          <w:rFonts w:hint="eastAsia"/>
          <w:color w:val="auto"/>
          <w:sz w:val="21"/>
          <w:szCs w:val="21"/>
          <w:highlight w:val="none"/>
        </w:rPr>
        <w:t>若用户需求中含有《节能产品政府采购品目清单》中的政府强制采购产品，供应商应根据要求提供所对应的节能产品，否则做响应无效处理。</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rPr>
        <w:t>第六章确定成交供应商</w:t>
      </w:r>
      <w:bookmarkEnd w:id="150"/>
      <w:bookmarkEnd w:id="151"/>
    </w:p>
    <w:p>
      <w:pPr>
        <w:pStyle w:val="6"/>
        <w:keepNext w:val="0"/>
        <w:keepLines w:val="0"/>
        <w:numPr>
          <w:ilvl w:val="0"/>
          <w:numId w:val="3"/>
        </w:numPr>
        <w:adjustRightInd/>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rPr>
          <w:rFonts w:ascii="宋体" w:hAnsi="宋体"/>
          <w:color w:val="auto"/>
          <w:szCs w:val="21"/>
          <w:highlight w:val="none"/>
        </w:rPr>
      </w:pPr>
      <w:r>
        <w:rPr>
          <w:rFonts w:hint="eastAsia" w:ascii="宋体" w:hAnsi="宋体"/>
          <w:color w:val="auto"/>
          <w:szCs w:val="21"/>
          <w:highlight w:val="none"/>
        </w:rPr>
        <w:t>磋商小组完成评审工作后，出具评审报告，推荐3名以上成交候选供应商。符合法律法规允许的情况的，可以推荐2家成交候选供应商。</w:t>
      </w:r>
    </w:p>
    <w:p>
      <w:pPr>
        <w:numPr>
          <w:ilvl w:val="1"/>
          <w:numId w:val="3"/>
        </w:numPr>
        <w:rPr>
          <w:rFonts w:ascii="宋体" w:hAnsi="宋体"/>
          <w:color w:val="auto"/>
          <w:szCs w:val="21"/>
          <w:highlight w:val="none"/>
        </w:rPr>
      </w:pPr>
      <w:r>
        <w:rPr>
          <w:rFonts w:hint="eastAsia" w:ascii="宋体" w:hAnsi="宋体"/>
          <w:color w:val="auto"/>
          <w:szCs w:val="21"/>
          <w:highlight w:val="none"/>
        </w:rPr>
        <w:t>采购人从成交候选供应商名单中按照综合得分排序确定1名成交供应商。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3"/>
        </w:numPr>
        <w:rPr>
          <w:rFonts w:ascii="宋体" w:hAnsi="宋体"/>
          <w:color w:val="auto"/>
          <w:szCs w:val="21"/>
          <w:highlight w:val="none"/>
        </w:rPr>
      </w:pPr>
      <w:r>
        <w:rPr>
          <w:rFonts w:hint="eastAsia" w:ascii="宋体" w:hAnsi="宋体"/>
          <w:color w:val="auto"/>
          <w:szCs w:val="21"/>
          <w:highlight w:val="none"/>
        </w:rPr>
        <w:t>磋商小组提出评标书面报告和推荐成交意见报采购人确认后，采购代理机构将在指定的信息发布媒体上发布公告。</w:t>
      </w:r>
    </w:p>
    <w:p>
      <w:pPr>
        <w:numPr>
          <w:ilvl w:val="1"/>
          <w:numId w:val="3"/>
        </w:numPr>
        <w:rPr>
          <w:rFonts w:ascii="宋体" w:hAnsi="宋体"/>
          <w:color w:val="auto"/>
          <w:szCs w:val="21"/>
          <w:highlight w:val="none"/>
        </w:rPr>
      </w:pPr>
      <w:r>
        <w:rPr>
          <w:rFonts w:hint="eastAsia" w:ascii="宋体" w:hAnsi="宋体"/>
          <w:color w:val="auto"/>
          <w:szCs w:val="21"/>
          <w:highlight w:val="none"/>
        </w:rPr>
        <w:t>公告期限为1个工作日。</w:t>
      </w:r>
    </w:p>
    <w:p>
      <w:pPr>
        <w:numPr>
          <w:ilvl w:val="1"/>
          <w:numId w:val="3"/>
        </w:numPr>
        <w:rPr>
          <w:rFonts w:ascii="宋体" w:hAnsi="宋体"/>
          <w:color w:val="auto"/>
          <w:szCs w:val="21"/>
          <w:highlight w:val="none"/>
        </w:rPr>
      </w:pPr>
      <w:r>
        <w:rPr>
          <w:rFonts w:hint="eastAsia" w:ascii="宋体" w:hAnsi="宋体"/>
          <w:color w:val="auto"/>
          <w:szCs w:val="21"/>
          <w:highlight w:val="none"/>
        </w:rPr>
        <w:t>结果公示发布后，成交单位应及时领取成交通知书。《成交通知书》是合同的一个组成部分，《成交通知书》对采购人和成交供应商均具有同等法律效力。</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成交供应商无正当理由不得放弃中标，因成交供应商放弃中标而对采购人造成的损失由放弃中标的成交供应商承担。</w:t>
      </w:r>
    </w:p>
    <w:p>
      <w:pPr>
        <w:pStyle w:val="2"/>
        <w:rPr>
          <w:color w:val="auto"/>
          <w:sz w:val="21"/>
          <w:szCs w:val="21"/>
          <w:highlight w:val="none"/>
        </w:rPr>
      </w:pPr>
    </w:p>
    <w:p>
      <w:pPr>
        <w:pStyle w:val="6"/>
        <w:keepNext w:val="0"/>
        <w:keepLines w:val="0"/>
        <w:numPr>
          <w:ilvl w:val="0"/>
          <w:numId w:val="3"/>
        </w:numPr>
        <w:adjustRightInd/>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成交供应商有下列情形之一的，取消中标资格：</w:t>
      </w:r>
    </w:p>
    <w:p>
      <w:pPr>
        <w:pStyle w:val="2"/>
        <w:numPr>
          <w:ilvl w:val="0"/>
          <w:numId w:val="18"/>
        </w:numPr>
        <w:rPr>
          <w:color w:val="auto"/>
          <w:sz w:val="21"/>
          <w:szCs w:val="21"/>
          <w:highlight w:val="none"/>
        </w:rPr>
      </w:pPr>
      <w:r>
        <w:rPr>
          <w:rFonts w:hint="eastAsia"/>
          <w:color w:val="auto"/>
          <w:sz w:val="21"/>
          <w:szCs w:val="21"/>
          <w:highlight w:val="none"/>
        </w:rPr>
        <w:t>拒绝采购人或采购代理机构原件核查要求的；</w:t>
      </w:r>
    </w:p>
    <w:p>
      <w:pPr>
        <w:pStyle w:val="2"/>
        <w:numPr>
          <w:ilvl w:val="0"/>
          <w:numId w:val="18"/>
        </w:numPr>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2"/>
        <w:numPr>
          <w:ilvl w:val="0"/>
          <w:numId w:val="18"/>
        </w:numPr>
        <w:rPr>
          <w:color w:val="auto"/>
          <w:sz w:val="21"/>
          <w:szCs w:val="21"/>
          <w:highlight w:val="none"/>
        </w:rPr>
      </w:pPr>
      <w:r>
        <w:rPr>
          <w:rFonts w:hint="eastAsia"/>
          <w:color w:val="auto"/>
          <w:sz w:val="21"/>
          <w:szCs w:val="21"/>
          <w:highlight w:val="none"/>
        </w:rPr>
        <w:t>在规定时间内递交的原件数量、内容与采购人、采购代理机构要求不一致的；</w:t>
      </w:r>
    </w:p>
    <w:p>
      <w:pPr>
        <w:pStyle w:val="2"/>
        <w:numPr>
          <w:ilvl w:val="0"/>
          <w:numId w:val="18"/>
        </w:numPr>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2"/>
        <w:numPr>
          <w:ilvl w:val="0"/>
          <w:numId w:val="18"/>
        </w:numPr>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供应商有下列情形之一的，响应文件作无效处理，其报价无效：</w:t>
      </w:r>
    </w:p>
    <w:p>
      <w:pPr>
        <w:pStyle w:val="2"/>
        <w:numPr>
          <w:ilvl w:val="0"/>
          <w:numId w:val="19"/>
        </w:numPr>
        <w:spacing w:before="0"/>
        <w:rPr>
          <w:color w:val="auto"/>
          <w:sz w:val="21"/>
          <w:szCs w:val="21"/>
          <w:highlight w:val="none"/>
        </w:rPr>
      </w:pPr>
      <w:r>
        <w:rPr>
          <w:rFonts w:hint="eastAsia"/>
          <w:color w:val="auto"/>
          <w:sz w:val="21"/>
          <w:szCs w:val="21"/>
          <w:highlight w:val="none"/>
        </w:rPr>
        <w:t>拒绝采购人或采购代理机构原件核查要求的；</w:t>
      </w:r>
    </w:p>
    <w:p>
      <w:pPr>
        <w:pStyle w:val="2"/>
        <w:numPr>
          <w:ilvl w:val="0"/>
          <w:numId w:val="19"/>
        </w:numPr>
        <w:spacing w:before="0"/>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2"/>
        <w:numPr>
          <w:ilvl w:val="0"/>
          <w:numId w:val="19"/>
        </w:numPr>
        <w:spacing w:before="0"/>
        <w:rPr>
          <w:color w:val="auto"/>
          <w:sz w:val="21"/>
          <w:szCs w:val="21"/>
          <w:highlight w:val="none"/>
        </w:rPr>
      </w:pPr>
      <w:r>
        <w:rPr>
          <w:rFonts w:hint="eastAsia"/>
          <w:color w:val="auto"/>
          <w:sz w:val="21"/>
          <w:szCs w:val="21"/>
          <w:highlight w:val="none"/>
        </w:rPr>
        <w:t>在规定时间内递交的原件数量、内容不符合采购人、采购代理机构要求的；</w:t>
      </w:r>
    </w:p>
    <w:p>
      <w:pPr>
        <w:pStyle w:val="2"/>
        <w:numPr>
          <w:ilvl w:val="0"/>
          <w:numId w:val="19"/>
        </w:numPr>
        <w:spacing w:before="0"/>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2"/>
        <w:numPr>
          <w:ilvl w:val="0"/>
          <w:numId w:val="19"/>
        </w:numPr>
        <w:spacing w:before="0"/>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若供应商出现虚假应标情况，响应文件作无效处理，其报价、成交无效。并根据相关法律上报相关监管部门。</w:t>
      </w:r>
    </w:p>
    <w:p>
      <w:pPr>
        <w:numPr>
          <w:ilvl w:val="1"/>
          <w:numId w:val="3"/>
        </w:numPr>
        <w:rPr>
          <w:rFonts w:ascii="宋体" w:hAnsi="宋体"/>
          <w:color w:val="auto"/>
          <w:szCs w:val="21"/>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7756778"/>
      <w:bookmarkStart w:id="160" w:name="_Toc3829"/>
      <w:bookmarkStart w:id="161" w:name="_Toc31756"/>
      <w:bookmarkStart w:id="162" w:name="_Toc475249143"/>
      <w:r>
        <w:rPr>
          <w:rFonts w:hint="eastAsia" w:ascii="宋体" w:hAnsi="宋体" w:eastAsia="宋体"/>
          <w:color w:val="auto"/>
          <w:sz w:val="24"/>
          <w:szCs w:val="21"/>
          <w:highlight w:val="none"/>
        </w:rPr>
        <w:t>第七章签订合同</w:t>
      </w:r>
      <w:bookmarkEnd w:id="158"/>
      <w:bookmarkEnd w:id="159"/>
      <w:bookmarkEnd w:id="160"/>
      <w:bookmarkEnd w:id="161"/>
    </w:p>
    <w:p>
      <w:pPr>
        <w:pStyle w:val="6"/>
        <w:keepNext w:val="0"/>
        <w:keepLines w:val="0"/>
        <w:numPr>
          <w:ilvl w:val="0"/>
          <w:numId w:val="3"/>
        </w:numPr>
        <w:adjustRightInd/>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rPr>
          <w:rFonts w:ascii="宋体" w:hAnsi="宋体"/>
          <w:color w:val="auto"/>
          <w:szCs w:val="21"/>
          <w:highlight w:val="none"/>
        </w:rPr>
      </w:pPr>
      <w:r>
        <w:rPr>
          <w:rFonts w:hint="eastAsia" w:ascii="宋体" w:hAnsi="宋体"/>
          <w:color w:val="auto"/>
          <w:szCs w:val="21"/>
          <w:highlight w:val="none"/>
        </w:rPr>
        <w:t>采购人与成交供应商应当在成交通知书发出之日起30日内，按照采购文件确定的事项签订政府采购合同。</w:t>
      </w:r>
    </w:p>
    <w:p>
      <w:pPr>
        <w:numPr>
          <w:ilvl w:val="1"/>
          <w:numId w:val="3"/>
        </w:numPr>
        <w:rPr>
          <w:rFonts w:ascii="宋体" w:hAnsi="宋体"/>
          <w:color w:val="auto"/>
          <w:szCs w:val="21"/>
          <w:highlight w:val="none"/>
        </w:rPr>
      </w:pPr>
      <w:r>
        <w:rPr>
          <w:rFonts w:hint="eastAsia" w:ascii="宋体" w:hAnsi="宋体"/>
          <w:color w:val="auto"/>
          <w:szCs w:val="21"/>
          <w:highlight w:val="none"/>
        </w:rPr>
        <w:t>合同内容不得与磋商文件和响应文件内容有实质性偏离。</w:t>
      </w:r>
    </w:p>
    <w:p>
      <w:pPr>
        <w:numPr>
          <w:ilvl w:val="1"/>
          <w:numId w:val="3"/>
        </w:numPr>
        <w:rPr>
          <w:rFonts w:ascii="宋体" w:hAnsi="宋体"/>
          <w:color w:val="auto"/>
          <w:szCs w:val="21"/>
          <w:highlight w:val="none"/>
        </w:rPr>
      </w:pPr>
      <w:r>
        <w:rPr>
          <w:rFonts w:hint="eastAsia" w:ascii="宋体" w:hAnsi="宋体"/>
          <w:color w:val="auto"/>
          <w:szCs w:val="21"/>
          <w:highlight w:val="none"/>
        </w:rPr>
        <w:t>合同签订之日起2个工作日内，成交供应商应将所签订的合同副本（加盖公章）交至广东政通招标有限公司归档。</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rPr>
        <w:t>第八章询问或质疑</w:t>
      </w:r>
      <w:bookmarkEnd w:id="165"/>
      <w:bookmarkEnd w:id="166"/>
    </w:p>
    <w:p>
      <w:pPr>
        <w:pStyle w:val="6"/>
        <w:keepNext w:val="0"/>
        <w:keepLines w:val="0"/>
        <w:numPr>
          <w:ilvl w:val="0"/>
          <w:numId w:val="3"/>
        </w:numPr>
        <w:adjustRightInd/>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rPr>
          <w:rFonts w:ascii="宋体" w:hAnsi="宋体"/>
          <w:color w:val="auto"/>
          <w:szCs w:val="21"/>
          <w:highlight w:val="none"/>
        </w:rPr>
      </w:pPr>
      <w:r>
        <w:rPr>
          <w:rFonts w:hint="eastAsia" w:ascii="宋体" w:hAnsi="宋体"/>
          <w:color w:val="auto"/>
          <w:szCs w:val="21"/>
          <w:highlight w:val="none"/>
        </w:rPr>
        <w:t>供应商对政府采购活动事项（采购文件、采购过程和采购结果）有疑问的，可以按规定向采购代理机构提出询问。</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rPr>
          <w:rFonts w:ascii="宋体" w:hAnsi="宋体"/>
          <w:color w:val="auto"/>
          <w:szCs w:val="21"/>
          <w:highlight w:val="none"/>
        </w:rPr>
      </w:pPr>
      <w:r>
        <w:rPr>
          <w:rFonts w:hint="eastAsia" w:ascii="宋体" w:hAnsi="宋体"/>
          <w:color w:val="auto"/>
          <w:szCs w:val="21"/>
          <w:highlight w:val="none"/>
        </w:rPr>
        <w:t>提出质疑的供应商应当是参与所质疑项目采购活动的供应商或是在规定的时间内已依法获取其可质疑的磋商文件的潜在供应商。</w:t>
      </w:r>
    </w:p>
    <w:p>
      <w:pPr>
        <w:numPr>
          <w:ilvl w:val="1"/>
          <w:numId w:val="3"/>
        </w:numPr>
        <w:rPr>
          <w:rFonts w:ascii="宋体" w:hAnsi="宋体"/>
          <w:color w:val="auto"/>
          <w:szCs w:val="21"/>
          <w:highlight w:val="none"/>
        </w:rPr>
      </w:pPr>
      <w:r>
        <w:rPr>
          <w:rFonts w:hint="eastAsia" w:ascii="宋体" w:hAnsi="宋体"/>
          <w:color w:val="auto"/>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供应商在法定质疑期内须一次性提出针对同一采购程序环节的质疑，对同一采购程序环节的二次质疑采购代理机构不予受理。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numPr>
          <w:ilvl w:val="1"/>
          <w:numId w:val="3"/>
        </w:numPr>
        <w:rPr>
          <w:rFonts w:ascii="宋体" w:hAnsi="宋体"/>
          <w:color w:val="auto"/>
          <w:szCs w:val="21"/>
          <w:highlight w:val="none"/>
        </w:rPr>
      </w:pPr>
      <w:r>
        <w:rPr>
          <w:rFonts w:hint="eastAsia" w:ascii="宋体" w:hAnsi="宋体"/>
          <w:color w:val="auto"/>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rPr>
          <w:rFonts w:ascii="宋体" w:hAnsi="宋体"/>
          <w:color w:val="auto"/>
          <w:szCs w:val="21"/>
          <w:highlight w:val="none"/>
        </w:rPr>
      </w:pPr>
      <w:r>
        <w:rPr>
          <w:rFonts w:hint="eastAsia" w:ascii="宋体" w:hAnsi="宋体"/>
          <w:color w:val="auto"/>
          <w:szCs w:val="21"/>
          <w:highlight w:val="none"/>
        </w:rPr>
        <w:t>不涉及对供应商利益造成损害的相关内容，不能作为质疑内容提交。</w:t>
      </w:r>
    </w:p>
    <w:p>
      <w:pPr>
        <w:numPr>
          <w:ilvl w:val="1"/>
          <w:numId w:val="3"/>
        </w:numPr>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numPr>
          <w:ilvl w:val="1"/>
          <w:numId w:val="3"/>
        </w:numPr>
        <w:rPr>
          <w:rFonts w:ascii="宋体" w:hAnsi="宋体"/>
          <w:color w:val="auto"/>
          <w:szCs w:val="21"/>
          <w:highlight w:val="none"/>
        </w:rPr>
      </w:pPr>
      <w:r>
        <w:rPr>
          <w:rFonts w:hint="eastAsia" w:ascii="宋体" w:hAnsi="宋体"/>
          <w:color w:val="auto"/>
          <w:szCs w:val="21"/>
          <w:highlight w:val="none"/>
        </w:rPr>
        <w:t>投诉人有下列行为之一的，属于虚假、恶意投诉，由财政部门列入不良行为记录名单，禁止其1至3年内参加全国范围内的政府采购活动：</w:t>
      </w:r>
    </w:p>
    <w:p>
      <w:pPr>
        <w:tabs>
          <w:tab w:val="left" w:pos="907"/>
        </w:tabs>
        <w:ind w:left="567"/>
        <w:rPr>
          <w:rFonts w:ascii="宋体" w:hAnsi="宋体"/>
          <w:color w:val="auto"/>
          <w:szCs w:val="21"/>
          <w:highlight w:val="none"/>
        </w:rPr>
      </w:pPr>
      <w:r>
        <w:rPr>
          <w:rFonts w:hint="eastAsia" w:ascii="宋体" w:hAnsi="宋体"/>
          <w:color w:val="auto"/>
          <w:szCs w:val="21"/>
          <w:highlight w:val="none"/>
        </w:rPr>
        <w:t>（一）捏造事实;</w:t>
      </w:r>
    </w:p>
    <w:p>
      <w:pPr>
        <w:tabs>
          <w:tab w:val="left" w:pos="907"/>
        </w:tabs>
        <w:ind w:left="567"/>
        <w:rPr>
          <w:rFonts w:ascii="宋体" w:hAnsi="宋体"/>
          <w:color w:val="auto"/>
          <w:szCs w:val="21"/>
          <w:highlight w:val="none"/>
        </w:rPr>
      </w:pPr>
      <w:r>
        <w:rPr>
          <w:rFonts w:hint="eastAsia" w:ascii="宋体" w:hAnsi="宋体"/>
          <w:color w:val="auto"/>
          <w:szCs w:val="21"/>
          <w:highlight w:val="none"/>
        </w:rPr>
        <w:t>（二）提供虚假材料;</w:t>
      </w:r>
    </w:p>
    <w:p>
      <w:pPr>
        <w:tabs>
          <w:tab w:val="left" w:pos="907"/>
        </w:tabs>
        <w:ind w:left="567"/>
        <w:rPr>
          <w:rFonts w:ascii="宋体" w:hAnsi="宋体"/>
          <w:color w:val="auto"/>
          <w:szCs w:val="21"/>
          <w:highlight w:val="none"/>
        </w:rPr>
      </w:pPr>
      <w:r>
        <w:rPr>
          <w:rFonts w:hint="eastAsia" w:ascii="宋体" w:hAnsi="宋体"/>
          <w:color w:val="auto"/>
          <w:szCs w:val="21"/>
          <w:highlight w:val="none"/>
        </w:rPr>
        <w:t>（三）以非法手段取得证明材料。证据来源的合法性存在明显疑问，投诉人无法证明其取得方式合法的，视为以非法手段取得证明材料。</w:t>
      </w:r>
    </w:p>
    <w:p>
      <w:pPr>
        <w:numPr>
          <w:ilvl w:val="1"/>
          <w:numId w:val="3"/>
        </w:numPr>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以联合体形式参加政府采购活动的，其质疑应当由组成联合体的所有供应商共同提出。</w:t>
      </w:r>
    </w:p>
    <w:p>
      <w:pPr>
        <w:rPr>
          <w:color w:val="auto"/>
          <w:highlight w:val="none"/>
        </w:rPr>
      </w:pPr>
    </w:p>
    <w:bookmarkEnd w:id="162"/>
    <w:p>
      <w:pPr>
        <w:pStyle w:val="5"/>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rPr>
        <w:t>第九章成交服务费</w:t>
      </w:r>
      <w:bookmarkEnd w:id="171"/>
      <w:bookmarkEnd w:id="172"/>
    </w:p>
    <w:p>
      <w:pPr>
        <w:pStyle w:val="6"/>
        <w:keepNext w:val="0"/>
        <w:keepLines w:val="0"/>
        <w:numPr>
          <w:ilvl w:val="0"/>
          <w:numId w:val="3"/>
        </w:numPr>
        <w:adjustRightInd/>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3"/>
        </w:numPr>
        <w:rPr>
          <w:rFonts w:ascii="宋体" w:hAnsi="宋体"/>
          <w:color w:val="auto"/>
          <w:szCs w:val="21"/>
          <w:highlight w:val="none"/>
        </w:rPr>
      </w:pPr>
      <w:r>
        <w:rPr>
          <w:rFonts w:hint="eastAsia" w:ascii="宋体" w:hAnsi="宋体"/>
          <w:color w:val="auto"/>
          <w:szCs w:val="21"/>
          <w:highlight w:val="none"/>
        </w:rPr>
        <w:t>成交供应商须向招标代理机构按如下标准和规定交纳成交服务费。</w:t>
      </w:r>
    </w:p>
    <w:p>
      <w:pPr>
        <w:numPr>
          <w:ilvl w:val="1"/>
          <w:numId w:val="3"/>
        </w:numPr>
        <w:rPr>
          <w:rFonts w:ascii="宋体" w:hAnsi="宋体"/>
          <w:color w:val="auto"/>
          <w:szCs w:val="21"/>
          <w:highlight w:val="none"/>
        </w:rPr>
      </w:pPr>
      <w:r>
        <w:rPr>
          <w:rFonts w:hint="eastAsia" w:ascii="宋体" w:hAnsi="宋体"/>
          <w:color w:val="auto"/>
          <w:szCs w:val="21"/>
          <w:highlight w:val="none"/>
        </w:rPr>
        <w:t>以《成交通知书》中规定的成交总金额作为收费的计算基数。</w:t>
      </w:r>
    </w:p>
    <w:p>
      <w:pPr>
        <w:numPr>
          <w:ilvl w:val="1"/>
          <w:numId w:val="3"/>
        </w:numPr>
        <w:rPr>
          <w:rFonts w:ascii="宋体" w:hAnsi="宋体"/>
          <w:color w:val="auto"/>
          <w:szCs w:val="21"/>
          <w:highlight w:val="none"/>
        </w:rPr>
      </w:pPr>
      <w:r>
        <w:rPr>
          <w:rFonts w:hint="eastAsia" w:ascii="宋体" w:hAnsi="宋体"/>
          <w:color w:val="auto"/>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ind w:firstLine="567"/>
        <w:rPr>
          <w:rFonts w:ascii="宋体" w:hAnsi="宋体"/>
          <w:color w:val="auto"/>
          <w:szCs w:val="21"/>
          <w:highlight w:val="none"/>
        </w:rPr>
      </w:pPr>
      <w:r>
        <w:rPr>
          <w:rFonts w:hint="eastAsia" w:ascii="宋体" w:hAnsi="宋体"/>
          <w:color w:val="auto"/>
          <w:szCs w:val="21"/>
          <w:highlight w:val="none"/>
        </w:rPr>
        <w:t>服务费的货币为人民币。</w:t>
      </w:r>
    </w:p>
    <w:p>
      <w:pPr>
        <w:ind w:firstLine="567"/>
        <w:rPr>
          <w:rFonts w:ascii="宋体" w:hAnsi="宋体"/>
          <w:color w:val="auto"/>
          <w:szCs w:val="21"/>
          <w:highlight w:val="none"/>
        </w:rPr>
      </w:pPr>
      <w:r>
        <w:rPr>
          <w:rFonts w:hint="eastAsia" w:ascii="宋体" w:hAnsi="宋体"/>
          <w:color w:val="auto"/>
          <w:szCs w:val="21"/>
          <w:highlight w:val="none"/>
        </w:rPr>
        <w:t>服务费应由成交人在采购结果公示发出之后，成交通知书发出前交纳，不在报价中单列。</w:t>
      </w:r>
    </w:p>
    <w:p>
      <w:pPr>
        <w:ind w:firstLine="567"/>
        <w:rPr>
          <w:rFonts w:ascii="宋体" w:hAnsi="宋体"/>
          <w:color w:val="auto"/>
          <w:szCs w:val="21"/>
          <w:highlight w:val="none"/>
        </w:rPr>
      </w:pPr>
      <w:r>
        <w:rPr>
          <w:rFonts w:hint="eastAsia" w:ascii="宋体" w:hAnsi="宋体"/>
          <w:color w:val="auto"/>
          <w:szCs w:val="21"/>
          <w:highlight w:val="none"/>
        </w:rPr>
        <w:t>服务费以转账或现金的形式支付，</w:t>
      </w:r>
      <w:bookmarkStart w:id="175" w:name="_Ref179619574"/>
      <w:r>
        <w:rPr>
          <w:rFonts w:hint="eastAsia" w:ascii="宋体" w:hAnsi="宋体"/>
          <w:color w:val="auto"/>
          <w:szCs w:val="21"/>
          <w:highlight w:val="none"/>
        </w:rPr>
        <w:t>成交人应按照磋商文件中的规定交纳成交服务费。</w:t>
      </w:r>
      <w:bookmarkEnd w:id="175"/>
    </w:p>
    <w:p>
      <w:pPr>
        <w:ind w:firstLine="567"/>
        <w:rPr>
          <w:rFonts w:ascii="宋体" w:hAnsi="宋体"/>
          <w:color w:val="auto"/>
          <w:szCs w:val="21"/>
          <w:highlight w:val="none"/>
        </w:rPr>
      </w:pPr>
      <w:r>
        <w:rPr>
          <w:rFonts w:hint="eastAsia" w:ascii="宋体" w:hAnsi="宋体"/>
          <w:color w:val="auto"/>
          <w:szCs w:val="21"/>
          <w:highlight w:val="none"/>
        </w:rPr>
        <w:t>招标代理服务费汇入账号：</w:t>
      </w:r>
    </w:p>
    <w:p>
      <w:pPr>
        <w:ind w:firstLine="567"/>
        <w:rPr>
          <w:rFonts w:ascii="宋体" w:hAnsi="宋体"/>
          <w:color w:val="auto"/>
          <w:szCs w:val="21"/>
          <w:highlight w:val="none"/>
        </w:rPr>
      </w:pPr>
      <w:r>
        <w:rPr>
          <w:rFonts w:hint="eastAsia" w:ascii="宋体" w:hAnsi="宋体"/>
          <w:color w:val="auto"/>
          <w:szCs w:val="21"/>
          <w:highlight w:val="none"/>
        </w:rPr>
        <w:t>收 款 人：广东政通招标有限公司</w:t>
      </w:r>
    </w:p>
    <w:p>
      <w:pPr>
        <w:ind w:firstLine="567"/>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ind w:firstLine="567"/>
        <w:rPr>
          <w:rFonts w:ascii="宋体" w:hAnsi="宋体"/>
          <w:color w:val="auto"/>
          <w:szCs w:val="21"/>
          <w:highlight w:val="none"/>
        </w:rPr>
      </w:pPr>
      <w:r>
        <w:rPr>
          <w:rFonts w:hint="eastAsia" w:ascii="宋体" w:hAnsi="宋体"/>
          <w:color w:val="auto"/>
          <w:szCs w:val="21"/>
          <w:highlight w:val="none"/>
        </w:rPr>
        <w:t>账　　号：9550880331235700173</w:t>
      </w:r>
    </w:p>
    <w:p>
      <w:pPr>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5"/>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67050236"/>
      <w:bookmarkStart w:id="179" w:name="_Toc457975339"/>
      <w:bookmarkStart w:id="180" w:name="_Toc52027926"/>
      <w:bookmarkStart w:id="181" w:name="_Toc56353011"/>
      <w:bookmarkStart w:id="182" w:name="_Toc476976198"/>
      <w:bookmarkStart w:id="183" w:name="_Toc52021538"/>
      <w:bookmarkStart w:id="184" w:name="_Toc51756491"/>
      <w:bookmarkStart w:id="185" w:name="_Toc467236766"/>
      <w:bookmarkStart w:id="186" w:name="_Toc486671570"/>
      <w:bookmarkStart w:id="187" w:name="_Toc51939456"/>
      <w:bookmarkStart w:id="188" w:name="_Toc467049706"/>
      <w:r>
        <w:rPr>
          <w:rFonts w:hint="eastAsia" w:ascii="宋体" w:hAnsi="宋体" w:eastAsia="宋体"/>
          <w:color w:val="auto"/>
          <w:sz w:val="24"/>
          <w:szCs w:val="21"/>
          <w:highlight w:val="none"/>
        </w:rPr>
        <w:t>第十章其他</w:t>
      </w:r>
      <w:bookmarkEnd w:id="176"/>
      <w:bookmarkEnd w:id="177"/>
    </w:p>
    <w:p>
      <w:pPr>
        <w:pStyle w:val="6"/>
        <w:keepNext w:val="0"/>
        <w:keepLines w:val="0"/>
        <w:numPr>
          <w:ilvl w:val="0"/>
          <w:numId w:val="3"/>
        </w:numPr>
        <w:adjustRightInd/>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rPr>
          <w:rFonts w:ascii="宋体" w:hAnsi="宋体"/>
          <w:color w:val="auto"/>
          <w:szCs w:val="21"/>
          <w:highlight w:val="none"/>
        </w:rPr>
      </w:pPr>
      <w:r>
        <w:rPr>
          <w:rFonts w:hint="eastAsia" w:ascii="宋体" w:hAnsi="宋体"/>
          <w:color w:val="auto"/>
          <w:szCs w:val="21"/>
          <w:highlight w:val="none"/>
        </w:rPr>
        <w:t>采购文件版本号：广东政通20210618。</w:t>
      </w:r>
    </w:p>
    <w:p>
      <w:pPr>
        <w:numPr>
          <w:ilvl w:val="1"/>
          <w:numId w:val="3"/>
        </w:numPr>
        <w:rPr>
          <w:rFonts w:ascii="宋体" w:hAnsi="宋体"/>
          <w:color w:val="auto"/>
          <w:szCs w:val="21"/>
          <w:highlight w:val="none"/>
        </w:rPr>
      </w:pPr>
      <w:r>
        <w:rPr>
          <w:rFonts w:hint="eastAsia" w:ascii="宋体" w:hAnsi="宋体"/>
          <w:color w:val="auto"/>
          <w:szCs w:val="21"/>
          <w:highlight w:val="none"/>
        </w:rPr>
        <w:t>本采购文件是根据国家有关法律、法规以及政府采购管理有关规定和参照国际惯例编制，解释权属本采购代理机构。</w:t>
      </w:r>
    </w:p>
    <w:p>
      <w:pPr>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5"/>
        <w:spacing w:before="0" w:after="0" w:line="240" w:lineRule="auto"/>
        <w:rPr>
          <w:color w:val="auto"/>
          <w:sz w:val="28"/>
          <w:szCs w:val="28"/>
          <w:highlight w:val="none"/>
        </w:rPr>
      </w:pPr>
      <w:bookmarkStart w:id="191" w:name="_Toc31854"/>
      <w:bookmarkStart w:id="192" w:name="_Toc3162"/>
      <w:bookmarkStart w:id="193" w:name="_Toc7011"/>
      <w:r>
        <w:rPr>
          <w:rFonts w:hint="eastAsia"/>
          <w:color w:val="auto"/>
          <w:sz w:val="28"/>
          <w:szCs w:val="28"/>
          <w:highlight w:val="none"/>
        </w:rPr>
        <w:t>第五部分 用户需求书</w:t>
      </w:r>
      <w:bookmarkEnd w:id="191"/>
      <w:bookmarkEnd w:id="192"/>
      <w:bookmarkEnd w:id="193"/>
    </w:p>
    <w:p>
      <w:pPr>
        <w:pStyle w:val="6"/>
        <w:jc w:val="center"/>
        <w:rPr>
          <w:rFonts w:ascii="宋体" w:hAnsi="宋体"/>
          <w:color w:val="auto"/>
          <w:highlight w:val="none"/>
        </w:rPr>
      </w:pPr>
      <w:bookmarkStart w:id="194" w:name="_Toc31162"/>
      <w:r>
        <w:rPr>
          <w:rFonts w:hint="eastAsia" w:ascii="宋体" w:hAnsi="宋体"/>
          <w:color w:val="auto"/>
          <w:highlight w:val="none"/>
        </w:rPr>
        <w:t>第一章 商务需求书</w:t>
      </w:r>
      <w:bookmarkEnd w:id="194"/>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8"/>
        <w:gridCol w:w="1321"/>
        <w:gridCol w:w="6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393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详见磋商文件第</w:t>
            </w:r>
            <w:r>
              <w:rPr>
                <w:rFonts w:hint="eastAsia" w:ascii="宋体" w:hAnsi="宋体" w:cs="宋体"/>
                <w:color w:val="auto"/>
                <w:szCs w:val="24"/>
                <w:highlight w:val="none"/>
                <w:lang w:val="en-US" w:eastAsia="zh-CN"/>
              </w:rPr>
              <w:t>一</w:t>
            </w:r>
            <w:bookmarkStart w:id="401" w:name="_GoBack"/>
            <w:bookmarkEnd w:id="401"/>
            <w:r>
              <w:rPr>
                <w:rFonts w:hint="eastAsia" w:ascii="宋体" w:hAnsi="宋体" w:cs="宋体"/>
                <w:color w:val="auto"/>
                <w:szCs w:val="24"/>
                <w:highlight w:val="none"/>
              </w:rPr>
              <w:t>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自合同签订后40个日历天内完成。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报价要求</w:t>
            </w:r>
          </w:p>
        </w:tc>
        <w:tc>
          <w:tcPr>
            <w:tcW w:w="3932" w:type="pct"/>
            <w:vAlign w:val="center"/>
          </w:tcPr>
          <w:p>
            <w:pPr>
              <w:ind w:firstLine="420" w:firstLineChars="200"/>
              <w:jc w:val="both"/>
              <w:rPr>
                <w:rFonts w:ascii="宋体" w:hAnsi="宋体" w:cs="宋体"/>
                <w:color w:val="auto"/>
                <w:szCs w:val="24"/>
                <w:highlight w:val="none"/>
              </w:rPr>
            </w:pPr>
            <w:r>
              <w:rPr>
                <w:rFonts w:hint="eastAsia" w:ascii="宋体" w:hAnsi="宋体"/>
                <w:color w:val="auto"/>
                <w:szCs w:val="21"/>
                <w:highlight w:val="none"/>
              </w:rPr>
              <w:t>★</w:t>
            </w:r>
            <w:r>
              <w:rPr>
                <w:rFonts w:hint="eastAsia" w:ascii="宋体" w:hAnsi="宋体" w:cs="宋体"/>
                <w:color w:val="auto"/>
                <w:szCs w:val="24"/>
                <w:highlight w:val="none"/>
              </w:rPr>
              <w:t>1、拆除工程总价报价最高限价为</w:t>
            </w:r>
            <w:r>
              <w:rPr>
                <w:rFonts w:hint="eastAsia" w:ascii="宋体" w:hAnsi="宋体" w:cs="宋体"/>
                <w:b/>
                <w:bCs/>
                <w:color w:val="auto"/>
                <w:szCs w:val="24"/>
                <w:highlight w:val="none"/>
              </w:rPr>
              <w:t>704,939.50元</w:t>
            </w:r>
            <w:r>
              <w:rPr>
                <w:rFonts w:hint="eastAsia" w:ascii="宋体" w:hAnsi="宋体" w:cs="宋体"/>
                <w:color w:val="auto"/>
                <w:szCs w:val="24"/>
                <w:highlight w:val="none"/>
              </w:rPr>
              <w:t>【包含拆除、装卸、清运、平整、人工、管理费、利润、税金等一切相关费用；】；其中：建筑物拆除（钢混结构）单价最高限价为</w:t>
            </w:r>
            <w:r>
              <w:rPr>
                <w:rFonts w:hint="eastAsia" w:ascii="宋体" w:hAnsi="宋体" w:cs="宋体"/>
                <w:b/>
                <w:bCs/>
                <w:color w:val="auto"/>
                <w:szCs w:val="24"/>
                <w:highlight w:val="none"/>
              </w:rPr>
              <w:t>35（元/㎡）</w:t>
            </w:r>
            <w:r>
              <w:rPr>
                <w:rFonts w:hint="eastAsia" w:ascii="宋体" w:hAnsi="宋体" w:cs="宋体"/>
                <w:color w:val="auto"/>
                <w:szCs w:val="24"/>
                <w:highlight w:val="none"/>
              </w:rPr>
              <w:t>，建筑物拆除（砖混、简易钢结构）单价最高限价为</w:t>
            </w:r>
            <w:r>
              <w:rPr>
                <w:rFonts w:hint="eastAsia" w:ascii="宋体" w:hAnsi="宋体" w:cs="宋体"/>
                <w:b/>
                <w:bCs/>
                <w:color w:val="auto"/>
                <w:szCs w:val="24"/>
                <w:highlight w:val="none"/>
              </w:rPr>
              <w:t>25（元/㎡）</w:t>
            </w:r>
            <w:r>
              <w:rPr>
                <w:rFonts w:hint="eastAsia" w:ascii="宋体" w:hAnsi="宋体" w:cs="宋体"/>
                <w:color w:val="auto"/>
                <w:szCs w:val="24"/>
                <w:highlight w:val="none"/>
              </w:rPr>
              <w:t>。</w:t>
            </w:r>
          </w:p>
          <w:p>
            <w:pPr>
              <w:ind w:firstLine="420" w:firstLineChars="200"/>
              <w:jc w:val="both"/>
              <w:rPr>
                <w:rFonts w:ascii="宋体" w:hAnsi="宋体" w:cs="宋体"/>
                <w:color w:val="auto"/>
                <w:szCs w:val="24"/>
                <w:highlight w:val="none"/>
              </w:rPr>
            </w:pPr>
            <w:r>
              <w:rPr>
                <w:rFonts w:hint="eastAsia" w:ascii="宋体" w:hAnsi="宋体"/>
                <w:color w:val="auto"/>
                <w:szCs w:val="21"/>
                <w:highlight w:val="none"/>
              </w:rPr>
              <w:t>★</w:t>
            </w:r>
            <w:r>
              <w:rPr>
                <w:rFonts w:hint="eastAsia" w:ascii="宋体" w:hAnsi="宋体" w:cs="宋体"/>
                <w:color w:val="auto"/>
                <w:szCs w:val="24"/>
                <w:highlight w:val="none"/>
              </w:rPr>
              <w:t>2、回收钢筋总价报价最低限价为</w:t>
            </w:r>
            <w:r>
              <w:rPr>
                <w:rFonts w:hint="eastAsia" w:ascii="宋体" w:hAnsi="宋体" w:cs="宋体"/>
                <w:b/>
                <w:bCs/>
                <w:color w:val="auto"/>
                <w:szCs w:val="24"/>
                <w:highlight w:val="none"/>
              </w:rPr>
              <w:t>1,089,602.00元</w:t>
            </w:r>
            <w:r>
              <w:rPr>
                <w:rFonts w:hint="eastAsia" w:ascii="宋体" w:hAnsi="宋体" w:cs="宋体"/>
                <w:color w:val="auto"/>
                <w:szCs w:val="24"/>
                <w:highlight w:val="none"/>
              </w:rPr>
              <w:t>【用以折抵拆除工程款】，其中：回收钢筋单价最低限价报价为</w:t>
            </w:r>
            <w:r>
              <w:rPr>
                <w:rFonts w:hint="eastAsia" w:ascii="宋体" w:hAnsi="宋体" w:cs="宋体"/>
                <w:b/>
                <w:bCs/>
                <w:color w:val="auto"/>
                <w:szCs w:val="24"/>
                <w:highlight w:val="none"/>
              </w:rPr>
              <w:t>2300</w:t>
            </w:r>
            <w:r>
              <w:rPr>
                <w:rFonts w:hint="eastAsia" w:ascii="宋体" w:hAnsi="宋体" w:cs="宋体"/>
                <w:b/>
                <w:bCs/>
                <w:color w:val="auto"/>
                <w:szCs w:val="24"/>
                <w:highlight w:val="none"/>
                <w:lang w:val="en-US" w:eastAsia="zh-CN"/>
              </w:rPr>
              <w:t>.00</w:t>
            </w:r>
            <w:r>
              <w:rPr>
                <w:rFonts w:hint="eastAsia" w:ascii="宋体" w:hAnsi="宋体" w:cs="宋体"/>
                <w:b/>
                <w:bCs/>
                <w:color w:val="auto"/>
                <w:szCs w:val="24"/>
                <w:highlight w:val="none"/>
              </w:rPr>
              <w:t>（元/吨）</w:t>
            </w:r>
            <w:r>
              <w:rPr>
                <w:rFonts w:hint="eastAsia" w:ascii="宋体" w:hAnsi="宋体" w:cs="宋体"/>
                <w:color w:val="auto"/>
                <w:szCs w:val="24"/>
                <w:highlight w:val="none"/>
              </w:rPr>
              <w:t>。</w:t>
            </w:r>
          </w:p>
          <w:p>
            <w:pPr>
              <w:ind w:firstLine="420" w:firstLineChars="200"/>
              <w:jc w:val="both"/>
              <w:rPr>
                <w:rFonts w:ascii="宋体" w:hAnsi="宋体" w:cs="宋体"/>
                <w:color w:val="auto"/>
                <w:szCs w:val="24"/>
                <w:highlight w:val="none"/>
              </w:rPr>
            </w:pPr>
            <w:r>
              <w:rPr>
                <w:rFonts w:hint="eastAsia" w:ascii="宋体" w:hAnsi="宋体"/>
                <w:color w:val="auto"/>
                <w:szCs w:val="21"/>
                <w:highlight w:val="none"/>
              </w:rPr>
              <w:t>★</w:t>
            </w:r>
            <w:r>
              <w:rPr>
                <w:rFonts w:hint="eastAsia" w:ascii="宋体" w:hAnsi="宋体" w:cs="宋体"/>
                <w:color w:val="auto"/>
                <w:szCs w:val="24"/>
                <w:highlight w:val="none"/>
              </w:rPr>
              <w:t>3、本项目回收钢筋总价最低限价高于拆除工程总价最高限价，因此差价部分需由成交人支付给采购人，最终响应总价报价（即成交人需支付给采购人总金额）最低限价为</w:t>
            </w:r>
            <w:r>
              <w:rPr>
                <w:rFonts w:hint="eastAsia" w:ascii="宋体" w:hAnsi="宋体" w:cs="宋体"/>
                <w:b/>
                <w:bCs/>
                <w:color w:val="auto"/>
                <w:szCs w:val="24"/>
                <w:highlight w:val="none"/>
              </w:rPr>
              <w:t>384,662.50元</w:t>
            </w:r>
            <w:r>
              <w:rPr>
                <w:rFonts w:hint="eastAsia" w:ascii="宋体" w:hAnsi="宋体" w:cs="宋体"/>
                <w:color w:val="auto"/>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3932" w:type="pct"/>
            <w:vAlign w:val="center"/>
          </w:tcPr>
          <w:p>
            <w:pPr>
              <w:ind w:firstLine="420" w:firstLineChars="200"/>
              <w:jc w:val="both"/>
              <w:rPr>
                <w:rFonts w:ascii="宋体" w:hAnsi="宋体" w:cs="宋体"/>
                <w:color w:val="auto"/>
                <w:szCs w:val="24"/>
                <w:highlight w:val="none"/>
              </w:rPr>
            </w:pPr>
            <w:r>
              <w:rPr>
                <w:rFonts w:hint="eastAsia" w:ascii="宋体" w:hAnsi="宋体" w:cs="宋体"/>
                <w:color w:val="auto"/>
                <w:szCs w:val="24"/>
                <w:highlight w:val="none"/>
              </w:rPr>
              <w:t>签订合同30日内成交人付清所有款项给采购人。</w:t>
            </w:r>
          </w:p>
          <w:p>
            <w:pPr>
              <w:ind w:firstLine="420" w:firstLineChars="200"/>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注：本项目采购人只负责承担中标（成交）支付款项的相应税费，采购人开具相应废品变卖发票给成交人，其他税费但不限于因本项目拆除、清运、变卖等所产生的税费均由成交人承担。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3932" w:type="pct"/>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rPr>
          <w:color w:val="auto"/>
          <w:highlight w:val="none"/>
        </w:rPr>
      </w:pPr>
    </w:p>
    <w:p>
      <w:pPr>
        <w:rPr>
          <w:rFonts w:ascii="宋体" w:hAnsi="宋体"/>
          <w:color w:val="auto"/>
          <w:highlight w:val="none"/>
        </w:rPr>
      </w:pPr>
      <w:bookmarkStart w:id="195" w:name="_Toc19981"/>
      <w:r>
        <w:rPr>
          <w:rFonts w:hint="eastAsia" w:ascii="宋体" w:hAnsi="宋体"/>
          <w:color w:val="auto"/>
          <w:highlight w:val="none"/>
        </w:rPr>
        <w:br w:type="page"/>
      </w:r>
    </w:p>
    <w:p>
      <w:pPr>
        <w:pStyle w:val="6"/>
        <w:jc w:val="center"/>
        <w:rPr>
          <w:color w:val="auto"/>
          <w:highlight w:val="none"/>
        </w:rPr>
      </w:pPr>
      <w:r>
        <w:rPr>
          <w:rFonts w:hint="eastAsia" w:ascii="宋体" w:hAnsi="宋体"/>
          <w:color w:val="auto"/>
          <w:highlight w:val="none"/>
        </w:rPr>
        <w:t>第二章 技术需求书</w:t>
      </w:r>
      <w:bookmarkEnd w:id="195"/>
      <w:bookmarkStart w:id="196" w:name="_Toc14462"/>
      <w:bookmarkStart w:id="197" w:name="_Toc31278"/>
      <w:bookmarkStart w:id="198" w:name="_Toc13112"/>
      <w:bookmarkStart w:id="199" w:name="_Toc24679"/>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一、项目清单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（一）地上建筑物拆除</w:t>
      </w:r>
    </w:p>
    <w:tbl>
      <w:tblPr>
        <w:tblStyle w:val="22"/>
        <w:tblW w:w="4998" w:type="pct"/>
        <w:tblInd w:w="0" w:type="dxa"/>
        <w:tblLayout w:type="autofit"/>
        <w:tblCellMar>
          <w:top w:w="0" w:type="dxa"/>
          <w:left w:w="108" w:type="dxa"/>
          <w:bottom w:w="0" w:type="dxa"/>
          <w:right w:w="108" w:type="dxa"/>
        </w:tblCellMar>
      </w:tblPr>
      <w:tblGrid>
        <w:gridCol w:w="658"/>
        <w:gridCol w:w="1539"/>
        <w:gridCol w:w="1980"/>
        <w:gridCol w:w="1610"/>
        <w:gridCol w:w="1517"/>
        <w:gridCol w:w="1215"/>
      </w:tblGrid>
      <w:tr>
        <w:tblPrEx>
          <w:tblCellMar>
            <w:top w:w="0" w:type="dxa"/>
            <w:left w:w="108" w:type="dxa"/>
            <w:bottom w:w="0" w:type="dxa"/>
            <w:right w:w="108" w:type="dxa"/>
          </w:tblCellMar>
        </w:tblPrEx>
        <w:trPr>
          <w:trHeight w:val="522"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名称</w:t>
            </w: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建筑结构</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建筑面积（㎡）</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eastAsia="宋体"/>
                <w:color w:val="auto"/>
                <w:highlight w:val="none"/>
                <w:lang w:eastAsia="zh-CN"/>
              </w:rPr>
            </w:pPr>
            <w:r>
              <w:rPr>
                <w:rFonts w:hint="eastAsia" w:ascii="宋体" w:hAnsi="宋体" w:cs="宋体"/>
                <w:b/>
                <w:bCs/>
                <w:color w:val="auto"/>
                <w:szCs w:val="21"/>
                <w:highlight w:val="none"/>
              </w:rPr>
              <w:t>建筑物拆除单价最高限价</w:t>
            </w:r>
          </w:p>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（元/㎡）</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CellMar>
            <w:top w:w="0" w:type="dxa"/>
            <w:left w:w="108" w:type="dxa"/>
            <w:bottom w:w="0" w:type="dxa"/>
            <w:right w:w="108" w:type="dxa"/>
          </w:tblCellMar>
        </w:tblPrEx>
        <w:trPr>
          <w:trHeight w:val="522"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建筑物拆除费</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钢混</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16,929.70 </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35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22"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建筑物拆除费</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砖混、简易钢结构</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4,496.00 </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25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522"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301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拆除工程总价最高限价（元）</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704,939.50</w:t>
            </w:r>
          </w:p>
        </w:tc>
      </w:tr>
    </w:tbl>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（二）回收钢筋</w:t>
      </w:r>
    </w:p>
    <w:tbl>
      <w:tblPr>
        <w:tblStyle w:val="22"/>
        <w:tblW w:w="0" w:type="auto"/>
        <w:tblInd w:w="0" w:type="dxa"/>
        <w:tblLayout w:type="autofit"/>
        <w:tblCellMar>
          <w:top w:w="0" w:type="dxa"/>
          <w:left w:w="108" w:type="dxa"/>
          <w:bottom w:w="0" w:type="dxa"/>
          <w:right w:w="108" w:type="dxa"/>
        </w:tblCellMar>
      </w:tblPr>
      <w:tblGrid>
        <w:gridCol w:w="490"/>
        <w:gridCol w:w="741"/>
        <w:gridCol w:w="616"/>
        <w:gridCol w:w="1054"/>
        <w:gridCol w:w="678"/>
        <w:gridCol w:w="490"/>
        <w:gridCol w:w="1246"/>
        <w:gridCol w:w="1036"/>
        <w:gridCol w:w="1350"/>
        <w:gridCol w:w="821"/>
      </w:tblGrid>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建筑物名称</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规划用途</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坐落</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结构</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层数</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建筑面积（㎡）</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预计回收钢筋</w:t>
            </w:r>
          </w:p>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eastAsia="宋体"/>
                <w:color w:val="auto"/>
                <w:highlight w:val="none"/>
                <w:lang w:eastAsia="zh-CN"/>
              </w:rPr>
            </w:pPr>
            <w:r>
              <w:rPr>
                <w:rFonts w:hint="eastAsia" w:ascii="宋体" w:hAnsi="宋体" w:cs="宋体"/>
                <w:b/>
                <w:bCs/>
                <w:color w:val="auto"/>
                <w:szCs w:val="21"/>
                <w:highlight w:val="none"/>
              </w:rPr>
              <w:t>回收钢筋单价最低限价</w:t>
            </w:r>
          </w:p>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（元/吨）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6,133.10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147.19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6,116.90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146.81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电房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522.80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7.84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388.80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5.83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2,633.70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39.51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危险品仓库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简易铁皮厂房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综合楼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办公楼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4,679.70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112.31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101.60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116.20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加建饭堂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21.60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回收钢筋总价最低限价（元）</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1,089,602.00</w:t>
            </w:r>
          </w:p>
        </w:tc>
      </w:tr>
    </w:tbl>
    <w:p>
      <w:pPr>
        <w:rPr>
          <w:color w:val="auto"/>
          <w:highlight w:val="none"/>
        </w:rPr>
      </w:pPr>
      <w:r>
        <w:rPr>
          <w:rFonts w:hint="eastAsia"/>
          <w:b/>
          <w:bCs/>
          <w:color w:val="auto"/>
          <w:highlight w:val="none"/>
        </w:rPr>
        <w:t>注：预计可回收钢筋的数量及实际市场价格由响应</w:t>
      </w:r>
      <w:r>
        <w:rPr>
          <w:rFonts w:hint="eastAsia"/>
          <w:b/>
          <w:bCs/>
          <w:color w:val="auto"/>
          <w:highlight w:val="none"/>
          <w:lang w:val="en-US" w:eastAsia="zh-CN"/>
        </w:rPr>
        <w:t>供应</w:t>
      </w:r>
      <w:r>
        <w:rPr>
          <w:rFonts w:hint="eastAsia"/>
          <w:b/>
          <w:bCs/>
          <w:color w:val="auto"/>
          <w:highlight w:val="none"/>
        </w:rPr>
        <w:t>商自行考虑，结算时不作调整，响应供应商自行考虑盈亏风险。</w:t>
      </w: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二、质量标准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工程完工后，由采购人组织验收。待建场地内所有建筑（构筑）物及相关设备设施全部拆除完毕、所搭设的施工安全防护设施拆除完毕，并把建筑废弃物和建筑物内遗留物品清运、回收、处理后，无其他遗留问题方可认定为验收合格。</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三、工作要求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供应商拆除工作应按照国家、广东省和东莞市关于拆除工程文件要求执行，包括但不限于《建筑拆除工程安全技术规范》JGJ147-2016等，并做到：</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本工程垃圾清运过程必须限制施工时间，避免道路堵塞，并接受城管和交管部门的监管和指导；垃圾排弃场所必须符合环保部门相关规定，严禁乱排乱弃。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供应商拆除作业前，在拆除工地主要出入口设置工程概况牌和拆除工程登记备案表，标明工程名称、拆除范围、拆除施工单位及负责人、受理投诉联系电话等内容，便于周边居民监督。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扬尘降噪措施：供应商应在施工期间，按照相关政策要求，编制施工工地扬尘防治方案。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供应商应为施工作业人员购买保障施工作业安全的相关保险，并负责承担在拆迁工程中对施工人员及第三者所造成的人员伤亡和财产损失等安全事故责任。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供应商需负责施工作业所需施工用水、电的接驳及协调。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拆迁施工时，供应商严格执行中午或夜间施工噪声许可制度。确需连续施工作业的，取得许可后方可施工。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供应商在拆除施工过程中需做好施工场地、施工机械和建筑废料的保卫、看管工作。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供应商负责拆迁工程的对外沟通（包括质安站、城管、交通等政府职能部门）。本工程工地扬尘污染防治、噪音许可、余泥渣土排放许可等由供应商负责向政府环保部门申报并承担相应的费用。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供应商需向拆除监理提供临时办公用房，相关费用在响应报价中综合考虑。</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四、风险</w:t>
      </w:r>
    </w:p>
    <w:p>
      <w:pPr>
        <w:ind w:firstLine="420" w:firstLineChars="200"/>
        <w:rPr>
          <w:rFonts w:ascii="宋体" w:hAnsi="宋体" w:cs="宋体"/>
          <w:color w:val="auto"/>
          <w:szCs w:val="24"/>
          <w:highlight w:val="none"/>
        </w:rPr>
      </w:pPr>
      <w:r>
        <w:rPr>
          <w:rFonts w:hint="eastAsia" w:ascii="宋体" w:hAnsi="宋体" w:cs="宋体"/>
          <w:color w:val="auto"/>
          <w:szCs w:val="21"/>
          <w:highlight w:val="none"/>
        </w:rPr>
        <w:t>1、</w:t>
      </w:r>
      <w:r>
        <w:rPr>
          <w:rFonts w:hint="eastAsia" w:ascii="宋体" w:hAnsi="宋体" w:cs="宋体"/>
          <w:color w:val="auto"/>
          <w:szCs w:val="24"/>
          <w:highlight w:val="none"/>
        </w:rPr>
        <w:t>采购人只提供现状施工现场条件，施工用水、用电、施工道路、施工场地等由供应商自行解决，所需费用在报价中综合考虑，结算时不予调整，亦不因此延长工期。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2、供应商应充分考虑施工期间一切可能发生的不确定因素而导致工期延长、施工措施增加而造成施工费用的增加，包括施工过程中因赶工而发生的措施费由供应商承担。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安全生产、安全文明施工所需的设施费由成交供应商负责；施工期间对周围建筑物、构筑物、高压线（杆）、各类地下管线的保护费用；各类机械的进退场费、工程完工后的清场费用，各项材料、成品、半成品的运费由成交供应商负责；防台风、暴雨所需的费用，因下雨而发生的抽水台班费和排水费用，因施工抽取地下水及排水的费用。由于天气及外部因素引起的为保证施工合同内容完成而导致的一切费用的增加（包括防台风措施、防暴雨、排水费等费用）；防台风、防暴雨及施工期间保证河道沟渠正常排水和泄洪的措施费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4、本项目在施工中必须确保交通道路的清洁，每天安排专人进行道路清扫及洒水，由于施工造成的污染,成交供应商必须在当天及时处理；必要时，采购人可委托第三方负责清扫，费用由成交供应商承担。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5、交通维护费、交通运输费等费用由供应商自行考虑，费用含于响应报价中。</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五、实施要求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1、依照国家及地区现行相关规定，实施拆除工作。提供项目实施组织方案。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2、在进行拆除作业时，须完成指定范围内的建筑物拆除工作，同时须按要求清运建筑垃圾及土地平整。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3、对两违建筑的拆除不合格的必须按照采购人要求进行返工，返工费用由成交人负责，工期不予延长。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安全文明施工，确保作业范围周边的环境卫生不受影响，保证作业期间的管理工作符合各项管理要求（包括但不限于：环保、城管、交通、安监等）。拆除施工过程中不能影响周边建筑物，做好一切安全措施，杜绝一切安全事故，并对安全事故承担法律责任。提供安全文明施工措施。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5、拆除施工的机械设备在作业时，必须与相邻建筑物及高压架空线保持安全距离。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6.、成交人应保证在拆除作业期间，各项操作规程和技术指标符合国家标准、规范的要求。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7. 采购人向成交人提供拆除工程的有关资料与拆除工程涉及区域的地上、地下建筑及设施分布情况资料。成交人必须对被拆除建筑及其周围进行详细勘察，对拆除工作全面规划，编制拆除施工组设计和安全技术措施，方可施工。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8、成交人须在施工现场危险区域设置醒目的警示标志，采取警戒措施，在必要的时候和地方，应负责提供照明、警卫、护棚、警告标志等安全防护措施，并承担责任。在清拆过程中发生意外事故，造成第三方伤亡的，赔偿费用和法律责任由成交供应商承担。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9、成交人须制定相应的扬尘控制措施方案。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10、成交人应服从采购人和有关管理部门的管理和监督。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11、拆除工程须制定安全事故应急救援预案。拆除工程施工过程中，当发生重大险情或安全事故时，应及时启动应急预案排除险情、组织抢救、保护事故现场并向采购人报告。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12、成交人须根据相关法律法规、政府相关部门以及采购人下发的相关文件，进行整体部署，集中实施，统一管理、安全、有效的进行拆除工作。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13、成交供应商必须为拆除任务现场所有工作人员购买相关保险，负责整个拆除任务过程中的安全工作。该费用在结算时不另列项计算（已包括在成交供应商报价的各项单价中）。</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14、成交人需负责办理建（构）筑物拆除工程相关备案手续。</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15、</w:t>
      </w:r>
      <w:r>
        <w:rPr>
          <w:rFonts w:ascii="宋体" w:hAnsi="宋体" w:cs="宋体"/>
          <w:color w:val="auto"/>
          <w:szCs w:val="21"/>
          <w:highlight w:val="none"/>
        </w:rPr>
        <w:t>成交人需负责建筑物拆除后的所有费料清理。</w:t>
      </w:r>
    </w:p>
    <w:p>
      <w:pPr>
        <w:pStyle w:val="2"/>
        <w:rPr>
          <w:color w:val="auto"/>
          <w:highlight w:val="none"/>
          <w:lang w:val="en-US"/>
        </w:rPr>
      </w:pPr>
    </w:p>
    <w:p>
      <w:pPr>
        <w:ind w:firstLine="422" w:firstLineChars="200"/>
        <w:rPr>
          <w:color w:val="auto"/>
          <w:highlight w:val="none"/>
        </w:rPr>
      </w:pPr>
      <w:r>
        <w:rPr>
          <w:rFonts w:hint="eastAsia" w:ascii="宋体" w:hAnsi="宋体" w:cs="Times New Roman"/>
          <w:b/>
          <w:bCs/>
          <w:color w:val="auto"/>
          <w:szCs w:val="21"/>
          <w:highlight w:val="none"/>
        </w:rPr>
        <w:t>注：不满足磋商文件中 “★”条款的响应文件将作无效响应文件处理。</w:t>
      </w:r>
      <w:bookmarkEnd w:id="196"/>
      <w:bookmarkEnd w:id="197"/>
      <w:bookmarkEnd w:id="198"/>
      <w:bookmarkEnd w:id="199"/>
      <w:bookmarkStart w:id="200" w:name="_Toc21448"/>
      <w:bookmarkStart w:id="201" w:name="_Toc12485"/>
    </w:p>
    <w:p>
      <w:pPr>
        <w:rPr>
          <w:color w:val="auto"/>
          <w:sz w:val="28"/>
          <w:szCs w:val="28"/>
          <w:highlight w:val="none"/>
        </w:rPr>
      </w:pPr>
      <w:bookmarkStart w:id="202" w:name="_Toc17329"/>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200"/>
      <w:bookmarkEnd w:id="201"/>
      <w:bookmarkEnd w:id="202"/>
      <w:bookmarkStart w:id="203" w:name="_Toc13430"/>
      <w:bookmarkStart w:id="204" w:name="_Toc21155"/>
      <w:bookmarkStart w:id="205" w:name="_Toc1534"/>
    </w:p>
    <w:p>
      <w:pPr>
        <w:pStyle w:val="6"/>
        <w:spacing w:line="240" w:lineRule="auto"/>
        <w:jc w:val="center"/>
        <w:rPr>
          <w:rFonts w:ascii="宋体" w:hAnsi="宋体" w:cs="宋体"/>
          <w:color w:val="auto"/>
          <w:highlight w:val="none"/>
        </w:rPr>
      </w:pPr>
      <w:bookmarkStart w:id="206" w:name="_Toc29470"/>
      <w:bookmarkStart w:id="207" w:name="_Toc19575"/>
      <w:bookmarkStart w:id="208" w:name="_Toc16730"/>
      <w:r>
        <w:rPr>
          <w:rFonts w:hint="eastAsia" w:ascii="宋体" w:hAnsi="宋体" w:cs="宋体"/>
          <w:color w:val="auto"/>
          <w:highlight w:val="none"/>
        </w:rPr>
        <w:t>合同格式</w:t>
      </w:r>
      <w:bookmarkEnd w:id="203"/>
      <w:bookmarkEnd w:id="204"/>
      <w:bookmarkEnd w:id="205"/>
      <w:bookmarkEnd w:id="206"/>
      <w:bookmarkEnd w:id="207"/>
      <w:bookmarkEnd w:id="208"/>
    </w:p>
    <w:p>
      <w:pPr>
        <w:spacing w:after="200" w:line="420" w:lineRule="atLeast"/>
        <w:ind w:right="560"/>
        <w:rPr>
          <w:rFonts w:ascii="宋体" w:hAnsi="宋体" w:cs="宋体"/>
          <w:color w:val="auto"/>
          <w:szCs w:val="21"/>
          <w:highlight w:val="none"/>
        </w:rPr>
      </w:pPr>
      <w:r>
        <w:rPr>
          <w:rFonts w:hint="eastAsia" w:ascii="宋体" w:hAnsi="宋体" w:cs="宋体"/>
          <w:color w:val="auto"/>
          <w:szCs w:val="21"/>
          <w:highlight w:val="none"/>
        </w:rPr>
        <w:t>合同编号：</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甲方：</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 xml:space="preserve">乙方：“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受甲方委托，</w:t>
      </w:r>
      <w:r>
        <w:rPr>
          <w:rFonts w:hint="eastAsia" w:ascii="宋体" w:hAnsi="宋体" w:cs="宋体"/>
          <w:color w:val="auto"/>
          <w:szCs w:val="21"/>
          <w:highlight w:val="none"/>
          <w:u w:val="single"/>
        </w:rPr>
        <w:t xml:space="preserve">           (采购代理机构)</w:t>
      </w:r>
      <w:r>
        <w:rPr>
          <w:rFonts w:hint="eastAsia" w:ascii="宋体" w:hAnsi="宋体" w:cs="宋体"/>
          <w:color w:val="auto"/>
          <w:szCs w:val="21"/>
          <w:highlight w:val="none"/>
        </w:rPr>
        <w:t>组织对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采购项目（采购编号为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）进行采购，于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日通过磋商，经磋商小组评定乙方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为成交单位。为了保护甲、乙双方合法权益，根据《中华人民共和国政府采购法》及其实施条例、《中华人民共和国民法典》，在平等自愿的基础上，按照下面的条款和条件，签署本合同。</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合同项目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2、采购编号：                   。</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合同组成</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1、合同文件组成内容包括：本合同书 、成交通知书、响应文件（含澄清内容）、磋商文件（含磋商文件澄清通知）等。</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第三条 服务内容、标准及要求</w:t>
      </w:r>
    </w:p>
    <w:p>
      <w:pPr>
        <w:rPr>
          <w:rFonts w:ascii="宋体" w:hAnsi="宋体" w:cs="宋体"/>
          <w:color w:val="auto"/>
          <w:szCs w:val="21"/>
          <w:highlight w:val="none"/>
          <w:u w:val="single"/>
          <w:shd w:val="clear" w:color="auto" w:fill="FFFFFF"/>
        </w:rPr>
      </w:pPr>
      <w:r>
        <w:rPr>
          <w:rFonts w:hint="eastAsia" w:ascii="宋体" w:hAnsi="宋体" w:cs="宋体"/>
          <w:color w:val="auto"/>
          <w:szCs w:val="21"/>
          <w:highlight w:val="none"/>
          <w:shd w:val="clear" w:color="auto" w:fill="FFFFFF"/>
        </w:rPr>
        <w:t>1、采购内容：</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2、采购标准：</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3、采购要求：</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4、具体采购内容采购标准及要求以磋商文件用户需求书及乙方响应文件承诺条款及方案为准。</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价格</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 xml:space="preserve">2、合同总价：（人民币）大写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3、本合同价为固定不变价。</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服务期限及地点</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1、服务期：  年，合同生效之日自       年  月  日至     年  月  日止。</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2、服务地点：              或甲方指定地点。</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付款方式</w:t>
      </w:r>
    </w:p>
    <w:p>
      <w:pPr>
        <w:pStyle w:val="21"/>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竣工与验收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1、验收应在甲乙双方共同参加下进行，依据采购文件及本合同的有关规定制定的方案进行验收，并按国家有关规定、规范进行。</w:t>
      </w:r>
    </w:p>
    <w:p>
      <w:pPr>
        <w:pStyle w:val="21"/>
        <w:ind w:firstLine="480"/>
        <w:rPr>
          <w:rFonts w:ascii="宋体" w:hAnsi="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cs="Times New Roman"/>
          <w:color w:val="auto"/>
          <w:sz w:val="21"/>
          <w:szCs w:val="21"/>
          <w:highlight w:val="none"/>
        </w:rPr>
        <w:t>与验收。</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3、对验收不合格的部分，乙方应在甲方规定时间内及时整改完善直至合格。</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4、乙方保证向甲方提供的所有设计文件均自主设计的，不存在知识产权方面的纠纷。</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5、乙方的设计文件应达到一定的高度、深度和广度，应严格按照采购文件的内容、规模和要求进行设计。设计中必须贯彻 “完整性、统一性、先进性”和“经济、高效、安全”的基本原则，同时应充分考虑智慧道路路网的整体智慧需求及前沿技术的应用。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6、设计中引用、套用国家和部颁相关专业的设计规范、标准及新的相关专业的技术标准和要求时，应准确引用和套用。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7、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8、乙方的设计文件应对施工中的安全注意事项进行说明。</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9、乙方的设计文件的编印应符合规范化、标准化的要求，包括：设计说明书页张篇幅及各号图纸大小篇幅应符合国家标准规定尺寸；设计文件册的封面必须能表示出工程设计项目的全名、分册编号及工程名称。设计文件的分册由甲乙双方协商后决定。</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10、乙方设计文件的编制和装订应利于甲方归档保存及保养。</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11、接到设计任务后，按合同要求工期完成初步设计及施工图设计,并通过甲方审核确认。</w:t>
      </w:r>
    </w:p>
    <w:p>
      <w:pPr>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税和关税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1、中国政府根据现行税法对甲方征收的与本合同有关的一切税费均应由甲方承担。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2、中国政府根据现行税法规定对乙方或其雇员征收的与本合同有关的一切税费应由乙方承担。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3、在中国境外发生的与本合同执行有关的一切税费均应由乙方承担。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其它约定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1、严禁转包，未经甲方书面同意不得分包。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2、乙方全部工作人员，须符合东莞市政府用工标准要求。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3、乙方服务人员进行服务期间的过失或故意行为，造成甲方经济损失的，由乙方负责赔偿。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1、合同双方任何一方不履行合同条款或不按合同约定履行条款的其它情况，均属违约，由违约方承担违约责任，赔偿因其违约造成的损失，并支付合同价款总额   %的违约金。</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2、由于乙方的原因，导致双方签订的合同终止，乙方因此而遭受的损失，将由乙方独立承担，甲方对此不负任何责任，也不作任何赔偿。</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4、本合同按照中华人民共和国的法律进行解释。</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2、本合同一式    份，其中甲方    份、乙方    份，采购代理机构 壹 份（须在合同签订之日起7个工作日内递交）。</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其它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1、本合同未尽事宜，双方可签订补充合同，补充合同与所有附件均为合同的有效组成部分，与本合同具有同等法律效力。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本合同合计   页A4纸张，缺页之合同为无效合同。</w:t>
      </w:r>
    </w:p>
    <w:p>
      <w:pPr>
        <w:pStyle w:val="2"/>
        <w:ind w:firstLine="420" w:firstLineChars="200"/>
        <w:rPr>
          <w:color w:val="auto"/>
          <w:sz w:val="21"/>
          <w:szCs w:val="21"/>
          <w:highlight w:val="none"/>
        </w:rPr>
      </w:pPr>
      <w:r>
        <w:rPr>
          <w:rFonts w:hint="eastAsia"/>
          <w:color w:val="auto"/>
          <w:sz w:val="21"/>
          <w:szCs w:val="21"/>
          <w:highlight w:val="none"/>
        </w:rPr>
        <w:t>以下无正文</w:t>
      </w:r>
    </w:p>
    <w:p>
      <w:pPr>
        <w:rPr>
          <w:rFonts w:ascii="宋体" w:hAnsi="宋体" w:cs="宋体"/>
          <w:color w:val="auto"/>
          <w:szCs w:val="21"/>
          <w:highlight w:val="none"/>
        </w:rPr>
      </w:pPr>
      <w:r>
        <w:rPr>
          <w:rFonts w:hint="eastAsia" w:ascii="宋体" w:hAnsi="宋体" w:cs="宋体"/>
          <w:color w:val="auto"/>
          <w:szCs w:val="21"/>
          <w:highlight w:val="none"/>
        </w:rPr>
        <w:t>甲方（盖章）：                      乙方（盖章）：</w:t>
      </w:r>
    </w:p>
    <w:p>
      <w:pPr>
        <w:rPr>
          <w:rFonts w:ascii="宋体" w:hAnsi="宋体" w:cs="宋体"/>
          <w:color w:val="auto"/>
          <w:szCs w:val="21"/>
          <w:highlight w:val="none"/>
        </w:rPr>
      </w:pPr>
      <w:r>
        <w:rPr>
          <w:rFonts w:hint="eastAsia" w:ascii="宋体" w:hAnsi="宋体" w:cs="宋体"/>
          <w:color w:val="auto"/>
          <w:szCs w:val="21"/>
          <w:highlight w:val="none"/>
        </w:rPr>
        <w:t>法定代表(签字)：                   法定代表(签字)：</w:t>
      </w:r>
    </w:p>
    <w:p>
      <w:pPr>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rPr>
          <w:rFonts w:ascii="宋体" w:hAnsi="宋体" w:cs="宋体"/>
          <w:color w:val="auto"/>
          <w:szCs w:val="21"/>
          <w:highlight w:val="none"/>
        </w:rPr>
      </w:pPr>
      <w:r>
        <w:rPr>
          <w:rFonts w:hint="eastAsia" w:ascii="宋体" w:hAnsi="宋体" w:cs="宋体"/>
          <w:color w:val="auto"/>
          <w:szCs w:val="21"/>
          <w:highlight w:val="none"/>
        </w:rPr>
        <w:t>电话：                             电话：</w:t>
      </w:r>
    </w:p>
    <w:p>
      <w:pPr>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传真：</w:t>
      </w:r>
    </w:p>
    <w:p>
      <w:pPr>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p>
    <w:p>
      <w:pPr>
        <w:rPr>
          <w:rFonts w:ascii="宋体" w:hAnsi="宋体" w:cs="宋体"/>
          <w:color w:val="auto"/>
          <w:szCs w:val="21"/>
          <w:highlight w:val="none"/>
        </w:rPr>
      </w:pPr>
      <w:r>
        <w:rPr>
          <w:rFonts w:hint="eastAsia" w:ascii="宋体" w:hAnsi="宋体" w:cs="宋体"/>
          <w:color w:val="auto"/>
          <w:szCs w:val="21"/>
          <w:highlight w:val="none"/>
        </w:rPr>
        <w:t>账号：                             账号：</w:t>
      </w:r>
    </w:p>
    <w:p>
      <w:pPr>
        <w:rPr>
          <w:rFonts w:ascii="宋体" w:hAnsi="宋体" w:cs="宋体"/>
          <w:color w:val="auto"/>
          <w:szCs w:val="21"/>
          <w:highlight w:val="none"/>
        </w:rPr>
      </w:pPr>
      <w:r>
        <w:rPr>
          <w:rFonts w:hint="eastAsia" w:ascii="宋体" w:hAnsi="宋体" w:cs="宋体"/>
          <w:color w:val="auto"/>
          <w:szCs w:val="21"/>
          <w:highlight w:val="none"/>
        </w:rPr>
        <w:t>签约时间：</w:t>
      </w:r>
    </w:p>
    <w:p>
      <w:pPr>
        <w:rPr>
          <w:rFonts w:ascii="宋体" w:hAnsi="宋体" w:cs="宋体"/>
          <w:color w:val="auto"/>
          <w:szCs w:val="21"/>
          <w:highlight w:val="none"/>
        </w:rPr>
      </w:pPr>
      <w:r>
        <w:rPr>
          <w:rFonts w:hint="eastAsia" w:ascii="宋体" w:hAnsi="宋体" w:cs="宋体"/>
          <w:color w:val="auto"/>
          <w:szCs w:val="21"/>
          <w:highlight w:val="none"/>
        </w:rPr>
        <w:t>签约地点：</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5"/>
        <w:spacing w:before="0" w:after="0" w:line="240" w:lineRule="auto"/>
        <w:rPr>
          <w:color w:val="auto"/>
          <w:sz w:val="28"/>
          <w:szCs w:val="28"/>
          <w:highlight w:val="none"/>
        </w:rPr>
      </w:pPr>
      <w:bookmarkStart w:id="209" w:name="_Toc31587"/>
      <w:bookmarkStart w:id="210" w:name="_Toc15158"/>
      <w:bookmarkStart w:id="211" w:name="_Toc23749"/>
      <w:r>
        <w:rPr>
          <w:rFonts w:hint="eastAsia"/>
          <w:color w:val="auto"/>
          <w:sz w:val="28"/>
          <w:szCs w:val="28"/>
          <w:highlight w:val="none"/>
        </w:rPr>
        <w:t>第七部分  响应文件格式</w:t>
      </w:r>
      <w:bookmarkEnd w:id="209"/>
      <w:bookmarkEnd w:id="210"/>
      <w:bookmarkEnd w:id="211"/>
    </w:p>
    <w:p>
      <w:pPr>
        <w:rPr>
          <w:color w:val="auto"/>
          <w:highlight w:val="none"/>
        </w:rPr>
      </w:pPr>
    </w:p>
    <w:p>
      <w:pPr>
        <w:pStyle w:val="6"/>
        <w:rPr>
          <w:color w:val="auto"/>
          <w:highlight w:val="none"/>
        </w:rPr>
      </w:pPr>
      <w:bookmarkStart w:id="212" w:name="_Toc26830"/>
      <w:bookmarkStart w:id="213" w:name="_Toc2434"/>
      <w:bookmarkStart w:id="214" w:name="_Toc6790"/>
      <w:r>
        <w:rPr>
          <w:rFonts w:hint="eastAsia"/>
          <w:color w:val="auto"/>
          <w:highlight w:val="none"/>
        </w:rPr>
        <w:t>响应文件目录</w:t>
      </w:r>
      <w:bookmarkEnd w:id="212"/>
      <w:bookmarkEnd w:id="213"/>
      <w:bookmarkEnd w:id="214"/>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rPr>
          <w:color w:val="auto"/>
          <w:highlight w:val="none"/>
        </w:rPr>
      </w:pPr>
      <w:bookmarkStart w:id="215" w:name="_Toc25502"/>
      <w:bookmarkStart w:id="216" w:name="_Toc18893"/>
      <w:bookmarkStart w:id="217" w:name="_Toc28116"/>
      <w:r>
        <w:rPr>
          <w:rFonts w:hint="eastAsia"/>
          <w:color w:val="auto"/>
          <w:highlight w:val="none"/>
        </w:rPr>
        <w:t>评分标准索引表</w:t>
      </w:r>
      <w:bookmarkEnd w:id="215"/>
      <w:bookmarkEnd w:id="216"/>
      <w:bookmarkEnd w:id="217"/>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9"/>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02" w:type="dxa"/>
            <w:gridSpan w:val="3"/>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20"/>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jc w:val="center"/>
        <w:rPr>
          <w:color w:val="auto"/>
          <w:highlight w:val="none"/>
        </w:rPr>
      </w:pPr>
      <w:bookmarkStart w:id="218" w:name="_Toc22080"/>
      <w:bookmarkStart w:id="219" w:name="_Toc19057"/>
      <w:bookmarkStart w:id="220" w:name="_Toc30640"/>
      <w:r>
        <w:rPr>
          <w:rFonts w:hint="eastAsia"/>
          <w:color w:val="auto"/>
          <w:highlight w:val="none"/>
        </w:rPr>
        <w:t>第一章价格文件</w:t>
      </w:r>
      <w:bookmarkEnd w:id="218"/>
      <w:bookmarkEnd w:id="219"/>
    </w:p>
    <w:p>
      <w:pPr>
        <w:pStyle w:val="6"/>
        <w:jc w:val="center"/>
        <w:rPr>
          <w:color w:val="auto"/>
          <w:highlight w:val="none"/>
        </w:rPr>
      </w:pPr>
      <w:bookmarkStart w:id="221" w:name="_Toc29262"/>
      <w:bookmarkStart w:id="222" w:name="_Toc4168"/>
      <w:r>
        <w:rPr>
          <w:rFonts w:hint="eastAsia"/>
          <w:color w:val="auto"/>
          <w:highlight w:val="none"/>
        </w:rPr>
        <w:t>一、报价一览表</w:t>
      </w:r>
      <w:bookmarkEnd w:id="221"/>
      <w:bookmarkEnd w:id="222"/>
    </w:p>
    <w:p>
      <w:pPr>
        <w:rPr>
          <w:color w:val="auto"/>
          <w:highlight w:val="none"/>
        </w:rPr>
      </w:pPr>
    </w:p>
    <w:tbl>
      <w:tblPr>
        <w:tblStyle w:val="22"/>
        <w:tblW w:w="50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4309"/>
        <w:gridCol w:w="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93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2497"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东莞市横沥资产经营管理有限公司厂房城市更新项目地上建筑物拆零变现工程</w:t>
            </w:r>
          </w:p>
        </w:tc>
        <w:tc>
          <w:tcPr>
            <w:tcW w:w="570"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93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color w:val="auto"/>
                <w:highlight w:val="none"/>
              </w:rPr>
            </w:pPr>
            <w:r>
              <w:rPr>
                <w:rFonts w:hint="eastAsia" w:ascii="宋体" w:hAnsi="宋体"/>
                <w:color w:val="auto"/>
                <w:szCs w:val="21"/>
                <w:highlight w:val="none"/>
              </w:rPr>
              <w:t>拆除工程总价报价（元）</w:t>
            </w:r>
          </w:p>
        </w:tc>
        <w:tc>
          <w:tcPr>
            <w:tcW w:w="2497"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570"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93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color w:val="auto"/>
                <w:highlight w:val="none"/>
              </w:rPr>
            </w:pPr>
            <w:r>
              <w:rPr>
                <w:rFonts w:hint="eastAsia" w:ascii="宋体" w:hAnsi="宋体"/>
                <w:color w:val="auto"/>
                <w:szCs w:val="21"/>
                <w:highlight w:val="none"/>
              </w:rPr>
              <w:t>回收钢筋总价报价（元）</w:t>
            </w:r>
          </w:p>
        </w:tc>
        <w:tc>
          <w:tcPr>
            <w:tcW w:w="2497"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570"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93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最终响应总价报价（即成交人需支付给采购人总金额）（元）</w:t>
            </w:r>
          </w:p>
        </w:tc>
        <w:tc>
          <w:tcPr>
            <w:tcW w:w="2497"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570"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注：1、响应总价栏须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响应</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ind w:firstLine="359" w:firstLineChars="171"/>
        <w:rPr>
          <w:rFonts w:ascii="宋体" w:hAnsi="宋体"/>
          <w:color w:val="auto"/>
          <w:szCs w:val="21"/>
          <w:highlight w:val="none"/>
        </w:rPr>
      </w:pPr>
      <w:r>
        <w:rPr>
          <w:rFonts w:hint="eastAsia" w:ascii="宋体" w:hAnsi="宋体"/>
          <w:color w:val="auto"/>
          <w:szCs w:val="21"/>
          <w:highlight w:val="none"/>
        </w:rPr>
        <w:t>2、此表应按供应商须知的规定密封标记并与《授权委托书》一同密封单独提交。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rPr>
          <w:color w:val="auto"/>
          <w:highlight w:val="none"/>
        </w:rPr>
      </w:pPr>
    </w:p>
    <w:p>
      <w:pPr>
        <w:pStyle w:val="6"/>
        <w:jc w:val="center"/>
        <w:rPr>
          <w:color w:val="auto"/>
          <w:highlight w:val="none"/>
        </w:rPr>
      </w:pPr>
      <w:bookmarkStart w:id="223" w:name="_Toc31062"/>
      <w:bookmarkStart w:id="224" w:name="_Toc29258"/>
      <w:r>
        <w:rPr>
          <w:rFonts w:hint="eastAsia"/>
          <w:color w:val="auto"/>
          <w:highlight w:val="none"/>
        </w:rPr>
        <w:t>二、报价明细表</w:t>
      </w:r>
      <w:bookmarkEnd w:id="223"/>
      <w:bookmarkEnd w:id="224"/>
    </w:p>
    <w:p>
      <w:pPr>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（一）地上建筑物拆除</w:t>
      </w:r>
    </w:p>
    <w:tbl>
      <w:tblPr>
        <w:tblStyle w:val="22"/>
        <w:tblW w:w="4998" w:type="pct"/>
        <w:tblInd w:w="0" w:type="dxa"/>
        <w:tblLayout w:type="autofit"/>
        <w:tblCellMar>
          <w:top w:w="0" w:type="dxa"/>
          <w:left w:w="108" w:type="dxa"/>
          <w:bottom w:w="0" w:type="dxa"/>
          <w:right w:w="108" w:type="dxa"/>
        </w:tblCellMar>
      </w:tblPr>
      <w:tblGrid>
        <w:gridCol w:w="659"/>
        <w:gridCol w:w="1539"/>
        <w:gridCol w:w="1980"/>
        <w:gridCol w:w="1609"/>
        <w:gridCol w:w="1365"/>
        <w:gridCol w:w="1367"/>
      </w:tblGrid>
      <w:tr>
        <w:tblPrEx>
          <w:tblCellMar>
            <w:top w:w="0" w:type="dxa"/>
            <w:left w:w="108" w:type="dxa"/>
            <w:bottom w:w="0" w:type="dxa"/>
            <w:right w:w="108" w:type="dxa"/>
          </w:tblCellMar>
        </w:tblPrEx>
        <w:trPr>
          <w:trHeight w:val="522"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名称</w:t>
            </w:r>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建筑结构</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建筑面积（㎡）</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建筑物拆除单价报价（元/㎡）</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CellMar>
            <w:top w:w="0" w:type="dxa"/>
            <w:left w:w="108" w:type="dxa"/>
            <w:bottom w:w="0" w:type="dxa"/>
            <w:right w:w="108" w:type="dxa"/>
          </w:tblCellMar>
        </w:tblPrEx>
        <w:trPr>
          <w:trHeight w:val="522"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建筑物拆除费</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钢混</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16,929.70 </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扣减拆除费</w:t>
            </w:r>
          </w:p>
        </w:tc>
      </w:tr>
      <w:tr>
        <w:trPr>
          <w:trHeight w:val="522"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建筑物拆除费</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砖混、简易钢结构</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4,496.00 </w:t>
            </w:r>
          </w:p>
        </w:tc>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扣减拆除费</w:t>
            </w:r>
          </w:p>
        </w:tc>
      </w:tr>
      <w:tr>
        <w:tblPrEx>
          <w:tblCellMar>
            <w:top w:w="0" w:type="dxa"/>
            <w:left w:w="108" w:type="dxa"/>
            <w:bottom w:w="0" w:type="dxa"/>
            <w:right w:w="108" w:type="dxa"/>
          </w:tblCellMar>
        </w:tblPrEx>
        <w:trPr>
          <w:trHeight w:val="522" w:hRule="atLeast"/>
        </w:trPr>
        <w:tc>
          <w:tcPr>
            <w:tcW w:w="339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b/>
                <w:bCs/>
                <w:color w:val="auto"/>
                <w:szCs w:val="21"/>
                <w:highlight w:val="none"/>
              </w:rPr>
              <w:t>拆除工程总价</w:t>
            </w:r>
            <w:r>
              <w:rPr>
                <w:rFonts w:hint="eastAsia" w:ascii="宋体" w:hAnsi="宋体" w:cs="宋体"/>
                <w:b/>
                <w:bCs/>
                <w:color w:val="auto"/>
                <w:szCs w:val="21"/>
                <w:highlight w:val="none"/>
              </w:rPr>
              <w:t>合计（元）</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p>
        </w:tc>
      </w:tr>
    </w:tbl>
    <w:p>
      <w:pPr>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（二）回收钢筋</w:t>
      </w:r>
    </w:p>
    <w:tbl>
      <w:tblPr>
        <w:tblStyle w:val="22"/>
        <w:tblW w:w="0" w:type="auto"/>
        <w:tblInd w:w="0" w:type="dxa"/>
        <w:tblLayout w:type="autofit"/>
        <w:tblCellMar>
          <w:top w:w="0" w:type="dxa"/>
          <w:left w:w="108" w:type="dxa"/>
          <w:bottom w:w="0" w:type="dxa"/>
          <w:right w:w="108" w:type="dxa"/>
        </w:tblCellMar>
      </w:tblPr>
      <w:tblGrid>
        <w:gridCol w:w="503"/>
        <w:gridCol w:w="810"/>
        <w:gridCol w:w="658"/>
        <w:gridCol w:w="1193"/>
        <w:gridCol w:w="733"/>
        <w:gridCol w:w="504"/>
        <w:gridCol w:w="1288"/>
        <w:gridCol w:w="924"/>
        <w:gridCol w:w="1099"/>
        <w:gridCol w:w="810"/>
      </w:tblGrid>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建筑物名称</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规划用途</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坐落</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结构</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层数</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建筑面积（㎡）</w:t>
            </w:r>
          </w:p>
        </w:tc>
        <w:tc>
          <w:tcPr>
            <w:tcW w:w="0" w:type="auto"/>
            <w:tcBorders>
              <w:top w:val="single" w:color="000000" w:sz="4" w:space="0"/>
              <w:left w:val="single" w:color="000000" w:sz="4" w:space="0"/>
              <w:bottom w:val="nil"/>
              <w:right w:val="single" w:color="000000" w:sz="4" w:space="0"/>
            </w:tcBorders>
            <w:shd w:val="clear" w:color="auto" w:fill="auto"/>
            <w:vAlign w:val="center"/>
          </w:tcPr>
          <w:p>
            <w:pPr>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回收钢筋</w:t>
            </w:r>
          </w:p>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回收钢筋单价报价</w:t>
            </w:r>
          </w:p>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（元/吨）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6,133.10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147.19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6,116.90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146.81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电房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522.80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7.84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388.80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5.83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铁皮仓库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2,633.70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39.51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危险品仓库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简易铁皮厂房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工业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简易钢结构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综合楼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办公楼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钢筋混凝土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4,679.70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112.31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101.60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门卫室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16.60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仓库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116.20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1.74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加建饭堂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饭堂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东莞市横沥镇兴建路1号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砖混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21.60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材料回收价值</w:t>
            </w:r>
          </w:p>
        </w:tc>
      </w:tr>
      <w:tr>
        <w:tblPrEx>
          <w:tblCellMar>
            <w:top w:w="0" w:type="dxa"/>
            <w:left w:w="108" w:type="dxa"/>
            <w:bottom w:w="0" w:type="dxa"/>
            <w:right w:w="108" w:type="dxa"/>
          </w:tblCellMar>
        </w:tblPrEx>
        <w:trPr>
          <w:trHeight w:val="522"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auto"/>
                <w:szCs w:val="21"/>
                <w:highlight w:val="none"/>
              </w:rPr>
            </w:pPr>
            <w:r>
              <w:rPr>
                <w:rFonts w:hint="eastAsia" w:ascii="宋体" w:hAnsi="宋体" w:cs="宋体"/>
                <w:b/>
                <w:bCs/>
                <w:color w:val="auto"/>
                <w:szCs w:val="21"/>
                <w:highlight w:val="none"/>
              </w:rPr>
              <w:t>回收钢筋总价合计（元）</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Cs w:val="21"/>
                <w:highlight w:val="none"/>
              </w:rPr>
            </w:pPr>
          </w:p>
        </w:tc>
      </w:tr>
    </w:tbl>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s="宋体"/>
          <w:b/>
          <w:color w:val="auto"/>
          <w:szCs w:val="21"/>
          <w:highlight w:val="none"/>
        </w:rPr>
      </w:pPr>
      <w:r>
        <w:rPr>
          <w:rFonts w:hint="eastAsia" w:ascii="宋体" w:hAnsi="宋体"/>
          <w:color w:val="auto"/>
          <w:szCs w:val="21"/>
          <w:highlight w:val="none"/>
        </w:rPr>
        <w:t>日期：</w:t>
      </w:r>
    </w:p>
    <w:p>
      <w:pPr>
        <w:rPr>
          <w:color w:val="auto"/>
          <w:highlight w:val="none"/>
        </w:rPr>
      </w:pPr>
      <w:bookmarkStart w:id="225" w:name="_Toc14734"/>
      <w:bookmarkStart w:id="226" w:name="_Toc20974"/>
      <w:r>
        <w:rPr>
          <w:rFonts w:hint="eastAsia"/>
          <w:color w:val="auto"/>
          <w:highlight w:val="none"/>
        </w:rPr>
        <w:br w:type="page"/>
      </w:r>
    </w:p>
    <w:p>
      <w:pPr>
        <w:pStyle w:val="6"/>
        <w:jc w:val="center"/>
        <w:rPr>
          <w:color w:val="auto"/>
          <w:highlight w:val="none"/>
        </w:rPr>
      </w:pPr>
      <w:r>
        <w:rPr>
          <w:rFonts w:hint="eastAsia"/>
          <w:color w:val="auto"/>
          <w:highlight w:val="none"/>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pStyle w:val="32"/>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ind w:firstLine="422"/>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所投产品中无小型或微型企业产品的，请留空或删除此表！</w:t>
      </w:r>
      <w:r>
        <w:rPr>
          <w:rFonts w:hint="eastAsia" w:ascii="宋体" w:hAnsi="宋体"/>
          <w:color w:val="auto"/>
          <w:szCs w:val="21"/>
          <w:highlight w:val="none"/>
        </w:rPr>
        <w:br w:type="page"/>
      </w:r>
    </w:p>
    <w:p>
      <w:pPr>
        <w:pStyle w:val="6"/>
        <w:jc w:val="center"/>
        <w:rPr>
          <w:color w:val="auto"/>
          <w:highlight w:val="none"/>
        </w:rPr>
      </w:pPr>
      <w:bookmarkStart w:id="227" w:name="_Toc16718"/>
      <w:bookmarkStart w:id="228" w:name="_Toc17483"/>
      <w:r>
        <w:rPr>
          <w:rFonts w:hint="eastAsia"/>
          <w:color w:val="auto"/>
          <w:highlight w:val="none"/>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29"/>
        <w:rPr>
          <w:color w:val="auto"/>
          <w:highlight w:val="none"/>
        </w:rPr>
      </w:pPr>
    </w:p>
    <w:p>
      <w:pPr>
        <w:tabs>
          <w:tab w:val="left" w:pos="284"/>
        </w:tabs>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tabs>
          <w:tab w:val="left" w:pos="284"/>
        </w:tabs>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6"/>
        <w:jc w:val="center"/>
        <w:rPr>
          <w:color w:val="auto"/>
          <w:highlight w:val="none"/>
        </w:rPr>
      </w:pPr>
      <w:bookmarkStart w:id="229" w:name="_Toc8170"/>
      <w:bookmarkStart w:id="230" w:name="_Toc10853"/>
      <w:r>
        <w:rPr>
          <w:rFonts w:hint="eastAsia"/>
          <w:color w:val="auto"/>
          <w:highlight w:val="none"/>
        </w:rPr>
        <w:t>五、中小企业声明函</w:t>
      </w:r>
      <w:bookmarkEnd w:id="229"/>
      <w:bookmarkEnd w:id="230"/>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供应商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供应商应该在《报价明细表》中单独列明属于小型和微型企业产品（货物、承担的工程或者服务）的报价，若供应商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31" w:name="_Toc8560"/>
      <w:bookmarkStart w:id="232" w:name="_Toc312"/>
      <w:r>
        <w:rPr>
          <w:rFonts w:hint="eastAsia"/>
          <w:color w:val="auto"/>
          <w:highlight w:val="none"/>
        </w:rPr>
        <w:t>六、残疾人福利性单位声明函</w:t>
      </w:r>
      <w:bookmarkEnd w:id="231"/>
      <w:bookmarkEnd w:id="232"/>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3" w:name="_Toc510171693"/>
      <w:bookmarkStart w:id="234" w:name="_Toc508960153"/>
      <w:bookmarkStart w:id="235" w:name="_Toc22970"/>
      <w:bookmarkStart w:id="236" w:name="_Toc17761"/>
      <w:bookmarkStart w:id="237" w:name="_Toc30247"/>
      <w:bookmarkStart w:id="238" w:name="_Toc509844825"/>
      <w:bookmarkStart w:id="239" w:name="_Toc508898066"/>
      <w:bookmarkStart w:id="240" w:name="_Toc508958703"/>
      <w:bookmarkStart w:id="241" w:name="_Toc509927455"/>
      <w:bookmarkStart w:id="242" w:name="_Toc509479530"/>
      <w:bookmarkStart w:id="243" w:name="_Toc30277"/>
      <w:bookmarkStart w:id="244" w:name="_Toc2091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ind w:firstLine="420" w:firstLineChars="200"/>
        <w:rPr>
          <w:rFonts w:ascii="宋体" w:hAnsi="宋体"/>
          <w:color w:val="auto"/>
          <w:szCs w:val="21"/>
          <w:highlight w:val="none"/>
        </w:rPr>
      </w:pPr>
      <w:bookmarkStart w:id="245" w:name="_Toc510171694"/>
      <w:bookmarkStart w:id="246" w:name="_Toc509927456"/>
      <w:bookmarkStart w:id="247" w:name="_Toc509844826"/>
      <w:bookmarkStart w:id="248" w:name="_Toc508958704"/>
      <w:bookmarkStart w:id="249" w:name="_Toc21053"/>
      <w:bookmarkStart w:id="250" w:name="_Toc508898067"/>
      <w:bookmarkStart w:id="251" w:name="_Toc31520"/>
      <w:bookmarkStart w:id="252" w:name="_Toc5447"/>
      <w:bookmarkStart w:id="253" w:name="_Toc26216"/>
      <w:bookmarkStart w:id="254" w:name="_Toc508960154"/>
      <w:bookmarkStart w:id="255" w:name="_Toc509479531"/>
      <w:bookmarkStart w:id="256"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ind w:firstLine="420" w:firstLineChars="200"/>
        <w:rPr>
          <w:rFonts w:ascii="宋体" w:hAnsi="宋体"/>
          <w:color w:val="auto"/>
          <w:szCs w:val="21"/>
          <w:highlight w:val="none"/>
        </w:rPr>
      </w:pPr>
      <w:bookmarkStart w:id="257" w:name="_Toc508960155"/>
      <w:bookmarkStart w:id="258" w:name="_Toc509844827"/>
      <w:bookmarkStart w:id="259" w:name="_Toc508958705"/>
      <w:bookmarkStart w:id="260" w:name="_Toc28126"/>
      <w:bookmarkStart w:id="261" w:name="_Toc508898068"/>
      <w:bookmarkStart w:id="262" w:name="_Toc28626"/>
      <w:bookmarkStart w:id="263" w:name="_Toc510171695"/>
      <w:bookmarkStart w:id="264" w:name="_Toc24848"/>
      <w:bookmarkStart w:id="265" w:name="_Toc14653"/>
      <w:bookmarkStart w:id="266" w:name="_Toc509927457"/>
      <w:bookmarkStart w:id="267" w:name="_Toc9148"/>
      <w:bookmarkStart w:id="268" w:name="_Toc509479532"/>
      <w:r>
        <w:rPr>
          <w:rFonts w:hint="eastAsia" w:ascii="宋体" w:hAnsi="宋体"/>
          <w:color w:val="auto"/>
          <w:szCs w:val="21"/>
          <w:highlight w:val="none"/>
        </w:rPr>
        <w:t>（2）成交人为残疾人福利性单位的，采购代理机构将随中标结果同时公告其《残疾人福利性单位声明函》，接受社会监督。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ind w:firstLine="420" w:firstLineChars="200"/>
        <w:rPr>
          <w:rFonts w:ascii="宋体" w:hAnsi="宋体"/>
          <w:color w:val="auto"/>
          <w:szCs w:val="21"/>
          <w:highlight w:val="none"/>
        </w:rPr>
      </w:pPr>
      <w:bookmarkStart w:id="269" w:name="_Toc509927458"/>
      <w:bookmarkStart w:id="270" w:name="_Toc7858"/>
      <w:bookmarkStart w:id="271" w:name="_Toc508958706"/>
      <w:bookmarkStart w:id="272" w:name="_Toc508960156"/>
      <w:bookmarkStart w:id="273" w:name="_Toc28044"/>
      <w:bookmarkStart w:id="274" w:name="_Toc509479533"/>
      <w:bookmarkStart w:id="275" w:name="_Toc22981"/>
      <w:bookmarkStart w:id="276" w:name="_Toc510171696"/>
      <w:bookmarkStart w:id="277" w:name="_Toc508898069"/>
      <w:bookmarkStart w:id="278" w:name="_Toc9837"/>
      <w:bookmarkStart w:id="279" w:name="_Toc28686"/>
      <w:bookmarkStart w:id="280" w:name="_Toc509844828"/>
      <w:r>
        <w:rPr>
          <w:rFonts w:hint="eastAsia" w:ascii="宋体" w:hAnsi="宋体"/>
          <w:color w:val="auto"/>
          <w:szCs w:val="21"/>
          <w:highlight w:val="none"/>
        </w:rPr>
        <w:t>（3）供应商提供的《残疾人福利性单位声明函》与事实不符的，依照《政府采购法》第七十七条第一款的规定追究法律责任。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ind w:firstLine="420" w:firstLineChars="200"/>
        <w:rPr>
          <w:rFonts w:ascii="宋体" w:hAnsi="宋体"/>
          <w:color w:val="auto"/>
          <w:szCs w:val="21"/>
          <w:highlight w:val="none"/>
        </w:rPr>
      </w:pPr>
      <w:bookmarkStart w:id="281" w:name="_Toc510171697"/>
      <w:bookmarkStart w:id="282" w:name="_Toc509479534"/>
      <w:bookmarkStart w:id="283" w:name="_Toc509927459"/>
      <w:bookmarkStart w:id="284" w:name="_Toc509844829"/>
      <w:bookmarkStart w:id="285" w:name="_Toc508898070"/>
      <w:bookmarkStart w:id="286" w:name="_Toc508960157"/>
      <w:bookmarkStart w:id="287" w:name="_Toc5289"/>
      <w:bookmarkStart w:id="288" w:name="_Toc18843"/>
      <w:bookmarkStart w:id="289"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（5）若供应商不属于规定的残疾人福利性单位，或提供的产品不是残疾人福利单位制造的，则无需提供此表。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6"/>
        <w:jc w:val="center"/>
        <w:rPr>
          <w:color w:val="auto"/>
          <w:highlight w:val="none"/>
        </w:rPr>
      </w:pPr>
      <w:bookmarkStart w:id="290" w:name="_Toc2486"/>
      <w:bookmarkStart w:id="291" w:name="_Toc23948"/>
      <w:r>
        <w:rPr>
          <w:rFonts w:hint="eastAsia"/>
          <w:color w:val="auto"/>
          <w:highlight w:val="none"/>
        </w:rPr>
        <w:t>第二章商务文件</w:t>
      </w:r>
      <w:bookmarkEnd w:id="290"/>
      <w:bookmarkEnd w:id="291"/>
    </w:p>
    <w:bookmarkEnd w:id="220"/>
    <w:p>
      <w:pPr>
        <w:pStyle w:val="6"/>
        <w:jc w:val="center"/>
        <w:rPr>
          <w:color w:val="auto"/>
          <w:highlight w:val="none"/>
        </w:rPr>
      </w:pPr>
      <w:bookmarkStart w:id="292" w:name="_Toc4151"/>
      <w:bookmarkStart w:id="293" w:name="_Toc23787"/>
      <w:r>
        <w:rPr>
          <w:rFonts w:hint="eastAsia"/>
          <w:color w:val="auto"/>
          <w:highlight w:val="none"/>
        </w:rPr>
        <w:t>一、响应函</w:t>
      </w:r>
      <w:bookmarkEnd w:id="292"/>
      <w:bookmarkEnd w:id="293"/>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cs="宋体"/>
          <w:color w:val="auto"/>
          <w:sz w:val="22"/>
          <w:highlight w:val="none"/>
        </w:rPr>
        <w:t>进行有关本次磋商的一切事宜。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在此提交的响应文件，正本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套，报价信封及电子文件各1份。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完全明白磋商文件的所有条款要求，并重申以下几点：</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本响应有效期为自开标日起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本公司同意按照贵公司可能提出的要求而提供与磋商有关的任何其它数据、信息或资料。</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本公司如果中标，将保证履行磋商文件及其澄清、修改文件（如果有）中的全部责任和义务，按质、按量、按期完成《采购需求书》及《合同书》中的全部任务。</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供应商代表签字：                    </w:t>
      </w:r>
    </w:p>
    <w:p>
      <w:pPr>
        <w:rPr>
          <w:rFonts w:ascii="宋体" w:hAnsi="宋体"/>
          <w:color w:val="auto"/>
          <w:szCs w:val="21"/>
          <w:highlight w:val="none"/>
        </w:rPr>
      </w:pPr>
      <w:r>
        <w:rPr>
          <w:rFonts w:hint="eastAsia" w:ascii="宋体" w:hAnsi="宋体"/>
          <w:color w:val="auto"/>
          <w:szCs w:val="21"/>
          <w:highlight w:val="none"/>
        </w:rPr>
        <w:t xml:space="preserve">供应商名称（加盖公章）：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6"/>
        <w:jc w:val="center"/>
        <w:rPr>
          <w:color w:val="auto"/>
          <w:highlight w:val="none"/>
        </w:rPr>
      </w:pPr>
      <w:bookmarkStart w:id="294" w:name="_Toc15719"/>
      <w:bookmarkStart w:id="295" w:name="_Toc27961"/>
      <w:r>
        <w:rPr>
          <w:rFonts w:hint="eastAsia"/>
          <w:color w:val="auto"/>
          <w:highlight w:val="none"/>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报价</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2、我方已清楚磋商文件所有要求及有关规定；并承诺参加本次政府采购活动中，如有违法、违规、弄虚作假行为，所造成的损失、不良后果及法律责任，一律由我方承担；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96" w:name="_Toc16412"/>
    </w:p>
    <w:p>
      <w:pPr>
        <w:pStyle w:val="6"/>
        <w:jc w:val="center"/>
        <w:rPr>
          <w:color w:val="auto"/>
          <w:highlight w:val="none"/>
        </w:rPr>
      </w:pPr>
      <w:bookmarkStart w:id="297" w:name="_Toc21273"/>
      <w:bookmarkStart w:id="298" w:name="_Toc21335"/>
      <w:r>
        <w:rPr>
          <w:rFonts w:hint="eastAsia"/>
          <w:color w:val="auto"/>
          <w:highlight w:val="none"/>
        </w:rPr>
        <w:t>三、在参与政府采购活动前三年未有重大违法记录、没有不良信用记录的声明函</w:t>
      </w:r>
      <w:bookmarkEnd w:id="297"/>
      <w:bookmarkEnd w:id="298"/>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响应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6"/>
        <w:jc w:val="center"/>
        <w:rPr>
          <w:color w:val="auto"/>
          <w:highlight w:val="none"/>
        </w:rPr>
      </w:pPr>
      <w:bookmarkStart w:id="299" w:name="_Toc13243"/>
      <w:bookmarkStart w:id="300" w:name="_Toc32128"/>
      <w:r>
        <w:rPr>
          <w:rFonts w:hint="eastAsia"/>
          <w:color w:val="auto"/>
          <w:highlight w:val="none"/>
        </w:rPr>
        <w:t>四、法定代表人证明书</w:t>
      </w:r>
      <w:bookmarkEnd w:id="299"/>
      <w:bookmarkEnd w:id="300"/>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301" w:name="_Toc5918"/>
      <w:bookmarkStart w:id="302" w:name="_Toc11689"/>
      <w:r>
        <w:rPr>
          <w:rFonts w:hint="eastAsia"/>
          <w:color w:val="auto"/>
          <w:highlight w:val="none"/>
        </w:rPr>
        <w:t>五、法定代表人授权书</w:t>
      </w:r>
      <w:bookmarkEnd w:id="301"/>
      <w:bookmarkEnd w:id="302"/>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（供应商名称）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）响应文件、签订合同和处理有关事宜，其法律后果由我方承担。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0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6"/>
        <w:jc w:val="center"/>
        <w:rPr>
          <w:color w:val="auto"/>
          <w:highlight w:val="none"/>
        </w:rPr>
      </w:pPr>
      <w:bookmarkStart w:id="304" w:name="_Toc24013"/>
      <w:bookmarkStart w:id="305" w:name="_Toc1197"/>
      <w:r>
        <w:rPr>
          <w:rFonts w:hint="eastAsia"/>
          <w:color w:val="auto"/>
          <w:highlight w:val="none"/>
        </w:rPr>
        <w:t>六、供应商基本情况说明</w:t>
      </w:r>
      <w:bookmarkEnd w:id="304"/>
      <w:bookmarkEnd w:id="305"/>
    </w:p>
    <w:p>
      <w:pPr>
        <w:rPr>
          <w:rFonts w:ascii="宋体" w:hAnsi="宋体" w:cs="宋体"/>
          <w:color w:val="auto"/>
          <w:szCs w:val="21"/>
          <w:highlight w:val="none"/>
        </w:rPr>
      </w:pPr>
      <w:r>
        <w:rPr>
          <w:rFonts w:hint="eastAsia" w:ascii="宋体" w:hAnsi="宋体" w:cs="宋体"/>
          <w:color w:val="auto"/>
          <w:szCs w:val="21"/>
          <w:highlight w:val="none"/>
        </w:rPr>
        <w:t>一、供应商基本情况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1、供应商名称：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5、供应商开户银行名称及账号：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7、供应商简介:</w:t>
      </w:r>
    </w:p>
    <w:p>
      <w:pPr>
        <w:rPr>
          <w:rFonts w:ascii="宋体" w:hAnsi="宋体" w:cs="宋体"/>
          <w:b/>
          <w:color w:val="auto"/>
          <w:szCs w:val="21"/>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6"/>
        <w:jc w:val="center"/>
        <w:rPr>
          <w:color w:val="auto"/>
          <w:highlight w:val="none"/>
        </w:rPr>
      </w:pPr>
      <w:bookmarkStart w:id="306" w:name="_Toc24210"/>
      <w:bookmarkStart w:id="307" w:name="_Toc1511"/>
      <w:bookmarkStart w:id="308" w:name="_Toc29995"/>
      <w:bookmarkStart w:id="309" w:name="_Toc4926"/>
      <w:bookmarkStart w:id="310" w:name="_Toc5919"/>
      <w:bookmarkStart w:id="311" w:name="_Toc11992"/>
      <w:bookmarkStart w:id="312" w:name="_Toc17470"/>
      <w:r>
        <w:rPr>
          <w:rFonts w:hint="eastAsia"/>
          <w:color w:val="auto"/>
          <w:highlight w:val="none"/>
        </w:rPr>
        <w:t>七、营业执照</w:t>
      </w:r>
      <w:bookmarkEnd w:id="306"/>
      <w:bookmarkEnd w:id="307"/>
      <w:bookmarkEnd w:id="308"/>
      <w:bookmarkEnd w:id="309"/>
      <w:bookmarkEnd w:id="310"/>
      <w:bookmarkEnd w:id="311"/>
      <w:bookmarkEnd w:id="312"/>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6"/>
        <w:jc w:val="center"/>
        <w:rPr>
          <w:color w:val="auto"/>
          <w:highlight w:val="none"/>
        </w:rPr>
      </w:pPr>
      <w:bookmarkStart w:id="313" w:name="_Toc12706"/>
      <w:bookmarkStart w:id="314" w:name="_Toc29439"/>
      <w:r>
        <w:rPr>
          <w:rFonts w:hint="eastAsia"/>
          <w:color w:val="auto"/>
          <w:highlight w:val="none"/>
        </w:rPr>
        <w:t>八、特殊资格要求证明文件</w:t>
      </w:r>
      <w:bookmarkEnd w:id="313"/>
      <w:bookmarkEnd w:id="31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6"/>
        <w:jc w:val="center"/>
        <w:rPr>
          <w:color w:val="auto"/>
          <w:highlight w:val="none"/>
        </w:rPr>
      </w:pPr>
      <w:bookmarkStart w:id="315" w:name="_Toc14482"/>
      <w:bookmarkStart w:id="316" w:name="_Toc23341"/>
      <w:r>
        <w:rPr>
          <w:rFonts w:hint="eastAsia"/>
          <w:color w:val="auto"/>
          <w:highlight w:val="none"/>
        </w:rPr>
        <w:t>九、承诺书</w:t>
      </w:r>
      <w:bookmarkEnd w:id="315"/>
      <w:bookmarkEnd w:id="316"/>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5"/>
        <w:spacing w:line="420" w:lineRule="exact"/>
        <w:ind w:firstLine="433"/>
        <w:rPr>
          <w:rFonts w:ascii="宋体" w:eastAsia="宋体" w:cs="宋体"/>
          <w:color w:val="auto"/>
          <w:sz w:val="21"/>
          <w:szCs w:val="21"/>
          <w:highlight w:val="none"/>
        </w:rPr>
      </w:pPr>
      <w:bookmarkStart w:id="31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）磋商文件的所有内容（包括澄清，以及所有已提供的参考资料和有关附件），并完全理解上述文件所表达的意思，该项目递交响应文件时间截止后，我方承诺不再对上述文件内容进行询问或质疑。</w:t>
      </w:r>
      <w:bookmarkEnd w:id="317"/>
      <w:r>
        <w:rPr>
          <w:rFonts w:hint="eastAsia" w:ascii="宋体" w:eastAsia="宋体" w:cs="宋体"/>
          <w:color w:val="auto"/>
          <w:sz w:val="21"/>
          <w:szCs w:val="21"/>
          <w:highlight w:val="none"/>
        </w:rPr>
        <w:cr/>
      </w:r>
    </w:p>
    <w:p>
      <w:pPr>
        <w:pStyle w:val="35"/>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6"/>
        <w:jc w:val="center"/>
        <w:rPr>
          <w:color w:val="auto"/>
          <w:highlight w:val="none"/>
        </w:rPr>
      </w:pPr>
      <w:bookmarkStart w:id="318" w:name="_Toc31815"/>
      <w:bookmarkStart w:id="319" w:name="_Toc13653"/>
      <w:r>
        <w:rPr>
          <w:rFonts w:hint="eastAsia"/>
          <w:color w:val="auto"/>
          <w:highlight w:val="none"/>
        </w:rPr>
        <w:t>十、招标代理服务费承诺书</w:t>
      </w:r>
      <w:bookmarkEnd w:id="318"/>
      <w:bookmarkEnd w:id="319"/>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（供应商名称）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供应商名称（加盖公章）：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jc w:val="center"/>
        <w:rPr>
          <w:color w:val="auto"/>
          <w:highlight w:val="none"/>
        </w:rPr>
      </w:pPr>
      <w:bookmarkStart w:id="320" w:name="_Toc21582"/>
      <w:bookmarkStart w:id="321" w:name="_Toc1975"/>
      <w:r>
        <w:rPr>
          <w:rFonts w:hint="eastAsia"/>
          <w:color w:val="auto"/>
          <w:highlight w:val="none"/>
        </w:rPr>
        <w:t>十一、商务条款偏离表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磋商文件要求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1、供应商应对照磋商文件商务要求，在“偏离情况”项中填写“无偏离”、“正偏离”或“负偏离”，逐条说明已对磋商文件的商务内容做出了实质性的响应，并申明与磋商文件的偏差和例外。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2、商务条款包括但不限于合格供应商资格、合同期限、付款方式、报价要求、履约保证金、售后服务、检验及验收等要求。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22" w:name="_Toc32183"/>
    </w:p>
    <w:p>
      <w:pPr>
        <w:pStyle w:val="6"/>
        <w:jc w:val="center"/>
        <w:rPr>
          <w:color w:val="auto"/>
          <w:highlight w:val="none"/>
        </w:rPr>
      </w:pPr>
      <w:bookmarkStart w:id="323" w:name="_Toc25391"/>
      <w:bookmarkStart w:id="324" w:name="_Toc7350"/>
      <w:r>
        <w:rPr>
          <w:rFonts w:hint="eastAsia"/>
          <w:color w:val="auto"/>
          <w:highlight w:val="none"/>
        </w:rPr>
        <w:t>十二、业绩表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6"/>
        <w:jc w:val="center"/>
        <w:rPr>
          <w:rFonts w:ascii="黑体" w:eastAsia="黑体"/>
          <w:color w:val="auto"/>
          <w:szCs w:val="28"/>
          <w:highlight w:val="none"/>
        </w:rPr>
      </w:pPr>
      <w:bookmarkStart w:id="325" w:name="_Toc25650"/>
      <w:bookmarkStart w:id="326" w:name="_Toc14688"/>
      <w:r>
        <w:rPr>
          <w:rFonts w:hint="eastAsia"/>
          <w:color w:val="auto"/>
          <w:highlight w:val="none"/>
        </w:rPr>
        <w:t>第三章技术文件</w:t>
      </w:r>
      <w:bookmarkEnd w:id="322"/>
      <w:bookmarkEnd w:id="325"/>
      <w:bookmarkEnd w:id="326"/>
    </w:p>
    <w:p>
      <w:pPr>
        <w:pStyle w:val="6"/>
        <w:jc w:val="center"/>
        <w:rPr>
          <w:color w:val="auto"/>
          <w:highlight w:val="none"/>
        </w:rPr>
      </w:pPr>
      <w:bookmarkStart w:id="327" w:name="_Toc7092"/>
      <w:bookmarkStart w:id="328" w:name="_Toc13588"/>
      <w:r>
        <w:rPr>
          <w:rFonts w:hint="eastAsia"/>
          <w:color w:val="auto"/>
          <w:highlight w:val="none"/>
        </w:rPr>
        <w:t>一、技术规格偏离表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注：供应商应对照磋商文件技术要求，在“偏离情况”项中填写“无偏离”、“正偏离”或“负偏离”，逐条说明已对磋商文件的技术内容做出了实质性的响应，并申明与磋商文件的偏差和例外。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color w:val="auto"/>
          <w:szCs w:val="21"/>
          <w:highlight w:val="none"/>
        </w:rPr>
        <w:br w:type="page"/>
      </w:r>
      <w:bookmarkEnd w:id="329"/>
      <w:bookmarkStart w:id="330" w:name="_Toc6080"/>
      <w:bookmarkStart w:id="331" w:name="_Toc1274"/>
      <w:bookmarkStart w:id="332" w:name="_Toc26078"/>
      <w:bookmarkStart w:id="333" w:name="_Toc4827"/>
      <w:bookmarkStart w:id="334" w:name="_Toc4464"/>
      <w:bookmarkStart w:id="335" w:name="_Toc18668"/>
    </w:p>
    <w:p>
      <w:pPr>
        <w:pStyle w:val="6"/>
        <w:jc w:val="center"/>
        <w:rPr>
          <w:color w:val="auto"/>
          <w:highlight w:val="none"/>
        </w:rPr>
      </w:pPr>
      <w:bookmarkStart w:id="336" w:name="_Toc10734"/>
      <w:bookmarkStart w:id="337" w:name="_Toc28702"/>
      <w:r>
        <w:rPr>
          <w:rFonts w:hint="eastAsia"/>
          <w:color w:val="auto"/>
          <w:highlight w:val="none"/>
        </w:rPr>
        <w:t>二、重要技术参数（▲）响应表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38" w:name="_Toc2784"/>
            <w:bookmarkStart w:id="339" w:name="_Toc29560"/>
            <w:bookmarkStart w:id="340" w:name="_Toc27079"/>
            <w:bookmarkStart w:id="341" w:name="_Toc29642"/>
            <w:r>
              <w:rPr>
                <w:rFonts w:hint="eastAsia" w:ascii="宋体" w:hAnsi="宋体" w:cs="宋体"/>
                <w:b w:val="0"/>
                <w:bCs w:val="0"/>
                <w:color w:val="auto"/>
                <w:sz w:val="21"/>
                <w:szCs w:val="21"/>
                <w:highlight w:val="none"/>
              </w:rPr>
              <w:t>序号</w:t>
            </w:r>
            <w:bookmarkEnd w:id="338"/>
            <w:bookmarkEnd w:id="339"/>
            <w:bookmarkEnd w:id="340"/>
            <w:bookmarkEnd w:id="341"/>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42" w:name="_Toc12049"/>
            <w:bookmarkStart w:id="343" w:name="_Toc27090"/>
            <w:bookmarkStart w:id="344" w:name="_Toc21739"/>
            <w:bookmarkStart w:id="345" w:name="_Toc1016"/>
            <w:bookmarkStart w:id="346" w:name="_Toc15903"/>
            <w:bookmarkStart w:id="347" w:name="_Toc26124"/>
            <w:bookmarkStart w:id="348" w:name="_Toc4304"/>
            <w:bookmarkStart w:id="349" w:name="_Toc6189"/>
            <w:bookmarkStart w:id="350" w:name="_Toc22448"/>
            <w:bookmarkStart w:id="351" w:name="_Toc2700"/>
            <w:bookmarkStart w:id="352" w:name="_Toc14815"/>
            <w:bookmarkStart w:id="353" w:name="_Toc15368"/>
            <w:bookmarkStart w:id="354" w:name="_Toc16872"/>
            <w:bookmarkStart w:id="355" w:name="_Toc10045"/>
            <w:bookmarkStart w:id="356" w:name="_Toc22879"/>
            <w:bookmarkStart w:id="357" w:name="_Toc32531"/>
            <w:bookmarkStart w:id="358" w:name="_Toc8490"/>
            <w:bookmarkStart w:id="359" w:name="_Toc21809"/>
            <w:bookmarkStart w:id="360" w:name="_Toc22917"/>
            <w:bookmarkStart w:id="361" w:name="_Toc24662"/>
            <w:bookmarkStart w:id="362" w:name="_Toc27442"/>
            <w:bookmarkStart w:id="363" w:name="_Toc19251"/>
            <w:bookmarkStart w:id="364" w:name="_Toc7333"/>
            <w:bookmarkStart w:id="365" w:name="_Toc8312"/>
            <w:r>
              <w:rPr>
                <w:rFonts w:hint="eastAsia" w:ascii="宋体" w:hAnsi="宋体" w:cs="宋体"/>
                <w:b w:val="0"/>
                <w:bCs w:val="0"/>
                <w:color w:val="auto"/>
                <w:sz w:val="21"/>
                <w:szCs w:val="21"/>
                <w:highlight w:val="none"/>
              </w:rPr>
              <w:t>重要技术参数评分条款（▲）</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66" w:name="_Toc2408"/>
            <w:bookmarkStart w:id="367" w:name="_Toc10122"/>
            <w:bookmarkStart w:id="368" w:name="_Toc22153"/>
            <w:bookmarkStart w:id="369" w:name="_Toc21496"/>
            <w:r>
              <w:rPr>
                <w:rFonts w:hint="eastAsia" w:ascii="宋体" w:hAnsi="宋体" w:cs="宋体"/>
                <w:b w:val="0"/>
                <w:bCs w:val="0"/>
                <w:color w:val="auto"/>
                <w:sz w:val="21"/>
                <w:szCs w:val="21"/>
                <w:highlight w:val="none"/>
              </w:rPr>
              <w:t>响应文件响应内容</w:t>
            </w:r>
            <w:bookmarkEnd w:id="366"/>
            <w:bookmarkEnd w:id="367"/>
            <w:bookmarkEnd w:id="368"/>
            <w:bookmarkEnd w:id="369"/>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70" w:name="_Toc16432"/>
            <w:bookmarkStart w:id="371" w:name="_Toc27285"/>
            <w:bookmarkStart w:id="372" w:name="_Toc16003"/>
            <w:bookmarkStart w:id="373" w:name="_Toc29838"/>
            <w:bookmarkStart w:id="374" w:name="_Toc20820"/>
            <w:bookmarkStart w:id="375" w:name="_Toc17642"/>
            <w:bookmarkStart w:id="376" w:name="_Toc3701"/>
            <w:bookmarkStart w:id="377" w:name="_Toc5563"/>
            <w:bookmarkStart w:id="378" w:name="_Toc20139"/>
            <w:bookmarkStart w:id="379" w:name="_Toc17296"/>
            <w:bookmarkStart w:id="380" w:name="_Toc1330"/>
            <w:bookmarkStart w:id="381" w:name="_Toc1912"/>
            <w:bookmarkStart w:id="382" w:name="_Toc5992"/>
            <w:bookmarkStart w:id="383" w:name="_Toc27185"/>
            <w:r>
              <w:rPr>
                <w:rFonts w:hint="eastAsia" w:ascii="宋体" w:hAnsi="宋体" w:cs="宋体"/>
                <w:b w:val="0"/>
                <w:bCs w:val="0"/>
                <w:color w:val="auto"/>
                <w:sz w:val="21"/>
                <w:szCs w:val="21"/>
                <w:highlight w:val="none"/>
              </w:rPr>
              <w:t>说明</w:t>
            </w:r>
            <w:bookmarkEnd w:id="370"/>
            <w:bookmarkEnd w:id="371"/>
            <w:bookmarkEnd w:id="372"/>
            <w:bookmarkEnd w:id="373"/>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84" w:name="_Toc857"/>
            <w:bookmarkStart w:id="385" w:name="_Toc19105"/>
            <w:bookmarkStart w:id="386" w:name="_Toc31920"/>
            <w:bookmarkStart w:id="387" w:name="_Toc3520"/>
            <w:r>
              <w:rPr>
                <w:rFonts w:hint="eastAsia" w:ascii="宋体" w:hAnsi="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w:t>
      </w:r>
    </w:p>
    <w:p>
      <w:pPr>
        <w:pStyle w:val="32"/>
        <w:rPr>
          <w:rFonts w:ascii="宋体" w:hAnsi="宋体"/>
          <w:color w:val="auto"/>
          <w:szCs w:val="21"/>
          <w:highlight w:val="none"/>
        </w:rPr>
      </w:pPr>
      <w:r>
        <w:rPr>
          <w:rFonts w:hint="eastAsia" w:ascii="宋体" w:hAnsi="宋体"/>
          <w:color w:val="auto"/>
          <w:szCs w:val="21"/>
          <w:highlight w:val="none"/>
        </w:rPr>
        <w:t>1、供应商应逐条对照磋商文件重要评分条款，如实地说明响应情况。</w:t>
      </w:r>
    </w:p>
    <w:p>
      <w:pPr>
        <w:pStyle w:val="3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highlight w:val="none"/>
        </w:rPr>
      </w:pPr>
      <w:r>
        <w:rPr>
          <w:rFonts w:hint="eastAsia" w:ascii="宋体" w:hAnsi="宋体"/>
          <w:b/>
          <w:bCs/>
          <w:color w:val="auto"/>
          <w:szCs w:val="21"/>
          <w:highlight w:val="none"/>
        </w:rPr>
        <w:t>3、若磋商文件未设定重要技术参数（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2"/>
        <w:rPr>
          <w:rFonts w:ascii="宋体" w:hAnsi="宋体"/>
          <w:color w:val="auto"/>
          <w:szCs w:val="21"/>
          <w:highlight w:val="none"/>
        </w:rPr>
      </w:pPr>
    </w:p>
    <w:p>
      <w:pPr>
        <w:pStyle w:val="32"/>
        <w:numPr>
          <w:ilvl w:val="0"/>
          <w:numId w:val="22"/>
        </w:numPr>
        <w:rPr>
          <w:rFonts w:ascii="黑体" w:eastAsia="黑体"/>
          <w:color w:val="auto"/>
          <w:sz w:val="32"/>
          <w:szCs w:val="32"/>
          <w:highlight w:val="none"/>
        </w:rPr>
      </w:pPr>
      <w:r>
        <w:rPr>
          <w:rFonts w:hint="eastAsia" w:ascii="宋体" w:hAnsi="宋体"/>
          <w:color w:val="auto"/>
          <w:szCs w:val="21"/>
          <w:highlight w:val="none"/>
        </w:rPr>
        <w:br w:type="page"/>
      </w:r>
    </w:p>
    <w:p>
      <w:pPr>
        <w:pStyle w:val="6"/>
        <w:jc w:val="center"/>
        <w:rPr>
          <w:color w:val="auto"/>
          <w:highlight w:val="none"/>
        </w:rPr>
      </w:pPr>
      <w:bookmarkStart w:id="388" w:name="_Toc25570"/>
      <w:bookmarkStart w:id="389" w:name="_Toc19349"/>
      <w:r>
        <w:rPr>
          <w:rFonts w:hint="eastAsia"/>
          <w:color w:val="auto"/>
          <w:highlight w:val="none"/>
        </w:rPr>
        <w:t>三、实质性条款（标记★）响应表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磋商文件实质性条款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1、供应商应逐条对照磋商文件实质性条款，如实地说明响应情况。不满足的按无效响应文件处理。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2、若该实质性条款规定提交相关证明材料的，供应商应当提供，并附于本格式后。未按要求提供或提供不符合要求的证明材料，视为不满足，按无效响应文件处理。</w:t>
      </w:r>
    </w:p>
    <w:p>
      <w:pPr>
        <w:ind w:firstLine="420" w:firstLineChars="200"/>
        <w:rPr>
          <w:color w:val="auto"/>
          <w:highlight w:val="none"/>
        </w:rPr>
      </w:pPr>
      <w:r>
        <w:rPr>
          <w:rFonts w:hint="eastAsia"/>
          <w:color w:val="auto"/>
          <w:highlight w:val="none"/>
        </w:rPr>
        <w:t>3、若磋商文件未设定实质性条款的，可删除本格式。</w:t>
      </w:r>
    </w:p>
    <w:p>
      <w:pPr>
        <w:pStyle w:val="6"/>
        <w:jc w:val="center"/>
        <w:rPr>
          <w:color w:val="auto"/>
          <w:highlight w:val="none"/>
        </w:rPr>
      </w:pPr>
      <w:bookmarkStart w:id="390" w:name="_Toc14250"/>
      <w:r>
        <w:rPr>
          <w:rFonts w:hint="eastAsia"/>
          <w:color w:val="auto"/>
          <w:highlight w:val="none"/>
        </w:rPr>
        <w:t>四、项目技术方案</w:t>
      </w:r>
      <w:bookmarkEnd w:id="389"/>
      <w:bookmarkEnd w:id="390"/>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jc w:val="center"/>
        <w:rPr>
          <w:color w:val="auto"/>
          <w:highlight w:val="none"/>
        </w:rPr>
      </w:pPr>
      <w:bookmarkStart w:id="391" w:name="_Toc16875"/>
      <w:bookmarkStart w:id="392" w:name="_Toc16328"/>
      <w:r>
        <w:rPr>
          <w:rFonts w:hint="eastAsia"/>
          <w:color w:val="auto"/>
          <w:highlight w:val="none"/>
        </w:rPr>
        <w:t>五、项目负责人及团队成员资料表</w:t>
      </w:r>
      <w:bookmarkEnd w:id="391"/>
      <w:bookmarkEnd w:id="392"/>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93" w:name="_Toc15431"/>
      <w:bookmarkStart w:id="394" w:name="_Toc27978"/>
      <w:r>
        <w:rPr>
          <w:rFonts w:hint="eastAsia"/>
          <w:color w:val="auto"/>
          <w:highlight w:val="none"/>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供应商代表签字：</w:t>
      </w:r>
    </w:p>
    <w:p>
      <w:pPr>
        <w:rPr>
          <w:rFonts w:ascii="宋体" w:hAnsi="宋体"/>
          <w:color w:val="auto"/>
          <w:szCs w:val="21"/>
          <w:highlight w:val="none"/>
        </w:rPr>
      </w:pPr>
      <w:r>
        <w:rPr>
          <w:rFonts w:hint="eastAsia" w:ascii="宋体" w:hAnsi="宋体" w:cs="Times New Roman"/>
          <w:color w:val="auto"/>
          <w:szCs w:val="21"/>
          <w:highlight w:val="none"/>
        </w:rPr>
        <w:t>供应商盖章：</w:t>
      </w:r>
      <w:r>
        <w:rPr>
          <w:rFonts w:hint="eastAsia" w:ascii="宋体" w:hAnsi="宋体"/>
          <w:color w:val="auto"/>
          <w:szCs w:val="21"/>
          <w:highlight w:val="none"/>
        </w:rPr>
        <w:br w:type="page"/>
      </w:r>
    </w:p>
    <w:p>
      <w:pPr>
        <w:pStyle w:val="6"/>
        <w:jc w:val="center"/>
        <w:rPr>
          <w:color w:val="auto"/>
          <w:highlight w:val="none"/>
        </w:rPr>
      </w:pPr>
      <w:bookmarkStart w:id="395" w:name="_Toc31841"/>
      <w:r>
        <w:rPr>
          <w:rFonts w:hint="eastAsia"/>
          <w:color w:val="auto"/>
          <w:highlight w:val="none"/>
        </w:rPr>
        <w:t>七、政府采购履约担保函</w:t>
      </w:r>
      <w:bookmarkEnd w:id="395"/>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1．将中标项目转让给他人，或者在响应文件中未说明，且未经采购招标机构人同意，将中标项目分包给他人的；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（1）此格式为履约担保函格式，无需在响应文件中提供此格式。</w:t>
      </w:r>
    </w:p>
    <w:p>
      <w:pPr>
        <w:pStyle w:val="2"/>
        <w:rPr>
          <w:color w:val="auto"/>
          <w:highlight w:val="none"/>
        </w:rPr>
      </w:pPr>
    </w:p>
    <w:p>
      <w:pPr>
        <w:rPr>
          <w:color w:val="auto"/>
          <w:highlight w:val="none"/>
        </w:rPr>
      </w:pPr>
      <w:r>
        <w:rPr>
          <w:color w:val="auto"/>
          <w:highlight w:val="none"/>
        </w:rPr>
        <w:br w:type="page"/>
      </w:r>
    </w:p>
    <w:p>
      <w:pPr>
        <w:pStyle w:val="6"/>
        <w:jc w:val="center"/>
        <w:rPr>
          <w:color w:val="auto"/>
          <w:highlight w:val="none"/>
        </w:rPr>
      </w:pPr>
      <w:bookmarkStart w:id="396" w:name="_Toc17348"/>
      <w:bookmarkStart w:id="397" w:name="_Toc26782"/>
      <w:r>
        <w:rPr>
          <w:rFonts w:hint="eastAsia"/>
          <w:color w:val="auto"/>
          <w:highlight w:val="none"/>
        </w:rPr>
        <w:t>第四章报价信封（单独封装）</w:t>
      </w:r>
      <w:bookmarkEnd w:id="396"/>
      <w:bookmarkEnd w:id="397"/>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98"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399" w:name="_Toc13881"/>
      <w:bookmarkStart w:id="400" w:name="_Toc22736"/>
      <w:r>
        <w:rPr>
          <w:rFonts w:hint="eastAsia"/>
          <w:color w:val="auto"/>
          <w:highlight w:val="none"/>
        </w:rPr>
        <w:t>第五章联合体共同报价协议书（如有需要）</w:t>
      </w:r>
      <w:bookmarkEnd w:id="399"/>
      <w:bookmarkEnd w:id="400"/>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以一个报价供应商的身份共同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的报价响应。经协商一致，就本</w:t>
      </w:r>
      <w:r>
        <w:rPr>
          <w:rFonts w:hint="eastAsia" w:ascii="宋体" w:hAnsi="宋体" w:cs="宋体"/>
          <w:color w:val="auto"/>
          <w:kern w:val="10"/>
          <w:szCs w:val="21"/>
          <w:highlight w:val="none"/>
        </w:rPr>
        <w:t>项目的报价响应和合同实施阶段的有关事务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2.联合体报价工作由联合体共同负责，由联合体各方组成的响应小组具体实施。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8"/>
    <w:p>
      <w:pPr>
        <w:jc w:val="both"/>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tblLayout w:type="fixed"/>
        <w:tblCellMar>
          <w:top w:w="0" w:type="dxa"/>
          <w:left w:w="108" w:type="dxa"/>
          <w:bottom w:w="0" w:type="dxa"/>
          <w:right w:w="108" w:type="dxa"/>
        </w:tblCellMar>
      </w:tblPr>
      <w:tblGrid>
        <w:gridCol w:w="2768"/>
        <w:gridCol w:w="2355"/>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vertAlign w:val="subscript"/>
              </w:rPr>
              <w:t xml:space="preserve"> </w:t>
            </w: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u w:val="single"/>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bl>
    <w:p>
      <w:pPr>
        <w:pStyle w:val="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8"/>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28"/>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10EF5"/>
    <w:rsid w:val="00320CEA"/>
    <w:rsid w:val="00323B43"/>
    <w:rsid w:val="00326831"/>
    <w:rsid w:val="003274CE"/>
    <w:rsid w:val="003430F6"/>
    <w:rsid w:val="0037767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223AE"/>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6EC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964E2"/>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5AC"/>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5A6318"/>
    <w:rsid w:val="018023CE"/>
    <w:rsid w:val="01881AD6"/>
    <w:rsid w:val="01B40242"/>
    <w:rsid w:val="01B938AA"/>
    <w:rsid w:val="01E74B6E"/>
    <w:rsid w:val="02126CDB"/>
    <w:rsid w:val="021832B7"/>
    <w:rsid w:val="021B6F64"/>
    <w:rsid w:val="024E2E49"/>
    <w:rsid w:val="02A741FD"/>
    <w:rsid w:val="02B56B0A"/>
    <w:rsid w:val="02C16E5D"/>
    <w:rsid w:val="02D964CF"/>
    <w:rsid w:val="02DC3F04"/>
    <w:rsid w:val="0340787C"/>
    <w:rsid w:val="03707410"/>
    <w:rsid w:val="037F03E3"/>
    <w:rsid w:val="03A0770F"/>
    <w:rsid w:val="03A27BF9"/>
    <w:rsid w:val="03A448B8"/>
    <w:rsid w:val="03A4578A"/>
    <w:rsid w:val="03AD071E"/>
    <w:rsid w:val="03D10969"/>
    <w:rsid w:val="044C08CC"/>
    <w:rsid w:val="0475493D"/>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8CE10B0"/>
    <w:rsid w:val="08F44B12"/>
    <w:rsid w:val="09061A75"/>
    <w:rsid w:val="09087948"/>
    <w:rsid w:val="09182241"/>
    <w:rsid w:val="09242E62"/>
    <w:rsid w:val="09376A22"/>
    <w:rsid w:val="093C069F"/>
    <w:rsid w:val="09417888"/>
    <w:rsid w:val="095909FF"/>
    <w:rsid w:val="09855177"/>
    <w:rsid w:val="09870F93"/>
    <w:rsid w:val="09D658E4"/>
    <w:rsid w:val="09F1637C"/>
    <w:rsid w:val="0A25628F"/>
    <w:rsid w:val="0A290B50"/>
    <w:rsid w:val="0A5D1459"/>
    <w:rsid w:val="0AA534D5"/>
    <w:rsid w:val="0AA650EB"/>
    <w:rsid w:val="0AB8066A"/>
    <w:rsid w:val="0AF47339"/>
    <w:rsid w:val="0B22594B"/>
    <w:rsid w:val="0B6709D0"/>
    <w:rsid w:val="0B797387"/>
    <w:rsid w:val="0B9A670B"/>
    <w:rsid w:val="0BC044BE"/>
    <w:rsid w:val="0BDF26F7"/>
    <w:rsid w:val="0C264099"/>
    <w:rsid w:val="0C2B4952"/>
    <w:rsid w:val="0C5B112B"/>
    <w:rsid w:val="0C7B2220"/>
    <w:rsid w:val="0D527BA9"/>
    <w:rsid w:val="0D890E47"/>
    <w:rsid w:val="0DC64A00"/>
    <w:rsid w:val="0DFC60BA"/>
    <w:rsid w:val="0DFF4FAE"/>
    <w:rsid w:val="0E236A8E"/>
    <w:rsid w:val="0E4249F1"/>
    <w:rsid w:val="0EC87A33"/>
    <w:rsid w:val="0F6C5A53"/>
    <w:rsid w:val="0F7C5FF6"/>
    <w:rsid w:val="0FC63FBD"/>
    <w:rsid w:val="106C564D"/>
    <w:rsid w:val="107B7B8F"/>
    <w:rsid w:val="107C67CE"/>
    <w:rsid w:val="108F06C9"/>
    <w:rsid w:val="109D68CB"/>
    <w:rsid w:val="10A949B8"/>
    <w:rsid w:val="10C54639"/>
    <w:rsid w:val="10DC50D7"/>
    <w:rsid w:val="11200D07"/>
    <w:rsid w:val="11625FCC"/>
    <w:rsid w:val="11DA73AF"/>
    <w:rsid w:val="12C60D80"/>
    <w:rsid w:val="12E71C6B"/>
    <w:rsid w:val="131F7A3A"/>
    <w:rsid w:val="132645D0"/>
    <w:rsid w:val="13455ABC"/>
    <w:rsid w:val="1370322B"/>
    <w:rsid w:val="13B27845"/>
    <w:rsid w:val="13BE469F"/>
    <w:rsid w:val="13DA7D2E"/>
    <w:rsid w:val="13F87121"/>
    <w:rsid w:val="141A03E1"/>
    <w:rsid w:val="142712D7"/>
    <w:rsid w:val="143B2E0B"/>
    <w:rsid w:val="14672B11"/>
    <w:rsid w:val="14861CDF"/>
    <w:rsid w:val="14892735"/>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141A67"/>
    <w:rsid w:val="17680CAB"/>
    <w:rsid w:val="176E4128"/>
    <w:rsid w:val="1783371F"/>
    <w:rsid w:val="17B364CE"/>
    <w:rsid w:val="17E62B67"/>
    <w:rsid w:val="180C0192"/>
    <w:rsid w:val="180F4499"/>
    <w:rsid w:val="18213E65"/>
    <w:rsid w:val="18221ECE"/>
    <w:rsid w:val="190B7894"/>
    <w:rsid w:val="19135859"/>
    <w:rsid w:val="196F5988"/>
    <w:rsid w:val="19A2789F"/>
    <w:rsid w:val="1A2F4323"/>
    <w:rsid w:val="1A3109F9"/>
    <w:rsid w:val="1A460CF5"/>
    <w:rsid w:val="1A7F297D"/>
    <w:rsid w:val="1AB16AC1"/>
    <w:rsid w:val="1B034A52"/>
    <w:rsid w:val="1B1F34AD"/>
    <w:rsid w:val="1B8D5DC6"/>
    <w:rsid w:val="1BA7712F"/>
    <w:rsid w:val="1BFE1D3B"/>
    <w:rsid w:val="1C2775EC"/>
    <w:rsid w:val="1C6366A4"/>
    <w:rsid w:val="1C750ECE"/>
    <w:rsid w:val="1CA22168"/>
    <w:rsid w:val="1D0836D7"/>
    <w:rsid w:val="1D196139"/>
    <w:rsid w:val="1D3A2A58"/>
    <w:rsid w:val="1D745B02"/>
    <w:rsid w:val="1D8F3BFE"/>
    <w:rsid w:val="1DB85900"/>
    <w:rsid w:val="1DF051AF"/>
    <w:rsid w:val="1E010AF7"/>
    <w:rsid w:val="1E0178EB"/>
    <w:rsid w:val="1E301173"/>
    <w:rsid w:val="1E38333E"/>
    <w:rsid w:val="1E5C7612"/>
    <w:rsid w:val="1EA40BB4"/>
    <w:rsid w:val="1F0A239C"/>
    <w:rsid w:val="1F43381C"/>
    <w:rsid w:val="1F84495C"/>
    <w:rsid w:val="1FA4148D"/>
    <w:rsid w:val="1FA86F5D"/>
    <w:rsid w:val="200E7BD0"/>
    <w:rsid w:val="20121621"/>
    <w:rsid w:val="201A421D"/>
    <w:rsid w:val="20341172"/>
    <w:rsid w:val="204E554F"/>
    <w:rsid w:val="20590035"/>
    <w:rsid w:val="20C35213"/>
    <w:rsid w:val="20FC799E"/>
    <w:rsid w:val="22154DDD"/>
    <w:rsid w:val="22213E42"/>
    <w:rsid w:val="22336873"/>
    <w:rsid w:val="22CB610F"/>
    <w:rsid w:val="23175889"/>
    <w:rsid w:val="2373706C"/>
    <w:rsid w:val="238C2182"/>
    <w:rsid w:val="239015D1"/>
    <w:rsid w:val="23BB4E7D"/>
    <w:rsid w:val="23C172D6"/>
    <w:rsid w:val="23F04F64"/>
    <w:rsid w:val="24814CBE"/>
    <w:rsid w:val="24AC168B"/>
    <w:rsid w:val="258C3BEC"/>
    <w:rsid w:val="25A92CDD"/>
    <w:rsid w:val="25D7415A"/>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6468E7"/>
    <w:rsid w:val="2A803BCC"/>
    <w:rsid w:val="2A8D4F8F"/>
    <w:rsid w:val="2A911082"/>
    <w:rsid w:val="2A917B34"/>
    <w:rsid w:val="2AA57485"/>
    <w:rsid w:val="2ACA6816"/>
    <w:rsid w:val="2AE3766F"/>
    <w:rsid w:val="2B7E4054"/>
    <w:rsid w:val="2B9B40AD"/>
    <w:rsid w:val="2BF22742"/>
    <w:rsid w:val="2BFE62A1"/>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5A05DC"/>
    <w:rsid w:val="31884E67"/>
    <w:rsid w:val="31A0275E"/>
    <w:rsid w:val="31B7357A"/>
    <w:rsid w:val="31C57D2E"/>
    <w:rsid w:val="31E14405"/>
    <w:rsid w:val="31ED6B08"/>
    <w:rsid w:val="31F915C9"/>
    <w:rsid w:val="322650EA"/>
    <w:rsid w:val="32610CE6"/>
    <w:rsid w:val="328464CE"/>
    <w:rsid w:val="32AB70C5"/>
    <w:rsid w:val="32DC33E0"/>
    <w:rsid w:val="3307027A"/>
    <w:rsid w:val="335D0AF5"/>
    <w:rsid w:val="33614D0F"/>
    <w:rsid w:val="3370088C"/>
    <w:rsid w:val="33A3154A"/>
    <w:rsid w:val="33DC2F78"/>
    <w:rsid w:val="3428227C"/>
    <w:rsid w:val="343B1793"/>
    <w:rsid w:val="34672D35"/>
    <w:rsid w:val="35260F83"/>
    <w:rsid w:val="35602226"/>
    <w:rsid w:val="356B72E7"/>
    <w:rsid w:val="3572424F"/>
    <w:rsid w:val="35FC3844"/>
    <w:rsid w:val="36213401"/>
    <w:rsid w:val="36794DEF"/>
    <w:rsid w:val="36AD519D"/>
    <w:rsid w:val="36B57705"/>
    <w:rsid w:val="37302382"/>
    <w:rsid w:val="37406AD8"/>
    <w:rsid w:val="374F1A0B"/>
    <w:rsid w:val="37A103ED"/>
    <w:rsid w:val="37EA5E6E"/>
    <w:rsid w:val="37FF016F"/>
    <w:rsid w:val="38427C0B"/>
    <w:rsid w:val="387C5ABE"/>
    <w:rsid w:val="389B3A1E"/>
    <w:rsid w:val="38EB6119"/>
    <w:rsid w:val="399E320F"/>
    <w:rsid w:val="39DE33DA"/>
    <w:rsid w:val="39FA5B4A"/>
    <w:rsid w:val="39FE0BE9"/>
    <w:rsid w:val="3A03179B"/>
    <w:rsid w:val="3A152386"/>
    <w:rsid w:val="3A3C1AAF"/>
    <w:rsid w:val="3A4B7CC1"/>
    <w:rsid w:val="3A51228C"/>
    <w:rsid w:val="3A552E60"/>
    <w:rsid w:val="3A5D642F"/>
    <w:rsid w:val="3AB210FC"/>
    <w:rsid w:val="3ACE216B"/>
    <w:rsid w:val="3AD95C13"/>
    <w:rsid w:val="3B261E51"/>
    <w:rsid w:val="3B647E81"/>
    <w:rsid w:val="3B8D031E"/>
    <w:rsid w:val="3B973F88"/>
    <w:rsid w:val="3BC95762"/>
    <w:rsid w:val="3BCD72F7"/>
    <w:rsid w:val="3C414142"/>
    <w:rsid w:val="3C706881"/>
    <w:rsid w:val="3C9121FF"/>
    <w:rsid w:val="3CE114D9"/>
    <w:rsid w:val="3CF737A2"/>
    <w:rsid w:val="3CF7509A"/>
    <w:rsid w:val="3D10295A"/>
    <w:rsid w:val="3E0572FD"/>
    <w:rsid w:val="3E1A5292"/>
    <w:rsid w:val="3E5A7FE7"/>
    <w:rsid w:val="3E5C1C9B"/>
    <w:rsid w:val="3EC8179E"/>
    <w:rsid w:val="3EEA70F2"/>
    <w:rsid w:val="3EF66B2E"/>
    <w:rsid w:val="3F217914"/>
    <w:rsid w:val="3FD70BB0"/>
    <w:rsid w:val="3FFB55AC"/>
    <w:rsid w:val="401C5F9D"/>
    <w:rsid w:val="401C690C"/>
    <w:rsid w:val="401D7195"/>
    <w:rsid w:val="402B7BB0"/>
    <w:rsid w:val="406C71E8"/>
    <w:rsid w:val="40A51286"/>
    <w:rsid w:val="40CE3DC0"/>
    <w:rsid w:val="40D7455A"/>
    <w:rsid w:val="40E743E5"/>
    <w:rsid w:val="4110038E"/>
    <w:rsid w:val="413015F5"/>
    <w:rsid w:val="41635215"/>
    <w:rsid w:val="41734CBA"/>
    <w:rsid w:val="41DD7057"/>
    <w:rsid w:val="420F7A65"/>
    <w:rsid w:val="4216611A"/>
    <w:rsid w:val="423E300F"/>
    <w:rsid w:val="425656C8"/>
    <w:rsid w:val="4257273C"/>
    <w:rsid w:val="425D7213"/>
    <w:rsid w:val="42677B61"/>
    <w:rsid w:val="42756DB0"/>
    <w:rsid w:val="42B21AD2"/>
    <w:rsid w:val="42C125C2"/>
    <w:rsid w:val="42DA7D24"/>
    <w:rsid w:val="42FD694D"/>
    <w:rsid w:val="434A6D8F"/>
    <w:rsid w:val="4397723B"/>
    <w:rsid w:val="43D522BF"/>
    <w:rsid w:val="43FA5777"/>
    <w:rsid w:val="44044D92"/>
    <w:rsid w:val="44047860"/>
    <w:rsid w:val="441C1611"/>
    <w:rsid w:val="44212CEC"/>
    <w:rsid w:val="443C440B"/>
    <w:rsid w:val="443F7DBF"/>
    <w:rsid w:val="44514F52"/>
    <w:rsid w:val="446D66E7"/>
    <w:rsid w:val="448965CB"/>
    <w:rsid w:val="44C5497E"/>
    <w:rsid w:val="44FA2D53"/>
    <w:rsid w:val="4571374F"/>
    <w:rsid w:val="458B1BB0"/>
    <w:rsid w:val="45A67760"/>
    <w:rsid w:val="4611075B"/>
    <w:rsid w:val="46214818"/>
    <w:rsid w:val="46621326"/>
    <w:rsid w:val="467A0297"/>
    <w:rsid w:val="468B7125"/>
    <w:rsid w:val="46C4691F"/>
    <w:rsid w:val="47841568"/>
    <w:rsid w:val="479D1D34"/>
    <w:rsid w:val="47B609C0"/>
    <w:rsid w:val="47CF543E"/>
    <w:rsid w:val="48001109"/>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8937A0"/>
    <w:rsid w:val="4FAC3540"/>
    <w:rsid w:val="4FBB12F4"/>
    <w:rsid w:val="4FCF1583"/>
    <w:rsid w:val="4FFA7625"/>
    <w:rsid w:val="501B0BF9"/>
    <w:rsid w:val="507D2599"/>
    <w:rsid w:val="508D162B"/>
    <w:rsid w:val="50904151"/>
    <w:rsid w:val="5096229D"/>
    <w:rsid w:val="50B44FCE"/>
    <w:rsid w:val="50C57353"/>
    <w:rsid w:val="50DC4184"/>
    <w:rsid w:val="51475B39"/>
    <w:rsid w:val="514C3EA7"/>
    <w:rsid w:val="519849E5"/>
    <w:rsid w:val="51B36892"/>
    <w:rsid w:val="51E44D3C"/>
    <w:rsid w:val="51F1460D"/>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97484E"/>
    <w:rsid w:val="55A44ACC"/>
    <w:rsid w:val="55D9752F"/>
    <w:rsid w:val="55FA2961"/>
    <w:rsid w:val="565E7F4F"/>
    <w:rsid w:val="56775789"/>
    <w:rsid w:val="56857D06"/>
    <w:rsid w:val="56914056"/>
    <w:rsid w:val="569F0E63"/>
    <w:rsid w:val="56A05DC4"/>
    <w:rsid w:val="56DB613D"/>
    <w:rsid w:val="573810DA"/>
    <w:rsid w:val="57FC2169"/>
    <w:rsid w:val="58096275"/>
    <w:rsid w:val="580E4560"/>
    <w:rsid w:val="581C04F1"/>
    <w:rsid w:val="582E6EF7"/>
    <w:rsid w:val="58434392"/>
    <w:rsid w:val="584E30E6"/>
    <w:rsid w:val="58730085"/>
    <w:rsid w:val="587627C6"/>
    <w:rsid w:val="59014D02"/>
    <w:rsid w:val="592E16F6"/>
    <w:rsid w:val="597B384D"/>
    <w:rsid w:val="59996DA8"/>
    <w:rsid w:val="59AC3CE9"/>
    <w:rsid w:val="59AE0618"/>
    <w:rsid w:val="59C30F1B"/>
    <w:rsid w:val="5A0D5854"/>
    <w:rsid w:val="5A20156F"/>
    <w:rsid w:val="5A2A32CF"/>
    <w:rsid w:val="5A2F40E0"/>
    <w:rsid w:val="5A7F69E8"/>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6B0B65"/>
    <w:rsid w:val="5F7A2C30"/>
    <w:rsid w:val="5FBE370A"/>
    <w:rsid w:val="5FD62906"/>
    <w:rsid w:val="60292845"/>
    <w:rsid w:val="60403E3A"/>
    <w:rsid w:val="60603AB3"/>
    <w:rsid w:val="61027308"/>
    <w:rsid w:val="612E1A5D"/>
    <w:rsid w:val="614F559F"/>
    <w:rsid w:val="616A73F6"/>
    <w:rsid w:val="61816046"/>
    <w:rsid w:val="61EB2991"/>
    <w:rsid w:val="62182687"/>
    <w:rsid w:val="62391564"/>
    <w:rsid w:val="62683FE2"/>
    <w:rsid w:val="62816669"/>
    <w:rsid w:val="62BA0953"/>
    <w:rsid w:val="62D03A7C"/>
    <w:rsid w:val="62F16BCB"/>
    <w:rsid w:val="62F648FE"/>
    <w:rsid w:val="63341DB1"/>
    <w:rsid w:val="63447612"/>
    <w:rsid w:val="63907004"/>
    <w:rsid w:val="639A73C1"/>
    <w:rsid w:val="63A10995"/>
    <w:rsid w:val="63A573AB"/>
    <w:rsid w:val="63B73E59"/>
    <w:rsid w:val="63C23EFA"/>
    <w:rsid w:val="63C41DAE"/>
    <w:rsid w:val="63E52E10"/>
    <w:rsid w:val="64210135"/>
    <w:rsid w:val="643A070A"/>
    <w:rsid w:val="64412651"/>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CE4D82"/>
    <w:rsid w:val="69EE3535"/>
    <w:rsid w:val="69F954C1"/>
    <w:rsid w:val="6A2031B6"/>
    <w:rsid w:val="6A440C53"/>
    <w:rsid w:val="6A6B71AD"/>
    <w:rsid w:val="6A882AD0"/>
    <w:rsid w:val="6AC61F6F"/>
    <w:rsid w:val="6ADE74F0"/>
    <w:rsid w:val="6B1002C0"/>
    <w:rsid w:val="6B1F5CFA"/>
    <w:rsid w:val="6B577FA5"/>
    <w:rsid w:val="6B723594"/>
    <w:rsid w:val="6B805156"/>
    <w:rsid w:val="6B9A1267"/>
    <w:rsid w:val="6BD50977"/>
    <w:rsid w:val="6BEA0C87"/>
    <w:rsid w:val="6BEA2A9B"/>
    <w:rsid w:val="6C922387"/>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2F3458"/>
    <w:rsid w:val="706516C3"/>
    <w:rsid w:val="70864A71"/>
    <w:rsid w:val="70896E68"/>
    <w:rsid w:val="709919CB"/>
    <w:rsid w:val="70FE3F45"/>
    <w:rsid w:val="714556B4"/>
    <w:rsid w:val="715B60E9"/>
    <w:rsid w:val="71E96309"/>
    <w:rsid w:val="71EA1FED"/>
    <w:rsid w:val="72107E2C"/>
    <w:rsid w:val="721B4BCD"/>
    <w:rsid w:val="72284A0C"/>
    <w:rsid w:val="72634059"/>
    <w:rsid w:val="72854629"/>
    <w:rsid w:val="72C16204"/>
    <w:rsid w:val="72D57F9A"/>
    <w:rsid w:val="730313F6"/>
    <w:rsid w:val="731E1007"/>
    <w:rsid w:val="73370D24"/>
    <w:rsid w:val="73570D3C"/>
    <w:rsid w:val="7359268C"/>
    <w:rsid w:val="739503EB"/>
    <w:rsid w:val="73A05B28"/>
    <w:rsid w:val="73C07D69"/>
    <w:rsid w:val="73E352ED"/>
    <w:rsid w:val="749E2255"/>
    <w:rsid w:val="74B42AE4"/>
    <w:rsid w:val="74E042F3"/>
    <w:rsid w:val="750A429D"/>
    <w:rsid w:val="75167F59"/>
    <w:rsid w:val="755D38A7"/>
    <w:rsid w:val="755F5A0F"/>
    <w:rsid w:val="75614792"/>
    <w:rsid w:val="75784473"/>
    <w:rsid w:val="757E044C"/>
    <w:rsid w:val="75977BC3"/>
    <w:rsid w:val="75B161B3"/>
    <w:rsid w:val="75E470E3"/>
    <w:rsid w:val="763C3C87"/>
    <w:rsid w:val="76736B32"/>
    <w:rsid w:val="76E3765E"/>
    <w:rsid w:val="76F016FB"/>
    <w:rsid w:val="76FC2AFA"/>
    <w:rsid w:val="77310AF7"/>
    <w:rsid w:val="773F0836"/>
    <w:rsid w:val="77653671"/>
    <w:rsid w:val="778546CC"/>
    <w:rsid w:val="77B56730"/>
    <w:rsid w:val="77C04A8B"/>
    <w:rsid w:val="77D85DB3"/>
    <w:rsid w:val="780252A0"/>
    <w:rsid w:val="78027772"/>
    <w:rsid w:val="786C5734"/>
    <w:rsid w:val="78A50513"/>
    <w:rsid w:val="78EE1700"/>
    <w:rsid w:val="793B7339"/>
    <w:rsid w:val="795833A1"/>
    <w:rsid w:val="796518DD"/>
    <w:rsid w:val="796C2EB5"/>
    <w:rsid w:val="796E0C55"/>
    <w:rsid w:val="797C5614"/>
    <w:rsid w:val="799C79A6"/>
    <w:rsid w:val="79AA0532"/>
    <w:rsid w:val="79F70999"/>
    <w:rsid w:val="79FE1DDD"/>
    <w:rsid w:val="7A075767"/>
    <w:rsid w:val="7A212062"/>
    <w:rsid w:val="7A282A11"/>
    <w:rsid w:val="7A9E3ACF"/>
    <w:rsid w:val="7AB90FF6"/>
    <w:rsid w:val="7AC21562"/>
    <w:rsid w:val="7AC655EE"/>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CE56503"/>
    <w:rsid w:val="7D2E5ABF"/>
    <w:rsid w:val="7DCA1E7A"/>
    <w:rsid w:val="7E2142A2"/>
    <w:rsid w:val="7E4F5384"/>
    <w:rsid w:val="7E5A6DFA"/>
    <w:rsid w:val="7E613B0F"/>
    <w:rsid w:val="7E7B0BF2"/>
    <w:rsid w:val="7E7C7A78"/>
    <w:rsid w:val="7E8D75B6"/>
    <w:rsid w:val="7EA34F14"/>
    <w:rsid w:val="7EB2417D"/>
    <w:rsid w:val="7ED406E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1"/>
    <w:unhideWhenUsed/>
    <w:qFormat/>
    <w:uiPriority w:val="9"/>
    <w:pPr>
      <w:keepNext/>
      <w:keepLines/>
      <w:outlineLvl w:val="2"/>
    </w:pPr>
    <w:rPr>
      <w:b/>
      <w:bCs/>
      <w:sz w:val="28"/>
      <w:szCs w:val="32"/>
    </w:rPr>
  </w:style>
  <w:style w:type="paragraph" w:styleId="7">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49"/>
    <w:qFormat/>
    <w:uiPriority w:val="0"/>
    <w:pPr>
      <w:widowControl w:val="0"/>
      <w:adjustRightInd/>
      <w:snapToGrid/>
      <w:jc w:val="both"/>
    </w:pPr>
    <w:rPr>
      <w:rFonts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5"/>
    <w:qFormat/>
    <w:uiPriority w:val="9"/>
    <w:rPr>
      <w:rFonts w:asciiTheme="majorHAnsi" w:hAnsiTheme="majorHAnsi" w:eastAsiaTheme="majorEastAsia" w:cstheme="majorBidi"/>
      <w:b/>
      <w:bCs/>
      <w:sz w:val="32"/>
      <w:szCs w:val="32"/>
    </w:rPr>
  </w:style>
  <w:style w:type="character" w:customStyle="1" w:styleId="31">
    <w:name w:val="标题 3 Char"/>
    <w:basedOn w:val="24"/>
    <w:link w:val="6"/>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7"/>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6"/>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F3ADA-425B-4234-9FE1-20D19420B6D5}">
  <ds:schemaRefs/>
</ds:datastoreItem>
</file>

<file path=docProps/app.xml><?xml version="1.0" encoding="utf-8"?>
<Properties xmlns="http://schemas.openxmlformats.org/officeDocument/2006/extended-properties" xmlns:vt="http://schemas.openxmlformats.org/officeDocument/2006/docPropsVTypes">
  <Template>Normal</Template>
  <Pages>76</Pages>
  <Words>33402</Words>
  <Characters>34622</Characters>
  <Lines>316</Lines>
  <Paragraphs>89</Paragraphs>
  <TotalTime>33</TotalTime>
  <ScaleCrop>false</ScaleCrop>
  <LinksUpToDate>false</LinksUpToDate>
  <CharactersWithSpaces>37233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2022-10-26T07:01:33Z</dcterms:modified>
  <dc:subject>公开招标文件版本</dc:subject>
  <dc:title>公开招标文件版本</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FB6E0D1472084831B583D33897BDC412</vt:lpwstr>
  </property>
</Properties>
</file>