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highlight w:val="none"/>
          <w:lang w:eastAsia="zh-CN"/>
        </w:rPr>
      </w:pPr>
    </w:p>
    <w:p>
      <w:pPr>
        <w:pStyle w:val="8"/>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GDZT2022146B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横沥镇体育公园中心舞台升级改造项目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东莞市横沥镇公用事业服务中心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5"/>
        <w:spacing w:before="0" w:after="0" w:line="360" w:lineRule="auto"/>
        <w:jc w:val="center"/>
        <w:rPr>
          <w:rFonts w:ascii="宋体" w:hAnsi="宋体" w:eastAsia="宋体" w:cs="宋体"/>
          <w:color w:val="auto"/>
          <w:highlight w:val="none"/>
        </w:rPr>
      </w:pPr>
      <w:bookmarkStart w:id="2" w:name="_Toc8850"/>
      <w:bookmarkStart w:id="3" w:name="_Toc7988"/>
      <w:bookmarkStart w:id="4" w:name="_Toc142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东莞市横沥镇公用事业服务中心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横沥镇体育公园中心舞台升级改造项目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GDZT2022146B</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横沥镇体育公园中心舞台升级改造项目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3828"/>
        <w:gridCol w:w="749"/>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横沥镇体育公园中心舞台升级改造项目</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eastAsia="宋体"/>
                <w:b/>
                <w:bCs/>
                <w:color w:val="auto"/>
                <w:sz w:val="21"/>
                <w:szCs w:val="21"/>
                <w:highlight w:val="none"/>
                <w:u w:val="single"/>
              </w:rPr>
              <w:t>914</w:t>
            </w:r>
            <w:r>
              <w:rPr>
                <w:rFonts w:hint="eastAsia" w:ascii="宋体" w:hAnsi="宋体"/>
                <w:b/>
                <w:bCs/>
                <w:color w:val="auto"/>
                <w:sz w:val="21"/>
                <w:szCs w:val="21"/>
                <w:highlight w:val="none"/>
                <w:u w:val="single"/>
                <w:lang w:val="en-US" w:eastAsia="zh-CN"/>
              </w:rPr>
              <w:t>,</w:t>
            </w:r>
            <w:r>
              <w:rPr>
                <w:rFonts w:hint="eastAsia" w:ascii="宋体" w:hAnsi="宋体" w:eastAsia="宋体"/>
                <w:b/>
                <w:bCs/>
                <w:color w:val="auto"/>
                <w:sz w:val="21"/>
                <w:szCs w:val="21"/>
                <w:highlight w:val="none"/>
                <w:u w:val="single"/>
              </w:rPr>
              <w:t>869.82元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spacing w:after="0" w:line="360" w:lineRule="auto"/>
        <w:ind w:firstLine="411" w:firstLineChars="196"/>
        <w:rPr>
          <w:rFonts w:ascii="宋体" w:hAnsi="宋体" w:eastAsia="宋体"/>
          <w:color w:val="auto"/>
          <w:sz w:val="21"/>
          <w:szCs w:val="21"/>
          <w:highlight w:val="none"/>
        </w:rPr>
      </w:pPr>
      <w:r>
        <w:rPr>
          <w:rFonts w:hint="eastAsia"/>
          <w:color w:val="auto"/>
          <w:highlight w:val="none"/>
          <w:lang w:val="en-US" w:eastAsia="zh-CN"/>
        </w:rPr>
        <w:t>供应商</w:t>
      </w:r>
      <w:r>
        <w:rPr>
          <w:rFonts w:hint="eastAsia"/>
          <w:color w:val="auto"/>
          <w:highlight w:val="none"/>
        </w:rPr>
        <w:t>须具有有效期内市政公用工程专业承包资质乙级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或更换资质证书前有效期内市政公用工程施工总承包三级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ascii="宋体" w:hAnsi="宋体" w:eastAsia="宋体" w:cs="Times New Roman"/>
          <w:color w:val="auto"/>
          <w:sz w:val="21"/>
          <w:szCs w:val="21"/>
          <w:highlight w:val="none"/>
        </w:rPr>
        <w:t>。</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注：上述资质要求，依据住房和城乡建设部2020年11月30日关于印发《建设工程企业资质管理制度改革方案》的通知，在更换资质证书前有效期内适用于本项目资质证书的均为有效资格条件。</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17</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24</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17</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24</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1、递交响应文件时间：2022年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28</w:t>
      </w:r>
      <w:r>
        <w:rPr>
          <w:rFonts w:hint="eastAsia" w:ascii="宋体" w:hAnsi="宋体" w:eastAsia="宋体"/>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 xml:space="preserve">30 </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00</w:t>
      </w:r>
      <w:r>
        <w:rPr>
          <w:rFonts w:hint="eastAsia" w:ascii="宋体" w:hAnsi="宋体" w:eastAsia="宋体"/>
          <w:bCs/>
          <w:color w:val="auto"/>
          <w:sz w:val="21"/>
          <w:szCs w:val="21"/>
          <w:highlight w:val="none"/>
        </w:rPr>
        <w:t>。</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2、响应截止及开标时间：2022年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28</w:t>
      </w:r>
      <w:r>
        <w:rPr>
          <w:rFonts w:hint="eastAsia" w:ascii="宋体" w:hAnsi="宋体" w:eastAsia="宋体"/>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00</w:t>
      </w:r>
      <w:r>
        <w:rPr>
          <w:rFonts w:hint="eastAsia" w:ascii="宋体" w:hAnsi="宋体" w:eastAsia="宋体"/>
          <w:bCs/>
          <w:color w:val="auto"/>
          <w:sz w:val="21"/>
          <w:szCs w:val="21"/>
          <w:highlight w:val="none"/>
        </w:rPr>
        <w:t>分。</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3、接收响应文件地点：东莞市南城街道鸿福路199号（市民服务中心）411室。</w:t>
      </w:r>
    </w:p>
    <w:p>
      <w:pPr>
        <w:bidi w:val="0"/>
        <w:rPr>
          <w:color w:val="auto"/>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 xml:space="preserve">吴工 </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 xml:space="preserve">东莞市横沥镇  </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联系电话：0769-83371790</w:t>
      </w:r>
      <w:r>
        <w:rPr>
          <w:rFonts w:hint="eastAsia" w:ascii="宋体" w:hAnsi="宋体"/>
          <w:bCs/>
          <w:color w:val="auto"/>
          <w:sz w:val="21"/>
          <w:szCs w:val="21"/>
          <w:highlight w:val="none"/>
          <w:lang w:val="en-US" w:eastAsia="zh-CN"/>
        </w:rPr>
        <w:t xml:space="preserve"> </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br w:type="page"/>
      </w:r>
    </w:p>
    <w:p>
      <w:pPr>
        <w:pStyle w:val="4"/>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财政</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eastAsia" w:ascii="宋体" w:hAnsi="宋体"/>
                <w:b/>
                <w:bCs/>
                <w:color w:val="auto"/>
                <w:sz w:val="21"/>
                <w:szCs w:val="21"/>
                <w:highlight w:val="none"/>
                <w:u w:val="single"/>
                <w:lang w:val="en-US" w:eastAsia="zh-CN"/>
              </w:rPr>
              <w:t>4</w:t>
            </w:r>
            <w:bookmarkStart w:id="401" w:name="_GoBack"/>
            <w:bookmarkEnd w:id="401"/>
            <w:r>
              <w:rPr>
                <w:rFonts w:hint="default" w:ascii="宋体" w:hAnsi="宋体" w:eastAsia="宋体"/>
                <w:b/>
                <w:bCs/>
                <w:color w:val="auto"/>
                <w:sz w:val="21"/>
                <w:szCs w:val="21"/>
                <w:highlight w:val="none"/>
                <w:u w:val="single"/>
              </w:rPr>
              <w:t>%</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8" w:name="_Hlk55300595"/>
      <w:bookmarkStart w:id="9" w:name="_Toc13473"/>
      <w:bookmarkStart w:id="10" w:name="_Toc4043"/>
      <w:bookmarkStart w:id="11" w:name="_Toc9572"/>
      <w:r>
        <w:rPr>
          <w:rFonts w:hint="eastAsia"/>
          <w:color w:val="auto"/>
          <w:sz w:val="28"/>
          <w:szCs w:val="28"/>
          <w:highlight w:val="none"/>
          <w:lang w:val="en-US" w:eastAsia="zh-CN"/>
        </w:rPr>
        <w:br w:type="page"/>
      </w: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价格分计算方法：满足磋商文件要求且价格最低的响应报价为评标基准价，其价格分为满分。其他供应商的价格分统一按照下列公式计算：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响应报价得分=(评标基准价／响应报价)×价格权值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商务评分（15分）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供应商</w:t>
            </w:r>
            <w:r>
              <w:rPr>
                <w:rFonts w:hint="eastAsia" w:ascii="宋体" w:eastAsia="宋体" w:cs="宋体"/>
                <w:bCs/>
                <w:color w:val="auto"/>
                <w:sz w:val="21"/>
                <w:szCs w:val="21"/>
                <w:highlight w:val="none"/>
              </w:rPr>
              <w:t>具有</w:t>
            </w:r>
            <w:r>
              <w:rPr>
                <w:rFonts w:hint="eastAsia" w:ascii="宋体" w:eastAsia="宋体" w:cs="宋体"/>
                <w:bCs/>
                <w:color w:val="auto"/>
                <w:sz w:val="21"/>
                <w:szCs w:val="21"/>
                <w:highlight w:val="none"/>
                <w:lang w:val="en-US" w:eastAsia="zh-CN"/>
              </w:rPr>
              <w:t>市政工程</w:t>
            </w:r>
            <w:r>
              <w:rPr>
                <w:rFonts w:hint="eastAsia" w:ascii="宋体" w:eastAsia="宋体" w:cs="宋体"/>
                <w:bCs/>
                <w:color w:val="auto"/>
                <w:sz w:val="21"/>
                <w:szCs w:val="21"/>
                <w:highlight w:val="none"/>
              </w:rPr>
              <w:t>类</w:t>
            </w:r>
            <w:r>
              <w:rPr>
                <w:rFonts w:hint="eastAsia" w:ascii="宋体" w:eastAsia="宋体" w:cs="宋体"/>
                <w:bCs/>
                <w:color w:val="auto"/>
                <w:sz w:val="21"/>
                <w:szCs w:val="21"/>
                <w:highlight w:val="none"/>
                <w:lang w:val="zh-CN"/>
              </w:rPr>
              <w:t>项目业绩</w:t>
            </w:r>
            <w:r>
              <w:rPr>
                <w:rFonts w:hint="eastAsia" w:ascii="宋体" w:eastAsia="宋体" w:cs="宋体"/>
                <w:bCs/>
                <w:color w:val="auto"/>
                <w:sz w:val="21"/>
                <w:szCs w:val="21"/>
                <w:highlight w:val="none"/>
              </w:rPr>
              <w:t>的</w:t>
            </w:r>
            <w:r>
              <w:rPr>
                <w:rFonts w:hint="eastAsia" w:asci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rPr>
              <w:t>4</w:t>
            </w:r>
            <w:r>
              <w:rPr>
                <w:rFonts w:hint="eastAsia" w:asci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rPr>
              <w:t>12</w:t>
            </w:r>
            <w:r>
              <w:rPr>
                <w:rFonts w:hint="eastAsia" w:asci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注：须提供合同复印件并加盖供应商公章，</w:t>
            </w:r>
            <w:r>
              <w:rPr>
                <w:rFonts w:hint="eastAsia" w:ascii="宋体" w:eastAsia="宋体" w:cs="宋体"/>
                <w:bCs/>
                <w:color w:val="auto"/>
                <w:sz w:val="21"/>
                <w:szCs w:val="21"/>
                <w:highlight w:val="none"/>
                <w:lang w:val="en-US" w:eastAsia="zh-CN"/>
              </w:rPr>
              <w:t>否则</w:t>
            </w:r>
            <w:r>
              <w:rPr>
                <w:rFonts w:hint="eastAsia" w:ascii="宋体" w:eastAsia="宋体" w:cs="宋体"/>
                <w:bCs/>
                <w:color w:val="auto"/>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根据供应商提供的服务响应时间承诺进行评分。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（1）承诺在接到采购人通知后</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小时内到现场，得3分；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（2）承诺在接到采购人通知后</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小时内到现场，得2分；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（3）承诺在接到采购人通知后3小时</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内到现场，得1分；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（4）承诺在接到采购人通知后超过3小时</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不含</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到现场，不得分。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注：</w:t>
            </w:r>
            <w:r>
              <w:rPr>
                <w:rFonts w:hint="eastAsia" w:ascii="宋体" w:eastAsia="宋体" w:cs="宋体"/>
                <w:bCs/>
                <w:color w:val="auto"/>
                <w:sz w:val="21"/>
                <w:szCs w:val="21"/>
                <w:highlight w:val="none"/>
              </w:rPr>
              <w:t>须提供服务承诺书并加盖供应商公章，否则不得分。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技术评分（55分）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根据供应商对本项目现场的熟悉程度、理解及项目重点和难点的分析，以及根据项目重点和难点所采取的措施等进行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评价</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现场的熟悉程度深入，重点和难点分析合理、所采取的应急计划和措施可行性强，得10分；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深入，重点和难点分析</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合理、所采取的应急计划和措施可行性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强，得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现场的熟悉程度一般，重点和难点分析</w:t>
            </w:r>
            <w:r>
              <w:rPr>
                <w:rFonts w:hint="eastAsia" w:ascii="宋体" w:hAnsi="宋体" w:eastAsia="宋体" w:cs="宋体"/>
                <w:bCs/>
                <w:color w:val="auto"/>
                <w:sz w:val="21"/>
                <w:szCs w:val="21"/>
                <w:highlight w:val="none"/>
                <w:lang w:val="en-US" w:eastAsia="zh-CN"/>
              </w:rPr>
              <w:t>基本合理</w:t>
            </w:r>
            <w:r>
              <w:rPr>
                <w:rFonts w:hint="eastAsia" w:ascii="宋体" w:hAnsi="宋体" w:eastAsia="宋体" w:cs="宋体"/>
                <w:bCs/>
                <w:color w:val="auto"/>
                <w:sz w:val="21"/>
                <w:szCs w:val="21"/>
                <w:highlight w:val="none"/>
              </w:rPr>
              <w:t>、所采取的应急计划和措施可行性一般，得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现场的熟悉程度肤浅，重点和难点分析基本合理、所采取的应急计划和措施可行性较差，得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施工组织方案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施工组织方案的</w:t>
            </w:r>
            <w:r>
              <w:rPr>
                <w:rFonts w:hint="eastAsia" w:ascii="宋体" w:hAnsi="宋体" w:eastAsia="宋体" w:cs="宋体"/>
                <w:bCs/>
                <w:color w:val="auto"/>
                <w:sz w:val="21"/>
                <w:szCs w:val="21"/>
                <w:highlight w:val="none"/>
                <w:lang w:val="en-US" w:eastAsia="zh-CN"/>
              </w:rPr>
              <w:t>针对</w:t>
            </w:r>
            <w:r>
              <w:rPr>
                <w:rFonts w:hint="eastAsia" w:ascii="宋体" w:hAnsi="宋体" w:eastAsia="宋体" w:cs="宋体"/>
                <w:bCs/>
                <w:color w:val="auto"/>
                <w:sz w:val="21"/>
                <w:szCs w:val="21"/>
                <w:highlight w:val="none"/>
                <w:lang w:val="zh-CN"/>
              </w:rPr>
              <w:t>性、</w:t>
            </w:r>
            <w:r>
              <w:rPr>
                <w:rFonts w:hint="eastAsia" w:ascii="宋体" w:hAnsi="宋体" w:eastAsia="宋体" w:cs="宋体"/>
                <w:bCs/>
                <w:color w:val="auto"/>
                <w:sz w:val="21"/>
                <w:szCs w:val="21"/>
                <w:highlight w:val="none"/>
                <w:lang w:val="en-US" w:eastAsia="zh-CN"/>
              </w:rPr>
              <w:t>合理</w:t>
            </w:r>
            <w:r>
              <w:rPr>
                <w:rFonts w:hint="eastAsia" w:ascii="宋体" w:hAnsi="宋体" w:eastAsia="宋体" w:cs="宋体"/>
                <w:bCs/>
                <w:color w:val="auto"/>
                <w:sz w:val="21"/>
                <w:szCs w:val="21"/>
                <w:highlight w:val="none"/>
                <w:lang w:val="zh-CN"/>
              </w:rPr>
              <w:t>性、</w:t>
            </w:r>
            <w:r>
              <w:rPr>
                <w:rFonts w:hint="eastAsia" w:ascii="宋体" w:hAnsi="宋体" w:eastAsia="宋体" w:cs="宋体"/>
                <w:bCs/>
                <w:color w:val="auto"/>
                <w:sz w:val="21"/>
                <w:szCs w:val="21"/>
                <w:highlight w:val="none"/>
                <w:lang w:val="en-US" w:eastAsia="zh-CN"/>
              </w:rPr>
              <w:t>可行</w:t>
            </w:r>
            <w:r>
              <w:rPr>
                <w:rFonts w:hint="eastAsia" w:ascii="宋体" w:hAnsi="宋体" w:eastAsia="宋体" w:cs="宋体"/>
                <w:bCs/>
                <w:color w:val="auto"/>
                <w:sz w:val="21"/>
                <w:szCs w:val="21"/>
                <w:highlight w:val="none"/>
                <w:lang w:val="zh-CN"/>
              </w:rPr>
              <w:t>性等进行综合评价：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施工组织方案针对性强、合理、可行，得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合理、</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可行，得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施工组织方案针对性一般、合理</w:t>
            </w:r>
            <w:r>
              <w:rPr>
                <w:rFonts w:hint="eastAsia" w:ascii="宋体" w:hAnsi="宋体" w:eastAsia="宋体" w:cs="宋体"/>
                <w:bCs/>
                <w:color w:val="auto"/>
                <w:sz w:val="21"/>
                <w:szCs w:val="21"/>
                <w:highlight w:val="none"/>
                <w:lang w:val="en-US" w:eastAsia="zh-CN"/>
              </w:rPr>
              <w:t>性一般</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施工组织方案针对性差、不够合理，得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安全文明方案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提供的安全文明措施、配套设备设施、达到的标准及承诺等进行综合评价: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完整、可行性强，完全满足并优于招标文件要求，得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强，满足招标文件要求，得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根据供应商提供的应急方案（包括但不限于人员应急方案、现场施工应急方案、恶劣天气应急方案等）进行综合评</w:t>
            </w:r>
            <w:r>
              <w:rPr>
                <w:rFonts w:hint="eastAsia" w:ascii="宋体" w:hAnsi="宋体" w:eastAsia="宋体" w:cs="宋体"/>
                <w:bCs/>
                <w:color w:val="auto"/>
                <w:sz w:val="21"/>
                <w:szCs w:val="21"/>
                <w:highlight w:val="none"/>
                <w:lang w:val="en-US" w:eastAsia="zh-CN"/>
              </w:rPr>
              <w:t>价</w:t>
            </w:r>
            <w:r>
              <w:rPr>
                <w:rFonts w:hint="eastAsia" w:ascii="宋体" w:hAnsi="宋体" w:eastAsia="宋体" w:cs="宋体"/>
                <w:bCs/>
                <w:color w:val="auto"/>
                <w:sz w:val="21"/>
                <w:szCs w:val="21"/>
                <w:highlight w:val="none"/>
                <w:lang w:val="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方案完整，可操作性强，可行性强，针对性强，得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完整，可操作性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方案基本完整，可操作性一般，可行性一般，针对性一般，得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方案不完整，可操作性差，可行性差，针对性差，得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验收方案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供应商提供的</w:t>
            </w:r>
            <w:r>
              <w:rPr>
                <w:rFonts w:hint="eastAsia" w:ascii="宋体" w:hAnsi="宋体" w:eastAsia="宋体" w:cs="宋体"/>
                <w:bCs/>
                <w:color w:val="auto"/>
                <w:sz w:val="21"/>
                <w:szCs w:val="21"/>
                <w:highlight w:val="none"/>
                <w:lang w:val="zh-CN"/>
              </w:rPr>
              <w:t>验收方案、承诺验收达到标准、整改方案及标准等进行综合评价: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完整、可行性强，完全满足并优于招标文件要求，得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强，满足招标文件要求，得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规章制度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根据投标人的规章管理制度进行综合评审：</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制度详细完整，可行性强，得</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分。</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制度基本完整，可行性一般，得3分。</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制度不完整，可行性较差，得1分。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color w:val="auto"/>
                <w:sz w:val="21"/>
                <w:szCs w:val="21"/>
                <w:highlight w:val="none"/>
              </w:rPr>
              <w:t>无提供规章管理制度，得0分。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（1）除特殊说明外，以上评审项，同一证明文件不重复计分。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（2）供应商根据以上评分要求提供的响应材料因模糊不清导致评标委员会无法清晰辨认进行评审的，视为无效材料。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firstLine="0"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 xml:space="preserve">   （3）若因疫情原因暂缓统一托收或阶段性减免社会保险费而导致无法打印社保缴费证明的需提供书面说明并加盖供应商公章，否则不得分。</w:t>
            </w:r>
          </w:p>
        </w:tc>
      </w:tr>
    </w:tbl>
    <w:p>
      <w:pPr>
        <w:bidi w:val="0"/>
        <w:rPr>
          <w:rFonts w:hint="eastAsia"/>
          <w:color w:val="auto"/>
          <w:highlight w:val="none"/>
        </w:rPr>
      </w:pPr>
    </w:p>
    <w:p>
      <w:pPr>
        <w:bidi w:val="0"/>
        <w:rPr>
          <w:rFonts w:hint="eastAsia"/>
          <w:color w:val="auto"/>
        </w:rPr>
      </w:pPr>
    </w:p>
    <w:p>
      <w:pPr>
        <w:rPr>
          <w:rFonts w:hint="eastAsia"/>
          <w:color w:val="auto"/>
          <w:highlight w:val="none"/>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4"/>
        <w:spacing w:before="0" w:after="0" w:line="240" w:lineRule="auto"/>
        <w:rPr>
          <w:color w:val="auto"/>
          <w:sz w:val="24"/>
          <w:szCs w:val="24"/>
          <w:highlight w:val="none"/>
        </w:rPr>
      </w:pPr>
      <w:bookmarkStart w:id="17" w:name="_Toc2479"/>
      <w:bookmarkStart w:id="18" w:name="_Toc29685"/>
      <w:bookmarkStart w:id="19" w:name="_Toc24511"/>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4"/>
        <w:keepNext w:val="0"/>
        <w:keepLines w:val="0"/>
        <w:spacing w:before="0" w:after="0" w:line="360" w:lineRule="auto"/>
        <w:jc w:val="center"/>
        <w:rPr>
          <w:rFonts w:ascii="宋体" w:hAnsi="宋体" w:eastAsia="宋体"/>
          <w:color w:val="auto"/>
          <w:sz w:val="24"/>
          <w:szCs w:val="21"/>
          <w:highlight w:val="none"/>
        </w:rPr>
      </w:pPr>
      <w:bookmarkStart w:id="21" w:name="_Toc24057"/>
      <w:bookmarkStart w:id="22" w:name="_Toc6882675"/>
      <w:bookmarkStart w:id="23" w:name="_Toc28014"/>
      <w:bookmarkStart w:id="24" w:name="_Toc6968687"/>
      <w:bookmarkStart w:id="25" w:name="_Toc507407359"/>
      <w:bookmarkStart w:id="26" w:name="_Toc466786434"/>
      <w:bookmarkStart w:id="27" w:name="_Toc102277756"/>
      <w:bookmarkStart w:id="28" w:name="_Toc480020241"/>
      <w:bookmarkStart w:id="29" w:name="_Toc468606013"/>
      <w:bookmarkStart w:id="30" w:name="_Toc480171863"/>
      <w:bookmarkStart w:id="31" w:name="_Toc467236724"/>
      <w:bookmarkStart w:id="32" w:name="_Toc467987807"/>
      <w:bookmarkStart w:id="33" w:name="_Toc480021037"/>
      <w:bookmarkStart w:id="34" w:name="_Toc480010692"/>
      <w:bookmarkStart w:id="35" w:name="_Toc479991566"/>
      <w:bookmarkStart w:id="36" w:name="_Toc468157520"/>
      <w:bookmarkStart w:id="37" w:name="_Toc48207756"/>
      <w:bookmarkStart w:id="38" w:name="_Toc458262599"/>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5"/>
        <w:keepNext w:val="0"/>
        <w:keepLines w:val="0"/>
        <w:numPr>
          <w:ilvl w:val="0"/>
          <w:numId w:val="3"/>
        </w:numPr>
        <w:adjustRightInd/>
        <w:spacing w:before="0" w:after="0" w:line="360" w:lineRule="auto"/>
        <w:rPr>
          <w:rFonts w:hAnsi="宋体"/>
          <w:color w:val="auto"/>
          <w:sz w:val="21"/>
          <w:szCs w:val="21"/>
          <w:highlight w:val="none"/>
        </w:rPr>
      </w:pPr>
      <w:bookmarkStart w:id="39" w:name="_Toc10228"/>
      <w:bookmarkStart w:id="40" w:name="_Toc17291"/>
      <w:bookmarkStart w:id="41" w:name="_Toc475249114"/>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5"/>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507407360"/>
      <w:bookmarkStart w:id="47" w:name="_Toc6968688"/>
      <w:bookmarkStart w:id="48" w:name="_Toc6882676"/>
      <w:bookmarkStart w:id="49" w:name="_Toc102277757"/>
      <w:bookmarkStart w:id="50" w:name="_Toc466786435"/>
    </w:p>
    <w:p>
      <w:pPr>
        <w:pStyle w:val="5"/>
        <w:keepNext w:val="0"/>
        <w:keepLines w:val="0"/>
        <w:numPr>
          <w:ilvl w:val="0"/>
          <w:numId w:val="3"/>
        </w:numPr>
        <w:adjustRightInd/>
        <w:spacing w:before="0" w:after="0" w:line="360" w:lineRule="auto"/>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5"/>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5"/>
        <w:keepNext w:val="0"/>
        <w:keepLines w:val="0"/>
        <w:numPr>
          <w:ilvl w:val="0"/>
          <w:numId w:val="3"/>
        </w:numPr>
        <w:adjustRightInd/>
        <w:spacing w:before="0" w:after="0" w:line="360" w:lineRule="auto"/>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63" w:name="_Toc16198"/>
      <w:bookmarkStart w:id="64" w:name="_Toc18108"/>
      <w:bookmarkStart w:id="65" w:name="_Toc110953834"/>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5"/>
        <w:keepNext w:val="0"/>
        <w:keepLines w:val="0"/>
        <w:numPr>
          <w:ilvl w:val="0"/>
          <w:numId w:val="3"/>
        </w:numPr>
        <w:adjustRightInd/>
        <w:spacing w:before="0" w:after="0" w:line="360" w:lineRule="auto"/>
        <w:rPr>
          <w:rFonts w:hAnsi="宋体"/>
          <w:color w:val="auto"/>
          <w:sz w:val="21"/>
          <w:szCs w:val="21"/>
          <w:highlight w:val="none"/>
        </w:rPr>
      </w:pPr>
      <w:bookmarkStart w:id="70" w:name="_Toc110953836"/>
      <w:bookmarkStart w:id="71" w:name="_Toc4511"/>
      <w:bookmarkStart w:id="72" w:name="_Toc21439"/>
      <w:bookmarkStart w:id="73" w:name="_Toc507407361"/>
      <w:bookmarkStart w:id="74" w:name="_Toc102277758"/>
      <w:bookmarkStart w:id="75" w:name="_Toc6882677"/>
      <w:bookmarkStart w:id="76" w:name="_Toc466786436"/>
      <w:bookmarkStart w:id="77" w:name="_Toc6968689"/>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4"/>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466786437"/>
      <w:bookmarkStart w:id="82" w:name="_Toc6968690"/>
      <w:bookmarkStart w:id="83" w:name="_Toc6882678"/>
      <w:bookmarkStart w:id="84" w:name="_Toc102277759"/>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5"/>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5"/>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1" w:name="_Toc110953840"/>
      <w:bookmarkStart w:id="92" w:name="_Toc26897"/>
      <w:bookmarkStart w:id="93" w:name="_Toc1191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4" w:name="_Toc110953841"/>
      <w:bookmarkStart w:id="95" w:name="_Toc15387"/>
      <w:bookmarkStart w:id="96" w:name="_Toc1662"/>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7" w:name="_Toc21656"/>
      <w:bookmarkStart w:id="98" w:name="_Toc1898"/>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9" w:name="_Toc25734"/>
      <w:bookmarkStart w:id="100" w:name="_Toc468606030"/>
      <w:bookmarkStart w:id="101" w:name="_Toc480010709"/>
      <w:bookmarkStart w:id="102" w:name="_Toc467987824"/>
      <w:bookmarkStart w:id="103" w:name="_Toc10456"/>
      <w:bookmarkStart w:id="104" w:name="_Toc467236741"/>
      <w:bookmarkStart w:id="105" w:name="_Toc503758471"/>
      <w:bookmarkStart w:id="106" w:name="_Toc110953842"/>
      <w:bookmarkStart w:id="107" w:name="_Toc480020258"/>
      <w:bookmarkStart w:id="108" w:name="_Toc468157537"/>
      <w:bookmarkStart w:id="109" w:name="_Toc454701382"/>
      <w:bookmarkStart w:id="110" w:name="_Toc479991583"/>
      <w:bookmarkStart w:id="111" w:name="_Toc458262615"/>
      <w:bookmarkStart w:id="112" w:name="_Toc480021054"/>
      <w:bookmarkStart w:id="113" w:name="_Toc480171880"/>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4"/>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32392"/>
      <w:bookmarkStart w:id="116" w:name="_Toc110953843"/>
      <w:bookmarkStart w:id="117" w:name="_Toc507407363"/>
      <w:bookmarkStart w:id="118" w:name="_Toc6968691"/>
      <w:bookmarkStart w:id="119" w:name="_Toc466786438"/>
      <w:bookmarkStart w:id="120" w:name="_Toc102277760"/>
      <w:bookmarkStart w:id="121" w:name="_Toc6882679"/>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5"/>
        <w:keepNext w:val="0"/>
        <w:keepLines w:val="0"/>
        <w:numPr>
          <w:ilvl w:val="0"/>
          <w:numId w:val="3"/>
        </w:numPr>
        <w:adjustRightInd/>
        <w:spacing w:before="0" w:after="0" w:line="360" w:lineRule="auto"/>
        <w:rPr>
          <w:rFonts w:hAnsi="宋体"/>
          <w:color w:val="auto"/>
          <w:sz w:val="21"/>
          <w:szCs w:val="21"/>
          <w:highlight w:val="none"/>
        </w:rPr>
      </w:pPr>
      <w:bookmarkStart w:id="122" w:name="_Toc110953844"/>
      <w:bookmarkStart w:id="123" w:name="_Toc13611"/>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25" w:name="_Toc110953845"/>
      <w:bookmarkStart w:id="126" w:name="_Toc6425"/>
      <w:bookmarkStart w:id="127" w:name="_Toc5658"/>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5"/>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5"/>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36" w:name="_Toc10080"/>
      <w:bookmarkStart w:id="137" w:name="_Toc1080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38" w:name="_Toc17978"/>
      <w:bookmarkStart w:id="139" w:name="_Toc535141844"/>
      <w:bookmarkStart w:id="140" w:name="_Toc17157"/>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5"/>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5"/>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58" w:name="_Toc3829"/>
      <w:bookmarkStart w:id="159" w:name="_Toc37756778"/>
      <w:bookmarkStart w:id="160" w:name="_Toc110953852"/>
      <w:bookmarkStart w:id="161" w:name="_Toc31756"/>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5"/>
        <w:keepNext w:val="0"/>
        <w:keepLines w:val="0"/>
        <w:numPr>
          <w:ilvl w:val="0"/>
          <w:numId w:val="3"/>
        </w:numPr>
        <w:adjustRightInd/>
        <w:spacing w:before="0" w:after="0" w:line="360" w:lineRule="auto"/>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5"/>
        <w:keepNext w:val="0"/>
        <w:keepLines w:val="0"/>
        <w:numPr>
          <w:ilvl w:val="0"/>
          <w:numId w:val="3"/>
        </w:numPr>
        <w:adjustRightInd/>
        <w:spacing w:before="0" w:after="0" w:line="360" w:lineRule="auto"/>
        <w:rPr>
          <w:rFonts w:hAnsi="宋体"/>
          <w:color w:val="auto"/>
          <w:sz w:val="21"/>
          <w:szCs w:val="21"/>
          <w:highlight w:val="none"/>
        </w:rPr>
      </w:pPr>
      <w:bookmarkStart w:id="167" w:name="_Toc18663"/>
      <w:bookmarkStart w:id="168" w:name="_Toc452"/>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69" w:name="_Toc20114"/>
      <w:bookmarkStart w:id="170" w:name="_Toc17155"/>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4"/>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5"/>
        <w:keepNext w:val="0"/>
        <w:keepLines w:val="0"/>
        <w:numPr>
          <w:ilvl w:val="0"/>
          <w:numId w:val="3"/>
        </w:numPr>
        <w:adjustRightInd/>
        <w:spacing w:before="0" w:after="0" w:line="360" w:lineRule="auto"/>
        <w:rPr>
          <w:rFonts w:hAnsi="宋体"/>
          <w:color w:val="auto"/>
          <w:sz w:val="21"/>
          <w:szCs w:val="21"/>
          <w:highlight w:val="none"/>
        </w:rPr>
      </w:pPr>
      <w:bookmarkStart w:id="173" w:name="_Toc26991"/>
      <w:bookmarkStart w:id="174" w:name="_Toc9437"/>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4"/>
        <w:keepNext w:val="0"/>
        <w:keepLines w:val="0"/>
        <w:spacing w:before="0" w:after="0" w:line="360" w:lineRule="auto"/>
        <w:jc w:val="center"/>
        <w:rPr>
          <w:rFonts w:ascii="宋体" w:hAnsi="宋体" w:eastAsia="宋体"/>
          <w:color w:val="auto"/>
          <w:sz w:val="24"/>
          <w:szCs w:val="21"/>
          <w:highlight w:val="none"/>
        </w:rPr>
      </w:pPr>
      <w:bookmarkStart w:id="176" w:name="_Toc18389"/>
      <w:bookmarkStart w:id="177" w:name="_Toc7834"/>
      <w:bookmarkStart w:id="178" w:name="_Toc52021538"/>
      <w:bookmarkStart w:id="179" w:name="_Toc467049706"/>
      <w:bookmarkStart w:id="180" w:name="_Toc486671570"/>
      <w:bookmarkStart w:id="181" w:name="_Toc56353011"/>
      <w:bookmarkStart w:id="182" w:name="_Toc51939456"/>
      <w:bookmarkStart w:id="183" w:name="_Toc457975339"/>
      <w:bookmarkStart w:id="184" w:name="_Toc467236766"/>
      <w:bookmarkStart w:id="185" w:name="_Toc52027926"/>
      <w:bookmarkStart w:id="186" w:name="_Toc467050236"/>
      <w:bookmarkStart w:id="187" w:name="_Toc51756491"/>
      <w:bookmarkStart w:id="188" w:name="_Toc476976198"/>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5"/>
        <w:keepNext w:val="0"/>
        <w:keepLines w:val="0"/>
        <w:numPr>
          <w:ilvl w:val="0"/>
          <w:numId w:val="3"/>
        </w:numPr>
        <w:adjustRightInd/>
        <w:spacing w:before="0" w:after="0" w:line="360" w:lineRule="auto"/>
        <w:rPr>
          <w:rFonts w:hAnsi="宋体"/>
          <w:color w:val="auto"/>
          <w:sz w:val="21"/>
          <w:szCs w:val="21"/>
          <w:highlight w:val="none"/>
        </w:rPr>
      </w:pPr>
      <w:bookmarkStart w:id="189" w:name="_Toc10953"/>
      <w:bookmarkStart w:id="190" w:name="_Toc31522"/>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4"/>
        <w:spacing w:before="0" w:after="0" w:line="240" w:lineRule="auto"/>
        <w:rPr>
          <w:rFonts w:hint="eastAsia"/>
          <w:color w:val="auto"/>
          <w:sz w:val="28"/>
          <w:szCs w:val="28"/>
          <w:highlight w:val="none"/>
        </w:rPr>
      </w:pPr>
      <w:bookmarkStart w:id="191" w:name="_Toc31854"/>
      <w:bookmarkStart w:id="192" w:name="_Toc3162"/>
      <w:bookmarkStart w:id="193"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1468"/>
        <w:gridCol w:w="6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6413"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1</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供应商资格要求</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详见磋商文件第二部分“供应商资格要求”。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2</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完工期</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自合同签订后</w:t>
            </w:r>
            <w:r>
              <w:rPr>
                <w:rFonts w:hint="eastAsia" w:ascii="宋体" w:hAnsi="宋体" w:cs="宋体"/>
                <w:color w:val="auto"/>
                <w:szCs w:val="24"/>
                <w:highlight w:val="none"/>
                <w:lang w:val="en-US" w:eastAsia="zh-CN"/>
              </w:rPr>
              <w:t>40</w:t>
            </w:r>
            <w:r>
              <w:rPr>
                <w:rFonts w:hint="eastAsia" w:ascii="宋体" w:hAnsi="宋体" w:cs="宋体"/>
                <w:color w:val="auto"/>
                <w:szCs w:val="24"/>
                <w:highlight w:val="none"/>
              </w:rPr>
              <w:t>个日历天内完成。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3</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质保期</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项目总体质保期为项目竣工验收合格之日起一年。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4</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5</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报价内容</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报价应包工程施工费、安装费、包装费、运输费、人工费、保险费、调试费、各种税费、资料费、送检费、验收费、包括</w:t>
            </w:r>
            <w:r>
              <w:rPr>
                <w:rFonts w:hint="eastAsia" w:ascii="宋体" w:hAnsi="宋体" w:cs="宋体"/>
                <w:color w:val="auto"/>
                <w:szCs w:val="24"/>
                <w:highlight w:val="none"/>
                <w:lang w:val="en-US" w:eastAsia="zh-CN"/>
              </w:rPr>
              <w:t>拆除</w:t>
            </w:r>
            <w:r>
              <w:rPr>
                <w:rFonts w:hint="eastAsia" w:ascii="宋体" w:hAnsi="宋体" w:cs="宋体"/>
                <w:color w:val="auto"/>
                <w:szCs w:val="24"/>
                <w:highlight w:val="none"/>
              </w:rPr>
              <w:t>及原状恢复费用及合同实施过程中的不可预见费用等全部费用。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6</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工程竣工验收合格，并结算完毕后，提交请款报告30个工作日内</w:t>
            </w:r>
            <w:r>
              <w:rPr>
                <w:rFonts w:hint="eastAsia" w:ascii="宋体" w:hAnsi="宋体" w:cs="宋体"/>
                <w:color w:val="auto"/>
                <w:szCs w:val="24"/>
                <w:highlight w:val="none"/>
                <w:lang w:val="en-US" w:eastAsia="zh-CN"/>
              </w:rPr>
              <w:t>支</w:t>
            </w:r>
            <w:r>
              <w:rPr>
                <w:rFonts w:hint="eastAsia" w:ascii="宋体" w:hAnsi="宋体" w:cs="宋体"/>
                <w:color w:val="auto"/>
                <w:szCs w:val="24"/>
                <w:highlight w:val="none"/>
              </w:rPr>
              <w:t>付至结算价的97%，剩余3%工程款作为工程质量保证金</w:t>
            </w:r>
            <w:r>
              <w:rPr>
                <w:rFonts w:hint="eastAsia" w:ascii="宋体" w:hAnsi="宋体" w:cs="宋体"/>
                <w:color w:val="auto"/>
                <w:szCs w:val="24"/>
                <w:highlight w:val="none"/>
                <w:lang w:eastAsia="zh-CN"/>
              </w:rPr>
              <w:t>，</w:t>
            </w:r>
            <w:r>
              <w:rPr>
                <w:rFonts w:hint="eastAsia" w:ascii="宋体" w:hAnsi="宋体" w:cs="宋体"/>
                <w:color w:val="auto"/>
                <w:szCs w:val="24"/>
                <w:highlight w:val="none"/>
              </w:rPr>
              <w:t>质保期满1年后支付。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7</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其它要求</w:t>
            </w:r>
          </w:p>
        </w:tc>
        <w:tc>
          <w:tcPr>
            <w:tcW w:w="6413" w:type="dxa"/>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成交供应商不得将项目非法分包或转包给任何单位和个人。否则采购人有权即刻终止合同，并由成交供应商赔偿相应损失。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8</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合同条款</w:t>
            </w:r>
          </w:p>
        </w:tc>
        <w:tc>
          <w:tcPr>
            <w:tcW w:w="6413" w:type="dxa"/>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供应商实质响应合同各条款。</w:t>
            </w:r>
          </w:p>
        </w:tc>
      </w:tr>
    </w:tbl>
    <w:p>
      <w:pPr>
        <w:bidi w:val="0"/>
        <w:spacing w:line="360" w:lineRule="auto"/>
        <w:rPr>
          <w:rFonts w:hint="eastAsia"/>
          <w:color w:val="auto"/>
          <w:highlight w:val="none"/>
          <w:lang w:val="en-US" w:eastAsia="zh-CN"/>
        </w:rPr>
      </w:pPr>
    </w:p>
    <w:p>
      <w:pPr>
        <w:rPr>
          <w:rFonts w:hint="eastAsia" w:ascii="宋体" w:hAnsi="宋体"/>
          <w:color w:val="auto"/>
          <w:highlight w:val="none"/>
          <w:lang w:val="en-US" w:eastAsia="zh-CN"/>
        </w:rPr>
      </w:pPr>
      <w:bookmarkStart w:id="195" w:name="_Toc19981"/>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r>
        <w:rPr>
          <w:rFonts w:hint="eastAsia" w:ascii="宋体" w:hAnsi="宋体"/>
          <w:color w:val="auto"/>
          <w:highlight w:val="none"/>
          <w:lang w:val="en-US" w:eastAsia="zh-CN"/>
        </w:rPr>
        <w:t>第二章 技术需求书</w:t>
      </w:r>
      <w:bookmarkEnd w:id="195"/>
      <w:bookmarkStart w:id="196" w:name="_Toc31278"/>
      <w:bookmarkStart w:id="197" w:name="_Toc13112"/>
      <w:bookmarkStart w:id="198" w:name="_Toc14462"/>
      <w:bookmarkStart w:id="199" w:name="_Toc24679"/>
    </w:p>
    <w:p>
      <w:pPr>
        <w:pStyle w:val="2"/>
        <w:bidi w:val="0"/>
        <w:spacing w:line="360" w:lineRule="auto"/>
        <w:rPr>
          <w:rFonts w:eastAsia="宋体"/>
          <w:color w:val="auto"/>
          <w:highlight w:val="none"/>
        </w:rPr>
      </w:pPr>
      <w:r>
        <w:rPr>
          <w:rFonts w:hint="eastAsia"/>
          <w:color w:val="auto"/>
          <w:highlight w:val="none"/>
          <w:lang w:val="en-US" w:eastAsia="zh-CN"/>
        </w:rPr>
        <w:t>一</w:t>
      </w:r>
      <w:r>
        <w:rPr>
          <w:rFonts w:hint="eastAsia" w:eastAsia="宋体"/>
          <w:color w:val="auto"/>
          <w:highlight w:val="none"/>
          <w:lang w:val="en-US" w:eastAsia="zh-CN"/>
        </w:rPr>
        <w:t>、</w:t>
      </w:r>
      <w:r>
        <w:rPr>
          <w:rFonts w:hint="eastAsia" w:eastAsia="宋体"/>
          <w:color w:val="auto"/>
          <w:highlight w:val="none"/>
        </w:rPr>
        <w:t>技术标准和要求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1、本招标项目的材料、施工、验收须达到现行中华人民共和国以及省、自治区、直辖市、市或行业的工程建设标准、规范的要求。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2、施工要求：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2.1.所采用的材料、设备必须满足国家有关技术操作规程的要求。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2.2施工组织方案需列明保证施工进度计划实施及保证质量、安全生产、文明施工、环境保护的措施；中标（成交）供应商应结合自身的实际情况制定合理的施工进度计划。</w:t>
      </w:r>
    </w:p>
    <w:p>
      <w:pPr>
        <w:spacing w:after="0" w:line="360" w:lineRule="auto"/>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2.3.结合施工现场的实际情况进行施工组织设计（如须采用较复杂的施工技术的施工方案），施工中因施工方案及施工措施所引起的费用由中标（成交）供应商负责。</w:t>
      </w:r>
    </w:p>
    <w:p>
      <w:pPr>
        <w:pStyle w:val="2"/>
        <w:bidi w:val="0"/>
        <w:spacing w:line="360" w:lineRule="auto"/>
        <w:rPr>
          <w:rFonts w:hint="eastAsia" w:eastAsia="宋体"/>
          <w:color w:val="auto"/>
          <w:highlight w:val="none"/>
        </w:rPr>
      </w:pPr>
      <w:r>
        <w:rPr>
          <w:rFonts w:hint="eastAsia"/>
          <w:color w:val="auto"/>
          <w:highlight w:val="none"/>
          <w:lang w:val="en-US" w:eastAsia="zh-CN"/>
        </w:rPr>
        <w:t>二</w:t>
      </w:r>
      <w:r>
        <w:rPr>
          <w:rFonts w:hint="eastAsia" w:eastAsia="宋体"/>
          <w:color w:val="auto"/>
          <w:highlight w:val="none"/>
          <w:lang w:val="en-US" w:eastAsia="zh-CN"/>
        </w:rPr>
        <w:t>、</w:t>
      </w:r>
      <w:r>
        <w:rPr>
          <w:rFonts w:hint="eastAsia" w:eastAsia="宋体"/>
          <w:color w:val="auto"/>
          <w:highlight w:val="none"/>
        </w:rPr>
        <w:t>质量保证</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1、自项目竣工验收合格之日起算，在质保期内因质量问题以及工程竣工未交付采购人之前因中标（成交）供应商保管不力而导致的返工、翻工、维修等各项相关费用均由中标（成交）供应商承担。</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在施工过程中，中标（成交）供应商必须保证质量，选用的材料和施工质量要求符合合同所列标准。如中标（成交）供应商投标时承诺的技术标准高于采购人要求，则按中标（成交）供应商投标文件的要求标准提供产品及施工。</w:t>
      </w:r>
    </w:p>
    <w:p>
      <w:pPr>
        <w:spacing w:after="0" w:line="360" w:lineRule="auto"/>
        <w:ind w:firstLine="420" w:firstLineChars="200"/>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3、中标（成交）供应商应建立并实施符合工程各项要求的质量管理体系，如因中标（成交）供应商原因，使得项目工作受到影响，相应责任由中标（成交）供应商承担</w:t>
      </w:r>
      <w:r>
        <w:rPr>
          <w:rFonts w:hint="eastAsia" w:ascii="宋体" w:hAnsi="宋体" w:eastAsia="宋体" w:cs="宋体"/>
          <w:color w:val="auto"/>
          <w:sz w:val="21"/>
          <w:szCs w:val="21"/>
          <w:highlight w:val="none"/>
          <w:lang w:eastAsia="zh-CN"/>
        </w:rPr>
        <w:t>。</w:t>
      </w:r>
    </w:p>
    <w:p>
      <w:pPr>
        <w:pStyle w:val="2"/>
        <w:numPr>
          <w:ilvl w:val="0"/>
          <w:numId w:val="0"/>
        </w:numPr>
        <w:bidi w:val="0"/>
        <w:spacing w:line="360" w:lineRule="auto"/>
        <w:rPr>
          <w:rFonts w:hint="eastAsia" w:eastAsia="宋体"/>
          <w:color w:val="auto"/>
          <w:highlight w:val="none"/>
          <w:lang w:val="en-US" w:eastAsia="zh-CN"/>
        </w:rPr>
      </w:pPr>
      <w:r>
        <w:rPr>
          <w:rFonts w:hint="eastAsia"/>
          <w:color w:val="auto"/>
          <w:highlight w:val="none"/>
          <w:lang w:val="en-US" w:eastAsia="zh-CN"/>
        </w:rPr>
        <w:t>三、</w:t>
      </w:r>
      <w:r>
        <w:rPr>
          <w:rFonts w:hint="eastAsia" w:eastAsia="宋体"/>
          <w:color w:val="auto"/>
          <w:highlight w:val="none"/>
          <w:lang w:val="en-US" w:eastAsia="zh-CN"/>
        </w:rPr>
        <w:t>工程量清单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电气部分</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2"/>
        <w:gridCol w:w="1624"/>
        <w:gridCol w:w="4368"/>
        <w:gridCol w:w="980"/>
        <w:gridCol w:w="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0"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95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256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项目特征描述</w:t>
            </w:r>
          </w:p>
        </w:tc>
        <w:tc>
          <w:tcPr>
            <w:tcW w:w="57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计量单位</w:t>
            </w:r>
          </w:p>
        </w:tc>
        <w:tc>
          <w:tcPr>
            <w:tcW w:w="47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0"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256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57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47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430"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256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57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47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整个</w:t>
            </w:r>
            <w:r>
              <w:rPr>
                <w:rFonts w:hint="eastAsia" w:ascii="宋体" w:hAnsi="宋体" w:eastAsia="宋体" w:cs="宋体"/>
                <w:color w:val="auto"/>
                <w:sz w:val="21"/>
                <w:szCs w:val="21"/>
              </w:rPr>
              <w:t>电气部分</w:t>
            </w:r>
          </w:p>
        </w:tc>
        <w:tc>
          <w:tcPr>
            <w:tcW w:w="256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4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挖沟槽土方</w:t>
            </w:r>
          </w:p>
        </w:tc>
        <w:tc>
          <w:tcPr>
            <w:tcW w:w="256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1.土壤类别:综合考虑</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2.挖土深度:2m内</w:t>
            </w:r>
          </w:p>
        </w:tc>
        <w:tc>
          <w:tcPr>
            <w:tcW w:w="5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4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回填方</w:t>
            </w:r>
          </w:p>
        </w:tc>
        <w:tc>
          <w:tcPr>
            <w:tcW w:w="256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1.名称:回填方</w:t>
            </w:r>
          </w:p>
        </w:tc>
        <w:tc>
          <w:tcPr>
            <w:tcW w:w="5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4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配管(埋地) PVC32</w:t>
            </w:r>
          </w:p>
        </w:tc>
        <w:tc>
          <w:tcPr>
            <w:tcW w:w="256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1.名称:刚性难燃管</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2.材质:塑料</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3.规格:PVC32</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4.配置形式及部位:埋地</w:t>
            </w:r>
          </w:p>
        </w:tc>
        <w:tc>
          <w:tcPr>
            <w:tcW w:w="5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4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电力电缆</w:t>
            </w:r>
          </w:p>
        </w:tc>
        <w:tc>
          <w:tcPr>
            <w:tcW w:w="256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1.名称:电力电缆</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2.规格:VV-3*4</w:t>
            </w:r>
          </w:p>
        </w:tc>
        <w:tc>
          <w:tcPr>
            <w:tcW w:w="5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4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4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一般路灯</w:t>
            </w:r>
          </w:p>
        </w:tc>
        <w:tc>
          <w:tcPr>
            <w:tcW w:w="256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1.名称:庭院灯</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2.型号:H=4.5m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3.规格:Pmax=30W</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4.基础形式、浇筑材质:C20砼基础</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5.接地要求:40*4镀锌扁钢接地线</w:t>
            </w:r>
          </w:p>
        </w:tc>
        <w:tc>
          <w:tcPr>
            <w:tcW w:w="5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4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送配电装置系统</w:t>
            </w:r>
          </w:p>
        </w:tc>
        <w:tc>
          <w:tcPr>
            <w:tcW w:w="256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1.送配电装置系统调试 (综合) 1kV以下交流供电</w:t>
            </w:r>
          </w:p>
        </w:tc>
        <w:tc>
          <w:tcPr>
            <w:tcW w:w="5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系统</w:t>
            </w:r>
          </w:p>
        </w:tc>
        <w:tc>
          <w:tcPr>
            <w:tcW w:w="4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插座</w:t>
            </w:r>
          </w:p>
        </w:tc>
        <w:tc>
          <w:tcPr>
            <w:tcW w:w="256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1.名称:16A三孔插座</w:t>
            </w:r>
          </w:p>
        </w:tc>
        <w:tc>
          <w:tcPr>
            <w:tcW w:w="5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DX1配电箱</w:t>
            </w:r>
          </w:p>
        </w:tc>
        <w:tc>
          <w:tcPr>
            <w:tcW w:w="256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1.名称:DX1配电箱</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2.型号:含元器件，详见系统图</w:t>
            </w:r>
          </w:p>
        </w:tc>
        <w:tc>
          <w:tcPr>
            <w:tcW w:w="5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4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9</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措施项目</w:t>
            </w:r>
          </w:p>
        </w:tc>
        <w:tc>
          <w:tcPr>
            <w:tcW w:w="256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5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项</w:t>
            </w:r>
          </w:p>
        </w:tc>
        <w:tc>
          <w:tcPr>
            <w:tcW w:w="4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1</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2、排水部分</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7"/>
        <w:gridCol w:w="1580"/>
        <w:gridCol w:w="4208"/>
        <w:gridCol w:w="1133"/>
        <w:gridCol w:w="9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3"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927"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246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项目特征描述</w:t>
            </w:r>
          </w:p>
        </w:tc>
        <w:tc>
          <w:tcPr>
            <w:tcW w:w="66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计量单位</w:t>
            </w:r>
          </w:p>
        </w:tc>
        <w:tc>
          <w:tcPr>
            <w:tcW w:w="53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3"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27"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246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66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53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3"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27"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246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66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53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整个</w:t>
            </w:r>
            <w:r>
              <w:rPr>
                <w:rFonts w:hint="eastAsia" w:ascii="宋体" w:hAnsi="宋体" w:eastAsia="宋体" w:cs="宋体"/>
                <w:color w:val="auto"/>
                <w:sz w:val="21"/>
                <w:szCs w:val="21"/>
                <w:lang w:val="en-US" w:eastAsia="zh-CN"/>
              </w:rPr>
              <w:t>排水部分</w:t>
            </w:r>
          </w:p>
        </w:tc>
        <w:tc>
          <w:tcPr>
            <w:tcW w:w="24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5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9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挖沟槽土方</w:t>
            </w:r>
          </w:p>
        </w:tc>
        <w:tc>
          <w:tcPr>
            <w:tcW w:w="24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1.土壤类别:综合考虑</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2.挖土深度:2m内</w:t>
            </w:r>
          </w:p>
        </w:tc>
        <w:tc>
          <w:tcPr>
            <w:tcW w:w="6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9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回填方</w:t>
            </w:r>
          </w:p>
        </w:tc>
        <w:tc>
          <w:tcPr>
            <w:tcW w:w="24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1.密实度要求:达到使用要求</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2.填方材料品种:一般土壤</w:t>
            </w:r>
          </w:p>
        </w:tc>
        <w:tc>
          <w:tcPr>
            <w:tcW w:w="6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9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余方弃置</w:t>
            </w:r>
          </w:p>
        </w:tc>
        <w:tc>
          <w:tcPr>
            <w:tcW w:w="24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1.废弃料品种:原土</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2.运距:10km</w:t>
            </w:r>
          </w:p>
        </w:tc>
        <w:tc>
          <w:tcPr>
            <w:tcW w:w="6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9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塑料管</w:t>
            </w:r>
          </w:p>
        </w:tc>
        <w:tc>
          <w:tcPr>
            <w:tcW w:w="24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1.安装部位:室外</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2.材质、规格:PVC-U双壁波纹管、DN300</w:t>
            </w:r>
          </w:p>
        </w:tc>
        <w:tc>
          <w:tcPr>
            <w:tcW w:w="6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5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9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雨水口</w:t>
            </w:r>
          </w:p>
        </w:tc>
        <w:tc>
          <w:tcPr>
            <w:tcW w:w="24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1.规格:砖砌体平篦式单篦雨水口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2.盖板:600*400复合材料篦子</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3.图集:参照图集-16S518第8页</w:t>
            </w:r>
          </w:p>
        </w:tc>
        <w:tc>
          <w:tcPr>
            <w:tcW w:w="6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座</w:t>
            </w:r>
          </w:p>
        </w:tc>
        <w:tc>
          <w:tcPr>
            <w:tcW w:w="5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6</w:t>
            </w:r>
          </w:p>
        </w:tc>
        <w:tc>
          <w:tcPr>
            <w:tcW w:w="9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措施项目</w:t>
            </w:r>
          </w:p>
        </w:tc>
        <w:tc>
          <w:tcPr>
            <w:tcW w:w="24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项</w:t>
            </w: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1</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3、园建部分</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2"/>
        <w:gridCol w:w="1625"/>
        <w:gridCol w:w="4487"/>
        <w:gridCol w:w="764"/>
        <w:gridCol w:w="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95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项目名称</w:t>
            </w:r>
          </w:p>
        </w:tc>
        <w:tc>
          <w:tcPr>
            <w:tcW w:w="263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项目特征描述</w:t>
            </w:r>
          </w:p>
        </w:tc>
        <w:tc>
          <w:tcPr>
            <w:tcW w:w="44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计量单位</w:t>
            </w:r>
          </w:p>
        </w:tc>
        <w:tc>
          <w:tcPr>
            <w:tcW w:w="55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26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4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55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26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4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55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拆除</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平面块料拆除</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1.饰面材料种类:原有30mm厚铺装</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2.运距:10km</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拆除原有舞台基础</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1.结构形式:钢筋混凝土</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2.运距:10km</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71.1424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原有雕塑迁移</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1.原有雕塑迁移</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挖一般土方</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1.土壤类别:综合考虑</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余方弃置</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1.废弃料品种:余土</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2.运距:10km</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施工便道</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石灰粉煤灰碎石</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1.碎(砾)石规格:石灰粉煤灰碎石</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2.厚度:18cm</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拆除基层</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1.材质:石灰粉煤灰碎石</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2.厚度:18cm</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铺种草皮</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1.草皮种类:台湾草</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修补面层</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1.块料品种、规格:300*300x30厚烧面芝麻灰</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铺装</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路床(槽)整形</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1.素土夯实，密实度≥95%</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574.244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人行道块料铺设</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1.块料品种、规格:600x600x40厚烧面芝麻灰</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2.基础、垫层:材料品种、厚度:20厚1:3干硬性水泥砂浆找平层</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石材楼地面</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1.块料品种、规格:600x300x40厚烧面芝麻黑</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2.基础、垫层:材料品种、厚度:20厚1:3干硬性水泥砂浆找平层</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石材楼地面</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1.块料品种、规格:300x90x40厚烧面芝麻黑</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2.基础、垫层:材料品种、厚度:20厚1:3干硬性水泥砂浆找平层</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人行道块料铺设</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1.块料品种、规格:600x600x40厚烧面芝麻白花岗岩</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2.基础、垫层:材料品种、厚度:20厚1:3干硬性水泥砂浆找平层</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石材楼地面</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1.块料品种、规格:600x300x50厚烧面芝麻黑</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2.基础、垫层:材料品种、厚度:20厚1:3干硬性水泥砂浆找平层</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人行道块料铺设</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1.块料品种、规格:40厚烧面芝麻黑</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2.基础、垫层:材料品种、厚度:20厚1:3干硬性水泥砂浆找平层</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水泥稳定土</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1.水泥含量:6%水泥石粉</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2.厚度:150mm</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574.244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现浇混凝土人行道及进口坡</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1.混凝土强度等级:C25混凝土</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2.厚度:150mm</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574.244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其他景观小摆设</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1.名称及材质:预制固定扣，由业主选购</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台阶</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石材台阶面</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1.面层:600x300x40厚烧面芝麻黑踏面、600X160X40厚烧面芝麻黑踢面</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2.结合层:20厚1:3干硬性水泥砂浆找平层</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3.垫层:150mm厚C25混凝土+150mm厚6%水泥石粉</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舞台景墙</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剪影浮雕1</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1.规格尺寸:2570*1500mm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2.名称:剪影浮雕1</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3.材质:5厚红紫渐变色304不锈钢板、50*50*5镀锌钢管</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4.基础:300*300*440钢筋混凝土</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5.预埋件:250*250*10镀锌钢板、2ø12 L=480mm长植筋</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剪影浮雕3</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1.规格尺寸:2815*1800mm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2.名称:剪影浮雕3</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3.材质:5厚红紫渐变色304不锈钢板，ø8钢筋固定</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剪影浮雕2</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1.规格尺寸:2690*2160mm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2.名称:剪影浮雕2</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3.材质:5厚红紫渐变色304不锈钢板，ø8钢筋固定</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剪影浮雕4</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1.规格尺寸:2630*1700mm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2.名称:剪影浮雕2</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3.材质:5厚红紫渐变色304不锈钢板、50*50*5镀锌钢管</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4.基础:300*300*440钢筋混凝土</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5.预埋件:250*250*10镀锌钢板、2ø12 L=480mm长植筋</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实心砖墙</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1.砖品种、规格、强度等级:240厚砖砌体(MU10,M7.5)</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2.墙体类型:外墙</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10.6176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墙面一般抹灰</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1.墙体类型:外墙</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2.底层厚度、砂浆配合比:20厚1：3干硬性水泥砂浆找平层</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石材墙面</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1.面层材料品种、规格、颜色:600x300x30厚深灰色大理石</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石材墙面</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1.面层材料品种、规格、颜色:600x280x20厚深灰色大理石</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墙面装饰板</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1.龙骨材料种类、规格、中距:100*100*5厚方钢</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舞台LED高清液晶屏</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1.名称:舞台LED高清液晶屏</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2.规格:10000*3200mm</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排水沟</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挖沟槽土方</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1.土壤类别:综合考虑</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2.挖土深度:2m内</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回填方</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1.密实度要求:达到使用要求</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2.填方材料品种:原土</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余方弃置</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1.废弃料品种:原土</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2.运距:10km</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32.7752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盖板排水沟</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1.基础、垫层:材料品种、厚度:100mm厚6%水泥石粉垫层</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2.砌体材料:M7.5砂浆砌筑MU10砖</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3.砂浆强度等级:20厚1：3干硬性水泥砂浆找平层</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4.盖板:600*290*50厚烧面芝麻黑穿孔排水盖板</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舞台</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石材墙面</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1.面层材料品种、规格、颜色:600*300*40厚烧面芝麻灰</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17.3416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石材楼地面</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1.面层材料品种、规格、颜色:600X600X40厚烧面芝麻灰</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2.找平层厚度、砂浆配合比:20厚1:3干硬性水泥砂浆找平</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石材楼地面</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1.面层材料品种、规格、颜色:600X500X40厚烧面芝麻灰</w:t>
            </w:r>
          </w:p>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2.找平层厚度、砂浆配合比:20厚1:3干硬性水泥砂浆找平</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m2</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砖基础</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1.砖品种、规格、强度等级:砖砌体(MU10,M7.5)</w:t>
            </w:r>
          </w:p>
        </w:tc>
        <w:tc>
          <w:tcPr>
            <w:tcW w:w="4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5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174.92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39</w:t>
            </w:r>
          </w:p>
        </w:tc>
        <w:tc>
          <w:tcPr>
            <w:tcW w:w="9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措施项目</w:t>
            </w:r>
          </w:p>
        </w:tc>
        <w:tc>
          <w:tcPr>
            <w:tcW w:w="26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auto"/>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项</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1</w:t>
            </w:r>
          </w:p>
        </w:tc>
      </w:tr>
    </w:tbl>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eastAsia="宋体"/>
          <w:color w:val="auto"/>
          <w:highlight w:val="none"/>
          <w:lang w:eastAsia="zh-CN"/>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12485"/>
      <w:bookmarkStart w:id="201" w:name="_Toc21448"/>
    </w:p>
    <w:p>
      <w:pPr>
        <w:rPr>
          <w:rFonts w:hint="eastAsia"/>
          <w:color w:val="auto"/>
          <w:sz w:val="28"/>
          <w:szCs w:val="28"/>
          <w:highlight w:val="none"/>
        </w:rPr>
      </w:pPr>
      <w:bookmarkStart w:id="202" w:name="_Toc17329"/>
      <w:r>
        <w:rPr>
          <w:rFonts w:hint="eastAsia"/>
          <w:color w:val="auto"/>
          <w:sz w:val="28"/>
          <w:szCs w:val="28"/>
          <w:highlight w:val="none"/>
        </w:rPr>
        <w:br w:type="page"/>
      </w:r>
    </w:p>
    <w:p>
      <w:pPr>
        <w:pStyle w:val="4"/>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3430"/>
      <w:bookmarkStart w:id="204" w:name="_Toc21155"/>
      <w:bookmarkStart w:id="205" w:name="_Toc1534"/>
    </w:p>
    <w:p>
      <w:pPr>
        <w:pStyle w:val="5"/>
        <w:spacing w:before="0" w:after="0" w:line="240" w:lineRule="auto"/>
        <w:jc w:val="center"/>
        <w:rPr>
          <w:rFonts w:ascii="宋体" w:hAnsi="宋体" w:eastAsia="宋体" w:cs="宋体"/>
          <w:color w:val="auto"/>
          <w:highlight w:val="none"/>
        </w:rPr>
      </w:pPr>
      <w:bookmarkStart w:id="206" w:name="_Toc16730"/>
      <w:bookmarkStart w:id="207" w:name="_Toc29470"/>
      <w:bookmarkStart w:id="208" w:name="_Toc19575"/>
      <w:r>
        <w:rPr>
          <w:rFonts w:hint="eastAsia" w:ascii="宋体" w:hAnsi="宋体" w:eastAsia="宋体" w:cs="宋体"/>
          <w:color w:val="auto"/>
          <w:highlight w:val="none"/>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209" w:name="_Toc15158"/>
      <w:bookmarkStart w:id="210" w:name="_Toc31587"/>
      <w:bookmarkStart w:id="211"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26830"/>
      <w:bookmarkStart w:id="213" w:name="_Toc6790"/>
      <w:bookmarkStart w:id="214" w:name="_Toc2434"/>
      <w:r>
        <w:rPr>
          <w:rFonts w:hint="eastAsia"/>
          <w:color w:val="auto"/>
          <w:highlight w:val="none"/>
          <w:lang w:eastAsia="zh-CN"/>
        </w:rPr>
        <w:t>响应文件</w:t>
      </w:r>
      <w:r>
        <w:rPr>
          <w:rFonts w:hint="eastAsia"/>
          <w:color w:val="auto"/>
          <w:highlight w:val="none"/>
        </w:rPr>
        <w:t>目录</w:t>
      </w:r>
      <w:bookmarkEnd w:id="212"/>
      <w:bookmarkEnd w:id="213"/>
      <w:bookmarkEnd w:id="214"/>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28116"/>
      <w:bookmarkStart w:id="216" w:name="_Toc18893"/>
      <w:bookmarkStart w:id="217" w:name="_Toc25502"/>
      <w:r>
        <w:rPr>
          <w:rFonts w:hint="eastAsia"/>
          <w:color w:val="auto"/>
          <w:highlight w:val="none"/>
        </w:rPr>
        <w:t>评分标准索引表</w:t>
      </w:r>
      <w:bookmarkEnd w:id="215"/>
      <w:bookmarkEnd w:id="216"/>
      <w:bookmarkEnd w:id="217"/>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22080"/>
      <w:bookmarkStart w:id="219" w:name="_Toc19057"/>
      <w:bookmarkStart w:id="220" w:name="_Toc30640"/>
      <w:r>
        <w:rPr>
          <w:rFonts w:hint="eastAsia"/>
          <w:color w:val="auto"/>
          <w:highlight w:val="none"/>
          <w:lang w:val="en-US" w:eastAsia="zh-CN"/>
        </w:rPr>
        <w:t>第一章价格文件</w:t>
      </w:r>
      <w:bookmarkEnd w:id="218"/>
      <w:bookmarkEnd w:id="219"/>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9262"/>
      <w:bookmarkStart w:id="222" w:name="_Toc4168"/>
      <w:r>
        <w:rPr>
          <w:rFonts w:hint="eastAsia"/>
          <w:color w:val="auto"/>
          <w:highlight w:val="none"/>
          <w:lang w:val="en-US" w:eastAsia="zh-CN"/>
        </w:rPr>
        <w:t>一、报价一览表</w:t>
      </w:r>
      <w:bookmarkEnd w:id="221"/>
      <w:bookmarkEnd w:id="222"/>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pStyle w:val="8"/>
        <w:rPr>
          <w:color w:val="auto"/>
          <w:highlight w:val="none"/>
        </w:rPr>
      </w:pPr>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29258"/>
      <w:bookmarkStart w:id="224" w:name="_Toc31062"/>
      <w:r>
        <w:rPr>
          <w:rFonts w:hint="eastAsia"/>
          <w:color w:val="auto"/>
          <w:highlight w:val="none"/>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0974"/>
      <w:bookmarkStart w:id="226" w:name="_Toc14734"/>
      <w:r>
        <w:rPr>
          <w:rFonts w:hint="eastAsia"/>
          <w:color w:val="auto"/>
          <w:highlight w:val="none"/>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7483"/>
      <w:bookmarkStart w:id="228" w:name="_Toc16718"/>
      <w:r>
        <w:rPr>
          <w:rFonts w:hint="eastAsia"/>
          <w:color w:val="auto"/>
          <w:highlight w:val="none"/>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8170"/>
      <w:bookmarkStart w:id="230" w:name="_Toc10853"/>
      <w:r>
        <w:rPr>
          <w:rFonts w:hint="eastAsia"/>
          <w:color w:val="auto"/>
          <w:highlight w:val="none"/>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312"/>
      <w:bookmarkStart w:id="232" w:name="_Toc8560"/>
      <w:r>
        <w:rPr>
          <w:rFonts w:hint="eastAsia"/>
          <w:color w:val="auto"/>
          <w:highlight w:val="none"/>
          <w:lang w:val="en-US" w:eastAsia="zh-CN"/>
        </w:rPr>
        <w:t>六、残疾人福利性单位声明函</w:t>
      </w:r>
      <w:bookmarkEnd w:id="231"/>
      <w:bookmarkEnd w:id="232"/>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509844825"/>
      <w:bookmarkStart w:id="234" w:name="_Toc30247"/>
      <w:bookmarkStart w:id="235" w:name="_Toc17761"/>
      <w:bookmarkStart w:id="236" w:name="_Toc509927455"/>
      <w:bookmarkStart w:id="237" w:name="_Toc22970"/>
      <w:bookmarkStart w:id="238" w:name="_Toc510171693"/>
      <w:bookmarkStart w:id="239" w:name="_Toc508958703"/>
      <w:bookmarkStart w:id="240" w:name="_Toc508898066"/>
      <w:bookmarkStart w:id="241" w:name="_Toc20910"/>
      <w:bookmarkStart w:id="242" w:name="_Toc508960153"/>
      <w:bookmarkStart w:id="243" w:name="_Toc509479530"/>
      <w:bookmarkStart w:id="244" w:name="_Toc30277"/>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26216"/>
      <w:bookmarkStart w:id="246" w:name="_Toc510171694"/>
      <w:bookmarkStart w:id="247" w:name="_Toc28527"/>
      <w:bookmarkStart w:id="248" w:name="_Toc21053"/>
      <w:bookmarkStart w:id="249" w:name="_Toc508898067"/>
      <w:bookmarkStart w:id="250" w:name="_Toc31520"/>
      <w:bookmarkStart w:id="251" w:name="_Toc5447"/>
      <w:bookmarkStart w:id="252" w:name="_Toc509844826"/>
      <w:bookmarkStart w:id="253" w:name="_Toc509479531"/>
      <w:bookmarkStart w:id="254" w:name="_Toc509927456"/>
      <w:bookmarkStart w:id="255" w:name="_Toc508960154"/>
      <w:bookmarkStart w:id="256" w:name="_Toc508958704"/>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509927457"/>
      <w:bookmarkStart w:id="258" w:name="_Toc510171695"/>
      <w:bookmarkStart w:id="259" w:name="_Toc508898068"/>
      <w:bookmarkStart w:id="260" w:name="_Toc508958705"/>
      <w:bookmarkStart w:id="261" w:name="_Toc509479532"/>
      <w:bookmarkStart w:id="262" w:name="_Toc28126"/>
      <w:bookmarkStart w:id="263" w:name="_Toc508960155"/>
      <w:bookmarkStart w:id="264" w:name="_Toc28626"/>
      <w:bookmarkStart w:id="265" w:name="_Toc509844827"/>
      <w:bookmarkStart w:id="266" w:name="_Toc9148"/>
      <w:bookmarkStart w:id="267" w:name="_Toc14653"/>
      <w:bookmarkStart w:id="268" w:name="_Toc24848"/>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508960156"/>
      <w:bookmarkStart w:id="270" w:name="_Toc509844828"/>
      <w:bookmarkStart w:id="271" w:name="_Toc509927458"/>
      <w:bookmarkStart w:id="272" w:name="_Toc7858"/>
      <w:bookmarkStart w:id="273" w:name="_Toc509479533"/>
      <w:bookmarkStart w:id="274" w:name="_Toc508958706"/>
      <w:bookmarkStart w:id="275" w:name="_Toc22981"/>
      <w:bookmarkStart w:id="276" w:name="_Toc28686"/>
      <w:bookmarkStart w:id="277" w:name="_Toc510171696"/>
      <w:bookmarkStart w:id="278" w:name="_Toc9837"/>
      <w:bookmarkStart w:id="279" w:name="_Toc508898069"/>
      <w:bookmarkStart w:id="280" w:name="_Toc28044"/>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5289"/>
      <w:bookmarkStart w:id="282" w:name="_Toc509844829"/>
      <w:bookmarkStart w:id="283" w:name="_Toc510171697"/>
      <w:bookmarkStart w:id="284" w:name="_Toc508960157"/>
      <w:bookmarkStart w:id="285" w:name="_Toc509479534"/>
      <w:bookmarkStart w:id="286" w:name="_Toc18843"/>
      <w:bookmarkStart w:id="287" w:name="_Toc509927459"/>
      <w:bookmarkStart w:id="288" w:name="_Toc508958707"/>
      <w:bookmarkStart w:id="289" w:name="_Toc508898070"/>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486"/>
      <w:bookmarkStart w:id="291" w:name="_Toc23948"/>
      <w:r>
        <w:rPr>
          <w:rFonts w:hint="eastAsia"/>
          <w:color w:val="auto"/>
          <w:highlight w:val="none"/>
          <w:lang w:val="en-US" w:eastAsia="zh-CN"/>
        </w:rPr>
        <w:t>第二章商务文件</w:t>
      </w:r>
      <w:bookmarkEnd w:id="290"/>
      <w:bookmarkEnd w:id="291"/>
    </w:p>
    <w:bookmarkEnd w:id="220"/>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4151"/>
      <w:bookmarkStart w:id="293" w:name="_Toc23787"/>
      <w:r>
        <w:rPr>
          <w:rFonts w:hint="eastAsia"/>
          <w:color w:val="auto"/>
          <w:highlight w:val="none"/>
          <w:lang w:val="en-US" w:eastAsia="zh-CN"/>
        </w:rPr>
        <w:t>一、响应函</w:t>
      </w:r>
      <w:bookmarkEnd w:id="292"/>
      <w:bookmarkEnd w:id="293"/>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27961"/>
      <w:bookmarkStart w:id="295" w:name="_Toc15719"/>
      <w:r>
        <w:rPr>
          <w:rFonts w:hint="eastAsia"/>
          <w:color w:val="auto"/>
          <w:highlight w:val="none"/>
          <w:lang w:val="en-US" w:eastAsia="zh-CN"/>
        </w:rPr>
        <w:t>二、资格申明函</w:t>
      </w:r>
      <w:bookmarkEnd w:id="294"/>
      <w:bookmarkEnd w:id="29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296"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273"/>
      <w:bookmarkStart w:id="298" w:name="_Toc21335"/>
      <w:r>
        <w:rPr>
          <w:rFonts w:hint="eastAsia"/>
          <w:color w:val="auto"/>
          <w:highlight w:val="none"/>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32128"/>
      <w:bookmarkStart w:id="300" w:name="_Toc13243"/>
      <w:r>
        <w:rPr>
          <w:rFonts w:hint="eastAsia"/>
          <w:color w:val="auto"/>
          <w:highlight w:val="none"/>
          <w:lang w:val="en-US" w:eastAsia="zh-CN"/>
        </w:rPr>
        <w:t>四、法定代表人证明书</w:t>
      </w:r>
      <w:bookmarkEnd w:id="299"/>
      <w:bookmarkEnd w:id="300"/>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5918"/>
      <w:bookmarkStart w:id="302" w:name="_Toc11689"/>
      <w:r>
        <w:rPr>
          <w:rFonts w:hint="eastAsia"/>
          <w:color w:val="auto"/>
          <w:highlight w:val="none"/>
          <w:lang w:val="en-US" w:eastAsia="zh-CN"/>
        </w:rPr>
        <w:t>五、法定代表人授权书</w:t>
      </w:r>
      <w:bookmarkEnd w:id="301"/>
      <w:bookmarkEnd w:id="302"/>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4013"/>
      <w:bookmarkStart w:id="305" w:name="_Toc1197"/>
      <w:r>
        <w:rPr>
          <w:rFonts w:hint="eastAsia"/>
          <w:color w:val="auto"/>
          <w:highlight w:val="none"/>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24210"/>
      <w:bookmarkStart w:id="307" w:name="_Toc5919"/>
      <w:bookmarkStart w:id="308" w:name="_Toc29995"/>
      <w:bookmarkStart w:id="309" w:name="_Toc17470"/>
      <w:bookmarkStart w:id="310" w:name="_Toc1511"/>
      <w:bookmarkStart w:id="311" w:name="_Toc4926"/>
      <w:bookmarkStart w:id="312" w:name="_Toc11992"/>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29439"/>
      <w:bookmarkStart w:id="314" w:name="_Toc12706"/>
      <w:r>
        <w:rPr>
          <w:rFonts w:hint="eastAsia"/>
          <w:color w:val="auto"/>
          <w:highlight w:val="none"/>
          <w:lang w:val="en-US" w:eastAsia="zh-CN"/>
        </w:rPr>
        <w:t>八、</w:t>
      </w:r>
      <w:r>
        <w:rPr>
          <w:rFonts w:hint="eastAsia"/>
          <w:color w:val="auto"/>
          <w:highlight w:val="none"/>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14482"/>
      <w:bookmarkStart w:id="316" w:name="_Toc23341"/>
      <w:r>
        <w:rPr>
          <w:rFonts w:hint="eastAsia"/>
          <w:color w:val="auto"/>
          <w:highlight w:val="none"/>
          <w:lang w:val="en-US" w:eastAsia="zh-CN"/>
        </w:rPr>
        <w:t>九、</w:t>
      </w:r>
      <w:r>
        <w:rPr>
          <w:rFonts w:hint="eastAsia"/>
          <w:color w:val="auto"/>
          <w:highlight w:val="none"/>
        </w:rPr>
        <w:t>承诺书</w:t>
      </w:r>
      <w:bookmarkEnd w:id="315"/>
      <w:bookmarkEnd w:id="316"/>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31815"/>
      <w:bookmarkStart w:id="319" w:name="_Toc13653"/>
      <w:r>
        <w:rPr>
          <w:rFonts w:hint="eastAsia"/>
          <w:color w:val="auto"/>
          <w:highlight w:val="none"/>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1975"/>
      <w:bookmarkStart w:id="321" w:name="_Toc21582"/>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2"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25391"/>
      <w:bookmarkStart w:id="324" w:name="_Toc7350"/>
      <w:r>
        <w:rPr>
          <w:rFonts w:hint="eastAsia"/>
          <w:color w:val="auto"/>
          <w:highlight w:val="none"/>
          <w:lang w:val="en-US" w:eastAsia="zh-CN"/>
        </w:rPr>
        <w:t>十二、</w:t>
      </w:r>
      <w:r>
        <w:rPr>
          <w:rFonts w:hint="eastAsia"/>
          <w:color w:val="auto"/>
          <w:highlight w:val="none"/>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25650"/>
      <w:bookmarkStart w:id="326" w:name="_Toc14688"/>
      <w:r>
        <w:rPr>
          <w:rFonts w:hint="eastAsia"/>
          <w:color w:val="auto"/>
          <w:highlight w:val="none"/>
          <w:lang w:val="en-US" w:eastAsia="zh-CN"/>
        </w:rPr>
        <w:t>第三章技术文件</w:t>
      </w:r>
      <w:bookmarkEnd w:id="322"/>
      <w:bookmarkEnd w:id="325"/>
      <w:bookmarkEnd w:id="32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7092"/>
      <w:bookmarkStart w:id="328" w:name="_Toc13588"/>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6080"/>
      <w:bookmarkStart w:id="331" w:name="_Toc18668"/>
      <w:bookmarkStart w:id="332" w:name="_Toc1274"/>
      <w:bookmarkStart w:id="333" w:name="_Toc26078"/>
      <w:bookmarkStart w:id="334" w:name="_Toc4827"/>
      <w:bookmarkStart w:id="335" w:name="_Toc4464"/>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28702"/>
      <w:bookmarkStart w:id="337" w:name="_Toc10734"/>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7079"/>
            <w:bookmarkStart w:id="339" w:name="_Toc29560"/>
            <w:bookmarkStart w:id="340" w:name="_Toc2784"/>
            <w:bookmarkStart w:id="341" w:name="_Toc29642"/>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6189"/>
            <w:bookmarkStart w:id="343" w:name="_Toc4304"/>
            <w:bookmarkStart w:id="344" w:name="_Toc22448"/>
            <w:bookmarkStart w:id="345" w:name="_Toc14815"/>
            <w:bookmarkStart w:id="346" w:name="_Toc27090"/>
            <w:bookmarkStart w:id="347" w:name="_Toc15903"/>
            <w:bookmarkStart w:id="348" w:name="_Toc1016"/>
            <w:bookmarkStart w:id="349" w:name="_Toc21739"/>
            <w:bookmarkStart w:id="350" w:name="_Toc15368"/>
            <w:bookmarkStart w:id="351" w:name="_Toc26124"/>
            <w:bookmarkStart w:id="352" w:name="_Toc16872"/>
            <w:bookmarkStart w:id="353" w:name="_Toc10045"/>
            <w:bookmarkStart w:id="354" w:name="_Toc12049"/>
            <w:bookmarkStart w:id="355" w:name="_Toc2700"/>
            <w:bookmarkStart w:id="356" w:name="_Toc8490"/>
            <w:bookmarkStart w:id="357" w:name="_Toc27442"/>
            <w:bookmarkStart w:id="358" w:name="_Toc22879"/>
            <w:bookmarkStart w:id="359" w:name="_Toc19251"/>
            <w:bookmarkStart w:id="360" w:name="_Toc8312"/>
            <w:bookmarkStart w:id="361" w:name="_Toc7333"/>
            <w:bookmarkStart w:id="362" w:name="_Toc32531"/>
            <w:bookmarkStart w:id="363" w:name="_Toc24662"/>
            <w:bookmarkStart w:id="364" w:name="_Toc21809"/>
            <w:bookmarkStart w:id="365" w:name="_Toc22917"/>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10122"/>
            <w:bookmarkStart w:id="367" w:name="_Toc22153"/>
            <w:bookmarkStart w:id="368" w:name="_Toc2408"/>
            <w:bookmarkStart w:id="369" w:name="_Toc21496"/>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16432"/>
            <w:bookmarkStart w:id="371" w:name="_Toc16003"/>
            <w:bookmarkStart w:id="372" w:name="_Toc29838"/>
            <w:bookmarkStart w:id="373" w:name="_Toc27285"/>
            <w:bookmarkStart w:id="374" w:name="_Toc20820"/>
            <w:bookmarkStart w:id="375" w:name="_Toc27185"/>
            <w:bookmarkStart w:id="376" w:name="_Toc1330"/>
            <w:bookmarkStart w:id="377" w:name="_Toc20139"/>
            <w:bookmarkStart w:id="378" w:name="_Toc1912"/>
            <w:bookmarkStart w:id="379" w:name="_Toc5563"/>
            <w:bookmarkStart w:id="380" w:name="_Toc5992"/>
            <w:bookmarkStart w:id="381" w:name="_Toc17296"/>
            <w:bookmarkStart w:id="382" w:name="_Toc3701"/>
            <w:bookmarkStart w:id="383" w:name="_Toc17642"/>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857"/>
            <w:bookmarkStart w:id="385" w:name="_Toc31920"/>
            <w:bookmarkStart w:id="386" w:name="_Toc3520"/>
            <w:bookmarkStart w:id="387" w:name="_Toc19105"/>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2"/>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2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328"/>
      <w:bookmarkStart w:id="392" w:name="_Toc16875"/>
      <w:r>
        <w:rPr>
          <w:rFonts w:hint="eastAsia"/>
          <w:color w:val="auto"/>
          <w:highlight w:val="none"/>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15431"/>
      <w:bookmarkStart w:id="394" w:name="_Toc27978"/>
      <w:r>
        <w:rPr>
          <w:rFonts w:hint="eastAsia"/>
          <w:color w:val="auto"/>
          <w:highlight w:val="none"/>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26782"/>
      <w:bookmarkStart w:id="397" w:name="_Toc17348"/>
      <w:r>
        <w:rPr>
          <w:rFonts w:hint="eastAsia"/>
          <w:color w:val="auto"/>
          <w:highlight w:val="none"/>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13881"/>
      <w:bookmarkStart w:id="400" w:name="_Toc22736"/>
      <w:r>
        <w:rPr>
          <w:rFonts w:hint="eastAsia"/>
          <w:color w:val="auto"/>
          <w:highlight w:val="none"/>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8"/>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4E2E49"/>
    <w:rsid w:val="02A741FD"/>
    <w:rsid w:val="02C16E5D"/>
    <w:rsid w:val="02D964CF"/>
    <w:rsid w:val="02DC3F04"/>
    <w:rsid w:val="0340787C"/>
    <w:rsid w:val="03707410"/>
    <w:rsid w:val="037F03E3"/>
    <w:rsid w:val="03A0770F"/>
    <w:rsid w:val="03A27BF9"/>
    <w:rsid w:val="03A448B8"/>
    <w:rsid w:val="03A4578A"/>
    <w:rsid w:val="03AD071E"/>
    <w:rsid w:val="03D10969"/>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5D1459"/>
    <w:rsid w:val="0AA534D5"/>
    <w:rsid w:val="0AA650EB"/>
    <w:rsid w:val="0AB8066A"/>
    <w:rsid w:val="0AF47339"/>
    <w:rsid w:val="0B22594B"/>
    <w:rsid w:val="0B6709D0"/>
    <w:rsid w:val="0B797387"/>
    <w:rsid w:val="0B9A670B"/>
    <w:rsid w:val="0BC044BE"/>
    <w:rsid w:val="0BDF26F7"/>
    <w:rsid w:val="0C264099"/>
    <w:rsid w:val="0C2B4952"/>
    <w:rsid w:val="0C5B112B"/>
    <w:rsid w:val="0C7B2220"/>
    <w:rsid w:val="0D527BA9"/>
    <w:rsid w:val="0D890E47"/>
    <w:rsid w:val="0DC64A00"/>
    <w:rsid w:val="0DFC60BA"/>
    <w:rsid w:val="0DFF4FAE"/>
    <w:rsid w:val="0E236A8E"/>
    <w:rsid w:val="0E4249F1"/>
    <w:rsid w:val="0F6C5A53"/>
    <w:rsid w:val="0F7C5FF6"/>
    <w:rsid w:val="0FC63FBD"/>
    <w:rsid w:val="106C564D"/>
    <w:rsid w:val="107B7B8F"/>
    <w:rsid w:val="107C67CE"/>
    <w:rsid w:val="108F06C9"/>
    <w:rsid w:val="109D68CB"/>
    <w:rsid w:val="10A949B8"/>
    <w:rsid w:val="10C54639"/>
    <w:rsid w:val="10DC50D7"/>
    <w:rsid w:val="11200D07"/>
    <w:rsid w:val="11DA73AF"/>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5735E00"/>
    <w:rsid w:val="157D38E3"/>
    <w:rsid w:val="15D359D7"/>
    <w:rsid w:val="15D81E0F"/>
    <w:rsid w:val="161771F3"/>
    <w:rsid w:val="16222D6D"/>
    <w:rsid w:val="163C77BE"/>
    <w:rsid w:val="16453F42"/>
    <w:rsid w:val="16632F86"/>
    <w:rsid w:val="1679588C"/>
    <w:rsid w:val="16994962"/>
    <w:rsid w:val="169E6A82"/>
    <w:rsid w:val="16A71041"/>
    <w:rsid w:val="16AA24BF"/>
    <w:rsid w:val="16F72341"/>
    <w:rsid w:val="17680CAB"/>
    <w:rsid w:val="176E4128"/>
    <w:rsid w:val="1783371F"/>
    <w:rsid w:val="17E62B67"/>
    <w:rsid w:val="180C0192"/>
    <w:rsid w:val="180F4499"/>
    <w:rsid w:val="18213E65"/>
    <w:rsid w:val="18221ECE"/>
    <w:rsid w:val="190B7894"/>
    <w:rsid w:val="19135859"/>
    <w:rsid w:val="196F5988"/>
    <w:rsid w:val="19A2789F"/>
    <w:rsid w:val="1A3109F9"/>
    <w:rsid w:val="1A460CF5"/>
    <w:rsid w:val="1A7F297D"/>
    <w:rsid w:val="1AB16AC1"/>
    <w:rsid w:val="1B034A52"/>
    <w:rsid w:val="1B1F34AD"/>
    <w:rsid w:val="1B8D5DC6"/>
    <w:rsid w:val="1BA7712F"/>
    <w:rsid w:val="1BFE1D3B"/>
    <w:rsid w:val="1C2775EC"/>
    <w:rsid w:val="1C750ECE"/>
    <w:rsid w:val="1CA22168"/>
    <w:rsid w:val="1D0836D7"/>
    <w:rsid w:val="1D196139"/>
    <w:rsid w:val="1D3A2A58"/>
    <w:rsid w:val="1DB85900"/>
    <w:rsid w:val="1DF051AF"/>
    <w:rsid w:val="1E010AF7"/>
    <w:rsid w:val="1E0178EB"/>
    <w:rsid w:val="1E301173"/>
    <w:rsid w:val="1E38333E"/>
    <w:rsid w:val="1E5C7612"/>
    <w:rsid w:val="1EA40BB4"/>
    <w:rsid w:val="1F43381C"/>
    <w:rsid w:val="1F84495C"/>
    <w:rsid w:val="1FA4148D"/>
    <w:rsid w:val="1FA86F5D"/>
    <w:rsid w:val="200E7BD0"/>
    <w:rsid w:val="20121621"/>
    <w:rsid w:val="201A421D"/>
    <w:rsid w:val="20341172"/>
    <w:rsid w:val="204E554F"/>
    <w:rsid w:val="20590035"/>
    <w:rsid w:val="20C35213"/>
    <w:rsid w:val="20FC799E"/>
    <w:rsid w:val="22154DDD"/>
    <w:rsid w:val="22213E42"/>
    <w:rsid w:val="22336873"/>
    <w:rsid w:val="22CB610F"/>
    <w:rsid w:val="23175889"/>
    <w:rsid w:val="2373706C"/>
    <w:rsid w:val="238C2182"/>
    <w:rsid w:val="239015D1"/>
    <w:rsid w:val="23BB4E7D"/>
    <w:rsid w:val="23C172D6"/>
    <w:rsid w:val="23F04F64"/>
    <w:rsid w:val="24814CBE"/>
    <w:rsid w:val="24AC168B"/>
    <w:rsid w:val="258C3BEC"/>
    <w:rsid w:val="25A92CDD"/>
    <w:rsid w:val="25E44366"/>
    <w:rsid w:val="25E576CC"/>
    <w:rsid w:val="260E3862"/>
    <w:rsid w:val="262569FC"/>
    <w:rsid w:val="26344C98"/>
    <w:rsid w:val="26E009A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1E2AFB"/>
    <w:rsid w:val="2A586210"/>
    <w:rsid w:val="2A8D4F8F"/>
    <w:rsid w:val="2A911082"/>
    <w:rsid w:val="2A917B34"/>
    <w:rsid w:val="2AE3766F"/>
    <w:rsid w:val="2B7E4054"/>
    <w:rsid w:val="2BF22742"/>
    <w:rsid w:val="2C987C56"/>
    <w:rsid w:val="2CFF149A"/>
    <w:rsid w:val="2D201865"/>
    <w:rsid w:val="2D352080"/>
    <w:rsid w:val="2D4B5CEA"/>
    <w:rsid w:val="2D652658"/>
    <w:rsid w:val="2DC80C49"/>
    <w:rsid w:val="2DCA6355"/>
    <w:rsid w:val="2DF0699F"/>
    <w:rsid w:val="2DF36FAB"/>
    <w:rsid w:val="2E166748"/>
    <w:rsid w:val="2E556F01"/>
    <w:rsid w:val="2E8E20B4"/>
    <w:rsid w:val="2ED06066"/>
    <w:rsid w:val="2ED1223D"/>
    <w:rsid w:val="2EE470F7"/>
    <w:rsid w:val="2F000139"/>
    <w:rsid w:val="2F3C426E"/>
    <w:rsid w:val="2F561B8A"/>
    <w:rsid w:val="2F9F42DC"/>
    <w:rsid w:val="2FE04319"/>
    <w:rsid w:val="2FF37AB3"/>
    <w:rsid w:val="30AD49F0"/>
    <w:rsid w:val="30FF27D2"/>
    <w:rsid w:val="311573CF"/>
    <w:rsid w:val="31170995"/>
    <w:rsid w:val="31264A30"/>
    <w:rsid w:val="31884E67"/>
    <w:rsid w:val="31A0275E"/>
    <w:rsid w:val="31B7357A"/>
    <w:rsid w:val="31E14405"/>
    <w:rsid w:val="31ED6B08"/>
    <w:rsid w:val="31F915C9"/>
    <w:rsid w:val="322650EA"/>
    <w:rsid w:val="32610CE6"/>
    <w:rsid w:val="328464CE"/>
    <w:rsid w:val="32AB70C5"/>
    <w:rsid w:val="32DC33E0"/>
    <w:rsid w:val="335D0AF5"/>
    <w:rsid w:val="33614D0F"/>
    <w:rsid w:val="3370088C"/>
    <w:rsid w:val="33A3154A"/>
    <w:rsid w:val="33DC2F78"/>
    <w:rsid w:val="3428227C"/>
    <w:rsid w:val="343B1793"/>
    <w:rsid w:val="34672D35"/>
    <w:rsid w:val="35260F83"/>
    <w:rsid w:val="35602226"/>
    <w:rsid w:val="356B72E7"/>
    <w:rsid w:val="3572424F"/>
    <w:rsid w:val="35FC3844"/>
    <w:rsid w:val="36213401"/>
    <w:rsid w:val="36794DEF"/>
    <w:rsid w:val="36AD519D"/>
    <w:rsid w:val="36B57705"/>
    <w:rsid w:val="37406AD8"/>
    <w:rsid w:val="374F1A0B"/>
    <w:rsid w:val="37A103ED"/>
    <w:rsid w:val="37EA5E6E"/>
    <w:rsid w:val="37FF016F"/>
    <w:rsid w:val="38427C0B"/>
    <w:rsid w:val="387C5ABE"/>
    <w:rsid w:val="389B3A1E"/>
    <w:rsid w:val="38EB6119"/>
    <w:rsid w:val="399E320F"/>
    <w:rsid w:val="39DE33DA"/>
    <w:rsid w:val="39FA5B4A"/>
    <w:rsid w:val="39FE0BE9"/>
    <w:rsid w:val="3A152386"/>
    <w:rsid w:val="3A3C1AAF"/>
    <w:rsid w:val="3A4B7CC1"/>
    <w:rsid w:val="3A51228C"/>
    <w:rsid w:val="3A552E60"/>
    <w:rsid w:val="3A5D642F"/>
    <w:rsid w:val="3AB210FC"/>
    <w:rsid w:val="3ACE216B"/>
    <w:rsid w:val="3AD95C13"/>
    <w:rsid w:val="3B261E51"/>
    <w:rsid w:val="3B8D031E"/>
    <w:rsid w:val="3B973F88"/>
    <w:rsid w:val="3BC95762"/>
    <w:rsid w:val="3BCD72F7"/>
    <w:rsid w:val="3C414142"/>
    <w:rsid w:val="3C9121FF"/>
    <w:rsid w:val="3CE114D9"/>
    <w:rsid w:val="3CF737A2"/>
    <w:rsid w:val="3CF7509A"/>
    <w:rsid w:val="3D10295A"/>
    <w:rsid w:val="3DEC02AE"/>
    <w:rsid w:val="3E0572FD"/>
    <w:rsid w:val="3E1A5292"/>
    <w:rsid w:val="3E5A7FE7"/>
    <w:rsid w:val="3EC8179E"/>
    <w:rsid w:val="3EEA70F2"/>
    <w:rsid w:val="3EF66B2E"/>
    <w:rsid w:val="3F217914"/>
    <w:rsid w:val="3FD70BB0"/>
    <w:rsid w:val="3FFB55AC"/>
    <w:rsid w:val="401C5F9D"/>
    <w:rsid w:val="401C690C"/>
    <w:rsid w:val="401D7195"/>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A7D24"/>
    <w:rsid w:val="42FD694D"/>
    <w:rsid w:val="434A6D8F"/>
    <w:rsid w:val="4397723B"/>
    <w:rsid w:val="43D522BF"/>
    <w:rsid w:val="43FA5777"/>
    <w:rsid w:val="44044D92"/>
    <w:rsid w:val="441C1611"/>
    <w:rsid w:val="44212CEC"/>
    <w:rsid w:val="443C440B"/>
    <w:rsid w:val="443F7DBF"/>
    <w:rsid w:val="44514F52"/>
    <w:rsid w:val="446D66E7"/>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0220DE"/>
    <w:rsid w:val="48044F7F"/>
    <w:rsid w:val="482D31EA"/>
    <w:rsid w:val="485970A0"/>
    <w:rsid w:val="48847961"/>
    <w:rsid w:val="48A41906"/>
    <w:rsid w:val="48B65C71"/>
    <w:rsid w:val="48BB5EC4"/>
    <w:rsid w:val="48F303D7"/>
    <w:rsid w:val="492837FF"/>
    <w:rsid w:val="492E6A57"/>
    <w:rsid w:val="49B86103"/>
    <w:rsid w:val="49E62540"/>
    <w:rsid w:val="4A0030EE"/>
    <w:rsid w:val="4A243364"/>
    <w:rsid w:val="4AB75B3A"/>
    <w:rsid w:val="4AC36065"/>
    <w:rsid w:val="4B560086"/>
    <w:rsid w:val="4B7501F5"/>
    <w:rsid w:val="4B8C2DEB"/>
    <w:rsid w:val="4BFA3C9F"/>
    <w:rsid w:val="4C0E3379"/>
    <w:rsid w:val="4C107F48"/>
    <w:rsid w:val="4C3277BC"/>
    <w:rsid w:val="4C686851"/>
    <w:rsid w:val="4CC353EB"/>
    <w:rsid w:val="4CDB1AE6"/>
    <w:rsid w:val="4CF36F3C"/>
    <w:rsid w:val="4CFC69A5"/>
    <w:rsid w:val="4D1C7703"/>
    <w:rsid w:val="4D4F67BA"/>
    <w:rsid w:val="4D603399"/>
    <w:rsid w:val="4D867EE1"/>
    <w:rsid w:val="4DBC4C65"/>
    <w:rsid w:val="4DF6568D"/>
    <w:rsid w:val="4E2E1A80"/>
    <w:rsid w:val="4E550010"/>
    <w:rsid w:val="4E5F14CB"/>
    <w:rsid w:val="4ED109FE"/>
    <w:rsid w:val="4ED95E04"/>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5F3BF1"/>
    <w:rsid w:val="537A7243"/>
    <w:rsid w:val="539C1B81"/>
    <w:rsid w:val="53AA6184"/>
    <w:rsid w:val="53AE750F"/>
    <w:rsid w:val="53EB0895"/>
    <w:rsid w:val="53F263AD"/>
    <w:rsid w:val="54693932"/>
    <w:rsid w:val="549A6BFA"/>
    <w:rsid w:val="54A6423F"/>
    <w:rsid w:val="54E72921"/>
    <w:rsid w:val="55806F07"/>
    <w:rsid w:val="55A44ACC"/>
    <w:rsid w:val="55D9752F"/>
    <w:rsid w:val="55FA2961"/>
    <w:rsid w:val="565E7F4F"/>
    <w:rsid w:val="56775789"/>
    <w:rsid w:val="56857D06"/>
    <w:rsid w:val="56914056"/>
    <w:rsid w:val="569F0E63"/>
    <w:rsid w:val="56A05DC4"/>
    <w:rsid w:val="56DB613D"/>
    <w:rsid w:val="573810DA"/>
    <w:rsid w:val="57FC2169"/>
    <w:rsid w:val="58096275"/>
    <w:rsid w:val="580E4560"/>
    <w:rsid w:val="581C04F1"/>
    <w:rsid w:val="582E6EF7"/>
    <w:rsid w:val="58434392"/>
    <w:rsid w:val="584E30E6"/>
    <w:rsid w:val="587627C6"/>
    <w:rsid w:val="59014D02"/>
    <w:rsid w:val="59186D4A"/>
    <w:rsid w:val="592E16F6"/>
    <w:rsid w:val="597B384D"/>
    <w:rsid w:val="59996DA8"/>
    <w:rsid w:val="59AC3CE9"/>
    <w:rsid w:val="59C30F1B"/>
    <w:rsid w:val="5A0D5854"/>
    <w:rsid w:val="5A20156F"/>
    <w:rsid w:val="5A2A32CF"/>
    <w:rsid w:val="5A2F40E0"/>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7A2C30"/>
    <w:rsid w:val="5FBE370A"/>
    <w:rsid w:val="5FD62906"/>
    <w:rsid w:val="60292845"/>
    <w:rsid w:val="60403E3A"/>
    <w:rsid w:val="61027308"/>
    <w:rsid w:val="612E1A5D"/>
    <w:rsid w:val="614F559F"/>
    <w:rsid w:val="616A73F6"/>
    <w:rsid w:val="61816046"/>
    <w:rsid w:val="62182687"/>
    <w:rsid w:val="62391564"/>
    <w:rsid w:val="62816669"/>
    <w:rsid w:val="62BA0953"/>
    <w:rsid w:val="62D03A7C"/>
    <w:rsid w:val="62F16BCB"/>
    <w:rsid w:val="62F648FE"/>
    <w:rsid w:val="63341DB1"/>
    <w:rsid w:val="63447612"/>
    <w:rsid w:val="63907004"/>
    <w:rsid w:val="639A73C1"/>
    <w:rsid w:val="63A10995"/>
    <w:rsid w:val="63A573AB"/>
    <w:rsid w:val="63B73E59"/>
    <w:rsid w:val="63C23EFA"/>
    <w:rsid w:val="63E52E10"/>
    <w:rsid w:val="64210135"/>
    <w:rsid w:val="643A070A"/>
    <w:rsid w:val="644C573D"/>
    <w:rsid w:val="64660CBB"/>
    <w:rsid w:val="648667A7"/>
    <w:rsid w:val="64DB383A"/>
    <w:rsid w:val="65032F85"/>
    <w:rsid w:val="65136B50"/>
    <w:rsid w:val="657E2A35"/>
    <w:rsid w:val="6588751C"/>
    <w:rsid w:val="65A94E9D"/>
    <w:rsid w:val="65C60A92"/>
    <w:rsid w:val="65C7105B"/>
    <w:rsid w:val="65F3550D"/>
    <w:rsid w:val="662203DD"/>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577FA5"/>
    <w:rsid w:val="6B723594"/>
    <w:rsid w:val="6B805156"/>
    <w:rsid w:val="6B9A1267"/>
    <w:rsid w:val="6BD50977"/>
    <w:rsid w:val="6BEA0C8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E352ED"/>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F70999"/>
    <w:rsid w:val="79FE1DDD"/>
    <w:rsid w:val="7A075767"/>
    <w:rsid w:val="7A212062"/>
    <w:rsid w:val="7A282A11"/>
    <w:rsid w:val="7A9E3ACF"/>
    <w:rsid w:val="7AB90FF6"/>
    <w:rsid w:val="7AC21562"/>
    <w:rsid w:val="7AD474A4"/>
    <w:rsid w:val="7B115232"/>
    <w:rsid w:val="7B401C35"/>
    <w:rsid w:val="7B416BDC"/>
    <w:rsid w:val="7B5350AD"/>
    <w:rsid w:val="7B6867EB"/>
    <w:rsid w:val="7B697C89"/>
    <w:rsid w:val="7B7635D5"/>
    <w:rsid w:val="7B8D34C3"/>
    <w:rsid w:val="7B971D84"/>
    <w:rsid w:val="7BF32F03"/>
    <w:rsid w:val="7C1724A5"/>
    <w:rsid w:val="7C8E3CCF"/>
    <w:rsid w:val="7CA54112"/>
    <w:rsid w:val="7CE50CE4"/>
    <w:rsid w:val="7D2E5ABF"/>
    <w:rsid w:val="7DCA1E7A"/>
    <w:rsid w:val="7E2142A2"/>
    <w:rsid w:val="7E4F5384"/>
    <w:rsid w:val="7E5A6DFA"/>
    <w:rsid w:val="7E613B0F"/>
    <w:rsid w:val="7E7B0BF2"/>
    <w:rsid w:val="7E7C7A78"/>
    <w:rsid w:val="7E8D75B6"/>
    <w:rsid w:val="7EA34F14"/>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2">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7"/>
    <w:semiHidden/>
    <w:unhideWhenUsed/>
    <w:qFormat/>
    <w:uiPriority w:val="99"/>
    <w:pPr>
      <w:spacing w:after="0"/>
    </w:pPr>
    <w:rPr>
      <w:sz w:val="18"/>
      <w:szCs w:val="18"/>
    </w:rPr>
  </w:style>
  <w:style w:type="paragraph" w:styleId="13">
    <w:name w:val="footer"/>
    <w:basedOn w:val="1"/>
    <w:link w:val="46"/>
    <w:unhideWhenUsed/>
    <w:qFormat/>
    <w:uiPriority w:val="99"/>
    <w:pPr>
      <w:tabs>
        <w:tab w:val="center" w:pos="4153"/>
        <w:tab w:val="right" w:pos="8306"/>
      </w:tabs>
    </w:pPr>
    <w:rPr>
      <w:sz w:val="18"/>
      <w:szCs w:val="18"/>
    </w:rPr>
  </w:style>
  <w:style w:type="paragraph" w:styleId="14">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2"/>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next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10"/>
    <w:semiHidden/>
    <w:qFormat/>
    <w:uiPriority w:val="99"/>
    <w:rPr>
      <w:rFonts w:ascii="宋体" w:hAnsi="Courier New" w:eastAsia="宋体" w:cs="Courier New"/>
      <w:sz w:val="21"/>
      <w:szCs w:val="21"/>
    </w:rPr>
  </w:style>
  <w:style w:type="character" w:customStyle="1" w:styleId="45">
    <w:name w:val="页眉 Char"/>
    <w:basedOn w:val="24"/>
    <w:link w:val="14"/>
    <w:qFormat/>
    <w:uiPriority w:val="99"/>
    <w:rPr>
      <w:rFonts w:ascii="Tahoma" w:hAnsi="Tahoma"/>
      <w:sz w:val="18"/>
      <w:szCs w:val="18"/>
    </w:rPr>
  </w:style>
  <w:style w:type="character" w:customStyle="1" w:styleId="46">
    <w:name w:val="页脚 Char"/>
    <w:basedOn w:val="24"/>
    <w:link w:val="13"/>
    <w:qFormat/>
    <w:uiPriority w:val="99"/>
    <w:rPr>
      <w:rFonts w:ascii="Tahoma" w:hAnsi="Tahoma"/>
      <w:sz w:val="18"/>
      <w:szCs w:val="18"/>
    </w:rPr>
  </w:style>
  <w:style w:type="character" w:customStyle="1" w:styleId="47">
    <w:name w:val="批注框文本 Char"/>
    <w:basedOn w:val="24"/>
    <w:link w:val="12"/>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1"/>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77</Pages>
  <Words>32424</Words>
  <Characters>34084</Characters>
  <Lines>264</Lines>
  <Paragraphs>74</Paragraphs>
  <TotalTime>1</TotalTime>
  <ScaleCrop>false</ScaleCrop>
  <LinksUpToDate>false</LinksUpToDate>
  <CharactersWithSpaces>36458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2022-10-17T07:36:25Z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DEAB68F8B36B40FD9478E3D7C6D629D6</vt:lpwstr>
  </property>
</Properties>
</file>