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441900009-2022-00694</w:t>
      </w:r>
    </w:p>
    <w:p>
      <w:pPr>
        <w:jc w:val="center"/>
      </w:pPr>
      <w:r>
        <w:rPr>
          <w:b/>
          <w:sz w:val="24"/>
        </w:rPr>
        <w:t>采购项目编号：</w:t>
      </w:r>
      <w:r>
        <w:rPr>
          <w:b/>
          <w:sz w:val="24"/>
        </w:rPr>
        <w:t>441900009-2022-00694</w:t>
      </w:r>
    </w:p>
    <w:p>
      <w:pPr>
        <w:jc w:val="center"/>
      </w:pPr>
      <w:r>
        <w:rPr>
          <w:b/>
          <w:sz w:val="24"/>
        </w:rPr>
        <w:t>项目名称：</w:t>
      </w:r>
      <w:r>
        <w:rPr>
          <w:b/>
          <w:sz w:val="24"/>
        </w:rPr>
        <w:t>东莞市高新技术产品展销中心建设运营项目</w:t>
      </w:r>
    </w:p>
    <w:p>
      <w:pPr>
        <w:jc w:val="center"/>
      </w:pPr>
      <w:r>
        <w:rPr>
          <w:b/>
          <w:sz w:val="24"/>
        </w:rPr>
        <w:t>采购人：</w:t>
      </w:r>
      <w:r>
        <w:rPr>
          <w:b/>
          <w:sz w:val="24"/>
        </w:rPr>
        <w:t>东莞松山湖高新技术产业开发区管理委员会产业发展局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东莞松山湖高新技术产业开发区管理委员会产业发展局</w:t>
      </w:r>
      <w:r>
        <w:rPr/>
        <w:t>的委托，采用</w:t>
      </w:r>
      <w:r>
        <w:rPr/>
        <w:t>公开招标</w:t>
      </w:r>
      <w:r>
        <w:rPr/>
        <w:t>方式组织采购</w:t>
      </w:r>
      <w:r>
        <w:rPr/>
        <w:t>东莞市高新技术产品展销中心建设运营项目</w:t>
      </w:r>
      <w:r>
        <w:rPr/>
        <w:t>。欢迎符合资格条件的国内供应商参加投标。</w:t>
      </w:r>
    </w:p>
    <w:p>
      <w:r>
        <w:rPr>
          <w:b/>
          <w:sz w:val="28"/>
        </w:rPr>
        <w:t>一.项目概述</w:t>
      </w:r>
    </w:p>
    <w:p>
      <w:r>
        <w:rPr>
          <w:b/>
          <w:sz w:val="24"/>
        </w:rPr>
        <w:t>1.名称与编号</w:t>
      </w:r>
    </w:p>
    <w:p>
      <w:pPr>
        <w:ind w:firstLine="480"/>
      </w:pPr>
      <w:r>
        <w:rPr/>
        <w:t>项目名称：</w:t>
      </w:r>
      <w:r>
        <w:rPr/>
        <w:t>东莞市高新技术产品展销中心建设运营项目</w:t>
      </w:r>
    </w:p>
    <w:p>
      <w:pPr>
        <w:ind w:firstLine="480"/>
      </w:pPr>
      <w:r>
        <w:rPr/>
        <w:t>采购计划编号：</w:t>
      </w:r>
      <w:r>
        <w:rPr/>
        <w:t>441900009-2022-00694</w:t>
      </w:r>
    </w:p>
    <w:p>
      <w:pPr>
        <w:ind w:firstLine="480"/>
      </w:pPr>
      <w:r>
        <w:rPr/>
        <w:t>采购项目编号：</w:t>
      </w:r>
      <w:r>
        <w:rPr/>
        <w:t>441900009-2022-00694</w:t>
      </w:r>
    </w:p>
    <w:p>
      <w:pPr>
        <w:ind w:firstLine="480"/>
      </w:pPr>
      <w:r>
        <w:rPr/>
        <w:t>采购方式：</w:t>
      </w:r>
      <w:r>
        <w:rPr/>
        <w:t>公开招标</w:t>
      </w:r>
    </w:p>
    <w:p>
      <w:pPr>
        <w:ind w:firstLine="480"/>
      </w:pPr>
      <w:r>
        <w:rPr/>
        <w:t>预算金额：</w:t>
      </w:r>
      <w:r>
        <w:rPr/>
        <w:t>1,711,500.00</w:t>
      </w:r>
      <w:r>
        <w:rPr/>
        <w:t>元</w:t>
      </w:r>
    </w:p>
    <w:p>
      <w:r>
        <w:rPr>
          <w:b/>
          <w:sz w:val="24"/>
        </w:rPr>
        <w:t>2.项目内容及需求情况（采购项目技术规格、参数及要求）</w:t>
      </w:r>
    </w:p>
    <w:p>
      <w:pPr>
        <w:ind w:firstLine="480"/>
      </w:pPr>
    </w:p>
    <w:p/>
    <w:p>
      <w:r>
        <w:rPr/>
        <w:t>采购包1(东莞市高新技术产品展销中心建设运营项目):</w:t>
      </w:r>
    </w:p>
    <w:p>
      <w:r>
        <w:rPr/>
        <w:t>采购包预算金额：1,711,500.00元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东莞市高新技术产品展销中心建设运营项目</w:t>
            </w:r>
          </w:p>
        </w:tc>
        <w:tc>
          <w:tcPr>
            <w:tcW w:type="dxa" w:w="977"/>
          </w:tcPr>
          <w:p>
            <w:r>
              <w:rPr/>
              <w:t>1.0000(项)</w:t>
            </w:r>
          </w:p>
        </w:tc>
        <w:tc>
          <w:tcPr>
            <w:tcW w:type="dxa" w:w="977"/>
          </w:tcPr>
          <w:p>
            <w:r>
              <w:rPr/>
              <w:t>详见第二章</w:t>
            </w:r>
          </w:p>
        </w:tc>
        <w:tc>
          <w:tcPr>
            <w:tcW w:type="dxa" w:w="977"/>
          </w:tcPr>
          <w:p>
            <w:r>
              <w:rPr/>
              <w:t>1,711,500.00</w:t>
            </w:r>
          </w:p>
        </w:tc>
        <w:tc>
          <w:tcPr>
            <w:tcW w:type="dxa" w:w="977"/>
          </w:tcPr>
          <w:p>
            <w:r>
              <w:rPr/>
              <w:t>否</w:t>
            </w:r>
          </w:p>
        </w:tc>
      </w:tr>
    </w:tbl>
    <w:p/>
    <w:p>
      <w:r>
        <w:rPr/>
        <w:t>本采购包不接受联合体投标</w:t>
      </w:r>
    </w:p>
    <w:p/>
    <w:p>
      <w:r>
        <w:rPr/>
        <w:t>合同履行期限：自合同签订之日起21个月。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2）有依法缴纳税收和社会保障资金的良好记录：提供投标（响应）截止日前6个月内任意1个月依法缴纳税收和社会保障资金的相关材料。如依法免税或不需要缴纳社会保障资金的，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采购包1（东莞市高新技术产品展销中心建设运营项目）：</w:t>
      </w:r>
      <w:r>
        <w:rPr/>
        <w:t>本项目不属于专门面向中小企业的采购项目。</w:t>
      </w:r>
    </w:p>
    <w:p/>
    <w:p>
      <w:r>
        <w:rPr>
          <w:b/>
          <w:sz w:val="24"/>
        </w:rPr>
        <w:t>3.本项目特定的资格要求：</w:t>
      </w:r>
    </w:p>
    <w:p>
      <w:pPr>
        <w:ind w:firstLine="480"/>
      </w:pPr>
    </w:p>
    <w:p/>
    <w:p>
      <w:r>
        <w:rPr/>
        <w:t>采购包1（东莞市高新技术产品展销中心建设运营项目）：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东莞松山湖高新技术产业开发区管理委员会产业发展局</w:t>
      </w:r>
    </w:p>
    <w:p>
      <w:pPr>
        <w:ind w:firstLine="480"/>
      </w:pPr>
      <w:r>
        <w:rPr/>
        <w:t>地址：</w:t>
      </w:r>
      <w:r>
        <w:rPr/>
        <w:t>松山湖控股大厦</w:t>
      </w:r>
    </w:p>
    <w:p>
      <w:pPr>
        <w:ind w:firstLine="480"/>
      </w:pPr>
      <w:r>
        <w:rPr/>
        <w:t>联系方式：</w:t>
      </w:r>
      <w:r>
        <w:rPr/>
        <w:t>0769-22893966</w:t>
      </w:r>
    </w:p>
    <w:p>
      <w:r>
        <w:rPr>
          <w:b/>
          <w:sz w:val="24"/>
        </w:rPr>
        <w:t>2.采购代理机构信息</w:t>
      </w:r>
    </w:p>
    <w:p>
      <w:pPr>
        <w:ind w:firstLine="480"/>
      </w:pPr>
      <w:r>
        <w:rPr/>
        <w:t>名称：</w:t>
      </w:r>
      <w:r>
        <w:rPr/>
        <w:t>广东政通招标有限公司</w:t>
      </w:r>
    </w:p>
    <w:p>
      <w:pPr>
        <w:ind w:firstLine="480"/>
      </w:pPr>
      <w:r>
        <w:rPr/>
        <w:t>地址：</w:t>
      </w:r>
      <w:r>
        <w:rPr/>
        <w:t>东莞市南城街道鸿福路199号（市民服务中心）411室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本项目为东莞市高新技术产品展销中心建设运营项目。</w:t>
      </w:r>
    </w:p>
    <w:p/>
    <w:p>
      <w:pPr>
        <w:ind w:firstLine="480"/>
      </w:pPr>
    </w:p>
    <w:p/>
    <w:p>
      <w:r>
        <w:rPr/>
        <w:t>合同包1（东莞市高新技术产品展销中心建设运营项目）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自合同签订之日起21个月。</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1期：支付比例100%,1、合同签订之日起15个自然日内支付合同金额的5%； 2、根据采购人在合同执行后第四个月末组织的第一次阶段性考评结果进行支付，考核通过则支付合同金额的35%，未通过则不予支付，直至合格后再支付。 3、根据采购人在合同执行后第十个月末组织的第二次阶段性考评结果进行支付，考核通过则支付合同金额的20%，未通过则不予支付，直至合格后再支付。 4、根据采购人在合同执行后第十五个月末组织的第三次阶段性考评结果进行支付，考核通过则支付合同金额的20%，未通过则不予支付，直至合格后再支付。 5、合同结束后，采购人根据第一阶段至第四阶段共四次考核的结果进行统计评定，总工作目标达到21个月总工作目标的90%（或以上）则通过考核评定，考核通过则支付合同金额的20%，未通过则不予支付，直至合格后再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p/>
          <w:p>
            <w:r>
              <w:rPr/>
              <w:t>收取比例：5%,说明：中标人应在领取中标通知书之后签订合同之前递交履约保证金，履约保证金可采用保证金（银行转账、电汇）方式，或采用履约保函方式。 履约保证金在合同期满后或产品验收合格后，中标人向采购人提交退回履约保证金的申请、履约保证金汇款凭证复印件、采购合同、采购项目验收报告原件、中标通知书复印件，前往采购人办理履约保证金退还手续。</w:t>
            </w:r>
          </w:p>
        </w:tc>
      </w:tr>
      <w:tr>
        <w:tc>
          <w:tcPr>
            <w:tcW w:type="dxa" w:w="4153"/>
          </w:tcPr>
          <w:p>
            <w:r>
              <w:rPr/>
              <w:t>其他</w:t>
            </w:r>
          </w:p>
        </w:tc>
        <w:tc>
          <w:tcPr>
            <w:tcW w:type="dxa" w:w="4153"/>
          </w:tcPr>
          <w:p/>
          <w:p/>
          <w:p>
            <w:r>
              <w:rPr/>
              <w:t>其他要求，投标人应充分结合本招标文件上下文了解项目采购需求、招标文件未尽事宜，将在合同签订或项目执行过程中双方协商确定，投标人须无条件满足采购单位的合理要求。</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投标报价应包括本次招标所有服务内容的费用，包括人工、材料、机械设备使用费、措施费、税费以及合同实施过程中的不可预见费用等全部费用。</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东莞市高新技术产品展销中心建设运营项目</w:t>
            </w:r>
          </w:p>
        </w:tc>
        <w:tc>
          <w:tcPr>
            <w:tcW w:type="dxa" w:w="933"/>
          </w:tcPr>
          <w:p>
            <w:pPr>
              <w:jc w:val="left"/>
            </w:pPr>
            <w:r>
              <w:rPr/>
              <w:t>项</w:t>
            </w:r>
          </w:p>
        </w:tc>
        <w:tc>
          <w:tcPr>
            <w:tcW w:type="dxa" w:w="933"/>
          </w:tcPr>
          <w:p>
            <w:pPr>
              <w:jc w:val="right"/>
            </w:pPr>
            <w:r>
              <w:rPr/>
              <w:t>1.00</w:t>
            </w:r>
          </w:p>
        </w:tc>
        <w:tc>
          <w:tcPr>
            <w:tcW w:type="dxa" w:w="933"/>
          </w:tcPr>
          <w:p>
            <w:pPr>
              <w:jc w:val="right"/>
            </w:pPr>
            <w:r>
              <w:rPr/>
              <w:t>1,711,500.00</w:t>
            </w:r>
          </w:p>
        </w:tc>
        <w:tc>
          <w:tcPr>
            <w:tcW w:type="dxa" w:w="933"/>
          </w:tcPr>
          <w:p>
            <w:pPr>
              <w:jc w:val="right"/>
            </w:pPr>
            <w:r>
              <w:rPr/>
              <w:t>1,711,500.00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东莞市高新技术产品展销中心建设运营项目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一、项目概况</w:t>
            </w:r>
          </w:p>
          <w:p>
            <w:pPr>
              <w:ind w:firstLine="420"/>
            </w:pPr>
            <w:r>
              <w:rPr>
                <w:sz w:val="21"/>
              </w:rPr>
              <w:t>为帮助高新科技企业拓展销售渠道，提升科技企业市场销售能力，加大松山湖科技企业品牌宣传效应，采购人现委托第三方服务机构为展销中心项目运营方，根据松山湖产业发展现状，积极引进产业人才及各优秀产业机构、平台入驻松山湖，充分发挥松山湖产业空间资源优势，推动研发、设计、展示、会务、交易、支付、仓储、物流企业的联动，构建松山湖企业线上线下发展的贸易综合服务生态体系，为企业提供一体化、全球化的数字贸易服务。</w:t>
            </w:r>
          </w:p>
          <w:p>
            <w:pPr>
              <w:ind w:firstLine="422"/>
            </w:pPr>
            <w:r>
              <w:rPr>
                <w:b/>
                <w:sz w:val="21"/>
              </w:rPr>
              <w:t>二、服务内容</w:t>
            </w:r>
          </w:p>
          <w:p>
            <w:pPr>
              <w:ind w:firstLine="420"/>
            </w:pPr>
            <w:r>
              <w:rPr>
                <w:sz w:val="21"/>
              </w:rPr>
              <w:t>中标人组建团队负责展销中心项目日常运营，联合各大电商平台服务企业，借助平台优势，对接企业需求，帮助企业开拓境内外线上销售渠道。建设展销中心线上虚拟展厅，通过图文声像、视频、</w:t>
            </w:r>
            <w:r>
              <w:rPr>
                <w:sz w:val="21"/>
              </w:rPr>
              <w:t>3D模型展示等新颖技术，采用主力线上+部分线下的方式全方位展现园区及功能区企业产品，打造永不闭馆的虚拟场馆，同时开展包括产业主题展及供采对接、宣传资料、宣传视频制造、小型培训活动等工作。</w:t>
            </w:r>
          </w:p>
          <w:p>
            <w:pPr>
              <w:ind w:firstLine="422"/>
            </w:pPr>
            <w:r>
              <w:rPr>
                <w:b/>
                <w:sz w:val="21"/>
              </w:rPr>
              <w:t>三、考核方式</w:t>
            </w:r>
          </w:p>
          <w:p>
            <w:pPr>
              <w:ind w:firstLine="420"/>
            </w:pPr>
            <w:r>
              <w:rPr>
                <w:sz w:val="21"/>
              </w:rPr>
              <w:t>与全球电商平台合作，提供数字贸易一站式服务、建立线上展示平台、人才引进及培育、培训及活动举办、数字贸易企业招商及孵化、成果展示及展销中心服务宣传推广。项目考核如下表：</w:t>
            </w:r>
          </w:p>
          <w:tbl>
            <w:tblPr>
              <w:tblInd w:type="dxa" w:w="105"/>
              <w:tblBorders>
                <w:top w:val="none" w:color="000000" w:sz="4"/>
                <w:left w:val="none" w:color="000000" w:sz="4"/>
                <w:bottom w:val="none" w:color="000000" w:sz="4"/>
                <w:right w:val="none" w:color="000000" w:sz="4"/>
                <w:insideH w:val="none"/>
                <w:insideV w:val="none"/>
              </w:tblBorders>
            </w:tblPr>
            <w:tblGrid>
              <w:gridCol w:w="1256"/>
              <w:gridCol w:w="1969"/>
              <w:gridCol w:w="492"/>
              <w:gridCol w:w="452"/>
              <w:gridCol w:w="452"/>
              <w:gridCol w:w="452"/>
              <w:gridCol w:w="502"/>
            </w:tblGrid>
            <w:tr>
              <w:tc>
                <w:tcPr>
                  <w:tcW w:type="dxa" w:w="1256"/>
                  <w:tcBorders>
                    <w:top w:val="single" w:color="000000" w:sz="4"/>
                    <w:left w:val="single" w:color="000000" w:sz="4"/>
                    <w:bottom w:val="single" w:color="000000" w:sz="4"/>
                    <w:right w:val="single" w:color="000000" w:sz="4"/>
                  </w:tcBorders>
                  <w:shd w:fill="B4C6E7"/>
                  <w:vAlign w:val="top"/>
                </w:tcPr>
                <w:p>
                  <w:pPr>
                    <w:jc w:val="center"/>
                  </w:pPr>
                  <w:r>
                    <w:rPr>
                      <w:b/>
                      <w:sz w:val="22"/>
                    </w:rPr>
                    <w:t>项目目标</w:t>
                  </w:r>
                </w:p>
              </w:tc>
              <w:tc>
                <w:tcPr>
                  <w:tcW w:type="dxa" w:w="1969"/>
                  <w:tcBorders>
                    <w:top w:val="single" w:color="000000" w:sz="4"/>
                    <w:left w:val="none" w:color="000000" w:sz="4"/>
                    <w:bottom w:val="single" w:color="000000" w:sz="4"/>
                    <w:right w:val="single" w:color="000000" w:sz="4"/>
                  </w:tcBorders>
                  <w:shd w:fill="B4C6E7"/>
                  <w:vAlign w:val="top"/>
                </w:tcPr>
                <w:p>
                  <w:pPr>
                    <w:jc w:val="center"/>
                  </w:pPr>
                  <w:r>
                    <w:rPr>
                      <w:b/>
                      <w:sz w:val="22"/>
                    </w:rPr>
                    <w:t>证明材料</w:t>
                  </w:r>
                </w:p>
              </w:tc>
              <w:tc>
                <w:tcPr>
                  <w:tcW w:type="dxa" w:w="492"/>
                  <w:tcBorders>
                    <w:top w:val="single" w:color="000000" w:sz="4"/>
                    <w:left w:val="none" w:color="000000" w:sz="4"/>
                    <w:bottom w:val="single" w:color="000000" w:sz="4"/>
                    <w:right w:val="single" w:color="000000" w:sz="4"/>
                  </w:tcBorders>
                  <w:shd w:fill="B4C6E7"/>
                  <w:vAlign w:val="top"/>
                </w:tcPr>
                <w:p>
                  <w:pPr>
                    <w:jc w:val="center"/>
                  </w:pPr>
                  <w:r>
                    <w:rPr>
                      <w:b/>
                      <w:sz w:val="22"/>
                    </w:rPr>
                    <w:t>21个月总工作目标</w:t>
                  </w:r>
                </w:p>
              </w:tc>
              <w:tc>
                <w:tcPr>
                  <w:tcW w:type="dxa" w:w="452"/>
                  <w:tcBorders>
                    <w:top w:val="single" w:color="000000" w:sz="4"/>
                    <w:left w:val="none" w:color="000000" w:sz="4"/>
                    <w:bottom w:val="single" w:color="000000" w:sz="4"/>
                    <w:right w:val="single" w:color="000000" w:sz="4"/>
                  </w:tcBorders>
                  <w:shd w:fill="B4C6E7"/>
                  <w:vAlign w:val="top"/>
                </w:tcPr>
                <w:p>
                  <w:pPr>
                    <w:jc w:val="center"/>
                  </w:pPr>
                  <w:r>
                    <w:rPr>
                      <w:b/>
                      <w:sz w:val="22"/>
                    </w:rPr>
                    <w:t>第一阶段</w:t>
                  </w:r>
                </w:p>
                <w:p>
                  <w:pPr>
                    <w:jc w:val="center"/>
                  </w:pPr>
                  <w:r>
                    <w:rPr>
                      <w:b/>
                      <w:sz w:val="22"/>
                    </w:rPr>
                    <w:t>考核指标</w:t>
                  </w:r>
                </w:p>
              </w:tc>
              <w:tc>
                <w:tcPr>
                  <w:tcW w:type="dxa" w:w="452"/>
                  <w:tcBorders>
                    <w:top w:val="single" w:color="000000" w:sz="4"/>
                    <w:left w:val="none" w:color="000000" w:sz="4"/>
                    <w:bottom w:val="single" w:color="000000" w:sz="4"/>
                    <w:right w:val="single" w:color="000000" w:sz="4"/>
                  </w:tcBorders>
                  <w:shd w:fill="B4C6E7"/>
                  <w:vAlign w:val="top"/>
                </w:tcPr>
                <w:p>
                  <w:pPr>
                    <w:jc w:val="center"/>
                  </w:pPr>
                  <w:r>
                    <w:rPr>
                      <w:b/>
                      <w:sz w:val="22"/>
                    </w:rPr>
                    <w:t>第二阶段</w:t>
                  </w:r>
                </w:p>
                <w:p>
                  <w:pPr>
                    <w:jc w:val="center"/>
                  </w:pPr>
                  <w:r>
                    <w:rPr>
                      <w:b/>
                      <w:sz w:val="22"/>
                    </w:rPr>
                    <w:t>考核指标</w:t>
                  </w:r>
                </w:p>
              </w:tc>
              <w:tc>
                <w:tcPr>
                  <w:tcW w:type="dxa" w:w="452"/>
                  <w:tcBorders>
                    <w:top w:val="single" w:color="000000" w:sz="4"/>
                    <w:left w:val="none" w:color="000000" w:sz="4"/>
                    <w:bottom w:val="single" w:color="000000" w:sz="4"/>
                    <w:right w:val="single" w:color="000000" w:sz="4"/>
                  </w:tcBorders>
                  <w:shd w:fill="B4C6E7"/>
                  <w:vAlign w:val="top"/>
                </w:tcPr>
                <w:p>
                  <w:pPr>
                    <w:jc w:val="center"/>
                  </w:pPr>
                  <w:r>
                    <w:rPr>
                      <w:b/>
                      <w:sz w:val="22"/>
                    </w:rPr>
                    <w:t>第三阶段</w:t>
                  </w:r>
                </w:p>
                <w:p>
                  <w:pPr>
                    <w:jc w:val="center"/>
                  </w:pPr>
                  <w:r>
                    <w:rPr>
                      <w:b/>
                      <w:sz w:val="22"/>
                    </w:rPr>
                    <w:t>考核指标</w:t>
                  </w:r>
                </w:p>
              </w:tc>
              <w:tc>
                <w:tcPr>
                  <w:tcW w:type="dxa" w:w="502"/>
                  <w:tcBorders>
                    <w:top w:val="single" w:color="000000" w:sz="4"/>
                    <w:left w:val="none" w:color="000000" w:sz="4"/>
                    <w:bottom w:val="single" w:color="000000" w:sz="4"/>
                    <w:right w:val="single" w:color="000000" w:sz="4"/>
                  </w:tcBorders>
                  <w:shd w:fill="B4C6E7"/>
                  <w:vAlign w:val="top"/>
                </w:tcPr>
                <w:p>
                  <w:pPr>
                    <w:jc w:val="center"/>
                  </w:pPr>
                  <w:r>
                    <w:rPr>
                      <w:b/>
                      <w:sz w:val="22"/>
                    </w:rPr>
                    <w:t>第四阶段</w:t>
                  </w:r>
                </w:p>
                <w:p>
                  <w:pPr>
                    <w:jc w:val="center"/>
                  </w:pPr>
                  <w:r>
                    <w:rPr>
                      <w:b/>
                      <w:sz w:val="22"/>
                    </w:rPr>
                    <w:t>考核指标</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引进与维系全球销售平台（</w:t>
                  </w:r>
                  <w:r>
                    <w:rPr>
                      <w:sz w:val="22"/>
                    </w:rPr>
                    <w:t>5%)</w:t>
                  </w:r>
                </w:p>
              </w:tc>
              <w:tc>
                <w:tcPr>
                  <w:tcW w:type="dxa" w:w="1969"/>
                  <w:tcBorders>
                    <w:top w:val="none" w:color="000000" w:sz="4"/>
                    <w:left w:val="none" w:color="000000" w:sz="4"/>
                    <w:bottom w:val="single" w:color="000000" w:sz="4"/>
                    <w:right w:val="single" w:color="000000" w:sz="4"/>
                  </w:tcBorders>
                  <w:vAlign w:val="top"/>
                </w:tcPr>
                <w:p>
                  <w:r>
                    <w:rPr>
                      <w:sz w:val="22"/>
                    </w:rPr>
                    <w:t>提供合作清单、框架协议或活动信息或其他合作情况等证明材料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个平台</w:t>
                  </w:r>
                </w:p>
              </w:tc>
              <w:tc>
                <w:tcPr>
                  <w:tcW w:type="dxa" w:w="452"/>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个平台</w:t>
                  </w:r>
                </w:p>
              </w:tc>
              <w:tc>
                <w:tcPr>
                  <w:tcW w:type="dxa" w:w="452"/>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个平台</w:t>
                  </w:r>
                </w:p>
              </w:tc>
              <w:tc>
                <w:tcPr>
                  <w:tcW w:type="dxa" w:w="452"/>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个平台</w:t>
                  </w:r>
                </w:p>
              </w:tc>
              <w:tc>
                <w:tcPr>
                  <w:tcW w:type="dxa" w:w="502"/>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个平台</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引进与维系产学研贸基地（</w:t>
                  </w:r>
                  <w:r>
                    <w:rPr>
                      <w:sz w:val="22"/>
                    </w:rPr>
                    <w:t>5%）</w:t>
                  </w:r>
                </w:p>
              </w:tc>
              <w:tc>
                <w:tcPr>
                  <w:tcW w:type="dxa" w:w="1969"/>
                  <w:tcBorders>
                    <w:top w:val="none" w:color="000000" w:sz="4"/>
                    <w:left w:val="none" w:color="000000" w:sz="4"/>
                    <w:bottom w:val="single" w:color="000000" w:sz="4"/>
                    <w:right w:val="single" w:color="000000" w:sz="4"/>
                  </w:tcBorders>
                  <w:vAlign w:val="top"/>
                </w:tcPr>
                <w:p>
                  <w:r>
                    <w:rPr>
                      <w:sz w:val="22"/>
                    </w:rPr>
                    <w:t>提供合作清单、框架协议或其他合作情况等证明材料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引进</w:t>
                  </w:r>
                  <w:r>
                    <w:rPr>
                      <w:sz w:val="22"/>
                    </w:rPr>
                    <w:t>30所</w:t>
                  </w:r>
                </w:p>
              </w:tc>
              <w:tc>
                <w:tcPr>
                  <w:tcW w:type="dxa" w:w="452"/>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452"/>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452"/>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502"/>
                  <w:tcBorders>
                    <w:top w:val="none" w:color="000000" w:sz="4"/>
                    <w:left w:val="none" w:color="000000" w:sz="4"/>
                    <w:bottom w:val="single" w:color="000000" w:sz="4"/>
                    <w:right w:val="single" w:color="000000" w:sz="4"/>
                  </w:tcBorders>
                  <w:vAlign w:val="top"/>
                </w:tcPr>
                <w:p>
                  <w:pPr>
                    <w:jc w:val="center"/>
                  </w:pPr>
                  <w:r>
                    <w:rPr>
                      <w:sz w:val="22"/>
                    </w:rPr>
                    <w:t>引进</w:t>
                  </w:r>
                  <w:r>
                    <w:rPr>
                      <w:sz w:val="22"/>
                    </w:rPr>
                    <w:t>6</w:t>
                  </w:r>
                  <w:r>
                    <w:rPr>
                      <w:sz w:val="21"/>
                    </w:rPr>
                    <w:t>所</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重点服务园区企业（</w:t>
                  </w:r>
                  <w:r>
                    <w:rPr>
                      <w:sz w:val="22"/>
                    </w:rPr>
                    <w:t>10%）</w:t>
                  </w:r>
                </w:p>
              </w:tc>
              <w:tc>
                <w:tcPr>
                  <w:tcW w:type="dxa" w:w="1969"/>
                  <w:tcBorders>
                    <w:top w:val="none" w:color="000000" w:sz="4"/>
                    <w:left w:val="none" w:color="000000" w:sz="4"/>
                    <w:bottom w:val="single" w:color="000000" w:sz="4"/>
                    <w:right w:val="single" w:color="000000" w:sz="4"/>
                  </w:tcBorders>
                  <w:vAlign w:val="top"/>
                </w:tcPr>
                <w:p>
                  <w:r>
                    <w:rPr>
                      <w:sz w:val="22"/>
                    </w:rPr>
                    <w:t>提供服务园区企业清单、拜访表等证明材料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350</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53</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502"/>
                  <w:tcBorders>
                    <w:top w:val="none" w:color="000000" w:sz="4"/>
                    <w:left w:val="none" w:color="000000" w:sz="4"/>
                    <w:bottom w:val="single" w:color="000000" w:sz="4"/>
                    <w:right w:val="single" w:color="000000" w:sz="4"/>
                  </w:tcBorders>
                  <w:vAlign w:val="top"/>
                </w:tcPr>
                <w:p>
                  <w:pPr>
                    <w:jc w:val="center"/>
                  </w:pPr>
                  <w:r>
                    <w:rPr>
                      <w:sz w:val="22"/>
                    </w:rPr>
                    <w:t>121</w:t>
                  </w:r>
                  <w:r>
                    <w:rPr>
                      <w:sz w:val="21"/>
                    </w:rPr>
                    <w:t>家</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辅射园区</w:t>
                  </w:r>
                  <w:r>
                    <w:rPr>
                      <w:sz w:val="22"/>
                    </w:rPr>
                    <w:t>1+9范围（10%）</w:t>
                  </w:r>
                </w:p>
              </w:tc>
              <w:tc>
                <w:tcPr>
                  <w:tcW w:type="dxa" w:w="1969"/>
                  <w:tcBorders>
                    <w:top w:val="none" w:color="000000" w:sz="4"/>
                    <w:left w:val="none" w:color="000000" w:sz="4"/>
                    <w:bottom w:val="single" w:color="000000" w:sz="4"/>
                    <w:right w:val="single" w:color="000000" w:sz="4"/>
                  </w:tcBorders>
                  <w:vAlign w:val="top"/>
                </w:tcPr>
                <w:p>
                  <w:r>
                    <w:rPr>
                      <w:sz w:val="22"/>
                    </w:rPr>
                    <w:t>提供辐射</w:t>
                  </w:r>
                  <w:r>
                    <w:rPr>
                      <w:sz w:val="22"/>
                    </w:rPr>
                    <w:t>1+9范围企业清单、拜访表或参加活动资料等证明材料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875</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131</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219</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219</w:t>
                  </w:r>
                  <w:r>
                    <w:rPr>
                      <w:sz w:val="21"/>
                    </w:rPr>
                    <w:t>家</w:t>
                  </w:r>
                </w:p>
              </w:tc>
              <w:tc>
                <w:tcPr>
                  <w:tcW w:type="dxa" w:w="502"/>
                  <w:tcBorders>
                    <w:top w:val="none" w:color="000000" w:sz="4"/>
                    <w:left w:val="none" w:color="000000" w:sz="4"/>
                    <w:bottom w:val="single" w:color="000000" w:sz="4"/>
                    <w:right w:val="single" w:color="000000" w:sz="4"/>
                  </w:tcBorders>
                  <w:vAlign w:val="top"/>
                </w:tcPr>
                <w:p>
                  <w:pPr>
                    <w:jc w:val="center"/>
                  </w:pPr>
                  <w:r>
                    <w:rPr>
                      <w:sz w:val="22"/>
                    </w:rPr>
                    <w:t>306</w:t>
                  </w:r>
                  <w:r>
                    <w:rPr>
                      <w:sz w:val="21"/>
                    </w:rPr>
                    <w:t>家</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引进与维系线上展示企业</w:t>
                  </w:r>
                  <w:r>
                    <w:rPr>
                      <w:sz w:val="22"/>
                    </w:rPr>
                    <w:t>（</w:t>
                  </w:r>
                  <w:r>
                    <w:rPr>
                      <w:sz w:val="22"/>
                    </w:rPr>
                    <w:t>10%）</w:t>
                  </w:r>
                </w:p>
              </w:tc>
              <w:tc>
                <w:tcPr>
                  <w:tcW w:type="dxa" w:w="1969"/>
                  <w:tcBorders>
                    <w:top w:val="none" w:color="000000" w:sz="4"/>
                    <w:left w:val="none" w:color="000000" w:sz="4"/>
                    <w:bottom w:val="single" w:color="000000" w:sz="4"/>
                    <w:right w:val="single" w:color="000000" w:sz="4"/>
                  </w:tcBorders>
                  <w:vAlign w:val="top"/>
                </w:tcPr>
                <w:p>
                  <w:r>
                    <w:rPr>
                      <w:sz w:val="22"/>
                    </w:rPr>
                    <w:t>提供企业清单、网站截图等证明材料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350</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53</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502"/>
                  <w:tcBorders>
                    <w:top w:val="none" w:color="000000" w:sz="4"/>
                    <w:left w:val="none" w:color="000000" w:sz="4"/>
                    <w:bottom w:val="single" w:color="000000" w:sz="4"/>
                    <w:right w:val="single" w:color="000000" w:sz="4"/>
                  </w:tcBorders>
                  <w:vAlign w:val="top"/>
                </w:tcPr>
                <w:p>
                  <w:pPr>
                    <w:jc w:val="center"/>
                  </w:pPr>
                  <w:r>
                    <w:rPr>
                      <w:sz w:val="22"/>
                    </w:rPr>
                    <w:t>121</w:t>
                  </w:r>
                  <w:r>
                    <w:rPr>
                      <w:sz w:val="21"/>
                    </w:rPr>
                    <w:t>家</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引进与维系线上</w:t>
                  </w:r>
                  <w:r>
                    <w:rPr>
                      <w:sz w:val="22"/>
                    </w:rPr>
                    <w:t>SKU（15%）</w:t>
                  </w:r>
                </w:p>
              </w:tc>
              <w:tc>
                <w:tcPr>
                  <w:tcW w:type="dxa" w:w="1969"/>
                  <w:tcBorders>
                    <w:top w:val="none" w:color="000000" w:sz="4"/>
                    <w:left w:val="none" w:color="000000" w:sz="4"/>
                    <w:bottom w:val="single" w:color="000000" w:sz="4"/>
                    <w:right w:val="single" w:color="000000" w:sz="4"/>
                  </w:tcBorders>
                  <w:vAlign w:val="top"/>
                </w:tcPr>
                <w:p>
                  <w:r>
                    <w:rPr>
                      <w:sz w:val="22"/>
                    </w:rPr>
                    <w:t>提供产品清单、网站截图等证明材料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3500</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2"/>
                    </w:rPr>
                    <w:t>525</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875</w:t>
                  </w:r>
                  <w:r>
                    <w:rPr>
                      <w:sz w:val="21"/>
                    </w:rPr>
                    <w:t>个</w:t>
                  </w:r>
                </w:p>
              </w:tc>
              <w:tc>
                <w:tcPr>
                  <w:tcW w:type="dxa" w:w="452"/>
                  <w:tcBorders>
                    <w:top w:val="none" w:color="000000" w:sz="4"/>
                    <w:left w:val="none" w:color="000000" w:sz="4"/>
                    <w:bottom w:val="single" w:color="000000" w:sz="4"/>
                    <w:right w:val="single" w:color="000000" w:sz="4"/>
                  </w:tcBorders>
                  <w:vAlign w:val="top"/>
                </w:tcPr>
                <w:p>
                  <w:pPr>
                    <w:jc w:val="center"/>
                  </w:pPr>
                  <w:r>
                    <w:rPr>
                      <w:sz w:val="22"/>
                    </w:rPr>
                    <w:t>875</w:t>
                  </w:r>
                  <w:r>
                    <w:rPr>
                      <w:sz w:val="21"/>
                    </w:rPr>
                    <w:t>个</w:t>
                  </w:r>
                </w:p>
              </w:tc>
              <w:tc>
                <w:tcPr>
                  <w:tcW w:type="dxa" w:w="502"/>
                  <w:tcBorders>
                    <w:top w:val="none" w:color="000000" w:sz="4"/>
                    <w:left w:val="none" w:color="000000" w:sz="4"/>
                    <w:bottom w:val="single" w:color="000000" w:sz="4"/>
                    <w:right w:val="single" w:color="000000" w:sz="4"/>
                  </w:tcBorders>
                  <w:vAlign w:val="top"/>
                </w:tcPr>
                <w:p>
                  <w:pPr>
                    <w:jc w:val="center"/>
                  </w:pPr>
                  <w:r>
                    <w:rPr>
                      <w:sz w:val="22"/>
                    </w:rPr>
                    <w:t>1225</w:t>
                  </w:r>
                  <w:r>
                    <w:rPr>
                      <w:sz w:val="21"/>
                    </w:rPr>
                    <w:t>个</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小型主题展示及供采对接（</w:t>
                  </w:r>
                  <w:r>
                    <w:rPr>
                      <w:sz w:val="22"/>
                    </w:rPr>
                    <w:t>5%）</w:t>
                  </w:r>
                </w:p>
              </w:tc>
              <w:tc>
                <w:tcPr>
                  <w:tcW w:type="dxa" w:w="1969"/>
                  <w:tcBorders>
                    <w:top w:val="none" w:color="000000" w:sz="4"/>
                    <w:left w:val="none" w:color="000000" w:sz="4"/>
                    <w:bottom w:val="single" w:color="000000" w:sz="4"/>
                    <w:right w:val="single" w:color="000000" w:sz="4"/>
                  </w:tcBorders>
                  <w:vAlign w:val="top"/>
                </w:tcPr>
                <w:p>
                  <w:r>
                    <w:rPr>
                      <w:sz w:val="22"/>
                    </w:rPr>
                    <w:t>提供活动图片、报道等证明材料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502"/>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企业线上销售增长（</w:t>
                  </w:r>
                  <w:r>
                    <w:rPr>
                      <w:sz w:val="22"/>
                    </w:rPr>
                    <w:t>10%）</w:t>
                  </w:r>
                </w:p>
              </w:tc>
              <w:tc>
                <w:tcPr>
                  <w:tcW w:type="dxa" w:w="1969"/>
                  <w:tcBorders>
                    <w:top w:val="none" w:color="000000" w:sz="4"/>
                    <w:left w:val="none" w:color="000000" w:sz="4"/>
                    <w:bottom w:val="single" w:color="000000" w:sz="4"/>
                    <w:right w:val="single" w:color="000000" w:sz="4"/>
                  </w:tcBorders>
                  <w:vAlign w:val="top"/>
                </w:tcPr>
                <w:p>
                  <w:r>
                    <w:rPr>
                      <w:sz w:val="22"/>
                    </w:rPr>
                    <w:t>提供企业数据或新开平台页面截图等证明材料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13</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22</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22</w:t>
                  </w:r>
                  <w:r>
                    <w:rPr>
                      <w:sz w:val="21"/>
                    </w:rPr>
                    <w:t>家</w:t>
                  </w:r>
                </w:p>
              </w:tc>
              <w:tc>
                <w:tcPr>
                  <w:tcW w:type="dxa" w:w="502"/>
                  <w:tcBorders>
                    <w:top w:val="none" w:color="000000" w:sz="4"/>
                    <w:left w:val="none" w:color="000000" w:sz="4"/>
                    <w:bottom w:val="single" w:color="000000" w:sz="4"/>
                    <w:right w:val="single" w:color="000000" w:sz="4"/>
                  </w:tcBorders>
                  <w:vAlign w:val="top"/>
                </w:tcPr>
                <w:p>
                  <w:pPr>
                    <w:jc w:val="center"/>
                  </w:pPr>
                  <w:r>
                    <w:rPr>
                      <w:sz w:val="22"/>
                    </w:rPr>
                    <w:t>31</w:t>
                  </w:r>
                  <w:r>
                    <w:rPr>
                      <w:sz w:val="21"/>
                    </w:rPr>
                    <w:t>家</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招引企业（</w:t>
                  </w:r>
                  <w:r>
                    <w:rPr>
                      <w:sz w:val="22"/>
                    </w:rPr>
                    <w:t>10%）</w:t>
                  </w:r>
                </w:p>
              </w:tc>
              <w:tc>
                <w:tcPr>
                  <w:tcW w:type="dxa" w:w="1969"/>
                  <w:tcBorders>
                    <w:top w:val="none" w:color="000000" w:sz="4"/>
                    <w:left w:val="none" w:color="000000" w:sz="4"/>
                    <w:bottom w:val="single" w:color="000000" w:sz="4"/>
                    <w:right w:val="single" w:color="000000" w:sz="4"/>
                  </w:tcBorders>
                  <w:vAlign w:val="top"/>
                </w:tcPr>
                <w:p>
                  <w:r>
                    <w:rPr>
                      <w:sz w:val="22"/>
                    </w:rPr>
                    <w:t>提供企业名单、工商注册信息等证明材料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18</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3</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4</w:t>
                  </w:r>
                  <w:r>
                    <w:rPr>
                      <w:sz w:val="21"/>
                    </w:rPr>
                    <w:t>家</w:t>
                  </w:r>
                </w:p>
              </w:tc>
              <w:tc>
                <w:tcPr>
                  <w:tcW w:type="dxa" w:w="452"/>
                  <w:tcBorders>
                    <w:top w:val="none" w:color="000000" w:sz="4"/>
                    <w:left w:val="none" w:color="000000" w:sz="4"/>
                    <w:bottom w:val="single" w:color="000000" w:sz="4"/>
                    <w:right w:val="single" w:color="000000" w:sz="4"/>
                  </w:tcBorders>
                  <w:vAlign w:val="top"/>
                </w:tcPr>
                <w:p>
                  <w:pPr>
                    <w:jc w:val="center"/>
                  </w:pPr>
                  <w:r>
                    <w:rPr>
                      <w:sz w:val="22"/>
                    </w:rPr>
                    <w:t>4</w:t>
                  </w:r>
                  <w:r>
                    <w:rPr>
                      <w:sz w:val="21"/>
                    </w:rPr>
                    <w:t>家</w:t>
                  </w:r>
                </w:p>
              </w:tc>
              <w:tc>
                <w:tcPr>
                  <w:tcW w:type="dxa" w:w="502"/>
                  <w:tcBorders>
                    <w:top w:val="none" w:color="000000" w:sz="4"/>
                    <w:left w:val="none" w:color="000000" w:sz="4"/>
                    <w:bottom w:val="single" w:color="000000" w:sz="4"/>
                    <w:right w:val="single" w:color="000000" w:sz="4"/>
                  </w:tcBorders>
                  <w:vAlign w:val="top"/>
                </w:tcPr>
                <w:p>
                  <w:pPr>
                    <w:jc w:val="center"/>
                  </w:pPr>
                  <w:r>
                    <w:rPr>
                      <w:sz w:val="22"/>
                    </w:rPr>
                    <w:t>7</w:t>
                  </w:r>
                  <w:r>
                    <w:rPr>
                      <w:sz w:val="21"/>
                    </w:rPr>
                    <w:t>家</w:t>
                  </w:r>
                </w:p>
              </w:tc>
            </w:tr>
            <w:tr>
              <w:tc>
                <w:tcPr>
                  <w:tcW w:type="dxa" w:w="1256"/>
                  <w:tcBorders>
                    <w:top w:val="none" w:color="000000" w:sz="4"/>
                    <w:left w:val="single" w:color="000000" w:sz="4"/>
                    <w:bottom w:val="single" w:color="000000" w:sz="4"/>
                    <w:right w:val="single" w:color="000000" w:sz="4"/>
                  </w:tcBorders>
                  <w:vAlign w:val="top"/>
                </w:tcPr>
                <w:p>
                  <w:pPr>
                    <w:jc w:val="center"/>
                  </w:pPr>
                  <w:r>
                    <w:rPr>
                      <w:sz w:val="22"/>
                    </w:rPr>
                    <w:t>小型培训活动（</w:t>
                  </w:r>
                  <w:r>
                    <w:rPr>
                      <w:sz w:val="22"/>
                    </w:rPr>
                    <w:t>20%）</w:t>
                  </w:r>
                </w:p>
              </w:tc>
              <w:tc>
                <w:tcPr>
                  <w:tcW w:type="dxa" w:w="1969"/>
                  <w:tcBorders>
                    <w:top w:val="none" w:color="000000" w:sz="4"/>
                    <w:left w:val="none" w:color="000000" w:sz="4"/>
                    <w:bottom w:val="single" w:color="000000" w:sz="4"/>
                    <w:right w:val="single" w:color="000000" w:sz="4"/>
                  </w:tcBorders>
                  <w:vAlign w:val="top"/>
                </w:tcPr>
                <w:p>
                  <w:r>
                    <w:rPr>
                      <w:sz w:val="22"/>
                    </w:rPr>
                    <w:t>提供活动图片、报道等证明材料</w:t>
                  </w:r>
                </w:p>
              </w:tc>
              <w:tc>
                <w:tcPr>
                  <w:tcW w:type="dxa" w:w="492"/>
                  <w:tcBorders>
                    <w:top w:val="none" w:color="000000" w:sz="4"/>
                    <w:left w:val="none" w:color="000000" w:sz="4"/>
                    <w:bottom w:val="single" w:color="000000" w:sz="4"/>
                    <w:right w:val="single" w:color="000000" w:sz="4"/>
                  </w:tcBorders>
                  <w:vAlign w:val="top"/>
                </w:tcPr>
                <w:p>
                  <w:pPr>
                    <w:jc w:val="center"/>
                  </w:pPr>
                  <w:r>
                    <w:rPr>
                      <w:sz w:val="22"/>
                    </w:rPr>
                    <w:t>18</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3</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452"/>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502"/>
                  <w:tcBorders>
                    <w:top w:val="none" w:color="000000" w:sz="4"/>
                    <w:left w:val="none" w:color="000000" w:sz="4"/>
                    <w:bottom w:val="single" w:color="000000" w:sz="4"/>
                    <w:right w:val="single" w:color="000000" w:sz="4"/>
                  </w:tcBorders>
                  <w:vAlign w:val="top"/>
                </w:tcPr>
                <w:p>
                  <w:pPr>
                    <w:jc w:val="center"/>
                  </w:pPr>
                  <w:r>
                    <w:rPr>
                      <w:sz w:val="22"/>
                    </w:rPr>
                    <w:t>7</w:t>
                  </w:r>
                  <w:r>
                    <w:rPr>
                      <w:sz w:val="21"/>
                    </w:rPr>
                    <w:t>场</w:t>
                  </w:r>
                </w:p>
              </w:tc>
            </w:tr>
          </w:tbl>
          <w:p>
            <w:pPr>
              <w:ind w:firstLine="420"/>
            </w:pPr>
            <w:r>
              <w:rPr>
                <w:sz w:val="21"/>
              </w:rPr>
              <w:t>注：</w:t>
            </w:r>
          </w:p>
          <w:p>
            <w:pPr>
              <w:ind w:firstLine="420"/>
            </w:pPr>
            <w:r>
              <w:rPr>
                <w:sz w:val="21"/>
              </w:rPr>
              <w:t>（</w:t>
            </w:r>
            <w:r>
              <w:rPr>
                <w:sz w:val="21"/>
              </w:rPr>
              <w:t>1）合同执行后的第四个月末，采购人将根据任务目标对中标人工作组织第一次阶段性考核评定，工作目标达到第一阶段考核所有指标则通过阶段性考核，若工作目标考核不通过，需顺延考核时间，直至工作目标考核通过为止。</w:t>
            </w:r>
          </w:p>
          <w:p>
            <w:pPr>
              <w:ind w:firstLine="420"/>
            </w:pPr>
            <w:r>
              <w:rPr>
                <w:sz w:val="21"/>
              </w:rPr>
              <w:t>（</w:t>
            </w:r>
            <w:r>
              <w:rPr>
                <w:sz w:val="21"/>
              </w:rPr>
              <w:t>2）合同执行后的第十个月末，采购人将根据任务目标对中标人工作组织第二次阶段性考核评定，工作目标达到第二阶段考核所有指标则通过阶段性考核，若工作目标考核不通过，需顺延考核时间，直至工作目标考核通过为止。</w:t>
            </w:r>
          </w:p>
          <w:p>
            <w:pPr>
              <w:ind w:firstLine="420"/>
            </w:pPr>
            <w:r>
              <w:rPr>
                <w:sz w:val="21"/>
              </w:rPr>
              <w:t>（</w:t>
            </w:r>
            <w:r>
              <w:rPr>
                <w:sz w:val="21"/>
              </w:rPr>
              <w:t>3）合同执行后的第十五个月末，采购人将根据任务目标对中标人工作组织第三次阶段性考核评定，工作目标达到第三阶段考核所有指标则通过阶段性考核，若工作目标考核不通过，需顺延考核时间，直至工作目标考核通过为止。</w:t>
            </w:r>
          </w:p>
          <w:p>
            <w:pPr>
              <w:ind w:firstLine="420"/>
            </w:pPr>
            <w:r>
              <w:rPr>
                <w:sz w:val="21"/>
              </w:rPr>
              <w:t>（</w:t>
            </w:r>
            <w:r>
              <w:rPr>
                <w:sz w:val="21"/>
              </w:rPr>
              <w:t>4）合同结束后，采购人将根据任务目标对中标人工作组织第四次阶段性考核评定，并根据第一阶段至第四阶段共四次考核的结果进行统计评定，总工作目标</w:t>
            </w:r>
            <w:r>
              <w:rPr>
                <w:sz w:val="22"/>
              </w:rPr>
              <w:t>达到</w:t>
            </w:r>
            <w:r>
              <w:rPr>
                <w:sz w:val="22"/>
              </w:rPr>
              <w:t>21个月总工作目标的90%（或以上）则通过考核评定，</w:t>
            </w:r>
            <w:r>
              <w:rPr>
                <w:sz w:val="21"/>
              </w:rPr>
              <w:t>若总工作目标考核不通过，需顺延考核时间，直至总工作目标考核通过为止。</w:t>
            </w:r>
          </w:p>
          <w:p>
            <w:pPr>
              <w:ind w:firstLine="420"/>
            </w:pPr>
            <w:r>
              <w:rPr/>
              <w:t xml:space="preserve"> </w:t>
            </w:r>
          </w:p>
          <w:p>
            <w:pPr>
              <w:ind w:firstLine="420"/>
            </w:pPr>
            <w:r>
              <w:rPr/>
              <w:t xml:space="preserve"> </w:t>
            </w:r>
          </w:p>
          <w:p>
            <w:pPr>
              <w:ind w:firstLine="420"/>
            </w:pPr>
            <w:r>
              <w:rPr/>
              <w:t xml:space="preserve"> </w:t>
            </w:r>
          </w:p>
          <w:p>
            <w:pPr>
              <w:ind w:firstLine="420"/>
            </w:pPr>
            <w:r>
              <w:rPr/>
              <w:t xml:space="preserve"> </w:t>
            </w:r>
          </w:p>
          <w:p>
            <w:pPr>
              <w:ind w:firstLine="420"/>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东莞松山湖高新技术产业开发区管理委员会产业发展局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杨俊平</w:t>
      </w:r>
    </w:p>
    <w:p>
      <w:pPr>
        <w:ind w:firstLine="480"/>
      </w:pPr>
      <w:r>
        <w:rPr/>
        <w:t>电话：</w:t>
      </w:r>
      <w:r>
        <w:rPr/>
        <w:t>0769-22881803</w:t>
      </w:r>
    </w:p>
    <w:p>
      <w:pPr>
        <w:ind w:firstLine="480"/>
      </w:pPr>
      <w:r>
        <w:rPr/>
        <w:t>传真：</w:t>
      </w:r>
      <w:r>
        <w:rPr/>
        <w:t>/</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东莞市高新技术产品展销中心建设运营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采购包1（东莞市高新技术产品展销中心建设运营项目）：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采购包1（东莞市高新技术产品展销中心建设运营项目）：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提供投标（响应）截止日前6个月内任意1个月依法缴纳税收和社会保障资金的相关材料。如依法免税或不需要缴纳社会保障资金的，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采购包1（东莞市高新技术产品展销中心建设运营项目）：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采购包1东莞市高新技术产品展销中心建设运营项目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技术部分75.0分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对项目现状的了解与认识 (10.0分)</w:t>
            </w:r>
            <w:r>
              <w:rPr/>
              <w:t>，（等次分值选择：</w:t>
            </w:r>
            <w:r>
              <w:rPr/>
              <w:t>0.0;</w:t>
            </w:r>
            <w:r>
              <w:rPr/>
              <w:t>1.0;</w:t>
            </w:r>
            <w:r>
              <w:rPr/>
              <w:t>3.0;</w:t>
            </w:r>
            <w:r>
              <w:rPr/>
              <w:t>6.0;</w:t>
            </w:r>
            <w:r>
              <w:rPr/>
              <w:t>10.0;</w:t>
            </w:r>
            <w:r>
              <w:rPr/>
              <w:t>）</w:t>
            </w:r>
          </w:p>
        </w:tc>
        <w:tc>
          <w:tcPr>
            <w:tcW w:type="dxa" w:w="5076"/>
          </w:tcPr>
          <w:p>
            <w:pPr>
              <w:jc w:val="left"/>
            </w:pPr>
            <w:r>
              <w:rPr/>
              <w:t>根据投标人对项目现状的认识，基础资料调查等情况进行综合评审：  项目现状认识深刻，基础资料调查非常完整，得10分；  项目现状认识较为深刻，基础资料调查较为完整，得6分；  项目现状认识一般，基础资料调查一般完整，得3分；  项目现状认识偏弱，基础资料调查不太完整，得1分；  无提供不得分。</w:t>
            </w:r>
          </w:p>
        </w:tc>
      </w:tr>
      <w:tr>
        <w:tc>
          <w:tcPr>
            <w:tcW w:type="dxa" w:w="922"/>
            <w:gridSpan w:val="2"/>
            <w:vMerge/>
          </w:tcPr>
          <w:p/>
        </w:tc>
        <w:tc>
          <w:tcPr>
            <w:tcW w:type="dxa" w:w="2307"/>
          </w:tcPr>
          <w:p>
            <w:pPr>
              <w:jc w:val="left"/>
            </w:pPr>
            <w:r>
              <w:rPr/>
              <w:t>项目的重点难点分析 (10.0分)</w:t>
            </w:r>
            <w:r>
              <w:rPr/>
              <w:t>，（等次分值选择：</w:t>
            </w:r>
            <w:r>
              <w:rPr/>
              <w:t>0.0;</w:t>
            </w:r>
            <w:r>
              <w:rPr/>
              <w:t>1.0;</w:t>
            </w:r>
            <w:r>
              <w:rPr/>
              <w:t>3.0;</w:t>
            </w:r>
            <w:r>
              <w:rPr/>
              <w:t>6.0;</w:t>
            </w:r>
            <w:r>
              <w:rPr/>
              <w:t>10.0;</w:t>
            </w:r>
            <w:r>
              <w:rPr/>
              <w:t>）</w:t>
            </w:r>
          </w:p>
        </w:tc>
        <w:tc>
          <w:tcPr>
            <w:tcW w:type="dxa" w:w="5076"/>
          </w:tcPr>
          <w:p>
            <w:pPr>
              <w:jc w:val="left"/>
            </w:pPr>
            <w:r>
              <w:rPr/>
              <w:t>投标人对本项目现场的重点和难点的分析，以及根据项目重点和难点所采取的措施等进行评审： 重点和难点分析合理、所采取的应急计划和措施可行性强得10分； 重点和难点分析较合理、所采取的应急计划和措施可行性良好得6分； 重点和难点分析完整、所采取的应急计划和措施可行性一般，得3分； 重点和难点分析基本合理、所采取的应急计划和措施可行性较差，得1分； 无提供不得分。</w:t>
            </w:r>
          </w:p>
        </w:tc>
      </w:tr>
      <w:tr>
        <w:tc>
          <w:tcPr>
            <w:tcW w:type="dxa" w:w="922"/>
            <w:gridSpan w:val="2"/>
            <w:vMerge/>
          </w:tcPr>
          <w:p/>
        </w:tc>
        <w:tc>
          <w:tcPr>
            <w:tcW w:type="dxa" w:w="2307"/>
          </w:tcPr>
          <w:p>
            <w:pPr>
              <w:jc w:val="left"/>
            </w:pPr>
            <w:r>
              <w:rPr/>
              <w:t>建设运营方案 (15.0分)</w:t>
            </w:r>
            <w:r>
              <w:rPr/>
              <w:t>，（等次分值选择：</w:t>
            </w:r>
            <w:r>
              <w:rPr/>
              <w:t>0.0;</w:t>
            </w:r>
            <w:r>
              <w:rPr/>
              <w:t>1.0;</w:t>
            </w:r>
            <w:r>
              <w:rPr/>
              <w:t>5.0;</w:t>
            </w:r>
            <w:r>
              <w:rPr/>
              <w:t>10.0;</w:t>
            </w:r>
            <w:r>
              <w:rPr/>
              <w:t>15.0;</w:t>
            </w:r>
            <w:r>
              <w:rPr/>
              <w:t>）</w:t>
            </w:r>
          </w:p>
        </w:tc>
        <w:tc>
          <w:tcPr>
            <w:tcW w:type="dxa" w:w="5076"/>
          </w:tcPr>
          <w:p>
            <w:pPr>
              <w:jc w:val="left"/>
            </w:pPr>
            <w:r>
              <w:rPr/>
              <w:t>根据各投标人针对本项目作出的项目建设运营方案是否具有针对性、合理性、可行性等内容进行综合评审： 方案完整具体、合理、可行的，得15分； 方案较完整、较合理、较可行的，得10分； 方案完整性一般，可行性一般的，得5分； 方案不完整，可行性差的，得1分； 无提供不得分。</w:t>
            </w:r>
          </w:p>
        </w:tc>
      </w:tr>
      <w:tr>
        <w:tc>
          <w:tcPr>
            <w:tcW w:type="dxa" w:w="922"/>
            <w:gridSpan w:val="2"/>
            <w:vMerge/>
          </w:tcPr>
          <w:p/>
        </w:tc>
        <w:tc>
          <w:tcPr>
            <w:tcW w:type="dxa" w:w="2307"/>
          </w:tcPr>
          <w:p>
            <w:pPr>
              <w:jc w:val="left"/>
            </w:pPr>
            <w:r>
              <w:rPr/>
              <w:t>质量保证措施 (15.0分)</w:t>
            </w:r>
            <w:r>
              <w:rPr/>
              <w:t>，（等次分值选择：</w:t>
            </w:r>
            <w:r>
              <w:rPr/>
              <w:t>0.0;</w:t>
            </w:r>
            <w:r>
              <w:rPr/>
              <w:t>1.0;</w:t>
            </w:r>
            <w:r>
              <w:rPr/>
              <w:t>5.0;</w:t>
            </w:r>
            <w:r>
              <w:rPr/>
              <w:t>10.0;</w:t>
            </w:r>
            <w:r>
              <w:rPr/>
              <w:t>15.0;</w:t>
            </w:r>
            <w:r>
              <w:rPr/>
              <w:t>）</w:t>
            </w:r>
          </w:p>
        </w:tc>
        <w:tc>
          <w:tcPr>
            <w:tcW w:type="dxa" w:w="5076"/>
          </w:tcPr>
          <w:p>
            <w:pPr>
              <w:jc w:val="left"/>
            </w:pPr>
            <w:r>
              <w:rPr/>
              <w:t>根据投标人是否能根据本项目要求提供详细的运营质量保证目标及分期目标，并提供具体可行、详细的保证措施等进行综合评审： 质量保证措施详细完整，可行性强的，得15分； 质量保证措施较详细完整，可行性较强的，得10分； 质量保证措施基本完整，可行性一般的，得5分； 质量保证措施简单，可行性差的，得1分； 无提供不得分。</w:t>
            </w:r>
          </w:p>
        </w:tc>
      </w:tr>
      <w:tr>
        <w:tc>
          <w:tcPr>
            <w:tcW w:type="dxa" w:w="922"/>
            <w:gridSpan w:val="2"/>
            <w:vMerge/>
          </w:tcPr>
          <w:p/>
        </w:tc>
        <w:tc>
          <w:tcPr>
            <w:tcW w:type="dxa" w:w="2307"/>
          </w:tcPr>
          <w:p>
            <w:pPr>
              <w:jc w:val="left"/>
            </w:pPr>
            <w:r>
              <w:rPr/>
              <w:t>内部管理规章制度 (10.0分)</w:t>
            </w:r>
            <w:r>
              <w:rPr/>
              <w:t>，（等次分值选择：</w:t>
            </w:r>
            <w:r>
              <w:rPr/>
              <w:t>0.0;</w:t>
            </w:r>
            <w:r>
              <w:rPr/>
              <w:t>1.0;</w:t>
            </w:r>
            <w:r>
              <w:rPr/>
              <w:t>3.0;</w:t>
            </w:r>
            <w:r>
              <w:rPr/>
              <w:t>6.0;</w:t>
            </w:r>
            <w:r>
              <w:rPr/>
              <w:t>10.0;</w:t>
            </w:r>
            <w:r>
              <w:rPr/>
              <w:t>）</w:t>
            </w:r>
          </w:p>
        </w:tc>
        <w:tc>
          <w:tcPr>
            <w:tcW w:type="dxa" w:w="5076"/>
          </w:tcPr>
          <w:p>
            <w:pPr>
              <w:jc w:val="left"/>
            </w:pPr>
            <w:r>
              <w:rPr/>
              <w:t>根据人员管理、岗位责任等各项制度的完整性、可行性进行综合评审： 制度详细完整，可行性强的，得10分； 制度较详细完整，可行性较强的，得6分； 制度基本完整，可行性一般的，得3分； 制度不完整，可行性较差的，得1分； 无提供不得分。</w:t>
            </w:r>
          </w:p>
        </w:tc>
      </w:tr>
      <w:tr>
        <w:tc>
          <w:tcPr>
            <w:tcW w:type="dxa" w:w="922"/>
            <w:gridSpan w:val="2"/>
            <w:vMerge/>
          </w:tcPr>
          <w:p/>
        </w:tc>
        <w:tc>
          <w:tcPr>
            <w:tcW w:type="dxa" w:w="2307"/>
          </w:tcPr>
          <w:p>
            <w:pPr>
              <w:jc w:val="left"/>
            </w:pPr>
            <w:r>
              <w:rPr/>
              <w:t>应急方案 (15.0分)</w:t>
            </w:r>
            <w:r>
              <w:rPr/>
              <w:t>，（等次分值选择：</w:t>
            </w:r>
            <w:r>
              <w:rPr/>
              <w:t>0.0;</w:t>
            </w:r>
            <w:r>
              <w:rPr/>
              <w:t>1.0;</w:t>
            </w:r>
            <w:r>
              <w:rPr/>
              <w:t>5.0;</w:t>
            </w:r>
            <w:r>
              <w:rPr/>
              <w:t>10.0;</w:t>
            </w:r>
            <w:r>
              <w:rPr/>
              <w:t>15.0;</w:t>
            </w:r>
            <w:r>
              <w:rPr/>
              <w:t>）</w:t>
            </w:r>
          </w:p>
        </w:tc>
        <w:tc>
          <w:tcPr>
            <w:tcW w:type="dxa" w:w="5076"/>
          </w:tcPr>
          <w:p>
            <w:pPr>
              <w:jc w:val="left"/>
            </w:pPr>
            <w:r>
              <w:rPr/>
              <w:t>根据投标人对运营服务可能出现的特殊情况制定应急处置方案，包括传达机制、人员和设备调配、责任分工等进行综合评审： 应急方案科学合理，能针对上述情况提出具体方案，可操作性强的，得15分； 应急方案基本完整，能针对上述情况提出简单方案，可操作性一般的，得10分； 应急方案简单，基本能应对上述情况，可操作性一般的，得5分； 应急方案不完整，不能应对上述情况，可操作性差的，得1分。 无提供不得分。</w:t>
            </w:r>
          </w:p>
        </w:tc>
      </w:tr>
      <w:tr>
        <w:tc>
          <w:tcPr>
            <w:tcW w:type="dxa" w:w="922"/>
            <w:gridSpan w:val="2"/>
            <w:vMerge w:val="restart"/>
          </w:tcPr>
          <w:p>
            <w:pPr>
              <w:jc w:val="center"/>
            </w:pPr>
            <w:r>
              <w:rPr/>
              <w:t>商务部分</w:t>
            </w:r>
          </w:p>
        </w:tc>
        <w:tc>
          <w:tcPr>
            <w:tcW w:type="dxa" w:w="2307"/>
          </w:tcPr>
          <w:p>
            <w:pPr>
              <w:jc w:val="left"/>
            </w:pPr>
            <w:r>
              <w:rPr/>
              <w:t>业绩 (10.0分)</w:t>
            </w:r>
          </w:p>
        </w:tc>
        <w:tc>
          <w:tcPr>
            <w:tcW w:type="dxa" w:w="5076"/>
          </w:tcPr>
          <w:p>
            <w:pPr>
              <w:jc w:val="left"/>
            </w:pPr>
            <w:r>
              <w:rPr/>
              <w:t>根据投标人承接过的展销平台类运营项目业绩进行评审，每提供一个合同业绩得10分，本项最高得10分。 注：须提供合同复印件并加盖投标人公章，否则不得分。</w:t>
            </w:r>
          </w:p>
        </w:tc>
      </w:tr>
      <w:tr>
        <w:tc>
          <w:tcPr>
            <w:tcW w:type="dxa" w:w="922"/>
            <w:gridSpan w:val="2"/>
            <w:vMerge/>
          </w:tcPr>
          <w:p/>
        </w:tc>
        <w:tc>
          <w:tcPr>
            <w:tcW w:type="dxa" w:w="2307"/>
          </w:tcPr>
          <w:p>
            <w:pPr>
              <w:jc w:val="left"/>
            </w:pPr>
            <w:r>
              <w:rPr/>
              <w:t>服务响应 (5.0分)</w:t>
            </w:r>
          </w:p>
        </w:tc>
        <w:tc>
          <w:tcPr>
            <w:tcW w:type="dxa" w:w="5076"/>
          </w:tcPr>
          <w:p>
            <w:pPr>
              <w:jc w:val="left"/>
            </w:pPr>
            <w:r>
              <w:rPr/>
              <w:t>根据投标人提供的服务响应时间承诺进行评分： 投标人承诺在接到采购人通知后1小时内到现场，得5分； 投标人承诺在接到采购人通知后2小时内到现场，得3分； 投标人承诺在接到采购人通知后3小时内到现场，得1分； 投标人未承诺或承诺在接到采购人通知后超过3小时到现场，得0分。 注：须提供服务承诺书并加盖投标人公章，否则不得分。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甲方：</w:t>
      </w:r>
      <w:r>
        <w:rPr>
          <w:b/>
          <w:sz w:val="21"/>
        </w:rPr>
        <w:t xml:space="preserve"> </w:t>
      </w:r>
    </w:p>
    <w:p>
      <w:pPr>
        <w:jc w:val="both"/>
      </w:pPr>
      <w:r>
        <w:rPr>
          <w:sz w:val="21"/>
        </w:rPr>
        <w:t>电话：</w:t>
      </w:r>
      <w:r>
        <w:rPr>
          <w:b/>
          <w:sz w:val="22"/>
        </w:rPr>
        <w:t xml:space="preserve"> </w:t>
      </w:r>
      <w:r>
        <w:rPr>
          <w:sz w:val="21"/>
        </w:rPr>
        <w:t>传真</w:t>
      </w:r>
      <w:r>
        <w:rPr>
          <w:sz w:val="21"/>
        </w:rPr>
        <w:t>：</w:t>
      </w:r>
      <w:r>
        <w:rPr>
          <w:b/>
          <w:sz w:val="22"/>
        </w:rPr>
        <w:t xml:space="preserve"> </w:t>
      </w:r>
      <w:r>
        <w:rPr>
          <w:sz w:val="21"/>
        </w:rPr>
        <w:t>地址：</w:t>
      </w:r>
      <w:r>
        <w:rPr>
          <w:b/>
          <w:sz w:val="22"/>
        </w:rPr>
        <w:t xml:space="preserve">  </w:t>
      </w:r>
    </w:p>
    <w:p>
      <w:pPr>
        <w:jc w:val="both"/>
      </w:pPr>
      <w:r>
        <w:rPr>
          <w:b/>
          <w:sz w:val="21"/>
        </w:rPr>
        <w:t>乙方：</w:t>
      </w:r>
      <w:r>
        <w:rPr>
          <w:b/>
          <w:sz w:val="21"/>
        </w:rPr>
        <w:t xml:space="preserve"> </w:t>
      </w:r>
    </w:p>
    <w:p>
      <w:pPr>
        <w:jc w:val="both"/>
      </w:pPr>
      <w:r>
        <w:rPr>
          <w:sz w:val="21"/>
        </w:rPr>
        <w:t>电话：</w:t>
      </w:r>
      <w:r>
        <w:rPr>
          <w:b/>
          <w:sz w:val="22"/>
        </w:rPr>
        <w:t xml:space="preserve">  </w:t>
      </w:r>
      <w:r>
        <w:rPr>
          <w:sz w:val="21"/>
        </w:rPr>
        <w:t>传真：</w:t>
      </w:r>
      <w:r>
        <w:rPr>
          <w:b/>
          <w:sz w:val="22"/>
        </w:rPr>
        <w:t xml:space="preserve">  </w:t>
      </w:r>
      <w:r>
        <w:rPr>
          <w:sz w:val="21"/>
        </w:rPr>
        <w:t>地址：</w:t>
      </w:r>
      <w:r>
        <w:rPr>
          <w:b/>
          <w:sz w:val="22"/>
        </w:rPr>
        <w:t xml:space="preserve">  </w:t>
      </w:r>
    </w:p>
    <w:p>
      <w:pPr>
        <w:jc w:val="both"/>
      </w:pPr>
      <w:r>
        <w:rPr>
          <w:sz w:val="22"/>
        </w:rPr>
        <w:t xml:space="preserve"> </w:t>
      </w:r>
    </w:p>
    <w:p>
      <w:pPr>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1"/>
        </w:rPr>
        <w:t>一、合同金额</w:t>
      </w:r>
    </w:p>
    <w:p>
      <w:pPr>
        <w:jc w:val="both"/>
      </w:pPr>
      <w:r>
        <w:rPr>
          <w:sz w:val="21"/>
        </w:rPr>
        <w:t>　　合同金额为（大写）：</w:t>
      </w:r>
      <w:r>
        <w:rPr>
          <w:sz w:val="21"/>
        </w:rPr>
        <w:t>_____________元（￥_________元）人民币。</w:t>
      </w:r>
    </w:p>
    <w:p>
      <w:pPr>
        <w:jc w:val="both"/>
      </w:pPr>
      <w:r>
        <w:rPr>
          <w:b/>
          <w:sz w:val="21"/>
        </w:rPr>
        <w:t>二、服务范围</w:t>
      </w:r>
    </w:p>
    <w:p>
      <w:pPr>
        <w:ind w:firstLine="422"/>
      </w:pPr>
      <w:r>
        <w:rPr>
          <w:b/>
          <w:sz w:val="21"/>
        </w:rPr>
        <w:t>（一）项目概况</w:t>
      </w:r>
    </w:p>
    <w:p>
      <w:pPr>
        <w:ind w:firstLine="420"/>
      </w:pPr>
      <w:r>
        <w:rPr>
          <w:sz w:val="21"/>
        </w:rPr>
        <w:t>为帮助高新科技企业拓展销售渠道，提升科技企业市场销售能力，加大松山湖科技企业品牌宣传效应，甲方现委托第三方服务机构为展销中心项目运营方，根据松山湖产业发展现状，积极引进产业人才及各优秀产业机构、平台入驻松山湖，充分发挥松山湖产业空间资源优势，推动研发、设计、展示、会务、交易、支付、仓储、物流企业的联动，构建松山湖企业线上线下发展的贸易综合服务生态体系，为企业提供一体化、全球化的数字贸易服务。</w:t>
      </w:r>
    </w:p>
    <w:p>
      <w:pPr>
        <w:ind w:firstLine="422"/>
      </w:pPr>
      <w:r>
        <w:rPr>
          <w:b/>
          <w:sz w:val="21"/>
        </w:rPr>
        <w:t>（二）服务内容</w:t>
      </w:r>
    </w:p>
    <w:p>
      <w:pPr>
        <w:ind w:firstLine="420"/>
      </w:pPr>
      <w:r>
        <w:rPr>
          <w:sz w:val="21"/>
        </w:rPr>
        <w:t>乙方组建团队负责展销中心项目日常运营，联合各大电商平台服务企业，借助平台优势，对接企业需求，帮助企业开拓境内外线上销售渠道。建设展销中心线上虚拟展厅，通过图文声像、视频、</w:t>
      </w:r>
      <w:r>
        <w:rPr>
          <w:sz w:val="21"/>
        </w:rPr>
        <w:t>3D模型展示等新颖技术，采用主力线上+部分线下的方式全方位展现园区及功能区企业产品，打造永不闭馆的虚拟场馆，同时开展包括产业主题展及供采对接、宣传资料、宣传视频制造、小型培训活动等工作。</w:t>
      </w:r>
    </w:p>
    <w:p>
      <w:pPr>
        <w:ind w:firstLine="422"/>
      </w:pPr>
      <w:r>
        <w:rPr>
          <w:b/>
          <w:sz w:val="21"/>
        </w:rPr>
        <w:t>（三）考核方式</w:t>
      </w:r>
    </w:p>
    <w:p>
      <w:pPr>
        <w:ind w:firstLine="420"/>
      </w:pPr>
      <w:r>
        <w:rPr>
          <w:sz w:val="21"/>
        </w:rPr>
        <w:t>与全球电商平台合作，提供数字贸易一站式服务、建立线上展示平台、人才引进及培育、培训及活动举办、数字贸易企业招商及孵化、成果展示及展销中心服务宣传推广。项目考核如下表：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864"/>
        <w:gridCol w:w="2922"/>
        <w:gridCol w:w="730"/>
        <w:gridCol w:w="671"/>
        <w:gridCol w:w="671"/>
        <w:gridCol w:w="671"/>
        <w:gridCol w:w="745"/>
      </w:tblGrid>
      <w:tr>
        <w:tc>
          <w:tcPr>
            <w:tcW w:type="dxa" w:w="1864"/>
            <w:tcBorders>
              <w:top w:val="single" w:color="000000" w:sz="4"/>
              <w:left w:val="single" w:color="000000" w:sz="4"/>
              <w:bottom w:val="single" w:color="000000" w:sz="4"/>
              <w:right w:val="single" w:color="000000" w:sz="4"/>
            </w:tcBorders>
            <w:shd w:fill="B4C6E7"/>
            <w:vAlign w:val="top"/>
          </w:tcPr>
          <w:p>
            <w:pPr>
              <w:jc w:val="center"/>
            </w:pPr>
            <w:r>
              <w:rPr>
                <w:b/>
                <w:sz w:val="22"/>
              </w:rPr>
              <w:t>项目目标</w:t>
            </w:r>
          </w:p>
        </w:tc>
        <w:tc>
          <w:tcPr>
            <w:tcW w:type="dxa" w:w="2922"/>
            <w:tcBorders>
              <w:top w:val="single" w:color="000000" w:sz="4"/>
              <w:left w:val="none" w:color="000000" w:sz="4"/>
              <w:bottom w:val="single" w:color="000000" w:sz="4"/>
              <w:right w:val="single" w:color="000000" w:sz="4"/>
            </w:tcBorders>
            <w:shd w:fill="B4C6E7"/>
            <w:vAlign w:val="top"/>
          </w:tcPr>
          <w:p>
            <w:pPr>
              <w:jc w:val="center"/>
            </w:pPr>
            <w:r>
              <w:rPr>
                <w:b/>
                <w:sz w:val="22"/>
              </w:rPr>
              <w:t>证明材料</w:t>
            </w:r>
          </w:p>
        </w:tc>
        <w:tc>
          <w:tcPr>
            <w:tcW w:type="dxa" w:w="730"/>
            <w:tcBorders>
              <w:top w:val="single" w:color="000000" w:sz="4"/>
              <w:left w:val="none" w:color="000000" w:sz="4"/>
              <w:bottom w:val="single" w:color="000000" w:sz="4"/>
              <w:right w:val="single" w:color="000000" w:sz="4"/>
            </w:tcBorders>
            <w:shd w:fill="B4C6E7"/>
            <w:vAlign w:val="top"/>
          </w:tcPr>
          <w:p>
            <w:pPr>
              <w:jc w:val="center"/>
            </w:pPr>
            <w:r>
              <w:rPr>
                <w:b/>
                <w:sz w:val="22"/>
              </w:rPr>
              <w:t>21个月总工作目标</w:t>
            </w:r>
          </w:p>
        </w:tc>
        <w:tc>
          <w:tcPr>
            <w:tcW w:type="dxa" w:w="671"/>
            <w:tcBorders>
              <w:top w:val="single" w:color="000000" w:sz="4"/>
              <w:left w:val="none" w:color="000000" w:sz="4"/>
              <w:bottom w:val="single" w:color="000000" w:sz="4"/>
              <w:right w:val="single" w:color="000000" w:sz="4"/>
            </w:tcBorders>
            <w:shd w:fill="B4C6E7"/>
            <w:vAlign w:val="top"/>
          </w:tcPr>
          <w:p>
            <w:pPr>
              <w:jc w:val="center"/>
            </w:pPr>
            <w:r>
              <w:rPr>
                <w:b/>
                <w:sz w:val="22"/>
              </w:rPr>
              <w:t>第一阶段</w:t>
            </w:r>
          </w:p>
          <w:p>
            <w:pPr>
              <w:jc w:val="center"/>
            </w:pPr>
            <w:r>
              <w:rPr>
                <w:b/>
                <w:sz w:val="22"/>
              </w:rPr>
              <w:t>考核指标</w:t>
            </w:r>
          </w:p>
        </w:tc>
        <w:tc>
          <w:tcPr>
            <w:tcW w:type="dxa" w:w="671"/>
            <w:tcBorders>
              <w:top w:val="single" w:color="000000" w:sz="4"/>
              <w:left w:val="none" w:color="000000" w:sz="4"/>
              <w:bottom w:val="single" w:color="000000" w:sz="4"/>
              <w:right w:val="single" w:color="000000" w:sz="4"/>
            </w:tcBorders>
            <w:shd w:fill="B4C6E7"/>
            <w:vAlign w:val="top"/>
          </w:tcPr>
          <w:p>
            <w:pPr>
              <w:jc w:val="center"/>
            </w:pPr>
            <w:r>
              <w:rPr>
                <w:b/>
                <w:sz w:val="22"/>
              </w:rPr>
              <w:t>第二阶段</w:t>
            </w:r>
          </w:p>
          <w:p>
            <w:pPr>
              <w:jc w:val="center"/>
            </w:pPr>
            <w:r>
              <w:rPr>
                <w:b/>
                <w:sz w:val="22"/>
              </w:rPr>
              <w:t>考核指标</w:t>
            </w:r>
          </w:p>
        </w:tc>
        <w:tc>
          <w:tcPr>
            <w:tcW w:type="dxa" w:w="671"/>
            <w:tcBorders>
              <w:top w:val="single" w:color="000000" w:sz="4"/>
              <w:left w:val="none" w:color="000000" w:sz="4"/>
              <w:bottom w:val="single" w:color="000000" w:sz="4"/>
              <w:right w:val="single" w:color="000000" w:sz="4"/>
            </w:tcBorders>
            <w:shd w:fill="B4C6E7"/>
            <w:vAlign w:val="top"/>
          </w:tcPr>
          <w:p>
            <w:pPr>
              <w:jc w:val="center"/>
            </w:pPr>
            <w:r>
              <w:rPr>
                <w:b/>
                <w:sz w:val="22"/>
              </w:rPr>
              <w:t>第三阶段</w:t>
            </w:r>
          </w:p>
          <w:p>
            <w:pPr>
              <w:jc w:val="center"/>
            </w:pPr>
            <w:r>
              <w:rPr>
                <w:b/>
                <w:sz w:val="22"/>
              </w:rPr>
              <w:t>考核指标</w:t>
            </w:r>
          </w:p>
        </w:tc>
        <w:tc>
          <w:tcPr>
            <w:tcW w:type="dxa" w:w="745"/>
            <w:tcBorders>
              <w:top w:val="single" w:color="000000" w:sz="4"/>
              <w:left w:val="none" w:color="000000" w:sz="4"/>
              <w:bottom w:val="single" w:color="000000" w:sz="4"/>
              <w:right w:val="single" w:color="000000" w:sz="4"/>
            </w:tcBorders>
            <w:shd w:fill="B4C6E7"/>
            <w:vAlign w:val="top"/>
          </w:tcPr>
          <w:p>
            <w:pPr>
              <w:jc w:val="center"/>
            </w:pPr>
            <w:r>
              <w:rPr>
                <w:b/>
                <w:sz w:val="22"/>
              </w:rPr>
              <w:t>第四阶段</w:t>
            </w:r>
          </w:p>
          <w:p>
            <w:pPr>
              <w:jc w:val="center"/>
            </w:pPr>
            <w:r>
              <w:rPr>
                <w:b/>
                <w:sz w:val="22"/>
              </w:rPr>
              <w:t>考核指标</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引进与维系全球销售平台（</w:t>
            </w:r>
            <w:r>
              <w:rPr>
                <w:sz w:val="22"/>
              </w:rPr>
              <w:t>5%)</w:t>
            </w:r>
          </w:p>
        </w:tc>
        <w:tc>
          <w:tcPr>
            <w:tcW w:type="dxa" w:w="2922"/>
            <w:tcBorders>
              <w:top w:val="none" w:color="000000" w:sz="4"/>
              <w:left w:val="none" w:color="000000" w:sz="4"/>
              <w:bottom w:val="single" w:color="000000" w:sz="4"/>
              <w:right w:val="single" w:color="000000" w:sz="4"/>
            </w:tcBorders>
            <w:vAlign w:val="top"/>
          </w:tcPr>
          <w:p>
            <w:r>
              <w:rPr>
                <w:sz w:val="22"/>
              </w:rPr>
              <w:t>提供合作清单、框架协议或活动信息或其他合作情况等证明材料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w:t>
            </w:r>
          </w:p>
        </w:tc>
        <w:tc>
          <w:tcPr>
            <w:tcW w:type="dxa" w:w="745"/>
            <w:tcBorders>
              <w:top w:val="none" w:color="000000" w:sz="4"/>
              <w:left w:val="none" w:color="000000" w:sz="4"/>
              <w:bottom w:val="single" w:color="000000" w:sz="4"/>
              <w:right w:val="single" w:color="000000" w:sz="4"/>
            </w:tcBorders>
            <w:vAlign w:val="top"/>
          </w:tcPr>
          <w:p>
            <w:pPr>
              <w:jc w:val="center"/>
            </w:pPr>
            <w:r>
              <w:rPr>
                <w:sz w:val="22"/>
              </w:rPr>
              <w:t>维系</w:t>
            </w:r>
            <w:r>
              <w:rPr>
                <w:sz w:val="22"/>
              </w:rPr>
              <w:t>20</w:t>
            </w:r>
            <w:r>
              <w:rPr>
                <w:sz w:val="21"/>
              </w:rPr>
              <w:t>个</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引进与维系产学研贸基地（</w:t>
            </w:r>
            <w:r>
              <w:rPr>
                <w:sz w:val="22"/>
              </w:rPr>
              <w:t>5%）</w:t>
            </w:r>
          </w:p>
        </w:tc>
        <w:tc>
          <w:tcPr>
            <w:tcW w:type="dxa" w:w="2922"/>
            <w:tcBorders>
              <w:top w:val="none" w:color="000000" w:sz="4"/>
              <w:left w:val="none" w:color="000000" w:sz="4"/>
              <w:bottom w:val="single" w:color="000000" w:sz="4"/>
              <w:right w:val="single" w:color="000000" w:sz="4"/>
            </w:tcBorders>
            <w:vAlign w:val="top"/>
          </w:tcPr>
          <w:p>
            <w:r>
              <w:rPr>
                <w:sz w:val="22"/>
              </w:rPr>
              <w:t>提供合作清单、框架协议或其他合作情况等证明材料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引进</w:t>
            </w:r>
            <w:r>
              <w:rPr>
                <w:sz w:val="22"/>
              </w:rPr>
              <w:t>30所</w:t>
            </w:r>
          </w:p>
        </w:tc>
        <w:tc>
          <w:tcPr>
            <w:tcW w:type="dxa" w:w="671"/>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671"/>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671"/>
            <w:tcBorders>
              <w:top w:val="none" w:color="000000" w:sz="4"/>
              <w:left w:val="none" w:color="000000" w:sz="4"/>
              <w:bottom w:val="single" w:color="000000" w:sz="4"/>
              <w:right w:val="single" w:color="000000" w:sz="4"/>
            </w:tcBorders>
            <w:vAlign w:val="top"/>
          </w:tcPr>
          <w:p>
            <w:pPr>
              <w:jc w:val="center"/>
            </w:pPr>
            <w:r>
              <w:rPr>
                <w:sz w:val="22"/>
              </w:rPr>
              <w:t>引进</w:t>
            </w:r>
            <w:r>
              <w:rPr>
                <w:sz w:val="22"/>
              </w:rPr>
              <w:t>8</w:t>
            </w:r>
            <w:r>
              <w:rPr>
                <w:sz w:val="21"/>
              </w:rPr>
              <w:t>所</w:t>
            </w:r>
          </w:p>
        </w:tc>
        <w:tc>
          <w:tcPr>
            <w:tcW w:type="dxa" w:w="745"/>
            <w:tcBorders>
              <w:top w:val="none" w:color="000000" w:sz="4"/>
              <w:left w:val="none" w:color="000000" w:sz="4"/>
              <w:bottom w:val="single" w:color="000000" w:sz="4"/>
              <w:right w:val="single" w:color="000000" w:sz="4"/>
            </w:tcBorders>
            <w:vAlign w:val="top"/>
          </w:tcPr>
          <w:p>
            <w:pPr>
              <w:jc w:val="center"/>
            </w:pPr>
            <w:r>
              <w:rPr>
                <w:sz w:val="22"/>
              </w:rPr>
              <w:t>引进</w:t>
            </w:r>
            <w:r>
              <w:rPr>
                <w:sz w:val="22"/>
              </w:rPr>
              <w:t>6</w:t>
            </w:r>
            <w:r>
              <w:rPr>
                <w:sz w:val="21"/>
              </w:rPr>
              <w:t>所</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重点服务园区企业（</w:t>
            </w:r>
            <w:r>
              <w:rPr>
                <w:sz w:val="22"/>
              </w:rPr>
              <w:t>10%）</w:t>
            </w:r>
          </w:p>
        </w:tc>
        <w:tc>
          <w:tcPr>
            <w:tcW w:type="dxa" w:w="2922"/>
            <w:tcBorders>
              <w:top w:val="none" w:color="000000" w:sz="4"/>
              <w:left w:val="none" w:color="000000" w:sz="4"/>
              <w:bottom w:val="single" w:color="000000" w:sz="4"/>
              <w:right w:val="single" w:color="000000" w:sz="4"/>
            </w:tcBorders>
            <w:vAlign w:val="top"/>
          </w:tcPr>
          <w:p>
            <w:r>
              <w:rPr>
                <w:sz w:val="22"/>
              </w:rPr>
              <w:t>提供服务园区企业清单、拜访表等证明材料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350</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53</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745"/>
            <w:tcBorders>
              <w:top w:val="none" w:color="000000" w:sz="4"/>
              <w:left w:val="none" w:color="000000" w:sz="4"/>
              <w:bottom w:val="single" w:color="000000" w:sz="4"/>
              <w:right w:val="single" w:color="000000" w:sz="4"/>
            </w:tcBorders>
            <w:vAlign w:val="top"/>
          </w:tcPr>
          <w:p>
            <w:pPr>
              <w:jc w:val="center"/>
            </w:pPr>
            <w:r>
              <w:rPr>
                <w:sz w:val="22"/>
              </w:rPr>
              <w:t>121</w:t>
            </w:r>
            <w:r>
              <w:rPr>
                <w:sz w:val="21"/>
              </w:rPr>
              <w:t>家</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辅射园区</w:t>
            </w:r>
            <w:r>
              <w:rPr>
                <w:sz w:val="22"/>
              </w:rPr>
              <w:t>1+9范围（10%）</w:t>
            </w:r>
          </w:p>
        </w:tc>
        <w:tc>
          <w:tcPr>
            <w:tcW w:type="dxa" w:w="2922"/>
            <w:tcBorders>
              <w:top w:val="none" w:color="000000" w:sz="4"/>
              <w:left w:val="none" w:color="000000" w:sz="4"/>
              <w:bottom w:val="single" w:color="000000" w:sz="4"/>
              <w:right w:val="single" w:color="000000" w:sz="4"/>
            </w:tcBorders>
            <w:vAlign w:val="top"/>
          </w:tcPr>
          <w:p>
            <w:r>
              <w:rPr>
                <w:sz w:val="22"/>
              </w:rPr>
              <w:t>提供辐射</w:t>
            </w:r>
            <w:r>
              <w:rPr>
                <w:sz w:val="22"/>
              </w:rPr>
              <w:t>1+9范围企业清单、拜访表或参加活动资料等证明材料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875</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131</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219</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219</w:t>
            </w:r>
            <w:r>
              <w:rPr>
                <w:sz w:val="21"/>
              </w:rPr>
              <w:t>家</w:t>
            </w:r>
          </w:p>
        </w:tc>
        <w:tc>
          <w:tcPr>
            <w:tcW w:type="dxa" w:w="745"/>
            <w:tcBorders>
              <w:top w:val="none" w:color="000000" w:sz="4"/>
              <w:left w:val="none" w:color="000000" w:sz="4"/>
              <w:bottom w:val="single" w:color="000000" w:sz="4"/>
              <w:right w:val="single" w:color="000000" w:sz="4"/>
            </w:tcBorders>
            <w:vAlign w:val="top"/>
          </w:tcPr>
          <w:p>
            <w:pPr>
              <w:jc w:val="center"/>
            </w:pPr>
            <w:r>
              <w:rPr>
                <w:sz w:val="22"/>
              </w:rPr>
              <w:t>306</w:t>
            </w:r>
            <w:r>
              <w:rPr>
                <w:sz w:val="21"/>
              </w:rPr>
              <w:t>家</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引进与维系线上展示企业</w:t>
            </w:r>
            <w:r>
              <w:rPr>
                <w:sz w:val="22"/>
              </w:rPr>
              <w:t>（</w:t>
            </w:r>
            <w:r>
              <w:rPr>
                <w:sz w:val="22"/>
              </w:rPr>
              <w:t>10%）</w:t>
            </w:r>
          </w:p>
        </w:tc>
        <w:tc>
          <w:tcPr>
            <w:tcW w:type="dxa" w:w="2922"/>
            <w:tcBorders>
              <w:top w:val="none" w:color="000000" w:sz="4"/>
              <w:left w:val="none" w:color="000000" w:sz="4"/>
              <w:bottom w:val="single" w:color="000000" w:sz="4"/>
              <w:right w:val="single" w:color="000000" w:sz="4"/>
            </w:tcBorders>
            <w:vAlign w:val="top"/>
          </w:tcPr>
          <w:p>
            <w:r>
              <w:rPr>
                <w:sz w:val="22"/>
              </w:rPr>
              <w:t>提供企业清单、网站截图等证明材料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350</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53</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745"/>
            <w:tcBorders>
              <w:top w:val="none" w:color="000000" w:sz="4"/>
              <w:left w:val="none" w:color="000000" w:sz="4"/>
              <w:bottom w:val="single" w:color="000000" w:sz="4"/>
              <w:right w:val="single" w:color="000000" w:sz="4"/>
            </w:tcBorders>
            <w:vAlign w:val="top"/>
          </w:tcPr>
          <w:p>
            <w:pPr>
              <w:jc w:val="center"/>
            </w:pPr>
            <w:r>
              <w:rPr>
                <w:sz w:val="22"/>
              </w:rPr>
              <w:t>121</w:t>
            </w:r>
            <w:r>
              <w:rPr>
                <w:sz w:val="21"/>
              </w:rPr>
              <w:t>家</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引进与维系线上</w:t>
            </w:r>
            <w:r>
              <w:rPr>
                <w:sz w:val="22"/>
              </w:rPr>
              <w:t>SKU（15%）</w:t>
            </w:r>
          </w:p>
        </w:tc>
        <w:tc>
          <w:tcPr>
            <w:tcW w:type="dxa" w:w="2922"/>
            <w:tcBorders>
              <w:top w:val="none" w:color="000000" w:sz="4"/>
              <w:left w:val="none" w:color="000000" w:sz="4"/>
              <w:bottom w:val="single" w:color="000000" w:sz="4"/>
              <w:right w:val="single" w:color="000000" w:sz="4"/>
            </w:tcBorders>
            <w:vAlign w:val="top"/>
          </w:tcPr>
          <w:p>
            <w:r>
              <w:rPr>
                <w:sz w:val="22"/>
              </w:rPr>
              <w:t>提供产品清单、网站截图等证明材料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3500</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525</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875</w:t>
            </w:r>
            <w:r>
              <w:rPr>
                <w:sz w:val="21"/>
              </w:rPr>
              <w:t>个</w:t>
            </w:r>
          </w:p>
        </w:tc>
        <w:tc>
          <w:tcPr>
            <w:tcW w:type="dxa" w:w="671"/>
            <w:tcBorders>
              <w:top w:val="none" w:color="000000" w:sz="4"/>
              <w:left w:val="none" w:color="000000" w:sz="4"/>
              <w:bottom w:val="single" w:color="000000" w:sz="4"/>
              <w:right w:val="single" w:color="000000" w:sz="4"/>
            </w:tcBorders>
            <w:vAlign w:val="top"/>
          </w:tcPr>
          <w:p>
            <w:pPr>
              <w:jc w:val="center"/>
            </w:pPr>
            <w:r>
              <w:rPr>
                <w:sz w:val="22"/>
              </w:rPr>
              <w:t>875</w:t>
            </w:r>
            <w:r>
              <w:rPr>
                <w:sz w:val="21"/>
              </w:rPr>
              <w:t>个</w:t>
            </w:r>
          </w:p>
        </w:tc>
        <w:tc>
          <w:tcPr>
            <w:tcW w:type="dxa" w:w="745"/>
            <w:tcBorders>
              <w:top w:val="none" w:color="000000" w:sz="4"/>
              <w:left w:val="none" w:color="000000" w:sz="4"/>
              <w:bottom w:val="single" w:color="000000" w:sz="4"/>
              <w:right w:val="single" w:color="000000" w:sz="4"/>
            </w:tcBorders>
            <w:vAlign w:val="top"/>
          </w:tcPr>
          <w:p>
            <w:pPr>
              <w:jc w:val="center"/>
            </w:pPr>
            <w:r>
              <w:rPr>
                <w:sz w:val="22"/>
              </w:rPr>
              <w:t>1225</w:t>
            </w:r>
            <w:r>
              <w:rPr>
                <w:sz w:val="21"/>
              </w:rPr>
              <w:t>个</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小型主题展示及供采对接（</w:t>
            </w:r>
            <w:r>
              <w:rPr>
                <w:sz w:val="22"/>
              </w:rPr>
              <w:t>5%）</w:t>
            </w:r>
          </w:p>
        </w:tc>
        <w:tc>
          <w:tcPr>
            <w:tcW w:type="dxa" w:w="2922"/>
            <w:tcBorders>
              <w:top w:val="none" w:color="000000" w:sz="4"/>
              <w:left w:val="none" w:color="000000" w:sz="4"/>
              <w:bottom w:val="single" w:color="000000" w:sz="4"/>
              <w:right w:val="single" w:color="000000" w:sz="4"/>
            </w:tcBorders>
            <w:vAlign w:val="top"/>
          </w:tcPr>
          <w:p>
            <w:r>
              <w:rPr>
                <w:sz w:val="22"/>
              </w:rPr>
              <w:t>提供活动图片、报道等证明材料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c>
          <w:tcPr>
            <w:tcW w:type="dxa" w:w="745"/>
            <w:tcBorders>
              <w:top w:val="none" w:color="000000" w:sz="4"/>
              <w:left w:val="none" w:color="000000" w:sz="4"/>
              <w:bottom w:val="single" w:color="000000" w:sz="4"/>
              <w:right w:val="single" w:color="000000" w:sz="4"/>
            </w:tcBorders>
            <w:vAlign w:val="top"/>
          </w:tcPr>
          <w:p>
            <w:pPr>
              <w:jc w:val="center"/>
            </w:pPr>
            <w:r>
              <w:rPr>
                <w:sz w:val="22"/>
              </w:rPr>
              <w:t>1</w:t>
            </w:r>
            <w:r>
              <w:rPr>
                <w:sz w:val="21"/>
              </w:rPr>
              <w:t>场</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企业线上销售增长（</w:t>
            </w:r>
            <w:r>
              <w:rPr>
                <w:sz w:val="22"/>
              </w:rPr>
              <w:t>10%）</w:t>
            </w:r>
          </w:p>
        </w:tc>
        <w:tc>
          <w:tcPr>
            <w:tcW w:type="dxa" w:w="2922"/>
            <w:tcBorders>
              <w:top w:val="none" w:color="000000" w:sz="4"/>
              <w:left w:val="none" w:color="000000" w:sz="4"/>
              <w:bottom w:val="single" w:color="000000" w:sz="4"/>
              <w:right w:val="single" w:color="000000" w:sz="4"/>
            </w:tcBorders>
            <w:vAlign w:val="top"/>
          </w:tcPr>
          <w:p>
            <w:r>
              <w:rPr>
                <w:sz w:val="22"/>
              </w:rPr>
              <w:t>提供企业数据或新开平台页面截图等证明材料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88</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13</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22</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22</w:t>
            </w:r>
            <w:r>
              <w:rPr>
                <w:sz w:val="21"/>
              </w:rPr>
              <w:t>家</w:t>
            </w:r>
          </w:p>
        </w:tc>
        <w:tc>
          <w:tcPr>
            <w:tcW w:type="dxa" w:w="745"/>
            <w:tcBorders>
              <w:top w:val="none" w:color="000000" w:sz="4"/>
              <w:left w:val="none" w:color="000000" w:sz="4"/>
              <w:bottom w:val="single" w:color="000000" w:sz="4"/>
              <w:right w:val="single" w:color="000000" w:sz="4"/>
            </w:tcBorders>
            <w:vAlign w:val="top"/>
          </w:tcPr>
          <w:p>
            <w:pPr>
              <w:jc w:val="center"/>
            </w:pPr>
            <w:r>
              <w:rPr>
                <w:sz w:val="22"/>
              </w:rPr>
              <w:t>31</w:t>
            </w:r>
            <w:r>
              <w:rPr>
                <w:sz w:val="21"/>
              </w:rPr>
              <w:t>家</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招引企业（</w:t>
            </w:r>
            <w:r>
              <w:rPr>
                <w:sz w:val="22"/>
              </w:rPr>
              <w:t>10%）</w:t>
            </w:r>
          </w:p>
        </w:tc>
        <w:tc>
          <w:tcPr>
            <w:tcW w:type="dxa" w:w="2922"/>
            <w:tcBorders>
              <w:top w:val="none" w:color="000000" w:sz="4"/>
              <w:left w:val="none" w:color="000000" w:sz="4"/>
              <w:bottom w:val="single" w:color="000000" w:sz="4"/>
              <w:right w:val="single" w:color="000000" w:sz="4"/>
            </w:tcBorders>
            <w:vAlign w:val="top"/>
          </w:tcPr>
          <w:p>
            <w:r>
              <w:rPr>
                <w:sz w:val="22"/>
              </w:rPr>
              <w:t>提供企业名单、工商注册信息等证明材料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18</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3</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4</w:t>
            </w:r>
            <w:r>
              <w:rPr>
                <w:sz w:val="21"/>
              </w:rPr>
              <w:t>家</w:t>
            </w:r>
          </w:p>
        </w:tc>
        <w:tc>
          <w:tcPr>
            <w:tcW w:type="dxa" w:w="671"/>
            <w:tcBorders>
              <w:top w:val="none" w:color="000000" w:sz="4"/>
              <w:left w:val="none" w:color="000000" w:sz="4"/>
              <w:bottom w:val="single" w:color="000000" w:sz="4"/>
              <w:right w:val="single" w:color="000000" w:sz="4"/>
            </w:tcBorders>
            <w:vAlign w:val="top"/>
          </w:tcPr>
          <w:p>
            <w:pPr>
              <w:jc w:val="center"/>
            </w:pPr>
            <w:r>
              <w:rPr>
                <w:sz w:val="22"/>
              </w:rPr>
              <w:t>4</w:t>
            </w:r>
            <w:r>
              <w:rPr>
                <w:sz w:val="21"/>
              </w:rPr>
              <w:t>家</w:t>
            </w:r>
          </w:p>
        </w:tc>
        <w:tc>
          <w:tcPr>
            <w:tcW w:type="dxa" w:w="745"/>
            <w:tcBorders>
              <w:top w:val="none" w:color="000000" w:sz="4"/>
              <w:left w:val="none" w:color="000000" w:sz="4"/>
              <w:bottom w:val="single" w:color="000000" w:sz="4"/>
              <w:right w:val="single" w:color="000000" w:sz="4"/>
            </w:tcBorders>
            <w:vAlign w:val="top"/>
          </w:tcPr>
          <w:p>
            <w:pPr>
              <w:jc w:val="center"/>
            </w:pPr>
            <w:r>
              <w:rPr>
                <w:sz w:val="22"/>
              </w:rPr>
              <w:t>7</w:t>
            </w:r>
            <w:r>
              <w:rPr>
                <w:sz w:val="21"/>
              </w:rPr>
              <w:t>家</w:t>
            </w:r>
          </w:p>
        </w:tc>
      </w:tr>
      <w:tr>
        <w:tc>
          <w:tcPr>
            <w:tcW w:type="dxa" w:w="1864"/>
            <w:tcBorders>
              <w:top w:val="none" w:color="000000" w:sz="4"/>
              <w:left w:val="single" w:color="000000" w:sz="4"/>
              <w:bottom w:val="single" w:color="000000" w:sz="4"/>
              <w:right w:val="single" w:color="000000" w:sz="4"/>
            </w:tcBorders>
            <w:vAlign w:val="top"/>
          </w:tcPr>
          <w:p>
            <w:pPr>
              <w:jc w:val="center"/>
            </w:pPr>
            <w:r>
              <w:rPr>
                <w:sz w:val="22"/>
              </w:rPr>
              <w:t>小型培训活动（</w:t>
            </w:r>
            <w:r>
              <w:rPr>
                <w:sz w:val="22"/>
              </w:rPr>
              <w:t>20%）</w:t>
            </w:r>
          </w:p>
        </w:tc>
        <w:tc>
          <w:tcPr>
            <w:tcW w:type="dxa" w:w="2922"/>
            <w:tcBorders>
              <w:top w:val="none" w:color="000000" w:sz="4"/>
              <w:left w:val="none" w:color="000000" w:sz="4"/>
              <w:bottom w:val="single" w:color="000000" w:sz="4"/>
              <w:right w:val="single" w:color="000000" w:sz="4"/>
            </w:tcBorders>
            <w:vAlign w:val="top"/>
          </w:tcPr>
          <w:p>
            <w:r>
              <w:rPr>
                <w:sz w:val="22"/>
              </w:rPr>
              <w:t>提供活动图片、报道等证明材料</w:t>
            </w:r>
          </w:p>
        </w:tc>
        <w:tc>
          <w:tcPr>
            <w:tcW w:type="dxa" w:w="730"/>
            <w:tcBorders>
              <w:top w:val="none" w:color="000000" w:sz="4"/>
              <w:left w:val="none" w:color="000000" w:sz="4"/>
              <w:bottom w:val="single" w:color="000000" w:sz="4"/>
              <w:right w:val="single" w:color="000000" w:sz="4"/>
            </w:tcBorders>
            <w:vAlign w:val="top"/>
          </w:tcPr>
          <w:p>
            <w:pPr>
              <w:jc w:val="center"/>
            </w:pPr>
            <w:r>
              <w:rPr>
                <w:sz w:val="22"/>
              </w:rPr>
              <w:t>18</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3</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671"/>
            <w:tcBorders>
              <w:top w:val="none" w:color="000000" w:sz="4"/>
              <w:left w:val="none" w:color="000000" w:sz="4"/>
              <w:bottom w:val="single" w:color="000000" w:sz="4"/>
              <w:right w:val="single" w:color="000000" w:sz="4"/>
            </w:tcBorders>
            <w:vAlign w:val="top"/>
          </w:tcPr>
          <w:p>
            <w:pPr>
              <w:jc w:val="center"/>
            </w:pPr>
            <w:r>
              <w:rPr>
                <w:sz w:val="22"/>
              </w:rPr>
              <w:t>4</w:t>
            </w:r>
            <w:r>
              <w:rPr>
                <w:sz w:val="21"/>
              </w:rPr>
              <w:t>场</w:t>
            </w:r>
          </w:p>
        </w:tc>
        <w:tc>
          <w:tcPr>
            <w:tcW w:type="dxa" w:w="745"/>
            <w:tcBorders>
              <w:top w:val="none" w:color="000000" w:sz="4"/>
              <w:left w:val="none" w:color="000000" w:sz="4"/>
              <w:bottom w:val="single" w:color="000000" w:sz="4"/>
              <w:right w:val="single" w:color="000000" w:sz="4"/>
            </w:tcBorders>
            <w:vAlign w:val="top"/>
          </w:tcPr>
          <w:p>
            <w:pPr>
              <w:jc w:val="center"/>
            </w:pPr>
            <w:r>
              <w:rPr>
                <w:sz w:val="22"/>
              </w:rPr>
              <w:t>7</w:t>
            </w:r>
            <w:r>
              <w:rPr>
                <w:sz w:val="21"/>
              </w:rPr>
              <w:t>场</w:t>
            </w:r>
          </w:p>
        </w:tc>
      </w:tr>
    </w:tbl>
    <w:p>
      <w:pPr>
        <w:ind w:firstLine="420"/>
      </w:pPr>
      <w:r>
        <w:rPr>
          <w:sz w:val="21"/>
        </w:rPr>
        <w:t>注：</w:t>
      </w:r>
    </w:p>
    <w:p>
      <w:pPr>
        <w:ind w:firstLine="420"/>
      </w:pPr>
      <w:r>
        <w:rPr>
          <w:sz w:val="21"/>
        </w:rPr>
        <w:t>（</w:t>
      </w:r>
      <w:r>
        <w:rPr>
          <w:sz w:val="21"/>
        </w:rPr>
        <w:t>1）合同执行后的第四个月末，甲方将根据任务目标对乙方工作组织第一次阶段性考核评定，工作目标达到第一阶段考核所有指标则通过阶段性考核，若工作目标考核不通过，需顺延考核时间，直至工作目标考核通过为止。</w:t>
      </w:r>
    </w:p>
    <w:p>
      <w:pPr>
        <w:ind w:firstLine="420"/>
      </w:pPr>
      <w:r>
        <w:rPr>
          <w:sz w:val="21"/>
        </w:rPr>
        <w:t>（</w:t>
      </w:r>
      <w:r>
        <w:rPr>
          <w:sz w:val="21"/>
        </w:rPr>
        <w:t>2）合同执行后的第十个月末，甲方将根据任务目标对乙方工作组织第二次阶段性考核评定，工作目标达到第二阶段考核所有指标则通过阶段性考核，若工作目标考核不通过，需顺延考核时间，直至工作目标考核通过为止。</w:t>
      </w:r>
    </w:p>
    <w:p>
      <w:pPr>
        <w:ind w:firstLine="420"/>
      </w:pPr>
      <w:r>
        <w:rPr>
          <w:sz w:val="21"/>
        </w:rPr>
        <w:t>（</w:t>
      </w:r>
      <w:r>
        <w:rPr>
          <w:sz w:val="21"/>
        </w:rPr>
        <w:t>3）合同执行后的第十五个月末，甲方将根据任务目标对乙方工作组织第三次阶段性考核评定，工作目标达到第三阶段考核所有指标则通过阶段性考核，若工作目标考核不通过，需顺延考核时间，直至工作目标考核通过为止。</w:t>
      </w:r>
    </w:p>
    <w:p>
      <w:pPr>
        <w:ind w:firstLine="420"/>
      </w:pPr>
      <w:r>
        <w:rPr>
          <w:sz w:val="21"/>
        </w:rPr>
        <w:t>（</w:t>
      </w:r>
      <w:r>
        <w:rPr>
          <w:sz w:val="21"/>
        </w:rPr>
        <w:t>4）合同结束后，甲方将根据任务目标对乙方工作组织第四次阶段性考核评定，并根据第一阶段至第四阶段共四次考核的结果进行统计评定，总工作目标</w:t>
      </w:r>
      <w:r>
        <w:rPr>
          <w:sz w:val="22"/>
        </w:rPr>
        <w:t>达到</w:t>
      </w:r>
      <w:r>
        <w:rPr>
          <w:sz w:val="22"/>
        </w:rPr>
        <w:t>21个月总工作目标的90%（或以上）则通过考核评定，</w:t>
      </w:r>
      <w:r>
        <w:rPr>
          <w:sz w:val="21"/>
        </w:rPr>
        <w:t>若总工作目标考核不通过，需顺延考核时间，直至总工作目标考核通过为止。</w:t>
      </w:r>
    </w:p>
    <w:p>
      <w:pPr>
        <w:ind w:firstLine="420"/>
      </w:pPr>
    </w:p>
    <w:p>
      <w:pPr>
        <w:jc w:val="both"/>
      </w:pPr>
      <w:r>
        <w:rPr>
          <w:b/>
          <w:sz w:val="21"/>
        </w:rPr>
        <w:t>三、服务期间（项目完成期限）</w:t>
      </w:r>
    </w:p>
    <w:p>
      <w:pPr>
        <w:jc w:val="both"/>
      </w:pPr>
      <w:r>
        <w:rPr>
          <w:sz w:val="21"/>
        </w:rPr>
        <w:t>1.服务期：</w:t>
      </w:r>
      <w:r>
        <w:rPr>
          <w:sz w:val="21"/>
        </w:rPr>
        <w:t>自</w:t>
      </w:r>
      <w:r>
        <w:rPr>
          <w:sz w:val="21"/>
        </w:rPr>
        <w:t>合同</w:t>
      </w:r>
      <w:r>
        <w:rPr>
          <w:sz w:val="21"/>
        </w:rPr>
        <w:t>签订之日起</w:t>
      </w:r>
      <w:r>
        <w:rPr>
          <w:sz w:val="21"/>
        </w:rPr>
        <w:t>21个月</w:t>
      </w:r>
      <w:r>
        <w:rPr>
          <w:sz w:val="21"/>
        </w:rPr>
        <w:t>。</w:t>
      </w:r>
      <w:r>
        <w:rPr>
          <w:sz w:val="21"/>
        </w:rPr>
        <w:t>委托服务期间自</w:t>
      </w:r>
      <w:r>
        <w:rPr>
          <w:sz w:val="21"/>
        </w:rPr>
        <w:t>______年______月至______年______月止。</w:t>
      </w:r>
    </w:p>
    <w:p>
      <w:pPr>
        <w:jc w:val="both"/>
      </w:pPr>
      <w:r>
        <w:rPr>
          <w:b/>
          <w:sz w:val="21"/>
        </w:rPr>
        <w:t>四、付款方式</w:t>
      </w:r>
    </w:p>
    <w:p>
      <w:pPr>
        <w:ind w:firstLine="420"/>
      </w:pPr>
      <w:r>
        <w:rPr>
          <w:sz w:val="21"/>
        </w:rPr>
        <w:t>1、合同签订之日起15个自然日内支付合同金额的5%；</w:t>
      </w:r>
    </w:p>
    <w:p>
      <w:pPr>
        <w:ind w:firstLine="420"/>
      </w:pPr>
      <w:r>
        <w:rPr>
          <w:sz w:val="21"/>
        </w:rPr>
        <w:t>2、根据</w:t>
      </w:r>
      <w:r>
        <w:rPr>
          <w:sz w:val="21"/>
        </w:rPr>
        <w:t>甲方</w:t>
      </w:r>
      <w:r>
        <w:rPr>
          <w:sz w:val="21"/>
        </w:rPr>
        <w:t>在合同执行后第四个月末组织的第一次阶段性考评结果进行支付，考核通过则支付合同金额的</w:t>
      </w:r>
      <w:r>
        <w:rPr>
          <w:sz w:val="21"/>
        </w:rPr>
        <w:t>35%，未通过则不予支付，直至合格后再支付。</w:t>
      </w:r>
    </w:p>
    <w:p>
      <w:pPr>
        <w:ind w:firstLine="420"/>
      </w:pPr>
      <w:r>
        <w:rPr>
          <w:sz w:val="21"/>
        </w:rPr>
        <w:t>3、根据</w:t>
      </w:r>
      <w:r>
        <w:rPr>
          <w:sz w:val="21"/>
        </w:rPr>
        <w:t>甲方</w:t>
      </w:r>
      <w:r>
        <w:rPr>
          <w:sz w:val="21"/>
        </w:rPr>
        <w:t>在合同执行后第十个月末组织的第二次阶段性考评结果进行支付，考核通过则支付合同金额的</w:t>
      </w:r>
      <w:r>
        <w:rPr>
          <w:sz w:val="21"/>
        </w:rPr>
        <w:t>20%，未通过则不予支付，直至合格后再支付。</w:t>
      </w:r>
    </w:p>
    <w:p>
      <w:pPr>
        <w:ind w:firstLine="420"/>
      </w:pPr>
      <w:r>
        <w:rPr>
          <w:sz w:val="21"/>
        </w:rPr>
        <w:t>4、根据</w:t>
      </w:r>
      <w:r>
        <w:rPr>
          <w:sz w:val="21"/>
        </w:rPr>
        <w:t>甲方</w:t>
      </w:r>
      <w:r>
        <w:rPr>
          <w:sz w:val="21"/>
        </w:rPr>
        <w:t>在合同执行后第十五个月末组织的第三次阶段性考评结果进行支付，考核通过则支付合同金额的</w:t>
      </w:r>
      <w:r>
        <w:rPr>
          <w:sz w:val="21"/>
        </w:rPr>
        <w:t>20</w:t>
      </w:r>
      <w:r>
        <w:rPr>
          <w:sz w:val="21"/>
        </w:rPr>
        <w:t>%，未通过则不予支付，直至合格后再支付。</w:t>
      </w:r>
    </w:p>
    <w:p>
      <w:pPr>
        <w:ind w:firstLine="420"/>
      </w:pPr>
      <w:r>
        <w:rPr>
          <w:sz w:val="21"/>
        </w:rPr>
        <w:t>5、合同结束后，</w:t>
      </w:r>
      <w:r>
        <w:rPr>
          <w:sz w:val="21"/>
        </w:rPr>
        <w:t>甲方</w:t>
      </w:r>
      <w:r>
        <w:rPr>
          <w:sz w:val="21"/>
        </w:rPr>
        <w:t>根据第一阶段至第四阶段共四次考核的结果进行统计评定，总工作目标达到</w:t>
      </w:r>
      <w:r>
        <w:rPr>
          <w:sz w:val="21"/>
        </w:rPr>
        <w:t>21个月总工作目标的90%（或以上）则通过考核评定，考核通过则支付合同金额的20%﹔未通过则不予支付，直至合格后再支付。</w:t>
      </w:r>
    </w:p>
    <w:p>
      <w:pPr>
        <w:jc w:val="both"/>
      </w:pPr>
    </w:p>
    <w:p>
      <w:pPr>
        <w:jc w:val="both"/>
      </w:pPr>
      <w:r>
        <w:rPr>
          <w:b/>
          <w:sz w:val="21"/>
        </w:rPr>
        <w:t>五、双方权利及义务</w:t>
      </w:r>
    </w:p>
    <w:p>
      <w:pPr>
        <w:ind w:firstLine="420"/>
      </w:pPr>
      <w:r>
        <w:rPr>
          <w:sz w:val="21"/>
        </w:rPr>
        <w:t>（一）甲方权利及义务</w:t>
      </w:r>
      <w:r>
        <w:rPr>
          <w:sz w:val="21"/>
        </w:rPr>
        <w:t>:</w:t>
      </w:r>
    </w:p>
    <w:p>
      <w:pPr>
        <w:ind w:firstLine="420"/>
      </w:pPr>
      <w:r>
        <w:rPr>
          <w:sz w:val="21"/>
        </w:rPr>
        <w:t>1、甲方为乙方提供工作开展所需支持，产业信息、产业政策及与企业对接的协凋，同时利用松山湖现有新闻渠道为乙方重点工作进行宣传推广。</w:t>
      </w:r>
    </w:p>
    <w:p>
      <w:pPr>
        <w:ind w:firstLine="420"/>
      </w:pPr>
      <w:r>
        <w:rPr>
          <w:sz w:val="21"/>
        </w:rPr>
        <w:t>2、甲方有权向乙方提出工作开展指导建议及工作改善意见。</w:t>
      </w:r>
    </w:p>
    <w:p>
      <w:pPr>
        <w:ind w:firstLine="420"/>
      </w:pPr>
      <w:r>
        <w:rPr>
          <w:sz w:val="21"/>
        </w:rPr>
        <w:t>3、甲方确保乙方为展销中心运营工作开展的经费及时到位，不影响工作正常开展。</w:t>
      </w:r>
    </w:p>
    <w:p>
      <w:pPr>
        <w:ind w:firstLine="420"/>
      </w:pPr>
      <w:r>
        <w:rPr>
          <w:sz w:val="21"/>
        </w:rPr>
        <w:t>（二）乙方的权利及义务</w:t>
      </w:r>
    </w:p>
    <w:p>
      <w:pPr>
        <w:ind w:firstLine="420"/>
      </w:pPr>
      <w:r>
        <w:rPr>
          <w:sz w:val="21"/>
        </w:rPr>
        <w:t>1、合同签订后5个工作日内，乙方应当按照合同内容制定工作计划进度表并向甲方提交意见，甲方有权向乙方提出修改意见，乙方应按照相关意见进行修改，乙方应按照甲方最终确认的工作计划进度表执行合同内容。</w:t>
      </w:r>
    </w:p>
    <w:p>
      <w:pPr>
        <w:ind w:firstLine="420"/>
      </w:pPr>
      <w:r>
        <w:rPr>
          <w:sz w:val="21"/>
        </w:rPr>
        <w:t>2、合同生效之日起，乙方按照本合作协议内容，完成活动执行量，如因特殊原因，有调整的部分但不会影响整体目标完成的情况下，提前与甲方沟通取得同意方可。</w:t>
      </w:r>
    </w:p>
    <w:p>
      <w:pPr>
        <w:ind w:firstLine="420"/>
      </w:pPr>
      <w:r>
        <w:rPr>
          <w:sz w:val="21"/>
        </w:rPr>
        <w:t>3、乙方负责展销中心所有日常工作的开展，如需甲方协调之处需提前报备项目相关负责人。</w:t>
      </w:r>
    </w:p>
    <w:p>
      <w:pPr>
        <w:ind w:firstLine="420"/>
      </w:pPr>
      <w:r>
        <w:rPr>
          <w:sz w:val="21"/>
        </w:rPr>
        <w:t>4、乙方在执行工作中如有与企业、员工产生的纠纷与甲方无关，由乙方自行解决。</w:t>
      </w:r>
    </w:p>
    <w:p>
      <w:pPr>
        <w:jc w:val="both"/>
      </w:pPr>
      <w:r>
        <w:rPr>
          <w:b/>
          <w:sz w:val="21"/>
        </w:rPr>
        <w:t>六、</w:t>
      </w:r>
      <w:r>
        <w:rPr>
          <w:b/>
          <w:sz w:val="21"/>
        </w:rPr>
        <w:t>违约责任</w:t>
      </w:r>
    </w:p>
    <w:p>
      <w:pPr>
        <w:ind w:firstLine="420"/>
      </w:pPr>
      <w:r>
        <w:rPr>
          <w:sz w:val="21"/>
        </w:rPr>
        <w:t>1、双方应恪守合同约定，不得擅自解除合同;若任何方擅自解除、终止合同或违反合同约定造成守约方损失的，违约方应赔偿守约方损失。</w:t>
      </w:r>
    </w:p>
    <w:p>
      <w:pPr>
        <w:ind w:firstLine="420"/>
      </w:pPr>
      <w:r>
        <w:rPr>
          <w:sz w:val="21"/>
        </w:rPr>
        <w:t>2、任何一方违约导致合同解除或终止的，违约方支付守约方项目30%费用为违约成本，同时因此给守约方造成了其他经济损失的，违约方也应当承担相应的损失赔偿责任。</w:t>
      </w:r>
    </w:p>
    <w:p>
      <w:pPr>
        <w:ind w:firstLine="420"/>
      </w:pPr>
      <w:r>
        <w:rPr>
          <w:sz w:val="21"/>
        </w:rPr>
        <w:t>3、甲方未按合同约定日期支付委托费用，需与乙方提前沟通支付进展，在费用没有及时支付的情况下，可与乙方沟通协调工作开展计划及需完成时间。</w:t>
      </w:r>
    </w:p>
    <w:p>
      <w:pPr>
        <w:ind w:firstLine="420"/>
      </w:pPr>
      <w:r>
        <w:rPr>
          <w:sz w:val="21"/>
        </w:rPr>
        <w:t>4、乙方在未按进度完成工作目标的，甲方有权要求乙方提供改进方案，并有权根据目标完成情况给予继续合作或延期合作决定。</w:t>
      </w:r>
    </w:p>
    <w:p>
      <w:pPr>
        <w:jc w:val="both"/>
      </w:pPr>
      <w:r>
        <w:rPr>
          <w:b/>
          <w:sz w:val="21"/>
        </w:rPr>
        <w:t>七、争议的解决</w:t>
      </w:r>
    </w:p>
    <w:p>
      <w:pPr>
        <w:ind w:firstLine="400"/>
        <w:jc w:val="both"/>
      </w:pPr>
      <w:r>
        <w:rPr>
          <w:sz w:val="21"/>
        </w:rPr>
        <w:t>合同执行过程中发生的任何争议，如双方不能通过友好协商解决，按相关法律法规处理。</w:t>
      </w:r>
      <w:r>
        <w:rPr>
          <w:sz w:val="21"/>
        </w:rPr>
        <w:t xml:space="preserve">    </w:t>
      </w:r>
    </w:p>
    <w:p>
      <w:pPr>
        <w:jc w:val="both"/>
      </w:pPr>
      <w:r>
        <w:rPr>
          <w:b/>
          <w:sz w:val="21"/>
        </w:rPr>
        <w:t>八、不可抗力</w:t>
      </w:r>
    </w:p>
    <w:p>
      <w:pPr>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九、税费</w:t>
      </w:r>
    </w:p>
    <w:p>
      <w:pPr>
        <w:jc w:val="both"/>
      </w:pPr>
      <w:r>
        <w:rPr>
          <w:sz w:val="21"/>
        </w:rPr>
        <w:t>　　在中国境内、外发生的与本合同执行有关的一切税费均由乙方负担。</w:t>
      </w:r>
    </w:p>
    <w:p>
      <w:pPr>
        <w:jc w:val="both"/>
      </w:pPr>
      <w:r>
        <w:rPr>
          <w:b/>
          <w:sz w:val="21"/>
        </w:rPr>
        <w:t>十、其它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2.在执行本合同的过程中，所有经双方签署确认的文件（包括会议纪要、补充协议、往来信函）即成为本合同的有效组成部分。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b/>
          <w:sz w:val="21"/>
        </w:rPr>
        <w:t>十一、合同生效</w:t>
      </w:r>
    </w:p>
    <w:p>
      <w:pPr>
        <w:jc w:val="both"/>
      </w:pPr>
      <w:r>
        <w:rPr>
          <w:sz w:val="21"/>
        </w:rPr>
        <w:t>1.本合同在甲乙双方法人代表或其授权代表签字盖章后生效。</w:t>
      </w:r>
    </w:p>
    <w:p>
      <w:pPr>
        <w:jc w:val="both"/>
      </w:pPr>
      <w:r>
        <w:rPr>
          <w:sz w:val="21"/>
        </w:rPr>
        <w:t>2.合同一式    份。</w:t>
      </w:r>
    </w:p>
    <w:p>
      <w:pPr>
        <w:jc w:val="both"/>
      </w:pPr>
      <w:r>
        <w:rPr>
          <w:b/>
          <w:sz w:val="21"/>
        </w:rPr>
        <w:t>甲方（盖章）：</w:t>
      </w:r>
      <w:r>
        <w:rPr>
          <w:b/>
          <w:sz w:val="21"/>
        </w:rPr>
        <w:t xml:space="preserve">               </w:t>
      </w:r>
      <w:r>
        <w:rPr>
          <w:b/>
          <w:sz w:val="21"/>
        </w:rPr>
        <w:t>乙方（盖章）：</w:t>
      </w:r>
    </w:p>
    <w:p>
      <w:pPr>
        <w:jc w:val="both"/>
      </w:pPr>
      <w:r>
        <w:rPr>
          <w:b/>
          <w:sz w:val="21"/>
        </w:rPr>
        <w:t>代表：</w:t>
      </w:r>
      <w:r>
        <w:rPr>
          <w:b/>
          <w:sz w:val="21"/>
        </w:rPr>
        <w:t xml:space="preserve">                        </w:t>
      </w:r>
      <w:r>
        <w:rPr>
          <w:b/>
          <w:sz w:val="21"/>
        </w:rPr>
        <w:t>代表：</w:t>
      </w:r>
    </w:p>
    <w:p>
      <w:pPr>
        <w:jc w:val="both"/>
      </w:pPr>
      <w:r>
        <w:rPr>
          <w:sz w:val="21"/>
        </w:rPr>
        <w:t>签定地点：</w:t>
      </w:r>
    </w:p>
    <w:p>
      <w:pPr>
        <w:jc w:val="both"/>
      </w:pPr>
      <w:r>
        <w:rPr>
          <w:sz w:val="21"/>
        </w:rPr>
        <w:t>签定日期：</w:t>
      </w:r>
      <w:r>
        <w:rPr>
          <w:sz w:val="21"/>
        </w:rPr>
        <w:t xml:space="preserve">  </w:t>
      </w:r>
      <w:r>
        <w:rPr>
          <w:sz w:val="21"/>
        </w:rPr>
        <w:t>年　　月　　日</w:t>
      </w:r>
      <w:r>
        <w:rPr>
          <w:sz w:val="21"/>
        </w:rPr>
        <w:t xml:space="preserve">   </w:t>
      </w:r>
      <w:r>
        <w:rPr>
          <w:sz w:val="21"/>
        </w:rPr>
        <w:t>签定日期：</w:t>
      </w:r>
      <w:r>
        <w:rPr>
          <w:sz w:val="21"/>
        </w:rPr>
        <w:t xml:space="preserve">   </w:t>
      </w:r>
      <w:r>
        <w:rPr>
          <w:sz w:val="21"/>
        </w:rPr>
        <w:t>年　　月　　日</w:t>
      </w:r>
    </w:p>
    <w:p>
      <w:pPr>
        <w:jc w:val="both"/>
      </w:pPr>
      <w:r>
        <w:rPr>
          <w:sz w:val="21"/>
        </w:rPr>
        <w:t>开户名称：</w:t>
      </w:r>
    </w:p>
    <w:p>
      <w:pPr>
        <w:jc w:val="both"/>
      </w:pPr>
      <w:r>
        <w:rPr>
          <w:sz w:val="21"/>
        </w:rPr>
        <w:t>银行帐号：</w:t>
      </w:r>
    </w:p>
    <w:p>
      <w:pPr>
        <w:jc w:val="both"/>
      </w:pPr>
      <w:r>
        <w:rPr>
          <w:sz w:val="21"/>
        </w:rPr>
        <w:t>开户行：</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441900009-2022-00694</w:t>
      </w:r>
    </w:p>
    <w:p>
      <w:pPr>
        <w:jc w:val="center"/>
      </w:pPr>
      <w:r>
        <w:rPr>
          <w:b/>
          <w:sz w:val="24"/>
        </w:rPr>
        <w:t>采购项目编号：</w:t>
      </w:r>
      <w:r>
        <w:rPr>
          <w:b/>
          <w:sz w:val="24"/>
        </w:rPr>
        <w:t>441900009-2022-00694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东莞市高新技术产品展销中心建设运营项目</w:t>
      </w:r>
      <w:r>
        <w:rPr/>
        <w:t>项目的招标[采购项目编号为：</w:t>
      </w:r>
      <w:r>
        <w:rPr>
          <w:u w:val="single"/>
        </w:rPr>
        <w:t>441900009-2022-00694</w:t>
      </w:r>
      <w:r>
        <w:rPr/>
        <w:t>]，我方愿参与投标。</w:t>
      </w:r>
    </w:p>
    <w:p>
      <w:pPr>
        <w:ind w:firstLine="480"/>
      </w:pPr>
      <w:r>
        <w:rPr/>
        <w:t>我方确认收到贵方提供的</w:t>
      </w:r>
      <w:r>
        <w:rPr>
          <w:u w:val="single"/>
        </w:rPr>
        <w:t>东莞市高新技术产品展销中心建设运营项目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东莞市高新技术产品展销中心建设运营项目</w:t>
      </w:r>
      <w:r>
        <w:rPr/>
        <w:t>项目采购[采购项目编号为</w:t>
      </w:r>
      <w:r>
        <w:rPr/>
        <w:t>441900009-2022-00694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东莞松山湖高新技术产业开发区管理委员会产业发展局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东莞市高新技术产品展销中心建设运营项目</w:t>
      </w:r>
      <w:r>
        <w:rPr/>
        <w:t>招标中获中标（采购项目编号：</w:t>
      </w:r>
      <w:r>
        <w:rPr/>
        <w:t>441900009-2022-00694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东莞市高新技术产品展销中心建设运营项目</w:t>
      </w:r>
      <w:r>
        <w:rPr/>
        <w:t>项目（采购项目编号：</w:t>
      </w:r>
      <w:r>
        <w:rPr/>
        <w:t>441900009-2022-00694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