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9"/>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3"/>
        <w:rPr>
          <w:rFonts w:hint="eastAsia" w:ascii="黑体" w:eastAsia="黑体"/>
          <w:color w:val="auto"/>
          <w:szCs w:val="21"/>
          <w:highlight w:val="none"/>
          <w:lang w:eastAsia="zh-CN"/>
        </w:rPr>
      </w:pPr>
    </w:p>
    <w:p>
      <w:pPr>
        <w:pStyle w:val="23"/>
        <w:ind w:left="0" w:leftChars="0" w:firstLine="0" w:firstLineChars="0"/>
        <w:rPr>
          <w:rFonts w:hint="eastAsia" w:ascii="黑体" w:eastAsia="黑体"/>
          <w:color w:val="auto"/>
          <w:szCs w:val="21"/>
          <w:highlight w:val="none"/>
          <w:lang w:eastAsia="zh-CN"/>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GDZT2022144A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eastAsia="zh-CN"/>
              </w:rPr>
              <w:t>东莞市文化广电旅游体育局办公楼空调主机更换项目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东莞市文化广电旅游体育局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1"/>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spacing w:before="0" w:after="0" w:line="360" w:lineRule="auto"/>
        <w:jc w:val="center"/>
        <w:rPr>
          <w:rFonts w:ascii="宋体" w:hAnsi="宋体" w:eastAsia="宋体" w:cs="宋体"/>
          <w:color w:val="auto"/>
          <w:highlight w:val="none"/>
        </w:rPr>
      </w:pPr>
      <w:bookmarkStart w:id="2" w:name="_Toc1420"/>
      <w:bookmarkStart w:id="3" w:name="_Toc7123"/>
      <w:bookmarkStart w:id="4" w:name="_Toc885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bCs/>
          <w:color w:val="auto"/>
          <w:sz w:val="21"/>
          <w:szCs w:val="21"/>
          <w:highlight w:val="none"/>
          <w:u w:val="single"/>
          <w:lang w:val="en-US" w:eastAsia="zh-CN"/>
        </w:rPr>
        <w:t>东莞市文化广电旅游体育局</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bCs/>
          <w:color w:val="auto"/>
          <w:sz w:val="21"/>
          <w:szCs w:val="21"/>
          <w:highlight w:val="none"/>
          <w:u w:val="single"/>
          <w:lang w:eastAsia="zh-CN"/>
        </w:rPr>
        <w:t>东莞市文化广电旅游体育局办公楼空调主机更换项目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编号：GDZT2022144A；</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b/>
          <w:bCs/>
          <w:color w:val="auto"/>
          <w:sz w:val="21"/>
          <w:szCs w:val="21"/>
          <w:highlight w:val="none"/>
          <w:u w:val="single"/>
          <w:lang w:val="en-US" w:eastAsia="zh-CN"/>
        </w:rPr>
        <w:t>东莞市文化广电旅游体育局办公楼空调主机更换项目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4"/>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4879"/>
        <w:gridCol w:w="450"/>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项目</w:t>
            </w:r>
            <w:r>
              <w:rPr>
                <w:rFonts w:hint="eastAsia" w:ascii="宋体" w:hAnsi="宋体" w:eastAsia="宋体"/>
                <w:color w:val="auto"/>
                <w:sz w:val="21"/>
                <w:szCs w:val="21"/>
                <w:highlight w:val="none"/>
                <w:lang w:val="en-US" w:eastAsia="zh-CN"/>
              </w:rPr>
              <w:t>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bCs/>
                <w:color w:val="auto"/>
                <w:sz w:val="21"/>
                <w:szCs w:val="21"/>
                <w:highlight w:val="none"/>
                <w:u w:val="single"/>
                <w:lang w:val="en-US" w:eastAsia="zh-CN"/>
              </w:rPr>
              <w:t>东莞市文化广电旅游体育局办公楼空调主机更换项目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val="en-US" w:eastAsia="zh-CN"/>
              </w:rPr>
              <w:t>340,000.00元</w:t>
            </w:r>
          </w:p>
        </w:tc>
      </w:tr>
    </w:tbl>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30</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30</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采购人联系人：陈工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地址：东莞市南城区</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0769-22226809</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月</w:t>
      </w:r>
    </w:p>
    <w:p>
      <w:pPr>
        <w:pStyle w:val="9"/>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5" w:name="_Toc24505"/>
      <w:bookmarkStart w:id="6" w:name="_Toc28550"/>
      <w:r>
        <w:rPr>
          <w:rFonts w:hint="eastAsia"/>
          <w:color w:val="auto"/>
          <w:sz w:val="28"/>
          <w:szCs w:val="28"/>
          <w:highlight w:val="none"/>
          <w:lang w:val="en-US" w:eastAsia="zh-CN"/>
        </w:rPr>
        <w:br w:type="page"/>
      </w:r>
    </w:p>
    <w:p>
      <w:pPr>
        <w:pStyle w:val="4"/>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8" w:name="_Toc5749"/>
      <w:bookmarkStart w:id="9" w:name="_Toc13473"/>
      <w:bookmarkStart w:id="10" w:name="_Hlk55300595"/>
      <w:bookmarkStart w:id="11" w:name="_Toc9572"/>
      <w:r>
        <w:rPr>
          <w:rFonts w:hint="eastAsia"/>
          <w:color w:val="auto"/>
          <w:sz w:val="28"/>
          <w:szCs w:val="28"/>
          <w:highlight w:val="none"/>
          <w:lang w:val="en-US" w:eastAsia="zh-CN"/>
        </w:rPr>
        <w:br w:type="page"/>
      </w: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18413"/>
      <w:bookmarkStart w:id="16" w:name="_Toc216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业绩</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12</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投标人具有空调类项目业绩的，每提供一个得4分，本项最高得12分。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color w:val="auto"/>
                <w:sz w:val="21"/>
                <w:szCs w:val="21"/>
                <w:highlight w:val="none"/>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服务便利性</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3</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根据投标人提供的服务响应时间承诺进行评分。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（1）投标人承诺在接到采购人通知后</w:t>
            </w:r>
            <w:r>
              <w:rPr>
                <w:rFonts w:hint="eastAsia" w:ascii="宋体" w:hAnsi="宋体" w:eastAsia="宋体" w:cs="宋体"/>
                <w:bCs/>
                <w:color w:val="auto"/>
                <w:kern w:val="2"/>
                <w:sz w:val="21"/>
                <w:szCs w:val="21"/>
                <w:highlight w:val="none"/>
              </w:rPr>
              <w:t>1</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rPr>
              <w:t>3</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（2）投标人承诺在接到采购人通知后</w:t>
            </w:r>
            <w:r>
              <w:rPr>
                <w:rFonts w:hint="eastAsia" w:ascii="宋体" w:hAnsi="宋体" w:eastAsia="宋体" w:cs="宋体"/>
                <w:bCs/>
                <w:color w:val="auto"/>
                <w:kern w:val="2"/>
                <w:sz w:val="21"/>
                <w:szCs w:val="21"/>
                <w:highlight w:val="none"/>
              </w:rPr>
              <w:t>2</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rPr>
              <w:t>2</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（3）投标人承诺在接到采购人通知后</w:t>
            </w:r>
            <w:r>
              <w:rPr>
                <w:rFonts w:hint="eastAsia" w:ascii="宋体" w:hAnsi="宋体" w:eastAsia="宋体" w:cs="宋体"/>
                <w:bCs/>
                <w:color w:val="auto"/>
                <w:kern w:val="2"/>
                <w:sz w:val="21"/>
                <w:szCs w:val="21"/>
                <w:highlight w:val="none"/>
              </w:rPr>
              <w:t>3</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rPr>
              <w:t>1</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（4）投标人未承诺或承诺在接到采购人通知后超过</w:t>
            </w:r>
            <w:r>
              <w:rPr>
                <w:rFonts w:hint="eastAsia" w:ascii="宋体" w:hAnsi="宋体" w:eastAsia="宋体" w:cs="宋体"/>
                <w:bCs/>
                <w:color w:val="auto"/>
                <w:kern w:val="2"/>
                <w:sz w:val="21"/>
                <w:szCs w:val="21"/>
                <w:highlight w:val="none"/>
              </w:rPr>
              <w:t>3</w:t>
            </w:r>
            <w:r>
              <w:rPr>
                <w:rFonts w:hint="eastAsia" w:ascii="宋体" w:hAnsi="宋体" w:eastAsia="宋体" w:cs="宋体"/>
                <w:bCs/>
                <w:color w:val="auto"/>
                <w:kern w:val="2"/>
                <w:sz w:val="21"/>
                <w:szCs w:val="21"/>
                <w:highlight w:val="none"/>
                <w:lang w:val="zh-CN"/>
              </w:rPr>
              <w:t>小时到现场，不得分。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根据投标人对本项目现场的熟悉程度、理解及项目重点和难点的分析，以及项目重点和难点所采取的措施等进行综合评审：</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对项目有充分的理解，能够对项目的重点难点提出具有针对性的措施，得</w:t>
            </w:r>
            <w:r>
              <w:rPr>
                <w:rFonts w:hint="eastAsia" w:ascii="宋体" w:hAnsi="宋体" w:eastAsia="宋体" w:cs="宋体"/>
                <w:color w:val="auto"/>
                <w:sz w:val="21"/>
                <w:szCs w:val="21"/>
                <w:highlight w:val="none"/>
              </w:rPr>
              <w:t>8分。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对项目有基本的理解，能够对项目的重点难点提出相应的措施，得4分。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对项目的理解不够深刻，不能对项目的重点难点提出相应的措施，得1分。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无提供对项目的理解，得0分。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根据投标人提供的项目实施方案（包括但不限于空调机组的改造、安装、调试等内容）的完整性、合理性、可行性等情况进行综合评审：</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方案完整、合理、可行，得15分。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方案较完整、较合理、较可行，得10分。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方案基本完整、基本合理、基本可行，得5分。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方案简单，可行性差，得1分。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无提供供货方案，得0分。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根据投标人的质量保证承诺及服务方案详细完善程度进行综合评审：</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质量保证承诺优于招标文件要求，服务方案详细完整，可行性强，得12分。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质量保证承诺满足招标文件要求，服务方案较完整，可行性较强，得8分。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质量保证承诺基本满足招标文件要求，服务方案基本完整，可行性一般，得4分。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质量保证承诺不能满足招标文件要求，服务方案不完整，可行性差，得1分。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无提供质量保证承诺或服务方案，得0分。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规章管理制度</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根据投标人的规章管理制度进行综合评审：</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制度详细完整，可行性强，得10分。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制度较完整，可行性较强，得6分。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制度基本完整，可行性一般，得3分。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制度不完整，可行性较差，得1分。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无提供规章管理制度吗，得0分。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07"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snapToGrid w:val="0"/>
                <w:color w:val="auto"/>
                <w:kern w:val="2"/>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根据售后服务方案、售后服务承诺、售后点技术力量等以及对用户单位提出的维护要求响应情况，出现紧急情况时的服务措施等进行综合评审：</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售后服务方案科学完整，售后服务承诺优于招标文件要求，可操作性强，得10分。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售后服务方案较完整，售后服务承诺满足招标文件要求，可操作性较强，得6分。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售后服务方案基本完整，售后服务承诺基本满足招标文件要求，可操作性一般，得3分。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售后服务方案不完整，售后服务承诺不满足招标文件要求，可操作性差，得1分。</w:t>
            </w:r>
          </w:p>
          <w:p>
            <w:pPr>
              <w:pStyle w:val="37"/>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无提供售后服务方案或售后服务承诺，得0分。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（1）除特殊说明外，以上评审项，同一证明文件不重复计分。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bidi w:val="0"/>
        <w:rPr>
          <w:rFonts w:hint="eastAsia"/>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30638"/>
      <w:bookmarkStart w:id="18" w:name="_Toc29685"/>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color w:val="auto"/>
          <w:highlight w:val="none"/>
        </w:rPr>
      </w:pPr>
      <w:bookmarkStart w:id="21" w:name="_Toc11105"/>
      <w:bookmarkStart w:id="22" w:name="_Toc19746"/>
      <w:bookmarkStart w:id="23" w:name="_Toc309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6"/>
        <w:widowControl w:val="0"/>
        <w:overflowPunct w:val="0"/>
        <w:spacing w:before="0" w:after="0" w:line="240" w:lineRule="auto"/>
        <w:rPr>
          <w:rFonts w:ascii="宋体" w:hAnsi="宋体" w:eastAsia="宋体"/>
          <w:color w:val="auto"/>
          <w:sz w:val="21"/>
          <w:szCs w:val="21"/>
          <w:highlight w:val="none"/>
        </w:rPr>
      </w:pPr>
      <w:bookmarkStart w:id="24" w:name="_Toc22847"/>
      <w:bookmarkStart w:id="25" w:name="_Toc22803"/>
      <w:bookmarkStart w:id="26" w:name="_Toc18488"/>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7" w:name="_Toc21002"/>
      <w:bookmarkStart w:id="28" w:name="_Toc13400"/>
      <w:bookmarkStart w:id="29" w:name="_Toc16848"/>
      <w:r>
        <w:rPr>
          <w:rFonts w:hint="eastAsia" w:ascii="宋体" w:hAnsi="宋体" w:eastAsia="宋体"/>
          <w:color w:val="auto"/>
          <w:sz w:val="21"/>
          <w:szCs w:val="21"/>
          <w:highlight w:val="none"/>
        </w:rPr>
        <w:t>2.</w:t>
      </w:r>
      <w:bookmarkStart w:id="30" w:name="_Toc1530"/>
      <w:bookmarkStart w:id="31" w:name="_Toc303084246"/>
      <w:bookmarkStart w:id="32" w:name="_Toc382049092"/>
      <w:bookmarkStart w:id="33" w:name="_Toc298847174"/>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4" w:name="_Toc9710"/>
      <w:bookmarkStart w:id="35" w:name="_Toc2996"/>
      <w:bookmarkStart w:id="36" w:name="_Toc3780"/>
      <w:r>
        <w:rPr>
          <w:rFonts w:hint="eastAsia" w:ascii="宋体" w:hAnsi="宋体" w:eastAsia="宋体"/>
          <w:color w:val="auto"/>
          <w:sz w:val="21"/>
          <w:szCs w:val="21"/>
          <w:highlight w:val="none"/>
        </w:rPr>
        <w:t>3.货物和服务</w:t>
      </w:r>
      <w:bookmarkEnd w:id="34"/>
      <w:bookmarkEnd w:id="35"/>
      <w:bookmarkEnd w:id="36"/>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3909"/>
      <w:bookmarkStart w:id="39" w:name="_Toc15945"/>
      <w:r>
        <w:rPr>
          <w:rFonts w:hint="eastAsia" w:ascii="宋体" w:hAnsi="宋体" w:eastAsia="宋体"/>
          <w:color w:val="auto"/>
          <w:sz w:val="21"/>
          <w:szCs w:val="21"/>
          <w:highlight w:val="none"/>
        </w:rPr>
        <w:t>4.投标费用</w:t>
      </w:r>
      <w:bookmarkEnd w:id="37"/>
      <w:bookmarkEnd w:id="38"/>
      <w:bookmarkEnd w:id="39"/>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0" w:name="_Toc19532"/>
      <w:bookmarkStart w:id="41" w:name="_Toc19094"/>
      <w:bookmarkStart w:id="42" w:name="_Toc25040"/>
      <w:r>
        <w:rPr>
          <w:rFonts w:hint="eastAsia" w:ascii="宋体" w:hAnsi="宋体" w:eastAsia="宋体"/>
          <w:color w:val="auto"/>
          <w:sz w:val="21"/>
          <w:szCs w:val="21"/>
          <w:highlight w:val="none"/>
        </w:rPr>
        <w:t>5.知识产权</w:t>
      </w:r>
      <w:bookmarkEnd w:id="40"/>
      <w:bookmarkEnd w:id="41"/>
      <w:bookmarkEnd w:id="42"/>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3" w:name="_Toc8432"/>
      <w:bookmarkStart w:id="44" w:name="_Toc21930"/>
      <w:bookmarkStart w:id="45" w:name="_Toc31885"/>
      <w:r>
        <w:rPr>
          <w:rFonts w:hint="eastAsia" w:ascii="宋体" w:hAnsi="宋体" w:eastAsia="宋体"/>
          <w:color w:val="auto"/>
          <w:sz w:val="21"/>
          <w:szCs w:val="21"/>
          <w:highlight w:val="none"/>
        </w:rPr>
        <w:t>6.关于联合体投标</w:t>
      </w:r>
      <w:bookmarkEnd w:id="43"/>
      <w:bookmarkEnd w:id="44"/>
      <w:bookmarkEnd w:id="45"/>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6" w:name="_Toc13811"/>
      <w:bookmarkStart w:id="47" w:name="_Toc16571"/>
      <w:bookmarkStart w:id="48" w:name="_Toc3233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6"/>
        <w:widowControl w:val="0"/>
        <w:overflowPunct w:val="0"/>
        <w:spacing w:before="0" w:after="0" w:line="240" w:lineRule="auto"/>
        <w:rPr>
          <w:rFonts w:ascii="宋体" w:hAnsi="宋体" w:eastAsia="宋体"/>
          <w:color w:val="auto"/>
          <w:sz w:val="21"/>
          <w:szCs w:val="21"/>
          <w:highlight w:val="none"/>
        </w:rPr>
      </w:pPr>
      <w:bookmarkStart w:id="53" w:name="_Toc21771"/>
      <w:bookmarkStart w:id="54" w:name="_Toc1423"/>
      <w:bookmarkStart w:id="55" w:name="_Toc13494"/>
      <w:r>
        <w:rPr>
          <w:rFonts w:hint="eastAsia" w:ascii="宋体" w:hAnsi="宋体" w:eastAsia="宋体"/>
          <w:color w:val="auto"/>
          <w:sz w:val="21"/>
          <w:szCs w:val="21"/>
          <w:highlight w:val="none"/>
        </w:rPr>
        <w:t>8.招标文件的组成</w:t>
      </w:r>
      <w:bookmarkEnd w:id="53"/>
      <w:bookmarkEnd w:id="54"/>
      <w:bookmarkEnd w:id="55"/>
    </w:p>
    <w:p>
      <w:pPr>
        <w:pStyle w:val="34"/>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4217"/>
      <w:bookmarkStart w:id="57" w:name="_Toc17274"/>
      <w:bookmarkStart w:id="58" w:name="_Toc7997"/>
      <w:r>
        <w:rPr>
          <w:rFonts w:hint="eastAsia" w:ascii="宋体" w:hAnsi="宋体" w:eastAsia="宋体"/>
          <w:color w:val="auto"/>
          <w:sz w:val="21"/>
          <w:szCs w:val="21"/>
          <w:highlight w:val="none"/>
        </w:rPr>
        <w:t>9.招标文件的澄清或修改</w:t>
      </w:r>
      <w:bookmarkEnd w:id="56"/>
      <w:bookmarkEnd w:id="57"/>
      <w:bookmarkEnd w:id="58"/>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9" w:name="_Toc16712"/>
      <w:bookmarkStart w:id="60" w:name="_Toc23726"/>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8092"/>
      <w:bookmarkStart w:id="63" w:name="_Toc20623"/>
      <w:bookmarkStart w:id="64" w:name="_Toc7434"/>
      <w:r>
        <w:rPr>
          <w:rFonts w:hint="eastAsia" w:ascii="宋体" w:hAnsi="宋体" w:eastAsia="宋体"/>
          <w:color w:val="auto"/>
          <w:sz w:val="21"/>
          <w:szCs w:val="21"/>
          <w:highlight w:val="none"/>
        </w:rPr>
        <w:t>10.投标文件的语言及度量衡单位</w:t>
      </w:r>
      <w:bookmarkEnd w:id="62"/>
      <w:bookmarkEnd w:id="63"/>
      <w:bookmarkEnd w:id="64"/>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7934854"/>
      <w:bookmarkStart w:id="66" w:name="_Toc12145"/>
      <w:bookmarkStart w:id="67" w:name="_Toc18999"/>
      <w:bookmarkStart w:id="68" w:name="_Toc382049103"/>
      <w:bookmarkStart w:id="69" w:name="_Toc28866"/>
      <w:bookmarkStart w:id="70" w:name="_Toc303084256"/>
      <w:bookmarkStart w:id="71" w:name="_Toc7728"/>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882"/>
      <w:bookmarkStart w:id="73" w:name="_Toc21747"/>
      <w:bookmarkStart w:id="74" w:name="_Toc30189"/>
      <w:r>
        <w:rPr>
          <w:rFonts w:hint="eastAsia" w:ascii="宋体" w:hAnsi="宋体" w:eastAsia="宋体"/>
          <w:color w:val="auto"/>
          <w:sz w:val="21"/>
          <w:szCs w:val="21"/>
          <w:highlight w:val="none"/>
        </w:rPr>
        <w:t>12.投标文件编制</w:t>
      </w:r>
      <w:bookmarkEnd w:id="72"/>
      <w:bookmarkEnd w:id="73"/>
      <w:bookmarkEnd w:id="74"/>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4"/>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4"/>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7847"/>
      <w:bookmarkStart w:id="77" w:name="_Toc259"/>
      <w:bookmarkStart w:id="78" w:name="_Toc17188"/>
      <w:r>
        <w:rPr>
          <w:rFonts w:hint="eastAsia" w:ascii="宋体" w:hAnsi="宋体" w:eastAsia="宋体"/>
          <w:color w:val="auto"/>
          <w:sz w:val="21"/>
          <w:szCs w:val="21"/>
          <w:highlight w:val="none"/>
        </w:rPr>
        <w:t>13.投标报价说明</w:t>
      </w:r>
      <w:bookmarkEnd w:id="76"/>
      <w:bookmarkEnd w:id="77"/>
      <w:bookmarkEnd w:id="78"/>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27724"/>
      <w:bookmarkStart w:id="80" w:name="_Toc18911"/>
      <w:bookmarkStart w:id="81" w:name="_Toc16535"/>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38"/>
      <w:bookmarkEnd w:id="82"/>
      <w:bookmarkStart w:id="83" w:name="_Hlt10792566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19520"/>
      <w:bookmarkStart w:id="85" w:name="_Toc22169"/>
      <w:bookmarkStart w:id="86" w:name="_Toc30815"/>
      <w:r>
        <w:rPr>
          <w:rFonts w:hint="eastAsia" w:ascii="宋体" w:hAnsi="宋体" w:eastAsia="宋体"/>
          <w:color w:val="auto"/>
          <w:sz w:val="21"/>
          <w:szCs w:val="21"/>
          <w:highlight w:val="none"/>
        </w:rPr>
        <w:t>15.★投标有效期</w:t>
      </w:r>
      <w:bookmarkEnd w:id="84"/>
      <w:bookmarkEnd w:id="85"/>
      <w:bookmarkEnd w:id="86"/>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highlight w:val="none"/>
          <w:lang w:eastAsia="zh-CN"/>
        </w:rPr>
      </w:pPr>
      <w:bookmarkStart w:id="87" w:name="_Toc30257"/>
      <w:bookmarkStart w:id="88" w:name="_Toc25817"/>
      <w:bookmarkStart w:id="89" w:name="_Toc12456"/>
      <w:r>
        <w:rPr>
          <w:rFonts w:hint="eastAsia" w:ascii="宋体" w:hAnsi="宋体" w:eastAsia="宋体"/>
          <w:color w:val="auto"/>
          <w:sz w:val="21"/>
          <w:szCs w:val="21"/>
          <w:highlight w:val="none"/>
        </w:rPr>
        <w:t>16.投标保证金</w:t>
      </w:r>
      <w:bookmarkEnd w:id="87"/>
      <w:bookmarkEnd w:id="88"/>
      <w:bookmarkEnd w:id="89"/>
      <w:r>
        <w:rPr>
          <w:rFonts w:hint="eastAsia" w:ascii="宋体" w:hAnsi="宋体" w:eastAsia="宋体"/>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r>
        <w:rPr>
          <w:rFonts w:hint="eastAsia" w:ascii="宋体" w:hAnsi="宋体" w:eastAsia="宋体"/>
          <w:color w:val="auto"/>
          <w:sz w:val="21"/>
          <w:szCs w:val="21"/>
          <w:highlight w:val="none"/>
          <w:lang w:eastAsia="zh-CN"/>
        </w:rPr>
        <w:t>）</w:t>
      </w:r>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91" w:name="_Toc31124"/>
      <w:bookmarkStart w:id="92" w:name="_Toc24109"/>
      <w:bookmarkStart w:id="93" w:name="_Toc3200"/>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24997"/>
      <w:bookmarkStart w:id="95" w:name="_Toc382049111"/>
      <w:bookmarkStart w:id="96" w:name="_Toc303084264"/>
      <w:bookmarkStart w:id="97" w:name="_Toc29590"/>
      <w:bookmarkStart w:id="98" w:name="_Toc23678"/>
      <w:bookmarkStart w:id="99" w:name="_Toc473"/>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17417"/>
      <w:bookmarkStart w:id="101" w:name="_Toc8628"/>
      <w:bookmarkStart w:id="102" w:name="_Toc7473"/>
      <w:r>
        <w:rPr>
          <w:rFonts w:hint="eastAsia" w:ascii="宋体" w:hAnsi="宋体" w:eastAsia="宋体"/>
          <w:color w:val="auto"/>
          <w:sz w:val="21"/>
          <w:szCs w:val="21"/>
          <w:highlight w:val="none"/>
        </w:rPr>
        <w:t>18.迟交的投标文件</w:t>
      </w:r>
      <w:bookmarkEnd w:id="100"/>
      <w:bookmarkEnd w:id="101"/>
      <w:bookmarkEnd w:id="102"/>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8526"/>
      <w:bookmarkStart w:id="105" w:name="_Toc19649"/>
      <w:r>
        <w:rPr>
          <w:rFonts w:hint="eastAsia" w:ascii="宋体" w:hAnsi="宋体" w:eastAsia="宋体"/>
          <w:color w:val="auto"/>
          <w:sz w:val="21"/>
          <w:szCs w:val="21"/>
          <w:highlight w:val="none"/>
        </w:rPr>
        <w:t>19.投标样品（如需提交）</w:t>
      </w:r>
      <w:bookmarkEnd w:id="103"/>
      <w:bookmarkEnd w:id="104"/>
      <w:bookmarkEnd w:id="105"/>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5900"/>
      <w:bookmarkStart w:id="107" w:name="_Toc382049112"/>
      <w:bookmarkStart w:id="108" w:name="_Toc7689"/>
      <w:bookmarkStart w:id="109" w:name="_Toc23477"/>
      <w:bookmarkStart w:id="110" w:name="_Toc303084265"/>
      <w:bookmarkStart w:id="111" w:name="_Toc9777"/>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5569"/>
      <w:bookmarkStart w:id="113" w:name="_Toc6003"/>
      <w:bookmarkStart w:id="114" w:name="_Toc11133"/>
      <w:r>
        <w:rPr>
          <w:rFonts w:hint="eastAsia" w:ascii="宋体" w:hAnsi="宋体" w:eastAsia="宋体"/>
          <w:color w:val="auto"/>
          <w:sz w:val="21"/>
          <w:szCs w:val="21"/>
          <w:highlight w:val="none"/>
        </w:rPr>
        <w:t>21.投标文件的补充、修改与撤回</w:t>
      </w:r>
      <w:bookmarkEnd w:id="112"/>
      <w:bookmarkEnd w:id="113"/>
      <w:bookmarkEnd w:id="114"/>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9"/>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15" w:name="_Toc5049"/>
      <w:bookmarkStart w:id="116" w:name="_Toc29574"/>
      <w:bookmarkStart w:id="117" w:name="_Toc23466"/>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8458"/>
      <w:bookmarkStart w:id="119" w:name="_Toc27700"/>
      <w:bookmarkStart w:id="120" w:name="_Toc24251"/>
      <w:r>
        <w:rPr>
          <w:rFonts w:hint="eastAsia" w:ascii="宋体" w:hAnsi="宋体" w:eastAsia="宋体"/>
          <w:color w:val="auto"/>
          <w:sz w:val="21"/>
          <w:szCs w:val="21"/>
          <w:highlight w:val="none"/>
        </w:rPr>
        <w:t>22.开标</w:t>
      </w:r>
      <w:bookmarkEnd w:id="118"/>
      <w:bookmarkEnd w:id="119"/>
      <w:bookmarkEnd w:id="120"/>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974"/>
      <w:bookmarkStart w:id="122" w:name="_Toc4921"/>
      <w:bookmarkStart w:id="123" w:name="_Toc5524"/>
      <w:r>
        <w:rPr>
          <w:rFonts w:hint="eastAsia" w:ascii="宋体" w:hAnsi="宋体" w:eastAsia="宋体"/>
          <w:color w:val="auto"/>
          <w:sz w:val="21"/>
          <w:szCs w:val="21"/>
          <w:highlight w:val="none"/>
        </w:rPr>
        <w:t>23.评标委员会及评标方法</w:t>
      </w:r>
      <w:bookmarkEnd w:id="121"/>
      <w:bookmarkEnd w:id="122"/>
      <w:bookmarkEnd w:id="123"/>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26402"/>
      <w:bookmarkStart w:id="125" w:name="_Toc32730"/>
      <w:bookmarkStart w:id="126" w:name="_Toc15231"/>
      <w:r>
        <w:rPr>
          <w:rFonts w:hint="eastAsia" w:ascii="宋体" w:hAnsi="宋体" w:eastAsia="宋体"/>
          <w:color w:val="auto"/>
          <w:sz w:val="21"/>
          <w:szCs w:val="21"/>
          <w:highlight w:val="none"/>
        </w:rPr>
        <w:t>24.评审原则及评标过程的保密</w:t>
      </w:r>
      <w:bookmarkEnd w:id="124"/>
      <w:bookmarkEnd w:id="125"/>
      <w:bookmarkEnd w:id="126"/>
    </w:p>
    <w:p>
      <w:pPr>
        <w:pStyle w:val="34"/>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3762"/>
      <w:bookmarkStart w:id="128" w:name="_Toc18436"/>
      <w:bookmarkStart w:id="129" w:name="_Toc16745"/>
      <w:r>
        <w:rPr>
          <w:rFonts w:hint="eastAsia" w:ascii="宋体" w:hAnsi="宋体" w:eastAsia="宋体"/>
          <w:color w:val="auto"/>
          <w:sz w:val="21"/>
          <w:szCs w:val="21"/>
          <w:highlight w:val="none"/>
        </w:rPr>
        <w:t>25.投标文件的初审</w:t>
      </w:r>
      <w:bookmarkEnd w:id="127"/>
      <w:bookmarkEnd w:id="128"/>
      <w:bookmarkEnd w:id="129"/>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7673"/>
      <w:bookmarkStart w:id="131" w:name="_Toc21742"/>
      <w:bookmarkStart w:id="132" w:name="_Toc29184"/>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7593"/>
      <w:bookmarkStart w:id="134" w:name="_Toc22192"/>
      <w:bookmarkStart w:id="135" w:name="_Toc17683"/>
      <w:r>
        <w:rPr>
          <w:rFonts w:hint="eastAsia" w:ascii="宋体" w:hAnsi="宋体" w:eastAsia="宋体"/>
          <w:color w:val="auto"/>
          <w:sz w:val="21"/>
          <w:szCs w:val="21"/>
          <w:highlight w:val="none"/>
        </w:rPr>
        <w:t>27.优惠政策</w:t>
      </w:r>
      <w:bookmarkEnd w:id="133"/>
      <w:bookmarkEnd w:id="134"/>
      <w:bookmarkEnd w:id="135"/>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22591"/>
      <w:bookmarkStart w:id="138" w:name="_Toc382049120"/>
      <w:bookmarkStart w:id="139" w:name="_Toc20328"/>
      <w:bookmarkStart w:id="140" w:name="_Toc12115"/>
      <w:bookmarkStart w:id="141" w:name="_Toc31141"/>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42" w:name="_Toc5528"/>
      <w:bookmarkStart w:id="143" w:name="_Toc12251"/>
      <w:bookmarkStart w:id="144" w:name="_Toc29310"/>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508284011"/>
      <w:bookmarkStart w:id="146" w:name="_Toc6696"/>
      <w:bookmarkStart w:id="147" w:name="_Toc27817"/>
      <w:bookmarkStart w:id="148" w:name="_Toc17778"/>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29283"/>
      <w:bookmarkStart w:id="150" w:name="_Toc23136"/>
      <w:bookmarkStart w:id="151" w:name="_Toc508284013"/>
      <w:bookmarkStart w:id="152" w:name="_Toc12440"/>
      <w:r>
        <w:rPr>
          <w:rFonts w:hint="eastAsia" w:ascii="宋体" w:hAnsi="宋体" w:eastAsia="宋体"/>
          <w:color w:val="auto"/>
          <w:sz w:val="21"/>
          <w:szCs w:val="21"/>
          <w:highlight w:val="none"/>
        </w:rPr>
        <w:t>30.发布采购结果</w:t>
      </w:r>
      <w:bookmarkEnd w:id="149"/>
      <w:bookmarkEnd w:id="150"/>
      <w:bookmarkEnd w:id="151"/>
      <w:bookmarkEnd w:id="152"/>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2262"/>
      <w:bookmarkStart w:id="154" w:name="_Toc27279"/>
      <w:bookmarkStart w:id="155" w:name="_Toc22451"/>
      <w:r>
        <w:rPr>
          <w:rFonts w:hint="eastAsia" w:ascii="宋体" w:hAnsi="宋体" w:eastAsia="宋体"/>
          <w:color w:val="auto"/>
          <w:sz w:val="21"/>
          <w:szCs w:val="21"/>
          <w:highlight w:val="none"/>
        </w:rPr>
        <w:t>31.合同的签订与履行</w:t>
      </w:r>
      <w:bookmarkEnd w:id="153"/>
      <w:bookmarkEnd w:id="154"/>
      <w:bookmarkEnd w:id="155"/>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7405"/>
      <w:bookmarkStart w:id="157" w:name="_Toc382049124"/>
      <w:bookmarkStart w:id="158" w:name="_Toc29009"/>
      <w:bookmarkStart w:id="159" w:name="_Toc2744"/>
      <w:bookmarkStart w:id="160" w:name="_Toc303084277"/>
      <w:bookmarkStart w:id="161" w:name="_Toc25756"/>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62" w:name="_Toc7360"/>
      <w:bookmarkStart w:id="163" w:name="_Toc13694"/>
      <w:bookmarkStart w:id="164"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2900"/>
      <w:bookmarkStart w:id="166" w:name="_Toc25498"/>
      <w:bookmarkStart w:id="167" w:name="_Toc17974"/>
      <w:r>
        <w:rPr>
          <w:rFonts w:hint="eastAsia" w:ascii="宋体" w:hAnsi="宋体" w:eastAsia="宋体"/>
          <w:color w:val="auto"/>
          <w:sz w:val="21"/>
          <w:szCs w:val="21"/>
          <w:highlight w:val="none"/>
        </w:rPr>
        <w:t>33.询问</w:t>
      </w:r>
      <w:bookmarkEnd w:id="165"/>
      <w:bookmarkEnd w:id="166"/>
      <w:bookmarkEnd w:id="167"/>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11264"/>
      <w:bookmarkStart w:id="169" w:name="_Toc8234"/>
      <w:bookmarkStart w:id="170" w:name="_Toc2767"/>
      <w:r>
        <w:rPr>
          <w:rFonts w:hint="eastAsia" w:ascii="宋体" w:hAnsi="宋体" w:eastAsia="宋体"/>
          <w:color w:val="auto"/>
          <w:sz w:val="21"/>
          <w:szCs w:val="21"/>
          <w:highlight w:val="none"/>
        </w:rPr>
        <w:t>34.质疑</w:t>
      </w:r>
      <w:bookmarkEnd w:id="168"/>
      <w:bookmarkEnd w:id="169"/>
      <w:bookmarkEnd w:id="170"/>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71" w:name="_Toc24383"/>
      <w:bookmarkStart w:id="172" w:name="_Toc8919"/>
      <w:bookmarkStart w:id="173" w:name="_Toc5690"/>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21187"/>
      <w:bookmarkStart w:id="175" w:name="_Toc10082"/>
      <w:bookmarkStart w:id="176" w:name="_Toc6548"/>
      <w:r>
        <w:rPr>
          <w:rFonts w:hint="eastAsia" w:ascii="宋体" w:hAnsi="宋体" w:eastAsia="宋体"/>
          <w:color w:val="auto"/>
          <w:sz w:val="21"/>
          <w:szCs w:val="21"/>
          <w:highlight w:val="none"/>
        </w:rPr>
        <w:t>35.招标文件的解释权</w:t>
      </w:r>
      <w:bookmarkEnd w:id="174"/>
      <w:bookmarkEnd w:id="175"/>
      <w:bookmarkEnd w:id="176"/>
    </w:p>
    <w:p>
      <w:pPr>
        <w:pStyle w:val="34"/>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rFonts w:hint="eastAsia"/>
          <w:color w:val="auto"/>
          <w:sz w:val="28"/>
          <w:szCs w:val="28"/>
          <w:highlight w:val="none"/>
        </w:rPr>
      </w:pPr>
      <w:bookmarkStart w:id="177" w:name="_Toc7011"/>
      <w:bookmarkStart w:id="178" w:name="_Toc382"/>
      <w:bookmarkStart w:id="179"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1593"/>
      <w:r>
        <w:rPr>
          <w:rFonts w:hint="eastAsia" w:ascii="宋体" w:hAnsi="宋体"/>
          <w:color w:val="auto"/>
          <w:highlight w:val="none"/>
          <w:lang w:val="en-US" w:eastAsia="zh-CN"/>
        </w:rPr>
        <w:t>第一章 商务需求书</w:t>
      </w:r>
      <w:bookmarkEnd w:id="180"/>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4"/>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交货期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合同签订后30天内完成供货、安装、调试、交付使用。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合同签订后10个工作日内，由采购人向中标人支付合同总价的30%作为第一期款项；在主要设备到场后，经双方项目负责人确认无误后，在10个工作日内由采购人向中标人支付合同总价的40%作为第二期款项；货物安装调试完毕，经采购</w:t>
            </w:r>
            <w:r>
              <w:rPr>
                <w:rFonts w:hint="eastAsia" w:ascii="宋体" w:hAnsi="宋体" w:cs="宋体"/>
                <w:color w:val="auto"/>
                <w:sz w:val="21"/>
                <w:szCs w:val="21"/>
                <w:highlight w:val="none"/>
                <w:lang w:val="en-US" w:eastAsia="zh-CN"/>
              </w:rPr>
              <w:t>人</w:t>
            </w:r>
            <w:r>
              <w:rPr>
                <w:rFonts w:hint="eastAsia" w:ascii="宋体" w:hAnsi="宋体" w:eastAsia="宋体" w:cs="宋体"/>
                <w:color w:val="auto"/>
                <w:sz w:val="21"/>
                <w:szCs w:val="21"/>
                <w:highlight w:val="none"/>
                <w:lang w:eastAsia="zh-CN"/>
              </w:rPr>
              <w:t>组织项目验收，在项目验收合格后，由采购人向中标人支付剩余合同总价的30%给中标人。</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采购人付款前，中标人须向采购人提交等额有效的增值税专用发票（当中标人为小规模纳税人时，在小规模纳税人增值税免征期间开具的免税普通发票）及请款报告，相关资料经采购人审核无误后，以银行转账方式向中标人付款。中标人逾期提供上述请款资料的，采购人有权付顺延款时间而不承担任何违约责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w:t>
            </w:r>
            <w:r>
              <w:rPr>
                <w:rFonts w:hint="eastAsia" w:ascii="宋体" w:hAnsi="宋体" w:eastAsia="宋体" w:cs="宋体"/>
                <w:color w:val="auto"/>
                <w:highlight w:val="none"/>
              </w:rPr>
              <w:t>全部设备的技术设计、运输、安装调试、人员培训、售后服务、含税等费用</w:t>
            </w:r>
            <w:r>
              <w:rPr>
                <w:rFonts w:hint="eastAsia" w:ascii="宋体" w:hAnsi="宋体" w:eastAsia="宋体" w:cs="宋体"/>
                <w:color w:val="auto"/>
                <w:sz w:val="21"/>
                <w:szCs w:val="21"/>
                <w:highlight w:val="none"/>
              </w:rPr>
              <w:t>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售后服务</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1、所有设备保修期均为原厂整机免费(人工</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配件)上门保修一年。</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2、在各设备或配件的保修期内发生故障,由中标人负责联系厂家进行维修或更换。</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所有设备保修服务方式均为原厂家派员到用户设备使用现场维修。由此产生的一切费用均由中标供应商承担,保修期向用户所购设备各部件发生非人为故障,中标人应免费上门更换同种品牌不低于原规格型号的新部件。对于不能明确是否是硬件出现故障时,中标人应尽力配能在上述响应时间内到达现场协助排除问题</w:t>
            </w:r>
            <w:r>
              <w:rPr>
                <w:rFonts w:hint="eastAsia" w:ascii="宋体" w:hAnsi="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4、保修期内,同一硬件一个月内连续2次出现同一故障,供应商须无偿更换不低于同一档次机器。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5、中标人负责对采购人受训人员进行操作、维修培训,直至采购人受训人员能熟练操作为止。</w:t>
            </w:r>
          </w:p>
        </w:tc>
      </w:tr>
    </w:tbl>
    <w:p>
      <w:pPr>
        <w:bidi w:val="0"/>
        <w:rPr>
          <w:rFonts w:hint="eastAsia"/>
          <w:color w:val="auto"/>
          <w:highlight w:val="none"/>
          <w:lang w:val="en-US" w:eastAsia="zh-CN"/>
        </w:rPr>
      </w:pPr>
    </w:p>
    <w:p>
      <w:pPr>
        <w:pStyle w:val="9"/>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rPr>
          <w:rFonts w:hint="eastAsia" w:ascii="宋体" w:hAnsi="宋体"/>
          <w:color w:val="auto"/>
          <w:highlight w:val="none"/>
          <w:lang w:val="en-US" w:eastAsia="zh-CN"/>
        </w:rPr>
      </w:pPr>
      <w:bookmarkStart w:id="181" w:name="_Toc19316"/>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81"/>
    </w:p>
    <w:p>
      <w:pPr>
        <w:bidi w:val="0"/>
        <w:spacing w:line="360" w:lineRule="auto"/>
        <w:ind w:firstLine="422" w:firstLineChars="200"/>
        <w:rPr>
          <w:rFonts w:hint="eastAsia" w:ascii="宋体" w:hAnsi="宋体" w:eastAsia="宋体" w:cs="宋体"/>
          <w:b/>
          <w:bCs/>
          <w:color w:val="auto"/>
          <w:highlight w:val="none"/>
        </w:rPr>
      </w:pPr>
      <w:bookmarkStart w:id="182" w:name="_Toc24679"/>
      <w:bookmarkStart w:id="183" w:name="_Toc13112"/>
      <w:bookmarkStart w:id="184" w:name="_Toc31278"/>
      <w:bookmarkStart w:id="185" w:name="_Toc14462"/>
      <w:r>
        <w:rPr>
          <w:rFonts w:hint="eastAsia" w:ascii="宋体" w:hAnsi="宋体" w:eastAsia="宋体" w:cs="宋体"/>
          <w:b/>
          <w:bCs/>
          <w:color w:val="auto"/>
          <w:highlight w:val="none"/>
          <w:lang w:eastAsia="zh-CN"/>
        </w:rPr>
        <w:t>一、</w:t>
      </w:r>
      <w:r>
        <w:rPr>
          <w:rFonts w:hint="eastAsia" w:ascii="宋体" w:hAnsi="宋体" w:eastAsia="宋体" w:cs="宋体"/>
          <w:b/>
          <w:bCs/>
          <w:color w:val="auto"/>
          <w:highlight w:val="none"/>
        </w:rPr>
        <w:t>项目总体要求</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（一）供应商必须对所有设备、备品备件、专用工具和件随服务投标。</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（二）供应商所投设备及材料应是原厂原装、全新的产品,并符合下列要求:国家标准,行业标准以及该产品的出厂标准。</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（三）供应商应对投标设备列明其品牌、型号、制造商名称、产地、技术参数、功能介绍和使用说明。</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（四）投标设备的包装均应有良好的防湿、防锈、防潮、防雨、防腐及防碰撞的措施。</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（五）投标人须对其对所投产品的生产厂家、品牌、型号应予以核实,必须与实际供货产品铭牌上所标识的完全一致,否则将无法验收,由此导致的包括合同违约等一切后果将由供应商承担。</w:t>
      </w:r>
    </w:p>
    <w:p>
      <w:pPr>
        <w:bidi w:val="0"/>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w:t>
      </w:r>
      <w:r>
        <w:rPr>
          <w:rFonts w:hint="eastAsia" w:ascii="宋体" w:hAnsi="宋体" w:cs="宋体"/>
          <w:b w:val="0"/>
          <w:bCs w:val="0"/>
          <w:color w:val="auto"/>
          <w:highlight w:val="none"/>
          <w:lang w:val="en-US" w:eastAsia="zh-CN"/>
        </w:rPr>
        <w:t>六</w:t>
      </w:r>
      <w:r>
        <w:rPr>
          <w:rFonts w:hint="eastAsia" w:ascii="宋体" w:hAnsi="宋体" w:eastAsia="宋体" w:cs="宋体"/>
          <w:b w:val="0"/>
          <w:bCs w:val="0"/>
          <w:color w:val="auto"/>
          <w:highlight w:val="none"/>
          <w:lang w:val="en-US" w:eastAsia="zh-CN"/>
        </w:rPr>
        <w:t>）如果评标委员会认为投标人的报价明显低过符合性审查投标人的报价,有可能影响产品质量或者不能诚信履约的,将要求其在评标现场合理的时间内提供书面说明,必要时提交相关证明材料;投标人不能证明其报价合理性的，评标委员会应当将其作为无效投标处理。</w:t>
      </w:r>
    </w:p>
    <w:p>
      <w:pPr>
        <w:bidi w:val="0"/>
        <w:spacing w:line="360" w:lineRule="auto"/>
        <w:ind w:firstLine="420" w:firstLineChars="200"/>
        <w:rPr>
          <w:rFonts w:hint="eastAsia" w:ascii="宋体" w:hAnsi="宋体" w:eastAsia="宋体" w:cs="宋体"/>
          <w:b w:val="0"/>
          <w:bCs w:val="0"/>
          <w:color w:val="auto"/>
          <w:highlight w:val="none"/>
          <w:lang w:val="en-US" w:eastAsia="zh-CN"/>
        </w:rPr>
      </w:pPr>
    </w:p>
    <w:p>
      <w:pPr>
        <w:bidi w:val="0"/>
        <w:spacing w:line="360" w:lineRule="auto"/>
        <w:ind w:firstLine="42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二、项目设备技术规格、参数及要求</w:t>
      </w:r>
    </w:p>
    <w:p>
      <w:pPr>
        <w:bidi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（一）设备技术规格、参数</w:t>
      </w:r>
    </w:p>
    <w:tbl>
      <w:tblPr>
        <w:tblStyle w:val="24"/>
        <w:tblW w:w="5000" w:type="pct"/>
        <w:jc w:val="center"/>
        <w:tblLayout w:type="autofit"/>
        <w:tblCellMar>
          <w:top w:w="0" w:type="dxa"/>
          <w:left w:w="108" w:type="dxa"/>
          <w:bottom w:w="0" w:type="dxa"/>
          <w:right w:w="108" w:type="dxa"/>
        </w:tblCellMar>
      </w:tblPr>
      <w:tblGrid>
        <w:gridCol w:w="638"/>
        <w:gridCol w:w="929"/>
        <w:gridCol w:w="6302"/>
        <w:gridCol w:w="653"/>
      </w:tblGrid>
      <w:tr>
        <w:tblPrEx>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0" w:type="auto"/>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设备</w:t>
            </w:r>
            <w:r>
              <w:rPr>
                <w:rFonts w:hint="eastAsia" w:ascii="宋体" w:hAnsi="宋体" w:eastAsia="宋体" w:cs="宋体"/>
                <w:b/>
                <w:bCs/>
                <w:color w:val="auto"/>
                <w:kern w:val="0"/>
                <w:sz w:val="21"/>
                <w:szCs w:val="21"/>
                <w:highlight w:val="none"/>
              </w:rPr>
              <w:t>名称</w:t>
            </w:r>
          </w:p>
        </w:tc>
        <w:tc>
          <w:tcPr>
            <w:tcW w:w="0" w:type="auto"/>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招标技术参数</w:t>
            </w:r>
          </w:p>
        </w:tc>
        <w:tc>
          <w:tcPr>
            <w:tcW w:w="0" w:type="auto"/>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数量</w:t>
            </w:r>
          </w:p>
        </w:tc>
      </w:tr>
      <w:tr>
        <w:tblPrEx>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olor w:val="auto"/>
                <w:sz w:val="21"/>
                <w:szCs w:val="21"/>
                <w:highlight w:val="none"/>
              </w:rPr>
              <w:t>●</w:t>
            </w:r>
            <w:r>
              <w:rPr>
                <w:rFonts w:hint="eastAsia" w:ascii="宋体" w:hAnsi="宋体" w:eastAsia="宋体" w:cs="宋体"/>
                <w:color w:val="auto"/>
                <w:kern w:val="0"/>
                <w:sz w:val="21"/>
                <w:szCs w:val="21"/>
                <w:highlight w:val="none"/>
              </w:rPr>
              <w:t>风冷热泵模块机组</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制冷量≥</w:t>
            </w:r>
            <w:r>
              <w:rPr>
                <w:rFonts w:hint="eastAsia" w:ascii="宋体" w:hAnsi="宋体" w:eastAsia="宋体" w:cs="宋体"/>
                <w:color w:val="auto"/>
                <w:kern w:val="0"/>
                <w:sz w:val="21"/>
                <w:szCs w:val="21"/>
                <w:highlight w:val="none"/>
                <w:lang w:val="en-US" w:eastAsia="zh-CN"/>
              </w:rPr>
              <w:t>65</w:t>
            </w:r>
            <w:r>
              <w:rPr>
                <w:rFonts w:hint="eastAsia" w:ascii="宋体" w:hAnsi="宋体" w:eastAsia="宋体" w:cs="宋体"/>
                <w:color w:val="auto"/>
                <w:kern w:val="0"/>
                <w:sz w:val="21"/>
                <w:szCs w:val="21"/>
                <w:highlight w:val="none"/>
              </w:rPr>
              <w:t>KW</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制热量≥</w:t>
            </w:r>
            <w:r>
              <w:rPr>
                <w:rFonts w:hint="eastAsia" w:ascii="宋体" w:hAnsi="宋体" w:eastAsia="宋体" w:cs="宋体"/>
                <w:color w:val="auto"/>
                <w:kern w:val="0"/>
                <w:sz w:val="21"/>
                <w:szCs w:val="21"/>
                <w:highlight w:val="none"/>
                <w:lang w:val="en-US" w:eastAsia="zh-CN"/>
              </w:rPr>
              <w:t>71</w:t>
            </w:r>
            <w:r>
              <w:rPr>
                <w:rFonts w:hint="eastAsia" w:ascii="宋体" w:hAnsi="宋体" w:eastAsia="宋体" w:cs="宋体"/>
                <w:color w:val="auto"/>
                <w:kern w:val="0"/>
                <w:sz w:val="21"/>
                <w:szCs w:val="21"/>
                <w:highlight w:val="none"/>
              </w:rPr>
              <w:t>KW</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 xml:space="preserve">能效等级：2级或优于  </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能效比≥3.3</w:t>
            </w:r>
            <w:r>
              <w:rPr>
                <w:rFonts w:hint="eastAsia" w:ascii="宋体" w:hAnsi="宋体" w:eastAsia="宋体" w:cs="宋体"/>
                <w:color w:val="auto"/>
                <w:kern w:val="0"/>
                <w:sz w:val="21"/>
                <w:szCs w:val="21"/>
                <w:highlight w:val="none"/>
                <w:lang w:val="en-US" w:eastAsia="zh-CN"/>
              </w:rPr>
              <w:t>3</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高精度电子膨胀阀</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水流量≤</w:t>
            </w:r>
            <w:r>
              <w:rPr>
                <w:rFonts w:hint="eastAsia" w:ascii="宋体" w:hAnsi="宋体" w:eastAsia="宋体" w:cs="宋体"/>
                <w:color w:val="auto"/>
                <w:kern w:val="0"/>
                <w:sz w:val="21"/>
                <w:szCs w:val="21"/>
                <w:highlight w:val="none"/>
                <w:lang w:val="en-US" w:eastAsia="zh-CN"/>
              </w:rPr>
              <w:t>11.2</w:t>
            </w:r>
            <w:r>
              <w:rPr>
                <w:rFonts w:hint="eastAsia" w:ascii="宋体" w:hAnsi="宋体" w:eastAsia="宋体" w:cs="宋体"/>
                <w:color w:val="auto"/>
                <w:kern w:val="0"/>
                <w:sz w:val="21"/>
                <w:szCs w:val="21"/>
                <w:highlight w:val="none"/>
              </w:rPr>
              <w:t>m3/h</w:t>
            </w:r>
            <w:bookmarkStart w:id="385" w:name="_GoBack"/>
            <w:bookmarkEnd w:id="385"/>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电功率≤</w:t>
            </w:r>
            <w:r>
              <w:rPr>
                <w:rFonts w:hint="eastAsia" w:ascii="宋体" w:hAnsi="宋体" w:eastAsia="宋体" w:cs="宋体"/>
                <w:color w:val="auto"/>
                <w:kern w:val="0"/>
                <w:sz w:val="21"/>
                <w:szCs w:val="21"/>
                <w:highlight w:val="none"/>
                <w:lang w:val="en-US" w:eastAsia="zh-CN"/>
              </w:rPr>
              <w:t>19</w:t>
            </w:r>
            <w:r>
              <w:rPr>
                <w:rFonts w:hint="eastAsia" w:ascii="宋体" w:hAnsi="宋体" w:eastAsia="宋体" w:cs="宋体"/>
                <w:color w:val="auto"/>
                <w:kern w:val="0"/>
                <w:sz w:val="21"/>
                <w:szCs w:val="21"/>
                <w:highlight w:val="none"/>
              </w:rPr>
              <w:t>.5kw</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风量≥</w:t>
            </w:r>
            <w:r>
              <w:rPr>
                <w:rFonts w:hint="eastAsia" w:ascii="宋体" w:hAnsi="宋体" w:eastAsia="宋体" w:cs="宋体"/>
                <w:color w:val="auto"/>
                <w:kern w:val="0"/>
                <w:sz w:val="21"/>
                <w:szCs w:val="21"/>
                <w:highlight w:val="none"/>
                <w:lang w:val="en-US" w:eastAsia="zh-CN"/>
              </w:rPr>
              <w:t>27000</w:t>
            </w:r>
            <w:r>
              <w:rPr>
                <w:rFonts w:hint="eastAsia" w:ascii="宋体" w:hAnsi="宋体" w:eastAsia="宋体" w:cs="宋体"/>
                <w:color w:val="auto"/>
                <w:kern w:val="0"/>
                <w:sz w:val="21"/>
                <w:szCs w:val="21"/>
                <w:highlight w:val="none"/>
              </w:rPr>
              <w:t>m3/h</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制冷剂：R410a</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尺寸≤2</w:t>
            </w:r>
            <w:r>
              <w:rPr>
                <w:rFonts w:hint="eastAsia" w:ascii="宋体" w:hAnsi="宋体" w:eastAsia="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00*</w:t>
            </w:r>
            <w:r>
              <w:rPr>
                <w:rFonts w:hint="eastAsia" w:ascii="宋体" w:hAnsi="宋体" w:eastAsia="宋体" w:cs="宋体"/>
                <w:color w:val="auto"/>
                <w:kern w:val="0"/>
                <w:sz w:val="21"/>
                <w:szCs w:val="21"/>
                <w:highlight w:val="none"/>
                <w:lang w:val="en-US" w:eastAsia="zh-CN"/>
              </w:rPr>
              <w:t>1000</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1770</w:t>
            </w:r>
            <w:r>
              <w:rPr>
                <w:rFonts w:hint="eastAsia" w:ascii="宋体" w:hAnsi="宋体" w:eastAsia="宋体" w:cs="宋体"/>
                <w:color w:val="auto"/>
                <w:kern w:val="0"/>
                <w:sz w:val="21"/>
                <w:szCs w:val="21"/>
                <w:highlight w:val="none"/>
              </w:rPr>
              <w:t>（安装位置限制）</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11.</w:t>
            </w:r>
            <w:r>
              <w:rPr>
                <w:rFonts w:hint="eastAsia" w:ascii="宋体" w:hAnsi="宋体" w:eastAsia="宋体" w:cs="宋体"/>
                <w:color w:val="auto"/>
                <w:kern w:val="0"/>
                <w:sz w:val="21"/>
                <w:szCs w:val="21"/>
                <w:highlight w:val="none"/>
              </w:rPr>
              <w:t>空调水侧换热器：壳管式换热器</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12.</w:t>
            </w:r>
            <w:r>
              <w:rPr>
                <w:rFonts w:hint="eastAsia" w:ascii="宋体" w:hAnsi="宋体" w:eastAsia="宋体" w:cs="宋体"/>
                <w:color w:val="auto"/>
                <w:kern w:val="0"/>
                <w:sz w:val="21"/>
                <w:szCs w:val="21"/>
                <w:highlight w:val="none"/>
              </w:rPr>
              <w:t xml:space="preserve">空气侧换热器：翅片盘管式 </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噪音：≤6</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 xml:space="preserve"> 分呗</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13.</w:t>
            </w:r>
            <w:r>
              <w:rPr>
                <w:rFonts w:hint="eastAsia" w:ascii="宋体" w:hAnsi="宋体" w:eastAsia="宋体" w:cs="宋体"/>
                <w:color w:val="auto"/>
                <w:kern w:val="0"/>
                <w:sz w:val="21"/>
                <w:szCs w:val="21"/>
                <w:highlight w:val="none"/>
              </w:rPr>
              <w:t>全封闭涡旋压缩机</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单个系统可并联</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套模块以上</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14.</w:t>
            </w:r>
            <w:r>
              <w:rPr>
                <w:rFonts w:hint="eastAsia" w:ascii="宋体" w:hAnsi="宋体" w:eastAsia="宋体" w:cs="宋体"/>
                <w:color w:val="auto"/>
                <w:kern w:val="0"/>
                <w:sz w:val="21"/>
                <w:szCs w:val="21"/>
                <w:highlight w:val="none"/>
              </w:rPr>
              <w:t>高效率低噪音风机风叶</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15.</w:t>
            </w:r>
            <w:r>
              <w:rPr>
                <w:rFonts w:hint="eastAsia" w:ascii="宋体" w:hAnsi="宋体" w:eastAsia="宋体" w:cs="宋体"/>
                <w:color w:val="auto"/>
                <w:kern w:val="0"/>
                <w:sz w:val="21"/>
                <w:szCs w:val="21"/>
                <w:highlight w:val="none"/>
              </w:rPr>
              <w:t>先进能量调节技术，实现能量按需出输模块化轮换运转及后备运转技术</w:t>
            </w:r>
          </w:p>
          <w:p>
            <w:pPr>
              <w:keepNext w:val="0"/>
              <w:keepLines w:val="0"/>
              <w:pageBreakBefore w:val="0"/>
              <w:widowControl/>
              <w:kinsoku/>
              <w:wordWrap/>
              <w:overflowPunct/>
              <w:topLinePunct w:val="0"/>
              <w:autoSpaceDE/>
              <w:autoSpaceDN/>
              <w:bidi w:val="0"/>
              <w:adjustRightInd w:val="0"/>
              <w:snapToGrid w:val="0"/>
              <w:spacing w:line="360" w:lineRule="auto"/>
              <w:ind w:left="0" w:lef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16.</w:t>
            </w:r>
            <w:r>
              <w:rPr>
                <w:rFonts w:hint="eastAsia" w:ascii="宋体" w:hAnsi="宋体" w:eastAsia="宋体" w:cs="宋体"/>
                <w:color w:val="auto"/>
                <w:kern w:val="0"/>
                <w:sz w:val="21"/>
                <w:szCs w:val="21"/>
                <w:highlight w:val="none"/>
              </w:rPr>
              <w:t>多重保护功能（压缩机高低压保护、电源逆（缺）相保护、运行防冻保护、频繁启动保护、压缩机过流保护、压缩机排气温度保护、机组过热保护、水流开关保护、传感故障保护）</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kern w:val="0"/>
                <w:sz w:val="21"/>
                <w:szCs w:val="21"/>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5台</w:t>
            </w:r>
          </w:p>
        </w:tc>
      </w:tr>
      <w:tr>
        <w:tblPrEx>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新机现场拆装</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1.机型：风冷模块冷水机组LSQWRF65M/AN1-1                        2.安装形式：落地式                                         3.制冷量</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65</w:t>
            </w:r>
            <w:r>
              <w:rPr>
                <w:rFonts w:hint="eastAsia" w:ascii="宋体" w:hAnsi="宋体" w:eastAsia="宋体" w:cs="宋体"/>
                <w:color w:val="auto"/>
                <w:kern w:val="0"/>
                <w:sz w:val="21"/>
                <w:szCs w:val="21"/>
                <w:highlight w:val="none"/>
              </w:rPr>
              <w:t>KW</w:t>
            </w:r>
            <w:r>
              <w:rPr>
                <w:rFonts w:hint="eastAsia" w:ascii="宋体" w:hAnsi="宋体" w:eastAsia="宋体" w:cs="宋体"/>
                <w:i w:val="0"/>
                <w:color w:val="auto"/>
                <w:kern w:val="0"/>
                <w:sz w:val="21"/>
                <w:szCs w:val="21"/>
                <w:highlight w:val="none"/>
                <w:u w:val="none"/>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4.工程内容：新设备到场后进行拆解(外壳，风扇，冷凝器，水泡，压缩机等分解）搬运至机房进行现场组装，调试。</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5台</w:t>
            </w:r>
          </w:p>
        </w:tc>
      </w:tr>
      <w:tr>
        <w:tblPrEx>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风管改造</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1.规格:镀锌铁皮1.0厚度                                    2.用途：机组散热抽风                    </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3.工程内容;机组安装到位后，把风管与设备上方风扇四周连接，不能出现松动与漏风.</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5台</w:t>
            </w:r>
          </w:p>
        </w:tc>
      </w:tr>
      <w:tr>
        <w:tblPrEx>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法兰</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9"/>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规格：DN65</w:t>
            </w:r>
          </w:p>
          <w:p>
            <w:pPr>
              <w:keepNext w:val="0"/>
              <w:keepLines w:val="0"/>
              <w:pageBreakBefore w:val="0"/>
              <w:widowControl/>
              <w:numPr>
                <w:ilvl w:val="0"/>
                <w:numId w:val="9"/>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材质;铸铁法兰</w:t>
            </w:r>
          </w:p>
          <w:p>
            <w:pPr>
              <w:keepNext w:val="0"/>
              <w:keepLines w:val="0"/>
              <w:pageBreakBefore w:val="0"/>
              <w:widowControl/>
              <w:numPr>
                <w:ilvl w:val="0"/>
                <w:numId w:val="9"/>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连接方式焊接，除锈以及刷防锈漆</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10个</w:t>
            </w:r>
          </w:p>
        </w:tc>
      </w:tr>
      <w:tr>
        <w:tblPrEx>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线路改造</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电源线等级：国标</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 xml:space="preserve">电压380V </w:t>
            </w:r>
          </w:p>
          <w:p>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安装电路电器接线，调试</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5台</w:t>
            </w:r>
          </w:p>
        </w:tc>
      </w:tr>
      <w:tr>
        <w:tblPrEx>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旧机组拆除</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把旧的设备分解拆开，搬运至指定地点，</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5台</w:t>
            </w:r>
          </w:p>
        </w:tc>
      </w:tr>
      <w:tr>
        <w:tblPrEx>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止回阀</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 xml:space="preserve">规格： DN65  </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 xml:space="preserve">压力等级DN65  </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连接方式：综合现场考虑</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5套</w:t>
            </w:r>
          </w:p>
        </w:tc>
      </w:tr>
      <w:tr>
        <w:tblPrEx>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保温</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保温厚度;30mm双层  </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 xml:space="preserve">材质：橡塑 </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按现场实际情况粘贴</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若干</w:t>
            </w:r>
          </w:p>
        </w:tc>
      </w:tr>
    </w:tbl>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（二）主要技术要求</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投标人必须响应并承诺下列主要技术要求,否则,将被视作不能满足。若投标方所提供的证明资料与事实不符,将承担被作为无效投标的风险,并对技术要求进行逐一响应。</w:t>
      </w:r>
    </w:p>
    <w:p>
      <w:pPr>
        <w:spacing w:after="0" w:line="360" w:lineRule="auto"/>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1.单机制冷量（KW）≥65KW</w:t>
      </w:r>
      <w:r>
        <w:rPr>
          <w:rFonts w:hint="eastAsia" w:ascii="宋体" w:hAnsi="宋体" w:cs="宋体"/>
          <w:b w:val="0"/>
          <w:bCs w:val="0"/>
          <w:color w:val="auto"/>
          <w:sz w:val="21"/>
          <w:szCs w:val="21"/>
          <w:highlight w:val="none"/>
          <w:lang w:eastAsia="zh-CN"/>
        </w:rPr>
        <w:t>；</w:t>
      </w:r>
    </w:p>
    <w:p>
      <w:pPr>
        <w:spacing w:after="0" w:line="360" w:lineRule="auto"/>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2.配备高精度电子膨胀阀</w:t>
      </w:r>
      <w:r>
        <w:rPr>
          <w:rFonts w:hint="eastAsia" w:ascii="宋体" w:hAnsi="宋体" w:cs="宋体"/>
          <w:b w:val="0"/>
          <w:bCs w:val="0"/>
          <w:color w:val="auto"/>
          <w:sz w:val="21"/>
          <w:szCs w:val="21"/>
          <w:highlight w:val="none"/>
          <w:lang w:eastAsia="zh-CN"/>
        </w:rPr>
        <w:t>；</w:t>
      </w:r>
    </w:p>
    <w:p>
      <w:pPr>
        <w:spacing w:after="0" w:line="360" w:lineRule="auto"/>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3.单机风量≥27000m3/h</w:t>
      </w:r>
      <w:r>
        <w:rPr>
          <w:rFonts w:hint="eastAsia" w:ascii="宋体" w:hAnsi="宋体" w:cs="宋体"/>
          <w:b w:val="0"/>
          <w:bCs w:val="0"/>
          <w:color w:val="auto"/>
          <w:sz w:val="21"/>
          <w:szCs w:val="21"/>
          <w:highlight w:val="none"/>
          <w:lang w:eastAsia="zh-CN"/>
        </w:rPr>
        <w:t>；；</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4.冷媒采用R410a等没有淘汰期限的环保冷媒</w:t>
      </w:r>
    </w:p>
    <w:p>
      <w:pPr>
        <w:spacing w:after="0" w:line="360" w:lineRule="auto"/>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★5.因机房现场安装位置限制，要求机组尺寸必须不超过2000（L）*1000（W）*1770（H）</w:t>
      </w:r>
      <w:r>
        <w:rPr>
          <w:rFonts w:hint="eastAsia" w:ascii="宋体" w:hAnsi="宋体" w:cs="宋体"/>
          <w:b w:val="0"/>
          <w:bCs w:val="0"/>
          <w:color w:val="auto"/>
          <w:sz w:val="21"/>
          <w:szCs w:val="21"/>
          <w:highlight w:val="none"/>
          <w:lang w:eastAsia="zh-CN"/>
        </w:rPr>
        <w:t>；</w:t>
      </w:r>
    </w:p>
    <w:p>
      <w:pPr>
        <w:spacing w:after="0" w:line="360" w:lineRule="auto"/>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6.空调水侧换热器：壳管式换热器</w:t>
      </w:r>
      <w:r>
        <w:rPr>
          <w:rFonts w:hint="eastAsia" w:ascii="宋体" w:hAnsi="宋体" w:cs="宋体"/>
          <w:b w:val="0"/>
          <w:bCs w:val="0"/>
          <w:color w:val="auto"/>
          <w:sz w:val="21"/>
          <w:szCs w:val="21"/>
          <w:highlight w:val="none"/>
          <w:lang w:eastAsia="zh-CN"/>
        </w:rPr>
        <w:t>；</w:t>
      </w:r>
    </w:p>
    <w:p>
      <w:pPr>
        <w:spacing w:after="0" w:line="360" w:lineRule="auto"/>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7.空气侧换热器：翅片盘管式</w:t>
      </w:r>
      <w:r>
        <w:rPr>
          <w:rFonts w:hint="eastAsia" w:ascii="宋体" w:hAnsi="宋体" w:cs="宋体"/>
          <w:b w:val="0"/>
          <w:bCs w:val="0"/>
          <w:color w:val="auto"/>
          <w:sz w:val="21"/>
          <w:szCs w:val="21"/>
          <w:highlight w:val="none"/>
          <w:lang w:eastAsia="zh-CN"/>
        </w:rPr>
        <w:t>；</w:t>
      </w:r>
    </w:p>
    <w:p>
      <w:pPr>
        <w:spacing w:after="0" w:line="360" w:lineRule="auto"/>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8.机组满负荷运行噪音值≤65dB（A）</w:t>
      </w:r>
      <w:r>
        <w:rPr>
          <w:rFonts w:hint="eastAsia" w:ascii="宋体" w:hAnsi="宋体" w:cs="宋体"/>
          <w:b w:val="0"/>
          <w:bCs w:val="0"/>
          <w:color w:val="auto"/>
          <w:sz w:val="21"/>
          <w:szCs w:val="21"/>
          <w:highlight w:val="none"/>
          <w:lang w:eastAsia="zh-CN"/>
        </w:rPr>
        <w:t>；</w:t>
      </w:r>
    </w:p>
    <w:p>
      <w:pPr>
        <w:spacing w:after="0" w:line="360" w:lineRule="auto"/>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9.压缩机采用全封闭涡旋压缩机</w:t>
      </w:r>
      <w:r>
        <w:rPr>
          <w:rFonts w:hint="eastAsia" w:ascii="宋体" w:hAnsi="宋体" w:cs="宋体"/>
          <w:b w:val="0"/>
          <w:bCs w:val="0"/>
          <w:color w:val="auto"/>
          <w:sz w:val="21"/>
          <w:szCs w:val="21"/>
          <w:highlight w:val="none"/>
          <w:lang w:eastAsia="zh-CN"/>
        </w:rPr>
        <w:t>；</w:t>
      </w:r>
    </w:p>
    <w:p>
      <w:pPr>
        <w:spacing w:after="0" w:line="360" w:lineRule="auto"/>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10.配备高效率低噪音风机风叶</w:t>
      </w:r>
      <w:r>
        <w:rPr>
          <w:rFonts w:hint="eastAsia" w:ascii="宋体" w:hAnsi="宋体" w:cs="宋体"/>
          <w:b w:val="0"/>
          <w:bCs w:val="0"/>
          <w:color w:val="auto"/>
          <w:sz w:val="21"/>
          <w:szCs w:val="21"/>
          <w:highlight w:val="none"/>
          <w:lang w:eastAsia="zh-CN"/>
        </w:rPr>
        <w:t>；</w:t>
      </w:r>
    </w:p>
    <w:p>
      <w:pPr>
        <w:spacing w:after="0" w:line="360" w:lineRule="auto"/>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11.采用先进能量调节技术，实现能量按需出输模块化轮换运转及后备运转技术</w:t>
      </w:r>
      <w:r>
        <w:rPr>
          <w:rFonts w:hint="eastAsia" w:ascii="宋体" w:hAnsi="宋体" w:cs="宋体"/>
          <w:b w:val="0"/>
          <w:bCs w:val="0"/>
          <w:color w:val="auto"/>
          <w:sz w:val="21"/>
          <w:szCs w:val="21"/>
          <w:highlight w:val="none"/>
          <w:lang w:eastAsia="zh-CN"/>
        </w:rPr>
        <w:t>；</w:t>
      </w:r>
    </w:p>
    <w:p>
      <w:pPr>
        <w:spacing w:after="0" w:line="360" w:lineRule="auto"/>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12.配备多重保护功能（压缩机高低压保护、电源逆（缺）相保护、运行防冻保护、频繁启动保护、压缩机过流保护、压缩机排气温度保护、机组过热保护、水流开关保护、传感故障保护）</w:t>
      </w:r>
      <w:r>
        <w:rPr>
          <w:rFonts w:hint="eastAsia" w:ascii="宋体" w:hAnsi="宋体" w:cs="宋体"/>
          <w:b w:val="0"/>
          <w:bCs w:val="0"/>
          <w:color w:val="auto"/>
          <w:sz w:val="21"/>
          <w:szCs w:val="21"/>
          <w:highlight w:val="none"/>
          <w:lang w:eastAsia="zh-CN"/>
        </w:rPr>
        <w:t>；</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.如果本招标文件中有明显未提到的细节,或在涉及到本招标文件中任何条款的叙述中没有明显的规定,都应被认为应符合国家(行业)的标准和规范。</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（三）设备基本要求:</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1、投标人提供的设备,必须是满足技术先进、性能优良、结构紧凑、便于安装和维护等技术要求的全新产品</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2、由于现场施工条件有限,所选设备不应大于招标要求尺寸要求。</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3、投标人必须确保提供的货物及所有件的完整性,对于招标文件没有列出,而对系统的正常运行和维护必不可少的且应属于空调系统配带的部件、配件,投标人有责任无偿给予补充。</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4、设备正确安装后，能确保在正常使用过程中安全、节能、稳定可靠。</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（四）施工要求,</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需对旧设备及管道进行拆除，搬运至</w:t>
      </w:r>
      <w:r>
        <w:rPr>
          <w:rFonts w:hint="eastAsia" w:ascii="宋体" w:hAnsi="宋体" w:cs="宋体"/>
          <w:b w:val="0"/>
          <w:bCs w:val="0"/>
          <w:color w:val="auto"/>
          <w:sz w:val="21"/>
          <w:szCs w:val="21"/>
          <w:highlight w:val="none"/>
          <w:lang w:val="en-US" w:eastAsia="zh-CN"/>
        </w:rPr>
        <w:t>指定</w:t>
      </w:r>
      <w:r>
        <w:rPr>
          <w:rFonts w:hint="eastAsia" w:ascii="宋体" w:hAnsi="宋体" w:eastAsia="宋体" w:cs="宋体"/>
          <w:b w:val="0"/>
          <w:bCs w:val="0"/>
          <w:color w:val="auto"/>
          <w:sz w:val="21"/>
          <w:szCs w:val="21"/>
          <w:highlight w:val="none"/>
        </w:rPr>
        <w:t>位置，搬运过程中不得对机房墙体等造成损坏，如确实需要拆除机房门的，需将其修复。</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由于现场搬运及安装空间闲置，部分不能整机搬运到机房安装的空调主机整件或配件整件，中标人需要在招标人指定位置将整机拆卸成可运输上楼的零件，并在机房重新组装后完成设备的安装。</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由于施工项目可能对日常办公造成影响，所有设备及材料应在工作日晚上9点后才能运至现场。</w:t>
      </w:r>
    </w:p>
    <w:p>
      <w:pPr>
        <w:spacing w:after="0"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本项目如在办公与设备搬运等工作同时进行时,要做好文明措施,现场维护，不能影响工作人员正常</w:t>
      </w:r>
      <w:r>
        <w:rPr>
          <w:rFonts w:hint="eastAsia" w:ascii="宋体" w:hAnsi="宋体" w:cs="宋体"/>
          <w:b w:val="0"/>
          <w:bCs w:val="0"/>
          <w:color w:val="auto"/>
          <w:sz w:val="21"/>
          <w:szCs w:val="21"/>
          <w:highlight w:val="none"/>
          <w:lang w:val="en-US" w:eastAsia="zh-CN"/>
        </w:rPr>
        <w:t>办</w:t>
      </w:r>
      <w:r>
        <w:rPr>
          <w:rFonts w:hint="eastAsia" w:ascii="宋体" w:hAnsi="宋体" w:eastAsia="宋体" w:cs="宋体"/>
          <w:b w:val="0"/>
          <w:bCs w:val="0"/>
          <w:color w:val="auto"/>
          <w:sz w:val="21"/>
          <w:szCs w:val="21"/>
          <w:highlight w:val="none"/>
        </w:rPr>
        <w:t>公。</w:t>
      </w:r>
    </w:p>
    <w:p>
      <w:pPr>
        <w:spacing w:after="0" w:line="360" w:lineRule="auto"/>
        <w:ind w:firstLine="422" w:firstLineChars="200"/>
        <w:rPr>
          <w:rFonts w:hint="eastAsia" w:ascii="宋体" w:hAnsi="宋体" w:eastAsia="宋体" w:cs="宋体"/>
          <w:b/>
          <w:bCs/>
          <w:color w:val="auto"/>
          <w:sz w:val="21"/>
          <w:szCs w:val="21"/>
          <w:highlight w:val="none"/>
        </w:rPr>
      </w:pPr>
    </w:p>
    <w:p>
      <w:pPr>
        <w:spacing w:after="0" w:line="360" w:lineRule="auto"/>
        <w:ind w:firstLine="422" w:firstLineChars="200"/>
        <w:rPr>
          <w:rFonts w:hint="eastAsia" w:ascii="宋体" w:hAnsi="宋体" w:eastAsia="宋体" w:cs="宋体"/>
          <w:color w:val="auto"/>
          <w:sz w:val="28"/>
          <w:szCs w:val="28"/>
          <w:highlight w:val="none"/>
        </w:rPr>
      </w:pPr>
      <w:r>
        <w:rPr>
          <w:rFonts w:hint="eastAsia" w:ascii="宋体" w:hAnsi="宋体" w:eastAsia="宋体" w:cs="宋体"/>
          <w:b/>
          <w:bCs/>
          <w:color w:val="auto"/>
          <w:sz w:val="21"/>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pPr>
        <w:bidi w:val="0"/>
        <w:rPr>
          <w:rFonts w:hint="eastAsia"/>
          <w:color w:val="auto"/>
          <w:highlight w:val="none"/>
        </w:rPr>
      </w:pPr>
    </w:p>
    <w:p>
      <w:pPr>
        <w:rPr>
          <w:rFonts w:hint="eastAsia"/>
          <w:color w:val="auto"/>
          <w:sz w:val="28"/>
          <w:szCs w:val="28"/>
          <w:highlight w:val="none"/>
        </w:rPr>
      </w:pPr>
      <w:bookmarkStart w:id="188" w:name="_Toc12014"/>
      <w:r>
        <w:rPr>
          <w:rFonts w:hint="eastAsia"/>
          <w:color w:val="auto"/>
          <w:sz w:val="28"/>
          <w:szCs w:val="28"/>
          <w:highlight w:val="none"/>
        </w:rPr>
        <w:br w:type="page"/>
      </w:r>
    </w:p>
    <w:p>
      <w:pPr>
        <w:pStyle w:val="4"/>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6"/>
      <w:bookmarkEnd w:id="187"/>
      <w:bookmarkEnd w:id="188"/>
      <w:bookmarkStart w:id="189" w:name="_Toc21155"/>
      <w:bookmarkStart w:id="190" w:name="_Toc13430"/>
      <w:bookmarkStart w:id="191" w:name="_Toc1534"/>
    </w:p>
    <w:p>
      <w:pPr>
        <w:pStyle w:val="5"/>
        <w:spacing w:before="0" w:after="0" w:line="240" w:lineRule="auto"/>
        <w:jc w:val="center"/>
        <w:rPr>
          <w:rFonts w:ascii="宋体" w:hAnsi="宋体" w:eastAsia="宋体" w:cs="宋体"/>
          <w:color w:val="auto"/>
          <w:highlight w:val="none"/>
        </w:rPr>
      </w:pPr>
      <w:bookmarkStart w:id="192" w:name="_Toc19575"/>
      <w:bookmarkStart w:id="193" w:name="_Toc8880"/>
      <w:bookmarkStart w:id="194" w:name="_Toc16730"/>
      <w:r>
        <w:rPr>
          <w:rFonts w:hint="eastAsia" w:ascii="宋体" w:hAnsi="宋体" w:eastAsia="宋体" w:cs="宋体"/>
          <w:color w:val="auto"/>
          <w:highlight w:val="none"/>
        </w:rPr>
        <w:t>合同格式</w:t>
      </w:r>
      <w:bookmarkEnd w:id="189"/>
      <w:bookmarkEnd w:id="190"/>
      <w:bookmarkEnd w:id="191"/>
      <w:bookmarkEnd w:id="192"/>
      <w:bookmarkEnd w:id="193"/>
      <w:bookmarkEnd w:id="194"/>
    </w:p>
    <w:p>
      <w:pPr>
        <w:spacing w:line="360" w:lineRule="auto"/>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5" w:name="_Toc86481558"/>
      <w:r>
        <w:rPr>
          <w:rFonts w:hint="eastAsia" w:ascii="宋体" w:hAnsi="宋体" w:eastAsia="宋体"/>
          <w:b/>
          <w:color w:val="auto"/>
          <w:sz w:val="21"/>
          <w:szCs w:val="21"/>
          <w:highlight w:val="none"/>
        </w:rPr>
        <w:t xml:space="preserve">第三条 </w:t>
      </w:r>
      <w:r>
        <w:rPr>
          <w:rFonts w:hint="eastAsia" w:ascii="宋体" w:hAnsi="宋体"/>
          <w:b/>
          <w:color w:val="auto"/>
          <w:sz w:val="21"/>
          <w:szCs w:val="21"/>
          <w:highlight w:val="none"/>
          <w:lang w:val="en-US" w:eastAsia="zh-CN"/>
        </w:rPr>
        <w:t>采购</w:t>
      </w:r>
      <w:r>
        <w:rPr>
          <w:rFonts w:hint="eastAsia" w:ascii="宋体" w:hAnsi="宋体" w:eastAsia="宋体"/>
          <w:b/>
          <w:color w:val="auto"/>
          <w:sz w:val="21"/>
          <w:szCs w:val="21"/>
          <w:highlight w:val="none"/>
        </w:rPr>
        <w:t>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1、合同总价包含：全部设备的技术设计、运输、安装调试、人员培训、售后服务、含税等费用以及合同实施过程中的不可预见费用等全部费用，按本次招标范围及中标价一次包干，结算时不作调整。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w:t>
      </w:r>
      <w:r>
        <w:rPr>
          <w:rFonts w:hint="eastAsia" w:ascii="宋体" w:hAnsi="宋体"/>
          <w:color w:val="auto"/>
          <w:sz w:val="21"/>
          <w:szCs w:val="21"/>
          <w:highlight w:val="none"/>
          <w:lang w:val="en-US" w:eastAsia="zh-CN"/>
        </w:rPr>
        <w:t xml:space="preserve">                </w:t>
      </w:r>
      <w:r>
        <w:rPr>
          <w:rFonts w:hint="eastAsia" w:ascii="宋体" w:hAnsi="宋体" w:eastAsia="宋体"/>
          <w:color w:val="auto"/>
          <w:sz w:val="21"/>
          <w:szCs w:val="21"/>
          <w:highlight w:val="none"/>
        </w:rPr>
        <w:t>（¥）</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 xml:space="preserve">第五条 </w:t>
      </w:r>
      <w:r>
        <w:rPr>
          <w:rFonts w:hint="eastAsia" w:ascii="宋体" w:hAnsi="宋体"/>
          <w:b/>
          <w:color w:val="auto"/>
          <w:sz w:val="21"/>
          <w:szCs w:val="21"/>
          <w:highlight w:val="none"/>
          <w:lang w:eastAsia="zh-CN"/>
        </w:rPr>
        <w:t>交货期</w:t>
      </w:r>
      <w:r>
        <w:rPr>
          <w:rFonts w:hint="eastAsia" w:ascii="宋体" w:hAnsi="宋体" w:eastAsia="宋体"/>
          <w:b/>
          <w:color w:val="auto"/>
          <w:sz w:val="21"/>
          <w:szCs w:val="21"/>
          <w:highlight w:val="none"/>
        </w:rPr>
        <w:t>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交货期</w:t>
      </w:r>
      <w:r>
        <w:rPr>
          <w:rFonts w:hint="eastAsia" w:ascii="宋体" w:hAnsi="宋体" w:eastAsia="宋体"/>
          <w:color w:val="auto"/>
          <w:sz w:val="21"/>
          <w:szCs w:val="21"/>
          <w:highlight w:val="none"/>
        </w:rPr>
        <w:t>：</w:t>
      </w:r>
      <w:r>
        <w:rPr>
          <w:rFonts w:hint="eastAsia" w:ascii="宋体" w:hAnsi="宋体" w:cs="宋体"/>
          <w:color w:val="auto"/>
          <w:sz w:val="21"/>
          <w:szCs w:val="21"/>
          <w:highlight w:val="none"/>
          <w:lang w:eastAsia="zh-CN"/>
        </w:rPr>
        <w:t>合同签订后30天内完成供货、安装、调试、交付使用</w:t>
      </w:r>
      <w:r>
        <w:rPr>
          <w:rFonts w:hint="eastAsia" w:ascii="宋体" w:hAnsi="宋体" w:eastAsia="宋体"/>
          <w:color w:val="auto"/>
          <w:sz w:val="21"/>
          <w:szCs w:val="21"/>
          <w:highlight w:val="none"/>
        </w:rPr>
        <w:t>，合同生效之日自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2"/>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1、本合同的付款方式为：</w:t>
      </w:r>
    </w:p>
    <w:p>
      <w:pPr>
        <w:pStyle w:val="22"/>
        <w:spacing w:line="360" w:lineRule="auto"/>
        <w:ind w:firstLine="420" w:firstLineChars="200"/>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lang w:eastAsia="zh-CN"/>
        </w:rPr>
        <w:t>）合同签订后10个工作日内，由甲方向乙方支付合同总价的30%作为第一期款项；在主要设备到场后，经双方项目负责人确认无误后，在10个工作日内由甲方向乙方支付合同总价的40%作为第二期款项；货物安装调试完毕，经甲方组织项目验收，在项目验收合格后，由甲方向乙方支付剩余合同总价的30%给乙方。</w:t>
      </w:r>
    </w:p>
    <w:p>
      <w:pPr>
        <w:pStyle w:val="22"/>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lang w:eastAsia="zh-CN"/>
        </w:rPr>
        <w:t>）甲方付款前，乙方须向甲方提交等额有效的增值税专用发票（当乙方为小规模纳税人时，在小规模纳税人增值税免征期间开具的免税普通发票）及请款报告，相关资料经甲方审核无误后，以银行转账方式向乙方付款。乙方逾期提供上述请款资料的，甲方有权付顺延款时间而不承担任何违约责任。</w:t>
      </w:r>
    </w:p>
    <w:p>
      <w:pPr>
        <w:pStyle w:val="22"/>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color w:val="auto"/>
          <w:sz w:val="21"/>
          <w:szCs w:val="21"/>
          <w:highlight w:val="none"/>
        </w:rPr>
      </w:pPr>
      <w:bookmarkStart w:id="196"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7" w:name="_Toc86481569"/>
      <w:r>
        <w:rPr>
          <w:rFonts w:hint="eastAsia" w:ascii="宋体" w:hAnsi="宋体" w:eastAsia="宋体"/>
          <w:b/>
          <w:color w:val="auto"/>
          <w:sz w:val="21"/>
          <w:szCs w:val="21"/>
          <w:highlight w:val="none"/>
        </w:rPr>
        <w:t>第十二条 合同生效</w:t>
      </w:r>
      <w:bookmarkEnd w:id="197"/>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6"/>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spacing w:line="360" w:lineRule="auto"/>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spacing w:line="360" w:lineRule="auto"/>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198" w:name="_Toc1478"/>
      <w:bookmarkStart w:id="199" w:name="_Toc31587"/>
      <w:bookmarkStart w:id="200"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8"/>
      <w:bookmarkEnd w:id="199"/>
      <w:bookmarkEnd w:id="200"/>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5794"/>
      <w:bookmarkStart w:id="202" w:name="_Toc6790"/>
      <w:bookmarkStart w:id="203" w:name="_Toc2683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1"/>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3"/>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9"/>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7" w:name="_Toc22080"/>
      <w:bookmarkStart w:id="208" w:name="_Toc8194"/>
      <w:bookmarkStart w:id="209" w:name="_Toc30640"/>
      <w:r>
        <w:rPr>
          <w:rFonts w:hint="eastAsia"/>
          <w:color w:val="auto"/>
          <w:highlight w:val="none"/>
          <w:lang w:val="en-US" w:eastAsia="zh-CN"/>
        </w:rPr>
        <w:t>第一章价格文件</w:t>
      </w:r>
      <w:bookmarkEnd w:id="207"/>
      <w:bookmarkEnd w:id="20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0" w:name="_Toc19750"/>
      <w:bookmarkStart w:id="211" w:name="_Toc4168"/>
      <w:r>
        <w:rPr>
          <w:rFonts w:hint="eastAsia"/>
          <w:color w:val="auto"/>
          <w:highlight w:val="none"/>
          <w:lang w:val="en-US" w:eastAsia="zh-CN"/>
        </w:rPr>
        <w:t>一、唱标一览表</w:t>
      </w:r>
      <w:bookmarkEnd w:id="210"/>
      <w:bookmarkEnd w:id="211"/>
    </w:p>
    <w:p>
      <w:pPr>
        <w:spacing w:line="360" w:lineRule="auto"/>
        <w:rPr>
          <w:color w:val="auto"/>
          <w:highlight w:val="none"/>
        </w:rPr>
      </w:pPr>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9"/>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9"/>
        <w:rPr>
          <w:color w:val="auto"/>
          <w:highlight w:val="none"/>
        </w:rPr>
      </w:pPr>
    </w:p>
    <w:p>
      <w:pPr>
        <w:rPr>
          <w:color w:val="auto"/>
          <w:highlight w:val="none"/>
        </w:rPr>
      </w:pPr>
    </w:p>
    <w:p>
      <w:pPr>
        <w:rPr>
          <w:rFonts w:hint="eastAsia"/>
          <w:color w:val="auto"/>
          <w:highlight w:val="none"/>
          <w:lang w:val="en-US" w:eastAsia="zh-CN"/>
        </w:rPr>
      </w:pPr>
      <w:bookmarkStart w:id="212" w:name="_Toc31172"/>
      <w:bookmarkStart w:id="213" w:name="_Toc31062"/>
      <w:r>
        <w:rPr>
          <w:rFonts w:hint="eastAsia"/>
          <w:color w:val="auto"/>
          <w:highlight w:val="none"/>
          <w:lang w:val="en-US" w:eastAsia="zh-CN"/>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r>
        <w:rPr>
          <w:rFonts w:hint="eastAsia"/>
          <w:color w:val="auto"/>
          <w:highlight w:val="none"/>
          <w:lang w:val="en-US" w:eastAsia="zh-CN"/>
        </w:rPr>
        <w:t>二、报价明细表</w:t>
      </w:r>
      <w:bookmarkEnd w:id="212"/>
      <w:bookmarkEnd w:id="213"/>
    </w:p>
    <w:p>
      <w:pPr>
        <w:pStyle w:val="31"/>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4" w:name="_Toc23355"/>
      <w:bookmarkStart w:id="215" w:name="_Toc20974"/>
      <w:r>
        <w:rPr>
          <w:rFonts w:hint="eastAsia"/>
          <w:color w:val="auto"/>
          <w:highlight w:val="none"/>
          <w:lang w:val="en-US" w:eastAsia="zh-CN"/>
        </w:rPr>
        <w:t>三、小型或微型企业（货物/服务/承担的工程）明细表</w:t>
      </w:r>
      <w:bookmarkEnd w:id="214"/>
      <w:bookmarkEnd w:id="215"/>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4"/>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3"/>
          <w:rFonts w:hint="eastAsia"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w:t>
      </w:r>
      <w:r>
        <w:rPr>
          <w:rStyle w:val="43"/>
          <w:rFonts w:hint="eastAsia" w:ascii="宋体" w:hAnsi="宋体" w:eastAsia="宋体" w:cs="宋体"/>
          <w:b/>
          <w:color w:val="auto"/>
          <w:sz w:val="21"/>
          <w:szCs w:val="21"/>
          <w:highlight w:val="none"/>
          <w:lang w:val="en-US" w:eastAsia="zh-CN"/>
        </w:rPr>
        <w:t>/</w:t>
      </w:r>
      <w:r>
        <w:rPr>
          <w:rStyle w:val="43"/>
          <w:rFonts w:hint="eastAsia" w:ascii="宋体" w:hAnsi="宋体" w:eastAsia="宋体" w:cs="宋体"/>
          <w:b/>
          <w:color w:val="auto"/>
          <w:sz w:val="21"/>
          <w:szCs w:val="21"/>
          <w:highlight w:val="none"/>
        </w:rPr>
        <w:t>服务报价</w:t>
      </w:r>
      <w:r>
        <w:rPr>
          <w:rStyle w:val="43"/>
          <w:rFonts w:hint="eastAsia" w:ascii="宋体" w:hAnsi="宋体" w:eastAsia="宋体" w:cs="宋体"/>
          <w:b/>
          <w:color w:val="auto"/>
          <w:sz w:val="21"/>
          <w:szCs w:val="21"/>
          <w:highlight w:val="none"/>
          <w:lang w:val="en-US" w:eastAsia="zh-CN"/>
        </w:rPr>
        <w:t>明细</w:t>
      </w:r>
      <w:r>
        <w:rPr>
          <w:rStyle w:val="43"/>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3"/>
          <w:rFonts w:hint="eastAsia" w:ascii="宋体" w:hAnsi="宋体" w:eastAsia="宋体" w:cs="宋体"/>
          <w:b/>
          <w:color w:val="auto"/>
          <w:sz w:val="21"/>
          <w:szCs w:val="21"/>
          <w:highlight w:val="none"/>
        </w:rPr>
        <w:t>；</w:t>
      </w:r>
    </w:p>
    <w:p>
      <w:pPr>
        <w:pStyle w:val="34"/>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3"/>
          <w:rFonts w:hint="eastAsia" w:ascii="宋体" w:hAnsi="宋体" w:eastAsia="宋体" w:cs="宋体"/>
          <w:b/>
          <w:color w:val="auto"/>
          <w:sz w:val="21"/>
          <w:szCs w:val="21"/>
          <w:highlight w:val="none"/>
        </w:rPr>
        <w:t>2、投标人应该如实填写，如投标人所投产品中无小型</w:t>
      </w:r>
      <w:r>
        <w:rPr>
          <w:rStyle w:val="43"/>
          <w:rFonts w:hint="eastAsia" w:ascii="宋体" w:hAnsi="宋体" w:eastAsia="宋体" w:cs="宋体"/>
          <w:b/>
          <w:color w:val="auto"/>
          <w:sz w:val="21"/>
          <w:szCs w:val="21"/>
          <w:highlight w:val="none"/>
          <w:lang w:val="en-US" w:eastAsia="zh-CN"/>
        </w:rPr>
        <w:t>或</w:t>
      </w:r>
      <w:r>
        <w:rPr>
          <w:rStyle w:val="43"/>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6" w:name="_Toc13970"/>
      <w:bookmarkStart w:id="217" w:name="_Toc16718"/>
      <w:r>
        <w:rPr>
          <w:rFonts w:hint="eastAsia"/>
          <w:color w:val="auto"/>
          <w:highlight w:val="none"/>
          <w:lang w:val="en-US" w:eastAsia="zh-CN"/>
        </w:rPr>
        <w:t>四、节能产品或环境标志产品明细表</w:t>
      </w:r>
      <w:bookmarkEnd w:id="216"/>
      <w:bookmarkEnd w:id="217"/>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31"/>
        <w:rPr>
          <w:rFonts w:hint="eastAsia"/>
          <w:color w:val="auto"/>
          <w:highlight w:val="none"/>
        </w:rPr>
      </w:pPr>
    </w:p>
    <w:p>
      <w:pPr>
        <w:tabs>
          <w:tab w:val="left" w:pos="284"/>
        </w:tabs>
        <w:spacing w:after="0"/>
        <w:rPr>
          <w:rStyle w:val="43"/>
          <w:rFonts w:hint="eastAsia"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w:t>
      </w:r>
      <w:r>
        <w:rPr>
          <w:rStyle w:val="43"/>
          <w:rFonts w:hint="eastAsia" w:ascii="宋体" w:hAnsi="宋体" w:eastAsia="宋体" w:cs="宋体"/>
          <w:b/>
          <w:color w:val="auto"/>
          <w:sz w:val="21"/>
          <w:szCs w:val="21"/>
          <w:highlight w:val="none"/>
          <w:lang w:val="en-US" w:eastAsia="zh-CN"/>
        </w:rPr>
        <w:t>/</w:t>
      </w:r>
      <w:r>
        <w:rPr>
          <w:rStyle w:val="43"/>
          <w:rFonts w:hint="eastAsia" w:ascii="宋体" w:hAnsi="宋体" w:eastAsia="宋体" w:cs="宋体"/>
          <w:b/>
          <w:color w:val="auto"/>
          <w:sz w:val="21"/>
          <w:szCs w:val="21"/>
          <w:highlight w:val="none"/>
        </w:rPr>
        <w:t>服务报价</w:t>
      </w:r>
      <w:r>
        <w:rPr>
          <w:rStyle w:val="43"/>
          <w:rFonts w:hint="eastAsia" w:ascii="宋体" w:hAnsi="宋体" w:eastAsia="宋体" w:cs="宋体"/>
          <w:b/>
          <w:color w:val="auto"/>
          <w:sz w:val="21"/>
          <w:szCs w:val="21"/>
          <w:highlight w:val="none"/>
          <w:lang w:val="en-US" w:eastAsia="zh-CN"/>
        </w:rPr>
        <w:t>明细</w:t>
      </w:r>
      <w:r>
        <w:rPr>
          <w:rStyle w:val="43"/>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3"/>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17482"/>
      <w:bookmarkStart w:id="219" w:name="_Toc10853"/>
      <w:r>
        <w:rPr>
          <w:rFonts w:hint="eastAsia"/>
          <w:color w:val="auto"/>
          <w:highlight w:val="none"/>
          <w:lang w:val="en-US" w:eastAsia="zh-CN"/>
        </w:rPr>
        <w:t>五、中小企业声明函</w:t>
      </w:r>
      <w:bookmarkEnd w:id="218"/>
      <w:bookmarkEnd w:id="219"/>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9"/>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9"/>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9"/>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7959"/>
      <w:bookmarkStart w:id="221" w:name="_Toc8560"/>
      <w:r>
        <w:rPr>
          <w:rFonts w:hint="eastAsia"/>
          <w:color w:val="auto"/>
          <w:highlight w:val="none"/>
          <w:lang w:val="en-US" w:eastAsia="zh-CN"/>
        </w:rPr>
        <w:t>六、残疾人福利性单位声明函</w:t>
      </w:r>
      <w:bookmarkEnd w:id="220"/>
      <w:bookmarkEnd w:id="221"/>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2" w:name="_Toc508960153"/>
      <w:bookmarkStart w:id="223" w:name="_Toc30277"/>
      <w:bookmarkStart w:id="224" w:name="_Toc508958703"/>
      <w:bookmarkStart w:id="225" w:name="_Toc17761"/>
      <w:bookmarkStart w:id="226" w:name="_Toc30247"/>
      <w:bookmarkStart w:id="227" w:name="_Toc510171693"/>
      <w:bookmarkStart w:id="228" w:name="_Toc509479530"/>
      <w:bookmarkStart w:id="229" w:name="_Toc20910"/>
      <w:bookmarkStart w:id="230" w:name="_Toc509844825"/>
      <w:bookmarkStart w:id="231" w:name="_Toc509927455"/>
      <w:bookmarkStart w:id="232" w:name="_Toc508898066"/>
      <w:bookmarkStart w:id="233" w:name="_Toc2297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9"/>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34" w:name="_Toc5447"/>
      <w:bookmarkStart w:id="235" w:name="_Toc28527"/>
      <w:bookmarkStart w:id="236" w:name="_Toc509844826"/>
      <w:bookmarkStart w:id="237" w:name="_Toc509479531"/>
      <w:bookmarkStart w:id="238" w:name="_Toc510171694"/>
      <w:bookmarkStart w:id="239" w:name="_Toc26216"/>
      <w:bookmarkStart w:id="240" w:name="_Toc508958704"/>
      <w:bookmarkStart w:id="241" w:name="_Toc508960154"/>
      <w:bookmarkStart w:id="242" w:name="_Toc21053"/>
      <w:bookmarkStart w:id="243" w:name="_Toc508898067"/>
      <w:bookmarkStart w:id="244" w:name="_Toc31520"/>
      <w:bookmarkStart w:id="245" w:name="_Toc509927456"/>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46" w:name="_Toc510171695"/>
      <w:bookmarkStart w:id="247" w:name="_Toc509927457"/>
      <w:bookmarkStart w:id="248" w:name="_Toc28626"/>
      <w:bookmarkStart w:id="249" w:name="_Toc28126"/>
      <w:bookmarkStart w:id="250" w:name="_Toc509844827"/>
      <w:bookmarkStart w:id="251" w:name="_Toc14653"/>
      <w:bookmarkStart w:id="252" w:name="_Toc508958705"/>
      <w:bookmarkStart w:id="253" w:name="_Toc9148"/>
      <w:bookmarkStart w:id="254" w:name="_Toc508898068"/>
      <w:bookmarkStart w:id="255" w:name="_Toc509479532"/>
      <w:bookmarkStart w:id="256" w:name="_Toc24848"/>
      <w:bookmarkStart w:id="257" w:name="_Toc508960155"/>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8" w:name="_Toc28044"/>
      <w:bookmarkStart w:id="259" w:name="_Toc22981"/>
      <w:bookmarkStart w:id="260" w:name="_Toc508898069"/>
      <w:bookmarkStart w:id="261" w:name="_Toc508960156"/>
      <w:bookmarkStart w:id="262" w:name="_Toc28686"/>
      <w:bookmarkStart w:id="263" w:name="_Toc509927458"/>
      <w:bookmarkStart w:id="264" w:name="_Toc508958706"/>
      <w:bookmarkStart w:id="265" w:name="_Toc7858"/>
      <w:bookmarkStart w:id="266" w:name="_Toc509479533"/>
      <w:bookmarkStart w:id="267" w:name="_Toc510171696"/>
      <w:bookmarkStart w:id="268" w:name="_Toc509844828"/>
      <w:bookmarkStart w:id="269" w:name="_Toc9837"/>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0" w:name="_Toc509927459"/>
      <w:bookmarkStart w:id="271" w:name="_Toc5289"/>
      <w:bookmarkStart w:id="272" w:name="_Toc510171697"/>
      <w:bookmarkStart w:id="273" w:name="_Toc508958707"/>
      <w:bookmarkStart w:id="274" w:name="_Toc509479534"/>
      <w:bookmarkStart w:id="275" w:name="_Toc509844829"/>
      <w:bookmarkStart w:id="276" w:name="_Toc508898070"/>
      <w:bookmarkStart w:id="277" w:name="_Toc18843"/>
      <w:bookmarkStart w:id="278" w:name="_Toc50896015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79" w:name="_Toc6471"/>
      <w:bookmarkStart w:id="280" w:name="_Toc23948"/>
      <w:r>
        <w:rPr>
          <w:rFonts w:hint="eastAsia"/>
          <w:color w:val="auto"/>
          <w:highlight w:val="none"/>
          <w:lang w:val="en-US" w:eastAsia="zh-CN"/>
        </w:rPr>
        <w:t>第二章商务文件</w:t>
      </w:r>
      <w:bookmarkEnd w:id="279"/>
      <w:bookmarkEnd w:id="280"/>
    </w:p>
    <w:bookmarkEnd w:id="209"/>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1" w:name="_Toc23787"/>
      <w:bookmarkStart w:id="282" w:name="_Toc1952"/>
      <w:r>
        <w:rPr>
          <w:rFonts w:hint="eastAsia"/>
          <w:color w:val="auto"/>
          <w:highlight w:val="none"/>
          <w:lang w:val="en-US" w:eastAsia="zh-CN"/>
        </w:rPr>
        <w:t>一、投标函</w:t>
      </w:r>
      <w:bookmarkEnd w:id="281"/>
      <w:bookmarkEnd w:id="282"/>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3" w:name="_Toc15719"/>
      <w:bookmarkStart w:id="284" w:name="_Toc28616"/>
      <w:r>
        <w:rPr>
          <w:rFonts w:hint="eastAsia"/>
          <w:color w:val="auto"/>
          <w:highlight w:val="none"/>
          <w:lang w:val="en-US" w:eastAsia="zh-CN"/>
        </w:rPr>
        <w:t>二、资格申明函</w:t>
      </w:r>
      <w:bookmarkEnd w:id="283"/>
      <w:bookmarkEnd w:id="284"/>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9"/>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9"/>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9"/>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9"/>
        <w:rPr>
          <w:color w:val="auto"/>
          <w:highlight w:val="none"/>
        </w:rPr>
      </w:pPr>
    </w:p>
    <w:p>
      <w:pPr>
        <w:rPr>
          <w:color w:val="auto"/>
          <w:highlight w:val="none"/>
        </w:rPr>
      </w:pPr>
      <w:bookmarkStart w:id="285"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6" w:name="_Toc21273"/>
      <w:bookmarkStart w:id="287" w:name="_Toc32742"/>
      <w:r>
        <w:rPr>
          <w:rFonts w:hint="eastAsia"/>
          <w:color w:val="auto"/>
          <w:highlight w:val="none"/>
          <w:lang w:val="en-US" w:eastAsia="zh-CN"/>
        </w:rPr>
        <w:t>三、在参与政府采购活动前三年未有重大违法记录、没有不良信用记录的声明函</w:t>
      </w:r>
      <w:bookmarkEnd w:id="286"/>
      <w:bookmarkEnd w:id="287"/>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8" w:name="_Toc3894"/>
      <w:bookmarkStart w:id="289" w:name="_Toc13243"/>
      <w:r>
        <w:rPr>
          <w:rFonts w:hint="eastAsia"/>
          <w:color w:val="auto"/>
          <w:highlight w:val="none"/>
          <w:lang w:val="en-US" w:eastAsia="zh-CN"/>
        </w:rPr>
        <w:t>四、法定代表人证明书</w:t>
      </w:r>
      <w:bookmarkEnd w:id="288"/>
      <w:bookmarkEnd w:id="289"/>
    </w:p>
    <w:p>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0" w:name="_Toc5918"/>
      <w:bookmarkStart w:id="291" w:name="_Toc5626"/>
      <w:r>
        <w:rPr>
          <w:rFonts w:hint="eastAsia"/>
          <w:color w:val="auto"/>
          <w:highlight w:val="none"/>
          <w:lang w:val="en-US" w:eastAsia="zh-CN"/>
        </w:rPr>
        <w:t>五、法定代表人授权书</w:t>
      </w:r>
      <w:bookmarkEnd w:id="290"/>
      <w:bookmarkEnd w:id="291"/>
    </w:p>
    <w:p>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7"/>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2"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3" w:name="_Toc24013"/>
      <w:bookmarkStart w:id="294" w:name="_Toc18562"/>
      <w:r>
        <w:rPr>
          <w:rFonts w:hint="eastAsia"/>
          <w:color w:val="auto"/>
          <w:highlight w:val="none"/>
          <w:lang w:val="en-US" w:eastAsia="zh-CN"/>
        </w:rPr>
        <w:t>六、投标人基本情况说明</w:t>
      </w:r>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9"/>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95" w:name="_Toc28067"/>
      <w:bookmarkStart w:id="296" w:name="_Toc29995"/>
      <w:bookmarkStart w:id="297" w:name="_Toc1511"/>
      <w:bookmarkStart w:id="298" w:name="_Toc4926"/>
      <w:bookmarkStart w:id="299" w:name="_Toc17470"/>
      <w:bookmarkStart w:id="300" w:name="_Toc24210"/>
      <w:bookmarkStart w:id="301" w:name="_Toc5919"/>
      <w:r>
        <w:rPr>
          <w:rFonts w:hint="eastAsia"/>
          <w:color w:val="auto"/>
          <w:highlight w:val="none"/>
          <w:lang w:val="en-US" w:eastAsia="zh-CN"/>
        </w:rPr>
        <w:t>七、</w:t>
      </w:r>
      <w:r>
        <w:rPr>
          <w:rFonts w:hint="eastAsia"/>
          <w:color w:val="auto"/>
          <w:highlight w:val="none"/>
        </w:rPr>
        <w:t>营业执照</w:t>
      </w:r>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2" w:name="_Toc21638"/>
      <w:bookmarkStart w:id="303" w:name="_Toc29439"/>
      <w:r>
        <w:rPr>
          <w:rFonts w:hint="eastAsia"/>
          <w:color w:val="auto"/>
          <w:highlight w:val="none"/>
          <w:lang w:val="en-US" w:eastAsia="zh-CN"/>
        </w:rPr>
        <w:t>八、</w:t>
      </w:r>
      <w:r>
        <w:rPr>
          <w:rFonts w:hint="eastAsia"/>
          <w:color w:val="auto"/>
          <w:highlight w:val="none"/>
        </w:rPr>
        <w:t>特殊资格要求证明文件</w:t>
      </w:r>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3341"/>
      <w:bookmarkStart w:id="305" w:name="_Toc14263"/>
      <w:r>
        <w:rPr>
          <w:rFonts w:hint="eastAsia"/>
          <w:color w:val="auto"/>
          <w:highlight w:val="none"/>
          <w:lang w:val="en-US" w:eastAsia="zh-CN"/>
        </w:rPr>
        <w:t>九、</w:t>
      </w:r>
      <w:r>
        <w:rPr>
          <w:rFonts w:hint="eastAsia"/>
          <w:color w:val="auto"/>
          <w:highlight w:val="none"/>
        </w:rPr>
        <w:t>承诺书</w:t>
      </w:r>
      <w:bookmarkEnd w:id="304"/>
      <w:bookmarkEnd w:id="305"/>
    </w:p>
    <w:p>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7"/>
        <w:spacing w:line="420" w:lineRule="exact"/>
        <w:ind w:firstLine="455"/>
        <w:rPr>
          <w:rFonts w:hint="eastAsia" w:ascii="宋体" w:hAnsi="宋体" w:eastAsia="宋体" w:cs="宋体"/>
          <w:b w:val="0"/>
          <w:bCs w:val="0"/>
          <w:color w:val="auto"/>
          <w:sz w:val="21"/>
          <w:szCs w:val="21"/>
          <w:highlight w:val="none"/>
        </w:rPr>
      </w:pPr>
      <w:bookmarkStart w:id="30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hAnsi="宋体" w:eastAsia="宋体" w:cs="宋体"/>
          <w:b w:val="0"/>
          <w:bCs w:val="0"/>
          <w:color w:val="auto"/>
          <w:sz w:val="21"/>
          <w:szCs w:val="21"/>
          <w:highlight w:val="none"/>
        </w:rPr>
        <w:cr/>
      </w:r>
    </w:p>
    <w:p>
      <w:pPr>
        <w:pStyle w:val="37"/>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13955"/>
      <w:bookmarkStart w:id="308" w:name="_Toc13653"/>
      <w:r>
        <w:rPr>
          <w:rFonts w:hint="eastAsia"/>
          <w:color w:val="auto"/>
          <w:highlight w:val="none"/>
          <w:lang w:val="en-US" w:eastAsia="zh-CN"/>
        </w:rPr>
        <w:t>十、招标代理服务费承诺书</w:t>
      </w:r>
      <w:bookmarkEnd w:id="307"/>
      <w:bookmarkEnd w:id="308"/>
    </w:p>
    <w:p>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9" w:name="_Toc12598"/>
      <w:bookmarkStart w:id="310" w:name="_Toc1975"/>
      <w:r>
        <w:rPr>
          <w:rFonts w:hint="eastAsia"/>
          <w:color w:val="auto"/>
          <w:highlight w:val="none"/>
          <w:lang w:val="en-US" w:eastAsia="zh-CN"/>
        </w:rPr>
        <w:t>十一、</w:t>
      </w:r>
      <w:r>
        <w:rPr>
          <w:rFonts w:hint="eastAsia"/>
          <w:color w:val="auto"/>
          <w:highlight w:val="none"/>
        </w:rPr>
        <w:t>商务条款偏离表</w:t>
      </w:r>
      <w:bookmarkEnd w:id="309"/>
      <w:bookmarkEnd w:id="310"/>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1"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2" w:name="_Toc25391"/>
      <w:bookmarkStart w:id="313" w:name="_Toc19276"/>
      <w:r>
        <w:rPr>
          <w:rFonts w:hint="eastAsia"/>
          <w:color w:val="auto"/>
          <w:highlight w:val="none"/>
          <w:lang w:val="en-US" w:eastAsia="zh-CN"/>
        </w:rPr>
        <w:t>十二、</w:t>
      </w:r>
      <w:r>
        <w:rPr>
          <w:rFonts w:hint="eastAsia"/>
          <w:color w:val="auto"/>
          <w:highlight w:val="none"/>
        </w:rPr>
        <w:t>业绩表</w:t>
      </w:r>
      <w:bookmarkEnd w:id="312"/>
      <w:bookmarkEnd w:id="313"/>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4"/>
        <w:spacing w:after="0"/>
        <w:rPr>
          <w:rFonts w:ascii="宋体" w:hAnsi="宋体" w:eastAsia="宋体"/>
          <w:color w:val="auto"/>
          <w:sz w:val="21"/>
          <w:szCs w:val="21"/>
          <w:highlight w:val="none"/>
        </w:rPr>
      </w:pPr>
    </w:p>
    <w:p>
      <w:pPr>
        <w:pStyle w:val="34"/>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9"/>
        <w:rPr>
          <w:rFonts w:hint="eastAsia"/>
          <w:color w:val="auto"/>
          <w:highlight w:val="none"/>
        </w:rPr>
      </w:pPr>
    </w:p>
    <w:p>
      <w:pPr>
        <w:pStyle w:val="9"/>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14" w:name="_Toc14688"/>
      <w:bookmarkStart w:id="315" w:name="_Toc20520"/>
      <w:r>
        <w:rPr>
          <w:rFonts w:hint="eastAsia"/>
          <w:color w:val="auto"/>
          <w:highlight w:val="none"/>
          <w:lang w:val="en-US" w:eastAsia="zh-CN"/>
        </w:rPr>
        <w:t>第三章技术文件</w:t>
      </w:r>
      <w:bookmarkEnd w:id="311"/>
      <w:bookmarkEnd w:id="314"/>
      <w:bookmarkEnd w:id="31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6" w:name="_Toc13097"/>
      <w:bookmarkStart w:id="317" w:name="_Toc7092"/>
      <w:r>
        <w:rPr>
          <w:rFonts w:hint="eastAsia"/>
          <w:color w:val="auto"/>
          <w:highlight w:val="none"/>
          <w:lang w:val="en-US" w:eastAsia="zh-CN"/>
        </w:rPr>
        <w:t>一、</w:t>
      </w:r>
      <w:r>
        <w:rPr>
          <w:rFonts w:hint="eastAsia"/>
          <w:color w:val="auto"/>
          <w:highlight w:val="none"/>
        </w:rPr>
        <w:t>技术规格偏离表</w:t>
      </w:r>
      <w:bookmarkEnd w:id="316"/>
      <w:bookmarkEnd w:id="317"/>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eastAsia="宋体"/>
          <w:color w:val="auto"/>
          <w:sz w:val="21"/>
          <w:szCs w:val="21"/>
          <w:highlight w:val="none"/>
        </w:rPr>
        <w:br w:type="page"/>
      </w:r>
      <w:bookmarkEnd w:id="318"/>
      <w:bookmarkStart w:id="319" w:name="_Toc26078"/>
      <w:bookmarkStart w:id="320" w:name="_Toc18668"/>
      <w:bookmarkStart w:id="321" w:name="_Toc6080"/>
      <w:bookmarkStart w:id="322" w:name="_Toc1274"/>
      <w:bookmarkStart w:id="323" w:name="_Toc4827"/>
      <w:bookmarkStart w:id="324" w:name="_Toc4464"/>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5" w:name="_Toc13461"/>
      <w:bookmarkStart w:id="326" w:name="_Toc10734"/>
      <w:r>
        <w:rPr>
          <w:rFonts w:hint="eastAsia"/>
          <w:color w:val="auto"/>
          <w:highlight w:val="none"/>
          <w:lang w:val="en-US" w:eastAsia="zh-CN"/>
        </w:rPr>
        <w:t>二、</w:t>
      </w:r>
      <w:r>
        <w:rPr>
          <w:rFonts w:hint="eastAsia"/>
          <w:color w:val="auto"/>
          <w:highlight w:val="none"/>
        </w:rPr>
        <w:t>重要技术参数（▲）响应表</w:t>
      </w:r>
      <w:bookmarkEnd w:id="319"/>
      <w:bookmarkEnd w:id="320"/>
      <w:bookmarkEnd w:id="321"/>
      <w:bookmarkEnd w:id="322"/>
      <w:bookmarkEnd w:id="323"/>
      <w:bookmarkEnd w:id="324"/>
      <w:bookmarkEnd w:id="325"/>
      <w:bookmarkEnd w:id="326"/>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27" w:name="_Toc29642"/>
            <w:bookmarkStart w:id="328" w:name="_Toc29560"/>
            <w:bookmarkStart w:id="329" w:name="_Toc27079"/>
            <w:r>
              <w:rPr>
                <w:rFonts w:hint="eastAsia" w:ascii="宋体" w:hAnsi="宋体" w:eastAsia="宋体" w:cs="宋体"/>
                <w:b w:val="0"/>
                <w:bCs w:val="0"/>
                <w:color w:val="auto"/>
                <w:sz w:val="21"/>
                <w:szCs w:val="21"/>
                <w:highlight w:val="none"/>
                <w:lang w:val="en-US" w:eastAsia="zh-CN"/>
              </w:rPr>
              <w:t>序号</w:t>
            </w:r>
            <w:bookmarkEnd w:id="327"/>
            <w:bookmarkEnd w:id="328"/>
            <w:bookmarkEnd w:id="329"/>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0" w:name="_Toc22448"/>
            <w:bookmarkStart w:id="331" w:name="_Toc26124"/>
            <w:bookmarkStart w:id="332" w:name="_Toc1016"/>
            <w:bookmarkStart w:id="333" w:name="_Toc16872"/>
            <w:bookmarkStart w:id="334" w:name="_Toc15903"/>
            <w:bookmarkStart w:id="335" w:name="_Toc12049"/>
            <w:bookmarkStart w:id="336" w:name="_Toc14815"/>
            <w:bookmarkStart w:id="337" w:name="_Toc10045"/>
            <w:bookmarkStart w:id="338" w:name="_Toc4304"/>
            <w:bookmarkStart w:id="339" w:name="_Toc15368"/>
            <w:bookmarkStart w:id="340" w:name="_Toc27090"/>
            <w:bookmarkStart w:id="341" w:name="_Toc2700"/>
            <w:bookmarkStart w:id="342" w:name="_Toc21739"/>
            <w:bookmarkStart w:id="343" w:name="_Toc22917"/>
            <w:bookmarkStart w:id="344" w:name="_Toc8312"/>
            <w:bookmarkStart w:id="345" w:name="_Toc19251"/>
            <w:bookmarkStart w:id="346" w:name="_Toc24662"/>
            <w:bookmarkStart w:id="347" w:name="_Toc32531"/>
            <w:bookmarkStart w:id="348" w:name="_Toc22879"/>
            <w:bookmarkStart w:id="349" w:name="_Toc27442"/>
            <w:bookmarkStart w:id="350" w:name="_Toc7333"/>
            <w:bookmarkStart w:id="351" w:name="_Toc8490"/>
            <w:bookmarkStart w:id="352" w:name="_Toc2180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3" w:name="_Toc22153"/>
            <w:bookmarkStart w:id="354" w:name="_Toc10122"/>
            <w:bookmarkStart w:id="355" w:name="_Toc2408"/>
            <w:r>
              <w:rPr>
                <w:rFonts w:hint="eastAsia" w:ascii="宋体" w:hAnsi="宋体" w:eastAsia="宋体" w:cs="宋体"/>
                <w:b w:val="0"/>
                <w:bCs w:val="0"/>
                <w:color w:val="auto"/>
                <w:kern w:val="0"/>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56" w:name="_Toc27285"/>
            <w:bookmarkStart w:id="357" w:name="_Toc29838"/>
            <w:bookmarkStart w:id="358" w:name="_Toc16003"/>
            <w:bookmarkStart w:id="359" w:name="_Toc5563"/>
            <w:bookmarkStart w:id="360" w:name="_Toc17296"/>
            <w:bookmarkStart w:id="361" w:name="_Toc1330"/>
            <w:bookmarkStart w:id="362" w:name="_Toc1912"/>
            <w:bookmarkStart w:id="363" w:name="_Toc27185"/>
            <w:bookmarkStart w:id="364" w:name="_Toc5992"/>
            <w:bookmarkStart w:id="365" w:name="_Toc3701"/>
            <w:bookmarkStart w:id="366" w:name="_Toc17642"/>
            <w:bookmarkStart w:id="367" w:name="_Toc20139"/>
            <w:bookmarkStart w:id="368" w:name="_Toc20820"/>
            <w:r>
              <w:rPr>
                <w:rFonts w:hint="eastAsia" w:ascii="宋体" w:hAnsi="宋体" w:eastAsia="宋体" w:cs="宋体"/>
                <w:b w:val="0"/>
                <w:bCs w:val="0"/>
                <w:color w:val="auto"/>
                <w:sz w:val="21"/>
                <w:szCs w:val="21"/>
                <w:highlight w:val="none"/>
                <w:lang w:val="en-US" w:eastAsia="zh-CN"/>
              </w:rPr>
              <w:t>说明</w:t>
            </w:r>
            <w:bookmarkEnd w:id="356"/>
            <w:bookmarkEnd w:id="357"/>
            <w:bookmarkEnd w:id="358"/>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9" w:name="_Toc19105"/>
            <w:bookmarkStart w:id="370" w:name="_Toc3520"/>
            <w:bookmarkStart w:id="371" w:name="_Toc857"/>
            <w:r>
              <w:rPr>
                <w:rFonts w:hint="eastAsia" w:ascii="宋体" w:hAnsi="宋体" w:eastAsia="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4"/>
        <w:spacing w:after="0" w:line="360" w:lineRule="auto"/>
        <w:rPr>
          <w:rFonts w:ascii="宋体" w:hAnsi="宋体" w:eastAsia="宋体"/>
          <w:color w:val="auto"/>
          <w:sz w:val="21"/>
          <w:szCs w:val="21"/>
          <w:highlight w:val="none"/>
        </w:rPr>
      </w:pP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4"/>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4"/>
        <w:spacing w:after="0" w:line="360" w:lineRule="auto"/>
        <w:rPr>
          <w:rFonts w:ascii="宋体" w:hAnsi="宋体" w:eastAsia="宋体"/>
          <w:color w:val="auto"/>
          <w:sz w:val="21"/>
          <w:szCs w:val="21"/>
          <w:highlight w:val="none"/>
        </w:rPr>
      </w:pPr>
    </w:p>
    <w:p>
      <w:pPr>
        <w:pStyle w:val="34"/>
        <w:numPr>
          <w:ilvl w:val="0"/>
          <w:numId w:val="15"/>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2" w:name="_Toc27139"/>
      <w:bookmarkStart w:id="373" w:name="_Toc19349"/>
      <w:r>
        <w:rPr>
          <w:rFonts w:hint="eastAsia"/>
          <w:color w:val="auto"/>
          <w:highlight w:val="none"/>
          <w:lang w:val="en-US" w:eastAsia="zh-CN"/>
        </w:rPr>
        <w:t>三、</w:t>
      </w:r>
      <w:r>
        <w:rPr>
          <w:rFonts w:hint="eastAsia"/>
          <w:color w:val="auto"/>
          <w:highlight w:val="none"/>
        </w:rPr>
        <w:t>实质性条款（标记★）投标响应表</w:t>
      </w:r>
      <w:bookmarkEnd w:id="372"/>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4"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73"/>
      <w:bookmarkEnd w:id="374"/>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5" w:name="_Toc26880"/>
      <w:bookmarkStart w:id="376" w:name="_Toc16328"/>
      <w:r>
        <w:rPr>
          <w:rFonts w:hint="eastAsia"/>
          <w:color w:val="auto"/>
          <w:highlight w:val="none"/>
          <w:lang w:val="en-US" w:eastAsia="zh-CN"/>
        </w:rPr>
        <w:t>五、项目负责人及团队成员资料表</w:t>
      </w:r>
      <w:bookmarkEnd w:id="375"/>
      <w:bookmarkEnd w:id="37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9"/>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77" w:name="_Toc15431"/>
      <w:bookmarkStart w:id="378" w:name="_Toc26980"/>
      <w:r>
        <w:rPr>
          <w:rFonts w:hint="eastAsia"/>
          <w:color w:val="auto"/>
          <w:highlight w:val="none"/>
          <w:lang w:val="en-US" w:eastAsia="zh-CN"/>
        </w:rPr>
        <w:t>六、投标货物明细一览表</w:t>
      </w:r>
      <w:bookmarkEnd w:id="377"/>
      <w:bookmarkEnd w:id="378"/>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9" w:name="_Toc6961"/>
      <w:r>
        <w:rPr>
          <w:rFonts w:hint="eastAsia"/>
          <w:color w:val="auto"/>
          <w:highlight w:val="none"/>
          <w:lang w:val="en-US" w:eastAsia="zh-CN"/>
        </w:rPr>
        <w:t>七、政府采购履约担保函</w:t>
      </w:r>
      <w:bookmarkEnd w:id="379"/>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9"/>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0" w:name="_Toc26782"/>
      <w:bookmarkStart w:id="381" w:name="_Toc26772"/>
      <w:r>
        <w:rPr>
          <w:rFonts w:hint="eastAsia"/>
          <w:color w:val="auto"/>
          <w:highlight w:val="none"/>
          <w:lang w:val="en-US" w:eastAsia="zh-CN"/>
        </w:rPr>
        <w:t>第四章唱标信封（单独封装）</w:t>
      </w:r>
      <w:bookmarkEnd w:id="380"/>
      <w:bookmarkEnd w:id="38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82"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9"/>
        <w:rPr>
          <w:rFonts w:hint="eastAsia"/>
          <w:color w:val="auto"/>
          <w:highlight w:val="none"/>
        </w:rPr>
      </w:pPr>
    </w:p>
    <w:p>
      <w:pPr>
        <w:rPr>
          <w:rFonts w:hint="eastAsia"/>
          <w:color w:val="auto"/>
          <w:highlight w:val="none"/>
        </w:rPr>
      </w:pPr>
    </w:p>
    <w:p>
      <w:pPr>
        <w:pStyle w:val="9"/>
        <w:rPr>
          <w:rFonts w:hint="eastAsia"/>
          <w:color w:val="auto"/>
          <w:highlight w:val="none"/>
        </w:rPr>
      </w:pPr>
    </w:p>
    <w:p>
      <w:pPr>
        <w:rPr>
          <w:rFonts w:hint="eastAsia"/>
          <w:color w:val="auto"/>
          <w:highlight w:val="none"/>
        </w:rPr>
      </w:pPr>
    </w:p>
    <w:p>
      <w:pPr>
        <w:pStyle w:val="9"/>
        <w:rPr>
          <w:rFonts w:hint="eastAsia"/>
          <w:color w:val="auto"/>
          <w:highlight w:val="none"/>
        </w:rPr>
      </w:pPr>
    </w:p>
    <w:p>
      <w:pPr>
        <w:rPr>
          <w:rFonts w:hint="eastAsia"/>
          <w:color w:val="auto"/>
          <w:highlight w:val="none"/>
        </w:rPr>
      </w:pPr>
    </w:p>
    <w:p>
      <w:pPr>
        <w:pStyle w:val="9"/>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3" w:name="_Toc22736"/>
      <w:bookmarkStart w:id="384" w:name="_Toc2710"/>
      <w:r>
        <w:rPr>
          <w:rFonts w:hint="eastAsia"/>
          <w:color w:val="auto"/>
          <w:highlight w:val="none"/>
          <w:lang w:val="en-US" w:eastAsia="zh-CN"/>
        </w:rPr>
        <w:t>第五章联合体共同投标协议书（如有需要）</w:t>
      </w:r>
      <w:bookmarkEnd w:id="383"/>
      <w:bookmarkEnd w:id="384"/>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82"/>
    <w:p>
      <w:pPr>
        <w:pStyle w:val="9"/>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9"/>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9"/>
        <w:rPr>
          <w:color w:val="auto"/>
          <w:highlight w:val="none"/>
        </w:rPr>
      </w:pPr>
    </w:p>
    <w:p>
      <w:pPr>
        <w:spacing w:after="0" w:line="360" w:lineRule="auto"/>
        <w:rPr>
          <w:color w:val="auto"/>
          <w:highlight w:val="none"/>
        </w:rPr>
      </w:pPr>
    </w:p>
    <w:p>
      <w:pPr>
        <w:pStyle w:val="9"/>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4"/>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3"/>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Songti SC Regular">
    <w:altName w:val="宋体"/>
    <w:panose1 w:val="0201080004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snapToGrid w:val="0"/>
        <w:rPr>
          <w:rFonts w:hint="eastAsia" w:eastAsia="微软雅黑"/>
          <w:lang w:eastAsia="zh-CN"/>
        </w:rPr>
      </w:pPr>
      <w:r>
        <w:rPr>
          <w:rStyle w:val="30"/>
        </w:rPr>
        <w:footnoteRef/>
      </w:r>
      <w:r>
        <w:t xml:space="preserve"> </w:t>
      </w:r>
      <w:r>
        <w:rPr>
          <w:rFonts w:hint="eastAsia"/>
          <w:lang w:eastAsia="zh-CN"/>
        </w:rPr>
        <w:t>从业人员、营业人员、资产总额填报上一年度数据，无上一年度数据的新成立企业可不填报。</w:t>
      </w:r>
    </w:p>
  </w:footnote>
  <w:footnote w:id="1">
    <w:p>
      <w:pPr>
        <w:pStyle w:val="20"/>
        <w:snapToGrid w:val="0"/>
      </w:pPr>
      <w:r>
        <w:rPr>
          <w:rStyle w:val="30"/>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E3EB273"/>
    <w:multiLevelType w:val="singleLevel"/>
    <w:tmpl w:val="AE3EB273"/>
    <w:lvl w:ilvl="0" w:tentative="0">
      <w:start w:val="1"/>
      <w:numFmt w:val="decimal"/>
      <w:lvlText w:val="%1."/>
      <w:lvlJc w:val="left"/>
      <w:pPr>
        <w:tabs>
          <w:tab w:val="left" w:pos="312"/>
        </w:tabs>
      </w:p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EF2D6B9C"/>
    <w:multiLevelType w:val="singleLevel"/>
    <w:tmpl w:val="EF2D6B9C"/>
    <w:lvl w:ilvl="0" w:tentative="0">
      <w:start w:val="1"/>
      <w:numFmt w:val="decimal"/>
      <w:lvlText w:val="%1."/>
      <w:lvlJc w:val="left"/>
      <w:pPr>
        <w:tabs>
          <w:tab w:val="left" w:pos="312"/>
        </w:tabs>
      </w:pPr>
    </w:lvl>
  </w:abstractNum>
  <w:abstractNum w:abstractNumId="6">
    <w:nsid w:val="F73DC5D7"/>
    <w:multiLevelType w:val="singleLevel"/>
    <w:tmpl w:val="F73DC5D7"/>
    <w:lvl w:ilvl="0" w:tentative="0">
      <w:start w:val="1"/>
      <w:numFmt w:val="decimal"/>
      <w:suff w:val="nothing"/>
      <w:lvlText w:val="（%1）"/>
      <w:lvlJc w:val="left"/>
    </w:lvl>
  </w:abstractNum>
  <w:abstractNum w:abstractNumId="7">
    <w:nsid w:val="FFF6A31B"/>
    <w:multiLevelType w:val="singleLevel"/>
    <w:tmpl w:val="FFF6A31B"/>
    <w:lvl w:ilvl="0" w:tentative="0">
      <w:start w:val="1"/>
      <w:numFmt w:val="decimal"/>
      <w:lvlText w:val="%1."/>
      <w:lvlJc w:val="left"/>
      <w:pPr>
        <w:tabs>
          <w:tab w:val="left" w:pos="312"/>
        </w:tabs>
      </w:pPr>
    </w:lvl>
  </w:abstractNum>
  <w:abstractNum w:abstractNumId="8">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206CABF7"/>
    <w:multiLevelType w:val="singleLevel"/>
    <w:tmpl w:val="206CABF7"/>
    <w:lvl w:ilvl="0" w:tentative="0">
      <w:start w:val="1"/>
      <w:numFmt w:val="decimal"/>
      <w:suff w:val="nothing"/>
      <w:lvlText w:val="（%1）"/>
      <w:lvlJc w:val="left"/>
    </w:lvl>
  </w:abstractNum>
  <w:abstractNum w:abstractNumId="11">
    <w:nsid w:val="316010E5"/>
    <w:multiLevelType w:val="singleLevel"/>
    <w:tmpl w:val="316010E5"/>
    <w:lvl w:ilvl="0" w:tentative="0">
      <w:start w:val="1"/>
      <w:numFmt w:val="decimal"/>
      <w:suff w:val="nothing"/>
      <w:lvlText w:val="%1．"/>
      <w:lvlJc w:val="left"/>
    </w:lvl>
  </w:abstractNum>
  <w:abstractNum w:abstractNumId="12">
    <w:nsid w:val="3B1B8417"/>
    <w:multiLevelType w:val="singleLevel"/>
    <w:tmpl w:val="3B1B8417"/>
    <w:lvl w:ilvl="0" w:tentative="0">
      <w:start w:val="1"/>
      <w:numFmt w:val="decimal"/>
      <w:suff w:val="nothing"/>
      <w:lvlText w:val="%1、"/>
      <w:lvlJc w:val="left"/>
    </w:lvl>
  </w:abstractNum>
  <w:abstractNum w:abstractNumId="13">
    <w:nsid w:val="3F6ED1CD"/>
    <w:multiLevelType w:val="singleLevel"/>
    <w:tmpl w:val="3F6ED1CD"/>
    <w:lvl w:ilvl="0" w:tentative="0">
      <w:start w:val="1"/>
      <w:numFmt w:val="decimal"/>
      <w:lvlText w:val="%1."/>
      <w:lvlJc w:val="left"/>
      <w:pPr>
        <w:tabs>
          <w:tab w:val="left" w:pos="312"/>
        </w:tabs>
      </w:pPr>
    </w:lvl>
  </w:abstractNum>
  <w:abstractNum w:abstractNumId="14">
    <w:nsid w:val="3F88662E"/>
    <w:multiLevelType w:val="singleLevel"/>
    <w:tmpl w:val="3F88662E"/>
    <w:lvl w:ilvl="0" w:tentative="0">
      <w:start w:val="1"/>
      <w:numFmt w:val="decimal"/>
      <w:suff w:val="space"/>
      <w:lvlText w:val="%1)"/>
      <w:lvlJc w:val="left"/>
    </w:lvl>
  </w:abstractNum>
  <w:abstractNum w:abstractNumId="15">
    <w:nsid w:val="6E5CE7BD"/>
    <w:multiLevelType w:val="singleLevel"/>
    <w:tmpl w:val="6E5CE7BD"/>
    <w:lvl w:ilvl="0" w:tentative="0">
      <w:start w:val="1"/>
      <w:numFmt w:val="chineseCounting"/>
      <w:suff w:val="nothing"/>
      <w:lvlText w:val="%1、"/>
      <w:lvlJc w:val="left"/>
      <w:rPr>
        <w:rFonts w:hint="eastAsia"/>
      </w:rPr>
    </w:lvl>
  </w:abstractNum>
  <w:num w:numId="1">
    <w:abstractNumId w:val="15"/>
  </w:num>
  <w:num w:numId="2">
    <w:abstractNumId w:val="12"/>
  </w:num>
  <w:num w:numId="3">
    <w:abstractNumId w:val="9"/>
  </w:num>
  <w:num w:numId="4">
    <w:abstractNumId w:val="14"/>
  </w:num>
  <w:num w:numId="5">
    <w:abstractNumId w:val="10"/>
  </w:num>
  <w:num w:numId="6">
    <w:abstractNumId w:val="4"/>
  </w:num>
  <w:num w:numId="7">
    <w:abstractNumId w:val="6"/>
  </w:num>
  <w:num w:numId="8">
    <w:abstractNumId w:val="2"/>
  </w:num>
  <w:num w:numId="9">
    <w:abstractNumId w:val="13"/>
  </w:num>
  <w:num w:numId="10">
    <w:abstractNumId w:val="5"/>
  </w:num>
  <w:num w:numId="11">
    <w:abstractNumId w:val="1"/>
  </w:num>
  <w:num w:numId="12">
    <w:abstractNumId w:val="7"/>
  </w:num>
  <w:num w:numId="13">
    <w:abstractNumId w:val="3"/>
  </w:num>
  <w:num w:numId="14">
    <w:abstractNumId w:val="8"/>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11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5F06CD2"/>
    <w:rsid w:val="063F4ED6"/>
    <w:rsid w:val="06542AF7"/>
    <w:rsid w:val="065A32ED"/>
    <w:rsid w:val="066E7569"/>
    <w:rsid w:val="06BC41F2"/>
    <w:rsid w:val="06DF3DBD"/>
    <w:rsid w:val="070208B6"/>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534C69"/>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CE70809"/>
    <w:rsid w:val="0D742C8E"/>
    <w:rsid w:val="0D890E47"/>
    <w:rsid w:val="0DC64A00"/>
    <w:rsid w:val="0DFC60BA"/>
    <w:rsid w:val="0E4249F1"/>
    <w:rsid w:val="0E9C09EC"/>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820A0A"/>
    <w:rsid w:val="13B27845"/>
    <w:rsid w:val="13BE469F"/>
    <w:rsid w:val="13F87121"/>
    <w:rsid w:val="141A03E1"/>
    <w:rsid w:val="143B2E0B"/>
    <w:rsid w:val="14492F3F"/>
    <w:rsid w:val="14672B11"/>
    <w:rsid w:val="14892735"/>
    <w:rsid w:val="14CC769D"/>
    <w:rsid w:val="157D38E3"/>
    <w:rsid w:val="15AA7056"/>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946E8F"/>
    <w:rsid w:val="19A2789F"/>
    <w:rsid w:val="1A460CF5"/>
    <w:rsid w:val="1A7F297D"/>
    <w:rsid w:val="1AB16AC1"/>
    <w:rsid w:val="1B034A52"/>
    <w:rsid w:val="1B1F34AD"/>
    <w:rsid w:val="1B8B2EA3"/>
    <w:rsid w:val="1B8D5DC6"/>
    <w:rsid w:val="1BBB4A1B"/>
    <w:rsid w:val="1BFE1D3B"/>
    <w:rsid w:val="1C2775EC"/>
    <w:rsid w:val="1C750ECE"/>
    <w:rsid w:val="1CA22168"/>
    <w:rsid w:val="1CBB71B1"/>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6C49D9"/>
    <w:rsid w:val="238C2182"/>
    <w:rsid w:val="239015D1"/>
    <w:rsid w:val="23BB4E7D"/>
    <w:rsid w:val="23C172D6"/>
    <w:rsid w:val="23F04F64"/>
    <w:rsid w:val="24814CBE"/>
    <w:rsid w:val="24AC168B"/>
    <w:rsid w:val="25462EB0"/>
    <w:rsid w:val="258C3BEC"/>
    <w:rsid w:val="25E576CC"/>
    <w:rsid w:val="260E3862"/>
    <w:rsid w:val="262569FC"/>
    <w:rsid w:val="26344C98"/>
    <w:rsid w:val="26F56CE2"/>
    <w:rsid w:val="27435D49"/>
    <w:rsid w:val="27A34F71"/>
    <w:rsid w:val="27B36A67"/>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FF27D2"/>
    <w:rsid w:val="31170995"/>
    <w:rsid w:val="31264A30"/>
    <w:rsid w:val="31722022"/>
    <w:rsid w:val="31884E67"/>
    <w:rsid w:val="31A0275E"/>
    <w:rsid w:val="31B7357A"/>
    <w:rsid w:val="31ED6B08"/>
    <w:rsid w:val="31F915C9"/>
    <w:rsid w:val="32610CE6"/>
    <w:rsid w:val="32631A32"/>
    <w:rsid w:val="3264169D"/>
    <w:rsid w:val="328464CE"/>
    <w:rsid w:val="32AB70C5"/>
    <w:rsid w:val="32DC33E0"/>
    <w:rsid w:val="335D0AF5"/>
    <w:rsid w:val="3370088C"/>
    <w:rsid w:val="33A3154A"/>
    <w:rsid w:val="33DC2F78"/>
    <w:rsid w:val="3428227C"/>
    <w:rsid w:val="35260F83"/>
    <w:rsid w:val="35602226"/>
    <w:rsid w:val="356B72E7"/>
    <w:rsid w:val="3572424F"/>
    <w:rsid w:val="35FC3844"/>
    <w:rsid w:val="36193A8E"/>
    <w:rsid w:val="363D376E"/>
    <w:rsid w:val="366061FD"/>
    <w:rsid w:val="36794DEF"/>
    <w:rsid w:val="36AD519D"/>
    <w:rsid w:val="36B57705"/>
    <w:rsid w:val="374F1A0B"/>
    <w:rsid w:val="37A103ED"/>
    <w:rsid w:val="37EA5E6E"/>
    <w:rsid w:val="37FF016F"/>
    <w:rsid w:val="38427C0B"/>
    <w:rsid w:val="387C5ABE"/>
    <w:rsid w:val="389B3A1E"/>
    <w:rsid w:val="38BB5D8F"/>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CF8135F"/>
    <w:rsid w:val="3D10295A"/>
    <w:rsid w:val="3E0572FD"/>
    <w:rsid w:val="3E1A5292"/>
    <w:rsid w:val="3E5A7FE7"/>
    <w:rsid w:val="3EC8179E"/>
    <w:rsid w:val="3EF66B2E"/>
    <w:rsid w:val="3F217914"/>
    <w:rsid w:val="3F2C52DF"/>
    <w:rsid w:val="3F942B76"/>
    <w:rsid w:val="3FD70BB0"/>
    <w:rsid w:val="3FFB55AC"/>
    <w:rsid w:val="401C5F9D"/>
    <w:rsid w:val="401C690C"/>
    <w:rsid w:val="401D7195"/>
    <w:rsid w:val="405F1BE4"/>
    <w:rsid w:val="40A51286"/>
    <w:rsid w:val="40CE3DC0"/>
    <w:rsid w:val="40D7455A"/>
    <w:rsid w:val="40E743E5"/>
    <w:rsid w:val="4110038E"/>
    <w:rsid w:val="413643FA"/>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D06F03"/>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1A0A44"/>
    <w:rsid w:val="4B560086"/>
    <w:rsid w:val="4B7501F5"/>
    <w:rsid w:val="4B8C2DEB"/>
    <w:rsid w:val="4BFA3C9F"/>
    <w:rsid w:val="4C0E3379"/>
    <w:rsid w:val="4C107F48"/>
    <w:rsid w:val="4C3277BC"/>
    <w:rsid w:val="4C686851"/>
    <w:rsid w:val="4C837643"/>
    <w:rsid w:val="4C892830"/>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E839BD"/>
    <w:rsid w:val="4FFA7625"/>
    <w:rsid w:val="501B0BF9"/>
    <w:rsid w:val="5073705C"/>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E72921"/>
    <w:rsid w:val="55806F07"/>
    <w:rsid w:val="55FA2961"/>
    <w:rsid w:val="565E3E0E"/>
    <w:rsid w:val="565E7F4F"/>
    <w:rsid w:val="56775789"/>
    <w:rsid w:val="56857D06"/>
    <w:rsid w:val="56914056"/>
    <w:rsid w:val="569F0E63"/>
    <w:rsid w:val="56DB613D"/>
    <w:rsid w:val="573810DA"/>
    <w:rsid w:val="57C81948"/>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46BEF"/>
    <w:rsid w:val="5C1D18D2"/>
    <w:rsid w:val="5C286807"/>
    <w:rsid w:val="5C446BC8"/>
    <w:rsid w:val="5C4C687B"/>
    <w:rsid w:val="5C7C2768"/>
    <w:rsid w:val="5CB23AE6"/>
    <w:rsid w:val="5CF55792"/>
    <w:rsid w:val="5CFD533A"/>
    <w:rsid w:val="5D893B14"/>
    <w:rsid w:val="5D9F3D30"/>
    <w:rsid w:val="5E2810D5"/>
    <w:rsid w:val="5E2B7D62"/>
    <w:rsid w:val="5E71411E"/>
    <w:rsid w:val="5EA06921"/>
    <w:rsid w:val="5EB56C6A"/>
    <w:rsid w:val="5ED5006A"/>
    <w:rsid w:val="5F576E4B"/>
    <w:rsid w:val="5F5D4EDE"/>
    <w:rsid w:val="5F7A2C30"/>
    <w:rsid w:val="5FBE370A"/>
    <w:rsid w:val="5FBF6B04"/>
    <w:rsid w:val="60292845"/>
    <w:rsid w:val="60880653"/>
    <w:rsid w:val="61027308"/>
    <w:rsid w:val="612E1A5D"/>
    <w:rsid w:val="6136765C"/>
    <w:rsid w:val="616805F7"/>
    <w:rsid w:val="61816046"/>
    <w:rsid w:val="62182687"/>
    <w:rsid w:val="62391564"/>
    <w:rsid w:val="625F2AB1"/>
    <w:rsid w:val="62774225"/>
    <w:rsid w:val="62816669"/>
    <w:rsid w:val="62BA0953"/>
    <w:rsid w:val="62D03A7C"/>
    <w:rsid w:val="62F16BCB"/>
    <w:rsid w:val="62F648FE"/>
    <w:rsid w:val="63341DB1"/>
    <w:rsid w:val="63447612"/>
    <w:rsid w:val="63907004"/>
    <w:rsid w:val="63A10995"/>
    <w:rsid w:val="63C23EFA"/>
    <w:rsid w:val="63F85442"/>
    <w:rsid w:val="643A070A"/>
    <w:rsid w:val="644C573D"/>
    <w:rsid w:val="648667A7"/>
    <w:rsid w:val="64DB383A"/>
    <w:rsid w:val="65032F85"/>
    <w:rsid w:val="65136B50"/>
    <w:rsid w:val="657E2A35"/>
    <w:rsid w:val="65A94E9D"/>
    <w:rsid w:val="65AF3FB6"/>
    <w:rsid w:val="65C60A92"/>
    <w:rsid w:val="662203DD"/>
    <w:rsid w:val="666B723B"/>
    <w:rsid w:val="6678045A"/>
    <w:rsid w:val="66DD6702"/>
    <w:rsid w:val="679406CB"/>
    <w:rsid w:val="67AB52F1"/>
    <w:rsid w:val="67C35C0B"/>
    <w:rsid w:val="681233D2"/>
    <w:rsid w:val="681D5EE5"/>
    <w:rsid w:val="682C6B4A"/>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723594"/>
    <w:rsid w:val="6B805156"/>
    <w:rsid w:val="6BD50977"/>
    <w:rsid w:val="6BEA2A9B"/>
    <w:rsid w:val="6C9C0875"/>
    <w:rsid w:val="6C9D1F03"/>
    <w:rsid w:val="6CAA3931"/>
    <w:rsid w:val="6D3933CA"/>
    <w:rsid w:val="6D6A50B2"/>
    <w:rsid w:val="6D7B61EC"/>
    <w:rsid w:val="6D9110E0"/>
    <w:rsid w:val="6DC3266E"/>
    <w:rsid w:val="6DD049FF"/>
    <w:rsid w:val="6E09491E"/>
    <w:rsid w:val="6E0D3655"/>
    <w:rsid w:val="6E5F4465"/>
    <w:rsid w:val="6E8C54DA"/>
    <w:rsid w:val="6EF11E03"/>
    <w:rsid w:val="6F111C62"/>
    <w:rsid w:val="6F2176E5"/>
    <w:rsid w:val="6F3053CA"/>
    <w:rsid w:val="6F592303"/>
    <w:rsid w:val="6F5F5B74"/>
    <w:rsid w:val="6F9660A0"/>
    <w:rsid w:val="6F9B1C65"/>
    <w:rsid w:val="6FD47A25"/>
    <w:rsid w:val="6FF44026"/>
    <w:rsid w:val="6FFB146E"/>
    <w:rsid w:val="701A5C74"/>
    <w:rsid w:val="706516C3"/>
    <w:rsid w:val="70864A71"/>
    <w:rsid w:val="70896E68"/>
    <w:rsid w:val="714556B4"/>
    <w:rsid w:val="715B60E9"/>
    <w:rsid w:val="71E96309"/>
    <w:rsid w:val="71EA1FED"/>
    <w:rsid w:val="72284A0C"/>
    <w:rsid w:val="726227FC"/>
    <w:rsid w:val="72C16204"/>
    <w:rsid w:val="730313F6"/>
    <w:rsid w:val="731E1007"/>
    <w:rsid w:val="73370D24"/>
    <w:rsid w:val="7359268C"/>
    <w:rsid w:val="739503EB"/>
    <w:rsid w:val="73A05B28"/>
    <w:rsid w:val="73C07D69"/>
    <w:rsid w:val="749E2255"/>
    <w:rsid w:val="74B42AE4"/>
    <w:rsid w:val="74D430B7"/>
    <w:rsid w:val="74DE214C"/>
    <w:rsid w:val="750A429D"/>
    <w:rsid w:val="75167F59"/>
    <w:rsid w:val="754D77D2"/>
    <w:rsid w:val="755D38A7"/>
    <w:rsid w:val="755F5A0F"/>
    <w:rsid w:val="75614792"/>
    <w:rsid w:val="75784473"/>
    <w:rsid w:val="757E044C"/>
    <w:rsid w:val="75977BC3"/>
    <w:rsid w:val="75B161B3"/>
    <w:rsid w:val="75E470E3"/>
    <w:rsid w:val="76736B32"/>
    <w:rsid w:val="76E3765E"/>
    <w:rsid w:val="76EB5631"/>
    <w:rsid w:val="76FC2AFA"/>
    <w:rsid w:val="773F0836"/>
    <w:rsid w:val="77653671"/>
    <w:rsid w:val="778546CC"/>
    <w:rsid w:val="77B56730"/>
    <w:rsid w:val="77C04A8B"/>
    <w:rsid w:val="77D85DB3"/>
    <w:rsid w:val="780252A0"/>
    <w:rsid w:val="78027772"/>
    <w:rsid w:val="78A50513"/>
    <w:rsid w:val="793B7339"/>
    <w:rsid w:val="7942732C"/>
    <w:rsid w:val="796518DD"/>
    <w:rsid w:val="796E0C55"/>
    <w:rsid w:val="79AA0532"/>
    <w:rsid w:val="79F70999"/>
    <w:rsid w:val="79FE1DDD"/>
    <w:rsid w:val="7A075767"/>
    <w:rsid w:val="7A212062"/>
    <w:rsid w:val="7A282A11"/>
    <w:rsid w:val="7A8577A3"/>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CF35052"/>
    <w:rsid w:val="7D2177E3"/>
    <w:rsid w:val="7D2C1249"/>
    <w:rsid w:val="7D2E5ABF"/>
    <w:rsid w:val="7E2142A2"/>
    <w:rsid w:val="7E4F5384"/>
    <w:rsid w:val="7E5A6DFA"/>
    <w:rsid w:val="7E7B0BF2"/>
    <w:rsid w:val="7E7C7A78"/>
    <w:rsid w:val="7E8D75B6"/>
    <w:rsid w:val="7EB2417D"/>
    <w:rsid w:val="7EF760EE"/>
    <w:rsid w:val="7F2A21E7"/>
    <w:rsid w:val="7FDF79F7"/>
    <w:rsid w:val="B5EE04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semiHidden/>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styleId="8">
    <w:name w:val="annotation text"/>
    <w:basedOn w:val="1"/>
    <w:semiHidden/>
    <w:unhideWhenUsed/>
    <w:qFormat/>
    <w:uiPriority w:val="99"/>
  </w:style>
  <w:style w:type="paragraph" w:styleId="9">
    <w:name w:val="Body Text"/>
    <w:basedOn w:val="1"/>
    <w:next w:val="1"/>
    <w:qFormat/>
    <w:uiPriority w:val="1"/>
    <w:pPr>
      <w:spacing w:before="161"/>
      <w:ind w:left="120"/>
    </w:pPr>
    <w:rPr>
      <w:rFonts w:ascii="宋体" w:hAnsi="宋体" w:eastAsia="宋体" w:cs="宋体"/>
      <w:sz w:val="24"/>
      <w:lang w:val="zh-CN" w:bidi="zh-CN"/>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8"/>
    <w:semiHidden/>
    <w:unhideWhenUsed/>
    <w:qFormat/>
    <w:uiPriority w:val="99"/>
    <w:pPr>
      <w:spacing w:after="0"/>
    </w:pPr>
    <w:rPr>
      <w:sz w:val="18"/>
      <w:szCs w:val="18"/>
    </w:rPr>
  </w:style>
  <w:style w:type="paragraph" w:styleId="14">
    <w:name w:val="footer"/>
    <w:basedOn w:val="1"/>
    <w:link w:val="47"/>
    <w:unhideWhenUsed/>
    <w:qFormat/>
    <w:uiPriority w:val="99"/>
    <w:pPr>
      <w:tabs>
        <w:tab w:val="center" w:pos="4153"/>
        <w:tab w:val="right" w:pos="8306"/>
      </w:tabs>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pPr>
      <w:snapToGrid w:val="0"/>
      <w:jc w:val="left"/>
    </w:pPr>
    <w:rPr>
      <w:sz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paragraph" w:styleId="23">
    <w:name w:val="Body Text First Indent"/>
    <w:basedOn w:val="9"/>
    <w:unhideWhenUsed/>
    <w:qFormat/>
    <w:uiPriority w:val="99"/>
    <w:pPr>
      <w:ind w:firstLine="420" w:firstLineChars="100"/>
    </w:pPr>
    <w:rPr>
      <w:rFonts w:ascii="Times New Roman" w:hAnsi="Times New Roman" w:cs="Times New Roman"/>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utoSpaceDE/>
      <w:autoSpaceDN/>
      <w:adjustRightInd/>
      <w:spacing w:before="25" w:after="25"/>
    </w:pPr>
    <w:rPr>
      <w:rFonts w:ascii="Times New Roman"/>
      <w:bCs/>
      <w:spacing w:val="10"/>
      <w:szCs w:val="20"/>
    </w:rPr>
  </w:style>
  <w:style w:type="character" w:customStyle="1" w:styleId="32">
    <w:name w:val="标题 2 Char"/>
    <w:basedOn w:val="26"/>
    <w:link w:val="4"/>
    <w:qFormat/>
    <w:uiPriority w:val="9"/>
    <w:rPr>
      <w:rFonts w:asciiTheme="majorHAnsi" w:hAnsiTheme="majorHAnsi" w:eastAsiaTheme="majorEastAsia" w:cstheme="majorBidi"/>
      <w:b/>
      <w:bCs/>
      <w:sz w:val="32"/>
      <w:szCs w:val="32"/>
    </w:rPr>
  </w:style>
  <w:style w:type="character" w:customStyle="1" w:styleId="33">
    <w:name w:val="标题 3 Char"/>
    <w:basedOn w:val="26"/>
    <w:link w:val="5"/>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6"/>
    <w:qFormat/>
    <w:uiPriority w:val="9"/>
    <w:rPr>
      <w:rFonts w:asciiTheme="majorHAnsi" w:hAnsiTheme="majorHAnsi" w:eastAsiaTheme="majorEastAsia" w:cstheme="majorBidi"/>
      <w:b/>
      <w:bCs/>
      <w:sz w:val="28"/>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5"/>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6"/>
    <w:link w:val="11"/>
    <w:semiHidden/>
    <w:qFormat/>
    <w:uiPriority w:val="99"/>
    <w:rPr>
      <w:rFonts w:ascii="宋体" w:hAnsi="Courier New" w:eastAsia="宋体" w:cs="Courier New"/>
      <w:sz w:val="21"/>
      <w:szCs w:val="21"/>
    </w:rPr>
  </w:style>
  <w:style w:type="character" w:customStyle="1" w:styleId="46">
    <w:name w:val="页眉 Char"/>
    <w:basedOn w:val="26"/>
    <w:link w:val="15"/>
    <w:qFormat/>
    <w:uiPriority w:val="99"/>
    <w:rPr>
      <w:rFonts w:ascii="Tahoma" w:hAnsi="Tahoma"/>
      <w:sz w:val="18"/>
      <w:szCs w:val="18"/>
    </w:rPr>
  </w:style>
  <w:style w:type="character" w:customStyle="1" w:styleId="47">
    <w:name w:val="页脚 Char"/>
    <w:basedOn w:val="26"/>
    <w:link w:val="14"/>
    <w:qFormat/>
    <w:uiPriority w:val="99"/>
    <w:rPr>
      <w:rFonts w:ascii="Tahoma" w:hAnsi="Tahoma"/>
      <w:sz w:val="18"/>
      <w:szCs w:val="18"/>
    </w:rPr>
  </w:style>
  <w:style w:type="character" w:customStyle="1" w:styleId="48">
    <w:name w:val="批注框文本 Char"/>
    <w:basedOn w:val="26"/>
    <w:link w:val="13"/>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2"/>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7"/>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GTA正文-2"/>
    <w:basedOn w:val="1"/>
    <w:qFormat/>
    <w:uiPriority w:val="0"/>
    <w:pPr>
      <w:snapToGrid w:val="0"/>
      <w:spacing w:beforeLines="50" w:after="156" w:line="480" w:lineRule="atLeast"/>
      <w:ind w:firstLine="480" w:firstLineChars="200"/>
    </w:pPr>
    <w:rPr>
      <w:rFonts w:ascii="微软雅黑" w:hAnsi="微软雅黑" w:eastAsia="微软雅黑" w:cs="Arial"/>
      <w:sz w:val="24"/>
      <w:szCs w:val="24"/>
    </w:rPr>
  </w:style>
  <w:style w:type="character" w:customStyle="1" w:styleId="59">
    <w:name w:val="font21"/>
    <w:basedOn w:val="26"/>
    <w:qFormat/>
    <w:uiPriority w:val="0"/>
    <w:rPr>
      <w:rFonts w:hint="eastAsia" w:ascii="Songti SC Regular" w:hAnsi="Songti SC Regular" w:eastAsia="Songti SC Regular" w:cs="Songti SC Regular"/>
      <w:color w:val="000000"/>
      <w:sz w:val="24"/>
      <w:szCs w:val="24"/>
      <w:u w:val="none"/>
    </w:rPr>
  </w:style>
  <w:style w:type="character" w:customStyle="1" w:styleId="60">
    <w:name w:val="font61"/>
    <w:basedOn w:val="26"/>
    <w:qFormat/>
    <w:uiPriority w:val="0"/>
    <w:rPr>
      <w:rFonts w:hint="eastAsia" w:ascii="Songti SC Regular" w:hAnsi="Songti SC Regular" w:eastAsia="Songti SC Regular" w:cs="Songti SC Regular"/>
      <w:color w:val="000000"/>
      <w:sz w:val="24"/>
      <w:szCs w:val="24"/>
      <w:u w:val="none"/>
    </w:rPr>
  </w:style>
  <w:style w:type="character" w:customStyle="1" w:styleId="61">
    <w:name w:val="font31"/>
    <w:basedOn w:val="26"/>
    <w:qFormat/>
    <w:uiPriority w:val="0"/>
    <w:rPr>
      <w:rFonts w:hint="default" w:ascii="Songti SC Regular" w:hAnsi="Songti SC Regular" w:eastAsia="Songti SC Regular" w:cs="Songti SC Regular"/>
      <w:color w:val="000000"/>
      <w:sz w:val="24"/>
      <w:szCs w:val="24"/>
      <w:u w:val="none"/>
    </w:rPr>
  </w:style>
  <w:style w:type="character" w:customStyle="1" w:styleId="62">
    <w:name w:val="font41"/>
    <w:basedOn w:val="26"/>
    <w:qFormat/>
    <w:uiPriority w:val="0"/>
    <w:rPr>
      <w:rFonts w:hint="default" w:ascii="Songti SC Regular" w:hAnsi="Songti SC Regular" w:eastAsia="Songti SC Regular" w:cs="Songti SC Regular"/>
      <w:color w:val="FF0000"/>
      <w:sz w:val="24"/>
      <w:szCs w:val="24"/>
      <w:u w:val="none"/>
    </w:rPr>
  </w:style>
  <w:style w:type="character" w:customStyle="1" w:styleId="63">
    <w:name w:val="font81"/>
    <w:basedOn w:val="26"/>
    <w:qFormat/>
    <w:uiPriority w:val="0"/>
    <w:rPr>
      <w:rFonts w:hint="default" w:ascii="Songti SC Regular" w:hAnsi="Songti SC Regular" w:eastAsia="Songti SC Regular" w:cs="Songti SC Regular"/>
      <w:color w:val="000000"/>
      <w:sz w:val="24"/>
      <w:szCs w:val="24"/>
      <w:u w:val="none"/>
    </w:rPr>
  </w:style>
  <w:style w:type="character" w:customStyle="1" w:styleId="64">
    <w:name w:val="NormalCharacter"/>
    <w:semiHidden/>
    <w:qFormat/>
    <w:uiPriority w:val="0"/>
    <w:rPr>
      <w:rFonts w:ascii="Calibri" w:hAnsi="Calibri" w:eastAsia="宋体" w:cs="Times New Roman"/>
      <w:kern w:val="2"/>
      <w:sz w:val="21"/>
      <w:szCs w:val="24"/>
      <w:lang w:val="en-US" w:eastAsia="zh-CN" w:bidi="ar-SA"/>
    </w:rPr>
  </w:style>
  <w:style w:type="paragraph" w:customStyle="1" w:styleId="65">
    <w:name w:val="UserStyle_3"/>
    <w:basedOn w:val="1"/>
    <w:qFormat/>
    <w:uiPriority w:val="0"/>
    <w:pPr>
      <w:widowControl/>
      <w:spacing w:line="360" w:lineRule="auto"/>
      <w:ind w:firstLine="420" w:firstLineChars="200"/>
      <w:textAlignment w:val="baseline"/>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32442</Words>
  <Characters>33433</Characters>
  <Lines>264</Lines>
  <Paragraphs>74</Paragraphs>
  <TotalTime>0</TotalTime>
  <ScaleCrop>false</ScaleCrop>
  <LinksUpToDate>false</LinksUpToDate>
  <CharactersWithSpaces>35809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2019-07-08T21:55:00Z</dcterms:created>
  <dc:creator>MyPC</dc:creator>
  <cp:keywords>文件格式版本</cp:keywords>
  <cp:lastModifiedBy>admin</cp:lastModifiedBy>
  <cp:lastPrinted>2021-04-23T17:50:00Z</cp:lastPrinted>
  <dcterms:modified xsi:type="dcterms:W3CDTF">2022-09-30T08:21:49Z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458E156264BF481080BEC9985CE41551</vt:lpwstr>
  </property>
</Properties>
</file>