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color w:val="auto"/>
          <w:highlight w:val="none"/>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2"/>
                    <a:srcRect l="6233" t="18358" r="67326" b="19339"/>
                    <a:stretch>
                      <a:fillRect/>
                    </a:stretch>
                  </pic:blipFill>
                  <pic:spPr>
                    <a:xfrm>
                      <a:off x="0" y="0"/>
                      <a:ext cx="2129790" cy="2035175"/>
                    </a:xfrm>
                    <a:prstGeom prst="rect">
                      <a:avLst/>
                    </a:prstGeom>
                  </pic:spPr>
                </pic:pic>
              </a:graphicData>
            </a:graphic>
          </wp:inline>
        </w:drawing>
      </w:r>
    </w:p>
    <w:p>
      <w:pPr>
        <w:pStyle w:val="2"/>
        <w:jc w:val="center"/>
        <w:rPr>
          <w:rFonts w:hint="eastAsia" w:ascii="黑体" w:eastAsia="黑体"/>
          <w:color w:val="auto"/>
          <w:szCs w:val="21"/>
          <w:highlight w:val="none"/>
          <w:lang w:eastAsia="zh-CN"/>
        </w:rPr>
      </w:pPr>
    </w:p>
    <w:tbl>
      <w:tblPr>
        <w:tblStyle w:val="23"/>
        <w:tblpPr w:leftFromText="180" w:rightFromText="180" w:vertAnchor="text" w:horzAnchor="page" w:tblpX="1495" w:tblpY="21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default"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GDZT2022125C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东莞市第二高级中学饭堂食材配送项目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东莞市第二高级中学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default"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pStyle w:val="21"/>
        <w:ind w:left="0" w:leftChars="0" w:firstLine="0" w:firstLineChars="0"/>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p>
      <w:pPr>
        <w:jc w:val="both"/>
        <w:rPr>
          <w:rFonts w:ascii="黑体" w:eastAsia="黑体"/>
          <w:color w:val="auto"/>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请各投标供应商缴纳投标保证金前务必核对正确的缴纳账户，由于错缴、误缴而导致未按项目缴纳投标保证金的情况将由投标供应商自行负责。</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投标保证金必须于投标文件递交截止时间前到达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账户详见招标文件</w:t>
      </w:r>
      <w:r>
        <w:rPr>
          <w:rFonts w:hint="eastAsia" w:ascii="宋体" w:hAnsi="宋体" w:eastAsia="宋体" w:cs="宋体"/>
          <w:b/>
          <w:bCs w:val="0"/>
          <w:color w:val="auto"/>
          <w:sz w:val="21"/>
          <w:szCs w:val="21"/>
          <w:highlight w:val="none"/>
          <w:u w:val="none"/>
        </w:rPr>
        <w:t>。由于转账当天不能确保实时到账，为避免因投标保证金未到账而导致投标被拒绝，建议提前2个工作日转账。</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cs="宋体"/>
          <w:b/>
          <w:bCs w:val="0"/>
          <w:color w:val="auto"/>
          <w:sz w:val="21"/>
          <w:szCs w:val="21"/>
          <w:highlight w:val="none"/>
          <w:u w:val="none"/>
          <w:lang w:val="en-US" w:eastAsia="zh-CN"/>
        </w:rPr>
        <w:t>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3"/>
                    <a:stretch>
                      <a:fillRect/>
                    </a:stretch>
                  </pic:blipFill>
                  <pic:spPr>
                    <a:xfrm>
                      <a:off x="0" y="0"/>
                      <a:ext cx="5266690" cy="42976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八、政府采购投标担保函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spacing w:before="0" w:after="0" w:line="360" w:lineRule="auto"/>
        <w:jc w:val="center"/>
        <w:rPr>
          <w:rFonts w:ascii="宋体" w:hAnsi="宋体" w:eastAsia="宋体" w:cs="宋体"/>
          <w:color w:val="auto"/>
          <w:highlight w:val="none"/>
        </w:rPr>
      </w:pPr>
      <w:bookmarkStart w:id="2" w:name="_Toc1420"/>
      <w:bookmarkStart w:id="3" w:name="_Toc7123"/>
      <w:bookmarkStart w:id="4" w:name="_Toc885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color w:val="auto"/>
          <w:sz w:val="21"/>
          <w:szCs w:val="21"/>
          <w:highlight w:val="none"/>
          <w:u w:val="single"/>
        </w:rPr>
        <w:t>东莞市第二高级中学</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eastAsia="宋体"/>
          <w:b/>
          <w:color w:val="auto"/>
          <w:sz w:val="21"/>
          <w:szCs w:val="21"/>
          <w:highlight w:val="none"/>
          <w:u w:val="single"/>
        </w:rPr>
        <w:t>东莞市第二高级中学饭堂食材配送项目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编号：GDZT2022125C；</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名称：东莞市第二高级中学饭堂食材配送项目；</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b/>
                <w:color w:val="auto"/>
                <w:sz w:val="21"/>
                <w:szCs w:val="21"/>
                <w:highlight w:val="none"/>
                <w:u w:val="single"/>
              </w:rPr>
              <w:t>东莞市第二高级中学饭堂食材配送项目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无具体预算</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spacing w:after="0" w:line="360" w:lineRule="auto"/>
        <w:ind w:firstLine="411" w:firstLineChars="19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w:t>
      </w:r>
      <w:r>
        <w:rPr>
          <w:rFonts w:hint="eastAsia" w:ascii="宋体" w:hAnsi="宋体"/>
          <w:color w:val="auto"/>
          <w:sz w:val="21"/>
          <w:szCs w:val="21"/>
          <w:highlight w:val="none"/>
          <w:lang w:val="en-US" w:eastAsia="zh-CN"/>
        </w:rPr>
        <w:t>须</w:t>
      </w:r>
      <w:r>
        <w:rPr>
          <w:rFonts w:hint="eastAsia" w:ascii="宋体" w:hAnsi="宋体" w:eastAsia="宋体"/>
          <w:color w:val="auto"/>
          <w:sz w:val="21"/>
          <w:szCs w:val="21"/>
          <w:highlight w:val="none"/>
        </w:rPr>
        <w:t>具有行政主管部门颁发有效期内的《食品流通许可证》或《食品经营许可证》。</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26</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26</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w:t>
      </w:r>
      <w:r>
        <w:rPr>
          <w:rFonts w:hint="eastAsia" w:ascii="宋体" w:hAnsi="宋体"/>
          <w:color w:val="auto"/>
          <w:szCs w:val="21"/>
          <w:highlight w:val="none"/>
        </w:rPr>
        <w:t>政通招标网（http://www.zttendering.com/）</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24</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24</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bookmarkStart w:id="404" w:name="_GoBack"/>
      <w:bookmarkEnd w:id="404"/>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采购人联系人：邹老师</w:t>
      </w:r>
    </w:p>
    <w:p>
      <w:pPr>
        <w:spacing w:after="0" w:line="360" w:lineRule="auto"/>
        <w:ind w:firstLine="420" w:firstLineChars="200"/>
        <w:rPr>
          <w:rFonts w:hint="eastAsia" w:ascii="宋体" w:hAnsi="宋体"/>
          <w:bCs/>
          <w:color w:val="auto"/>
          <w:sz w:val="21"/>
          <w:szCs w:val="21"/>
          <w:highlight w:val="none"/>
          <w:lang w:val="en-US" w:eastAsia="zh-CN"/>
        </w:rPr>
      </w:pPr>
      <w:r>
        <w:rPr>
          <w:rFonts w:hint="eastAsia" w:ascii="宋体" w:hAnsi="宋体" w:eastAsia="宋体"/>
          <w:bCs/>
          <w:color w:val="auto"/>
          <w:sz w:val="21"/>
          <w:szCs w:val="21"/>
          <w:highlight w:val="none"/>
        </w:rPr>
        <w:t>地址：东莞市东城区</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联系电话：0769-22464912</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月</w:t>
      </w:r>
    </w:p>
    <w:p>
      <w:pPr>
        <w:pStyle w:val="2"/>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4"/>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所属行业：餐饮业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jc w:val="center"/>
              <w:rPr>
                <w:rFonts w:ascii="宋体" w:hAnsi="宋体" w:eastAsia="宋体"/>
                <w:b/>
                <w:color w:val="auto"/>
                <w:sz w:val="21"/>
                <w:szCs w:val="21"/>
                <w:highlight w:val="none"/>
              </w:rPr>
            </w:pPr>
            <w:r>
              <w:rPr>
                <w:rFonts w:hint="eastAsia" w:ascii="宋体" w:hAnsi="宋体"/>
                <w:b/>
                <w:color w:val="auto"/>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jc w:val="center"/>
              <w:rPr>
                <w:rFonts w:ascii="宋体" w:hAnsi="宋体" w:eastAsia="宋体"/>
                <w:b/>
                <w:color w:val="auto"/>
                <w:sz w:val="21"/>
                <w:szCs w:val="21"/>
                <w:highlight w:val="none"/>
              </w:rPr>
            </w:pPr>
            <w:r>
              <w:rPr>
                <w:rFonts w:hint="eastAsia" w:ascii="宋体" w:hAnsi="宋体"/>
                <w:color w:val="auto"/>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（1）投标保证金金额：人民币</w:t>
            </w:r>
            <w:r>
              <w:rPr>
                <w:rFonts w:hint="eastAsia" w:ascii="宋体" w:hAnsi="宋体"/>
                <w:b/>
                <w:color w:val="auto"/>
                <w:sz w:val="21"/>
                <w:szCs w:val="21"/>
                <w:highlight w:val="none"/>
                <w:lang w:val="en-US" w:eastAsia="zh-CN"/>
              </w:rPr>
              <w:t>叁万</w:t>
            </w:r>
            <w:r>
              <w:rPr>
                <w:rFonts w:hint="eastAsia" w:ascii="宋体" w:hAnsi="宋体" w:eastAsia="宋体"/>
                <w:color w:val="auto"/>
                <w:sz w:val="21"/>
                <w:szCs w:val="21"/>
                <w:highlight w:val="none"/>
              </w:rPr>
              <w:t>元整（￥</w:t>
            </w:r>
            <w:r>
              <w:rPr>
                <w:rFonts w:hint="eastAsia" w:ascii="宋体" w:hAnsi="宋体"/>
                <w:b/>
                <w:color w:val="auto"/>
                <w:sz w:val="21"/>
                <w:szCs w:val="21"/>
                <w:highlight w:val="none"/>
                <w:lang w:val="en-US" w:eastAsia="zh-CN"/>
              </w:rPr>
              <w:t>30,000.00</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投标保证金须严格按“招标文件第</w:t>
            </w:r>
            <w:r>
              <w:rPr>
                <w:rFonts w:hint="eastAsia" w:ascii="宋体" w:hAnsi="宋体" w:eastAsia="宋体"/>
                <w:color w:val="auto"/>
                <w:sz w:val="21"/>
                <w:szCs w:val="21"/>
                <w:highlight w:val="none"/>
              </w:rPr>
              <w:t>四部分</w:t>
            </w:r>
            <w:r>
              <w:rPr>
                <w:rFonts w:hint="eastAsia" w:ascii="宋体" w:hAnsi="宋体" w:eastAsia="宋体"/>
                <w:color w:val="auto"/>
                <w:sz w:val="21"/>
                <w:szCs w:val="21"/>
                <w:highlight w:val="none"/>
                <w:lang w:val="en-US" w:eastAsia="zh-CN"/>
              </w:rPr>
              <w:t>投</w:t>
            </w:r>
            <w:r>
              <w:rPr>
                <w:rFonts w:hint="eastAsia" w:ascii="宋体" w:hAnsi="宋体" w:eastAsia="宋体"/>
                <w:color w:val="auto"/>
                <w:sz w:val="21"/>
                <w:szCs w:val="21"/>
                <w:highlight w:val="none"/>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160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（3）保证金递交账户：</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收款人：广东政通招标有限公司</w:t>
            </w:r>
          </w:p>
          <w:p>
            <w:pPr>
              <w:spacing w:after="0"/>
              <w:jc w:val="both"/>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开户行：广发银行股份有限公司东莞新城支行</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帐  号：6232590699050052149</w:t>
            </w:r>
          </w:p>
          <w:p>
            <w:pPr>
              <w:spacing w:after="0"/>
              <w:jc w:val="both"/>
              <w:rPr>
                <w:color w:val="auto"/>
                <w:highlight w:val="none"/>
              </w:rPr>
            </w:pPr>
            <w:r>
              <w:rPr>
                <w:rFonts w:hint="eastAsia" w:ascii="宋体" w:hAnsi="宋体" w:eastAsia="宋体"/>
                <w:color w:val="auto"/>
                <w:sz w:val="21"/>
                <w:szCs w:val="21"/>
                <w:highlight w:val="none"/>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bCs/>
                <w:color w:val="auto"/>
                <w:sz w:val="21"/>
                <w:szCs w:val="21"/>
                <w:highlight w:val="none"/>
                <w:lang w:val="zh-CN"/>
              </w:rPr>
            </w:pPr>
            <w:r>
              <w:rPr>
                <w:rFonts w:hint="eastAsia" w:ascii="宋体" w:hAnsi="宋体" w:eastAsia="宋体"/>
                <w:b/>
                <w:bCs/>
                <w:color w:val="auto"/>
                <w:sz w:val="21"/>
                <w:szCs w:val="21"/>
                <w:highlight w:val="none"/>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zh-CN"/>
              </w:rPr>
              <w:t>）未中标的投标人的保证金在采购结果公示发出后5个工作日内退还，中标投标人的保证金在采购合同签订后5个工作日内退还。</w:t>
            </w:r>
          </w:p>
          <w:p>
            <w:pPr>
              <w:spacing w:after="0"/>
              <w:jc w:val="both"/>
              <w:rPr>
                <w:rFonts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zh-CN"/>
              </w:rPr>
              <w:t>）为方便退还未中标的投保人的保证金，投标人应制作《投标保证金汇入情况说明》随唱标文件一并递交。</w:t>
            </w:r>
          </w:p>
          <w:p>
            <w:pPr>
              <w:spacing w:after="0"/>
              <w:jc w:val="both"/>
              <w:rPr>
                <w:rFonts w:eastAsia="宋体"/>
                <w:color w:val="auto"/>
                <w:highlight w:val="none"/>
              </w:rPr>
            </w:pPr>
            <w:r>
              <w:rPr>
                <w:rFonts w:hint="eastAsia" w:ascii="宋体" w:hAnsi="宋体" w:eastAsia="宋体"/>
                <w:color w:val="auto"/>
                <w:sz w:val="21"/>
                <w:szCs w:val="21"/>
                <w:highlight w:val="none"/>
                <w:lang w:val="zh-CN"/>
              </w:rPr>
              <w:t>（</w:t>
            </w:r>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zh-CN"/>
              </w:rPr>
              <w:t>）投标保证金退还联系电话：</w:t>
            </w:r>
            <w:r>
              <w:rPr>
                <w:rFonts w:hint="eastAsia" w:ascii="宋体" w:hAnsi="宋体" w:eastAsia="宋体"/>
                <w:color w:val="auto"/>
                <w:sz w:val="21"/>
                <w:szCs w:val="21"/>
                <w:highlight w:val="none"/>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7（仅适用于政府采购）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8</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（1）本项目固定收取中标服务费金额为人民币叁万元整（¥30,000.00），向中标单位收取。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Hlk55300595"/>
      <w:bookmarkStart w:id="9" w:name="_Toc5749"/>
      <w:bookmarkStart w:id="10" w:name="_Toc13473"/>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18413"/>
      <w:bookmarkStart w:id="16" w:name="_Toc216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w:t>
            </w:r>
            <w:r>
              <w:rPr>
                <w:rFonts w:hint="eastAsia" w:asci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rPr>
              <w:t>格分计算方法：满足招标文件要求且投标报价最低（即最大</w:t>
            </w:r>
            <w:r>
              <w:rPr>
                <w:rFonts w:hint="eastAsia" w:ascii="宋体" w:eastAsia="宋体" w:cs="宋体"/>
                <w:bCs/>
                <w:color w:val="auto"/>
                <w:sz w:val="21"/>
                <w:szCs w:val="21"/>
                <w:highlight w:val="none"/>
                <w:lang w:val="en-US" w:eastAsia="zh-CN"/>
              </w:rPr>
              <w:t>折扣率</w:t>
            </w:r>
            <w:r>
              <w:rPr>
                <w:rFonts w:hint="eastAsia" w:ascii="宋体" w:hAnsi="宋体" w:eastAsia="宋体" w:cs="宋体"/>
                <w:bCs/>
                <w:color w:val="auto"/>
                <w:sz w:val="21"/>
                <w:szCs w:val="21"/>
                <w:highlight w:val="none"/>
                <w:lang w:val="zh-CN"/>
              </w:rPr>
              <w:t>）的投标报价为评标基准价，其价格分为满分。其他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pStyle w:val="35"/>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投标报价得分=</w:t>
            </w:r>
            <w:r>
              <w:rPr>
                <w:rFonts w:hint="eastAsia" w:asci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zh-CN"/>
              </w:rPr>
              <w:t>评标基准价／投标</w:t>
            </w:r>
            <w:r>
              <w:rPr>
                <w:rFonts w:hint="eastAsia" w:ascii="宋体" w:eastAsia="宋体" w:cs="宋体"/>
                <w:bCs/>
                <w:color w:val="auto"/>
                <w:sz w:val="21"/>
                <w:szCs w:val="21"/>
                <w:highlight w:val="none"/>
                <w:lang w:val="en-US" w:eastAsia="zh-CN"/>
              </w:rPr>
              <w:t>折扣率）</w:t>
            </w:r>
            <w:r>
              <w:rPr>
                <w:rFonts w:hint="eastAsia" w:ascii="宋体" w:hAnsi="宋体" w:eastAsia="宋体" w:cs="宋体"/>
                <w:bCs/>
                <w:color w:val="auto"/>
                <w:sz w:val="21"/>
                <w:szCs w:val="21"/>
                <w:highlight w:val="none"/>
                <w:lang w:val="zh-CN"/>
              </w:rPr>
              <w:t>×价格权重</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商务评分（2</w:t>
            </w:r>
            <w:r>
              <w:rPr>
                <w:rFonts w:hint="eastAsia" w:asci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color w:val="auto"/>
                <w:sz w:val="21"/>
                <w:szCs w:val="21"/>
                <w:highlight w:val="none"/>
                <w:shd w:val="clear" w:color="auto" w:fill="auto"/>
              </w:rPr>
              <w:t>管理体系认证</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质量管理体系认证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0.5分</w:t>
            </w:r>
            <w:r>
              <w:rPr>
                <w:rFonts w:hint="eastAsia" w:ascii="宋体" w:hAnsi="宋体" w:cs="宋体"/>
                <w:color w:val="auto"/>
                <w:kern w:val="2"/>
                <w:sz w:val="21"/>
                <w:szCs w:val="21"/>
                <w:highlight w:val="none"/>
                <w:lang w:val="en-US" w:eastAsia="zh-CN"/>
              </w:rPr>
              <w:t>，本项满分0.5分；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2、</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环境管理体系认证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0.5分</w:t>
            </w:r>
            <w:r>
              <w:rPr>
                <w:rFonts w:hint="eastAsia" w:ascii="宋体" w:hAnsi="宋体" w:cs="宋体"/>
                <w:color w:val="auto"/>
                <w:kern w:val="2"/>
                <w:sz w:val="21"/>
                <w:szCs w:val="21"/>
                <w:highlight w:val="none"/>
                <w:lang w:val="en-US" w:eastAsia="zh-CN"/>
              </w:rPr>
              <w:t>，本项满分0.5分；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3、</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职业健康管理体系认证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0.5分</w:t>
            </w:r>
            <w:r>
              <w:rPr>
                <w:rFonts w:hint="eastAsia" w:ascii="宋体" w:hAnsi="宋体" w:cs="宋体"/>
                <w:color w:val="auto"/>
                <w:kern w:val="2"/>
                <w:sz w:val="21"/>
                <w:szCs w:val="21"/>
                <w:highlight w:val="none"/>
                <w:lang w:val="en-US" w:eastAsia="zh-CN"/>
              </w:rPr>
              <w:t>，本项满分0.5分；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4、</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食品安全管理体系认证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0.5分</w:t>
            </w:r>
            <w:r>
              <w:rPr>
                <w:rFonts w:hint="eastAsia" w:ascii="宋体" w:hAnsi="宋体" w:cs="宋体"/>
                <w:color w:val="auto"/>
                <w:kern w:val="2"/>
                <w:sz w:val="21"/>
                <w:szCs w:val="21"/>
                <w:highlight w:val="none"/>
                <w:lang w:val="en-US" w:eastAsia="zh-CN"/>
              </w:rPr>
              <w:t>，本项满分0.5分；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5、</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诚信管理体系证书</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0.5分</w:t>
            </w:r>
            <w:r>
              <w:rPr>
                <w:rFonts w:hint="eastAsia" w:ascii="宋体" w:hAnsi="宋体" w:cs="宋体"/>
                <w:color w:val="auto"/>
                <w:kern w:val="2"/>
                <w:sz w:val="21"/>
                <w:szCs w:val="21"/>
                <w:highlight w:val="none"/>
                <w:lang w:val="en-US" w:eastAsia="zh-CN"/>
              </w:rPr>
              <w:t>，本项满分0.5分；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6、</w:t>
            </w:r>
            <w:r>
              <w:rPr>
                <w:rFonts w:hint="eastAsia" w:ascii="宋体" w:hAnsi="宋体" w:cs="宋体"/>
                <w:color w:val="auto"/>
                <w:kern w:val="2"/>
                <w:sz w:val="21"/>
                <w:szCs w:val="21"/>
                <w:highlight w:val="none"/>
                <w:lang w:val="en-US" w:eastAsia="zh-CN"/>
              </w:rPr>
              <w:t>投标人具有</w:t>
            </w:r>
            <w:r>
              <w:rPr>
                <w:rFonts w:hint="eastAsia" w:ascii="宋体" w:hAnsi="宋体" w:eastAsia="宋体" w:cs="宋体"/>
                <w:color w:val="auto"/>
                <w:kern w:val="2"/>
                <w:sz w:val="21"/>
                <w:szCs w:val="21"/>
                <w:highlight w:val="none"/>
              </w:rPr>
              <w:t>HACCP认证</w:t>
            </w:r>
            <w:r>
              <w:rPr>
                <w:rFonts w:hint="eastAsia" w:ascii="宋体" w:hAnsi="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0.5分</w:t>
            </w:r>
            <w:r>
              <w:rPr>
                <w:rFonts w:hint="eastAsia" w:ascii="宋体" w:hAnsi="宋体" w:cs="宋体"/>
                <w:color w:val="auto"/>
                <w:kern w:val="2"/>
                <w:sz w:val="21"/>
                <w:szCs w:val="21"/>
                <w:highlight w:val="none"/>
                <w:lang w:val="en-US" w:eastAsia="zh-CN"/>
              </w:rPr>
              <w:t>，本项满分0.5分。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cs="宋体"/>
                <w:color w:val="auto"/>
                <w:kern w:val="2"/>
                <w:sz w:val="21"/>
                <w:szCs w:val="21"/>
                <w:highlight w:val="none"/>
                <w:lang w:val="en-US" w:eastAsia="zh-CN"/>
              </w:rPr>
              <w:t>注：</w:t>
            </w:r>
            <w:r>
              <w:rPr>
                <w:rFonts w:hint="eastAsia" w:ascii="宋体" w:hAnsi="宋体" w:eastAsia="宋体" w:cs="宋体"/>
                <w:color w:val="auto"/>
                <w:kern w:val="2"/>
                <w:sz w:val="21"/>
                <w:szCs w:val="21"/>
                <w:highlight w:val="none"/>
                <w:lang w:val="en-US" w:eastAsia="zh-CN"/>
              </w:rPr>
              <w:t>须提供有效期内证书复印件加盖</w:t>
            </w:r>
            <w:r>
              <w:rPr>
                <w:rFonts w:hint="eastAsia" w:ascii="宋体" w:hAnsi="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lang w:val="en-US" w:eastAsia="zh-CN"/>
              </w:rPr>
              <w:t>公章</w:t>
            </w:r>
            <w:r>
              <w:rPr>
                <w:rFonts w:hint="eastAsia" w:ascii="宋体" w:hAnsi="宋体" w:eastAsia="宋体" w:cs="宋体"/>
                <w:bCs/>
                <w:color w:val="auto"/>
                <w:sz w:val="21"/>
                <w:szCs w:val="21"/>
                <w:highlight w:val="none"/>
                <w:lang w:val="pt-BR"/>
              </w:rPr>
              <w:t>，否则不得分</w:t>
            </w:r>
            <w:r>
              <w:rPr>
                <w:rFonts w:hint="eastAsia" w:ascii="宋体" w:hAnsi="宋体" w:eastAsia="宋体" w:cs="宋体"/>
                <w:color w:val="auto"/>
                <w:kern w:val="2"/>
                <w:sz w:val="21"/>
                <w:szCs w:val="21"/>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业绩情况</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投标人具有食材配送</w:t>
            </w:r>
            <w:r>
              <w:rPr>
                <w:rFonts w:hint="eastAsia" w:ascii="宋体" w:hAnsi="宋体" w:cs="宋体"/>
                <w:color w:val="auto"/>
                <w:kern w:val="2"/>
                <w:sz w:val="21"/>
                <w:szCs w:val="21"/>
                <w:highlight w:val="none"/>
                <w:lang w:val="en-US" w:eastAsia="zh-CN"/>
              </w:rPr>
              <w:t>类项目</w:t>
            </w:r>
            <w:r>
              <w:rPr>
                <w:rFonts w:hint="eastAsia" w:ascii="宋体" w:hAnsi="宋体" w:eastAsia="宋体" w:cs="宋体"/>
                <w:color w:val="auto"/>
                <w:kern w:val="2"/>
                <w:sz w:val="21"/>
                <w:szCs w:val="21"/>
                <w:highlight w:val="none"/>
              </w:rPr>
              <w:t>业绩进行评审， 每提供一项业绩得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分，本项满分</w:t>
            </w:r>
            <w:r>
              <w:rPr>
                <w:rFonts w:hint="eastAsia" w:ascii="宋体" w:hAnsi="宋体" w:cs="宋体"/>
                <w:color w:val="auto"/>
                <w:kern w:val="2"/>
                <w:sz w:val="21"/>
                <w:szCs w:val="21"/>
                <w:highlight w:val="none"/>
                <w:lang w:val="en-US" w:eastAsia="zh-CN"/>
              </w:rPr>
              <w:t>12</w:t>
            </w:r>
            <w:r>
              <w:rPr>
                <w:rFonts w:hint="eastAsia" w:ascii="宋体" w:hAnsi="宋体" w:eastAsia="宋体" w:cs="宋体"/>
                <w:color w:val="auto"/>
                <w:kern w:val="2"/>
                <w:sz w:val="21"/>
                <w:szCs w:val="21"/>
                <w:highlight w:val="none"/>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color w:val="auto"/>
                <w:kern w:val="2"/>
                <w:sz w:val="21"/>
                <w:szCs w:val="21"/>
                <w:highlight w:val="none"/>
              </w:rPr>
              <w:t>注：须提供合同复印件加盖投标人公章</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否则不得分。</w:t>
            </w:r>
            <w:r>
              <w:rPr>
                <w:rFonts w:hint="eastAsia" w:ascii="宋体" w:hAnsi="宋体" w:eastAsia="宋体" w:cs="宋体"/>
                <w:color w:val="auto"/>
                <w:kern w:val="2"/>
                <w:sz w:val="21"/>
                <w:szCs w:val="21"/>
                <w:highlight w:val="none"/>
              </w:rPr>
              <w:t xml:space="preserve"> </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bidi="ar-SA"/>
              </w:rPr>
            </w:pPr>
            <w:r>
              <w:rPr>
                <w:rFonts w:hint="eastAsia" w:ascii="宋体" w:hAnsi="宋体" w:cs="宋体"/>
                <w:color w:val="auto"/>
                <w:kern w:val="2"/>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651"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290"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根据投标人提供的服务响应时间承诺进行</w:t>
            </w:r>
            <w:r>
              <w:rPr>
                <w:rFonts w:hint="eastAsia" w:ascii="宋体" w:hAnsi="宋体" w:eastAsia="宋体" w:cs="宋体"/>
                <w:bCs/>
                <w:color w:val="auto"/>
                <w:sz w:val="21"/>
                <w:szCs w:val="21"/>
                <w:highlight w:val="none"/>
                <w:lang w:val="pt-BR" w:eastAsia="zh-CN"/>
              </w:rPr>
              <w:t>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（1）投标人承诺在接到采购人通知后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小时内到现场，得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（2）投标人承诺在接到采购人通知后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（3）投标人承诺在接到采购人通知后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小时内到现场，得</w:t>
            </w:r>
            <w:r>
              <w:rPr>
                <w:rFonts w:hint="eastAsia" w:ascii="宋体" w:hAnsi="宋体" w:eastAsia="宋体" w:cs="宋体"/>
                <w:bCs/>
                <w:color w:val="auto"/>
                <w:sz w:val="21"/>
                <w:szCs w:val="21"/>
                <w:highlight w:val="none"/>
                <w:lang w:val="pt-BR" w:eastAsia="zh-CN"/>
              </w:rPr>
              <w:t>1</w:t>
            </w:r>
            <w:r>
              <w:rPr>
                <w:rFonts w:hint="eastAsia" w:ascii="宋体" w:hAnsi="宋体" w:eastAsia="宋体" w:cs="宋体"/>
                <w:bCs/>
                <w:color w:val="auto"/>
                <w:sz w:val="21"/>
                <w:szCs w:val="21"/>
                <w:highlight w:val="none"/>
                <w:lang w:val="pt-BR"/>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（4）投标人未承诺或承诺在接到采购人通知后超过</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小时到现场，不得分。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50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对项目重点难点分析</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color w:val="auto"/>
                <w:kern w:val="2"/>
                <w:sz w:val="21"/>
                <w:szCs w:val="21"/>
                <w:highlight w:val="none"/>
              </w:rPr>
              <w:t>项目重点难点分析</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详细、透彻</w:t>
            </w:r>
            <w:r>
              <w:rPr>
                <w:rFonts w:hint="eastAsia" w:ascii="宋体" w:hAnsi="宋体" w:cs="宋体"/>
                <w:color w:val="auto"/>
                <w:kern w:val="2"/>
                <w:sz w:val="21"/>
                <w:szCs w:val="21"/>
                <w:highlight w:val="none"/>
                <w:lang w:val="en-US" w:eastAsia="zh-CN"/>
              </w:rPr>
              <w:t>程度及能否</w:t>
            </w:r>
            <w:r>
              <w:rPr>
                <w:rFonts w:hint="eastAsia" w:ascii="宋体" w:hAnsi="宋体" w:eastAsia="宋体" w:cs="宋体"/>
                <w:color w:val="auto"/>
                <w:kern w:val="2"/>
                <w:sz w:val="21"/>
                <w:szCs w:val="21"/>
                <w:highlight w:val="none"/>
              </w:rPr>
              <w:t>结合本项目实际情况</w:t>
            </w:r>
            <w:r>
              <w:rPr>
                <w:rFonts w:hint="eastAsia" w:ascii="宋体" w:hAnsi="宋体" w:cs="宋体"/>
                <w:color w:val="auto"/>
                <w:kern w:val="2"/>
                <w:sz w:val="21"/>
                <w:szCs w:val="21"/>
                <w:highlight w:val="none"/>
                <w:lang w:val="en-US" w:eastAsia="zh-CN"/>
              </w:rPr>
              <w:t>分析等情况进行综合评审：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1)对本项目重点难点分析详细、透彻，能结合本项目实际情况分析，科学、合理的，得</w:t>
            </w:r>
            <w:r>
              <w:rPr>
                <w:rFonts w:hint="eastAsia" w:ascii="宋体" w:hAnsi="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2)对本项目重点难点分析较详细、透彻，能结合本项目实际情况分析，较科学、合理的，得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)对本项目重点难点分析</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详细、透彻，能结合本项目实际情况分析，合理</w:t>
            </w:r>
            <w:r>
              <w:rPr>
                <w:rFonts w:hint="eastAsia" w:ascii="宋体" w:hAnsi="宋体" w:cs="宋体"/>
                <w:color w:val="auto"/>
                <w:kern w:val="2"/>
                <w:sz w:val="21"/>
                <w:szCs w:val="21"/>
                <w:highlight w:val="none"/>
                <w:lang w:val="en-US" w:eastAsia="zh-CN"/>
              </w:rPr>
              <w:t>性一般</w:t>
            </w:r>
            <w:r>
              <w:rPr>
                <w:rFonts w:hint="eastAsia" w:ascii="宋体" w:hAnsi="宋体" w:eastAsia="宋体" w:cs="宋体"/>
                <w:color w:val="auto"/>
                <w:kern w:val="2"/>
                <w:sz w:val="21"/>
                <w:szCs w:val="21"/>
                <w:highlight w:val="none"/>
              </w:rPr>
              <w:t>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)对本项目重点难点分析不详细，不能结合本项目实际情况分析，缺乏科学合理性的，得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)无相关内容的，得0分。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投标产品的质量保证和食品安全保障措施方案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根据投标人对</w:t>
            </w:r>
            <w:r>
              <w:rPr>
                <w:rFonts w:hint="eastAsia" w:ascii="宋体" w:hAnsi="宋体" w:eastAsia="宋体" w:cs="宋体"/>
                <w:bCs/>
                <w:color w:val="auto"/>
                <w:kern w:val="2"/>
                <w:sz w:val="21"/>
                <w:szCs w:val="21"/>
                <w:highlight w:val="none"/>
              </w:rPr>
              <w:t>投标产品的质量保证和食品安全保障措施方案</w:t>
            </w:r>
            <w:r>
              <w:rPr>
                <w:rFonts w:hint="eastAsia" w:ascii="宋体" w:hAnsi="宋体" w:cs="宋体"/>
                <w:bCs/>
                <w:color w:val="auto"/>
                <w:kern w:val="2"/>
                <w:sz w:val="21"/>
                <w:szCs w:val="21"/>
                <w:highlight w:val="none"/>
                <w:lang w:val="en-US" w:eastAsia="zh-CN"/>
              </w:rPr>
              <w:t>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1)投标产品的来源回溯、加工、运储、仓储各环节的质量保证及食品安全保障措施完整、科学、合理的得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2)投标产品的来源回溯、加工、运储、仓储各环节的质量保证及食品安全保障措施完整、较科学、合理的得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3)投标产品的来源回溯、加工、运储、仓储各环节的质量保证及食品安全保障措施基本完整、基本科学、合理的得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4)投标产品的来源回溯、加工、运储、仓储各环节的质量保证及食品安全保障措施不完整、缺乏科学合理性的得1分；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5)无相关内容的，得0分。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配送服务方案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根据投标人提供的</w:t>
            </w:r>
            <w:r>
              <w:rPr>
                <w:rFonts w:hint="eastAsia" w:ascii="宋体" w:hAnsi="宋体" w:eastAsia="宋体" w:cs="宋体"/>
                <w:color w:val="auto"/>
                <w:kern w:val="2"/>
                <w:sz w:val="21"/>
                <w:szCs w:val="21"/>
                <w:highlight w:val="none"/>
              </w:rPr>
              <w:t>配送服务方案</w:t>
            </w:r>
            <w:r>
              <w:rPr>
                <w:rFonts w:hint="eastAsia" w:ascii="宋体" w:hAnsi="宋体" w:cs="宋体"/>
                <w:color w:val="auto"/>
                <w:kern w:val="2"/>
                <w:sz w:val="21"/>
                <w:szCs w:val="21"/>
                <w:highlight w:val="none"/>
                <w:lang w:val="en-US" w:eastAsia="zh-CN"/>
              </w:rPr>
              <w:t>进行综合评审：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1)方案内容完整、详细、表述清晰、科学合理、切实可行，得</w:t>
            </w:r>
            <w:r>
              <w:rPr>
                <w:rFonts w:hint="eastAsia" w:ascii="宋体" w:hAnsi="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2)方案内容比较完整、详细、表述比较清晰、合理、可行，得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3)方案内容基本完整、表述基本清晰、基本合理可行，得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4)方案内容不完整、表述不清晰、缺乏合理性，得1分；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出现产品质量问题退换货方案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投标人提供</w:t>
            </w:r>
            <w:r>
              <w:rPr>
                <w:rFonts w:hint="eastAsia" w:ascii="宋体" w:hAnsi="宋体" w:eastAsia="宋体" w:cs="宋体"/>
                <w:color w:val="auto"/>
                <w:kern w:val="2"/>
                <w:sz w:val="21"/>
                <w:szCs w:val="21"/>
                <w:highlight w:val="none"/>
              </w:rPr>
              <w:t>的退换方案（包含：退换流程）及措施进行</w:t>
            </w:r>
            <w:r>
              <w:rPr>
                <w:rFonts w:hint="eastAsia" w:ascii="宋体" w:hAnsi="宋体" w:cs="宋体"/>
                <w:color w:val="auto"/>
                <w:kern w:val="2"/>
                <w:sz w:val="21"/>
                <w:szCs w:val="21"/>
                <w:highlight w:val="none"/>
                <w:lang w:val="en-US" w:eastAsia="zh-CN"/>
              </w:rPr>
              <w:t>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退换货方案全面、详细具体、流程科学（合理）、退换货周期快速，得</w:t>
            </w:r>
            <w:r>
              <w:rPr>
                <w:rFonts w:hint="eastAsia" w:ascii="宋体" w:hAnsi="宋体" w:cs="宋体"/>
                <w:color w:val="auto"/>
                <w:kern w:val="2"/>
                <w:sz w:val="21"/>
                <w:szCs w:val="21"/>
                <w:highlight w:val="none"/>
                <w:lang w:val="en-US" w:eastAsia="zh-CN"/>
              </w:rPr>
              <w:t>9</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1"/>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)退换货方案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具体、流程</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合理、退换货周期快速，得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)退换货方案不够全面、简略一般、流程基本合理、退换货周期一般，得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)退换货方案存在重大缺陷、流程具有重大漏洞的、退换货周期慢，得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突发事件的应急响应方案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rPr>
              <w:t>提供</w:t>
            </w:r>
            <w:r>
              <w:rPr>
                <w:rFonts w:hint="eastAsia" w:ascii="宋体" w:hAnsi="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项目实施应急服务预案</w:t>
            </w:r>
            <w:r>
              <w:rPr>
                <w:rFonts w:hint="eastAsia" w:ascii="宋体" w:hAnsi="宋体" w:cs="宋体"/>
                <w:color w:val="auto"/>
                <w:kern w:val="2"/>
                <w:sz w:val="21"/>
                <w:szCs w:val="21"/>
                <w:highlight w:val="none"/>
                <w:lang w:val="en-US" w:eastAsia="zh-CN"/>
              </w:rPr>
              <w:t>进行综合评审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针对本项目拟定的突发事件的处理措施和应急预案全面、科学、合理、可行且详细的，得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全面、</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可行的，得</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)针对本项目拟定的突发事件的处理措施和应急预案不全面、</w:t>
            </w:r>
            <w:r>
              <w:rPr>
                <w:rFonts w:hint="eastAsia" w:ascii="宋体" w:hAnsi="宋体" w:cs="宋体"/>
                <w:color w:val="auto"/>
                <w:kern w:val="2"/>
                <w:sz w:val="21"/>
                <w:szCs w:val="21"/>
                <w:highlight w:val="none"/>
                <w:lang w:val="en-US" w:eastAsia="zh-CN"/>
              </w:rPr>
              <w:t>不</w:t>
            </w:r>
            <w:r>
              <w:rPr>
                <w:rFonts w:hint="eastAsia" w:ascii="宋体" w:hAnsi="宋体" w:eastAsia="宋体" w:cs="宋体"/>
                <w:color w:val="auto"/>
                <w:kern w:val="2"/>
                <w:sz w:val="21"/>
                <w:szCs w:val="21"/>
                <w:highlight w:val="none"/>
              </w:rPr>
              <w:t>合理的，得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cs="宋体"/>
                <w:color w:val="auto"/>
                <w:kern w:val="2"/>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p>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color w:val="auto"/>
                <w:sz w:val="21"/>
                <w:szCs w:val="21"/>
                <w:highlight w:val="none"/>
                <w:lang w:val="en-US" w:eastAsia="zh-CN"/>
              </w:rPr>
            </w:pPr>
          </w:p>
        </w:tc>
        <w:tc>
          <w:tcPr>
            <w:tcW w:w="1290" w:type="dxa"/>
            <w:tcBorders>
              <w:top w:val="single" w:color="auto" w:sz="4" w:space="0"/>
              <w:left w:val="single" w:color="auto" w:sz="4" w:space="0"/>
              <w:bottom w:val="single" w:color="auto" w:sz="4" w:space="0"/>
              <w:right w:val="single" w:color="auto" w:sz="4" w:space="0"/>
            </w:tcBorders>
            <w:vAlign w:val="center"/>
          </w:tcPr>
          <w:p>
            <w:pPr>
              <w:wordWrap w:val="0"/>
              <w:jc w:val="center"/>
              <w:rPr>
                <w:rFonts w:hint="eastAsia" w:ascii="宋体" w:hAnsi="宋体" w:eastAsia="宋体" w:cs="宋体"/>
                <w:color w:val="auto"/>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专业检测能力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投标人拥有的检测设备情况：配备有农药残留检测仪、重金属检测仪、</w:t>
            </w:r>
            <w:r>
              <w:rPr>
                <w:rFonts w:hint="eastAsia" w:ascii="宋体" w:hAnsi="宋体" w:cs="宋体"/>
                <w:bCs/>
                <w:color w:val="auto"/>
                <w:szCs w:val="21"/>
                <w:highlight w:val="none"/>
                <w:lang w:bidi="ar"/>
              </w:rPr>
              <w:t>兽药残留检测仪</w:t>
            </w:r>
            <w:r>
              <w:rPr>
                <w:rFonts w:hint="eastAsia" w:ascii="宋体" w:hAnsi="宋体" w:cs="宋体"/>
                <w:bCs/>
                <w:color w:val="auto"/>
                <w:szCs w:val="21"/>
                <w:highlight w:val="none"/>
                <w:lang w:eastAsia="zh-CN" w:bidi="ar"/>
              </w:rPr>
              <w:t>、细菌、大肠病菌检测仪</w:t>
            </w:r>
            <w:r>
              <w:rPr>
                <w:rFonts w:hint="eastAsia" w:ascii="宋体" w:hAnsi="宋体" w:cs="宋体"/>
                <w:bCs/>
                <w:color w:val="auto"/>
                <w:szCs w:val="21"/>
                <w:highlight w:val="none"/>
                <w:lang w:val="en-US" w:eastAsia="zh-CN" w:bidi="ar"/>
              </w:rPr>
              <w:t>或ATP荧光检测仪</w:t>
            </w:r>
            <w:r>
              <w:rPr>
                <w:rFonts w:hint="eastAsia" w:ascii="宋体" w:hAnsi="宋体" w:cs="宋体"/>
                <w:bCs/>
                <w:color w:val="auto"/>
                <w:szCs w:val="21"/>
                <w:highlight w:val="none"/>
                <w:lang w:eastAsia="zh-CN" w:bidi="ar"/>
              </w:rPr>
              <w:t>，</w:t>
            </w:r>
            <w:r>
              <w:rPr>
                <w:rFonts w:hint="eastAsia" w:ascii="Times New Roman" w:hAnsi="Times New Roman" w:eastAsia="宋体" w:cs="Times New Roman"/>
                <w:color w:val="auto"/>
                <w:kern w:val="2"/>
                <w:sz w:val="21"/>
                <w:szCs w:val="21"/>
                <w:highlight w:val="none"/>
                <w:lang w:val="en-US" w:eastAsia="zh-CN" w:bidi="ar-SA"/>
              </w:rPr>
              <w:t>每提供一种设备得1分，本项满分4分。</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cs="宋体"/>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注</w:t>
            </w:r>
            <w:r>
              <w:rPr>
                <w:rFonts w:hint="eastAsia" w:ascii="Times New Roman" w:hAnsi="Times New Roman" w:eastAsia="宋体" w:cs="Times New Roman"/>
                <w:color w:val="auto"/>
                <w:kern w:val="2"/>
                <w:sz w:val="21"/>
                <w:szCs w:val="21"/>
                <w:highlight w:val="none"/>
                <w:lang w:val="en-US" w:eastAsia="zh-CN" w:bidi="ar-SA"/>
              </w:rPr>
              <w:t>：自有设备</w:t>
            </w:r>
            <w:r>
              <w:rPr>
                <w:rFonts w:hint="eastAsia" w:ascii="Times New Roman" w:hAnsi="Times New Roman" w:cs="Times New Roman"/>
                <w:color w:val="auto"/>
                <w:kern w:val="2"/>
                <w:sz w:val="21"/>
                <w:szCs w:val="21"/>
                <w:highlight w:val="none"/>
                <w:lang w:val="en-US" w:eastAsia="zh-CN" w:bidi="ar-SA"/>
              </w:rPr>
              <w:t>须</w:t>
            </w:r>
            <w:r>
              <w:rPr>
                <w:rFonts w:hint="eastAsia" w:ascii="Times New Roman" w:hAnsi="Times New Roman" w:eastAsia="宋体" w:cs="Times New Roman"/>
                <w:color w:val="auto"/>
                <w:kern w:val="2"/>
                <w:sz w:val="21"/>
                <w:szCs w:val="21"/>
                <w:highlight w:val="none"/>
                <w:lang w:val="en-US" w:eastAsia="zh-CN" w:bidi="ar-SA"/>
              </w:rPr>
              <w:t>提供购买发票（或购买凭证）复印件及对应的检测仪仪器图作为得分依据；租赁设备</w:t>
            </w:r>
            <w:r>
              <w:rPr>
                <w:rFonts w:hint="eastAsia" w:ascii="Times New Roman" w:hAnsi="Times New Roman" w:cs="Times New Roman"/>
                <w:color w:val="auto"/>
                <w:kern w:val="2"/>
                <w:sz w:val="21"/>
                <w:szCs w:val="21"/>
                <w:highlight w:val="none"/>
                <w:lang w:val="en-US" w:eastAsia="zh-CN" w:bidi="ar-SA"/>
              </w:rPr>
              <w:t>须</w:t>
            </w:r>
            <w:r>
              <w:rPr>
                <w:rFonts w:hint="eastAsia" w:ascii="Times New Roman" w:hAnsi="Times New Roman" w:eastAsia="宋体" w:cs="Times New Roman"/>
                <w:color w:val="auto"/>
                <w:kern w:val="2"/>
                <w:sz w:val="21"/>
                <w:szCs w:val="21"/>
                <w:highlight w:val="none"/>
                <w:lang w:val="en-US" w:eastAsia="zh-CN" w:bidi="ar-SA"/>
              </w:rPr>
              <w:t>提供租赁合同、</w:t>
            </w:r>
            <w:r>
              <w:rPr>
                <w:rFonts w:hint="eastAsia" w:ascii="Times New Roman" w:hAnsi="Times New Roman" w:cs="Times New Roman"/>
                <w:color w:val="auto"/>
                <w:kern w:val="2"/>
                <w:sz w:val="21"/>
                <w:szCs w:val="21"/>
                <w:highlight w:val="none"/>
                <w:lang w:val="en-US" w:eastAsia="zh-CN" w:bidi="ar-SA"/>
              </w:rPr>
              <w:t>相应</w:t>
            </w:r>
            <w:r>
              <w:rPr>
                <w:rFonts w:hint="eastAsia" w:ascii="Times New Roman" w:hAnsi="Times New Roman" w:eastAsia="宋体" w:cs="Times New Roman"/>
                <w:color w:val="auto"/>
                <w:kern w:val="2"/>
                <w:sz w:val="21"/>
                <w:szCs w:val="21"/>
                <w:highlight w:val="none"/>
                <w:lang w:val="en-US" w:eastAsia="zh-CN" w:bidi="ar-SA"/>
              </w:rPr>
              <w:t>租金转账凭证复印件及对应的检测仪仪器图作为得分依据。</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7</w:t>
            </w:r>
          </w:p>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color w:val="auto"/>
                <w:sz w:val="21"/>
                <w:szCs w:val="21"/>
                <w:highlight w:val="none"/>
                <w:lang w:val="en-US" w:eastAsia="zh-CN"/>
              </w:rPr>
            </w:pP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color w:val="auto"/>
                <w:sz w:val="21"/>
                <w:szCs w:val="21"/>
                <w:highlight w:val="none"/>
                <w:shd w:val="clear" w:color="auto" w:fill="auto"/>
                <w:lang w:eastAsia="zh-CN"/>
              </w:rPr>
              <w:t>专业技术人员配备情况</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具备高级（三级或以上）食品检验工（员）证，每个得1分，最高得4分。</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cs="宋体"/>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注：须提供证书复印件及投标人为其缴纳的距开标前3个月内（不含开标当月）任意1个月的社保证明复印件加盖投标人公章。</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9685"/>
      <w:bookmarkStart w:id="18" w:name="_Toc30638"/>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color w:val="auto"/>
          <w:highlight w:val="none"/>
        </w:rPr>
      </w:pPr>
      <w:bookmarkStart w:id="21" w:name="_Toc11105"/>
      <w:bookmarkStart w:id="22" w:name="_Toc19746"/>
      <w:bookmarkStart w:id="23" w:name="_Toc309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6"/>
        <w:widowControl w:val="0"/>
        <w:overflowPunct w:val="0"/>
        <w:spacing w:before="0" w:after="0" w:line="240" w:lineRule="auto"/>
        <w:rPr>
          <w:rFonts w:ascii="宋体" w:hAnsi="宋体" w:eastAsia="宋体"/>
          <w:color w:val="auto"/>
          <w:sz w:val="21"/>
          <w:szCs w:val="21"/>
          <w:highlight w:val="none"/>
        </w:rPr>
      </w:pPr>
      <w:bookmarkStart w:id="24" w:name="_Toc22847"/>
      <w:bookmarkStart w:id="25" w:name="_Toc22803"/>
      <w:bookmarkStart w:id="26" w:name="_Toc18488"/>
      <w:r>
        <w:rPr>
          <w:rFonts w:hint="eastAsia" w:ascii="宋体" w:hAnsi="宋体" w:eastAsia="宋体"/>
          <w:color w:val="auto"/>
          <w:sz w:val="21"/>
          <w:szCs w:val="21"/>
          <w:highlight w:val="none"/>
        </w:rPr>
        <w:t>1.适用范围</w:t>
      </w:r>
      <w:bookmarkEnd w:id="24"/>
      <w:bookmarkEnd w:id="25"/>
      <w:bookmarkEnd w:id="26"/>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7" w:name="_Toc16848"/>
      <w:bookmarkStart w:id="28" w:name="_Toc21002"/>
      <w:bookmarkStart w:id="29" w:name="_Toc13400"/>
      <w:r>
        <w:rPr>
          <w:rFonts w:hint="eastAsia" w:ascii="宋体" w:hAnsi="宋体" w:eastAsia="宋体"/>
          <w:color w:val="auto"/>
          <w:sz w:val="21"/>
          <w:szCs w:val="21"/>
          <w:highlight w:val="none"/>
        </w:rPr>
        <w:t>2.</w:t>
      </w:r>
      <w:bookmarkStart w:id="30" w:name="_Toc1530"/>
      <w:bookmarkStart w:id="31" w:name="_Toc298847174"/>
      <w:bookmarkStart w:id="32" w:name="_Toc382049092"/>
      <w:bookmarkStart w:id="33" w:name="_Toc303084246"/>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4" w:name="_Toc3780"/>
      <w:bookmarkStart w:id="35" w:name="_Toc2996"/>
      <w:bookmarkStart w:id="36" w:name="_Toc9710"/>
      <w:r>
        <w:rPr>
          <w:rFonts w:hint="eastAsia" w:ascii="宋体" w:hAnsi="宋体" w:eastAsia="宋体"/>
          <w:color w:val="auto"/>
          <w:sz w:val="21"/>
          <w:szCs w:val="21"/>
          <w:highlight w:val="none"/>
        </w:rPr>
        <w:t>3.货物和服务</w:t>
      </w:r>
      <w:bookmarkEnd w:id="34"/>
      <w:bookmarkEnd w:id="35"/>
      <w:bookmarkEnd w:id="36"/>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7" w:name="_Toc13909"/>
      <w:bookmarkStart w:id="38" w:name="_Toc12536"/>
      <w:bookmarkStart w:id="39" w:name="_Toc15945"/>
      <w:r>
        <w:rPr>
          <w:rFonts w:hint="eastAsia" w:ascii="宋体" w:hAnsi="宋体" w:eastAsia="宋体"/>
          <w:color w:val="auto"/>
          <w:sz w:val="21"/>
          <w:szCs w:val="21"/>
          <w:highlight w:val="none"/>
        </w:rPr>
        <w:t>4.投标费用</w:t>
      </w:r>
      <w:bookmarkEnd w:id="37"/>
      <w:bookmarkEnd w:id="38"/>
      <w:bookmarkEnd w:id="39"/>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0" w:name="_Toc25040"/>
      <w:bookmarkStart w:id="41" w:name="_Toc19532"/>
      <w:bookmarkStart w:id="42" w:name="_Toc19094"/>
      <w:r>
        <w:rPr>
          <w:rFonts w:hint="eastAsia" w:ascii="宋体" w:hAnsi="宋体" w:eastAsia="宋体"/>
          <w:color w:val="auto"/>
          <w:sz w:val="21"/>
          <w:szCs w:val="21"/>
          <w:highlight w:val="none"/>
        </w:rPr>
        <w:t>5.知识产权</w:t>
      </w:r>
      <w:bookmarkEnd w:id="40"/>
      <w:bookmarkEnd w:id="41"/>
      <w:bookmarkEnd w:id="42"/>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3" w:name="_Toc21930"/>
      <w:bookmarkStart w:id="44" w:name="_Toc8432"/>
      <w:bookmarkStart w:id="45" w:name="_Toc31885"/>
      <w:r>
        <w:rPr>
          <w:rFonts w:hint="eastAsia" w:ascii="宋体" w:hAnsi="宋体" w:eastAsia="宋体"/>
          <w:color w:val="auto"/>
          <w:sz w:val="21"/>
          <w:szCs w:val="21"/>
          <w:highlight w:val="none"/>
        </w:rPr>
        <w:t>6.关于联合体投标</w:t>
      </w:r>
      <w:bookmarkEnd w:id="43"/>
      <w:bookmarkEnd w:id="44"/>
      <w:bookmarkEnd w:id="45"/>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6" w:name="_Toc16571"/>
      <w:bookmarkStart w:id="47" w:name="_Toc13811"/>
      <w:bookmarkStart w:id="48" w:name="_Toc3233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5"/>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6"/>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2"/>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4217"/>
      <w:bookmarkStart w:id="57" w:name="_Toc17274"/>
      <w:bookmarkStart w:id="58" w:name="_Toc7997"/>
      <w:r>
        <w:rPr>
          <w:rFonts w:hint="eastAsia" w:ascii="宋体" w:hAnsi="宋体" w:eastAsia="宋体"/>
          <w:color w:val="auto"/>
          <w:sz w:val="21"/>
          <w:szCs w:val="21"/>
          <w:highlight w:val="none"/>
        </w:rPr>
        <w:t>9.招标文件的澄清或修改</w:t>
      </w:r>
      <w:bookmarkEnd w:id="56"/>
      <w:bookmarkEnd w:id="57"/>
      <w:bookmarkEnd w:id="58"/>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9" w:name="_Toc16712"/>
      <w:bookmarkStart w:id="60" w:name="_Toc23726"/>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8092"/>
      <w:bookmarkStart w:id="63" w:name="_Toc7434"/>
      <w:bookmarkStart w:id="64" w:name="_Toc20623"/>
      <w:r>
        <w:rPr>
          <w:rFonts w:hint="eastAsia" w:ascii="宋体" w:hAnsi="宋体" w:eastAsia="宋体"/>
          <w:color w:val="auto"/>
          <w:sz w:val="21"/>
          <w:szCs w:val="21"/>
          <w:highlight w:val="none"/>
        </w:rPr>
        <w:t>10.投标文件的语言及度量衡单位</w:t>
      </w:r>
      <w:bookmarkEnd w:id="62"/>
      <w:bookmarkEnd w:id="63"/>
      <w:bookmarkEnd w:id="64"/>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82049103"/>
      <w:bookmarkStart w:id="66" w:name="_Toc307934854"/>
      <w:bookmarkStart w:id="67" w:name="_Toc18999"/>
      <w:bookmarkStart w:id="68" w:name="_Toc12145"/>
      <w:bookmarkStart w:id="69" w:name="_Toc303084256"/>
      <w:bookmarkStart w:id="70" w:name="_Toc28866"/>
      <w:bookmarkStart w:id="71" w:name="_Toc7728"/>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0189"/>
      <w:bookmarkStart w:id="73" w:name="_Toc21747"/>
      <w:bookmarkStart w:id="74" w:name="_Toc3882"/>
      <w:r>
        <w:rPr>
          <w:rFonts w:hint="eastAsia" w:ascii="宋体" w:hAnsi="宋体" w:eastAsia="宋体"/>
          <w:color w:val="auto"/>
          <w:sz w:val="21"/>
          <w:szCs w:val="21"/>
          <w:highlight w:val="none"/>
        </w:rPr>
        <w:t>12.投标文件编制</w:t>
      </w:r>
      <w:bookmarkEnd w:id="72"/>
      <w:bookmarkEnd w:id="73"/>
      <w:bookmarkEnd w:id="74"/>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259"/>
      <w:bookmarkStart w:id="77" w:name="_Toc7847"/>
      <w:bookmarkStart w:id="78" w:name="_Toc17188"/>
      <w:r>
        <w:rPr>
          <w:rFonts w:hint="eastAsia" w:ascii="宋体" w:hAnsi="宋体" w:eastAsia="宋体"/>
          <w:color w:val="auto"/>
          <w:sz w:val="21"/>
          <w:szCs w:val="21"/>
          <w:highlight w:val="none"/>
        </w:rPr>
        <w:t>13.投标报价说明</w:t>
      </w:r>
      <w:bookmarkEnd w:id="76"/>
      <w:bookmarkEnd w:id="77"/>
      <w:bookmarkEnd w:id="78"/>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8911"/>
      <w:bookmarkStart w:id="80" w:name="_Toc27724"/>
      <w:bookmarkStart w:id="81" w:name="_Toc16535"/>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30815"/>
      <w:bookmarkStart w:id="85" w:name="_Toc19520"/>
      <w:bookmarkStart w:id="86" w:name="_Toc22169"/>
      <w:r>
        <w:rPr>
          <w:rFonts w:hint="eastAsia" w:ascii="宋体" w:hAnsi="宋体" w:eastAsia="宋体"/>
          <w:color w:val="auto"/>
          <w:sz w:val="21"/>
          <w:szCs w:val="21"/>
          <w:highlight w:val="none"/>
        </w:rPr>
        <w:t>15.★投标有效期</w:t>
      </w:r>
      <w:bookmarkEnd w:id="84"/>
      <w:bookmarkEnd w:id="85"/>
      <w:bookmarkEnd w:id="86"/>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25817"/>
      <w:bookmarkStart w:id="88" w:name="_Toc30257"/>
      <w:bookmarkStart w:id="89" w:name="_Toc12456"/>
      <w:r>
        <w:rPr>
          <w:rFonts w:hint="eastAsia" w:ascii="宋体" w:hAnsi="宋体" w:eastAsia="宋体"/>
          <w:color w:val="auto"/>
          <w:sz w:val="21"/>
          <w:szCs w:val="21"/>
          <w:highlight w:val="none"/>
        </w:rPr>
        <w:t>16.★投标保证金</w:t>
      </w:r>
      <w:bookmarkEnd w:id="87"/>
      <w:bookmarkEnd w:id="88"/>
      <w:bookmarkEnd w:id="89"/>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91" w:name="_Toc31124"/>
      <w:bookmarkStart w:id="92" w:name="_Toc3200"/>
      <w:bookmarkStart w:id="93" w:name="_Toc24109"/>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473"/>
      <w:bookmarkStart w:id="95" w:name="_Toc382049111"/>
      <w:bookmarkStart w:id="96" w:name="_Toc29590"/>
      <w:bookmarkStart w:id="97" w:name="_Toc24997"/>
      <w:bookmarkStart w:id="98" w:name="_Toc303084264"/>
      <w:bookmarkStart w:id="99" w:name="_Toc23678"/>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8628"/>
      <w:bookmarkStart w:id="101" w:name="_Toc7473"/>
      <w:bookmarkStart w:id="102" w:name="_Toc17417"/>
      <w:r>
        <w:rPr>
          <w:rFonts w:hint="eastAsia" w:ascii="宋体" w:hAnsi="宋体" w:eastAsia="宋体"/>
          <w:color w:val="auto"/>
          <w:sz w:val="21"/>
          <w:szCs w:val="21"/>
          <w:highlight w:val="none"/>
        </w:rPr>
        <w:t>18.迟交的投标文件</w:t>
      </w:r>
      <w:bookmarkEnd w:id="100"/>
      <w:bookmarkEnd w:id="101"/>
      <w:bookmarkEnd w:id="102"/>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8526"/>
      <w:bookmarkStart w:id="105" w:name="_Toc19649"/>
      <w:r>
        <w:rPr>
          <w:rFonts w:hint="eastAsia" w:ascii="宋体" w:hAnsi="宋体" w:eastAsia="宋体"/>
          <w:color w:val="auto"/>
          <w:sz w:val="21"/>
          <w:szCs w:val="21"/>
          <w:highlight w:val="none"/>
        </w:rPr>
        <w:t>19.投标样品（如需提交）</w:t>
      </w:r>
      <w:bookmarkEnd w:id="103"/>
      <w:bookmarkEnd w:id="104"/>
      <w:bookmarkEnd w:id="105"/>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7689"/>
      <w:bookmarkStart w:id="107" w:name="_Toc23477"/>
      <w:bookmarkStart w:id="108" w:name="_Toc5900"/>
      <w:bookmarkStart w:id="109" w:name="_Toc9777"/>
      <w:bookmarkStart w:id="110" w:name="_Toc303084265"/>
      <w:bookmarkStart w:id="111" w:name="_Toc382049112"/>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6003"/>
      <w:bookmarkStart w:id="113" w:name="_Toc15569"/>
      <w:bookmarkStart w:id="114" w:name="_Toc11133"/>
      <w:r>
        <w:rPr>
          <w:rFonts w:hint="eastAsia" w:ascii="宋体" w:hAnsi="宋体" w:eastAsia="宋体"/>
          <w:color w:val="auto"/>
          <w:sz w:val="21"/>
          <w:szCs w:val="21"/>
          <w:highlight w:val="none"/>
        </w:rPr>
        <w:t>21.投标文件的补充、修改与撤回</w:t>
      </w:r>
      <w:bookmarkEnd w:id="112"/>
      <w:bookmarkEnd w:id="113"/>
      <w:bookmarkEnd w:id="114"/>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2"/>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15" w:name="_Toc23466"/>
      <w:bookmarkStart w:id="116" w:name="_Toc5049"/>
      <w:bookmarkStart w:id="117" w:name="_Toc29574"/>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8458"/>
      <w:bookmarkStart w:id="119" w:name="_Toc27700"/>
      <w:bookmarkStart w:id="120" w:name="_Toc24251"/>
      <w:r>
        <w:rPr>
          <w:rFonts w:hint="eastAsia" w:ascii="宋体" w:hAnsi="宋体" w:eastAsia="宋体"/>
          <w:color w:val="auto"/>
          <w:sz w:val="21"/>
          <w:szCs w:val="21"/>
          <w:highlight w:val="none"/>
        </w:rPr>
        <w:t>22.开标</w:t>
      </w:r>
      <w:bookmarkEnd w:id="118"/>
      <w:bookmarkEnd w:id="119"/>
      <w:bookmarkEnd w:id="120"/>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974"/>
      <w:bookmarkStart w:id="122" w:name="_Toc4921"/>
      <w:bookmarkStart w:id="123" w:name="_Toc5524"/>
      <w:r>
        <w:rPr>
          <w:rFonts w:hint="eastAsia" w:ascii="宋体" w:hAnsi="宋体" w:eastAsia="宋体"/>
          <w:color w:val="auto"/>
          <w:sz w:val="21"/>
          <w:szCs w:val="21"/>
          <w:highlight w:val="none"/>
        </w:rPr>
        <w:t>23.评标委员会及评标方法</w:t>
      </w:r>
      <w:bookmarkEnd w:id="121"/>
      <w:bookmarkEnd w:id="122"/>
      <w:bookmarkEnd w:id="123"/>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26402"/>
      <w:bookmarkStart w:id="125" w:name="_Toc15231"/>
      <w:bookmarkStart w:id="126" w:name="_Toc32730"/>
      <w:r>
        <w:rPr>
          <w:rFonts w:hint="eastAsia" w:ascii="宋体" w:hAnsi="宋体" w:eastAsia="宋体"/>
          <w:color w:val="auto"/>
          <w:sz w:val="21"/>
          <w:szCs w:val="21"/>
          <w:highlight w:val="none"/>
        </w:rPr>
        <w:t>24.评审原则及评标过程的保密</w:t>
      </w:r>
      <w:bookmarkEnd w:id="124"/>
      <w:bookmarkEnd w:id="125"/>
      <w:bookmarkEnd w:id="126"/>
    </w:p>
    <w:p>
      <w:pPr>
        <w:pStyle w:val="32"/>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8436"/>
      <w:bookmarkStart w:id="128" w:name="_Toc3762"/>
      <w:bookmarkStart w:id="129" w:name="_Toc16745"/>
      <w:r>
        <w:rPr>
          <w:rFonts w:hint="eastAsia" w:ascii="宋体" w:hAnsi="宋体" w:eastAsia="宋体"/>
          <w:color w:val="auto"/>
          <w:sz w:val="21"/>
          <w:szCs w:val="21"/>
          <w:highlight w:val="none"/>
        </w:rPr>
        <w:t>25.投标文件的初审</w:t>
      </w:r>
      <w:bookmarkEnd w:id="127"/>
      <w:bookmarkEnd w:id="128"/>
      <w:bookmarkEnd w:id="129"/>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1742"/>
      <w:bookmarkStart w:id="131" w:name="_Toc27673"/>
      <w:bookmarkStart w:id="132" w:name="_Toc29184"/>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17683"/>
      <w:bookmarkStart w:id="134" w:name="_Toc7593"/>
      <w:bookmarkStart w:id="135" w:name="_Toc22192"/>
      <w:r>
        <w:rPr>
          <w:rFonts w:hint="eastAsia" w:ascii="宋体" w:hAnsi="宋体" w:eastAsia="宋体"/>
          <w:color w:val="auto"/>
          <w:sz w:val="21"/>
          <w:szCs w:val="21"/>
          <w:highlight w:val="none"/>
        </w:rPr>
        <w:t>27.优惠政策</w:t>
      </w:r>
      <w:bookmarkEnd w:id="133"/>
      <w:bookmarkEnd w:id="134"/>
      <w:bookmarkEnd w:id="135"/>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8"/>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20328"/>
      <w:bookmarkStart w:id="138" w:name="_Toc12115"/>
      <w:bookmarkStart w:id="139" w:name="_Toc382049120"/>
      <w:bookmarkStart w:id="140" w:name="_Toc31141"/>
      <w:bookmarkStart w:id="141" w:name="_Toc22591"/>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42" w:name="_Toc29310"/>
      <w:bookmarkStart w:id="143" w:name="_Toc12251"/>
      <w:bookmarkStart w:id="144" w:name="_Toc5528"/>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508284011"/>
      <w:bookmarkStart w:id="146" w:name="_Toc17778"/>
      <w:bookmarkStart w:id="147" w:name="_Toc6696"/>
      <w:bookmarkStart w:id="148" w:name="_Toc27817"/>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29283"/>
      <w:bookmarkStart w:id="150" w:name="_Toc23136"/>
      <w:bookmarkStart w:id="151" w:name="_Toc508284013"/>
      <w:bookmarkStart w:id="152" w:name="_Toc12440"/>
      <w:r>
        <w:rPr>
          <w:rFonts w:hint="eastAsia" w:ascii="宋体" w:hAnsi="宋体" w:eastAsia="宋体"/>
          <w:color w:val="auto"/>
          <w:sz w:val="21"/>
          <w:szCs w:val="21"/>
          <w:highlight w:val="none"/>
        </w:rPr>
        <w:t>30.发布采购结果</w:t>
      </w:r>
      <w:bookmarkEnd w:id="149"/>
      <w:bookmarkEnd w:id="150"/>
      <w:bookmarkEnd w:id="151"/>
      <w:bookmarkEnd w:id="152"/>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10"/>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7279"/>
      <w:bookmarkStart w:id="154" w:name="_Toc22262"/>
      <w:bookmarkStart w:id="155" w:name="_Toc22451"/>
      <w:r>
        <w:rPr>
          <w:rFonts w:hint="eastAsia" w:ascii="宋体" w:hAnsi="宋体" w:eastAsia="宋体"/>
          <w:color w:val="auto"/>
          <w:sz w:val="21"/>
          <w:szCs w:val="21"/>
          <w:highlight w:val="none"/>
        </w:rPr>
        <w:t>31.合同的签订与履行</w:t>
      </w:r>
      <w:bookmarkEnd w:id="153"/>
      <w:bookmarkEnd w:id="154"/>
      <w:bookmarkEnd w:id="155"/>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303084277"/>
      <w:bookmarkStart w:id="157" w:name="_Toc382049124"/>
      <w:bookmarkStart w:id="158" w:name="_Toc2744"/>
      <w:bookmarkStart w:id="159" w:name="_Toc7405"/>
      <w:bookmarkStart w:id="160" w:name="_Toc25756"/>
      <w:bookmarkStart w:id="161" w:name="_Toc29009"/>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62" w:name="_Toc13694"/>
      <w:bookmarkStart w:id="163" w:name="_Toc20699"/>
      <w:bookmarkStart w:id="164" w:name="_Toc7360"/>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2900"/>
      <w:bookmarkStart w:id="166" w:name="_Toc17974"/>
      <w:bookmarkStart w:id="167" w:name="_Toc25498"/>
      <w:r>
        <w:rPr>
          <w:rFonts w:hint="eastAsia" w:ascii="宋体" w:hAnsi="宋体" w:eastAsia="宋体"/>
          <w:color w:val="auto"/>
          <w:sz w:val="21"/>
          <w:szCs w:val="21"/>
          <w:highlight w:val="none"/>
        </w:rPr>
        <w:t>33.询问</w:t>
      </w:r>
      <w:bookmarkEnd w:id="165"/>
      <w:bookmarkEnd w:id="166"/>
      <w:bookmarkEnd w:id="167"/>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8234"/>
      <w:bookmarkStart w:id="169" w:name="_Toc11264"/>
      <w:bookmarkStart w:id="170" w:name="_Toc2767"/>
      <w:r>
        <w:rPr>
          <w:rFonts w:hint="eastAsia" w:ascii="宋体" w:hAnsi="宋体" w:eastAsia="宋体"/>
          <w:color w:val="auto"/>
          <w:sz w:val="21"/>
          <w:szCs w:val="21"/>
          <w:highlight w:val="none"/>
        </w:rPr>
        <w:t>34.质疑</w:t>
      </w:r>
      <w:bookmarkEnd w:id="168"/>
      <w:bookmarkEnd w:id="169"/>
      <w:bookmarkEnd w:id="170"/>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71" w:name="_Toc8919"/>
      <w:bookmarkStart w:id="172" w:name="_Toc5690"/>
      <w:bookmarkStart w:id="173" w:name="_Toc24383"/>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21187"/>
      <w:bookmarkStart w:id="175" w:name="_Toc10082"/>
      <w:bookmarkStart w:id="176" w:name="_Toc6548"/>
      <w:r>
        <w:rPr>
          <w:rFonts w:hint="eastAsia" w:ascii="宋体" w:hAnsi="宋体" w:eastAsia="宋体"/>
          <w:color w:val="auto"/>
          <w:sz w:val="21"/>
          <w:szCs w:val="21"/>
          <w:highlight w:val="none"/>
        </w:rPr>
        <w:t>35.招标文件的解释权</w:t>
      </w:r>
      <w:bookmarkEnd w:id="174"/>
      <w:bookmarkEnd w:id="175"/>
      <w:bookmarkEnd w:id="176"/>
    </w:p>
    <w:p>
      <w:pPr>
        <w:pStyle w:val="32"/>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rFonts w:hint="eastAsia"/>
          <w:color w:val="auto"/>
          <w:sz w:val="28"/>
          <w:szCs w:val="28"/>
          <w:highlight w:val="none"/>
        </w:rPr>
      </w:pPr>
      <w:bookmarkStart w:id="177" w:name="_Toc382"/>
      <w:bookmarkStart w:id="178" w:name="_Toc31854"/>
      <w:bookmarkStart w:id="179"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31162"/>
      <w:r>
        <w:rPr>
          <w:rFonts w:hint="eastAsia" w:ascii="宋体" w:hAnsi="宋体"/>
          <w:color w:val="auto"/>
          <w:highlight w:val="none"/>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自合同签定之日起三年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按采购人要求按月配送，按实支付，本合同的每笔款项均以银行电汇方式支付，具体付款要求如下：双方采取先送货后结款的方式，从第一次送货之日起，采购人每月向中标人清货款一次。双方应在每月10日前核对上期货款，再由中标人根据双方核对无误确认好的金额开具发票给采购人请款，采购人应在收到中标人发票后的30个工作日内支付上月的货款，采购人以银行转账方式将货款一次性转入中标人书面指定的银行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widowControl w:val="0"/>
              <w:tabs>
                <w:tab w:val="left" w:pos="709"/>
              </w:tabs>
              <w:adjustRightInd/>
              <w:snapToGrid/>
              <w:spacing w:after="0" w:line="360" w:lineRule="auto"/>
              <w:ind w:firstLine="420" w:firstLineChars="200"/>
              <w:jc w:val="both"/>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本项目报价采用</w:t>
            </w:r>
            <w:r>
              <w:rPr>
                <w:rFonts w:hint="eastAsia" w:ascii="宋体" w:hAnsi="宋体" w:cs="宋体"/>
                <w:color w:val="auto"/>
                <w:sz w:val="21"/>
                <w:szCs w:val="21"/>
                <w:highlight w:val="none"/>
                <w:lang w:eastAsia="zh-CN"/>
              </w:rPr>
              <w:t>折扣率</w:t>
            </w:r>
            <w:r>
              <w:rPr>
                <w:rFonts w:hint="eastAsia" w:ascii="宋体" w:hAnsi="宋体" w:eastAsia="宋体" w:cs="宋体"/>
                <w:color w:val="auto"/>
                <w:sz w:val="21"/>
                <w:szCs w:val="21"/>
                <w:highlight w:val="none"/>
              </w:rPr>
              <w:t>报价方式</w:t>
            </w:r>
            <w:r>
              <w:rPr>
                <w:rFonts w:hint="eastAsia" w:ascii="宋体" w:hAnsi="宋体" w:eastAsia="宋体" w:cs="宋体"/>
                <w:bCs/>
                <w:color w:val="auto"/>
                <w:sz w:val="21"/>
                <w:szCs w:val="21"/>
                <w:highlight w:val="none"/>
              </w:rPr>
              <w:t>，且所报的</w:t>
            </w:r>
            <w:r>
              <w:rPr>
                <w:rFonts w:hint="eastAsia" w:ascii="宋体" w:hAnsi="宋体" w:cs="宋体"/>
                <w:bCs/>
                <w:color w:val="auto"/>
                <w:sz w:val="21"/>
                <w:szCs w:val="21"/>
                <w:highlight w:val="none"/>
                <w:lang w:eastAsia="zh-CN"/>
              </w:rPr>
              <w:t>折扣率</w:t>
            </w:r>
            <w:r>
              <w:rPr>
                <w:rFonts w:hint="eastAsia" w:ascii="宋体" w:hAnsi="宋体" w:eastAsia="宋体" w:cs="宋体"/>
                <w:bCs/>
                <w:color w:val="auto"/>
                <w:sz w:val="21"/>
                <w:szCs w:val="21"/>
                <w:highlight w:val="none"/>
              </w:rPr>
              <w:t>应当适用于所有产品单品</w:t>
            </w:r>
            <w:r>
              <w:rPr>
                <w:rFonts w:hint="eastAsia" w:ascii="宋体" w:hAnsi="宋体" w:eastAsia="宋体" w:cs="宋体"/>
                <w:color w:val="auto"/>
                <w:sz w:val="21"/>
                <w:szCs w:val="21"/>
                <w:highlight w:val="none"/>
              </w:rPr>
              <w:t>。报价应包含完成本次招标所有服务内容的费用，包括人工费、食材采购费、食材运输费、材料费、设备使用费、</w:t>
            </w:r>
            <w:r>
              <w:rPr>
                <w:rFonts w:hint="eastAsia" w:ascii="宋体" w:hAnsi="宋体" w:eastAsia="宋体" w:cs="宋体"/>
                <w:color w:val="auto"/>
                <w:sz w:val="21"/>
                <w:szCs w:val="21"/>
                <w:highlight w:val="none"/>
                <w:lang w:val="en-US" w:eastAsia="zh-CN"/>
              </w:rPr>
              <w:t>保险费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各种税务费、必须的辅助材料费及合同实施过程中不可预见费用等全部费用，采购人不向中标人另行支付任何费用。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注：折扣率=1-下浮率</w:t>
            </w:r>
            <w:r>
              <w:rPr>
                <w:rFonts w:hint="eastAsia" w:ascii="宋体" w:hAnsi="宋体" w:cs="宋体"/>
                <w:color w:val="auto"/>
                <w:sz w:val="21"/>
                <w:szCs w:val="21"/>
                <w:highlight w:val="none"/>
                <w:lang w:eastAsia="zh-CN"/>
              </w:rPr>
              <w:t>）</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2.中标人供货价需按照当前时段东莞市发展和改革局公布同期“广东省菜篮子价格监测表”中最新一期的“东莞市菜篮子价格监测表”的价格为基准价进行</w:t>
            </w:r>
            <w:r>
              <w:rPr>
                <w:rFonts w:hint="eastAsia" w:ascii="宋体" w:hAnsi="宋体" w:cs="宋体"/>
                <w:bCs/>
                <w:color w:val="auto"/>
                <w:sz w:val="21"/>
                <w:szCs w:val="21"/>
                <w:highlight w:val="none"/>
                <w:lang w:eastAsia="zh-CN"/>
              </w:rPr>
              <w:t>折扣</w:t>
            </w:r>
            <w:r>
              <w:rPr>
                <w:rFonts w:hint="eastAsia" w:ascii="宋体" w:hAnsi="宋体" w:eastAsia="宋体" w:cs="宋体"/>
                <w:bCs/>
                <w:color w:val="auto"/>
                <w:sz w:val="21"/>
                <w:szCs w:val="21"/>
                <w:highlight w:val="none"/>
              </w:rPr>
              <w:t>，中标人须于《东莞市发展和改革局》网站最新价格挂出后第二天向采购人提供最新一期的价格表</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当周基准价格一经确定，双方须严格执行，不受市场物价波动影响，不得调价。中标人原则上每隔一个周调整一次价格，</w:t>
            </w:r>
            <w:r>
              <w:rPr>
                <w:rFonts w:hint="eastAsia" w:ascii="宋体" w:hAnsi="宋体" w:cs="宋体"/>
                <w:bCs/>
                <w:color w:val="auto"/>
                <w:sz w:val="21"/>
                <w:szCs w:val="21"/>
                <w:highlight w:val="none"/>
                <w:lang w:val="en-US" w:eastAsia="zh-CN"/>
              </w:rPr>
              <w:t>调整的价格不得高于三个参考市场（主山</w:t>
            </w:r>
            <w:r>
              <w:rPr>
                <w:rFonts w:hint="eastAsia" w:ascii="宋体" w:hAnsi="宋体" w:eastAsia="宋体" w:cs="宋体"/>
                <w:bCs/>
                <w:color w:val="auto"/>
                <w:sz w:val="21"/>
                <w:szCs w:val="21"/>
                <w:highlight w:val="none"/>
              </w:rPr>
              <w:t>综合市场、</w:t>
            </w:r>
            <w:r>
              <w:rPr>
                <w:rFonts w:hint="eastAsia" w:ascii="宋体" w:hAnsi="宋体" w:cs="宋体"/>
                <w:bCs/>
                <w:color w:val="auto"/>
                <w:sz w:val="21"/>
                <w:szCs w:val="21"/>
                <w:highlight w:val="none"/>
                <w:lang w:val="en-US" w:eastAsia="zh-CN"/>
              </w:rPr>
              <w:t>罗沙综合</w:t>
            </w:r>
            <w:r>
              <w:rPr>
                <w:rFonts w:hint="eastAsia" w:ascii="宋体" w:hAnsi="宋体" w:eastAsia="宋体" w:cs="宋体"/>
                <w:bCs/>
                <w:color w:val="auto"/>
                <w:sz w:val="21"/>
                <w:szCs w:val="21"/>
                <w:highlight w:val="none"/>
              </w:rPr>
              <w:t>市场、细村综合市场</w:t>
            </w:r>
            <w:r>
              <w:rPr>
                <w:rFonts w:hint="eastAsia" w:ascii="宋体" w:hAnsi="宋体" w:cs="宋体"/>
                <w:bCs/>
                <w:color w:val="auto"/>
                <w:sz w:val="21"/>
                <w:szCs w:val="21"/>
                <w:highlight w:val="none"/>
                <w:lang w:val="en-US" w:eastAsia="zh-CN"/>
              </w:rPr>
              <w:t>）的同类产品价格，</w:t>
            </w:r>
            <w:r>
              <w:rPr>
                <w:rFonts w:hint="eastAsia" w:ascii="宋体" w:hAnsi="宋体" w:eastAsia="宋体" w:cs="宋体"/>
                <w:bCs/>
                <w:color w:val="auto"/>
                <w:sz w:val="21"/>
                <w:szCs w:val="21"/>
                <w:highlight w:val="none"/>
              </w:rPr>
              <w:t>每次调整价格经采购人确认后方可开始执行。</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若东莞市发展和改革局网站上无发布的产品（部分特定牌子的产品除外）则由采购人和中标人双方共同在</w:t>
            </w:r>
            <w:r>
              <w:rPr>
                <w:rFonts w:hint="eastAsia" w:ascii="宋体" w:hAnsi="宋体" w:cs="宋体"/>
                <w:bCs/>
                <w:color w:val="auto"/>
                <w:sz w:val="21"/>
                <w:szCs w:val="21"/>
                <w:highlight w:val="none"/>
                <w:lang w:val="en-US" w:eastAsia="zh-CN"/>
              </w:rPr>
              <w:t>主山</w:t>
            </w:r>
            <w:r>
              <w:rPr>
                <w:rFonts w:hint="eastAsia" w:ascii="宋体" w:hAnsi="宋体" w:eastAsia="宋体" w:cs="宋体"/>
                <w:bCs/>
                <w:color w:val="auto"/>
                <w:sz w:val="21"/>
                <w:szCs w:val="21"/>
                <w:highlight w:val="none"/>
              </w:rPr>
              <w:t>综合市场、</w:t>
            </w:r>
            <w:r>
              <w:rPr>
                <w:rFonts w:hint="eastAsia" w:ascii="宋体" w:hAnsi="宋体" w:cs="宋体"/>
                <w:bCs/>
                <w:color w:val="auto"/>
                <w:sz w:val="21"/>
                <w:szCs w:val="21"/>
                <w:highlight w:val="none"/>
                <w:lang w:val="en-US" w:eastAsia="zh-CN"/>
              </w:rPr>
              <w:t>罗沙综合</w:t>
            </w:r>
            <w:r>
              <w:rPr>
                <w:rFonts w:hint="eastAsia" w:ascii="宋体" w:hAnsi="宋体" w:eastAsia="宋体" w:cs="宋体"/>
                <w:bCs/>
                <w:color w:val="auto"/>
                <w:sz w:val="21"/>
                <w:szCs w:val="21"/>
                <w:highlight w:val="none"/>
              </w:rPr>
              <w:t>市场、细村综合市场等参考同类产品价格的平均价作为基准价进行</w:t>
            </w:r>
            <w:r>
              <w:rPr>
                <w:rFonts w:hint="eastAsia" w:ascii="宋体" w:hAnsi="宋体" w:cs="宋体"/>
                <w:bCs/>
                <w:color w:val="auto"/>
                <w:sz w:val="21"/>
                <w:szCs w:val="21"/>
                <w:highlight w:val="none"/>
                <w:lang w:eastAsia="zh-CN"/>
              </w:rPr>
              <w:t>折扣</w:t>
            </w:r>
            <w:r>
              <w:rPr>
                <w:rFonts w:hint="eastAsia" w:ascii="宋体" w:hAnsi="宋体" w:eastAsia="宋体" w:cs="宋体"/>
                <w:bCs/>
                <w:color w:val="auto"/>
                <w:sz w:val="21"/>
                <w:szCs w:val="21"/>
                <w:highlight w:val="none"/>
              </w:rPr>
              <w:t>（即基准价=市场平均价=N个市场抽样价格之和÷N），供货价即为基准价×</w:t>
            </w:r>
            <w:r>
              <w:rPr>
                <w:rFonts w:hint="eastAsia" w:ascii="宋体" w:hAnsi="宋体" w:cs="宋体"/>
                <w:bCs/>
                <w:color w:val="auto"/>
                <w:sz w:val="21"/>
                <w:szCs w:val="21"/>
                <w:highlight w:val="none"/>
                <w:lang w:val="en-US" w:eastAsia="zh-CN"/>
              </w:rPr>
              <w:t>折扣率</w:t>
            </w:r>
            <w:r>
              <w:rPr>
                <w:rFonts w:hint="eastAsia" w:ascii="宋体" w:hAnsi="宋体" w:eastAsia="宋体" w:cs="宋体"/>
                <w:bCs/>
                <w:color w:val="auto"/>
                <w:sz w:val="21"/>
                <w:szCs w:val="21"/>
                <w:highlight w:val="none"/>
              </w:rPr>
              <w:t>。</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所供食材价格包含一切费用，主要包括购货或自产养（种）植成本、包装费、运输费、装卸费、搬运费、储存费、人工费、检验检疫费、质量检测费、</w:t>
            </w:r>
            <w:r>
              <w:rPr>
                <w:rFonts w:hint="eastAsia" w:ascii="宋体" w:hAnsi="宋体" w:cs="宋体"/>
                <w:color w:val="auto"/>
                <w:sz w:val="21"/>
                <w:szCs w:val="21"/>
                <w:highlight w:val="none"/>
                <w:lang w:val="en-US" w:eastAsia="zh-CN"/>
              </w:rPr>
              <w:t>保险费</w:t>
            </w:r>
            <w:r>
              <w:rPr>
                <w:rFonts w:hint="eastAsia" w:ascii="宋体" w:hAnsi="宋体" w:cs="宋体"/>
                <w:color w:val="auto"/>
                <w:sz w:val="21"/>
                <w:szCs w:val="21"/>
                <w:highlight w:val="none"/>
                <w:lang w:eastAsia="zh-CN"/>
              </w:rPr>
              <w:t>、</w:t>
            </w:r>
            <w:r>
              <w:rPr>
                <w:rFonts w:hint="eastAsia" w:ascii="宋体" w:hAnsi="宋体" w:eastAsia="宋体" w:cs="宋体"/>
                <w:bCs/>
                <w:color w:val="auto"/>
                <w:sz w:val="21"/>
                <w:szCs w:val="21"/>
                <w:highlight w:val="none"/>
              </w:rPr>
              <w:t>各种税费及合同实施过程中的应预见和不可预见费用等。在项目的实施过程中，中标人必须充分考虑在本项目实施期间的一切可能产生的风险和相关费用，采购人无需支付合同约定货款之外的任何费用和补偿。</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如生产商或批发商统一调整价格或新增食材，中标人须及时书面通知采购人并附相关资料。价格下调时，应给予采购人相同的价格下调幅度；价格上升时，须提供生产商或批发商调价通知书等书面证明材料原件，经采购人审核后执行新的价格。</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采购人有权随时抽查中标人的供货食材入货台账或进行市场调查，发现中标人有虚报或隐瞒供货食材市场价存在欺骗行为，采购人有权取消其中标资格，终止合同。</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采购人临时需求货品不在核定的供货价格清单内的，中标人必须按采购人要求供货，供货价格由双方临时确定。下次该货品应纳入报价清单，并按上述定价原则确定供货价格。</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8.若遇台风、暴雨等意外原因造成的个别品种价格需临时调整，应通知采购人，并征得采购人同意后方可调整，每次送货按通知价格计算。</w:t>
            </w:r>
          </w:p>
          <w:p>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9.</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定价周期：每周更新一次，中标人每次至少提前2天提交下次报价清单给采购人审核，双方签字后生效。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食品安全责任保险</w:t>
            </w:r>
            <w:r>
              <w:rPr>
                <w:rFonts w:hint="eastAsia" w:ascii="宋体" w:hAnsi="宋体" w:eastAsia="宋体" w:cs="宋体"/>
                <w:color w:val="auto"/>
                <w:sz w:val="21"/>
                <w:szCs w:val="21"/>
                <w:highlight w:val="none"/>
                <w:lang w:val="en-US" w:eastAsia="zh-CN"/>
              </w:rPr>
              <w:t>要求</w:t>
            </w:r>
          </w:p>
        </w:tc>
        <w:tc>
          <w:tcPr>
            <w:tcW w:w="6466" w:type="dxa"/>
            <w:vAlign w:val="center"/>
          </w:tcPr>
          <w:p>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lang w:eastAsia="zh-CN"/>
              </w:rPr>
            </w:pPr>
            <w:r>
              <w:rPr>
                <w:rFonts w:hint="default" w:ascii="宋体" w:hAnsi="宋体" w:eastAsia="宋体" w:cs="宋体"/>
                <w:bCs/>
                <w:color w:val="auto"/>
                <w:sz w:val="21"/>
                <w:szCs w:val="21"/>
                <w:highlight w:val="none"/>
                <w:lang w:val="en-US" w:eastAsia="zh-CN"/>
              </w:rPr>
              <w:t>中标人须为采购人提供一份采购人为受益人、额度为</w:t>
            </w:r>
            <w:r>
              <w:rPr>
                <w:rFonts w:hint="eastAsia" w:ascii="宋体" w:hAnsi="宋体" w:cs="宋体"/>
                <w:bCs/>
                <w:color w:val="auto"/>
                <w:sz w:val="21"/>
                <w:szCs w:val="21"/>
                <w:highlight w:val="none"/>
                <w:lang w:val="en-US" w:eastAsia="zh-CN"/>
              </w:rPr>
              <w:t>200</w:t>
            </w:r>
            <w:r>
              <w:rPr>
                <w:rFonts w:hint="default" w:ascii="宋体" w:hAnsi="宋体" w:eastAsia="宋体" w:cs="宋体"/>
                <w:bCs/>
                <w:color w:val="auto"/>
                <w:sz w:val="21"/>
                <w:szCs w:val="21"/>
                <w:highlight w:val="none"/>
                <w:lang w:val="en-US" w:eastAsia="zh-CN"/>
              </w:rPr>
              <w:t>万元的保险（食品安全责任险），保险承保期限不短于</w:t>
            </w:r>
            <w:r>
              <w:rPr>
                <w:rFonts w:hint="eastAsia" w:ascii="宋体" w:hAnsi="宋体" w:cs="宋体"/>
                <w:bCs/>
                <w:color w:val="auto"/>
                <w:sz w:val="21"/>
                <w:szCs w:val="21"/>
                <w:highlight w:val="none"/>
                <w:lang w:val="en-US" w:eastAsia="zh-CN"/>
              </w:rPr>
              <w:t>三</w:t>
            </w:r>
            <w:r>
              <w:rPr>
                <w:rFonts w:hint="default" w:ascii="宋体" w:hAnsi="宋体" w:eastAsia="宋体" w:cs="宋体"/>
                <w:bCs/>
                <w:color w:val="auto"/>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质量及包装要求</w:t>
            </w:r>
          </w:p>
        </w:tc>
        <w:tc>
          <w:tcPr>
            <w:tcW w:w="6466" w:type="dxa"/>
            <w:vAlign w:val="center"/>
          </w:tcPr>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应充分理解并认真遵循本招标文件的要求，所提供的货物必须是满足招标文件要求。保证供应的货品均为正规生产的新鲜（冰鲜除外）、检验合格、无毒、无辐射、无侵权货品，符合国家有关卫生、质量、包装和保质标准，有使用有效期的货品，其剩余有效期不得少于标注有效期的50%。</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中标人保证所提供的水产品和蔬菜种类的多样性和季节性，以保证新鲜感。</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货物有包装的，货物的包装必须完整清洁（无损、无污、无皱），采购人有权拒收包装不整齐、已拆封的货品。</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货品质量或包装不符合采购人要求的，中标人必须无条件退货或更换。</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中标人提供假冒伪劣、过期、变质货品的，一经发现，除按采购人要求无条件退货或换货外，还将受到如下处罚：</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(1)中标人提供过期、变质货品3次以上或提供假冒伪劣货品的，采购人有权单方终止合同；</w:t>
            </w:r>
          </w:p>
          <w:p>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(2)因中标人供应货品质量问题造成食品安全事故的，经有关部门鉴定后，中标人须负担全数的医药费及赔偿费等，采购人将取消该中标人的供货资格，中标人同时承担相应的民事及刑事法律责任。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保密条款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在实施货物供货期间，不得将供货的实际数量及供货地点泄露给其他企业或者个人，</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指派相对固定的人员完成货物配送服务，并需将配送人员的详细资料报采购人备案，货物配送人员必须遵纪守法、品行良好，无违法犯罪记录。如需要更换配送人员，必须事先通知采购人并将其个人资料送采购人审批，审批合格者才能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验收标准</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人所供应的货品必须符合国家和东莞市的相关安全质量标准、卫生标准等，同时符合采购人的使用要求，包括但不限于各分包所列的货品质量要求。中标人在接受订单时须确认采购人对货品的使用要求，对于不符合采购人要求的货品，采购人有权拒收或要求更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bookmarkStart w:id="181" w:name="_Toc255974608"/>
            <w:bookmarkStart w:id="182" w:name="_Toc258595216"/>
            <w:bookmarkStart w:id="183" w:name="_Toc373223057"/>
            <w:bookmarkStart w:id="184" w:name="_Toc258594152"/>
            <w:bookmarkStart w:id="185" w:name="_Toc257799731"/>
            <w:bookmarkStart w:id="186" w:name="_Toc373222968"/>
            <w:bookmarkStart w:id="187" w:name="_Toc374515876"/>
            <w:r>
              <w:rPr>
                <w:rFonts w:hint="eastAsia" w:ascii="宋体" w:hAnsi="宋体" w:eastAsia="宋体" w:cs="宋体"/>
                <w:color w:val="auto"/>
                <w:sz w:val="21"/>
                <w:szCs w:val="21"/>
                <w:highlight w:val="none"/>
                <w:lang w:val="en-US" w:eastAsia="zh-CN"/>
              </w:rPr>
              <w:t>售后服务</w:t>
            </w:r>
            <w:bookmarkEnd w:id="181"/>
            <w:bookmarkEnd w:id="182"/>
            <w:bookmarkEnd w:id="183"/>
            <w:bookmarkEnd w:id="184"/>
            <w:bookmarkEnd w:id="185"/>
            <w:bookmarkEnd w:id="186"/>
            <w:bookmarkEnd w:id="187"/>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非采购人的人为原因而出现产品质量，由中标人负责包换或包退，并承担因此而产生的一切费用。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实质响应合同各条款。</w:t>
            </w:r>
          </w:p>
        </w:tc>
      </w:tr>
    </w:tbl>
    <w:p>
      <w:pPr>
        <w:rPr>
          <w:rFonts w:hint="eastAsia" w:ascii="宋体" w:hAnsi="宋体"/>
          <w:color w:val="auto"/>
          <w:highlight w:val="none"/>
          <w:lang w:val="en-US" w:eastAsia="zh-CN"/>
        </w:rPr>
      </w:pPr>
      <w:bookmarkStart w:id="188" w:name="_Toc19981"/>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eastAsia="宋体" w:cs="宋体"/>
          <w:b/>
          <w:color w:val="auto"/>
          <w:sz w:val="21"/>
          <w:szCs w:val="21"/>
          <w:highlight w:val="none"/>
        </w:rPr>
      </w:pPr>
      <w:r>
        <w:rPr>
          <w:rFonts w:hint="eastAsia" w:ascii="宋体" w:hAnsi="宋体"/>
          <w:color w:val="auto"/>
          <w:highlight w:val="none"/>
          <w:lang w:val="en-US" w:eastAsia="zh-CN"/>
        </w:rPr>
        <w:t>第二章 技术需求书</w:t>
      </w:r>
      <w:bookmarkEnd w:id="188"/>
      <w:bookmarkStart w:id="189" w:name="_Toc255974603"/>
      <w:bookmarkStart w:id="190" w:name="_Toc258594147"/>
      <w:bookmarkStart w:id="191" w:name="_Toc257799726"/>
      <w:bookmarkStart w:id="192" w:name="_Toc373222960"/>
      <w:bookmarkStart w:id="193" w:name="_Toc258595211"/>
      <w:bookmarkStart w:id="194" w:name="_Toc373223049"/>
      <w:bookmarkStart w:id="195" w:name="_Toc374515868"/>
    </w:p>
    <w:bookmarkEnd w:id="189"/>
    <w:bookmarkEnd w:id="190"/>
    <w:bookmarkEnd w:id="191"/>
    <w:bookmarkEnd w:id="192"/>
    <w:bookmarkEnd w:id="193"/>
    <w:bookmarkEnd w:id="194"/>
    <w:bookmarkEnd w:id="195"/>
    <w:p>
      <w:pPr>
        <w:widowControl w:val="0"/>
        <w:numPr>
          <w:ilvl w:val="0"/>
          <w:numId w:val="11"/>
        </w:numPr>
        <w:tabs>
          <w:tab w:val="left" w:pos="426"/>
          <w:tab w:val="left" w:pos="709"/>
          <w:tab w:val="clear" w:pos="420"/>
        </w:tabs>
        <w:adjustRightInd/>
        <w:snapToGrid/>
        <w:spacing w:after="0" w:line="360" w:lineRule="auto"/>
        <w:jc w:val="both"/>
        <w:outlineLvl w:val="3"/>
        <w:rPr>
          <w:rFonts w:hint="eastAsia" w:ascii="宋体" w:hAnsi="宋体" w:eastAsia="宋体" w:cs="宋体"/>
          <w:b/>
          <w:bCs/>
          <w:color w:val="auto"/>
          <w:sz w:val="24"/>
          <w:szCs w:val="24"/>
          <w:highlight w:val="none"/>
        </w:rPr>
      </w:pPr>
      <w:bookmarkStart w:id="196" w:name="_Toc255974606"/>
      <w:r>
        <w:rPr>
          <w:rFonts w:hint="eastAsia" w:ascii="宋体" w:hAnsi="宋体" w:eastAsia="宋体" w:cs="宋体"/>
          <w:b/>
          <w:bCs/>
          <w:color w:val="auto"/>
          <w:sz w:val="24"/>
          <w:szCs w:val="24"/>
          <w:highlight w:val="none"/>
        </w:rPr>
        <w:t>食材服务需求</w:t>
      </w:r>
    </w:p>
    <w:p>
      <w:pPr>
        <w:keepNext w:val="0"/>
        <w:keepLines w:val="0"/>
        <w:pageBreakBefore w:val="0"/>
        <w:widowControl w:val="0"/>
        <w:numPr>
          <w:ilvl w:val="0"/>
          <w:numId w:val="12"/>
        </w:numPr>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质量要求</w:t>
      </w:r>
    </w:p>
    <w:p>
      <w:pPr>
        <w:widowControl w:val="0"/>
        <w:numPr>
          <w:ilvl w:val="0"/>
          <w:numId w:val="13"/>
        </w:numPr>
        <w:spacing w:after="0" w:line="360" w:lineRule="auto"/>
        <w:ind w:left="0" w:leftChars="0" w:firstLine="40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粮油类配送采购要求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（1）供应产品的质量要求： </w:t>
      </w:r>
    </w:p>
    <w:p>
      <w:pPr>
        <w:widowControl w:val="0"/>
        <w:spacing w:after="0" w:line="360" w:lineRule="auto"/>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①米、油货物必须符合卫生，不得有腐烂、变质、油脂酸败、霉变、生虫、污秽不结、混有异物或者其他感官性状异常，并可能对人体健康有害的物质。</w:t>
      </w:r>
    </w:p>
    <w:p>
      <w:pPr>
        <w:widowControl w:val="0"/>
        <w:spacing w:after="0" w:line="360" w:lineRule="auto"/>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米、油要提供QS认证、国家机关发出的产品检验合格证书。包装食品：包装箱完整，同时包装箱要印有注册商标、生产厂家名称、厂址、出厂日期、产品合格证、保质期限、产品成份、厂家电话号码。散装豆类：提供生产厂家营业执照、卫生许可证、国家机关发出的产品检验合格证书。中标人所提供产品质量必须要符合行业标准要求，不得有掺假、变质、变味、过期等现象出现，严禁伪劣、假冒、无证不合格物品进入仓库。</w:t>
      </w:r>
    </w:p>
    <w:p>
      <w:pPr>
        <w:widowControl w:val="0"/>
        <w:spacing w:after="0" w:line="360" w:lineRule="auto"/>
        <w:ind w:firstLine="315" w:firstLineChars="1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③中标人在供应过程中，如果发生出现质量问题或造成食物中毒,如变质等情况，经查实后确属中标人责任，中标人应承担全部责任，主要包括食物中毒人员医疗费、误工费、事故处理费等，直至追究刑事责任。</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（2）执行标准：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①米类执行标准：GB/T 1354-2018　 标准一等米 不含添加剂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②大米的质量标准：除符合标准一等米外，要求：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碎米总量≤17% （国家标准：≤35%）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小碎米总量≤2%（国家标准：≤2.5%）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不完善粒≤3.5%（国家标准：≤4.0%）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黄米粒按国家标准执行 。</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③油类执行标准：SB/T</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10292-1998</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④油类质量要求：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个食用油品种必须色泽好，透明度高，无浑浊，无沉淀和悬浮物，粘度小，无分层现象，气味正常，无酸臭异味。严格执行国家相关质量标准及卫生安全标准，色泽、气味、霉变、真菌毒素、重金属污染物、农药等严格控制在国家标准范围内（原粮及成品粮色泽、气味必须正常。  霉变粒不得超过2％。 真菌毒素：黄曲霉毒素B1 （5μg/kg～20μg/kg）、脱氧雪腐镰刀菌烯醇（≤1000μg/kg）、玉米赤霉烯酮（≤60μg/kg）、赭曲霉毒素A（5μg/kg）。重金属污染物：铅（≤0.2mg/kg）、镉(0.1 mg/kg～0.2 mg/kg)、汞（0.02 mg/kg）、无机砷（0.1 mg/kg～0.2 mg/kg）。 农药：对磷化物、马拉硫磷等140余种农药规定了最大残留限量）。并根据用户需求的食用油等级保质保量完成供货。要求提供的食用油生产厂家信誉良好，有明确的商品标签，有生产日期、保质期、质量等级，并标明初制油的加工工艺(即用浸出法生产，还是用压榨法生产的)和是否用转基因油料生产，不许以次充好、以假充真。如将毛油当一级或二级油进行销售，将低价位的植物油掺入高价位植物油中进行销售，牟取暴利，一经查处，中标人将承担全部责任。</w:t>
      </w:r>
    </w:p>
    <w:p>
      <w:pPr>
        <w:widowControl w:val="0"/>
        <w:numPr>
          <w:ilvl w:val="0"/>
          <w:numId w:val="13"/>
        </w:numPr>
        <w:spacing w:after="0" w:line="360" w:lineRule="auto"/>
        <w:ind w:left="0" w:leftChars="0" w:firstLine="40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副食品供应货品质量要求</w:t>
      </w:r>
    </w:p>
    <w:p>
      <w:pPr>
        <w:widowControl w:val="0"/>
        <w:numPr>
          <w:ilvl w:val="0"/>
          <w:numId w:val="0"/>
        </w:numPr>
        <w:spacing w:after="0" w:line="360" w:lineRule="auto"/>
        <w:ind w:firstLine="420" w:firstLineChars="200"/>
        <w:jc w:val="both"/>
        <w:rPr>
          <w:rFonts w:hint="default" w:hAnsi="宋体" w:cs="宋体"/>
          <w:color w:val="auto"/>
          <w:sz w:val="21"/>
          <w:szCs w:val="21"/>
          <w:highlight w:val="none"/>
          <w:lang w:val="en-US" w:eastAsia="zh-CN"/>
        </w:rPr>
      </w:pPr>
      <w:r>
        <w:rPr>
          <w:rFonts w:hint="eastAsia" w:hAnsi="宋体" w:cs="宋体"/>
          <w:color w:val="auto"/>
          <w:sz w:val="21"/>
          <w:szCs w:val="21"/>
          <w:highlight w:val="none"/>
          <w:lang w:val="en-US" w:eastAsia="zh-CN"/>
        </w:rPr>
        <w:t>副食品包括但不限于食糖、</w:t>
      </w:r>
      <w:r>
        <w:rPr>
          <w:rFonts w:hint="eastAsia" w:hAnsi="宋体" w:cs="宋体"/>
          <w:color w:val="auto"/>
          <w:sz w:val="21"/>
          <w:szCs w:val="21"/>
          <w:highlight w:val="none"/>
          <w:lang w:val="en-US" w:eastAsia="zh-CN"/>
        </w:rPr>
        <w:fldChar w:fldCharType="begin"/>
      </w:r>
      <w:r>
        <w:rPr>
          <w:rFonts w:hint="eastAsia" w:hAnsi="宋体" w:cs="宋体"/>
          <w:color w:val="auto"/>
          <w:sz w:val="21"/>
          <w:szCs w:val="21"/>
          <w:highlight w:val="none"/>
          <w:lang w:val="en-US" w:eastAsia="zh-CN"/>
        </w:rPr>
        <w:instrText xml:space="preserve"> HYPERLINK "https://baike.so.com/doc/1586555-1677103.html" \t "https://baike.so.com/doc/_blank" </w:instrText>
      </w:r>
      <w:r>
        <w:rPr>
          <w:rFonts w:hint="eastAsia" w:hAnsi="宋体" w:cs="宋体"/>
          <w:color w:val="auto"/>
          <w:sz w:val="21"/>
          <w:szCs w:val="21"/>
          <w:highlight w:val="none"/>
          <w:lang w:val="en-US" w:eastAsia="zh-CN"/>
        </w:rPr>
        <w:fldChar w:fldCharType="separate"/>
      </w:r>
      <w:r>
        <w:rPr>
          <w:rFonts w:hint="eastAsia" w:hAnsi="宋体" w:cs="宋体"/>
          <w:color w:val="auto"/>
          <w:sz w:val="21"/>
          <w:szCs w:val="21"/>
          <w:highlight w:val="none"/>
          <w:lang w:val="en-US" w:eastAsia="zh-CN"/>
        </w:rPr>
        <w:t>糖果</w:t>
      </w:r>
      <w:r>
        <w:rPr>
          <w:rFonts w:hint="eastAsia" w:hAnsi="宋体" w:cs="宋体"/>
          <w:color w:val="auto"/>
          <w:sz w:val="21"/>
          <w:szCs w:val="21"/>
          <w:highlight w:val="none"/>
          <w:lang w:val="en-US" w:eastAsia="zh-CN"/>
        </w:rPr>
        <w:fldChar w:fldCharType="end"/>
      </w:r>
      <w:r>
        <w:rPr>
          <w:rFonts w:hint="eastAsia" w:hAnsi="宋体" w:cs="宋体"/>
          <w:color w:val="auto"/>
          <w:sz w:val="21"/>
          <w:szCs w:val="21"/>
          <w:highlight w:val="none"/>
          <w:lang w:val="en-US" w:eastAsia="zh-CN"/>
        </w:rPr>
        <w:t>、罐头、乳制品、蜜制品、豆制品、饮料、饼干、糕点、小食品以及果品等。</w:t>
      </w:r>
    </w:p>
    <w:p>
      <w:pPr>
        <w:widowControl w:val="0"/>
        <w:numPr>
          <w:ilvl w:val="0"/>
          <w:numId w:val="0"/>
        </w:numPr>
        <w:spacing w:after="0" w:line="360" w:lineRule="auto"/>
        <w:ind w:firstLine="420" w:firstLineChars="200"/>
        <w:jc w:val="both"/>
        <w:rPr>
          <w:rFonts w:hint="eastAsia" w:hAnsi="宋体" w:cs="宋体"/>
          <w:color w:val="auto"/>
          <w:sz w:val="21"/>
          <w:szCs w:val="21"/>
          <w:highlight w:val="none"/>
        </w:rPr>
      </w:pP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w:t>
      </w:r>
      <w:r>
        <w:rPr>
          <w:rFonts w:hint="eastAsia" w:hAnsi="宋体" w:cs="宋体"/>
          <w:color w:val="auto"/>
          <w:sz w:val="21"/>
          <w:szCs w:val="21"/>
          <w:highlight w:val="none"/>
        </w:rPr>
        <w:t>副食品须选用符合国家食品卫生法规相关标准的商品，选用无毒、无害、无污染、可朔源的食品。掺假、掺杂食品坚决不能使用。副食品表面外观新鲜、完整，无霉变异味，无砂粒杂质，无虫尸鼠粪等不洁卫生问题。奶制品色泽乳白，口味鲜香，包装完整，无破损，符合国家规定的质量卫生标准。</w:t>
      </w:r>
    </w:p>
    <w:p>
      <w:pPr>
        <w:widowControl w:val="0"/>
        <w:numPr>
          <w:ilvl w:val="0"/>
          <w:numId w:val="0"/>
        </w:numPr>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hAnsi="宋体" w:cs="宋体"/>
          <w:color w:val="auto"/>
          <w:sz w:val="21"/>
          <w:szCs w:val="21"/>
          <w:highlight w:val="none"/>
        </w:rPr>
        <w:t>副食品</w:t>
      </w:r>
      <w:r>
        <w:rPr>
          <w:rFonts w:hint="eastAsia" w:ascii="宋体" w:hAnsi="宋体" w:eastAsia="宋体" w:cs="宋体"/>
          <w:color w:val="auto"/>
          <w:sz w:val="21"/>
          <w:szCs w:val="21"/>
          <w:highlight w:val="none"/>
        </w:rPr>
        <w:t>外包装清晰标注生产厂家名称、厂址、厂家电话号码、出厂日期、保质期限、产品成份等，并符合国家食品卫生标准，坚决杜绝假冒、变质、过期的产品（从收货之日起计算剩余保质期不得低于标注保质期的50%），供货时并提供QS认证、及产品相关的检验合格证书。</w:t>
      </w:r>
    </w:p>
    <w:p>
      <w:pPr>
        <w:widowControl w:val="0"/>
        <w:numPr>
          <w:ilvl w:val="0"/>
          <w:numId w:val="13"/>
        </w:numPr>
        <w:spacing w:after="0" w:line="360" w:lineRule="auto"/>
        <w:ind w:left="0" w:leftChars="0" w:firstLine="40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蔬菜瓜果供应货品质量要求</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提供的蔬菜须确保鲜嫩度，不得有黄叶、斑点、腐烂或有异常味道，利用率不得低于95%，且不含有残留农药或污染物，并出具有效的《农产品检验报告》。卫生质量指标，应符合我国无公害蔬菜上的卫生指标规定。采购人对所配送蔬菜进行二次农残检测，如含量超标采购人有权要求中标人无条件退货或换货，同时做好相关记录。</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(2)中标人需设自检测室或有固定的送检机构，每天所供蔬菜类都要提供农药残留的检测报告，并交采购人存档备查。</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中标人提供的</w:t>
      </w:r>
      <w:r>
        <w:rPr>
          <w:rFonts w:hint="eastAsia" w:ascii="宋体" w:hAnsi="宋体" w:eastAsia="宋体" w:cs="宋体"/>
          <w:color w:val="auto"/>
          <w:sz w:val="21"/>
          <w:szCs w:val="21"/>
          <w:highlight w:val="none"/>
        </w:rPr>
        <w:t>豆制品须确保色泽均匀，呈块状、硬度适中、富有弹性、持水性好、无霉点。有主料应有的香气，无异味，无肉眼可见外来异物。</w:t>
      </w:r>
    </w:p>
    <w:p>
      <w:pPr>
        <w:widowControl w:val="0"/>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验收时未发现问题，而在加工食用前发现部分货品存在质量问题的，采购人立即通知中标人将问题货品进行退换货处理。如中标人所供应货品出现质量问题造成食品安全事故，中标人应承担全部责任和经济损失。</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4.肉类供应货品质量要求</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鲜肉类全部来源于正规肉联厂，保证为当日新鲜肉，并提供政府检疫部门出示的检疫合格证明。（鲜肉类利用率不低于98%）</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具有当天卫生监督部门发放的“动物检疫合格证明”，肉体印有检疫章。</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表皮干爽、肌体结实、肉质紧密、肉色淡红新鲜，肥肉洁白而细腻。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外观检测无异味、无寄生虫、无粘液、无渗出液体、指压反弹迅速、具有猪肉自然气味。</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运输设备具备恒温保鲜（5度），存放容器保持清洁卫生，包装合理且材料无污染。</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来源可靠放心，无毒、无害、无污染。</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.水产品类供应货品质量要求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必须鲜活。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非冰鲜类必须鲜活，利用率不低于95%；冰鲜类水产品解冻后利用率不低于80%。</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鲜鱼鳞片完整，有光泽无脱落，鳃口紧闭，眼球光亮透明，鱼鳃鲜红，鳍尾完整，确保新鲜。</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身体饱满结实，无腐烂异味，肉质紧密有弹性，无离骨脱刺现象。</w:t>
      </w:r>
    </w:p>
    <w:p>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来源可靠放心，无毒、无害、无污染。</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400" w:leftChars="0"/>
        <w:contextualSpacing/>
        <w:textAlignment w:val="auto"/>
        <w:rPr>
          <w:rFonts w:hAnsi="宋体" w:cs="宋体"/>
          <w:color w:val="auto"/>
          <w:sz w:val="21"/>
          <w:szCs w:val="21"/>
          <w:highlight w:val="none"/>
        </w:rPr>
      </w:pPr>
    </w:p>
    <w:p>
      <w:pPr>
        <w:keepNext w:val="0"/>
        <w:keepLines w:val="0"/>
        <w:pageBreakBefore w:val="0"/>
        <w:widowControl w:val="0"/>
        <w:numPr>
          <w:ilvl w:val="0"/>
          <w:numId w:val="12"/>
        </w:numPr>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配送要求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必须采用符合卫生要求的运载工具，要保持清洁和定期消毒。运输车厢的内仓应为抗腐蚀、防潮，防虫、防鼠的设计，车厢内无不良气味、异味。送货车辆应保持清洁，堆放科学合理，避免造成食材的交叉污染；如对温度有要求的应确定食材的温度，记录送货车辆温度，并记录存档。</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2.容器要求清洁、干燥、牢固、透气，无污染、无异味、无霉变现象。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3.冰鲜类水产品必须用专用冷藏、冷冻载具运输，保证运输过程冷链不中断，到达目的地时外包装箱干爽，无软化现象。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4.蔬菜应小心轻卸，严防机械损伤。</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5.中标人要免费提供运送及卸货服务。</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必须按照采购人要求的货品规格、数量、质量配送，如数量不足的，中标人应立即补足；如有10%以下（含10%）货品规格、质量不符合要求的，中标人应对不符合要求的货品进行更换；如有10%以上的货品规格、质量不符合要求的，由采购人选择整批退货或要求中标人按时整批更换。</w:t>
      </w:r>
    </w:p>
    <w:p>
      <w:pPr>
        <w:keepNext w:val="0"/>
        <w:keepLines w:val="0"/>
        <w:pageBreakBefore w:val="0"/>
        <w:widowControl w:val="0"/>
        <w:numPr>
          <w:ilvl w:val="0"/>
          <w:numId w:val="12"/>
        </w:numPr>
        <w:kinsoku/>
        <w:wordWrap/>
        <w:overflowPunct/>
        <w:topLinePunct w:val="0"/>
        <w:autoSpaceDE/>
        <w:autoSpaceDN/>
        <w:bidi w:val="0"/>
        <w:adjustRightInd w:val="0"/>
        <w:snapToGrid w:val="0"/>
        <w:spacing w:after="0"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中标人需设立自有检测室或有固定的送检机构，每种蔬菜每天都要随货提供农药残留的检测报告，食品检测人员或检测机构资料交采购人存档备查。</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1.对食品安全质量问题的处理：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(1)对危及人体健康的食品质量问题（如农药残留超标、腐烂变质等）采取零容忍措施，一经发现，当日所送同批次货品全部退货。</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(2)若验收时未发现问题，而在加工食用前发现部分货品质量有问题，采购人立即通知中标人，将问题货品作退换货处理。</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(3)中标人所供应货品出现质量问题造成食品安全事故，经查实后属中标人责任的，中标人应承担全部责任和经济损失。</w:t>
      </w:r>
    </w:p>
    <w:p>
      <w:pPr>
        <w:bidi w:val="0"/>
        <w:rPr>
          <w:rFonts w:hint="eastAsia"/>
          <w:color w:val="auto"/>
          <w:highlight w:val="none"/>
        </w:rPr>
      </w:pPr>
    </w:p>
    <w:p>
      <w:pPr>
        <w:widowControl w:val="0"/>
        <w:numPr>
          <w:ilvl w:val="0"/>
          <w:numId w:val="11"/>
        </w:numPr>
        <w:tabs>
          <w:tab w:val="left" w:pos="426"/>
          <w:tab w:val="left" w:pos="709"/>
          <w:tab w:val="clear" w:pos="420"/>
        </w:tabs>
        <w:adjustRightInd/>
        <w:snapToGrid/>
        <w:spacing w:after="0" w:line="360" w:lineRule="auto"/>
        <w:jc w:val="both"/>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服务</w:t>
      </w:r>
      <w:r>
        <w:rPr>
          <w:rFonts w:hint="eastAsia" w:ascii="宋体" w:hAnsi="宋体" w:cs="宋体"/>
          <w:b/>
          <w:bCs/>
          <w:color w:val="auto"/>
          <w:sz w:val="24"/>
          <w:szCs w:val="24"/>
          <w:highlight w:val="none"/>
          <w:lang w:val="en-US" w:eastAsia="zh-CN"/>
        </w:rPr>
        <w:t>内容</w:t>
      </w:r>
      <w:r>
        <w:rPr>
          <w:rFonts w:hint="eastAsia" w:ascii="宋体" w:hAnsi="宋体" w:eastAsia="宋体" w:cs="宋体"/>
          <w:b/>
          <w:bCs/>
          <w:color w:val="auto"/>
          <w:sz w:val="24"/>
          <w:szCs w:val="24"/>
          <w:highlight w:val="none"/>
        </w:rPr>
        <w:t>说明</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应当根据采购人实际情况，按照与采购人的约定，在规定的时间内将预定的货物如数送到指定地点。除发生客观不可抗力的情况外，中标人不得推迟送货。如确需延迟送货的，中标人应在得知情况的同时告知采购人并征得采购人同意，由于中标人延迟造成采购人利益受损的，采购人有权要求中标人赔偿。</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水产品类一般每天送货1-2次；蔬菜类一般每天送货1次，采购人在前一天确认采购订单；调味品类一般一个星期送货一次，采购人至少提前一天确认采购订单。每次订单不论数量多少，中标人都必须按采购人要求配送。对于临时性采购订单，中标人须积极配合，按照采购人要求按时、按质、按量将货品配送到指定地点。</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配送时间：每天上午</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0前送达采购指定地点。如采购人需要临时增加补货，中标人必须在采购要求的时间内将货物保质保量送到采购人指定地点。具体配送时间以采购人实际要求为准。</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中标人负责货品配送前的仓储，采购人不提供仓库。</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在采购人签收之前，货物的所有权和风险属于中标人，货物发生遗失、损坏由中标人负责。</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须严格按照采购人的订单配送货品，不得随意增减数量或改变品种。如因市场流通问题确实需要变更供货内容的，中标人应在得知情况的同时书面告知采购人并征得采购人同意后方可变更，否则，采购人有权拒收，由此产生的一切损失和费用由中标人承担。</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中标人不能按核定的供货价交付的某些货品、不能提供与其承诺相符的服务或中标人存在违反招标文件和合同的行为，并且不予纠正的，将取消其中标资格。此项下违约行为包括但不限于下列各项：</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(1)中标人在收到采购人订货要求后，在承诺的供货时间内不能供货的。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(2)中标人未能提供承诺的服务的。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(3)中标人不能在约定时间内提供合法票据进行结算的。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(4)中标人送货专员在采购人单位活动但不遵守采购人单位各项规章制度或做出有损采购人形象和利益的事情的。</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(5)中标人泄露采购人的秘密的。如泄密行为造成采购人损失的，中标人将承担由此产生的一切损失和法律责任。</w:t>
      </w:r>
    </w:p>
    <w:p>
      <w:pPr>
        <w:bidi w:val="0"/>
        <w:rPr>
          <w:rFonts w:hint="eastAsia"/>
          <w:color w:val="auto"/>
          <w:highlight w:val="none"/>
        </w:rPr>
      </w:pPr>
    </w:p>
    <w:p>
      <w:pPr>
        <w:widowControl w:val="0"/>
        <w:numPr>
          <w:ilvl w:val="0"/>
          <w:numId w:val="11"/>
        </w:numPr>
        <w:tabs>
          <w:tab w:val="left" w:pos="426"/>
          <w:tab w:val="left" w:pos="709"/>
          <w:tab w:val="clear" w:pos="420"/>
        </w:tabs>
        <w:adjustRightInd/>
        <w:snapToGrid/>
        <w:spacing w:after="0" w:line="360" w:lineRule="auto"/>
        <w:jc w:val="both"/>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其他要求</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中标人必须服从采购人的监督、管理，配合采购人到农场基地、食物配送点进行现场考察。</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食品供应链要求：所有食品的来源必须清晰可追溯和追责。</w:t>
      </w:r>
    </w:p>
    <w:p>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中标人需配合采购人要求，落实我市关于采购贫困地区农副产品的相关政策要求，通过贫困地区农副产品网络销售平台或定向扶贫地区采购贫困地区农副产品。</w:t>
      </w:r>
    </w:p>
    <w:p>
      <w:pPr>
        <w:bidi w:val="0"/>
        <w:rPr>
          <w:rFonts w:hint="eastAsia"/>
          <w:color w:val="auto"/>
          <w:highlight w:val="none"/>
        </w:rPr>
      </w:pPr>
    </w:p>
    <w:p>
      <w:pPr>
        <w:widowControl w:val="0"/>
        <w:numPr>
          <w:ilvl w:val="0"/>
          <w:numId w:val="11"/>
        </w:numPr>
        <w:tabs>
          <w:tab w:val="left" w:pos="426"/>
          <w:tab w:val="left" w:pos="709"/>
          <w:tab w:val="clear" w:pos="420"/>
        </w:tabs>
        <w:adjustRightInd/>
        <w:snapToGrid/>
        <w:spacing w:after="0" w:line="360" w:lineRule="auto"/>
        <w:jc w:val="both"/>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相关说明</w:t>
      </w:r>
    </w:p>
    <w:p>
      <w:pPr>
        <w:pStyle w:val="35"/>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服务年限内，履行本招标文件约定的义务过程中出现违反国家法律法规、相关主管部门规章制度、擅自提高价格或提供伪劣服务内容、服务质量低劣造成采购人损失等情况的，采购人有权视情节分别给予警告、没收采购履约担保或取消协议服务资格等处罚。</w:t>
      </w:r>
    </w:p>
    <w:p>
      <w:pPr>
        <w:pStyle w:val="35"/>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2.因</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被取消配送服务资格而造成服务单位数量不能满足正常食堂食材配送工作需求的，采购人有权按顺序递补本次采购排名在</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之后的候选单位，或通过对该项目服务单位进行补充采购或重新采购的方式，以保证服务单位数量的正常需求。</w:t>
      </w:r>
    </w:p>
    <w:p>
      <w:pPr>
        <w:pStyle w:val="35"/>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必须清楚理解：采购人无法预计也无法保证服务单位所能获得的服务项目数量；对此服务单位不得向采购人追讨任何费用。</w:t>
      </w:r>
    </w:p>
    <w:bookmarkEnd w:id="196"/>
    <w:p>
      <w:pPr>
        <w:spacing w:after="0" w:line="360" w:lineRule="auto"/>
        <w:rPr>
          <w:rFonts w:ascii="宋体" w:hAnsi="宋体" w:eastAsia="宋体" w:cs="Times New Roman"/>
          <w:b/>
          <w:bCs/>
          <w:color w:val="auto"/>
          <w:sz w:val="21"/>
          <w:szCs w:val="21"/>
          <w:highlight w:val="none"/>
        </w:rPr>
      </w:pPr>
      <w:bookmarkStart w:id="197" w:name="_Toc31278"/>
      <w:bookmarkStart w:id="198" w:name="_Toc14462"/>
      <w:bookmarkStart w:id="199" w:name="_Toc24679"/>
      <w:bookmarkStart w:id="200" w:name="_Toc13112"/>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97"/>
      <w:bookmarkEnd w:id="198"/>
      <w:bookmarkEnd w:id="199"/>
      <w:bookmarkEnd w:id="200"/>
      <w:bookmarkStart w:id="201" w:name="_Toc21448"/>
      <w:bookmarkStart w:id="202" w:name="_Toc12485"/>
    </w:p>
    <w:p>
      <w:pPr>
        <w:pStyle w:val="4"/>
        <w:spacing w:before="0" w:after="0" w:line="240" w:lineRule="auto"/>
        <w:rPr>
          <w:color w:val="auto"/>
          <w:sz w:val="28"/>
          <w:szCs w:val="28"/>
          <w:highlight w:val="none"/>
        </w:rPr>
      </w:pPr>
      <w:bookmarkStart w:id="203"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1"/>
      <w:bookmarkEnd w:id="202"/>
      <w:bookmarkEnd w:id="203"/>
      <w:bookmarkStart w:id="204" w:name="_Toc21155"/>
      <w:bookmarkStart w:id="205" w:name="_Toc13430"/>
      <w:bookmarkStart w:id="206" w:name="_Toc1534"/>
    </w:p>
    <w:p>
      <w:pPr>
        <w:pStyle w:val="5"/>
        <w:spacing w:before="0" w:after="0" w:line="240" w:lineRule="auto"/>
        <w:jc w:val="center"/>
        <w:rPr>
          <w:rFonts w:ascii="宋体" w:hAnsi="宋体" w:eastAsia="宋体" w:cs="宋体"/>
          <w:color w:val="auto"/>
          <w:highlight w:val="none"/>
        </w:rPr>
      </w:pPr>
      <w:bookmarkStart w:id="207" w:name="_Toc19575"/>
      <w:bookmarkStart w:id="208" w:name="_Toc16730"/>
      <w:bookmarkStart w:id="209" w:name="_Toc8880"/>
      <w:r>
        <w:rPr>
          <w:rFonts w:hint="eastAsia" w:ascii="宋体" w:hAnsi="宋体" w:eastAsia="宋体" w:cs="宋体"/>
          <w:color w:val="auto"/>
          <w:highlight w:val="none"/>
        </w:rPr>
        <w:t>合同格式</w:t>
      </w:r>
      <w:bookmarkEnd w:id="204"/>
      <w:bookmarkEnd w:id="205"/>
      <w:bookmarkEnd w:id="206"/>
      <w:bookmarkEnd w:id="207"/>
      <w:bookmarkEnd w:id="208"/>
      <w:bookmarkEnd w:id="209"/>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210"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210"/>
    <w:p>
      <w:pPr>
        <w:spacing w:after="0" w:line="360" w:lineRule="auto"/>
        <w:ind w:firstLine="422" w:firstLineChars="200"/>
        <w:rPr>
          <w:rFonts w:ascii="宋体" w:hAnsi="宋体" w:eastAsia="宋体"/>
          <w:b/>
          <w:color w:val="auto"/>
          <w:sz w:val="21"/>
          <w:szCs w:val="21"/>
          <w:highlight w:val="none"/>
        </w:rPr>
      </w:pPr>
      <w:bookmarkStart w:id="211"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212" w:name="_Toc86481569"/>
      <w:r>
        <w:rPr>
          <w:rFonts w:hint="eastAsia" w:ascii="宋体" w:hAnsi="宋体" w:eastAsia="宋体"/>
          <w:b/>
          <w:color w:val="auto"/>
          <w:sz w:val="21"/>
          <w:szCs w:val="21"/>
          <w:highlight w:val="none"/>
        </w:rPr>
        <w:t>第十二条 合同生效</w:t>
      </w:r>
      <w:bookmarkEnd w:id="212"/>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211"/>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213" w:name="_Toc23749"/>
      <w:bookmarkStart w:id="214" w:name="_Toc1478"/>
      <w:bookmarkStart w:id="215"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213"/>
      <w:bookmarkEnd w:id="214"/>
      <w:bookmarkEnd w:id="215"/>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6" w:name="_Toc26830"/>
      <w:bookmarkStart w:id="217" w:name="_Toc5794"/>
      <w:bookmarkStart w:id="218" w:name="_Toc6790"/>
      <w:r>
        <w:rPr>
          <w:rFonts w:hint="eastAsia"/>
          <w:color w:val="auto"/>
          <w:highlight w:val="none"/>
        </w:rPr>
        <w:t>投标文件目录</w:t>
      </w:r>
      <w:bookmarkEnd w:id="216"/>
      <w:bookmarkEnd w:id="217"/>
      <w:bookmarkEnd w:id="218"/>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9" w:name="_Toc5670"/>
      <w:bookmarkStart w:id="220" w:name="_Toc25502"/>
      <w:bookmarkStart w:id="221" w:name="_Toc18893"/>
      <w:bookmarkStart w:id="222" w:name="_Toc8194"/>
      <w:bookmarkStart w:id="223" w:name="_Toc22080"/>
      <w:bookmarkStart w:id="224" w:name="_Toc30640"/>
      <w:r>
        <w:rPr>
          <w:rFonts w:hint="eastAsia"/>
          <w:color w:val="auto"/>
          <w:highlight w:val="none"/>
        </w:rPr>
        <w:t>评分标准索引表</w:t>
      </w:r>
      <w:bookmarkEnd w:id="219"/>
      <w:bookmarkEnd w:id="220"/>
      <w:bookmarkEnd w:id="221"/>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4"/>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r>
        <w:rPr>
          <w:rFonts w:hint="eastAsia"/>
          <w:color w:val="auto"/>
          <w:highlight w:val="none"/>
          <w:lang w:val="en-US" w:eastAsia="zh-CN"/>
        </w:rPr>
        <w:t>第一章价格文件</w:t>
      </w:r>
      <w:bookmarkEnd w:id="222"/>
      <w:bookmarkEnd w:id="22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4168"/>
      <w:bookmarkStart w:id="226" w:name="_Toc19750"/>
      <w:r>
        <w:rPr>
          <w:rFonts w:hint="eastAsia"/>
          <w:color w:val="auto"/>
          <w:highlight w:val="none"/>
          <w:lang w:val="en-US" w:eastAsia="zh-CN"/>
        </w:rPr>
        <w:t>一、唱标一览表</w:t>
      </w:r>
      <w:bookmarkEnd w:id="225"/>
      <w:bookmarkEnd w:id="226"/>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保留小数点后两位。</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大小写不一致，以大写为准。</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必须准确唯一且应包含招标文件要求的所有费用。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注：折扣率=1-下浮率</w:t>
      </w:r>
      <w:r>
        <w:rPr>
          <w:rFonts w:hint="eastAsia" w:ascii="宋体" w:hAnsi="宋体" w:cs="宋体"/>
          <w:color w:val="auto"/>
          <w:sz w:val="21"/>
          <w:szCs w:val="21"/>
          <w:highlight w:val="none"/>
          <w:lang w:eastAsia="zh-CN"/>
        </w:rPr>
        <w:t>）</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31172"/>
      <w:bookmarkStart w:id="228" w:name="_Toc31062"/>
      <w:r>
        <w:rPr>
          <w:rFonts w:hint="eastAsia"/>
          <w:color w:val="auto"/>
          <w:highlight w:val="none"/>
          <w:lang w:val="en-US" w:eastAsia="zh-CN"/>
        </w:rPr>
        <w:t>二、报价明细表</w:t>
      </w:r>
      <w:bookmarkEnd w:id="227"/>
      <w:bookmarkEnd w:id="228"/>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20974"/>
      <w:bookmarkStart w:id="230" w:name="_Toc23355"/>
      <w:r>
        <w:rPr>
          <w:rFonts w:hint="eastAsia"/>
          <w:color w:val="auto"/>
          <w:highlight w:val="none"/>
          <w:lang w:val="en-US" w:eastAsia="zh-CN"/>
        </w:rPr>
        <w:t>三、小型或微型企业（货物/服务/承担的工程）明细表</w:t>
      </w:r>
      <w:bookmarkEnd w:id="229"/>
      <w:bookmarkEnd w:id="230"/>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16718"/>
      <w:bookmarkStart w:id="232" w:name="_Toc13970"/>
      <w:r>
        <w:rPr>
          <w:rFonts w:hint="eastAsia"/>
          <w:color w:val="auto"/>
          <w:highlight w:val="none"/>
          <w:lang w:val="en-US" w:eastAsia="zh-CN"/>
        </w:rPr>
        <w:t>四、节能产品或环境标志产品明细表</w:t>
      </w:r>
      <w:bookmarkEnd w:id="231"/>
      <w:bookmarkEnd w:id="232"/>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3" w:name="_Toc10853"/>
      <w:bookmarkStart w:id="234" w:name="_Toc17482"/>
      <w:r>
        <w:rPr>
          <w:rFonts w:hint="eastAsia"/>
          <w:color w:val="auto"/>
          <w:highlight w:val="none"/>
          <w:lang w:val="en-US" w:eastAsia="zh-CN"/>
        </w:rPr>
        <w:t>五、中小企业声明函</w:t>
      </w:r>
      <w:bookmarkEnd w:id="233"/>
      <w:bookmarkEnd w:id="234"/>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5" w:name="_Toc7959"/>
      <w:bookmarkStart w:id="236" w:name="_Toc8560"/>
      <w:r>
        <w:rPr>
          <w:rFonts w:hint="eastAsia"/>
          <w:color w:val="auto"/>
          <w:highlight w:val="none"/>
          <w:lang w:val="en-US" w:eastAsia="zh-CN"/>
        </w:rPr>
        <w:t>六、残疾人福利性单位声明函</w:t>
      </w:r>
      <w:bookmarkEnd w:id="235"/>
      <w:bookmarkEnd w:id="236"/>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7" w:name="_Toc17761"/>
      <w:bookmarkStart w:id="238" w:name="_Toc509844825"/>
      <w:bookmarkStart w:id="239" w:name="_Toc509479530"/>
      <w:bookmarkStart w:id="240" w:name="_Toc510171693"/>
      <w:bookmarkStart w:id="241" w:name="_Toc508960153"/>
      <w:bookmarkStart w:id="242" w:name="_Toc20910"/>
      <w:bookmarkStart w:id="243" w:name="_Toc508958703"/>
      <w:bookmarkStart w:id="244" w:name="_Toc509927455"/>
      <w:bookmarkStart w:id="245" w:name="_Toc30277"/>
      <w:bookmarkStart w:id="246" w:name="_Toc22970"/>
      <w:bookmarkStart w:id="247" w:name="_Toc508898066"/>
      <w:bookmarkStart w:id="248" w:name="_Toc30247"/>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7"/>
      <w:bookmarkEnd w:id="238"/>
      <w:bookmarkEnd w:id="239"/>
      <w:bookmarkEnd w:id="240"/>
      <w:bookmarkEnd w:id="241"/>
      <w:bookmarkEnd w:id="242"/>
      <w:bookmarkEnd w:id="243"/>
      <w:bookmarkEnd w:id="244"/>
      <w:bookmarkEnd w:id="245"/>
      <w:bookmarkEnd w:id="246"/>
      <w:bookmarkEnd w:id="247"/>
      <w:bookmarkEnd w:id="248"/>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9" w:name="_Toc508960154"/>
      <w:bookmarkStart w:id="250" w:name="_Toc509844826"/>
      <w:bookmarkStart w:id="251" w:name="_Toc31520"/>
      <w:bookmarkStart w:id="252" w:name="_Toc508958704"/>
      <w:bookmarkStart w:id="253" w:name="_Toc509927456"/>
      <w:bookmarkStart w:id="254" w:name="_Toc28527"/>
      <w:bookmarkStart w:id="255" w:name="_Toc21053"/>
      <w:bookmarkStart w:id="256" w:name="_Toc508898067"/>
      <w:bookmarkStart w:id="257" w:name="_Toc5447"/>
      <w:bookmarkStart w:id="258" w:name="_Toc509479531"/>
      <w:bookmarkStart w:id="259" w:name="_Toc26216"/>
      <w:bookmarkStart w:id="260" w:name="_Toc510171694"/>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9"/>
      <w:bookmarkEnd w:id="250"/>
      <w:bookmarkEnd w:id="251"/>
      <w:bookmarkEnd w:id="252"/>
      <w:bookmarkEnd w:id="253"/>
      <w:bookmarkEnd w:id="254"/>
      <w:bookmarkEnd w:id="255"/>
      <w:bookmarkEnd w:id="256"/>
      <w:bookmarkEnd w:id="257"/>
      <w:bookmarkEnd w:id="258"/>
      <w:bookmarkEnd w:id="259"/>
      <w:bookmarkEnd w:id="26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1" w:name="_Toc509479532"/>
      <w:bookmarkStart w:id="262" w:name="_Toc508960155"/>
      <w:bookmarkStart w:id="263" w:name="_Toc9148"/>
      <w:bookmarkStart w:id="264" w:name="_Toc28626"/>
      <w:bookmarkStart w:id="265" w:name="_Toc509927457"/>
      <w:bookmarkStart w:id="266" w:name="_Toc509844827"/>
      <w:bookmarkStart w:id="267" w:name="_Toc510171695"/>
      <w:bookmarkStart w:id="268" w:name="_Toc508958705"/>
      <w:bookmarkStart w:id="269" w:name="_Toc28126"/>
      <w:bookmarkStart w:id="270" w:name="_Toc24848"/>
      <w:bookmarkStart w:id="271" w:name="_Toc508898068"/>
      <w:bookmarkStart w:id="272" w:name="_Toc14653"/>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61"/>
      <w:bookmarkEnd w:id="262"/>
      <w:bookmarkEnd w:id="263"/>
      <w:bookmarkEnd w:id="264"/>
      <w:bookmarkEnd w:id="265"/>
      <w:bookmarkEnd w:id="266"/>
      <w:bookmarkEnd w:id="267"/>
      <w:bookmarkEnd w:id="268"/>
      <w:bookmarkEnd w:id="269"/>
      <w:bookmarkEnd w:id="270"/>
      <w:bookmarkEnd w:id="271"/>
      <w:bookmarkEnd w:id="27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3" w:name="_Toc9837"/>
      <w:bookmarkStart w:id="274" w:name="_Toc509844828"/>
      <w:bookmarkStart w:id="275" w:name="_Toc509479533"/>
      <w:bookmarkStart w:id="276" w:name="_Toc509927458"/>
      <w:bookmarkStart w:id="277" w:name="_Toc28686"/>
      <w:bookmarkStart w:id="278" w:name="_Toc7858"/>
      <w:bookmarkStart w:id="279" w:name="_Toc22981"/>
      <w:bookmarkStart w:id="280" w:name="_Toc508958706"/>
      <w:bookmarkStart w:id="281" w:name="_Toc508898069"/>
      <w:bookmarkStart w:id="282" w:name="_Toc28044"/>
      <w:bookmarkStart w:id="283" w:name="_Toc510171696"/>
      <w:bookmarkStart w:id="284" w:name="_Toc508960156"/>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73"/>
      <w:bookmarkEnd w:id="274"/>
      <w:bookmarkEnd w:id="275"/>
      <w:bookmarkEnd w:id="276"/>
      <w:bookmarkEnd w:id="277"/>
      <w:bookmarkEnd w:id="278"/>
      <w:bookmarkEnd w:id="279"/>
      <w:bookmarkEnd w:id="280"/>
      <w:bookmarkEnd w:id="281"/>
      <w:bookmarkEnd w:id="282"/>
      <w:bookmarkEnd w:id="283"/>
      <w:bookmarkEnd w:id="28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5" w:name="_Toc510171697"/>
      <w:bookmarkStart w:id="286" w:name="_Toc508898070"/>
      <w:bookmarkStart w:id="287" w:name="_Toc508960157"/>
      <w:bookmarkStart w:id="288" w:name="_Toc18843"/>
      <w:bookmarkStart w:id="289" w:name="_Toc508958707"/>
      <w:bookmarkStart w:id="290" w:name="_Toc509844829"/>
      <w:bookmarkStart w:id="291" w:name="_Toc5289"/>
      <w:bookmarkStart w:id="292" w:name="_Toc509927459"/>
      <w:bookmarkStart w:id="293" w:name="_Toc509479534"/>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5"/>
      <w:bookmarkEnd w:id="286"/>
      <w:bookmarkEnd w:id="287"/>
      <w:bookmarkEnd w:id="288"/>
      <w:bookmarkEnd w:id="289"/>
      <w:bookmarkEnd w:id="290"/>
      <w:bookmarkEnd w:id="291"/>
      <w:bookmarkEnd w:id="292"/>
      <w:bookmarkEnd w:id="293"/>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4" w:name="_Toc6471"/>
      <w:bookmarkStart w:id="295" w:name="_Toc23948"/>
      <w:r>
        <w:rPr>
          <w:rFonts w:hint="eastAsia"/>
          <w:color w:val="auto"/>
          <w:highlight w:val="none"/>
          <w:lang w:val="en-US" w:eastAsia="zh-CN"/>
        </w:rPr>
        <w:t>第二章商务文件</w:t>
      </w:r>
      <w:bookmarkEnd w:id="294"/>
      <w:bookmarkEnd w:id="295"/>
    </w:p>
    <w:bookmarkEnd w:id="224"/>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6" w:name="_Toc23787"/>
      <w:bookmarkStart w:id="297" w:name="_Toc1952"/>
      <w:r>
        <w:rPr>
          <w:rFonts w:hint="eastAsia"/>
          <w:color w:val="auto"/>
          <w:highlight w:val="none"/>
          <w:lang w:val="en-US" w:eastAsia="zh-CN"/>
        </w:rPr>
        <w:t>一、投标函</w:t>
      </w:r>
      <w:bookmarkEnd w:id="296"/>
      <w:bookmarkEnd w:id="297"/>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8" w:name="_Toc15719"/>
      <w:bookmarkStart w:id="299" w:name="_Toc28616"/>
      <w:r>
        <w:rPr>
          <w:rFonts w:hint="eastAsia"/>
          <w:color w:val="auto"/>
          <w:highlight w:val="none"/>
          <w:lang w:val="en-US" w:eastAsia="zh-CN"/>
        </w:rPr>
        <w:t>二、资格申明函</w:t>
      </w:r>
      <w:bookmarkEnd w:id="298"/>
      <w:bookmarkEnd w:id="299"/>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300"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32742"/>
      <w:bookmarkStart w:id="302" w:name="_Toc21273"/>
      <w:r>
        <w:rPr>
          <w:rFonts w:hint="eastAsia"/>
          <w:color w:val="auto"/>
          <w:highlight w:val="none"/>
          <w:lang w:val="en-US" w:eastAsia="zh-CN"/>
        </w:rPr>
        <w:t>三、在参与政府采购活动前三年未有重大违法记录、没有不良信用记录的声明函</w:t>
      </w:r>
      <w:bookmarkEnd w:id="301"/>
      <w:bookmarkEnd w:id="302"/>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300"/>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3" w:name="_Toc3894"/>
      <w:bookmarkStart w:id="304" w:name="_Toc13243"/>
      <w:r>
        <w:rPr>
          <w:rFonts w:hint="eastAsia"/>
          <w:color w:val="auto"/>
          <w:highlight w:val="none"/>
          <w:lang w:val="en-US" w:eastAsia="zh-CN"/>
        </w:rPr>
        <w:t>四、法定代表人证明书</w:t>
      </w:r>
      <w:bookmarkEnd w:id="303"/>
      <w:bookmarkEnd w:id="304"/>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5" w:name="_Toc5626"/>
      <w:bookmarkStart w:id="306" w:name="_Toc5918"/>
      <w:r>
        <w:rPr>
          <w:rFonts w:hint="eastAsia"/>
          <w:color w:val="auto"/>
          <w:highlight w:val="none"/>
          <w:lang w:val="en-US" w:eastAsia="zh-CN"/>
        </w:rPr>
        <w:t>五、法定代表人授权书</w:t>
      </w:r>
      <w:bookmarkEnd w:id="305"/>
      <w:bookmarkEnd w:id="306"/>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7"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8" w:name="_Toc18562"/>
      <w:bookmarkStart w:id="309" w:name="_Toc24013"/>
      <w:r>
        <w:rPr>
          <w:rFonts w:hint="eastAsia"/>
          <w:color w:val="auto"/>
          <w:highlight w:val="none"/>
          <w:lang w:val="en-US" w:eastAsia="zh-CN"/>
        </w:rPr>
        <w:t>六、投标人基本情况说明</w:t>
      </w:r>
      <w:bookmarkEnd w:id="308"/>
      <w:bookmarkEnd w:id="309"/>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10" w:name="_Toc17470"/>
      <w:bookmarkStart w:id="311" w:name="_Toc29995"/>
      <w:bookmarkStart w:id="312" w:name="_Toc1511"/>
      <w:bookmarkStart w:id="313" w:name="_Toc24210"/>
      <w:bookmarkStart w:id="314" w:name="_Toc5919"/>
      <w:bookmarkStart w:id="315" w:name="_Toc4926"/>
      <w:bookmarkStart w:id="316" w:name="_Toc28067"/>
      <w:r>
        <w:rPr>
          <w:rFonts w:hint="eastAsia"/>
          <w:color w:val="auto"/>
          <w:highlight w:val="none"/>
          <w:lang w:val="en-US" w:eastAsia="zh-CN"/>
        </w:rPr>
        <w:t>七、</w:t>
      </w:r>
      <w:r>
        <w:rPr>
          <w:rFonts w:hint="eastAsia"/>
          <w:color w:val="auto"/>
          <w:highlight w:val="none"/>
        </w:rPr>
        <w:t>营业执照</w:t>
      </w:r>
      <w:bookmarkEnd w:id="310"/>
      <w:bookmarkEnd w:id="311"/>
      <w:bookmarkEnd w:id="312"/>
      <w:bookmarkEnd w:id="313"/>
      <w:bookmarkEnd w:id="314"/>
      <w:bookmarkEnd w:id="315"/>
      <w:bookmarkEnd w:id="316"/>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7"/>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7" w:name="_Toc29439"/>
      <w:bookmarkStart w:id="318" w:name="_Toc21638"/>
      <w:r>
        <w:rPr>
          <w:rFonts w:hint="eastAsia"/>
          <w:color w:val="auto"/>
          <w:highlight w:val="none"/>
          <w:lang w:val="en-US" w:eastAsia="zh-CN"/>
        </w:rPr>
        <w:t>八、</w:t>
      </w:r>
      <w:r>
        <w:rPr>
          <w:rFonts w:hint="eastAsia"/>
          <w:color w:val="auto"/>
          <w:highlight w:val="none"/>
        </w:rPr>
        <w:t>特殊资格要求证明文件</w:t>
      </w:r>
      <w:bookmarkEnd w:id="317"/>
      <w:bookmarkEnd w:id="31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9" w:name="_Toc14263"/>
      <w:bookmarkStart w:id="320" w:name="_Toc23341"/>
      <w:r>
        <w:rPr>
          <w:rFonts w:hint="eastAsia"/>
          <w:color w:val="auto"/>
          <w:highlight w:val="none"/>
          <w:lang w:val="en-US" w:eastAsia="zh-CN"/>
        </w:rPr>
        <w:t>九、</w:t>
      </w:r>
      <w:r>
        <w:rPr>
          <w:rFonts w:hint="eastAsia"/>
          <w:color w:val="auto"/>
          <w:highlight w:val="none"/>
        </w:rPr>
        <w:t>承诺书</w:t>
      </w:r>
      <w:bookmarkEnd w:id="319"/>
      <w:bookmarkEnd w:id="320"/>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21"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21"/>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2" w:name="_Toc13653"/>
      <w:bookmarkStart w:id="323" w:name="_Toc13955"/>
      <w:r>
        <w:rPr>
          <w:rFonts w:hint="eastAsia"/>
          <w:color w:val="auto"/>
          <w:highlight w:val="none"/>
          <w:lang w:val="en-US" w:eastAsia="zh-CN"/>
        </w:rPr>
        <w:t>十、招标代理服务费承诺书</w:t>
      </w:r>
      <w:bookmarkEnd w:id="322"/>
      <w:bookmarkEnd w:id="323"/>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4" w:name="_Toc1975"/>
      <w:bookmarkStart w:id="325" w:name="_Toc12598"/>
      <w:r>
        <w:rPr>
          <w:rFonts w:hint="eastAsia"/>
          <w:color w:val="auto"/>
          <w:highlight w:val="none"/>
          <w:lang w:val="en-US" w:eastAsia="zh-CN"/>
        </w:rPr>
        <w:t>十一、</w:t>
      </w:r>
      <w:r>
        <w:rPr>
          <w:rFonts w:hint="eastAsia"/>
          <w:color w:val="auto"/>
          <w:highlight w:val="none"/>
        </w:rPr>
        <w:t>商务条款偏离表</w:t>
      </w:r>
      <w:bookmarkEnd w:id="324"/>
      <w:bookmarkEnd w:id="325"/>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6"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19276"/>
      <w:bookmarkStart w:id="328" w:name="_Toc25391"/>
      <w:r>
        <w:rPr>
          <w:rFonts w:hint="eastAsia"/>
          <w:color w:val="auto"/>
          <w:highlight w:val="none"/>
          <w:lang w:val="en-US" w:eastAsia="zh-CN"/>
        </w:rPr>
        <w:t>十二、</w:t>
      </w:r>
      <w:r>
        <w:rPr>
          <w:rFonts w:hint="eastAsia"/>
          <w:color w:val="auto"/>
          <w:highlight w:val="none"/>
        </w:rPr>
        <w:t>业绩表</w:t>
      </w:r>
      <w:bookmarkEnd w:id="327"/>
      <w:bookmarkEnd w:id="328"/>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9" w:name="_Toc14688"/>
      <w:bookmarkStart w:id="330" w:name="_Toc20520"/>
      <w:r>
        <w:rPr>
          <w:rFonts w:hint="eastAsia"/>
          <w:color w:val="auto"/>
          <w:highlight w:val="none"/>
          <w:lang w:val="en-US" w:eastAsia="zh-CN"/>
        </w:rPr>
        <w:t>第三章技术文件</w:t>
      </w:r>
      <w:bookmarkEnd w:id="326"/>
      <w:bookmarkEnd w:id="329"/>
      <w:bookmarkEnd w:id="330"/>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1" w:name="_Toc7092"/>
      <w:bookmarkStart w:id="332" w:name="_Toc13097"/>
      <w:r>
        <w:rPr>
          <w:rFonts w:hint="eastAsia"/>
          <w:color w:val="auto"/>
          <w:highlight w:val="none"/>
          <w:lang w:val="en-US" w:eastAsia="zh-CN"/>
        </w:rPr>
        <w:t>一、</w:t>
      </w:r>
      <w:r>
        <w:rPr>
          <w:rFonts w:hint="eastAsia"/>
          <w:color w:val="auto"/>
          <w:highlight w:val="none"/>
        </w:rPr>
        <w:t>技术规格偏离表</w:t>
      </w:r>
      <w:bookmarkEnd w:id="331"/>
      <w:bookmarkEnd w:id="332"/>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33" w:name="_Toc17691"/>
      <w:r>
        <w:rPr>
          <w:rFonts w:hint="eastAsia" w:ascii="宋体" w:hAnsi="宋体" w:eastAsia="宋体"/>
          <w:color w:val="auto"/>
          <w:sz w:val="21"/>
          <w:szCs w:val="21"/>
          <w:highlight w:val="none"/>
        </w:rPr>
        <w:br w:type="page"/>
      </w:r>
      <w:bookmarkEnd w:id="333"/>
      <w:bookmarkStart w:id="334" w:name="_Toc1274"/>
      <w:bookmarkStart w:id="335" w:name="_Toc4827"/>
      <w:bookmarkStart w:id="336" w:name="_Toc4464"/>
      <w:bookmarkStart w:id="337" w:name="_Toc6080"/>
      <w:bookmarkStart w:id="338" w:name="_Toc18668"/>
      <w:bookmarkStart w:id="339" w:name="_Toc2607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40" w:name="_Toc10734"/>
      <w:bookmarkStart w:id="341" w:name="_Toc13461"/>
      <w:r>
        <w:rPr>
          <w:rFonts w:hint="eastAsia"/>
          <w:color w:val="auto"/>
          <w:highlight w:val="none"/>
          <w:lang w:val="en-US" w:eastAsia="zh-CN"/>
        </w:rPr>
        <w:t>二、</w:t>
      </w:r>
      <w:r>
        <w:rPr>
          <w:rFonts w:hint="eastAsia"/>
          <w:color w:val="auto"/>
          <w:highlight w:val="none"/>
        </w:rPr>
        <w:t>重要技术参数（▲）响应表</w:t>
      </w:r>
      <w:bookmarkEnd w:id="334"/>
      <w:bookmarkEnd w:id="335"/>
      <w:bookmarkEnd w:id="336"/>
      <w:bookmarkEnd w:id="337"/>
      <w:bookmarkEnd w:id="338"/>
      <w:bookmarkEnd w:id="339"/>
      <w:bookmarkEnd w:id="340"/>
      <w:bookmarkEnd w:id="341"/>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42" w:name="_Toc27079"/>
            <w:bookmarkStart w:id="343" w:name="_Toc29642"/>
            <w:bookmarkStart w:id="344" w:name="_Toc29560"/>
            <w:r>
              <w:rPr>
                <w:rFonts w:hint="eastAsia" w:ascii="宋体" w:hAnsi="宋体" w:eastAsia="宋体" w:cs="宋体"/>
                <w:b w:val="0"/>
                <w:bCs w:val="0"/>
                <w:color w:val="auto"/>
                <w:sz w:val="21"/>
                <w:szCs w:val="21"/>
                <w:highlight w:val="none"/>
                <w:lang w:val="en-US" w:eastAsia="zh-CN"/>
              </w:rPr>
              <w:t>序号</w:t>
            </w:r>
            <w:bookmarkEnd w:id="342"/>
            <w:bookmarkEnd w:id="343"/>
            <w:bookmarkEnd w:id="344"/>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5" w:name="_Toc12049"/>
            <w:bookmarkStart w:id="346" w:name="_Toc10045"/>
            <w:bookmarkStart w:id="347" w:name="_Toc27090"/>
            <w:bookmarkStart w:id="348" w:name="_Toc15903"/>
            <w:bookmarkStart w:id="349" w:name="_Toc26124"/>
            <w:bookmarkStart w:id="350" w:name="_Toc2700"/>
            <w:bookmarkStart w:id="351" w:name="_Toc14815"/>
            <w:bookmarkStart w:id="352" w:name="_Toc22448"/>
            <w:bookmarkStart w:id="353" w:name="_Toc15368"/>
            <w:bookmarkStart w:id="354" w:name="_Toc1016"/>
            <w:bookmarkStart w:id="355" w:name="_Toc16872"/>
            <w:bookmarkStart w:id="356" w:name="_Toc21739"/>
            <w:bookmarkStart w:id="357" w:name="_Toc4304"/>
            <w:bookmarkStart w:id="358" w:name="_Toc22917"/>
            <w:bookmarkStart w:id="359" w:name="_Toc22879"/>
            <w:bookmarkStart w:id="360" w:name="_Toc32531"/>
            <w:bookmarkStart w:id="361" w:name="_Toc27442"/>
            <w:bookmarkStart w:id="362" w:name="_Toc8312"/>
            <w:bookmarkStart w:id="363" w:name="_Toc7333"/>
            <w:bookmarkStart w:id="364" w:name="_Toc19251"/>
            <w:bookmarkStart w:id="365" w:name="_Toc21809"/>
            <w:bookmarkStart w:id="366" w:name="_Toc8490"/>
            <w:bookmarkStart w:id="367" w:name="_Toc2466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5"/>
            <w:bookmarkEnd w:id="346"/>
            <w:bookmarkEnd w:id="347"/>
            <w:bookmarkEnd w:id="348"/>
            <w:bookmarkEnd w:id="349"/>
            <w:bookmarkEnd w:id="350"/>
            <w:bookmarkEnd w:id="351"/>
            <w:bookmarkEnd w:id="352"/>
            <w:bookmarkEnd w:id="353"/>
            <w:bookmarkEnd w:id="354"/>
            <w:bookmarkEnd w:id="355"/>
            <w:bookmarkEnd w:id="356"/>
            <w:bookmarkEnd w:id="357"/>
          </w:p>
          <w:bookmarkEnd w:id="358"/>
          <w:bookmarkEnd w:id="359"/>
          <w:bookmarkEnd w:id="360"/>
          <w:bookmarkEnd w:id="361"/>
          <w:bookmarkEnd w:id="362"/>
          <w:bookmarkEnd w:id="363"/>
          <w:bookmarkEnd w:id="364"/>
          <w:bookmarkEnd w:id="365"/>
          <w:bookmarkEnd w:id="366"/>
          <w:bookmarkEnd w:id="367"/>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8" w:name="_Toc2408"/>
            <w:bookmarkStart w:id="369" w:name="_Toc10122"/>
            <w:bookmarkStart w:id="370" w:name="_Toc22153"/>
            <w:r>
              <w:rPr>
                <w:rFonts w:hint="eastAsia" w:ascii="宋体" w:hAnsi="宋体" w:eastAsia="宋体" w:cs="宋体"/>
                <w:b w:val="0"/>
                <w:bCs w:val="0"/>
                <w:color w:val="auto"/>
                <w:kern w:val="0"/>
                <w:sz w:val="21"/>
                <w:szCs w:val="21"/>
                <w:highlight w:val="none"/>
              </w:rPr>
              <w:t>投标文件响应内容</w:t>
            </w:r>
            <w:bookmarkEnd w:id="368"/>
            <w:bookmarkEnd w:id="369"/>
            <w:bookmarkEnd w:id="370"/>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1" w:name="_Toc27285"/>
            <w:bookmarkStart w:id="372" w:name="_Toc29838"/>
            <w:bookmarkStart w:id="373" w:name="_Toc16003"/>
            <w:bookmarkStart w:id="374" w:name="_Toc17296"/>
            <w:bookmarkStart w:id="375" w:name="_Toc27185"/>
            <w:bookmarkStart w:id="376" w:name="_Toc1912"/>
            <w:bookmarkStart w:id="377" w:name="_Toc20820"/>
            <w:bookmarkStart w:id="378" w:name="_Toc3701"/>
            <w:bookmarkStart w:id="379" w:name="_Toc20139"/>
            <w:bookmarkStart w:id="380" w:name="_Toc1330"/>
            <w:bookmarkStart w:id="381" w:name="_Toc5992"/>
            <w:bookmarkStart w:id="382" w:name="_Toc17642"/>
            <w:bookmarkStart w:id="383" w:name="_Toc5563"/>
            <w:r>
              <w:rPr>
                <w:rFonts w:hint="eastAsia" w:ascii="宋体" w:hAnsi="宋体" w:eastAsia="宋体" w:cs="宋体"/>
                <w:b w:val="0"/>
                <w:bCs w:val="0"/>
                <w:color w:val="auto"/>
                <w:sz w:val="21"/>
                <w:szCs w:val="21"/>
                <w:highlight w:val="none"/>
                <w:lang w:val="en-US" w:eastAsia="zh-CN"/>
              </w:rPr>
              <w:t>说明</w:t>
            </w:r>
            <w:bookmarkEnd w:id="371"/>
            <w:bookmarkEnd w:id="372"/>
            <w:bookmarkEnd w:id="373"/>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3520"/>
            <w:bookmarkStart w:id="385" w:name="_Toc19105"/>
            <w:bookmarkStart w:id="386" w:name="_Toc857"/>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16"/>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7" w:name="_Toc27139"/>
      <w:bookmarkStart w:id="388" w:name="_Toc19349"/>
      <w:r>
        <w:rPr>
          <w:rFonts w:hint="eastAsia"/>
          <w:color w:val="auto"/>
          <w:highlight w:val="none"/>
          <w:lang w:val="en-US" w:eastAsia="zh-CN"/>
        </w:rPr>
        <w:t>三、</w:t>
      </w:r>
      <w:r>
        <w:rPr>
          <w:rFonts w:hint="eastAsia"/>
          <w:color w:val="auto"/>
          <w:highlight w:val="none"/>
        </w:rPr>
        <w:t>实质性条款（标记★）投标响应表</w:t>
      </w:r>
      <w:bookmarkEnd w:id="387"/>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9"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8"/>
      <w:bookmarkEnd w:id="389"/>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0" w:name="_Toc16328"/>
      <w:bookmarkStart w:id="391" w:name="_Toc26880"/>
      <w:r>
        <w:rPr>
          <w:rFonts w:hint="eastAsia"/>
          <w:color w:val="auto"/>
          <w:highlight w:val="none"/>
          <w:lang w:val="en-US" w:eastAsia="zh-CN"/>
        </w:rPr>
        <w:t>五、项目负责人及团队成员资料表</w:t>
      </w:r>
      <w:bookmarkEnd w:id="390"/>
      <w:bookmarkEnd w:id="391"/>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2" w:name="_Toc26980"/>
      <w:bookmarkStart w:id="393" w:name="_Toc15431"/>
      <w:r>
        <w:rPr>
          <w:rFonts w:hint="eastAsia"/>
          <w:color w:val="auto"/>
          <w:highlight w:val="none"/>
          <w:lang w:val="en-US" w:eastAsia="zh-CN"/>
        </w:rPr>
        <w:t>六、投标货物明细一览表</w:t>
      </w:r>
      <w:bookmarkEnd w:id="392"/>
      <w:bookmarkEnd w:id="393"/>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4" w:name="_Toc16710"/>
      <w:bookmarkStart w:id="395" w:name="_Toc21541"/>
      <w:r>
        <w:rPr>
          <w:rFonts w:hint="eastAsia"/>
          <w:color w:val="auto"/>
          <w:highlight w:val="none"/>
          <w:lang w:val="en-US" w:eastAsia="zh-CN"/>
        </w:rPr>
        <w:t>七、投标保证金汇入情况说明</w:t>
      </w:r>
      <w:bookmarkEnd w:id="394"/>
      <w:bookmarkEnd w:id="395"/>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2"/>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26855"/>
      <w:bookmarkStart w:id="397" w:name="_Toc24545"/>
      <w:r>
        <w:rPr>
          <w:rFonts w:hint="eastAsia"/>
          <w:color w:val="auto"/>
          <w:highlight w:val="none"/>
          <w:lang w:val="en-US" w:eastAsia="zh-CN"/>
        </w:rPr>
        <w:t>八、政府采购投标担保函</w:t>
      </w:r>
      <w:bookmarkEnd w:id="396"/>
      <w:bookmarkEnd w:id="397"/>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1．中标后投标人无正当理由不与采购人或者采购代理机构签订《政府采购合同》；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8" w:name="_Toc6961"/>
      <w:r>
        <w:rPr>
          <w:rFonts w:hint="eastAsia"/>
          <w:color w:val="auto"/>
          <w:highlight w:val="none"/>
          <w:lang w:val="en-US" w:eastAsia="zh-CN"/>
        </w:rPr>
        <w:t>九、政府采购履约担保函</w:t>
      </w:r>
      <w:bookmarkEnd w:id="398"/>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2"/>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26782"/>
      <w:bookmarkStart w:id="400" w:name="_Toc26772"/>
      <w:r>
        <w:rPr>
          <w:rFonts w:hint="eastAsia"/>
          <w:color w:val="auto"/>
          <w:highlight w:val="none"/>
          <w:lang w:val="en-US" w:eastAsia="zh-CN"/>
        </w:rPr>
        <w:t>第四章唱标信封（单独封装）</w:t>
      </w:r>
      <w:bookmarkEnd w:id="399"/>
      <w:bookmarkEnd w:id="400"/>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或《政府采购投标担保函》复印件。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401"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2" w:name="_Toc2710"/>
      <w:bookmarkStart w:id="403" w:name="_Toc22736"/>
      <w:r>
        <w:rPr>
          <w:rFonts w:hint="eastAsia"/>
          <w:color w:val="auto"/>
          <w:highlight w:val="none"/>
          <w:lang w:val="en-US" w:eastAsia="zh-CN"/>
        </w:rPr>
        <w:t>第五章联合体共同投标协议书（如有需要）</w:t>
      </w:r>
      <w:bookmarkEnd w:id="402"/>
      <w:bookmarkEnd w:id="403"/>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401"/>
    <w:p>
      <w:pPr>
        <w:pStyle w:val="2"/>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7"/>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8255</wp:posOffset>
          </wp:positionH>
          <wp:positionV relativeFrom="paragraph">
            <wp:posOffset>127000</wp:posOffset>
          </wp:positionV>
          <wp:extent cx="5264150" cy="444500"/>
          <wp:effectExtent l="0" t="0" r="12700"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D20561C"/>
    <w:multiLevelType w:val="singleLevel"/>
    <w:tmpl w:val="AD20561C"/>
    <w:lvl w:ilvl="0" w:tentative="0">
      <w:start w:val="1"/>
      <w:numFmt w:val="chineseCounting"/>
      <w:lvlText w:val="（%1）"/>
      <w:lvlJc w:val="left"/>
      <w:rPr>
        <w:rFonts w:hint="eastAsia"/>
      </w:r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FF6E5B74"/>
    <w:multiLevelType w:val="singleLevel"/>
    <w:tmpl w:val="FF6E5B74"/>
    <w:lvl w:ilvl="0" w:tentative="0">
      <w:start w:val="1"/>
      <w:numFmt w:val="decimal"/>
      <w:suff w:val="nothing"/>
      <w:lvlText w:val="%1．"/>
      <w:lvlJc w:val="left"/>
      <w:pPr>
        <w:ind w:left="0" w:firstLine="400"/>
      </w:pPr>
      <w:rPr>
        <w:rFonts w:hint="default"/>
      </w:rPr>
    </w:lvl>
  </w:abstractNum>
  <w:abstractNum w:abstractNumId="7">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22532AD9"/>
    <w:multiLevelType w:val="singleLevel"/>
    <w:tmpl w:val="22532AD9"/>
    <w:lvl w:ilvl="0" w:tentative="0">
      <w:start w:val="1"/>
      <w:numFmt w:val="decimal"/>
      <w:lvlText w:val="%1)"/>
      <w:lvlJc w:val="left"/>
      <w:pPr>
        <w:tabs>
          <w:tab w:val="left" w:pos="312"/>
        </w:tabs>
      </w:pPr>
    </w:lvl>
  </w:abstractNum>
  <w:abstractNum w:abstractNumId="11">
    <w:nsid w:val="25AC778E"/>
    <w:multiLevelType w:val="multilevel"/>
    <w:tmpl w:val="25AC778E"/>
    <w:lvl w:ilvl="0" w:tentative="0">
      <w:start w:val="1"/>
      <w:numFmt w:val="japaneseCounting"/>
      <w:lvlText w:val="%1、"/>
      <w:lvlJc w:val="left"/>
      <w:pPr>
        <w:tabs>
          <w:tab w:val="left" w:pos="420"/>
        </w:tabs>
        <w:ind w:left="420" w:hanging="420"/>
      </w:pPr>
      <w:rPr>
        <w:rFonts w:ascii="宋体" w:hAnsi="宋体" w:eastAsia="宋体" w:cs="Courier New"/>
      </w:rPr>
    </w:lvl>
    <w:lvl w:ilvl="1" w:tentative="0">
      <w:start w:val="1"/>
      <w:numFmt w:val="decimal"/>
      <w:lvlText w:val="%2、"/>
      <w:lvlJc w:val="left"/>
      <w:pPr>
        <w:tabs>
          <w:tab w:val="left" w:pos="780"/>
        </w:tabs>
        <w:ind w:left="780" w:hanging="360"/>
      </w:pPr>
      <w:rPr>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316010E5"/>
    <w:multiLevelType w:val="singleLevel"/>
    <w:tmpl w:val="316010E5"/>
    <w:lvl w:ilvl="0" w:tentative="0">
      <w:start w:val="1"/>
      <w:numFmt w:val="decimal"/>
      <w:suff w:val="nothing"/>
      <w:lvlText w:val="%1．"/>
      <w:lvlJc w:val="left"/>
    </w:lvl>
  </w:abstractNum>
  <w:abstractNum w:abstractNumId="13">
    <w:nsid w:val="3B1B8417"/>
    <w:multiLevelType w:val="singleLevel"/>
    <w:tmpl w:val="3B1B8417"/>
    <w:lvl w:ilvl="0" w:tentative="0">
      <w:start w:val="1"/>
      <w:numFmt w:val="decimal"/>
      <w:suff w:val="nothing"/>
      <w:lvlText w:val="%1、"/>
      <w:lvlJc w:val="left"/>
    </w:lvl>
  </w:abstractNum>
  <w:abstractNum w:abstractNumId="14">
    <w:nsid w:val="3F88662E"/>
    <w:multiLevelType w:val="singleLevel"/>
    <w:tmpl w:val="3F88662E"/>
    <w:lvl w:ilvl="0" w:tentative="0">
      <w:start w:val="1"/>
      <w:numFmt w:val="decimal"/>
      <w:suff w:val="space"/>
      <w:lvlText w:val="%1)"/>
      <w:lvlJc w:val="left"/>
    </w:lvl>
  </w:abstractNum>
  <w:abstractNum w:abstractNumId="15">
    <w:nsid w:val="636C59FA"/>
    <w:multiLevelType w:val="singleLevel"/>
    <w:tmpl w:val="636C59FA"/>
    <w:lvl w:ilvl="0" w:tentative="0">
      <w:start w:val="1"/>
      <w:numFmt w:val="decimal"/>
      <w:lvlText w:val="%1)"/>
      <w:lvlJc w:val="left"/>
      <w:pPr>
        <w:tabs>
          <w:tab w:val="left" w:pos="312"/>
        </w:tabs>
      </w:pPr>
    </w:lvl>
  </w:abstractNum>
  <w:abstractNum w:abstractNumId="16">
    <w:nsid w:val="6E5CE7BD"/>
    <w:multiLevelType w:val="singleLevel"/>
    <w:tmpl w:val="6E5CE7BD"/>
    <w:lvl w:ilvl="0" w:tentative="0">
      <w:start w:val="1"/>
      <w:numFmt w:val="chineseCounting"/>
      <w:suff w:val="nothing"/>
      <w:lvlText w:val="%1、"/>
      <w:lvlJc w:val="left"/>
      <w:rPr>
        <w:rFonts w:hint="eastAsia"/>
      </w:rPr>
    </w:lvl>
  </w:abstractNum>
  <w:num w:numId="1">
    <w:abstractNumId w:val="16"/>
  </w:num>
  <w:num w:numId="2">
    <w:abstractNumId w:val="13"/>
  </w:num>
  <w:num w:numId="3">
    <w:abstractNumId w:val="10"/>
  </w:num>
  <w:num w:numId="4">
    <w:abstractNumId w:val="15"/>
  </w:num>
  <w:num w:numId="5">
    <w:abstractNumId w:val="8"/>
  </w:num>
  <w:num w:numId="6">
    <w:abstractNumId w:val="14"/>
  </w:num>
  <w:num w:numId="7">
    <w:abstractNumId w:val="9"/>
  </w:num>
  <w:num w:numId="8">
    <w:abstractNumId w:val="4"/>
  </w:num>
  <w:num w:numId="9">
    <w:abstractNumId w:val="5"/>
  </w:num>
  <w:num w:numId="10">
    <w:abstractNumId w:val="2"/>
  </w:num>
  <w:num w:numId="11">
    <w:abstractNumId w:val="11"/>
  </w:num>
  <w:num w:numId="12">
    <w:abstractNumId w:val="1"/>
  </w:num>
  <w:num w:numId="13">
    <w:abstractNumId w:val="6"/>
  </w:num>
  <w:num w:numId="14">
    <w:abstractNumId w:val="3"/>
  </w:num>
  <w:num w:numId="15">
    <w:abstractNumId w:val="7"/>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0CAF"/>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44F67"/>
    <w:rsid w:val="00F52A5F"/>
    <w:rsid w:val="00F55954"/>
    <w:rsid w:val="00F61962"/>
    <w:rsid w:val="00F62865"/>
    <w:rsid w:val="00F64022"/>
    <w:rsid w:val="00F64660"/>
    <w:rsid w:val="00F97062"/>
    <w:rsid w:val="00F9745D"/>
    <w:rsid w:val="00FC7B53"/>
    <w:rsid w:val="00FD48CC"/>
    <w:rsid w:val="00FE62D1"/>
    <w:rsid w:val="00FF26BF"/>
    <w:rsid w:val="01064C9A"/>
    <w:rsid w:val="018023CE"/>
    <w:rsid w:val="01881AD6"/>
    <w:rsid w:val="01B40242"/>
    <w:rsid w:val="01B938AA"/>
    <w:rsid w:val="01E74B6E"/>
    <w:rsid w:val="02126CDB"/>
    <w:rsid w:val="021832B7"/>
    <w:rsid w:val="024E2E49"/>
    <w:rsid w:val="02A741FD"/>
    <w:rsid w:val="02C16E5D"/>
    <w:rsid w:val="02D934F3"/>
    <w:rsid w:val="02D964CF"/>
    <w:rsid w:val="0340787C"/>
    <w:rsid w:val="03707410"/>
    <w:rsid w:val="037F03E3"/>
    <w:rsid w:val="03A0770F"/>
    <w:rsid w:val="03A27BF9"/>
    <w:rsid w:val="03A448B8"/>
    <w:rsid w:val="03A4578A"/>
    <w:rsid w:val="03AD071E"/>
    <w:rsid w:val="03D10969"/>
    <w:rsid w:val="03DE6267"/>
    <w:rsid w:val="04DF1036"/>
    <w:rsid w:val="050F6021"/>
    <w:rsid w:val="05A97DEC"/>
    <w:rsid w:val="05C81981"/>
    <w:rsid w:val="061A28B5"/>
    <w:rsid w:val="06441289"/>
    <w:rsid w:val="065A32ED"/>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8674D"/>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CB46003"/>
    <w:rsid w:val="0CDE0221"/>
    <w:rsid w:val="0D890E47"/>
    <w:rsid w:val="0DC64A00"/>
    <w:rsid w:val="0DD3314B"/>
    <w:rsid w:val="0DF02C64"/>
    <w:rsid w:val="0DFC60BA"/>
    <w:rsid w:val="0E4249F1"/>
    <w:rsid w:val="0F6C5A53"/>
    <w:rsid w:val="0F7C5FF6"/>
    <w:rsid w:val="0FC63FBD"/>
    <w:rsid w:val="0FF43D48"/>
    <w:rsid w:val="106C564D"/>
    <w:rsid w:val="107B7B8F"/>
    <w:rsid w:val="107C67CE"/>
    <w:rsid w:val="1080523F"/>
    <w:rsid w:val="108F06C9"/>
    <w:rsid w:val="109D68CB"/>
    <w:rsid w:val="10A949B8"/>
    <w:rsid w:val="10C54639"/>
    <w:rsid w:val="11200D07"/>
    <w:rsid w:val="116B78B4"/>
    <w:rsid w:val="11DA73AF"/>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4FE5F5C"/>
    <w:rsid w:val="157D38E3"/>
    <w:rsid w:val="159E2BB6"/>
    <w:rsid w:val="15D359D7"/>
    <w:rsid w:val="15D81E0F"/>
    <w:rsid w:val="15F804D5"/>
    <w:rsid w:val="161771F3"/>
    <w:rsid w:val="16222D6D"/>
    <w:rsid w:val="163C77BE"/>
    <w:rsid w:val="165B546C"/>
    <w:rsid w:val="16632F86"/>
    <w:rsid w:val="1679588C"/>
    <w:rsid w:val="16994962"/>
    <w:rsid w:val="16A71041"/>
    <w:rsid w:val="16AA24BF"/>
    <w:rsid w:val="16F72341"/>
    <w:rsid w:val="17680CAB"/>
    <w:rsid w:val="1768546B"/>
    <w:rsid w:val="176E4128"/>
    <w:rsid w:val="1783371F"/>
    <w:rsid w:val="17E62B67"/>
    <w:rsid w:val="180C0192"/>
    <w:rsid w:val="180F4499"/>
    <w:rsid w:val="18221ECE"/>
    <w:rsid w:val="18C50D34"/>
    <w:rsid w:val="190B7894"/>
    <w:rsid w:val="19A2789F"/>
    <w:rsid w:val="1A460CF5"/>
    <w:rsid w:val="1A7F297D"/>
    <w:rsid w:val="1AB16AC1"/>
    <w:rsid w:val="1B034A52"/>
    <w:rsid w:val="1B1F34AD"/>
    <w:rsid w:val="1B8D5DC6"/>
    <w:rsid w:val="1BFE1D3B"/>
    <w:rsid w:val="1C2775EC"/>
    <w:rsid w:val="1C750ECE"/>
    <w:rsid w:val="1CA22168"/>
    <w:rsid w:val="1D0836D7"/>
    <w:rsid w:val="1D196139"/>
    <w:rsid w:val="1D5645B5"/>
    <w:rsid w:val="1DB85900"/>
    <w:rsid w:val="1DF051AF"/>
    <w:rsid w:val="1E010AF7"/>
    <w:rsid w:val="1E0178EB"/>
    <w:rsid w:val="1E301173"/>
    <w:rsid w:val="1E38333E"/>
    <w:rsid w:val="1E5C7612"/>
    <w:rsid w:val="1EA40BB4"/>
    <w:rsid w:val="1F43381C"/>
    <w:rsid w:val="1F63115D"/>
    <w:rsid w:val="1FA4148D"/>
    <w:rsid w:val="1FF42436"/>
    <w:rsid w:val="20121621"/>
    <w:rsid w:val="201A421D"/>
    <w:rsid w:val="20341172"/>
    <w:rsid w:val="204E554F"/>
    <w:rsid w:val="20590035"/>
    <w:rsid w:val="20C35213"/>
    <w:rsid w:val="20FC799E"/>
    <w:rsid w:val="21ED35E0"/>
    <w:rsid w:val="22154DDD"/>
    <w:rsid w:val="22213E42"/>
    <w:rsid w:val="22336873"/>
    <w:rsid w:val="23175889"/>
    <w:rsid w:val="238C2182"/>
    <w:rsid w:val="239015D1"/>
    <w:rsid w:val="23BB4E7D"/>
    <w:rsid w:val="23C172D6"/>
    <w:rsid w:val="23F04F64"/>
    <w:rsid w:val="23FA1E93"/>
    <w:rsid w:val="247D1603"/>
    <w:rsid w:val="24814CBE"/>
    <w:rsid w:val="24AC168B"/>
    <w:rsid w:val="25077D6D"/>
    <w:rsid w:val="258C3BEC"/>
    <w:rsid w:val="25E576CC"/>
    <w:rsid w:val="260E3862"/>
    <w:rsid w:val="262569FC"/>
    <w:rsid w:val="26344C98"/>
    <w:rsid w:val="26F56CE2"/>
    <w:rsid w:val="27435D49"/>
    <w:rsid w:val="27A34F71"/>
    <w:rsid w:val="27B36A67"/>
    <w:rsid w:val="27EB0D9B"/>
    <w:rsid w:val="286602C8"/>
    <w:rsid w:val="28665C95"/>
    <w:rsid w:val="28A64522"/>
    <w:rsid w:val="28B75145"/>
    <w:rsid w:val="28CC5B40"/>
    <w:rsid w:val="290B3EB9"/>
    <w:rsid w:val="291418C2"/>
    <w:rsid w:val="2950768C"/>
    <w:rsid w:val="29794227"/>
    <w:rsid w:val="297A5FC4"/>
    <w:rsid w:val="2A1113BC"/>
    <w:rsid w:val="2A8B6E59"/>
    <w:rsid w:val="2A8D4F8F"/>
    <w:rsid w:val="2A911082"/>
    <w:rsid w:val="2A917B34"/>
    <w:rsid w:val="2AD16945"/>
    <w:rsid w:val="2AE3766F"/>
    <w:rsid w:val="2B0B76B3"/>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C7755"/>
    <w:rsid w:val="30FF27D2"/>
    <w:rsid w:val="31170995"/>
    <w:rsid w:val="31264A30"/>
    <w:rsid w:val="31884E67"/>
    <w:rsid w:val="31A0275E"/>
    <w:rsid w:val="31B7357A"/>
    <w:rsid w:val="31ED6B08"/>
    <w:rsid w:val="31F915C9"/>
    <w:rsid w:val="32610CE6"/>
    <w:rsid w:val="32631A32"/>
    <w:rsid w:val="3276317E"/>
    <w:rsid w:val="328464CE"/>
    <w:rsid w:val="32AB70C5"/>
    <w:rsid w:val="32DC33E0"/>
    <w:rsid w:val="335D0AF5"/>
    <w:rsid w:val="3370088C"/>
    <w:rsid w:val="33A3154A"/>
    <w:rsid w:val="33DC2F78"/>
    <w:rsid w:val="3428227C"/>
    <w:rsid w:val="35260F83"/>
    <w:rsid w:val="35602226"/>
    <w:rsid w:val="356B72E7"/>
    <w:rsid w:val="3572424F"/>
    <w:rsid w:val="35FC3844"/>
    <w:rsid w:val="365042B2"/>
    <w:rsid w:val="366061FD"/>
    <w:rsid w:val="36794DEF"/>
    <w:rsid w:val="36AD519D"/>
    <w:rsid w:val="36B57705"/>
    <w:rsid w:val="370C7D80"/>
    <w:rsid w:val="374F1A0B"/>
    <w:rsid w:val="37A103ED"/>
    <w:rsid w:val="37EA5E6E"/>
    <w:rsid w:val="37FA2391"/>
    <w:rsid w:val="37FF016F"/>
    <w:rsid w:val="38427C0B"/>
    <w:rsid w:val="385D6A5C"/>
    <w:rsid w:val="387C5ABE"/>
    <w:rsid w:val="389B3A1E"/>
    <w:rsid w:val="38EB01D0"/>
    <w:rsid w:val="38EB6119"/>
    <w:rsid w:val="39B7490E"/>
    <w:rsid w:val="39DE33DA"/>
    <w:rsid w:val="39FA5B4A"/>
    <w:rsid w:val="39FE0BE9"/>
    <w:rsid w:val="3A3C1AAF"/>
    <w:rsid w:val="3A424C25"/>
    <w:rsid w:val="3A4B7CC1"/>
    <w:rsid w:val="3A51228C"/>
    <w:rsid w:val="3A552E60"/>
    <w:rsid w:val="3A5D642F"/>
    <w:rsid w:val="3AB210FC"/>
    <w:rsid w:val="3ACE216B"/>
    <w:rsid w:val="3AD649F6"/>
    <w:rsid w:val="3AD95C13"/>
    <w:rsid w:val="3B261E51"/>
    <w:rsid w:val="3B973F88"/>
    <w:rsid w:val="3BCD72F7"/>
    <w:rsid w:val="3C414142"/>
    <w:rsid w:val="3CE114D9"/>
    <w:rsid w:val="3CF737A2"/>
    <w:rsid w:val="3CF7509A"/>
    <w:rsid w:val="3D10295A"/>
    <w:rsid w:val="3D56518F"/>
    <w:rsid w:val="3D892A04"/>
    <w:rsid w:val="3E0572FD"/>
    <w:rsid w:val="3E1A5292"/>
    <w:rsid w:val="3E1E6330"/>
    <w:rsid w:val="3E5A7FE7"/>
    <w:rsid w:val="3EC8179E"/>
    <w:rsid w:val="3EF66B2E"/>
    <w:rsid w:val="3F217914"/>
    <w:rsid w:val="3F7E18C4"/>
    <w:rsid w:val="3F942B76"/>
    <w:rsid w:val="3FD70BB0"/>
    <w:rsid w:val="3FFB55AC"/>
    <w:rsid w:val="401C5F9D"/>
    <w:rsid w:val="401C690C"/>
    <w:rsid w:val="401D7195"/>
    <w:rsid w:val="405F1BE4"/>
    <w:rsid w:val="407669AB"/>
    <w:rsid w:val="40A51286"/>
    <w:rsid w:val="40CE3DC0"/>
    <w:rsid w:val="40D7455A"/>
    <w:rsid w:val="40E743E5"/>
    <w:rsid w:val="4110038E"/>
    <w:rsid w:val="416D4873"/>
    <w:rsid w:val="41734CBA"/>
    <w:rsid w:val="41C01B53"/>
    <w:rsid w:val="41D162A9"/>
    <w:rsid w:val="41DD7057"/>
    <w:rsid w:val="420F7A65"/>
    <w:rsid w:val="4216611A"/>
    <w:rsid w:val="423E300F"/>
    <w:rsid w:val="425656C8"/>
    <w:rsid w:val="4257273C"/>
    <w:rsid w:val="425D7213"/>
    <w:rsid w:val="426411CE"/>
    <w:rsid w:val="42677B61"/>
    <w:rsid w:val="42756DB0"/>
    <w:rsid w:val="42B21AD2"/>
    <w:rsid w:val="42FD694D"/>
    <w:rsid w:val="434A6D8F"/>
    <w:rsid w:val="43FA5777"/>
    <w:rsid w:val="44044D92"/>
    <w:rsid w:val="441C1611"/>
    <w:rsid w:val="443C440B"/>
    <w:rsid w:val="443F7DBF"/>
    <w:rsid w:val="44415754"/>
    <w:rsid w:val="44514F52"/>
    <w:rsid w:val="448965CB"/>
    <w:rsid w:val="44C5497E"/>
    <w:rsid w:val="44FA2D53"/>
    <w:rsid w:val="45414CB2"/>
    <w:rsid w:val="4571374F"/>
    <w:rsid w:val="458B1BB0"/>
    <w:rsid w:val="46107A90"/>
    <w:rsid w:val="4611075B"/>
    <w:rsid w:val="46113D05"/>
    <w:rsid w:val="46132D66"/>
    <w:rsid w:val="46214818"/>
    <w:rsid w:val="467A0297"/>
    <w:rsid w:val="468B7125"/>
    <w:rsid w:val="46C4691F"/>
    <w:rsid w:val="47841568"/>
    <w:rsid w:val="479D1D34"/>
    <w:rsid w:val="47B609C0"/>
    <w:rsid w:val="47CF543E"/>
    <w:rsid w:val="481E6E41"/>
    <w:rsid w:val="482D31EA"/>
    <w:rsid w:val="485970A0"/>
    <w:rsid w:val="48847961"/>
    <w:rsid w:val="48A41906"/>
    <w:rsid w:val="48AD2852"/>
    <w:rsid w:val="48B65C71"/>
    <w:rsid w:val="48F303D7"/>
    <w:rsid w:val="492837FF"/>
    <w:rsid w:val="492E6A57"/>
    <w:rsid w:val="49B86103"/>
    <w:rsid w:val="4A0030EE"/>
    <w:rsid w:val="4A2711AB"/>
    <w:rsid w:val="4AC36065"/>
    <w:rsid w:val="4B560086"/>
    <w:rsid w:val="4B7501F5"/>
    <w:rsid w:val="4B8C2DEB"/>
    <w:rsid w:val="4BFA3C9F"/>
    <w:rsid w:val="4C022CB5"/>
    <w:rsid w:val="4C0E3379"/>
    <w:rsid w:val="4C107F48"/>
    <w:rsid w:val="4C3277BC"/>
    <w:rsid w:val="4C686851"/>
    <w:rsid w:val="4CB25875"/>
    <w:rsid w:val="4CC353EB"/>
    <w:rsid w:val="4CF36F3C"/>
    <w:rsid w:val="4D056F4D"/>
    <w:rsid w:val="4D4F67BA"/>
    <w:rsid w:val="4D603399"/>
    <w:rsid w:val="4D867EE1"/>
    <w:rsid w:val="4DBC4C65"/>
    <w:rsid w:val="4DF6568D"/>
    <w:rsid w:val="4E2E1A80"/>
    <w:rsid w:val="4E550010"/>
    <w:rsid w:val="4E5F14CB"/>
    <w:rsid w:val="4F2965A2"/>
    <w:rsid w:val="4F3705F8"/>
    <w:rsid w:val="4F4755A1"/>
    <w:rsid w:val="4F651D09"/>
    <w:rsid w:val="4FAC3540"/>
    <w:rsid w:val="4FBB12F4"/>
    <w:rsid w:val="4FCF1583"/>
    <w:rsid w:val="4FFA7625"/>
    <w:rsid w:val="501168C8"/>
    <w:rsid w:val="501B0BF9"/>
    <w:rsid w:val="507D2599"/>
    <w:rsid w:val="5096229D"/>
    <w:rsid w:val="50B44FCE"/>
    <w:rsid w:val="50DC4184"/>
    <w:rsid w:val="51475B39"/>
    <w:rsid w:val="514C3EA7"/>
    <w:rsid w:val="519849E5"/>
    <w:rsid w:val="51B36892"/>
    <w:rsid w:val="52162570"/>
    <w:rsid w:val="52506DA7"/>
    <w:rsid w:val="533B2B84"/>
    <w:rsid w:val="537A7243"/>
    <w:rsid w:val="539C1B81"/>
    <w:rsid w:val="53AA6184"/>
    <w:rsid w:val="53AE750F"/>
    <w:rsid w:val="53EB0895"/>
    <w:rsid w:val="53F263AD"/>
    <w:rsid w:val="54693932"/>
    <w:rsid w:val="54837309"/>
    <w:rsid w:val="549A6BFA"/>
    <w:rsid w:val="54E72921"/>
    <w:rsid w:val="555C6CAF"/>
    <w:rsid w:val="55806F07"/>
    <w:rsid w:val="55BC18C6"/>
    <w:rsid w:val="55D02809"/>
    <w:rsid w:val="55D76683"/>
    <w:rsid w:val="55FA2961"/>
    <w:rsid w:val="56165A01"/>
    <w:rsid w:val="563E7196"/>
    <w:rsid w:val="565E3E0E"/>
    <w:rsid w:val="565E7F4F"/>
    <w:rsid w:val="56762FF5"/>
    <w:rsid w:val="56775789"/>
    <w:rsid w:val="56857D06"/>
    <w:rsid w:val="56914056"/>
    <w:rsid w:val="569F0E63"/>
    <w:rsid w:val="569F7A7F"/>
    <w:rsid w:val="56DB613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332717"/>
    <w:rsid w:val="5A8E5D27"/>
    <w:rsid w:val="5A9847F3"/>
    <w:rsid w:val="5AC7121C"/>
    <w:rsid w:val="5AD90B8D"/>
    <w:rsid w:val="5AE12927"/>
    <w:rsid w:val="5B2243E9"/>
    <w:rsid w:val="5B40591F"/>
    <w:rsid w:val="5B4E1A44"/>
    <w:rsid w:val="5B666742"/>
    <w:rsid w:val="5B6919B0"/>
    <w:rsid w:val="5B873201"/>
    <w:rsid w:val="5B89551D"/>
    <w:rsid w:val="5B967767"/>
    <w:rsid w:val="5B9E55DE"/>
    <w:rsid w:val="5C1D18D2"/>
    <w:rsid w:val="5C286807"/>
    <w:rsid w:val="5C446BC8"/>
    <w:rsid w:val="5C4C687B"/>
    <w:rsid w:val="5C5C51E9"/>
    <w:rsid w:val="5C7C2768"/>
    <w:rsid w:val="5CB23AE6"/>
    <w:rsid w:val="5CF55792"/>
    <w:rsid w:val="5CFD533A"/>
    <w:rsid w:val="5D893B14"/>
    <w:rsid w:val="5D9F3D30"/>
    <w:rsid w:val="5E2810D5"/>
    <w:rsid w:val="5E2B7D62"/>
    <w:rsid w:val="5E71411E"/>
    <w:rsid w:val="5EA06921"/>
    <w:rsid w:val="5ED5006A"/>
    <w:rsid w:val="5F576E4B"/>
    <w:rsid w:val="5F5D4EDE"/>
    <w:rsid w:val="5F7A2C30"/>
    <w:rsid w:val="5FBE370A"/>
    <w:rsid w:val="5FF00038"/>
    <w:rsid w:val="60292845"/>
    <w:rsid w:val="61027308"/>
    <w:rsid w:val="612E1A5D"/>
    <w:rsid w:val="617B0100"/>
    <w:rsid w:val="61816046"/>
    <w:rsid w:val="62182687"/>
    <w:rsid w:val="62391564"/>
    <w:rsid w:val="627F7BC0"/>
    <w:rsid w:val="62816669"/>
    <w:rsid w:val="62B57462"/>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C60A92"/>
    <w:rsid w:val="662203DD"/>
    <w:rsid w:val="666B723B"/>
    <w:rsid w:val="6678045A"/>
    <w:rsid w:val="66DD6702"/>
    <w:rsid w:val="676C3F98"/>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5C61BC"/>
    <w:rsid w:val="6B723594"/>
    <w:rsid w:val="6B805156"/>
    <w:rsid w:val="6BD50977"/>
    <w:rsid w:val="6BEA2A9B"/>
    <w:rsid w:val="6C9C0875"/>
    <w:rsid w:val="6C9D1F03"/>
    <w:rsid w:val="6CAA3931"/>
    <w:rsid w:val="6D3933CA"/>
    <w:rsid w:val="6D7B61EC"/>
    <w:rsid w:val="6DA47DD4"/>
    <w:rsid w:val="6DC3266E"/>
    <w:rsid w:val="6DD049FF"/>
    <w:rsid w:val="6E09491E"/>
    <w:rsid w:val="6E0D3655"/>
    <w:rsid w:val="6E5D7B7F"/>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4556B4"/>
    <w:rsid w:val="71481642"/>
    <w:rsid w:val="715B60E9"/>
    <w:rsid w:val="71E96309"/>
    <w:rsid w:val="71EA1FED"/>
    <w:rsid w:val="72284A0C"/>
    <w:rsid w:val="72C16204"/>
    <w:rsid w:val="730313F6"/>
    <w:rsid w:val="731E1007"/>
    <w:rsid w:val="73370D24"/>
    <w:rsid w:val="7359268C"/>
    <w:rsid w:val="739503EB"/>
    <w:rsid w:val="73A05B28"/>
    <w:rsid w:val="73C07D69"/>
    <w:rsid w:val="749C6000"/>
    <w:rsid w:val="749E2255"/>
    <w:rsid w:val="74B42AE4"/>
    <w:rsid w:val="750A429D"/>
    <w:rsid w:val="75167F59"/>
    <w:rsid w:val="754D77D2"/>
    <w:rsid w:val="755D38A7"/>
    <w:rsid w:val="755F0960"/>
    <w:rsid w:val="755F5A0F"/>
    <w:rsid w:val="75614792"/>
    <w:rsid w:val="756E5849"/>
    <w:rsid w:val="75784473"/>
    <w:rsid w:val="757E044C"/>
    <w:rsid w:val="75977BC3"/>
    <w:rsid w:val="75B161B3"/>
    <w:rsid w:val="75E470E3"/>
    <w:rsid w:val="76736B32"/>
    <w:rsid w:val="76A034DA"/>
    <w:rsid w:val="76E3765E"/>
    <w:rsid w:val="76FC2AFA"/>
    <w:rsid w:val="773F0836"/>
    <w:rsid w:val="77653671"/>
    <w:rsid w:val="778546CC"/>
    <w:rsid w:val="77950F7E"/>
    <w:rsid w:val="77B56730"/>
    <w:rsid w:val="77C04A8B"/>
    <w:rsid w:val="77D85DB3"/>
    <w:rsid w:val="780252A0"/>
    <w:rsid w:val="78027772"/>
    <w:rsid w:val="78A50513"/>
    <w:rsid w:val="793B7339"/>
    <w:rsid w:val="796518DD"/>
    <w:rsid w:val="796E0C55"/>
    <w:rsid w:val="79AA0532"/>
    <w:rsid w:val="79C93A1E"/>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EC0EF6"/>
    <w:rsid w:val="7BF32F03"/>
    <w:rsid w:val="7C156EA0"/>
    <w:rsid w:val="7C1724A5"/>
    <w:rsid w:val="7C8E3CCF"/>
    <w:rsid w:val="7CA54112"/>
    <w:rsid w:val="7CE50CE4"/>
    <w:rsid w:val="7D2177E3"/>
    <w:rsid w:val="7D2E5ABF"/>
    <w:rsid w:val="7D2F3C22"/>
    <w:rsid w:val="7DB429D4"/>
    <w:rsid w:val="7E2142A2"/>
    <w:rsid w:val="7E4F5384"/>
    <w:rsid w:val="7E5A6DFA"/>
    <w:rsid w:val="7E5F6A2D"/>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asciiTheme="majorHAnsi" w:hAnsiTheme="majorHAnsi" w:eastAsiaTheme="majorEastAsia" w:cstheme="majorBidi"/>
      <w:b/>
      <w:bCs/>
      <w:sz w:val="28"/>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88</Pages>
  <Words>38330</Words>
  <Characters>39420</Characters>
  <Lines>264</Lines>
  <Paragraphs>74</Paragraphs>
  <TotalTime>0</TotalTime>
  <ScaleCrop>false</ScaleCrop>
  <LinksUpToDate>false</LinksUpToDate>
  <CharactersWithSpaces>41858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2022-09-09T06:50:00Z</cp:lastPrinted>
  <dcterms:modified xsi:type="dcterms:W3CDTF">2022-09-26T10:55:04Z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838F0397E4324235B58EC45168FF8D29</vt:lpwstr>
  </property>
</Properties>
</file>