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rFonts w:ascii="黑体" w:eastAsia="黑体"/>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ind w:left="0" w:firstLine="0" w:firstLineChars="0"/>
        <w:rPr>
          <w:rFonts w:ascii="黑体" w:eastAsia="黑体"/>
          <w:szCs w:val="21"/>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GDZT2022137C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广东省盐业集团东莞有限公司2022年度配送、仓储辅助及饭堂后勤等服务项目（重新招标）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广东省盐业集团东莞有限公司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1"/>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8、请各投标供应商缴纳投标保证金前务必核对正确的缴纳账户，由于错缴、误缴而导致未按项目缴纳投标保证金的情况将由投标供应商自行负责。</w:t>
      </w:r>
    </w:p>
    <w:p>
      <w:pPr>
        <w:pStyle w:val="34"/>
        <w:spacing w:line="480" w:lineRule="auto"/>
        <w:ind w:firstLine="0" w:firstLineChars="0"/>
        <w:rPr>
          <w:rFonts w:ascii="宋体" w:hAnsi="宋体" w:cs="宋体"/>
          <w:b/>
          <w:szCs w:val="21"/>
        </w:rPr>
      </w:pPr>
      <w:r>
        <w:rPr>
          <w:rFonts w:hint="eastAsia" w:ascii="宋体" w:hAnsi="宋体" w:cs="宋体"/>
          <w:b/>
          <w:szCs w:val="21"/>
        </w:rPr>
        <w:t>9、投标保证金必须于投标文件递交截止时间前到达</w:t>
      </w:r>
      <w:r>
        <w:rPr>
          <w:rFonts w:hint="eastAsia" w:ascii="宋体" w:hAnsi="宋体" w:cs="宋体"/>
          <w:b/>
          <w:szCs w:val="21"/>
          <w:lang w:val="zh-CN"/>
        </w:rPr>
        <w:t>广东政通招标有限公司</w:t>
      </w:r>
      <w:r>
        <w:rPr>
          <w:rFonts w:hint="eastAsia" w:ascii="宋体" w:hAnsi="宋体" w:cs="宋体"/>
          <w:b/>
          <w:szCs w:val="21"/>
        </w:rPr>
        <w:t>账户，账户详见招标文件。由于转账当天不能确保实时到账，为避免因投标保证金未到账而导致投标被拒绝，建议提前2个工作日转账。</w:t>
      </w:r>
    </w:p>
    <w:p>
      <w:pPr>
        <w:pStyle w:val="34"/>
        <w:spacing w:line="480" w:lineRule="auto"/>
        <w:ind w:firstLine="0" w:firstLineChars="0"/>
        <w:rPr>
          <w:rFonts w:ascii="宋体" w:hAnsi="宋体" w:cs="宋体"/>
          <w:b/>
          <w:szCs w:val="21"/>
        </w:rPr>
      </w:pPr>
      <w:r>
        <w:rPr>
          <w:rFonts w:hint="eastAsia" w:ascii="宋体" w:hAnsi="宋体" w:cs="宋体"/>
          <w:b/>
          <w:szCs w:val="21"/>
        </w:rPr>
        <w:t>10、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rPr>
          <w:b/>
          <w:bCs/>
          <w:sz w:val="24"/>
          <w:szCs w:val="24"/>
        </w:rPr>
      </w:pPr>
      <w:r>
        <w:rPr>
          <w:rFonts w:hint="eastAsia"/>
          <w:b/>
          <w:bCs/>
          <w:sz w:val="24"/>
          <w:szCs w:val="24"/>
        </w:rPr>
        <w:t>11、公司位置：</w:t>
      </w:r>
    </w:p>
    <w:p>
      <w:pPr>
        <w:pStyle w:val="21"/>
        <w:ind w:left="0" w:leftChars="0"/>
        <w:rPr>
          <w:sz w:val="40"/>
          <w:szCs w:val="40"/>
        </w:rPr>
      </w:pPr>
      <w:r>
        <w:rPr>
          <w:rFonts w:hint="eastAsia"/>
          <w:sz w:val="40"/>
          <w:szCs w:val="40"/>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1"/>
        <w:ind w:left="0" w:leftChars="0"/>
        <w:rPr>
          <w:sz w:val="40"/>
          <w:szCs w:val="40"/>
        </w:rPr>
      </w:pPr>
      <w:r>
        <w:rPr>
          <w:rFonts w:hint="eastAsia"/>
          <w:sz w:val="40"/>
          <w:szCs w:val="40"/>
        </w:rPr>
        <w:t>目录</w:t>
      </w:r>
    </w:p>
    <w:p>
      <w:pPr>
        <w:pStyle w:val="21"/>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7</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7</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10</w:t>
      </w:r>
      <w:r>
        <w:rPr>
          <w:rFonts w:hint="eastAsia" w:cs="宋体"/>
          <w:sz w:val="21"/>
          <w:szCs w:val="21"/>
        </w:rPr>
        <w:fldChar w:fldCharType="end"/>
      </w:r>
      <w:r>
        <w:rPr>
          <w:rFonts w:hint="eastAsia" w:cs="宋体"/>
          <w:sz w:val="21"/>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13</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13</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19</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27.纪律和保密事项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30</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31</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28.合同授予标准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29.发布采购结果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30.合同的签订与履行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31.履约保证金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32.询问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33.质疑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34.招标文件的解释权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43</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56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78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"_Toc16710" </w:instrText>
      </w:r>
      <w:r>
        <w:fldChar w:fldCharType="separate"/>
      </w:r>
      <w:r>
        <w:rPr>
          <w:rFonts w:hint="eastAsia" w:ascii="宋体" w:hAnsi="宋体" w:cs="宋体"/>
        </w:rPr>
        <w:t>七、投标保证金汇入情况说明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_Toc16710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"_Toc26855" </w:instrText>
      </w:r>
      <w:r>
        <w:fldChar w:fldCharType="separate"/>
      </w:r>
      <w:r>
        <w:rPr>
          <w:rFonts w:hint="eastAsia" w:ascii="宋体" w:hAnsi="宋体" w:cs="宋体"/>
        </w:rPr>
        <w:t>八、采购投标担保函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_Toc26855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九、采购履约担保函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85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6"/>
        <w:spacing w:before="0" w:after="0" w:line="240" w:lineRule="auto"/>
        <w:rPr>
          <w:sz w:val="28"/>
          <w:szCs w:val="28"/>
        </w:rPr>
      </w:pPr>
      <w:bookmarkStart w:id="0" w:name="_Toc17306"/>
      <w:bookmarkStart w:id="1" w:name="_Toc2456"/>
      <w:r>
        <w:rPr>
          <w:rFonts w:hint="eastAsia"/>
          <w:sz w:val="28"/>
          <w:szCs w:val="28"/>
        </w:rPr>
        <w:t>第一部分 投标邀请</w:t>
      </w:r>
      <w:bookmarkEnd w:id="0"/>
      <w:bookmarkEnd w:id="1"/>
    </w:p>
    <w:p>
      <w:pPr>
        <w:pStyle w:val="7"/>
        <w:jc w:val="center"/>
        <w:rPr>
          <w:rFonts w:ascii="宋体" w:hAnsi="宋体" w:cs="宋体"/>
        </w:rPr>
      </w:pPr>
      <w:bookmarkStart w:id="2" w:name="_Toc8850"/>
      <w:bookmarkStart w:id="3" w:name="_Toc1420"/>
      <w:bookmarkStart w:id="4" w:name="_Toc7123"/>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广东省盐业集团东莞有限公司</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szCs w:val="21"/>
          <w:u w:val="single"/>
        </w:rPr>
        <w:t>广东省盐业集团东莞有限公司2022年度配送、仓储辅助及饭堂后勤等服务项目（重新招标）</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项目编号：GDZT2022137C；</w:t>
      </w:r>
    </w:p>
    <w:p>
      <w:pPr>
        <w:numPr>
          <w:ilvl w:val="0"/>
          <w:numId w:val="2"/>
        </w:numPr>
        <w:ind w:firstLine="420" w:firstLineChars="200"/>
        <w:rPr>
          <w:rFonts w:ascii="宋体" w:hAnsi="宋体"/>
          <w:szCs w:val="21"/>
        </w:rPr>
      </w:pPr>
      <w:r>
        <w:rPr>
          <w:rFonts w:hint="eastAsia" w:ascii="宋体" w:hAnsi="宋体"/>
          <w:szCs w:val="21"/>
        </w:rPr>
        <w:t>项目名称：广东省盐业集团东莞有限公司2022年度配送、仓储辅助及饭堂后勤等服务项目（重新招标）；</w:t>
      </w:r>
    </w:p>
    <w:p>
      <w:pPr>
        <w:ind w:firstLine="420" w:firstLineChars="200"/>
        <w:rPr>
          <w:rFonts w:ascii="宋体" w:hAnsi="宋体"/>
          <w:szCs w:val="21"/>
        </w:rPr>
      </w:pPr>
      <w:r>
        <w:rPr>
          <w:rFonts w:hint="eastAsia" w:ascii="宋体" w:hAnsi="宋体"/>
          <w:szCs w:val="21"/>
        </w:rPr>
        <w:t>3、项目内容：</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3"/>
        <w:gridCol w:w="5068"/>
        <w:gridCol w:w="824"/>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5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303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494"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212"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53"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w:t>
            </w:r>
          </w:p>
        </w:tc>
        <w:tc>
          <w:tcPr>
            <w:tcW w:w="3039"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b/>
                <w:szCs w:val="21"/>
                <w:u w:val="single"/>
              </w:rPr>
              <w:t>广东省盐业集团东莞有限公司2022年度配送、仓储辅助及饭堂后勤等服务项目（重新招标）</w:t>
            </w:r>
          </w:p>
        </w:tc>
        <w:tc>
          <w:tcPr>
            <w:tcW w:w="494"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1项</w:t>
            </w:r>
          </w:p>
        </w:tc>
        <w:tc>
          <w:tcPr>
            <w:tcW w:w="1212"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szCs w:val="21"/>
                <w:u w:val="single"/>
              </w:rPr>
              <w:t>1,</w:t>
            </w:r>
            <w:r>
              <w:rPr>
                <w:rFonts w:ascii="宋体" w:hAnsi="宋体"/>
                <w:b/>
                <w:szCs w:val="21"/>
                <w:u w:val="single"/>
              </w:rPr>
              <w:t>58</w:t>
            </w:r>
            <w:r>
              <w:rPr>
                <w:rFonts w:hint="eastAsia" w:ascii="宋体" w:hAnsi="宋体"/>
                <w:b/>
                <w:szCs w:val="21"/>
                <w:u w:val="single"/>
              </w:rPr>
              <w:t>0,000.00</w:t>
            </w:r>
            <w:r>
              <w:rPr>
                <w:rFonts w:hint="eastAsia" w:ascii="宋体" w:hAnsi="宋体"/>
                <w:szCs w:val="21"/>
              </w:rPr>
              <w:t>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（1）投标人须为在中华人民共和国境内登记注册的具有独立承担民事责任能力的法人或其他组织；</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Pr>
        <w:pStyle w:val="2"/>
        <w:spacing w:before="0"/>
        <w:ind w:left="0"/>
        <w:rPr>
          <w:sz w:val="21"/>
          <w:szCs w:val="21"/>
        </w:rPr>
      </w:pPr>
    </w:p>
    <w:p>
      <w:pPr>
        <w:ind w:firstLine="411" w:firstLineChars="196"/>
        <w:rPr>
          <w:rFonts w:ascii="宋体" w:hAnsi="宋体"/>
          <w:szCs w:val="21"/>
        </w:rPr>
      </w:pPr>
      <w:r>
        <w:rPr>
          <w:rFonts w:hint="eastAsia" w:ascii="宋体" w:hAnsi="宋体"/>
          <w:szCs w:val="21"/>
        </w:rPr>
        <w:t>2、特殊要求：</w:t>
      </w:r>
    </w:p>
    <w:p>
      <w:pPr>
        <w:ind w:firstLine="420" w:firstLineChars="200"/>
      </w:pPr>
      <w:r>
        <w:rPr>
          <w:rFonts w:hint="eastAsia"/>
        </w:rPr>
        <w:t>无</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日起至2022年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日起至2022年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w:t>
      </w:r>
      <w:r>
        <w:rPr>
          <w:rFonts w:hint="eastAsia" w:ascii="宋体" w:hAnsi="宋体"/>
          <w:szCs w:val="21"/>
          <w:lang w:val="en-US" w:eastAsia="zh-CN"/>
        </w:rPr>
        <w:t>300</w:t>
      </w:r>
      <w:r>
        <w:rPr>
          <w:rFonts w:hint="eastAsia" w:ascii="宋体" w:hAnsi="宋体"/>
          <w:szCs w:val="21"/>
        </w:rPr>
        <w:t>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投标人在领购招标文件时建议提供如下证明材料：《营业执照》复印件或《事业单位法人证书》复印件或其他主体证书复印件，自然人参加投标须提供自然人的身份证明材料。</w:t>
      </w:r>
    </w:p>
    <w:p/>
    <w:p>
      <w:pPr>
        <w:ind w:firstLine="413" w:firstLineChars="196"/>
        <w:rPr>
          <w:rFonts w:ascii="宋体" w:hAnsi="宋体"/>
          <w:b/>
          <w:szCs w:val="21"/>
        </w:rPr>
      </w:pPr>
      <w:r>
        <w:rPr>
          <w:rFonts w:hint="eastAsia" w:ascii="宋体" w:hAnsi="宋体"/>
          <w:b/>
          <w:szCs w:val="21"/>
        </w:rPr>
        <w:t>四、投标截止时间、开标时间及地点</w:t>
      </w:r>
    </w:p>
    <w:p>
      <w:pPr>
        <w:ind w:firstLine="420" w:firstLineChars="200"/>
        <w:rPr>
          <w:rFonts w:ascii="宋体" w:hAnsi="宋体"/>
          <w:bCs/>
          <w:szCs w:val="21"/>
        </w:rPr>
      </w:pPr>
      <w:r>
        <w:rPr>
          <w:rFonts w:hint="eastAsia" w:ascii="宋体" w:hAnsi="宋体"/>
          <w:bCs/>
          <w:szCs w:val="21"/>
        </w:rPr>
        <w:t>1、递交投标文件时间：</w:t>
      </w:r>
      <w:r>
        <w:rPr>
          <w:rFonts w:hint="eastAsia" w:ascii="宋体" w:hAnsi="宋体"/>
          <w:szCs w:val="21"/>
        </w:rPr>
        <w:t>2022年</w:t>
      </w:r>
      <w:r>
        <w:rPr>
          <w:rFonts w:hint="eastAsia" w:ascii="宋体" w:hAnsi="宋体"/>
          <w:bCs/>
          <w:szCs w:val="21"/>
          <w:lang w:val="en-US" w:eastAsia="zh-CN"/>
        </w:rPr>
        <w:t>8</w:t>
      </w:r>
      <w:r>
        <w:rPr>
          <w:rFonts w:hint="eastAsia" w:ascii="宋体" w:hAnsi="宋体"/>
          <w:bCs/>
          <w:szCs w:val="21"/>
        </w:rPr>
        <w:t>月</w:t>
      </w:r>
      <w:r>
        <w:rPr>
          <w:rFonts w:hint="eastAsia" w:ascii="宋体" w:hAnsi="宋体"/>
          <w:bCs/>
          <w:szCs w:val="21"/>
          <w:lang w:val="en-US" w:eastAsia="zh-CN"/>
        </w:rPr>
        <w:t>22</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：00～</w:t>
      </w:r>
      <w:r>
        <w:rPr>
          <w:rFonts w:hint="eastAsia" w:ascii="宋体" w:hAnsi="宋体"/>
          <w:bCs/>
          <w:szCs w:val="21"/>
          <w:lang w:val="en-US" w:eastAsia="zh-CN"/>
        </w:rPr>
        <w:t>14</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w:t>
      </w:r>
      <w:r>
        <w:rPr>
          <w:rFonts w:hint="eastAsia" w:ascii="宋体" w:hAnsi="宋体"/>
          <w:szCs w:val="21"/>
        </w:rPr>
        <w:t>2022年</w:t>
      </w:r>
      <w:r>
        <w:rPr>
          <w:rFonts w:hint="eastAsia" w:ascii="宋体" w:hAnsi="宋体"/>
          <w:bCs/>
          <w:szCs w:val="21"/>
          <w:lang w:val="en-US" w:eastAsia="zh-CN"/>
        </w:rPr>
        <w:t>8</w:t>
      </w:r>
      <w:r>
        <w:rPr>
          <w:rFonts w:hint="eastAsia" w:ascii="宋体" w:hAnsi="宋体"/>
          <w:bCs/>
          <w:szCs w:val="21"/>
        </w:rPr>
        <w:t>月</w:t>
      </w:r>
      <w:r>
        <w:rPr>
          <w:rFonts w:hint="eastAsia" w:ascii="宋体" w:hAnsi="宋体"/>
          <w:bCs/>
          <w:szCs w:val="21"/>
          <w:lang w:val="en-US" w:eastAsia="zh-CN"/>
        </w:rPr>
        <w:t>22</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五、采购人及采购代理机构的名称、地址和联系方法：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采购人联系人：鲁先生</w:t>
      </w:r>
    </w:p>
    <w:p>
      <w:pPr>
        <w:ind w:firstLine="420" w:firstLineChars="200"/>
        <w:rPr>
          <w:rFonts w:ascii="宋体" w:hAnsi="宋体"/>
          <w:bCs/>
          <w:szCs w:val="21"/>
        </w:rPr>
      </w:pPr>
      <w:r>
        <w:rPr>
          <w:rFonts w:hint="eastAsia" w:ascii="宋体" w:hAnsi="宋体"/>
          <w:bCs/>
          <w:szCs w:val="21"/>
        </w:rPr>
        <w:t xml:space="preserve">地址：广东省东莞市莞城街道东城西路莞城段172号111室   </w:t>
      </w:r>
    </w:p>
    <w:p>
      <w:pPr>
        <w:ind w:firstLine="420" w:firstLineChars="200"/>
        <w:rPr>
          <w:rFonts w:ascii="宋体" w:hAnsi="宋体"/>
          <w:bCs/>
          <w:szCs w:val="21"/>
        </w:rPr>
      </w:pPr>
      <w:r>
        <w:rPr>
          <w:rFonts w:hint="eastAsia" w:ascii="宋体" w:hAnsi="宋体"/>
          <w:bCs/>
          <w:szCs w:val="21"/>
        </w:rPr>
        <w:t>联系电话：0769-22383793‬</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E－ mail：471539976@qq.com</w:t>
      </w:r>
    </w:p>
    <w:p>
      <w:pPr>
        <w:pStyle w:val="2"/>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szCs w:val="21"/>
        </w:rPr>
        <w:t>2022年</w:t>
      </w:r>
      <w:r>
        <w:rPr>
          <w:rFonts w:hint="eastAsia" w:ascii="宋体" w:hAnsi="宋体" w:cs="宋体"/>
          <w:szCs w:val="21"/>
          <w:lang w:val="en-US" w:eastAsia="zh-CN"/>
        </w:rPr>
        <w:t>8</w:t>
      </w:r>
      <w:r>
        <w:rPr>
          <w:rFonts w:hint="eastAsia" w:ascii="宋体" w:hAnsi="宋体" w:cs="宋体"/>
          <w:szCs w:val="21"/>
        </w:rPr>
        <w:t>月</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ind w:left="0"/>
      </w:pPr>
    </w:p>
    <w:p>
      <w:pPr>
        <w:pStyle w:val="6"/>
        <w:spacing w:before="0" w:after="0" w:line="240" w:lineRule="auto"/>
        <w:rPr>
          <w:sz w:val="28"/>
          <w:szCs w:val="28"/>
        </w:rPr>
      </w:pPr>
      <w:bookmarkStart w:id="5" w:name="_Toc24505"/>
      <w:bookmarkStart w:id="6" w:name="_Toc28550"/>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（1）投标保证金金额：人民币</w:t>
            </w:r>
            <w:r>
              <w:rPr>
                <w:rFonts w:hint="eastAsia" w:ascii="宋体" w:hAnsi="宋体"/>
                <w:b/>
                <w:szCs w:val="21"/>
              </w:rPr>
              <w:t>壹万陆仟</w:t>
            </w:r>
            <w:r>
              <w:rPr>
                <w:rFonts w:hint="eastAsia" w:ascii="宋体" w:hAnsi="宋体"/>
                <w:szCs w:val="21"/>
              </w:rPr>
              <w:t>元整（￥</w:t>
            </w:r>
            <w:r>
              <w:rPr>
                <w:rFonts w:hint="eastAsia" w:ascii="宋体" w:hAnsi="宋体"/>
                <w:b/>
                <w:szCs w:val="21"/>
              </w:rPr>
              <w:t>16,000.00</w:t>
            </w:r>
            <w:r>
              <w:rPr>
                <w:rFonts w:hint="eastAsia" w:ascii="宋体" w:hAnsi="宋体"/>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（2）</w:t>
            </w:r>
            <w:r>
              <w:rPr>
                <w:rFonts w:hint="eastAsia" w:ascii="宋体" w:hAnsi="宋体"/>
                <w:szCs w:val="21"/>
                <w:lang w:val="zh-CN"/>
              </w:rPr>
              <w:t>投标保证金须严格按“招标文件第</w:t>
            </w:r>
            <w:r>
              <w:rPr>
                <w:rFonts w:hint="eastAsia" w:ascii="宋体" w:hAnsi="宋体"/>
                <w:szCs w:val="21"/>
              </w:rPr>
              <w:t>四部分投</w:t>
            </w:r>
            <w:r>
              <w:rPr>
                <w:rFonts w:hint="eastAsia" w:ascii="宋体" w:hAnsi="宋体"/>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（3）保证金递交账户：</w:t>
            </w:r>
          </w:p>
          <w:p>
            <w:pPr>
              <w:jc w:val="both"/>
              <w:rPr>
                <w:rFonts w:ascii="宋体" w:hAnsi="宋体"/>
                <w:szCs w:val="21"/>
                <w:lang w:val="zh-CN"/>
              </w:rPr>
            </w:pPr>
            <w:r>
              <w:rPr>
                <w:rFonts w:hint="eastAsia" w:ascii="宋体" w:hAnsi="宋体"/>
                <w:szCs w:val="21"/>
                <w:lang w:val="zh-CN"/>
              </w:rPr>
              <w:t>收款人：广东政通招标有限公司</w:t>
            </w:r>
          </w:p>
          <w:p>
            <w:pPr>
              <w:jc w:val="both"/>
              <w:rPr>
                <w:rFonts w:ascii="宋体" w:hAnsi="宋体"/>
                <w:szCs w:val="21"/>
                <w:lang w:val="zh-CN"/>
              </w:rPr>
            </w:pPr>
            <w:r>
              <w:rPr>
                <w:rFonts w:hint="eastAsia" w:ascii="宋体" w:hAnsi="宋体"/>
                <w:szCs w:val="21"/>
                <w:lang w:val="zh-CN"/>
              </w:rPr>
              <w:t>开户行：广发银行股份有限公司东莞新城支行</w:t>
            </w:r>
            <w:bookmarkStart w:id="326" w:name="_GoBack"/>
            <w:bookmarkEnd w:id="326"/>
          </w:p>
          <w:p>
            <w:pPr>
              <w:jc w:val="both"/>
              <w:rPr>
                <w:rFonts w:ascii="宋体" w:hAnsi="宋体"/>
                <w:szCs w:val="21"/>
              </w:rPr>
            </w:pPr>
            <w:r>
              <w:rPr>
                <w:rFonts w:hint="eastAsia" w:ascii="宋体" w:hAnsi="宋体"/>
                <w:szCs w:val="21"/>
                <w:lang w:val="zh-CN"/>
              </w:rPr>
              <w:t>帐  号：6232590699050050192</w:t>
            </w:r>
          </w:p>
          <w:p>
            <w:pPr>
              <w:jc w:val="both"/>
            </w:pPr>
            <w:r>
              <w:rPr>
                <w:rFonts w:hint="eastAsia" w:ascii="宋体" w:hAnsi="宋体"/>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bCs/>
                <w:szCs w:val="21"/>
                <w:lang w:val="zh-CN"/>
              </w:rPr>
            </w:pPr>
            <w:r>
              <w:rPr>
                <w:rFonts w:hint="eastAsia" w:ascii="宋体" w:hAnsi="宋体"/>
                <w:b/>
                <w:bCs/>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w:t>
            </w:r>
            <w:r>
              <w:rPr>
                <w:rFonts w:hint="eastAsia" w:ascii="宋体" w:hAnsi="宋体"/>
                <w:szCs w:val="21"/>
              </w:rPr>
              <w:t>1</w:t>
            </w:r>
            <w:r>
              <w:rPr>
                <w:rFonts w:hint="eastAsia" w:ascii="宋体" w:hAnsi="宋体"/>
                <w:szCs w:val="21"/>
                <w:lang w:val="zh-CN"/>
              </w:rPr>
              <w:t>）未中标的投标人的保证金在采购结果公示发出后5个工作日内退还，中标投标人的保证金在采购合同签订后5个工作日内退还。</w:t>
            </w:r>
          </w:p>
          <w:p>
            <w:pPr>
              <w:jc w:val="both"/>
              <w:rPr>
                <w:rFonts w:ascii="宋体" w:hAnsi="宋体"/>
                <w:szCs w:val="21"/>
                <w:lang w:val="zh-CN"/>
              </w:rPr>
            </w:pPr>
            <w:r>
              <w:rPr>
                <w:rFonts w:hint="eastAsia" w:ascii="宋体" w:hAnsi="宋体"/>
                <w:szCs w:val="21"/>
                <w:lang w:val="zh-CN"/>
              </w:rPr>
              <w:t>（</w:t>
            </w:r>
            <w:r>
              <w:rPr>
                <w:rFonts w:hint="eastAsia" w:ascii="宋体" w:hAnsi="宋体"/>
                <w:szCs w:val="21"/>
              </w:rPr>
              <w:t>2</w:t>
            </w:r>
            <w:r>
              <w:rPr>
                <w:rFonts w:hint="eastAsia" w:ascii="宋体" w:hAnsi="宋体"/>
                <w:szCs w:val="21"/>
                <w:lang w:val="zh-CN"/>
              </w:rPr>
              <w:t>）为方便退还未中标的投</w:t>
            </w:r>
            <w:r>
              <w:rPr>
                <w:rFonts w:hint="eastAsia" w:ascii="宋体" w:hAnsi="宋体"/>
                <w:szCs w:val="21"/>
              </w:rPr>
              <w:t>标</w:t>
            </w:r>
            <w:r>
              <w:rPr>
                <w:rFonts w:hint="eastAsia" w:ascii="宋体" w:hAnsi="宋体"/>
                <w:szCs w:val="21"/>
                <w:lang w:val="zh-CN"/>
              </w:rPr>
              <w:t>人的保证金，投标人应制作《投标保证金汇入情况说明》随唱标文件一并递交。</w:t>
            </w:r>
          </w:p>
          <w:p>
            <w:pPr>
              <w:jc w:val="both"/>
            </w:pPr>
            <w:r>
              <w:rPr>
                <w:rFonts w:hint="eastAsia" w:ascii="宋体" w:hAnsi="宋体"/>
                <w:szCs w:val="21"/>
                <w:lang w:val="zh-CN"/>
              </w:rPr>
              <w:t>（</w:t>
            </w:r>
            <w:r>
              <w:rPr>
                <w:rFonts w:hint="eastAsia" w:ascii="宋体" w:hAnsi="宋体"/>
                <w:szCs w:val="21"/>
              </w:rPr>
              <w:t>3</w:t>
            </w:r>
            <w:r>
              <w:rPr>
                <w:rFonts w:hint="eastAsia" w:ascii="宋体" w:hAnsi="宋体"/>
                <w:szCs w:val="21"/>
                <w:lang w:val="zh-CN"/>
              </w:rPr>
              <w:t>）投标保证金退还联系电话：</w:t>
            </w:r>
            <w:r>
              <w:rPr>
                <w:rFonts w:hint="eastAsia" w:ascii="宋体" w:hAnsi="宋体"/>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16</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履约保证金的金额为：人民币叁万元整（¥30,000.00）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40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本项目固定收取中标服务费金额为人民币壹万伍仟元整（¥15,000.00），向中标单位收取。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4"/>
      </w:pPr>
    </w:p>
    <w:p>
      <w:pPr>
        <w:pStyle w:val="3"/>
        <w:ind w:left="0" w:firstLine="0" w:firstLineChars="0"/>
        <w:rPr>
          <w:rFonts w:ascii="宋体" w:hAnsi="宋体" w:cs="宋体"/>
          <w:sz w:val="21"/>
          <w:szCs w:val="21"/>
        </w:rPr>
      </w:pPr>
    </w:p>
    <w:p>
      <w:pPr>
        <w:pStyle w:val="6"/>
        <w:spacing w:before="0" w:after="0" w:line="360" w:lineRule="auto"/>
      </w:pPr>
      <w:bookmarkStart w:id="8" w:name="_Toc13473"/>
      <w:bookmarkStart w:id="9" w:name="_Toc5749"/>
      <w:bookmarkStart w:id="10" w:name="_Hlk55300595"/>
      <w:bookmarkStart w:id="11" w:name="_Toc9572"/>
      <w:r>
        <w:rPr>
          <w:rFonts w:hint="eastAsia"/>
          <w:sz w:val="28"/>
          <w:szCs w:val="28"/>
        </w:rPr>
        <w:t xml:space="preserve">第三部分 </w:t>
      </w:r>
      <w:bookmarkStart w:id="12" w:name="_Hlk55300643"/>
      <w:bookmarkStart w:id="13" w:name="_Toc7113352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7"/>
        <w:spacing w:line="240" w:lineRule="auto"/>
        <w:jc w:val="center"/>
        <w:rPr>
          <w:rFonts w:ascii="宋体" w:hAnsi="宋体" w:cs="宋体"/>
          <w:sz w:val="24"/>
          <w:szCs w:val="24"/>
        </w:rPr>
      </w:pPr>
      <w:bookmarkStart w:id="15" w:name="_Toc18413"/>
      <w:bookmarkStart w:id="16" w:name="_Toc21613"/>
      <w:r>
        <w:rPr>
          <w:rFonts w:hint="eastAsia" w:ascii="宋体" w:hAnsi="宋体" w:cs="宋体"/>
          <w:sz w:val="24"/>
          <w:szCs w:val="24"/>
        </w:rPr>
        <w:t>价格及商务技术评分权重细则表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商务评审（35分）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投标人实力</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lang w:val="zh-CN" w:bidi="zh-CN"/>
              </w:rPr>
            </w:pPr>
            <w:r>
              <w:rPr>
                <w:rFonts w:hint="eastAsia" w:ascii="宋体" w:hAnsi="宋体" w:cs="宋体"/>
                <w:szCs w:val="21"/>
              </w:rPr>
              <w:t>投标人具有由国家认证认可监督管理部门批准设立的认证机构颁发并在有效期内：</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售后服务认证证书得3分；</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诚信管理体系认证证书得3分；</w:t>
            </w:r>
          </w:p>
          <w:p>
            <w:pPr>
              <w:spacing w:line="240" w:lineRule="auto"/>
              <w:ind w:firstLine="420" w:firstLineChars="200"/>
              <w:rPr>
                <w:rFonts w:ascii="宋体" w:hAnsi="宋体" w:cs="宋体"/>
                <w:szCs w:val="21"/>
                <w:lang w:val="zh-CN" w:bidi="zh-CN"/>
              </w:rPr>
            </w:pPr>
            <w:r>
              <w:rPr>
                <w:rFonts w:hint="eastAsia" w:ascii="宋体" w:cs="宋体"/>
                <w:bCs/>
                <w:szCs w:val="21"/>
                <w:lang w:val="zh-CN"/>
              </w:rPr>
              <w:t>职业健康安全管理体系认证</w:t>
            </w:r>
            <w:r>
              <w:rPr>
                <w:rFonts w:hint="eastAsia" w:ascii="宋体" w:hAnsi="宋体" w:cs="宋体"/>
                <w:szCs w:val="21"/>
                <w:lang w:val="zh-CN" w:bidi="zh-CN"/>
              </w:rPr>
              <w:t>得3分；</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信息安全管理体系认证证书得3分；</w:t>
            </w:r>
          </w:p>
          <w:p>
            <w:pPr>
              <w:spacing w:line="240" w:lineRule="auto"/>
              <w:ind w:firstLine="420" w:firstLineChars="200"/>
              <w:rPr>
                <w:rFonts w:ascii="宋体" w:hAnsi="宋体" w:cs="宋体"/>
                <w:szCs w:val="21"/>
                <w:lang w:val="zh-CN" w:bidi="zh-CN"/>
              </w:rPr>
            </w:pPr>
            <w:r>
              <w:rPr>
                <w:rFonts w:hint="eastAsia" w:ascii="宋体" w:hAnsi="宋体" w:cs="宋体"/>
                <w:szCs w:val="21"/>
              </w:rPr>
              <w:t>质量管理体系认证证书得3分；</w:t>
            </w:r>
          </w:p>
          <w:p>
            <w:pPr>
              <w:spacing w:line="240" w:lineRule="auto"/>
              <w:ind w:firstLine="414" w:firstLineChars="200"/>
              <w:rPr>
                <w:rFonts w:ascii="宋体" w:hAnsi="宋体" w:cs="宋体"/>
                <w:bCs/>
                <w:szCs w:val="21"/>
                <w:lang w:val="zh-CN"/>
              </w:rPr>
            </w:pPr>
            <w:r>
              <w:rPr>
                <w:rFonts w:hint="eastAsia" w:ascii="宋体" w:hAnsi="宋体" w:cs="宋体"/>
                <w:b/>
                <w:bCs/>
                <w:spacing w:val="-2"/>
                <w:szCs w:val="21"/>
              </w:rPr>
              <w:t>注：每提供一个得对应分数，最高得15分；</w:t>
            </w:r>
            <w:r>
              <w:rPr>
                <w:rFonts w:hint="eastAsia" w:ascii="宋体" w:hAnsi="宋体" w:cs="宋体"/>
                <w:b/>
                <w:szCs w:val="21"/>
              </w:rPr>
              <w:t>须提供以上相关证书复印件加盖投标人公章，且所有证件必须在有效期内。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业绩情况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20分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投标人自2019年1月1日（以合同签订时间为准）以来具有人力资源服务类业绩进行评审，每提供一项得1分，满分20分。</w:t>
            </w:r>
          </w:p>
          <w:p>
            <w:pPr>
              <w:spacing w:line="240" w:lineRule="auto"/>
              <w:ind w:firstLine="420" w:firstLineChars="200"/>
              <w:rPr>
                <w:rFonts w:ascii="宋体" w:hAnsi="宋体" w:cs="宋体"/>
                <w:bCs/>
                <w:szCs w:val="21"/>
                <w:lang w:val="zh-CN"/>
              </w:rPr>
            </w:pPr>
            <w:r>
              <w:rPr>
                <w:rFonts w:hint="eastAsia" w:ascii="宋体" w:hAnsi="宋体" w:cs="宋体"/>
                <w:szCs w:val="21"/>
              </w:rPr>
              <w:t>注：须提供合同关键页复印件及对应项目的中标通知书及相关合同项目1个月的服务费发票复印件加盖投标人公章。（包括合同名称、合同时间、内容范围、签字盖章页等）；同一项目的框架合同与单项定单合同不重复计算，如有重复，以单项定单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b/>
                <w:bCs/>
                <w:sz w:val="21"/>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项目总体服务方案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根据投标人所提供的服务内容、服务流程、管理服务架构、方法及人员档案/薪资管理等方案进行评审：</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服务内容、服务流程、管理服务架构、方法及人员档案/薪资管理等方案非常符合实际，非常具体详细，可行性、科学性非常高，对项目研究的工作思路、方法非常清晰，得15分；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服务内容、服务流程、管理服务架构、方法及人员档案/薪资管理等方案较符合实际，较具体详细，可行性、科学性较高，对项目研究的工作思路、方法较清晰，得10分；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服务内容、服务流程、管理服务架构、方法及人员档案/薪资管理等方案符合实际，具体详细，可行性、科学性高，对项目研究的工作思路、方法清晰，得5分；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服务内容、服务流程、管理服务架构、方法及人员档案/薪资管理等方案不太符合实际，不太具体详细，可行性、科学性较低，对项目研究的工作思路、方法较笼统，得1分；</w:t>
            </w:r>
          </w:p>
          <w:p>
            <w:pPr>
              <w:spacing w:line="240" w:lineRule="auto"/>
              <w:ind w:firstLine="420" w:firstLineChars="200"/>
              <w:rPr>
                <w:rFonts w:ascii="宋体" w:hAnsi="宋体" w:cs="宋体"/>
                <w:szCs w:val="21"/>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人员管理方案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12分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根据投标人所提供人员管理方案（含人员培训、监督考核、补给、调配等）进行综合评审：</w:t>
            </w:r>
          </w:p>
          <w:p>
            <w:pPr>
              <w:spacing w:line="240" w:lineRule="auto"/>
              <w:ind w:firstLine="420" w:firstLineChars="200"/>
              <w:rPr>
                <w:rFonts w:ascii="宋体" w:hAnsi="宋体" w:cs="宋体"/>
                <w:szCs w:val="21"/>
              </w:rPr>
            </w:pPr>
            <w:r>
              <w:rPr>
                <w:rFonts w:hint="eastAsia" w:ascii="宋体" w:hAnsi="宋体" w:cs="宋体"/>
                <w:szCs w:val="21"/>
              </w:rPr>
              <w:t>人员管理方案非常先进合理，协调性非常高，得12分；</w:t>
            </w:r>
          </w:p>
          <w:p>
            <w:pPr>
              <w:spacing w:line="240" w:lineRule="auto"/>
              <w:ind w:firstLine="420" w:firstLineChars="200"/>
              <w:rPr>
                <w:rFonts w:ascii="宋体" w:hAnsi="宋体" w:cs="宋体"/>
                <w:szCs w:val="21"/>
              </w:rPr>
            </w:pPr>
            <w:r>
              <w:rPr>
                <w:rFonts w:hint="eastAsia" w:ascii="宋体" w:hAnsi="宋体" w:cs="宋体"/>
                <w:szCs w:val="21"/>
              </w:rPr>
              <w:t>人员管理方案较先进合理，协调性较高，得8分；</w:t>
            </w:r>
          </w:p>
          <w:p>
            <w:pPr>
              <w:spacing w:line="240" w:lineRule="auto"/>
              <w:ind w:firstLine="420" w:firstLineChars="200"/>
              <w:rPr>
                <w:rFonts w:ascii="宋体" w:hAnsi="宋体" w:cs="宋体"/>
                <w:szCs w:val="21"/>
              </w:rPr>
            </w:pPr>
            <w:r>
              <w:rPr>
                <w:rFonts w:hint="eastAsia" w:ascii="宋体" w:hAnsi="宋体" w:cs="宋体"/>
                <w:szCs w:val="21"/>
              </w:rPr>
              <w:t>人员管理方案先进合理，协调性高，得4分；</w:t>
            </w:r>
          </w:p>
          <w:p>
            <w:pPr>
              <w:spacing w:line="240" w:lineRule="auto"/>
              <w:ind w:firstLine="420" w:firstLineChars="200"/>
              <w:rPr>
                <w:rFonts w:ascii="宋体" w:hAnsi="宋体" w:cs="宋体"/>
                <w:szCs w:val="21"/>
              </w:rPr>
            </w:pPr>
            <w:r>
              <w:rPr>
                <w:rFonts w:hint="eastAsia" w:ascii="宋体" w:hAnsi="宋体" w:cs="宋体"/>
                <w:szCs w:val="21"/>
              </w:rPr>
              <w:t>人员管理方案欠缺，协调性较差，得1分；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内部管理制度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根据投标人提供的内部管理制度的合理性、科学性、全面性以及是否适用进行综合评审：</w:t>
            </w:r>
          </w:p>
          <w:p>
            <w:pPr>
              <w:spacing w:line="240" w:lineRule="auto"/>
              <w:ind w:firstLine="420" w:firstLineChars="200"/>
              <w:rPr>
                <w:rFonts w:ascii="宋体" w:hAnsi="宋体" w:cs="宋体"/>
                <w:szCs w:val="21"/>
              </w:rPr>
            </w:pPr>
            <w:r>
              <w:rPr>
                <w:rFonts w:hint="eastAsia" w:ascii="宋体" w:hAnsi="宋体" w:cs="宋体"/>
                <w:szCs w:val="21"/>
              </w:rPr>
              <w:t>制度非常完整合理、科学性、全面性、可行性非常强，完全满足并优于招标文件要求，得10分；</w:t>
            </w:r>
          </w:p>
          <w:p>
            <w:pPr>
              <w:spacing w:line="240" w:lineRule="auto"/>
              <w:ind w:firstLine="420" w:firstLineChars="200"/>
              <w:rPr>
                <w:rFonts w:ascii="宋体" w:hAnsi="宋体" w:cs="宋体"/>
                <w:szCs w:val="21"/>
              </w:rPr>
            </w:pPr>
            <w:r>
              <w:rPr>
                <w:rFonts w:hint="eastAsia" w:ascii="宋体" w:hAnsi="宋体" w:cs="宋体"/>
                <w:szCs w:val="21"/>
              </w:rPr>
              <w:t>制度完整、科学性、全面性、可行性较强，满足招标文件要求，得7分；</w:t>
            </w:r>
          </w:p>
          <w:p>
            <w:pPr>
              <w:spacing w:line="240" w:lineRule="auto"/>
              <w:ind w:firstLine="420" w:firstLineChars="200"/>
              <w:rPr>
                <w:rFonts w:ascii="宋体" w:hAnsi="宋体" w:cs="宋体"/>
                <w:szCs w:val="21"/>
              </w:rPr>
            </w:pPr>
            <w:r>
              <w:rPr>
                <w:rFonts w:hint="eastAsia" w:ascii="宋体" w:hAnsi="宋体" w:cs="宋体"/>
                <w:szCs w:val="21"/>
              </w:rPr>
              <w:t>制度基本完整、科学性、全面性、可行性强，基本符合招标文件要求，得4分；</w:t>
            </w:r>
          </w:p>
          <w:p>
            <w:pPr>
              <w:spacing w:line="240" w:lineRule="auto"/>
              <w:ind w:firstLine="420" w:firstLineChars="200"/>
              <w:rPr>
                <w:rFonts w:ascii="宋体" w:hAnsi="宋体" w:cs="宋体"/>
                <w:szCs w:val="21"/>
              </w:rPr>
            </w:pPr>
            <w:r>
              <w:rPr>
                <w:rFonts w:hint="eastAsia" w:ascii="宋体" w:hAnsi="宋体" w:cs="宋体"/>
                <w:szCs w:val="21"/>
              </w:rPr>
              <w:t>制度不完整、科学性、全面性、可行性一般，不符合招标文件要求，得1分；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技术力量</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13分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1、拟投入本项目的项目负责人（仅一人）进行评审：</w:t>
            </w:r>
          </w:p>
          <w:p>
            <w:pPr>
              <w:spacing w:line="240" w:lineRule="auto"/>
              <w:ind w:firstLine="420" w:firstLineChars="200"/>
              <w:rPr>
                <w:rFonts w:ascii="宋体" w:hAnsi="宋体" w:cs="宋体"/>
                <w:bCs/>
                <w:szCs w:val="21"/>
              </w:rPr>
            </w:pPr>
            <w:r>
              <w:rPr>
                <w:rFonts w:hint="eastAsia" w:ascii="宋体" w:hAnsi="宋体" w:cs="宋体"/>
                <w:bCs/>
                <w:szCs w:val="21"/>
              </w:rPr>
              <w:t>具有市级（含市级）以上人力资源局（人社局）颁发的客户服务管理师二级（或以上）证书、档案中级（或以上）职称证书、人力资源服务业从业资格证书，符合以上三项的，得6分，其他情况不得分：</w:t>
            </w:r>
          </w:p>
          <w:p>
            <w:pPr>
              <w:spacing w:line="240" w:lineRule="auto"/>
              <w:ind w:firstLine="420" w:firstLineChars="200"/>
              <w:rPr>
                <w:rFonts w:ascii="宋体" w:hAnsi="宋体" w:cs="宋体"/>
                <w:bCs/>
                <w:szCs w:val="21"/>
              </w:rPr>
            </w:pPr>
            <w:r>
              <w:rPr>
                <w:rFonts w:hint="eastAsia" w:ascii="宋体" w:hAnsi="宋体" w:cs="宋体"/>
                <w:bCs/>
                <w:szCs w:val="21"/>
              </w:rPr>
              <w:t>2、拟投入本项目的技术人员（项目负责人除外）：</w:t>
            </w:r>
          </w:p>
          <w:p>
            <w:pPr>
              <w:spacing w:line="240" w:lineRule="auto"/>
              <w:ind w:firstLine="420" w:firstLineChars="200"/>
              <w:rPr>
                <w:rFonts w:ascii="宋体" w:hAnsi="宋体" w:cs="宋体"/>
                <w:bCs/>
                <w:szCs w:val="21"/>
              </w:rPr>
            </w:pPr>
            <w:r>
              <w:rPr>
                <w:rFonts w:hint="eastAsia" w:ascii="宋体" w:hAnsi="宋体" w:cs="宋体"/>
                <w:bCs/>
                <w:szCs w:val="21"/>
              </w:rPr>
              <w:t>①提供一个市级（含市级）以上人力资源局（人社局）颁发的档案中级（或以上）职称证书的得4分，满分4分；</w:t>
            </w:r>
          </w:p>
          <w:p>
            <w:pPr>
              <w:spacing w:line="240" w:lineRule="auto"/>
              <w:ind w:firstLine="420" w:firstLineChars="200"/>
              <w:rPr>
                <w:rFonts w:ascii="宋体" w:hAnsi="宋体" w:cs="宋体"/>
                <w:bCs/>
                <w:szCs w:val="21"/>
              </w:rPr>
            </w:pPr>
            <w:r>
              <w:rPr>
                <w:rFonts w:hint="eastAsia" w:ascii="宋体" w:hAnsi="宋体" w:cs="宋体"/>
                <w:bCs/>
                <w:szCs w:val="21"/>
              </w:rPr>
              <w:t>②提供一名高级人力资源法务师的得3分，满分3分；</w:t>
            </w:r>
          </w:p>
          <w:p>
            <w:pPr>
              <w:spacing w:line="240" w:lineRule="auto"/>
              <w:ind w:firstLine="414" w:firstLineChars="200"/>
              <w:rPr>
                <w:rFonts w:ascii="宋体" w:hAnsi="宋体" w:cs="宋体"/>
                <w:szCs w:val="21"/>
                <w:lang w:val="zh-CN"/>
              </w:rPr>
            </w:pPr>
            <w:r>
              <w:rPr>
                <w:rFonts w:hint="eastAsia" w:ascii="宋体" w:hAnsi="宋体" w:cs="宋体"/>
                <w:b/>
                <w:bCs/>
                <w:spacing w:val="-2"/>
                <w:szCs w:val="21"/>
              </w:rPr>
              <w:t>注：</w:t>
            </w:r>
            <w:r>
              <w:rPr>
                <w:rFonts w:hint="eastAsia" w:ascii="宋体" w:hAnsi="宋体" w:cs="宋体"/>
                <w:b/>
                <w:bCs/>
                <w:szCs w:val="21"/>
              </w:rPr>
              <w:t>同一人员不能重复得分，须提供人员证书复印件加盖投标人公章以及投标截止日前6个月中连续3个月的投标人为其缴纳的社保证明复印件加盖投标人公章。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bCs/>
                <w:szCs w:val="21"/>
              </w:rPr>
              <w:t>客户服务及关系维护方案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根据投标人所提供客户服务及关系维护方案（含劳动争议处理、风险防范、增值服务等）进行评审：</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客户服务及关系维护方案非常严谨合理、明确，针对性非常强，可行性、有效性非常高，得5分；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客户服务及关系维护方案严谨合理、明确，针对性较强，可行性、有效性较高，得3分；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客户服务及关系维护方案较为严谨合理、明确，针对性强，可行性、有效性高，得2分；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客户服务及关系维护方案不太严谨合理、明确，针对性一般，可行性、有效性一般，得1分；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注：</w:t>
            </w:r>
          </w:p>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（1）无特殊说明外，以上评审项，同一证明文件不重复计分。</w:t>
            </w:r>
          </w:p>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widowControl w:val="0"/>
              <w:tabs>
                <w:tab w:val="left" w:pos="907"/>
              </w:tabs>
              <w:adjustRightInd/>
              <w:snapToGrid/>
              <w:spacing w:line="240" w:lineRule="auto"/>
              <w:ind w:firstLine="422" w:firstLineChars="200"/>
              <w:jc w:val="both"/>
              <w:rPr>
                <w:rFonts w:ascii="宋体" w:hAnsi="宋体" w:cs="宋体"/>
                <w:szCs w:val="21"/>
              </w:rPr>
            </w:pPr>
            <w:r>
              <w:rPr>
                <w:rFonts w:hint="eastAsia" w:ascii="宋体" w:hAnsi="宋体" w:cs="宋体"/>
                <w:b/>
                <w:szCs w:val="21"/>
              </w:rPr>
              <w:t>（3）疫情期间社保如有申报延期缴纳社保的，投标人须提供申报延期缴纳社保的相关证明或申请记录并加盖投标人公章，否则被视为未缴纳社保情形。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lang w:val="zh-CN"/>
              </w:rPr>
            </w:pPr>
            <w:r>
              <w:rPr>
                <w:rFonts w:hint="eastAsia" w:ascii="宋体" w:eastAsia="宋体" w:cs="宋体"/>
                <w:b/>
                <w:bCs/>
                <w:sz w:val="21"/>
                <w:szCs w:val="21"/>
              </w:rPr>
              <w:t>价格评审（10分）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420" w:firstLineChars="200"/>
              <w:rPr>
                <w:rFonts w:ascii="宋体" w:hAnsi="宋体" w:cs="宋体"/>
                <w:kern w:val="2"/>
                <w:szCs w:val="21"/>
                <w:lang w:val="zh-CN"/>
              </w:rPr>
            </w:pPr>
            <w:r>
              <w:rPr>
                <w:rFonts w:hint="eastAsia" w:ascii="宋体" w:hAnsi="宋体" w:cs="宋体"/>
                <w:kern w:val="2"/>
                <w:szCs w:val="21"/>
                <w:lang w:val="zh-CN"/>
              </w:rPr>
              <w:t>价格分计算方法：满足招标文件要求且投标价格最低的投标总价为评标基准价，其价格分为满分。其他投标人的价格分统一按照下列公式计算：</w:t>
            </w:r>
          </w:p>
          <w:p>
            <w:pPr>
              <w:widowControl w:val="0"/>
              <w:adjustRightInd/>
              <w:snapToGrid/>
              <w:spacing w:line="240" w:lineRule="auto"/>
              <w:ind w:firstLine="420" w:firstLineChars="200"/>
              <w:rPr>
                <w:rFonts w:ascii="宋体" w:hAnsi="宋体" w:cs="宋体"/>
                <w:kern w:val="2"/>
                <w:szCs w:val="21"/>
              </w:rPr>
            </w:pPr>
            <w:r>
              <w:rPr>
                <w:rFonts w:hint="eastAsia" w:ascii="宋体" w:hAnsi="宋体" w:cs="宋体"/>
                <w:kern w:val="2"/>
                <w:szCs w:val="21"/>
                <w:lang w:val="zh-CN"/>
              </w:rPr>
              <w:t>投标报价得分=(评标基准价／投标总价)×价格权值</w:t>
            </w:r>
          </w:p>
        </w:tc>
      </w:tr>
    </w:tbl>
    <w:p>
      <w:r>
        <w:rPr>
          <w:rFonts w:hint="eastAsia"/>
        </w:rPr>
        <w:br w:type="page"/>
      </w:r>
    </w:p>
    <w:p>
      <w:pPr>
        <w:pStyle w:val="6"/>
        <w:spacing w:before="0" w:after="0" w:line="240" w:lineRule="auto"/>
        <w:rPr>
          <w:sz w:val="24"/>
          <w:szCs w:val="24"/>
        </w:rPr>
      </w:pPr>
      <w:bookmarkStart w:id="17" w:name="_Toc2479"/>
      <w:bookmarkStart w:id="18" w:name="_Toc29685"/>
      <w:bookmarkStart w:id="19" w:name="_Toc30638"/>
      <w:bookmarkStart w:id="20" w:name="_Toc14146"/>
      <w:r>
        <w:rPr>
          <w:rFonts w:hint="eastAsia"/>
          <w:sz w:val="28"/>
          <w:szCs w:val="28"/>
        </w:rPr>
        <w:t>第四部分 投标人须知</w:t>
      </w:r>
      <w:bookmarkEnd w:id="17"/>
      <w:bookmarkEnd w:id="18"/>
      <w:bookmarkEnd w:id="19"/>
    </w:p>
    <w:p>
      <w:pPr>
        <w:pStyle w:val="7"/>
        <w:spacing w:line="480" w:lineRule="auto"/>
        <w:jc w:val="center"/>
        <w:rPr>
          <w:rFonts w:ascii="宋体" w:hAnsi="宋体"/>
        </w:rPr>
      </w:pPr>
      <w:bookmarkStart w:id="21" w:name="_Toc11105"/>
      <w:bookmarkStart w:id="22" w:name="_Toc19746"/>
      <w:bookmarkStart w:id="23" w:name="_Toc3095"/>
      <w:r>
        <w:rPr>
          <w:rFonts w:hint="eastAsia" w:ascii="宋体" w:hAnsi="宋体"/>
        </w:rPr>
        <w:t>第一章说明</w:t>
      </w:r>
      <w:bookmarkEnd w:id="21"/>
      <w:bookmarkEnd w:id="22"/>
      <w:bookmarkEnd w:id="23"/>
    </w:p>
    <w:p>
      <w:pPr>
        <w:pStyle w:val="8"/>
        <w:widowControl w:val="0"/>
        <w:overflowPunct w:val="0"/>
        <w:spacing w:line="240" w:lineRule="auto"/>
        <w:rPr>
          <w:rFonts w:ascii="宋体" w:hAnsi="宋体"/>
          <w:sz w:val="21"/>
          <w:szCs w:val="21"/>
        </w:rPr>
      </w:pPr>
      <w:bookmarkStart w:id="24" w:name="_Toc22803"/>
      <w:bookmarkStart w:id="25" w:name="_Toc22847"/>
      <w:bookmarkStart w:id="26" w:name="_Toc18488"/>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8"/>
        <w:widowControl w:val="0"/>
        <w:overflowPunct w:val="0"/>
        <w:spacing w:line="240" w:lineRule="auto"/>
        <w:rPr>
          <w:rFonts w:ascii="宋体" w:hAnsi="宋体"/>
          <w:sz w:val="21"/>
          <w:szCs w:val="21"/>
        </w:rPr>
      </w:pPr>
      <w:bookmarkStart w:id="27" w:name="_Toc13400"/>
      <w:bookmarkStart w:id="28" w:name="_Toc21002"/>
      <w:bookmarkStart w:id="29" w:name="_Toc16848"/>
      <w:r>
        <w:rPr>
          <w:rFonts w:hint="eastAsia" w:ascii="宋体" w:hAnsi="宋体"/>
          <w:sz w:val="21"/>
          <w:szCs w:val="21"/>
        </w:rPr>
        <w:t>2.</w:t>
      </w:r>
      <w:bookmarkStart w:id="30" w:name="_Toc298847174"/>
      <w:bookmarkStart w:id="31" w:name="_Toc303084246"/>
      <w:bookmarkStart w:id="32" w:name="_Toc1530"/>
      <w:bookmarkStart w:id="33" w:name="_Toc382049092"/>
      <w:r>
        <w:rPr>
          <w:rFonts w:hint="eastAsia" w:ascii="宋体" w:hAnsi="宋体"/>
          <w:sz w:val="21"/>
          <w:szCs w:val="21"/>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w:t>
      </w:r>
      <w:r>
        <w:rPr>
          <w:rFonts w:hint="eastAsia" w:ascii="宋体" w:hAnsi="宋体"/>
          <w:szCs w:val="21"/>
        </w:rPr>
        <w:t>广东省盐业集团东莞有限公司。</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spacing w:line="360" w:lineRule="exact"/>
        <w:jc w:val="both"/>
        <w:rPr>
          <w:rFonts w:ascii="宋体" w:hAnsi="宋体"/>
          <w:szCs w:val="21"/>
        </w:rPr>
      </w:pPr>
      <w:r>
        <w:rPr>
          <w:rFonts w:hint="eastAsia" w:ascii="宋体" w:hAnsi="宋体"/>
          <w:szCs w:val="21"/>
        </w:rPr>
        <w:t>评标委员会：评标委员会是依据相关规定组建的专门负责本次招标其评标工作的临时性机构。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8"/>
        <w:widowControl w:val="0"/>
        <w:overflowPunct w:val="0"/>
        <w:spacing w:line="240" w:lineRule="auto"/>
        <w:rPr>
          <w:rFonts w:ascii="宋体" w:hAnsi="宋体"/>
          <w:sz w:val="21"/>
          <w:szCs w:val="21"/>
        </w:rPr>
      </w:pPr>
      <w:bookmarkStart w:id="34" w:name="_Toc9710"/>
      <w:bookmarkStart w:id="35" w:name="_Toc2996"/>
      <w:bookmarkStart w:id="36" w:name="_Toc3780"/>
      <w:r>
        <w:rPr>
          <w:rFonts w:hint="eastAsia" w:ascii="宋体" w:hAnsi="宋体"/>
          <w:sz w:val="21"/>
          <w:szCs w:val="21"/>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除货物和工程以外的其他采购对象</w:t>
      </w:r>
      <w:r>
        <w:rPr>
          <w:rFonts w:hint="eastAsia" w:ascii="宋体" w:hAnsi="宋体"/>
          <w:szCs w:val="21"/>
        </w:rPr>
        <w:t>。</w:t>
      </w:r>
    </w:p>
    <w:p/>
    <w:p>
      <w:pPr>
        <w:pStyle w:val="8"/>
        <w:widowControl w:val="0"/>
        <w:overflowPunct w:val="0"/>
        <w:spacing w:line="240" w:lineRule="auto"/>
        <w:rPr>
          <w:rFonts w:ascii="宋体" w:hAnsi="宋体"/>
          <w:sz w:val="21"/>
          <w:szCs w:val="21"/>
        </w:rPr>
      </w:pPr>
      <w:bookmarkStart w:id="37" w:name="_Toc15945"/>
      <w:bookmarkStart w:id="38" w:name="_Toc13909"/>
      <w:bookmarkStart w:id="39" w:name="_Toc12536"/>
      <w:r>
        <w:rPr>
          <w:rFonts w:hint="eastAsia" w:ascii="宋体" w:hAnsi="宋体"/>
          <w:sz w:val="21"/>
          <w:szCs w:val="21"/>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8"/>
        <w:widowControl w:val="0"/>
        <w:overflowPunct w:val="0"/>
        <w:spacing w:line="240" w:lineRule="auto"/>
        <w:rPr>
          <w:rFonts w:ascii="宋体" w:hAnsi="宋体"/>
          <w:sz w:val="21"/>
          <w:szCs w:val="21"/>
        </w:rPr>
      </w:pPr>
      <w:bookmarkStart w:id="40" w:name="_Toc19094"/>
      <w:bookmarkStart w:id="41" w:name="_Toc19532"/>
      <w:bookmarkStart w:id="42" w:name="_Toc25040"/>
      <w:r>
        <w:rPr>
          <w:rFonts w:hint="eastAsia" w:ascii="宋体" w:hAnsi="宋体"/>
          <w:sz w:val="21"/>
          <w:szCs w:val="21"/>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8"/>
        <w:widowControl w:val="0"/>
        <w:overflowPunct w:val="0"/>
        <w:spacing w:line="240" w:lineRule="auto"/>
        <w:rPr>
          <w:rFonts w:ascii="宋体" w:hAnsi="宋体"/>
          <w:sz w:val="21"/>
          <w:szCs w:val="21"/>
        </w:rPr>
      </w:pPr>
      <w:bookmarkStart w:id="43" w:name="_Toc8432"/>
      <w:bookmarkStart w:id="44" w:name="_Toc21930"/>
      <w:bookmarkStart w:id="45" w:name="_Toc31885"/>
      <w:r>
        <w:rPr>
          <w:rFonts w:hint="eastAsia" w:ascii="宋体" w:hAnsi="宋体"/>
          <w:sz w:val="21"/>
          <w:szCs w:val="21"/>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联合体各方均应具有独立承担民事责任能力的法人或其他组织</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8"/>
        <w:widowControl w:val="0"/>
        <w:overflowPunct w:val="0"/>
        <w:spacing w:line="240" w:lineRule="auto"/>
        <w:rPr>
          <w:rFonts w:ascii="宋体" w:hAnsi="宋体"/>
          <w:sz w:val="21"/>
          <w:szCs w:val="21"/>
        </w:rPr>
      </w:pPr>
      <w:bookmarkStart w:id="46" w:name="_Toc13811"/>
      <w:bookmarkStart w:id="47" w:name="_Toc16571"/>
      <w:bookmarkStart w:id="48" w:name="_Toc32331"/>
      <w:bookmarkStart w:id="49" w:name="_Toc17879"/>
      <w:r>
        <w:rPr>
          <w:rFonts w:hint="eastAsia" w:ascii="宋体" w:hAnsi="宋体"/>
          <w:sz w:val="21"/>
          <w:szCs w:val="21"/>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7"/>
        <w:spacing w:line="480" w:lineRule="auto"/>
        <w:jc w:val="center"/>
        <w:rPr>
          <w:rFonts w:ascii="宋体" w:hAnsi="宋体"/>
        </w:rPr>
      </w:pPr>
      <w:bookmarkStart w:id="51" w:name="_Toc18115"/>
      <w:bookmarkStart w:id="52" w:name="_Toc27045"/>
      <w:r>
        <w:rPr>
          <w:rFonts w:hint="eastAsia" w:ascii="宋体" w:hAnsi="宋体"/>
        </w:rPr>
        <w:t>第二章招标文件</w:t>
      </w:r>
      <w:bookmarkEnd w:id="49"/>
      <w:bookmarkEnd w:id="51"/>
      <w:bookmarkEnd w:id="52"/>
    </w:p>
    <w:p>
      <w:pPr>
        <w:pStyle w:val="8"/>
        <w:widowControl w:val="0"/>
        <w:overflowPunct w:val="0"/>
        <w:spacing w:line="240" w:lineRule="auto"/>
        <w:rPr>
          <w:rFonts w:ascii="宋体" w:hAnsi="宋体"/>
          <w:sz w:val="21"/>
          <w:szCs w:val="21"/>
        </w:rPr>
      </w:pPr>
      <w:bookmarkStart w:id="53" w:name="_Toc1423"/>
      <w:bookmarkStart w:id="54" w:name="_Toc21771"/>
      <w:bookmarkStart w:id="55" w:name="_Toc13494"/>
      <w:r>
        <w:rPr>
          <w:rFonts w:hint="eastAsia" w:ascii="宋体" w:hAnsi="宋体"/>
          <w:sz w:val="21"/>
          <w:szCs w:val="21"/>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8"/>
        <w:widowControl w:val="0"/>
        <w:overflowPunct w:val="0"/>
        <w:rPr>
          <w:rFonts w:ascii="宋体" w:hAnsi="宋体"/>
          <w:sz w:val="21"/>
          <w:szCs w:val="21"/>
        </w:rPr>
      </w:pPr>
      <w:bookmarkStart w:id="56" w:name="_Toc7997"/>
      <w:bookmarkStart w:id="57" w:name="_Toc17274"/>
      <w:bookmarkStart w:id="58" w:name="_Toc14217"/>
      <w:r>
        <w:rPr>
          <w:rFonts w:hint="eastAsia" w:ascii="宋体" w:hAnsi="宋体"/>
          <w:sz w:val="21"/>
          <w:szCs w:val="21"/>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7"/>
        <w:spacing w:line="480" w:lineRule="auto"/>
        <w:jc w:val="center"/>
        <w:rPr>
          <w:rFonts w:ascii="宋体" w:hAnsi="宋体"/>
        </w:rPr>
      </w:pPr>
      <w:bookmarkStart w:id="59" w:name="_Toc4773"/>
      <w:bookmarkStart w:id="60" w:name="_Toc23726"/>
      <w:bookmarkStart w:id="61" w:name="_Toc16712"/>
      <w:r>
        <w:rPr>
          <w:rFonts w:hint="eastAsia" w:ascii="宋体" w:hAnsi="宋体"/>
        </w:rPr>
        <w:t>第三章投标文件的编制</w:t>
      </w:r>
      <w:bookmarkEnd w:id="59"/>
      <w:bookmarkEnd w:id="60"/>
      <w:bookmarkEnd w:id="61"/>
    </w:p>
    <w:p>
      <w:pPr>
        <w:pStyle w:val="8"/>
        <w:widowControl w:val="0"/>
        <w:overflowPunct w:val="0"/>
        <w:rPr>
          <w:rFonts w:ascii="宋体" w:hAnsi="宋体"/>
          <w:sz w:val="21"/>
          <w:szCs w:val="21"/>
        </w:rPr>
      </w:pPr>
      <w:bookmarkStart w:id="62" w:name="_Toc28092"/>
      <w:bookmarkStart w:id="63" w:name="_Toc7434"/>
      <w:bookmarkStart w:id="64" w:name="_Toc20623"/>
      <w:r>
        <w:rPr>
          <w:rFonts w:hint="eastAsia" w:ascii="宋体" w:hAnsi="宋体"/>
          <w:sz w:val="21"/>
          <w:szCs w:val="21"/>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8"/>
        <w:widowControl w:val="0"/>
        <w:overflowPunct w:val="0"/>
        <w:rPr>
          <w:rFonts w:ascii="宋体" w:hAnsi="宋体"/>
          <w:sz w:val="21"/>
          <w:szCs w:val="21"/>
        </w:rPr>
      </w:pPr>
      <w:bookmarkStart w:id="65" w:name="_Toc382049103"/>
      <w:bookmarkStart w:id="66" w:name="_Toc303084256"/>
      <w:bookmarkStart w:id="67" w:name="_Toc307934854"/>
      <w:bookmarkStart w:id="68" w:name="_Toc12145"/>
      <w:bookmarkStart w:id="69" w:name="_Toc18999"/>
      <w:bookmarkStart w:id="70" w:name="_Toc28866"/>
      <w:bookmarkStart w:id="71" w:name="_Toc7728"/>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8"/>
        <w:widowControl w:val="0"/>
        <w:overflowPunct w:val="0"/>
        <w:rPr>
          <w:rFonts w:ascii="宋体" w:hAnsi="宋体"/>
          <w:sz w:val="21"/>
          <w:szCs w:val="21"/>
        </w:rPr>
      </w:pPr>
      <w:bookmarkStart w:id="72" w:name="_Toc30189"/>
      <w:bookmarkStart w:id="73" w:name="_Toc3882"/>
      <w:bookmarkStart w:id="74" w:name="_Toc21747"/>
      <w:r>
        <w:rPr>
          <w:rFonts w:hint="eastAsia" w:ascii="宋体" w:hAnsi="宋体"/>
          <w:sz w:val="21"/>
          <w:szCs w:val="21"/>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8"/>
        <w:widowControl w:val="0"/>
        <w:overflowPunct w:val="0"/>
        <w:rPr>
          <w:rFonts w:ascii="宋体" w:hAnsi="宋体"/>
          <w:sz w:val="21"/>
          <w:szCs w:val="21"/>
        </w:rPr>
      </w:pPr>
      <w:bookmarkStart w:id="76" w:name="_Toc259"/>
      <w:bookmarkStart w:id="77" w:name="_Toc17188"/>
      <w:bookmarkStart w:id="78" w:name="_Toc7847"/>
      <w:r>
        <w:rPr>
          <w:rFonts w:hint="eastAsia" w:ascii="宋体" w:hAnsi="宋体"/>
          <w:sz w:val="21"/>
          <w:szCs w:val="21"/>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8"/>
        <w:widowControl w:val="0"/>
        <w:overflowPunct w:val="0"/>
        <w:rPr>
          <w:rFonts w:ascii="宋体" w:hAnsi="宋体"/>
          <w:sz w:val="21"/>
          <w:szCs w:val="21"/>
        </w:rPr>
      </w:pPr>
      <w:bookmarkStart w:id="79" w:name="_Toc18911"/>
      <w:bookmarkStart w:id="80" w:name="_Toc16535"/>
      <w:bookmarkStart w:id="81" w:name="_Toc27724"/>
      <w:r>
        <w:rPr>
          <w:rFonts w:hint="eastAsia" w:ascii="宋体" w:hAnsi="宋体"/>
          <w:sz w:val="21"/>
          <w:szCs w:val="21"/>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8"/>
        <w:widowControl w:val="0"/>
        <w:overflowPunct w:val="0"/>
        <w:rPr>
          <w:rFonts w:ascii="宋体" w:hAnsi="宋体"/>
          <w:sz w:val="21"/>
          <w:szCs w:val="21"/>
        </w:rPr>
      </w:pPr>
      <w:bookmarkStart w:id="84" w:name="_Toc22169"/>
      <w:bookmarkStart w:id="85" w:name="_Toc19520"/>
      <w:bookmarkStart w:id="86" w:name="_Toc30815"/>
      <w:r>
        <w:rPr>
          <w:rFonts w:hint="eastAsia" w:ascii="宋体" w:hAnsi="宋体"/>
          <w:sz w:val="21"/>
          <w:szCs w:val="21"/>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8"/>
        <w:widowControl w:val="0"/>
        <w:overflowPunct w:val="0"/>
        <w:rPr>
          <w:rFonts w:ascii="宋体" w:hAnsi="宋体"/>
          <w:sz w:val="21"/>
          <w:szCs w:val="21"/>
        </w:rPr>
      </w:pPr>
      <w:bookmarkStart w:id="87" w:name="_Toc25817"/>
      <w:bookmarkStart w:id="88" w:name="_Toc30257"/>
      <w:bookmarkStart w:id="89" w:name="_Toc12456"/>
      <w:r>
        <w:rPr>
          <w:rFonts w:hint="eastAsia" w:ascii="宋体" w:hAnsi="宋体"/>
          <w:sz w:val="21"/>
          <w:szCs w:val="21"/>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7"/>
        <w:spacing w:line="480" w:lineRule="auto"/>
        <w:jc w:val="center"/>
        <w:rPr>
          <w:rFonts w:ascii="宋体" w:hAnsi="宋体"/>
        </w:rPr>
      </w:pPr>
      <w:bookmarkStart w:id="91" w:name="_Toc3200"/>
      <w:bookmarkStart w:id="92" w:name="_Toc31124"/>
      <w:bookmarkStart w:id="93" w:name="_Toc24109"/>
      <w:r>
        <w:rPr>
          <w:rFonts w:hint="eastAsia" w:ascii="宋体" w:hAnsi="宋体"/>
        </w:rPr>
        <w:t>第四章投标文件的递交</w:t>
      </w:r>
      <w:bookmarkEnd w:id="91"/>
      <w:bookmarkEnd w:id="92"/>
      <w:bookmarkEnd w:id="93"/>
    </w:p>
    <w:p>
      <w:pPr>
        <w:pStyle w:val="8"/>
        <w:widowControl w:val="0"/>
        <w:overflowPunct w:val="0"/>
        <w:rPr>
          <w:rFonts w:ascii="宋体" w:hAnsi="宋体"/>
          <w:sz w:val="21"/>
          <w:szCs w:val="21"/>
        </w:rPr>
      </w:pPr>
      <w:bookmarkStart w:id="94" w:name="_Toc29590"/>
      <w:bookmarkStart w:id="95" w:name="_Toc23678"/>
      <w:bookmarkStart w:id="96" w:name="_Toc24997"/>
      <w:bookmarkStart w:id="97" w:name="_Toc473"/>
      <w:bookmarkStart w:id="98" w:name="_Toc303084264"/>
      <w:bookmarkStart w:id="99" w:name="_Toc382049111"/>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8"/>
        <w:widowControl w:val="0"/>
        <w:overflowPunct w:val="0"/>
        <w:rPr>
          <w:rFonts w:ascii="宋体" w:hAnsi="宋体"/>
          <w:sz w:val="21"/>
          <w:szCs w:val="21"/>
        </w:rPr>
      </w:pPr>
      <w:bookmarkStart w:id="100" w:name="_Toc17417"/>
      <w:bookmarkStart w:id="101" w:name="_Toc7473"/>
      <w:bookmarkStart w:id="102" w:name="_Toc8628"/>
      <w:r>
        <w:rPr>
          <w:rFonts w:hint="eastAsia" w:ascii="宋体" w:hAnsi="宋体"/>
          <w:sz w:val="21"/>
          <w:szCs w:val="21"/>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8"/>
        <w:widowControl w:val="0"/>
        <w:overflowPunct w:val="0"/>
        <w:rPr>
          <w:rFonts w:ascii="宋体" w:hAnsi="宋体"/>
          <w:sz w:val="21"/>
          <w:szCs w:val="21"/>
        </w:rPr>
      </w:pPr>
      <w:bookmarkStart w:id="103" w:name="_Toc8526"/>
      <w:bookmarkStart w:id="104" w:name="_Toc19649"/>
      <w:bookmarkStart w:id="105" w:name="_Toc13212"/>
      <w:r>
        <w:rPr>
          <w:rFonts w:hint="eastAsia" w:ascii="宋体" w:hAnsi="宋体"/>
          <w:sz w:val="21"/>
          <w:szCs w:val="21"/>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8"/>
        <w:widowControl w:val="0"/>
        <w:overflowPunct w:val="0"/>
        <w:rPr>
          <w:rFonts w:ascii="宋体" w:hAnsi="宋体"/>
          <w:sz w:val="21"/>
          <w:szCs w:val="21"/>
        </w:rPr>
      </w:pPr>
      <w:bookmarkStart w:id="106" w:name="_Toc382049112"/>
      <w:bookmarkStart w:id="107" w:name="_Toc7689"/>
      <w:bookmarkStart w:id="108" w:name="_Toc9777"/>
      <w:bookmarkStart w:id="109" w:name="_Toc5900"/>
      <w:bookmarkStart w:id="110" w:name="_Toc303084265"/>
      <w:bookmarkStart w:id="111" w:name="_Toc23477"/>
      <w:r>
        <w:rPr>
          <w:rFonts w:hint="eastAsia" w:ascii="宋体" w:hAnsi="宋体"/>
          <w:sz w:val="21"/>
          <w:szCs w:val="21"/>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8"/>
        <w:widowControl w:val="0"/>
        <w:overflowPunct w:val="0"/>
        <w:rPr>
          <w:rFonts w:ascii="宋体" w:hAnsi="宋体"/>
          <w:sz w:val="21"/>
          <w:szCs w:val="21"/>
        </w:rPr>
      </w:pPr>
      <w:bookmarkStart w:id="112" w:name="_Toc11133"/>
      <w:bookmarkStart w:id="113" w:name="_Toc15569"/>
      <w:bookmarkStart w:id="114" w:name="_Toc6003"/>
      <w:r>
        <w:rPr>
          <w:rFonts w:hint="eastAsia" w:ascii="宋体" w:hAnsi="宋体"/>
          <w:sz w:val="21"/>
          <w:szCs w:val="21"/>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7"/>
        <w:spacing w:line="480" w:lineRule="auto"/>
        <w:jc w:val="center"/>
        <w:rPr>
          <w:rFonts w:ascii="宋体" w:hAnsi="宋体"/>
        </w:rPr>
      </w:pPr>
      <w:bookmarkStart w:id="115" w:name="_Toc23466"/>
      <w:bookmarkStart w:id="116" w:name="_Toc5049"/>
      <w:bookmarkStart w:id="117" w:name="_Toc29574"/>
      <w:r>
        <w:rPr>
          <w:rFonts w:hint="eastAsia" w:ascii="宋体" w:hAnsi="宋体"/>
        </w:rPr>
        <w:t>第五章开标与评标</w:t>
      </w:r>
      <w:bookmarkEnd w:id="115"/>
      <w:bookmarkEnd w:id="116"/>
      <w:bookmarkEnd w:id="117"/>
    </w:p>
    <w:p>
      <w:pPr>
        <w:pStyle w:val="8"/>
        <w:widowControl w:val="0"/>
        <w:overflowPunct w:val="0"/>
        <w:rPr>
          <w:rFonts w:ascii="宋体" w:hAnsi="宋体"/>
          <w:sz w:val="21"/>
          <w:szCs w:val="21"/>
        </w:rPr>
      </w:pPr>
      <w:bookmarkStart w:id="118" w:name="_Toc24251"/>
      <w:bookmarkStart w:id="119" w:name="_Toc28458"/>
      <w:bookmarkStart w:id="120" w:name="_Toc27700"/>
      <w:r>
        <w:rPr>
          <w:rFonts w:hint="eastAsia" w:ascii="宋体" w:hAnsi="宋体"/>
          <w:sz w:val="21"/>
          <w:szCs w:val="21"/>
        </w:rPr>
        <w:t>22.开标</w:t>
      </w:r>
      <w:bookmarkEnd w:id="118"/>
      <w:bookmarkEnd w:id="119"/>
      <w:bookmarkEnd w:id="12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8"/>
        <w:widowControl w:val="0"/>
        <w:overflowPunct w:val="0"/>
        <w:rPr>
          <w:rFonts w:ascii="宋体" w:hAnsi="宋体"/>
          <w:sz w:val="21"/>
          <w:szCs w:val="21"/>
        </w:rPr>
      </w:pPr>
      <w:bookmarkStart w:id="121" w:name="_Toc5974"/>
      <w:bookmarkStart w:id="122" w:name="_Toc4921"/>
      <w:bookmarkStart w:id="123" w:name="_Toc5524"/>
      <w:r>
        <w:rPr>
          <w:rFonts w:hint="eastAsia" w:ascii="宋体" w:hAnsi="宋体"/>
          <w:sz w:val="21"/>
          <w:szCs w:val="21"/>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8"/>
        <w:widowControl w:val="0"/>
        <w:overflowPunct w:val="0"/>
        <w:rPr>
          <w:rFonts w:ascii="宋体" w:hAnsi="宋体"/>
          <w:sz w:val="21"/>
          <w:szCs w:val="21"/>
        </w:rPr>
      </w:pPr>
      <w:bookmarkStart w:id="124" w:name="_Toc32730"/>
      <w:bookmarkStart w:id="125" w:name="_Toc15231"/>
      <w:bookmarkStart w:id="126" w:name="_Toc26402"/>
      <w:r>
        <w:rPr>
          <w:rFonts w:hint="eastAsia" w:ascii="宋体" w:hAnsi="宋体"/>
          <w:sz w:val="21"/>
          <w:szCs w:val="21"/>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评审的基本原则：评标委员会将依据招标文件的规定，遵循“公开、公平、公正、择优、信用”的原则进行评审工作。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8"/>
        <w:widowControl w:val="0"/>
        <w:overflowPunct w:val="0"/>
        <w:rPr>
          <w:rFonts w:ascii="宋体" w:hAnsi="宋体"/>
          <w:sz w:val="21"/>
          <w:szCs w:val="21"/>
        </w:rPr>
      </w:pPr>
      <w:bookmarkStart w:id="127" w:name="_Toc3762"/>
      <w:bookmarkStart w:id="128" w:name="_Toc18436"/>
      <w:bookmarkStart w:id="129" w:name="_Toc16745"/>
      <w:r>
        <w:rPr>
          <w:rFonts w:hint="eastAsia" w:ascii="宋体" w:hAnsi="宋体"/>
          <w:sz w:val="21"/>
          <w:szCs w:val="21"/>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rPr>
      </w:pPr>
      <w:r>
        <w:rPr>
          <w:rFonts w:hint="eastAsia" w:ascii="宋体" w:hAnsi="宋体"/>
          <w:b/>
          <w:szCs w:val="21"/>
        </w:rPr>
        <w:t>2) 投标保证金瑕疵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8"/>
        <w:widowControl w:val="0"/>
        <w:overflowPunct w:val="0"/>
        <w:rPr>
          <w:rFonts w:ascii="宋体" w:hAnsi="宋体"/>
          <w:sz w:val="21"/>
          <w:szCs w:val="21"/>
        </w:rPr>
      </w:pPr>
      <w:bookmarkStart w:id="130" w:name="_Toc27673"/>
      <w:bookmarkStart w:id="131" w:name="_Toc29184"/>
      <w:bookmarkStart w:id="132" w:name="_Toc21742"/>
      <w:r>
        <w:rPr>
          <w:rFonts w:hint="eastAsia" w:ascii="宋体" w:hAnsi="宋体"/>
          <w:sz w:val="21"/>
          <w:szCs w:val="21"/>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jc w:val="both"/>
        <w:rPr>
          <w:rFonts w:ascii="宋体" w:hAnsi="宋体"/>
          <w:szCs w:val="21"/>
        </w:rPr>
      </w:pPr>
    </w:p>
    <w:p>
      <w:pPr>
        <w:pStyle w:val="8"/>
        <w:widowControl w:val="0"/>
        <w:overflowPunct w:val="0"/>
        <w:rPr>
          <w:rFonts w:ascii="宋体" w:hAnsi="宋体"/>
          <w:sz w:val="21"/>
          <w:szCs w:val="21"/>
        </w:rPr>
      </w:pPr>
      <w:bookmarkStart w:id="133" w:name="_Toc316375620"/>
      <w:bookmarkStart w:id="134" w:name="_Toc382049120"/>
      <w:bookmarkStart w:id="135" w:name="_Toc31141"/>
      <w:bookmarkStart w:id="136" w:name="_Toc22591"/>
      <w:bookmarkStart w:id="137" w:name="_Toc20328"/>
      <w:bookmarkStart w:id="138" w:name="_Toc12115"/>
      <w:r>
        <w:rPr>
          <w:rFonts w:hint="eastAsia" w:ascii="宋体" w:hAnsi="宋体"/>
          <w:sz w:val="21"/>
          <w:szCs w:val="21"/>
        </w:rPr>
        <w:t>27.纪律和</w:t>
      </w:r>
      <w:r>
        <w:rPr>
          <w:rFonts w:ascii="宋体" w:hAnsi="宋体"/>
          <w:sz w:val="21"/>
          <w:szCs w:val="21"/>
        </w:rPr>
        <w:t>保密</w:t>
      </w:r>
      <w:bookmarkEnd w:id="133"/>
      <w:r>
        <w:rPr>
          <w:rFonts w:hint="eastAsia" w:ascii="宋体" w:hAnsi="宋体"/>
          <w:sz w:val="21"/>
          <w:szCs w:val="21"/>
        </w:rPr>
        <w:t>事项</w:t>
      </w:r>
      <w:bookmarkEnd w:id="134"/>
      <w:bookmarkEnd w:id="135"/>
      <w:bookmarkEnd w:id="136"/>
      <w:bookmarkEnd w:id="137"/>
      <w:bookmarkEnd w:id="13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7"/>
        <w:spacing w:line="480" w:lineRule="auto"/>
        <w:jc w:val="center"/>
        <w:rPr>
          <w:rFonts w:ascii="宋体" w:hAnsi="宋体"/>
        </w:rPr>
      </w:pPr>
      <w:bookmarkStart w:id="139" w:name="_Toc5528"/>
      <w:bookmarkStart w:id="140" w:name="_Toc29310"/>
      <w:bookmarkStart w:id="141" w:name="_Toc12251"/>
      <w:r>
        <w:rPr>
          <w:rFonts w:hint="eastAsia" w:ascii="宋体" w:hAnsi="宋体"/>
        </w:rPr>
        <w:t>第六章授予合同</w:t>
      </w:r>
      <w:bookmarkEnd w:id="139"/>
      <w:bookmarkEnd w:id="140"/>
      <w:bookmarkEnd w:id="141"/>
    </w:p>
    <w:p>
      <w:pPr>
        <w:pStyle w:val="8"/>
        <w:widowControl w:val="0"/>
        <w:overflowPunct w:val="0"/>
        <w:rPr>
          <w:rFonts w:ascii="宋体" w:hAnsi="宋体"/>
          <w:sz w:val="21"/>
          <w:szCs w:val="21"/>
        </w:rPr>
      </w:pPr>
      <w:bookmarkStart w:id="142" w:name="_Toc27817"/>
      <w:bookmarkStart w:id="143" w:name="_Toc508284011"/>
      <w:bookmarkStart w:id="144" w:name="_Toc6696"/>
      <w:bookmarkStart w:id="145" w:name="_Toc17778"/>
      <w:r>
        <w:rPr>
          <w:rFonts w:hint="eastAsia" w:ascii="宋体" w:hAnsi="宋体"/>
          <w:sz w:val="21"/>
          <w:szCs w:val="21"/>
        </w:rPr>
        <w:t>28.</w:t>
      </w:r>
      <w:r>
        <w:rPr>
          <w:rFonts w:ascii="宋体" w:hAnsi="宋体"/>
          <w:sz w:val="21"/>
          <w:szCs w:val="21"/>
        </w:rPr>
        <w:t>合同授予标准</w:t>
      </w:r>
      <w:bookmarkEnd w:id="142"/>
      <w:bookmarkEnd w:id="143"/>
      <w:bookmarkEnd w:id="144"/>
      <w:bookmarkEnd w:id="14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8"/>
        <w:widowControl w:val="0"/>
        <w:overflowPunct w:val="0"/>
        <w:rPr>
          <w:rFonts w:ascii="宋体" w:hAnsi="宋体"/>
          <w:sz w:val="21"/>
          <w:szCs w:val="21"/>
        </w:rPr>
      </w:pPr>
      <w:bookmarkStart w:id="146" w:name="_Toc12440"/>
      <w:bookmarkStart w:id="147" w:name="_Toc23136"/>
      <w:bookmarkStart w:id="148" w:name="_Toc508284013"/>
      <w:bookmarkStart w:id="149" w:name="_Toc29283"/>
      <w:r>
        <w:rPr>
          <w:rFonts w:hint="eastAsia" w:ascii="宋体" w:hAnsi="宋体"/>
          <w:sz w:val="21"/>
          <w:szCs w:val="21"/>
        </w:rPr>
        <w:t>29.发布采购结果</w:t>
      </w:r>
      <w:bookmarkEnd w:id="146"/>
      <w:bookmarkEnd w:id="147"/>
      <w:bookmarkEnd w:id="148"/>
      <w:bookmarkEnd w:id="14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8"/>
        <w:widowControl w:val="0"/>
        <w:overflowPunct w:val="0"/>
        <w:rPr>
          <w:rFonts w:ascii="宋体" w:hAnsi="宋体"/>
          <w:sz w:val="21"/>
          <w:szCs w:val="21"/>
        </w:rPr>
      </w:pPr>
      <w:bookmarkStart w:id="150" w:name="_Toc22451"/>
      <w:bookmarkStart w:id="151" w:name="_Toc22262"/>
      <w:bookmarkStart w:id="152" w:name="_Toc27279"/>
      <w:r>
        <w:rPr>
          <w:rFonts w:hint="eastAsia" w:ascii="宋体" w:hAnsi="宋体"/>
          <w:sz w:val="21"/>
          <w:szCs w:val="21"/>
        </w:rPr>
        <w:t>30.合同的签订与履行</w:t>
      </w:r>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中标人拒绝与采购人签订合同的，采购人可以按照评审报告推荐的中标候选人名单排序，确定下一候选人为中标人，也可以重新开展采购活动。</w:t>
      </w:r>
    </w:p>
    <w:p/>
    <w:p>
      <w:pPr>
        <w:pStyle w:val="8"/>
        <w:widowControl w:val="0"/>
        <w:overflowPunct w:val="0"/>
        <w:rPr>
          <w:rFonts w:ascii="宋体" w:hAnsi="宋体"/>
          <w:sz w:val="21"/>
          <w:szCs w:val="21"/>
        </w:rPr>
      </w:pPr>
      <w:bookmarkStart w:id="153" w:name="_Toc382049124"/>
      <w:bookmarkStart w:id="154" w:name="_Toc25756"/>
      <w:bookmarkStart w:id="155" w:name="_Toc303084277"/>
      <w:bookmarkStart w:id="156" w:name="_Toc7405"/>
      <w:bookmarkStart w:id="157" w:name="_Toc2744"/>
      <w:bookmarkStart w:id="158" w:name="_Toc29009"/>
      <w:r>
        <w:rPr>
          <w:rFonts w:hint="eastAsia" w:ascii="宋体" w:hAnsi="宋体"/>
          <w:sz w:val="21"/>
          <w:szCs w:val="21"/>
        </w:rPr>
        <w:t>31.</w:t>
      </w:r>
      <w:r>
        <w:rPr>
          <w:rFonts w:ascii="宋体" w:hAnsi="宋体"/>
          <w:sz w:val="21"/>
          <w:szCs w:val="21"/>
        </w:rPr>
        <w:t>履约</w:t>
      </w:r>
      <w:r>
        <w:rPr>
          <w:rFonts w:hint="eastAsia" w:ascii="宋体" w:hAnsi="宋体"/>
          <w:sz w:val="21"/>
          <w:szCs w:val="21"/>
        </w:rPr>
        <w:t>保证金</w:t>
      </w:r>
      <w:bookmarkEnd w:id="153"/>
      <w:bookmarkEnd w:id="154"/>
      <w:bookmarkEnd w:id="155"/>
      <w:bookmarkEnd w:id="156"/>
      <w:bookmarkEnd w:id="157"/>
      <w:bookmarkEnd w:id="15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7"/>
        <w:spacing w:line="480" w:lineRule="auto"/>
        <w:jc w:val="center"/>
        <w:rPr>
          <w:rFonts w:ascii="宋体" w:hAnsi="宋体"/>
        </w:rPr>
      </w:pPr>
      <w:bookmarkStart w:id="159" w:name="_Toc7360"/>
      <w:bookmarkStart w:id="160" w:name="_Toc20699"/>
      <w:bookmarkStart w:id="161" w:name="_Toc13694"/>
      <w:r>
        <w:rPr>
          <w:rFonts w:hint="eastAsia" w:ascii="宋体" w:hAnsi="宋体"/>
        </w:rPr>
        <w:t>第七章询问或质疑</w:t>
      </w:r>
      <w:bookmarkEnd w:id="159"/>
      <w:bookmarkEnd w:id="160"/>
      <w:bookmarkEnd w:id="161"/>
    </w:p>
    <w:p>
      <w:pPr>
        <w:pStyle w:val="8"/>
        <w:widowControl w:val="0"/>
        <w:overflowPunct w:val="0"/>
        <w:rPr>
          <w:rFonts w:ascii="宋体" w:hAnsi="宋体"/>
          <w:sz w:val="21"/>
          <w:szCs w:val="21"/>
        </w:rPr>
      </w:pPr>
      <w:bookmarkStart w:id="162" w:name="_Toc17974"/>
      <w:bookmarkStart w:id="163" w:name="_Toc25498"/>
      <w:bookmarkStart w:id="164" w:name="_Toc22900"/>
      <w:r>
        <w:rPr>
          <w:rFonts w:hint="eastAsia" w:ascii="宋体" w:hAnsi="宋体"/>
          <w:sz w:val="21"/>
          <w:szCs w:val="21"/>
        </w:rPr>
        <w:t>32.询问</w:t>
      </w:r>
      <w:bookmarkEnd w:id="162"/>
      <w:bookmarkEnd w:id="163"/>
      <w:bookmarkEnd w:id="164"/>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8"/>
        <w:widowControl w:val="0"/>
        <w:overflowPunct w:val="0"/>
        <w:rPr>
          <w:rFonts w:ascii="宋体" w:hAnsi="宋体"/>
          <w:sz w:val="21"/>
          <w:szCs w:val="21"/>
        </w:rPr>
      </w:pPr>
      <w:bookmarkStart w:id="165" w:name="_Toc8234"/>
      <w:bookmarkStart w:id="166" w:name="_Toc2767"/>
      <w:bookmarkStart w:id="167" w:name="_Toc11264"/>
      <w:r>
        <w:rPr>
          <w:rFonts w:hint="eastAsia" w:ascii="宋体" w:hAnsi="宋体"/>
          <w:sz w:val="21"/>
          <w:szCs w:val="21"/>
        </w:rPr>
        <w:t>33.质疑</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以联合体形式参加采购活动的，其质疑应当由组成联合体的所有投标人共同提出。</w:t>
      </w:r>
    </w:p>
    <w:p/>
    <w:p>
      <w:pPr>
        <w:pStyle w:val="7"/>
        <w:spacing w:line="480" w:lineRule="auto"/>
        <w:jc w:val="center"/>
        <w:rPr>
          <w:rFonts w:ascii="宋体" w:hAnsi="宋体"/>
        </w:rPr>
      </w:pPr>
      <w:bookmarkStart w:id="168" w:name="_Toc8919"/>
      <w:bookmarkStart w:id="169" w:name="_Toc24383"/>
      <w:bookmarkStart w:id="170" w:name="_Toc5690"/>
      <w:r>
        <w:rPr>
          <w:rFonts w:hint="eastAsia" w:ascii="宋体" w:hAnsi="宋体"/>
        </w:rPr>
        <w:t>第八章其他</w:t>
      </w:r>
      <w:bookmarkEnd w:id="168"/>
      <w:bookmarkEnd w:id="169"/>
      <w:bookmarkEnd w:id="170"/>
    </w:p>
    <w:p>
      <w:pPr>
        <w:pStyle w:val="8"/>
        <w:widowControl w:val="0"/>
        <w:overflowPunct w:val="0"/>
        <w:rPr>
          <w:rFonts w:ascii="宋体" w:hAnsi="宋体"/>
          <w:sz w:val="21"/>
          <w:szCs w:val="21"/>
        </w:rPr>
      </w:pPr>
      <w:bookmarkStart w:id="171" w:name="_Toc6548"/>
      <w:bookmarkStart w:id="172" w:name="_Toc10082"/>
      <w:bookmarkStart w:id="173" w:name="_Toc21187"/>
      <w:r>
        <w:rPr>
          <w:rFonts w:hint="eastAsia" w:ascii="宋体" w:hAnsi="宋体"/>
          <w:sz w:val="21"/>
          <w:szCs w:val="21"/>
        </w:rPr>
        <w:t>34.招标文件的解释权</w:t>
      </w:r>
      <w:bookmarkEnd w:id="171"/>
      <w:bookmarkEnd w:id="172"/>
      <w:bookmarkEnd w:id="173"/>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招标文件版本号：广东政通20220406。</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本招标文件是根据国家有关法律、法规以及采购管理有关规定和参照国际惯例编制，解释权属本采购代理机构。</w:t>
      </w:r>
    </w:p>
    <w:p/>
    <w:bookmarkEnd w:id="20"/>
    <w:p>
      <w:pPr>
        <w:jc w:val="center"/>
      </w:pPr>
      <w:r>
        <w:rPr>
          <w:rFonts w:hint="eastAsia"/>
        </w:rPr>
        <w:br w:type="page"/>
      </w:r>
    </w:p>
    <w:p>
      <w:pPr>
        <w:pStyle w:val="6"/>
        <w:spacing w:before="0" w:after="0" w:line="240" w:lineRule="auto"/>
        <w:rPr>
          <w:sz w:val="28"/>
          <w:szCs w:val="28"/>
        </w:rPr>
      </w:pPr>
      <w:bookmarkStart w:id="174" w:name="_Toc31854"/>
      <w:bookmarkStart w:id="175" w:name="_Toc7011"/>
      <w:bookmarkStart w:id="176" w:name="_Toc382"/>
      <w:r>
        <w:rPr>
          <w:rFonts w:hint="eastAsia"/>
          <w:sz w:val="28"/>
          <w:szCs w:val="28"/>
        </w:rPr>
        <w:t>第五部分 用户需求书</w:t>
      </w:r>
      <w:bookmarkEnd w:id="174"/>
      <w:bookmarkEnd w:id="175"/>
      <w:bookmarkEnd w:id="176"/>
    </w:p>
    <w:p>
      <w:pPr>
        <w:pStyle w:val="7"/>
        <w:jc w:val="center"/>
        <w:rPr>
          <w:rFonts w:ascii="宋体" w:hAnsi="宋体"/>
        </w:rPr>
      </w:pPr>
      <w:bookmarkStart w:id="177" w:name="_Toc1593"/>
      <w:bookmarkStart w:id="178" w:name="_Toc19316"/>
      <w:r>
        <w:rPr>
          <w:rFonts w:hint="eastAsia" w:ascii="宋体" w:hAnsi="宋体"/>
        </w:rPr>
        <w:t>第一章 商务需求书</w:t>
      </w:r>
      <w:bookmarkEnd w:id="17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448"/>
        <w:gridCol w:w="63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trPr>
        <w:tc>
          <w:tcPr>
            <w:tcW w:w="681"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序号</w:t>
            </w:r>
          </w:p>
        </w:tc>
        <w:tc>
          <w:tcPr>
            <w:tcW w:w="1448"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条款名称</w:t>
            </w:r>
          </w:p>
        </w:tc>
        <w:tc>
          <w:tcPr>
            <w:tcW w:w="6393"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1</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服务期</w:t>
            </w:r>
          </w:p>
        </w:tc>
        <w:tc>
          <w:tcPr>
            <w:tcW w:w="6393" w:type="dxa"/>
            <w:vAlign w:val="center"/>
          </w:tcPr>
          <w:p>
            <w:pPr>
              <w:widowControl w:val="0"/>
              <w:tabs>
                <w:tab w:val="left" w:pos="360"/>
              </w:tabs>
              <w:adjustRightInd/>
              <w:snapToGrid/>
              <w:spacing w:before="72" w:beforeLines="20" w:after="72" w:afterLines="20" w:line="288" w:lineRule="auto"/>
              <w:ind w:firstLine="420" w:firstLineChars="200"/>
              <w:rPr>
                <w:rFonts w:ascii="Times New Roman" w:hAnsi="Times New Roman" w:cs="Times New Roman"/>
                <w:b/>
                <w:bCs/>
                <w:kern w:val="2"/>
                <w:szCs w:val="21"/>
              </w:rPr>
            </w:pPr>
            <w:r>
              <w:rPr>
                <w:rFonts w:ascii="Times New Roman" w:hAnsi="Times New Roman" w:cs="Times New Roman"/>
                <w:szCs w:val="21"/>
              </w:rPr>
              <w:t>本项目服务期为</w:t>
            </w:r>
            <w:r>
              <w:rPr>
                <w:rFonts w:hint="eastAsia" w:ascii="Times New Roman" w:hAnsi="Times New Roman" w:cs="Times New Roman"/>
                <w:szCs w:val="21"/>
              </w:rPr>
              <w:t>一年。</w:t>
            </w:r>
            <w:r>
              <w:rPr>
                <w:rFonts w:ascii="Times New Roman" w:hAnsi="Times New Roman" w:cs="Times New Roman"/>
                <w:szCs w:val="21"/>
              </w:rPr>
              <w:t>（具体时间以签订合同时间为准）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2</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服务地点</w:t>
            </w:r>
          </w:p>
        </w:tc>
        <w:tc>
          <w:tcPr>
            <w:tcW w:w="6393" w:type="dxa"/>
            <w:vAlign w:val="center"/>
          </w:tcPr>
          <w:p>
            <w:pPr>
              <w:spacing w:before="72" w:beforeLines="20" w:after="72" w:afterLines="20" w:line="288" w:lineRule="auto"/>
              <w:ind w:firstLine="420" w:firstLineChars="200"/>
              <w:rPr>
                <w:rFonts w:ascii="Times New Roman" w:hAnsi="Times New Roman" w:cs="Times New Roman"/>
                <w:szCs w:val="21"/>
              </w:rPr>
            </w:pPr>
            <w:r>
              <w:rPr>
                <w:rFonts w:ascii="Times New Roman" w:hAnsi="Times New Roman" w:cs="Times New Roman"/>
                <w:szCs w:val="21"/>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0"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3</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付款方式</w:t>
            </w:r>
          </w:p>
        </w:tc>
        <w:tc>
          <w:tcPr>
            <w:tcW w:w="6393" w:type="dxa"/>
            <w:shd w:val="clear" w:color="auto" w:fill="auto"/>
            <w:vAlign w:val="center"/>
          </w:tcPr>
          <w:p>
            <w:pPr>
              <w:spacing w:before="72" w:beforeLines="20" w:after="72" w:afterLines="20" w:line="288" w:lineRule="auto"/>
              <w:ind w:firstLine="420" w:firstLineChars="200"/>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①具体流程为：中标单位10日前向采购人提供上个月的工资数据，将相关数据资料交采购人核对确认；每月15日前，采购人向中标单位支付上月应付服务费用。（注：中标人须在采购人办理付款手续之前10个工作日内，提供增值税专用发票给采购人，以便采购人及时办理付款手续，发票税金由中标人支付。）</w:t>
            </w:r>
          </w:p>
          <w:p>
            <w:pPr>
              <w:spacing w:before="72" w:beforeLines="20" w:after="72" w:afterLines="20" w:line="288" w:lineRule="auto"/>
              <w:ind w:firstLine="420" w:firstLineChars="200"/>
              <w:rPr>
                <w:rFonts w:ascii="Times New Roman" w:hAnsi="Times New Roman" w:cs="Times New Roman"/>
                <w:szCs w:val="21"/>
              </w:rPr>
            </w:pPr>
            <w:r>
              <w:rPr>
                <w:rFonts w:hint="eastAsia" w:cs="Times New Roman" w:asciiTheme="minorEastAsia" w:hAnsiTheme="minorEastAsia" w:eastAsiaTheme="minorEastAsia"/>
                <w:szCs w:val="21"/>
              </w:rPr>
              <w:t>②付款额度以采购人当年供给标准和实际服务为依据。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1"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4</w:t>
            </w:r>
          </w:p>
        </w:tc>
        <w:tc>
          <w:tcPr>
            <w:tcW w:w="1448" w:type="dxa"/>
            <w:vAlign w:val="center"/>
          </w:tcPr>
          <w:p>
            <w:pPr>
              <w:spacing w:before="72" w:beforeLines="20" w:after="72" w:afterLines="20"/>
              <w:jc w:val="center"/>
              <w:rPr>
                <w:rFonts w:ascii="Times New Roman" w:hAnsi="Times New Roman" w:cs="Times New Roman"/>
                <w:szCs w:val="21"/>
              </w:rPr>
            </w:pPr>
            <w:r>
              <w:rPr>
                <w:rFonts w:hint="eastAsia" w:ascii="Times New Roman" w:hAnsi="Times New Roman" w:cs="Times New Roman"/>
                <w:szCs w:val="21"/>
              </w:rPr>
              <w:t>报价要求</w:t>
            </w:r>
          </w:p>
        </w:tc>
        <w:tc>
          <w:tcPr>
            <w:tcW w:w="6393" w:type="dxa"/>
            <w:vAlign w:val="center"/>
          </w:tcPr>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投标报价应包含完成本次招标所有服务内容的费用，包含各种税务费及合同实施过程中的全部费用和售后服务费等。</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由投标人自主报价。</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本项目最高限价为人民币</w:t>
            </w:r>
            <w:r>
              <w:rPr>
                <w:rFonts w:hint="eastAsia" w:ascii="宋体" w:hAnsi="宋体"/>
                <w:b/>
                <w:szCs w:val="21"/>
                <w:u w:val="single"/>
              </w:rPr>
              <w:t>1,</w:t>
            </w:r>
            <w:r>
              <w:rPr>
                <w:rFonts w:ascii="宋体" w:hAnsi="宋体"/>
                <w:b/>
                <w:szCs w:val="21"/>
                <w:u w:val="single"/>
              </w:rPr>
              <w:t>58</w:t>
            </w:r>
            <w:r>
              <w:rPr>
                <w:rFonts w:hint="eastAsia" w:ascii="宋体" w:hAnsi="宋体"/>
                <w:b/>
                <w:szCs w:val="21"/>
                <w:u w:val="single"/>
              </w:rPr>
              <w:t>0,000.00</w:t>
            </w:r>
            <w:r>
              <w:rPr>
                <w:rFonts w:hint="eastAsia" w:ascii="宋体" w:hAnsi="宋体"/>
                <w:szCs w:val="21"/>
              </w:rPr>
              <w:t>元</w:t>
            </w:r>
            <w:r>
              <w:rPr>
                <w:rFonts w:hint="eastAsia" w:ascii="Times New Roman" w:hAnsi="Times New Roman" w:cs="Times New Roman"/>
                <w:szCs w:val="21"/>
              </w:rPr>
              <w:t>，投标报价不得超过最高限价。</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视业务量情况，双方可据实际情况，在遵守相关法律法规前提下，双方签订补充协议，以实际产生发生为准，按实际执行。</w:t>
            </w:r>
          </w:p>
          <w:p>
            <w:pPr>
              <w:numPr>
                <w:ilvl w:val="0"/>
                <w:numId w:val="8"/>
              </w:numPr>
              <w:spacing w:before="72" w:beforeLines="20" w:after="72" w:afterLines="20" w:line="288" w:lineRule="auto"/>
              <w:rPr>
                <w:rFonts w:ascii="Times New Roman" w:hAnsi="Times New Roman" w:cs="Times New Roman"/>
                <w:bCs/>
                <w:kern w:val="2"/>
                <w:szCs w:val="21"/>
              </w:rPr>
            </w:pPr>
            <w:r>
              <w:rPr>
                <w:rFonts w:hint="eastAsia" w:ascii="Times New Roman" w:hAnsi="Times New Roman" w:cs="Times New Roman"/>
                <w:szCs w:val="21"/>
              </w:rPr>
              <w:t>中标后，采购人每个月按实际</w:t>
            </w:r>
            <w:r>
              <w:rPr>
                <w:rFonts w:hint="eastAsia" w:ascii="Times New Roman" w:hAnsi="Times New Roman" w:cs="Times New Roman"/>
                <w:bCs/>
                <w:kern w:val="2"/>
                <w:szCs w:val="21"/>
              </w:rPr>
              <w:t>产生的费用进行支付，并非一次性支付中标价。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5</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合同条款</w:t>
            </w:r>
          </w:p>
        </w:tc>
        <w:tc>
          <w:tcPr>
            <w:tcW w:w="6393" w:type="dxa"/>
            <w:vAlign w:val="center"/>
          </w:tcPr>
          <w:p>
            <w:pPr>
              <w:spacing w:before="72" w:beforeLines="20" w:after="72" w:afterLines="20" w:line="288" w:lineRule="auto"/>
              <w:ind w:firstLine="420" w:firstLineChars="200"/>
              <w:rPr>
                <w:rFonts w:ascii="Times New Roman" w:hAnsi="Times New Roman" w:cs="Times New Roman"/>
                <w:szCs w:val="21"/>
              </w:rPr>
            </w:pPr>
            <w:r>
              <w:rPr>
                <w:rFonts w:ascii="Times New Roman" w:hAnsi="Times New Roman" w:cs="Times New Roman"/>
                <w:szCs w:val="21"/>
              </w:rPr>
              <w:t>投标人实质响应合同条款。</w:t>
            </w:r>
          </w:p>
        </w:tc>
      </w:tr>
    </w:tbl>
    <w:p/>
    <w:p>
      <w:pPr>
        <w:pStyle w:val="2"/>
        <w:rPr>
          <w:lang w:val="en-US"/>
        </w:rPr>
      </w:pPr>
    </w:p>
    <w:p/>
    <w:p/>
    <w:p>
      <w:pPr>
        <w:pStyle w:val="2"/>
      </w:pPr>
    </w:p>
    <w:p/>
    <w:p>
      <w:pPr>
        <w:pStyle w:val="2"/>
      </w:pPr>
    </w:p>
    <w:p>
      <w:pPr>
        <w:pStyle w:val="7"/>
        <w:jc w:val="center"/>
        <w:rPr>
          <w:rFonts w:ascii="宋体" w:hAnsi="宋体"/>
          <w:sz w:val="24"/>
        </w:rPr>
      </w:pPr>
      <w:r>
        <w:rPr>
          <w:rFonts w:hint="eastAsia" w:ascii="宋体" w:hAnsi="宋体"/>
        </w:rPr>
        <w:t>第二章 技术需求书</w:t>
      </w:r>
      <w:bookmarkEnd w:id="178"/>
    </w:p>
    <w:p>
      <w:pPr>
        <w:pStyle w:val="8"/>
      </w:pPr>
      <w:bookmarkStart w:id="179" w:name="_Toc74213095"/>
      <w:bookmarkStart w:id="180" w:name="_Toc72762904"/>
      <w:bookmarkStart w:id="181" w:name="_Toc29308826"/>
      <w:bookmarkStart w:id="182" w:name="_Toc72762535"/>
      <w:bookmarkStart w:id="183" w:name="_Toc13112"/>
      <w:bookmarkStart w:id="184" w:name="_Toc14462"/>
      <w:bookmarkStart w:id="185" w:name="_Toc31278"/>
      <w:bookmarkStart w:id="186" w:name="_Toc24679"/>
      <w:r>
        <w:rPr>
          <w:rFonts w:hint="eastAsia"/>
        </w:rPr>
        <w:t>一、服务内容</w:t>
      </w:r>
      <w:bookmarkEnd w:id="179"/>
      <w:bookmarkEnd w:id="180"/>
      <w:bookmarkEnd w:id="181"/>
      <w:bookmarkEnd w:id="182"/>
    </w:p>
    <w:p>
      <w:pPr>
        <w:ind w:firstLine="420" w:firstLineChars="200"/>
        <w:rPr>
          <w:rFonts w:ascii="宋体" w:hAnsi="宋体" w:cs="宋体"/>
          <w:szCs w:val="21"/>
        </w:rPr>
      </w:pPr>
      <w:r>
        <w:rPr>
          <w:rFonts w:hint="eastAsia" w:ascii="宋体" w:hAnsi="宋体" w:cs="宋体"/>
          <w:szCs w:val="21"/>
        </w:rPr>
        <w:t>服务场所简介：广东省盐业集团东莞有限公司本部位于东莞市莞城街道东城西路172号111,办公区域面积约为700平方米；配送中心位于茶山镇南塘路1</w:t>
      </w:r>
      <w:r>
        <w:rPr>
          <w:rFonts w:ascii="宋体" w:hAnsi="宋体" w:cs="宋体"/>
          <w:szCs w:val="21"/>
        </w:rPr>
        <w:t>5</w:t>
      </w:r>
      <w:r>
        <w:rPr>
          <w:rFonts w:hint="eastAsia" w:ascii="宋体" w:hAnsi="宋体" w:cs="宋体"/>
          <w:szCs w:val="21"/>
        </w:rPr>
        <w:t>号，办公区域、宿舍、仓库面积合计约为5169平方米。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5"/>
        <w:gridCol w:w="1065"/>
        <w:gridCol w:w="1065"/>
        <w:gridCol w:w="1065"/>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01" w:type="dxa"/>
            <w:vAlign w:val="center"/>
          </w:tcPr>
          <w:p>
            <w:pPr>
              <w:jc w:val="center"/>
              <w:rPr>
                <w:rFonts w:ascii="宋体" w:hAnsi="宋体" w:cs="宋体"/>
                <w:b/>
                <w:szCs w:val="21"/>
              </w:rPr>
            </w:pPr>
            <w:r>
              <w:rPr>
                <w:rFonts w:hint="eastAsia" w:ascii="宋体" w:hAnsi="宋体" w:cs="宋体"/>
                <w:b/>
                <w:szCs w:val="21"/>
              </w:rPr>
              <w:t>服务地点</w:t>
            </w:r>
          </w:p>
        </w:tc>
        <w:tc>
          <w:tcPr>
            <w:tcW w:w="2605" w:type="dxa"/>
            <w:gridSpan w:val="2"/>
            <w:vAlign w:val="center"/>
          </w:tcPr>
          <w:p>
            <w:pPr>
              <w:jc w:val="center"/>
              <w:rPr>
                <w:rFonts w:ascii="宋体" w:hAnsi="宋体" w:cs="宋体"/>
                <w:szCs w:val="21"/>
              </w:rPr>
            </w:pPr>
            <w:r>
              <w:rPr>
                <w:rFonts w:hint="eastAsia" w:ascii="宋体" w:hAnsi="宋体" w:cs="宋体"/>
                <w:szCs w:val="21"/>
              </w:rPr>
              <w:t>公司本部</w:t>
            </w:r>
          </w:p>
        </w:tc>
        <w:tc>
          <w:tcPr>
            <w:tcW w:w="6515" w:type="dxa"/>
            <w:gridSpan w:val="5"/>
            <w:vAlign w:val="center"/>
          </w:tcPr>
          <w:p>
            <w:pPr>
              <w:jc w:val="cente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01" w:type="dxa"/>
            <w:vAlign w:val="center"/>
          </w:tcPr>
          <w:p>
            <w:pPr>
              <w:jc w:val="center"/>
              <w:rPr>
                <w:rFonts w:ascii="宋体" w:hAnsi="宋体" w:cs="宋体"/>
                <w:b/>
                <w:szCs w:val="21"/>
              </w:rPr>
            </w:pPr>
            <w:r>
              <w:rPr>
                <w:rFonts w:hint="eastAsia" w:ascii="宋体" w:hAnsi="宋体" w:cs="宋体"/>
                <w:b/>
                <w:szCs w:val="21"/>
              </w:rPr>
              <w:t>服务项目</w:t>
            </w:r>
          </w:p>
        </w:tc>
        <w:tc>
          <w:tcPr>
            <w:tcW w:w="1302" w:type="dxa"/>
            <w:vAlign w:val="center"/>
          </w:tcPr>
          <w:p>
            <w:pPr>
              <w:jc w:val="center"/>
              <w:rPr>
                <w:rFonts w:ascii="宋体" w:hAnsi="宋体" w:cs="宋体"/>
                <w:szCs w:val="21"/>
              </w:rPr>
            </w:pPr>
            <w:r>
              <w:rPr>
                <w:rFonts w:hint="eastAsia" w:ascii="宋体" w:hAnsi="宋体" w:cs="宋体"/>
                <w:szCs w:val="21"/>
              </w:rPr>
              <w:t>厨房业务</w:t>
            </w:r>
          </w:p>
        </w:tc>
        <w:tc>
          <w:tcPr>
            <w:tcW w:w="1303" w:type="dxa"/>
            <w:vAlign w:val="center"/>
          </w:tcPr>
          <w:p>
            <w:pPr>
              <w:jc w:val="center"/>
              <w:rPr>
                <w:rFonts w:ascii="宋体" w:hAnsi="宋体" w:cs="宋体"/>
                <w:szCs w:val="21"/>
              </w:rPr>
            </w:pPr>
            <w:r>
              <w:rPr>
                <w:rFonts w:hint="eastAsia" w:ascii="宋体" w:hAnsi="宋体" w:cs="宋体"/>
                <w:szCs w:val="21"/>
              </w:rPr>
              <w:t>清洁业务</w:t>
            </w:r>
          </w:p>
        </w:tc>
        <w:tc>
          <w:tcPr>
            <w:tcW w:w="1303" w:type="dxa"/>
            <w:vAlign w:val="center"/>
          </w:tcPr>
          <w:p>
            <w:pPr>
              <w:jc w:val="center"/>
              <w:rPr>
                <w:rFonts w:ascii="宋体" w:hAnsi="宋体" w:cs="宋体"/>
                <w:szCs w:val="21"/>
              </w:rPr>
            </w:pPr>
            <w:r>
              <w:rPr>
                <w:rFonts w:hint="eastAsia" w:ascii="宋体" w:hAnsi="宋体" w:cs="宋体"/>
                <w:szCs w:val="21"/>
              </w:rPr>
              <w:t>电工业务</w:t>
            </w:r>
          </w:p>
        </w:tc>
        <w:tc>
          <w:tcPr>
            <w:tcW w:w="1303" w:type="dxa"/>
            <w:vAlign w:val="center"/>
          </w:tcPr>
          <w:p>
            <w:pPr>
              <w:jc w:val="center"/>
              <w:rPr>
                <w:rFonts w:ascii="宋体" w:hAnsi="宋体" w:cs="宋体"/>
                <w:szCs w:val="21"/>
              </w:rPr>
            </w:pPr>
            <w:r>
              <w:rPr>
                <w:rFonts w:hint="eastAsia" w:ascii="宋体" w:hAnsi="宋体" w:cs="宋体"/>
                <w:szCs w:val="21"/>
              </w:rPr>
              <w:t>叉车业务</w:t>
            </w:r>
          </w:p>
        </w:tc>
        <w:tc>
          <w:tcPr>
            <w:tcW w:w="1303" w:type="dxa"/>
            <w:vAlign w:val="center"/>
          </w:tcPr>
          <w:p>
            <w:pPr>
              <w:jc w:val="center"/>
              <w:rPr>
                <w:rFonts w:ascii="宋体" w:hAnsi="宋体" w:cs="宋体"/>
                <w:szCs w:val="21"/>
              </w:rPr>
            </w:pPr>
            <w:r>
              <w:rPr>
                <w:rFonts w:hint="eastAsia" w:ascii="宋体" w:hAnsi="宋体" w:cs="宋体"/>
                <w:szCs w:val="21"/>
              </w:rPr>
              <w:t>仓库后勤业务</w:t>
            </w:r>
          </w:p>
        </w:tc>
        <w:tc>
          <w:tcPr>
            <w:tcW w:w="1303" w:type="dxa"/>
            <w:vAlign w:val="center"/>
          </w:tcPr>
          <w:p>
            <w:pPr>
              <w:jc w:val="center"/>
              <w:rPr>
                <w:rFonts w:ascii="宋体" w:hAnsi="宋体" w:cs="宋体"/>
                <w:szCs w:val="21"/>
              </w:rPr>
            </w:pPr>
            <w:r>
              <w:rPr>
                <w:rFonts w:hint="eastAsia" w:ascii="宋体" w:hAnsi="宋体" w:cs="宋体"/>
                <w:szCs w:val="21"/>
              </w:rPr>
              <w:t>配送业务</w:t>
            </w:r>
          </w:p>
        </w:tc>
        <w:tc>
          <w:tcPr>
            <w:tcW w:w="1303" w:type="dxa"/>
            <w:vAlign w:val="center"/>
          </w:tcPr>
          <w:p>
            <w:pPr>
              <w:jc w:val="center"/>
              <w:rPr>
                <w:rFonts w:ascii="宋体" w:hAnsi="宋体" w:cs="宋体"/>
                <w:szCs w:val="21"/>
              </w:rPr>
            </w:pPr>
            <w:r>
              <w:rPr>
                <w:rFonts w:hint="eastAsia" w:ascii="宋体" w:hAnsi="宋体" w:cs="宋体"/>
                <w:szCs w:val="21"/>
              </w:rPr>
              <w:t>打码业务</w:t>
            </w:r>
          </w:p>
        </w:tc>
      </w:tr>
    </w:tbl>
    <w:p>
      <w:pPr>
        <w:rPr>
          <w:rFonts w:ascii="宋体" w:hAnsi="宋体" w:cs="宋体"/>
          <w:b/>
          <w:szCs w:val="21"/>
        </w:rPr>
      </w:pPr>
      <w:r>
        <w:rPr>
          <w:rFonts w:hint="eastAsia" w:ascii="宋体" w:hAnsi="宋体" w:cs="宋体"/>
          <w:b/>
          <w:szCs w:val="21"/>
        </w:rPr>
        <w:t>A、公司本部</w:t>
      </w:r>
    </w:p>
    <w:p>
      <w:pPr>
        <w:ind w:left="-720" w:firstLine="632" w:firstLineChars="300"/>
        <w:rPr>
          <w:rFonts w:ascii="宋体" w:hAnsi="宋体" w:cs="宋体"/>
          <w:b/>
          <w:szCs w:val="21"/>
        </w:rPr>
      </w:pPr>
      <w:r>
        <w:rPr>
          <w:rFonts w:hint="eastAsia" w:ascii="宋体" w:hAnsi="宋体" w:cs="宋体"/>
          <w:b/>
          <w:szCs w:val="21"/>
        </w:rPr>
        <w:t>（1）厨房业务</w:t>
      </w:r>
    </w:p>
    <w:p>
      <w:pPr>
        <w:ind w:firstLine="422" w:firstLineChars="200"/>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①食堂菜系为粤菜。用餐人数:早午约25人、晚约10人。</w:t>
      </w:r>
    </w:p>
    <w:p>
      <w:pPr>
        <w:ind w:firstLine="420" w:firstLineChars="200"/>
        <w:rPr>
          <w:rFonts w:ascii="宋体" w:hAnsi="宋体" w:cs="宋体"/>
          <w:szCs w:val="21"/>
        </w:rPr>
      </w:pPr>
      <w:r>
        <w:rPr>
          <w:rFonts w:hint="eastAsia" w:ascii="宋体" w:hAnsi="宋体" w:cs="宋体"/>
          <w:szCs w:val="21"/>
        </w:rPr>
        <w:t>②中标人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ind w:firstLine="420" w:firstLineChars="200"/>
        <w:rPr>
          <w:rFonts w:ascii="宋体" w:hAnsi="宋体" w:cs="宋体"/>
          <w:szCs w:val="21"/>
        </w:rPr>
      </w:pPr>
      <w:r>
        <w:rPr>
          <w:rFonts w:hint="eastAsia" w:ascii="宋体" w:hAnsi="宋体" w:cs="宋体"/>
          <w:szCs w:val="21"/>
        </w:rPr>
        <w:t>③维护食堂环境卫生、个人卫生，做好每日碗筷的清洗消毒和食堂区域范围内的卫生清洁工作。确保无卫生死角，确保食物存放整洁，炊具放置有序。</w:t>
      </w:r>
    </w:p>
    <w:p>
      <w:pPr>
        <w:ind w:left="-720" w:firstLine="632" w:firstLineChars="300"/>
        <w:rPr>
          <w:rFonts w:ascii="宋体" w:hAnsi="宋体" w:cs="宋体"/>
          <w:b/>
          <w:szCs w:val="21"/>
        </w:rPr>
      </w:pPr>
      <w:r>
        <w:rPr>
          <w:rFonts w:hint="eastAsia" w:ascii="宋体" w:hAnsi="宋体" w:cs="宋体"/>
          <w:b/>
          <w:szCs w:val="21"/>
        </w:rPr>
        <w:t>（2）清洁业务</w:t>
      </w:r>
    </w:p>
    <w:p>
      <w:pPr>
        <w:ind w:firstLine="413" w:firstLineChars="196"/>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①负责公司本部办公区域的日常的清洁与保洁工作，至少一日两次清洁，及时清理垃圾和杂物，做到墙身无蜘蛛网，地面无明显垃圾，保证消防通道畅通和办公区域内环境的干净卫生。</w:t>
      </w:r>
    </w:p>
    <w:p>
      <w:pPr>
        <w:ind w:firstLine="420" w:firstLineChars="200"/>
        <w:rPr>
          <w:rFonts w:ascii="宋体" w:hAnsi="宋体" w:cs="宋体"/>
          <w:szCs w:val="21"/>
        </w:rPr>
      </w:pPr>
      <w:r>
        <w:rPr>
          <w:rFonts w:hint="eastAsia" w:ascii="宋体" w:hAnsi="宋体" w:cs="宋体"/>
          <w:szCs w:val="21"/>
        </w:rPr>
        <w:t>②及时清洗会客接待的茶杯茶具，并做好消毒。</w:t>
      </w:r>
    </w:p>
    <w:p>
      <w:pPr>
        <w:ind w:firstLine="420" w:firstLineChars="200"/>
      </w:pPr>
      <w:r>
        <w:rPr>
          <w:rFonts w:hint="eastAsia" w:ascii="宋体" w:hAnsi="宋体" w:cs="宋体"/>
          <w:szCs w:val="21"/>
        </w:rPr>
        <w:t>③做好洗手间区域的清洁，保持地面不湿滑，无异味。</w:t>
      </w:r>
    </w:p>
    <w:p>
      <w:pPr>
        <w:rPr>
          <w:rFonts w:ascii="宋体" w:hAnsi="宋体" w:cs="宋体"/>
          <w:b/>
          <w:szCs w:val="21"/>
        </w:rPr>
      </w:pPr>
      <w:r>
        <w:rPr>
          <w:rFonts w:hint="eastAsia" w:ascii="宋体" w:hAnsi="宋体" w:cs="宋体"/>
          <w:b/>
          <w:szCs w:val="21"/>
        </w:rPr>
        <w:t>B、茶山配送中心</w:t>
      </w:r>
    </w:p>
    <w:p>
      <w:pPr>
        <w:ind w:left="-720" w:firstLine="632" w:firstLineChars="300"/>
        <w:rPr>
          <w:rFonts w:ascii="宋体" w:hAnsi="宋体" w:cs="宋体"/>
          <w:b/>
          <w:szCs w:val="21"/>
        </w:rPr>
      </w:pPr>
      <w:r>
        <w:rPr>
          <w:rFonts w:hint="eastAsia" w:ascii="宋体" w:hAnsi="宋体" w:cs="宋体"/>
          <w:b/>
          <w:szCs w:val="21"/>
        </w:rPr>
        <w:t>（</w:t>
      </w:r>
      <w:r>
        <w:rPr>
          <w:rFonts w:ascii="宋体" w:hAnsi="宋体" w:cs="宋体"/>
          <w:b/>
          <w:szCs w:val="21"/>
        </w:rPr>
        <w:t>3</w:t>
      </w:r>
      <w:r>
        <w:rPr>
          <w:rFonts w:hint="eastAsia" w:ascii="宋体" w:hAnsi="宋体" w:cs="宋体"/>
          <w:b/>
          <w:szCs w:val="21"/>
        </w:rPr>
        <w:t>）电工业务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①负责公司配送中心所有用电设备和线路的检查维修，以及所有供电设施的安装、修理与保养工作，并做好相关记录。</w:t>
      </w:r>
    </w:p>
    <w:p>
      <w:pPr>
        <w:ind w:firstLine="420" w:firstLineChars="200"/>
        <w:rPr>
          <w:rFonts w:ascii="宋体" w:hAnsi="宋体" w:cs="宋体"/>
          <w:szCs w:val="21"/>
        </w:rPr>
      </w:pPr>
      <w:r>
        <w:rPr>
          <w:rFonts w:hint="eastAsia" w:ascii="宋体" w:hAnsi="宋体" w:cs="宋体"/>
          <w:szCs w:val="21"/>
        </w:rPr>
        <w:t>②负责对用电设备的安全隐患进行自查和整改，确保用电工作符合安全生产的相关制度规定。</w:t>
      </w:r>
    </w:p>
    <w:p>
      <w:pPr>
        <w:ind w:firstLine="420" w:firstLineChars="200"/>
        <w:rPr>
          <w:rFonts w:ascii="宋体" w:hAnsi="宋体" w:cs="宋体"/>
          <w:szCs w:val="21"/>
        </w:rPr>
      </w:pPr>
      <w:r>
        <w:rPr>
          <w:rFonts w:hint="eastAsia" w:ascii="宋体" w:hAnsi="宋体" w:cs="宋体"/>
          <w:szCs w:val="21"/>
        </w:rPr>
        <w:t>③负责仓库内外的勤杂工作，包括仓库环境的管理、烂包破包的清理及管理工作。</w:t>
      </w:r>
    </w:p>
    <w:p>
      <w:pPr>
        <w:ind w:firstLine="420" w:firstLineChars="200"/>
        <w:rPr>
          <w:rFonts w:ascii="宋体" w:hAnsi="宋体" w:cs="宋体"/>
          <w:szCs w:val="21"/>
        </w:rPr>
      </w:pPr>
      <w:r>
        <w:rPr>
          <w:rFonts w:hint="eastAsia" w:ascii="宋体" w:hAnsi="宋体" w:cs="宋体"/>
          <w:szCs w:val="21"/>
        </w:rPr>
        <w:t>④负责部门临时性用工的所有工作，包括配送业务、后勤业务等。</w:t>
      </w:r>
    </w:p>
    <w:p>
      <w:pPr>
        <w:rPr>
          <w:rFonts w:ascii="宋体" w:hAnsi="宋体" w:cs="宋体"/>
          <w:b/>
          <w:szCs w:val="21"/>
        </w:rPr>
      </w:pPr>
      <w:r>
        <w:rPr>
          <w:rFonts w:hint="eastAsia" w:ascii="宋体" w:hAnsi="宋体" w:cs="宋体"/>
          <w:b/>
          <w:szCs w:val="21"/>
        </w:rPr>
        <w:t>（</w:t>
      </w:r>
      <w:r>
        <w:rPr>
          <w:rFonts w:ascii="宋体" w:hAnsi="宋体" w:cs="宋体"/>
          <w:b/>
          <w:szCs w:val="21"/>
        </w:rPr>
        <w:t>4</w:t>
      </w:r>
      <w:r>
        <w:rPr>
          <w:rFonts w:hint="eastAsia" w:ascii="宋体" w:hAnsi="宋体" w:cs="宋体"/>
          <w:b/>
          <w:szCs w:val="21"/>
        </w:rPr>
        <w:t>）叉车业务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①按照工作安排，负责做好盐产品、辅料和各种废料的叉运工作，并严格遵守安全行驶的原则。</w:t>
      </w:r>
    </w:p>
    <w:p>
      <w:pPr>
        <w:ind w:firstLine="420" w:firstLineChars="200"/>
        <w:rPr>
          <w:rFonts w:ascii="宋体" w:hAnsi="宋体" w:cs="宋体"/>
          <w:szCs w:val="21"/>
        </w:rPr>
      </w:pPr>
      <w:r>
        <w:rPr>
          <w:rFonts w:hint="eastAsia" w:ascii="宋体" w:hAnsi="宋体" w:cs="宋体"/>
          <w:szCs w:val="21"/>
        </w:rPr>
        <w:t>②认真做好叉车的日常维护和保养工作，确保叉车的安全和整洁。</w:t>
      </w:r>
    </w:p>
    <w:p>
      <w:pPr>
        <w:rPr>
          <w:rFonts w:ascii="宋体" w:hAnsi="宋体" w:cs="宋体"/>
          <w:b/>
          <w:szCs w:val="21"/>
        </w:rPr>
      </w:pPr>
      <w:r>
        <w:rPr>
          <w:rFonts w:hint="eastAsia" w:ascii="宋体" w:hAnsi="宋体" w:cs="宋体"/>
          <w:b/>
          <w:szCs w:val="21"/>
        </w:rPr>
        <w:t>（</w:t>
      </w:r>
      <w:r>
        <w:rPr>
          <w:rFonts w:ascii="宋体" w:hAnsi="宋体" w:cs="宋体"/>
          <w:b/>
          <w:szCs w:val="21"/>
        </w:rPr>
        <w:t>5</w:t>
      </w:r>
      <w:r>
        <w:rPr>
          <w:rFonts w:hint="eastAsia" w:ascii="宋体" w:hAnsi="宋体" w:cs="宋体"/>
          <w:b/>
          <w:szCs w:val="21"/>
        </w:rPr>
        <w:t>）仓库后勤业务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①负责配送中心仓库的日常后勤保障工作，包括后勤设备的维护和仓库安全管理工作。</w:t>
      </w:r>
    </w:p>
    <w:p>
      <w:pPr>
        <w:ind w:firstLine="420" w:firstLineChars="200"/>
        <w:rPr>
          <w:rFonts w:ascii="宋体" w:hAnsi="宋体" w:cs="宋体"/>
          <w:szCs w:val="21"/>
        </w:rPr>
      </w:pPr>
      <w:r>
        <w:rPr>
          <w:rFonts w:hint="eastAsia" w:ascii="宋体" w:hAnsi="宋体" w:cs="宋体"/>
          <w:szCs w:val="21"/>
        </w:rPr>
        <w:t>②协助进行内务管理和传达管理，对来访人员和车辆进行登记和检查，及时处理异常情况或突发事件。</w:t>
      </w:r>
    </w:p>
    <w:p>
      <w:pPr>
        <w:ind w:firstLine="420" w:firstLineChars="200"/>
        <w:rPr>
          <w:rFonts w:ascii="宋体" w:hAnsi="宋体" w:cs="宋体"/>
          <w:szCs w:val="21"/>
        </w:rPr>
      </w:pPr>
      <w:r>
        <w:rPr>
          <w:rFonts w:hint="eastAsia" w:ascii="宋体" w:hAnsi="宋体" w:cs="宋体"/>
          <w:szCs w:val="21"/>
        </w:rPr>
        <w:t>③中标方所派出提供服务的人员，应具有安全责任意识和处理突发事件的能力，能掌握基本消防器材的使用方法，熟记消防、警匪、救护等联系方式来确保紧急事故的报告。</w:t>
      </w:r>
    </w:p>
    <w:p>
      <w:pPr>
        <w:rPr>
          <w:rFonts w:ascii="宋体" w:hAnsi="宋体" w:cs="宋体"/>
          <w:b/>
          <w:szCs w:val="21"/>
        </w:rPr>
      </w:pPr>
      <w:r>
        <w:rPr>
          <w:rFonts w:hint="eastAsia" w:ascii="宋体" w:hAnsi="宋体" w:cs="宋体"/>
          <w:b/>
          <w:szCs w:val="21"/>
        </w:rPr>
        <w:t>（</w:t>
      </w:r>
      <w:r>
        <w:rPr>
          <w:rFonts w:ascii="宋体" w:hAnsi="宋体" w:cs="宋体"/>
          <w:b/>
          <w:szCs w:val="21"/>
        </w:rPr>
        <w:t>6</w:t>
      </w:r>
      <w:r>
        <w:rPr>
          <w:rFonts w:hint="eastAsia" w:ascii="宋体" w:hAnsi="宋体" w:cs="宋体"/>
          <w:b/>
          <w:szCs w:val="21"/>
        </w:rPr>
        <w:t>）配送业务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①负责产品订单的配送任务，按时整理呈递相关业务单据和资料，并负责配送车辆的保养、维和修清洁工作。</w:t>
      </w:r>
    </w:p>
    <w:p>
      <w:pPr>
        <w:pStyle w:val="2"/>
        <w:rPr>
          <w:lang w:val="en-US" w:bidi="ar-SA"/>
        </w:rPr>
      </w:pPr>
      <w:r>
        <w:rPr>
          <w:rFonts w:hint="eastAsia"/>
          <w:lang w:val="en-US" w:bidi="ar-SA"/>
        </w:rPr>
        <w:t xml:space="preserve"> </w:t>
      </w:r>
      <w:r>
        <w:rPr>
          <w:lang w:val="en-US" w:bidi="ar-SA"/>
        </w:rPr>
        <w:t xml:space="preserve">  </w:t>
      </w:r>
      <w:r>
        <w:rPr>
          <w:rFonts w:hint="eastAsia"/>
          <w:sz w:val="21"/>
          <w:szCs w:val="21"/>
        </w:rPr>
        <w:t>②应具备安全行车意识及突发事件处理能力，能妥善处理配送业务中遇到的问题。</w:t>
      </w:r>
    </w:p>
    <w:p>
      <w:pPr>
        <w:rPr>
          <w:rFonts w:ascii="宋体" w:hAnsi="宋体" w:cs="宋体"/>
          <w:b/>
          <w:szCs w:val="21"/>
        </w:rPr>
      </w:pPr>
      <w:r>
        <w:rPr>
          <w:rFonts w:hint="eastAsia" w:ascii="宋体" w:hAnsi="宋体" w:cs="宋体"/>
          <w:b/>
          <w:szCs w:val="21"/>
        </w:rPr>
        <w:t>（</w:t>
      </w:r>
      <w:r>
        <w:rPr>
          <w:rFonts w:ascii="宋体" w:hAnsi="宋体" w:cs="宋体"/>
          <w:b/>
          <w:szCs w:val="21"/>
        </w:rPr>
        <w:t>7</w:t>
      </w:r>
      <w:r>
        <w:rPr>
          <w:rFonts w:hint="eastAsia" w:ascii="宋体" w:hAnsi="宋体" w:cs="宋体"/>
          <w:b/>
          <w:szCs w:val="21"/>
        </w:rPr>
        <w:t>）打码业务</w:t>
      </w:r>
    </w:p>
    <w:p>
      <w:pPr>
        <w:ind w:firstLine="413" w:firstLineChars="196"/>
        <w:rPr>
          <w:rFonts w:ascii="宋体" w:hAnsi="宋体" w:cs="宋体"/>
          <w:szCs w:val="21"/>
        </w:rPr>
      </w:pPr>
      <w:r>
        <w:rPr>
          <w:rFonts w:hint="eastAsia" w:ascii="宋体" w:hAnsi="宋体" w:cs="宋体"/>
          <w:b/>
          <w:szCs w:val="21"/>
        </w:rPr>
        <w:t>工作内容及要求：</w:t>
      </w:r>
      <w:r>
        <w:rPr>
          <w:rFonts w:ascii="宋体" w:hAnsi="宋体" w:cs="宋体"/>
          <w:b/>
          <w:szCs w:val="21"/>
        </w:rPr>
        <w:t xml:space="preserve">                                                                                                                                                                                                                                                                                                                                            </w:t>
      </w:r>
    </w:p>
    <w:p>
      <w:pPr>
        <w:ind w:firstLine="420" w:firstLineChars="200"/>
        <w:rPr>
          <w:rFonts w:ascii="宋体" w:hAnsi="宋体" w:cs="宋体"/>
          <w:szCs w:val="21"/>
        </w:rPr>
      </w:pPr>
      <w:r>
        <w:rPr>
          <w:rFonts w:hint="eastAsia" w:ascii="宋体" w:hAnsi="宋体" w:cs="宋体"/>
          <w:szCs w:val="21"/>
        </w:rPr>
        <w:t>负责产品的打码工作。</w:t>
      </w:r>
    </w:p>
    <w:p>
      <w:pPr>
        <w:tabs>
          <w:tab w:val="left" w:pos="426"/>
        </w:tabs>
        <w:ind w:firstLine="422" w:firstLineChars="200"/>
        <w:rPr>
          <w:rFonts w:ascii="宋体" w:hAnsi="宋体" w:cs="宋体"/>
          <w:b/>
          <w:szCs w:val="21"/>
        </w:rPr>
      </w:pPr>
      <w:r>
        <w:rPr>
          <w:rFonts w:hint="eastAsia" w:ascii="宋体" w:hAnsi="宋体" w:cs="宋体"/>
          <w:b/>
          <w:szCs w:val="21"/>
        </w:rPr>
        <w:t>注：采购人有权视工作需要调整业务要求，以上各业务所示要求将根据实际业务服务需要作出调整。</w:t>
      </w:r>
    </w:p>
    <w:p>
      <w:pPr>
        <w:tabs>
          <w:tab w:val="left" w:pos="420"/>
        </w:tabs>
        <w:ind w:firstLine="422" w:firstLineChars="200"/>
      </w:pPr>
      <w:r>
        <w:rPr>
          <w:rFonts w:hint="eastAsia" w:ascii="宋体" w:hAnsi="宋体" w:cs="宋体"/>
          <w:b/>
          <w:szCs w:val="21"/>
        </w:rPr>
        <w:t>采购人可根据实际情况或需求，对业务服务要求进行调整，中标人必须服从，且业务服务要求必须符合采购人的要求。</w:t>
      </w:r>
    </w:p>
    <w:p>
      <w:pPr>
        <w:pStyle w:val="2"/>
      </w:pPr>
    </w:p>
    <w:p>
      <w:pPr>
        <w:pStyle w:val="2"/>
      </w:pPr>
    </w:p>
    <w:p/>
    <w:p>
      <w:p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8"/>
      </w:pPr>
      <w:r>
        <w:rPr>
          <w:rFonts w:hint="eastAsia"/>
        </w:rPr>
        <w:t>二、服务清单</w:t>
      </w:r>
    </w:p>
    <w:p>
      <w:pPr>
        <w:rPr>
          <w:b/>
          <w:bCs/>
        </w:rPr>
      </w:pPr>
      <w:r>
        <w:rPr>
          <w:rFonts w:hint="eastAsia"/>
          <w:b/>
          <w:bCs/>
        </w:rPr>
        <w:t>（1）配送业务</w:t>
      </w:r>
    </w:p>
    <w:tbl>
      <w:tblPr>
        <w:tblStyle w:val="23"/>
        <w:tblW w:w="4996" w:type="pct"/>
        <w:tblInd w:w="0" w:type="dxa"/>
        <w:tblLayout w:type="autofit"/>
        <w:tblCellMar>
          <w:top w:w="0" w:type="dxa"/>
          <w:left w:w="108" w:type="dxa"/>
          <w:bottom w:w="0" w:type="dxa"/>
          <w:right w:w="108" w:type="dxa"/>
        </w:tblCellMar>
      </w:tblPr>
      <w:tblGrid>
        <w:gridCol w:w="786"/>
        <w:gridCol w:w="798"/>
        <w:gridCol w:w="802"/>
        <w:gridCol w:w="901"/>
        <w:gridCol w:w="215"/>
        <w:gridCol w:w="1057"/>
        <w:gridCol w:w="853"/>
        <w:gridCol w:w="870"/>
        <w:gridCol w:w="331"/>
        <w:gridCol w:w="895"/>
        <w:gridCol w:w="1142"/>
        <w:gridCol w:w="898"/>
        <w:gridCol w:w="343"/>
        <w:gridCol w:w="1173"/>
        <w:gridCol w:w="943"/>
        <w:gridCol w:w="278"/>
        <w:gridCol w:w="1020"/>
        <w:gridCol w:w="858"/>
      </w:tblGrid>
      <w:tr>
        <w:tblPrEx>
          <w:tblCellMar>
            <w:top w:w="0" w:type="dxa"/>
            <w:left w:w="108" w:type="dxa"/>
            <w:bottom w:w="0" w:type="dxa"/>
            <w:right w:w="108" w:type="dxa"/>
          </w:tblCellMar>
        </w:tblPrEx>
        <w:trPr>
          <w:trHeight w:val="540" w:hRule="atLeast"/>
        </w:trPr>
        <w:tc>
          <w:tcPr>
            <w:tcW w:w="278"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车辆</w:t>
            </w:r>
          </w:p>
        </w:tc>
        <w:tc>
          <w:tcPr>
            <w:tcW w:w="959"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A区</w:t>
            </w:r>
          </w:p>
        </w:tc>
        <w:tc>
          <w:tcPr>
            <w:tcW w:w="981"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B区</w:t>
            </w:r>
          </w:p>
        </w:tc>
        <w:tc>
          <w:tcPr>
            <w:tcW w:w="12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C区</w:t>
            </w:r>
          </w:p>
        </w:tc>
        <w:tc>
          <w:tcPr>
            <w:tcW w:w="1205"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外市</w:t>
            </w:r>
          </w:p>
        </w:tc>
        <w:tc>
          <w:tcPr>
            <w:tcW w:w="300" w:type="pct"/>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54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宋体" w:hAnsi="宋体" w:cs="宋体"/>
                <w:b/>
                <w:bCs/>
                <w:color w:val="000000"/>
                <w:szCs w:val="21"/>
              </w:rPr>
            </w:pP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00" w:type="pct"/>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3100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400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26</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28</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36</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2400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20</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2200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23</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33</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8吨车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1300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13.5</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17.5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2800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2500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4500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2500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2300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18</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配送区域说明：</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A区配送区域为东坑、横沥、茶山、寮步、石龙、企石、石排、石碣、高埗、常平、大朗、松山湖、桥头</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B区配送区域为中堂、大岭山、东城、万江、莞城、南城、望牛墩</w:t>
            </w:r>
          </w:p>
        </w:tc>
      </w:tr>
      <w:tr>
        <w:tblPrEx>
          <w:tblCellMar>
            <w:top w:w="0" w:type="dxa"/>
            <w:left w:w="108" w:type="dxa"/>
            <w:bottom w:w="0" w:type="dxa"/>
            <w:right w:w="108" w:type="dxa"/>
          </w:tblCellMar>
        </w:tblPrEx>
        <w:trPr>
          <w:trHeight w:val="300" w:hRule="atLeast"/>
        </w:trPr>
        <w:tc>
          <w:tcPr>
            <w:tcW w:w="5000" w:type="pct"/>
            <w:gridSpan w:val="18"/>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C区配送区域为道滘、厚街、樟木头、洪梅、谢岗、黄江、清溪、凤岗、虎门、长安、沙田、麻涌、塘厦</w:t>
            </w:r>
          </w:p>
        </w:tc>
      </w:tr>
      <w:tr>
        <w:tblPrEx>
          <w:tblCellMar>
            <w:top w:w="0" w:type="dxa"/>
            <w:left w:w="108" w:type="dxa"/>
            <w:bottom w:w="0" w:type="dxa"/>
            <w:right w:w="108" w:type="dxa"/>
          </w:tblCellMar>
        </w:tblPrEx>
        <w:trPr>
          <w:trHeight w:val="54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零担配送</w:t>
            </w:r>
          </w:p>
        </w:tc>
        <w:tc>
          <w:tcPr>
            <w:tcW w:w="11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预计（件/年）</w:t>
            </w:r>
          </w:p>
        </w:tc>
        <w:tc>
          <w:tcPr>
            <w:tcW w:w="1036"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限价（元/件）</w:t>
            </w:r>
          </w:p>
        </w:tc>
        <w:tc>
          <w:tcPr>
            <w:tcW w:w="868"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报价（元/件）</w:t>
            </w:r>
          </w:p>
        </w:tc>
        <w:tc>
          <w:tcPr>
            <w:tcW w:w="760"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30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小包装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4200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3.5</w:t>
            </w:r>
          </w:p>
        </w:tc>
        <w:tc>
          <w:tcPr>
            <w:tcW w:w="868"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60"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大包装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18000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w:t>
            </w:r>
          </w:p>
        </w:tc>
        <w:tc>
          <w:tcPr>
            <w:tcW w:w="868"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60"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4239" w:type="pct"/>
            <w:gridSpan w:val="15"/>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配送业务费全年合计</w:t>
            </w:r>
          </w:p>
        </w:tc>
        <w:tc>
          <w:tcPr>
            <w:tcW w:w="760" w:type="pct"/>
            <w:gridSpan w:val="3"/>
            <w:tcBorders>
              <w:top w:val="nil"/>
              <w:left w:val="nil"/>
              <w:bottom w:val="single" w:color="000000" w:sz="8" w:space="0"/>
              <w:right w:val="single" w:color="000000" w:sz="8" w:space="0"/>
            </w:tcBorders>
            <w:shd w:val="clear" w:color="auto" w:fill="auto"/>
            <w:noWrap/>
            <w:vAlign w:val="center"/>
          </w:tcPr>
          <w:p>
            <w:pPr>
              <w:spacing w:line="240" w:lineRule="auto"/>
              <w:rPr>
                <w:rFonts w:ascii="宋体" w:hAnsi="宋体" w:cs="宋体"/>
                <w:color w:val="000000"/>
                <w:szCs w:val="21"/>
              </w:rPr>
            </w:pPr>
          </w:p>
        </w:tc>
      </w:tr>
    </w:tbl>
    <w:p>
      <w:pPr>
        <w:pStyle w:val="2"/>
        <w:sectPr>
          <w:type w:val="continuous"/>
          <w:pgSz w:w="16838" w:h="11906" w:orient="landscape"/>
          <w:pgMar w:top="1800" w:right="1440" w:bottom="1800" w:left="1440" w:header="708" w:footer="708" w:gutter="0"/>
          <w:cols w:space="708" w:num="1"/>
          <w:titlePg/>
          <w:docGrid w:type="lines" w:linePitch="360" w:charSpace="0"/>
        </w:sectPr>
      </w:pPr>
    </w:p>
    <w:p>
      <w:pPr>
        <w:rPr>
          <w:b/>
          <w:bCs/>
        </w:rPr>
      </w:pPr>
      <w:r>
        <w:rPr>
          <w:rFonts w:hint="eastAsia"/>
          <w:b/>
          <w:bCs/>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62"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仓库后勤业务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ascii="宋体" w:hAnsi="宋体" w:cs="宋体"/>
                <w:color w:val="000000"/>
                <w:szCs w:val="21"/>
                <w:lang w:bidi="ar"/>
              </w:rPr>
              <w:t>135000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叉车业务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5</w:t>
            </w:r>
            <w:r>
              <w:rPr>
                <w:rFonts w:hint="eastAsia" w:ascii="宋体" w:hAnsi="宋体" w:cs="宋体"/>
                <w:color w:val="000000"/>
                <w:szCs w:val="21"/>
                <w:lang w:bidi="ar"/>
              </w:rPr>
              <w:t>8000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电工业务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113300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打码业务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7</w:t>
            </w:r>
            <w:r>
              <w:rPr>
                <w:rFonts w:ascii="宋体" w:hAnsi="宋体" w:cs="宋体"/>
                <w:color w:val="000000"/>
                <w:szCs w:val="21"/>
                <w:lang w:bidi="ar"/>
              </w:rPr>
              <w:t>9990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厨房业务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155600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清洁业务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46660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szCs w:val="21"/>
              </w:rPr>
            </w:pPr>
            <w:r>
              <w:rPr>
                <w:rFonts w:hint="eastAsia" w:ascii="宋体" w:hAnsi="宋体" w:cs="宋体"/>
                <w:b/>
                <w:bCs/>
                <w:szCs w:val="21"/>
              </w:rPr>
              <w:t>其它业务全年合计：</w:t>
            </w:r>
          </w:p>
        </w:tc>
      </w:tr>
    </w:tbl>
    <w:p/>
    <w:p>
      <w:pPr>
        <w:pStyle w:val="8"/>
      </w:pPr>
      <w:bookmarkStart w:id="187" w:name="_Toc72762536"/>
      <w:bookmarkStart w:id="188" w:name="_Toc29308827"/>
      <w:bookmarkStart w:id="189" w:name="_Toc72762905"/>
      <w:bookmarkStart w:id="190" w:name="_Toc74213096"/>
      <w:r>
        <w:rPr>
          <w:rFonts w:hint="eastAsia"/>
        </w:rPr>
        <w:t>三、服务要求</w:t>
      </w:r>
      <w:bookmarkEnd w:id="187"/>
      <w:bookmarkEnd w:id="188"/>
      <w:bookmarkEnd w:id="189"/>
      <w:bookmarkEnd w:id="190"/>
    </w:p>
    <w:p>
      <w:pPr>
        <w:numPr>
          <w:ilvl w:val="0"/>
          <w:numId w:val="9"/>
        </w:numPr>
        <w:tabs>
          <w:tab w:val="left" w:pos="420"/>
          <w:tab w:val="left" w:pos="630"/>
        </w:tabs>
        <w:spacing w:line="400" w:lineRule="exact"/>
        <w:rPr>
          <w:rFonts w:ascii="宋体" w:hAnsi="宋体" w:cs="宋体"/>
          <w:b/>
          <w:bCs/>
          <w:szCs w:val="21"/>
        </w:rPr>
      </w:pPr>
      <w:r>
        <w:rPr>
          <w:rFonts w:hint="eastAsia" w:ascii="宋体" w:hAnsi="宋体" w:cs="宋体"/>
          <w:b/>
          <w:bCs/>
          <w:szCs w:val="21"/>
        </w:rPr>
        <w:t>基本服务要求</w:t>
      </w:r>
    </w:p>
    <w:p>
      <w:pPr>
        <w:tabs>
          <w:tab w:val="left" w:pos="420"/>
        </w:tabs>
        <w:ind w:firstLine="420" w:firstLineChars="200"/>
        <w:rPr>
          <w:rFonts w:ascii="宋体" w:hAnsi="宋体" w:cs="宋体"/>
          <w:szCs w:val="21"/>
        </w:rPr>
      </w:pPr>
      <w:r>
        <w:rPr>
          <w:rFonts w:hint="eastAsia" w:ascii="宋体" w:hAnsi="宋体" w:cs="宋体"/>
          <w:bCs/>
          <w:szCs w:val="21"/>
        </w:rPr>
        <w:t>1、根据采购人需求为服务人员提供服务；中标人及服务人员必须遵守采购人相关管理规定。</w:t>
      </w:r>
    </w:p>
    <w:p>
      <w:pPr>
        <w:widowControl w:val="0"/>
        <w:tabs>
          <w:tab w:val="left" w:pos="420"/>
          <w:tab w:val="left" w:pos="630"/>
        </w:tabs>
        <w:adjustRightInd/>
        <w:ind w:firstLine="420" w:firstLineChars="200"/>
        <w:jc w:val="both"/>
        <w:rPr>
          <w:rFonts w:ascii="宋体" w:hAnsi="宋体" w:cs="宋体"/>
          <w:szCs w:val="21"/>
        </w:rPr>
      </w:pPr>
      <w:r>
        <w:rPr>
          <w:rFonts w:ascii="宋体" w:hAnsi="宋体" w:cs="宋体"/>
          <w:szCs w:val="21"/>
        </w:rPr>
        <w:t>2</w:t>
      </w:r>
      <w:r>
        <w:rPr>
          <w:rFonts w:hint="eastAsia" w:ascii="宋体" w:hAnsi="宋体" w:cs="宋体"/>
          <w:szCs w:val="21"/>
        </w:rPr>
        <w:t>、中标人负责服务人员劳动人事关系管理职能工作，其中包括办理服务人员入职手续、人事档案管理、接收党组织关系和工会关系、职称评定、从业资格认定、缴交社会保险、劳资纠纷和工伤意外处理、服务人员请休假安排等人事管理工作，服务期内发生劳资纠纷由中标人负责处理。</w:t>
      </w:r>
    </w:p>
    <w:p>
      <w:pPr>
        <w:widowControl w:val="0"/>
        <w:tabs>
          <w:tab w:val="left" w:pos="420"/>
          <w:tab w:val="left" w:pos="636"/>
        </w:tabs>
        <w:adjustRightInd/>
        <w:ind w:firstLine="420" w:firstLineChars="200"/>
        <w:jc w:val="both"/>
        <w:rPr>
          <w:rFonts w:ascii="宋体" w:hAnsi="宋体" w:cs="宋体"/>
          <w:szCs w:val="21"/>
        </w:rPr>
      </w:pPr>
      <w:r>
        <w:rPr>
          <w:rFonts w:hint="eastAsia" w:ascii="宋体" w:hAnsi="宋体" w:cs="宋体"/>
          <w:szCs w:val="21"/>
        </w:rPr>
        <w:t>3、中标人对项目的管理方案、组织架构、人员录用等建立的各项规章制度，在实施前应与采购人协商，符合采购人工作管理制度后方可实施。</w:t>
      </w:r>
    </w:p>
    <w:p>
      <w:pPr>
        <w:tabs>
          <w:tab w:val="left" w:pos="420"/>
          <w:tab w:val="left" w:pos="636"/>
        </w:tabs>
        <w:ind w:firstLine="420" w:firstLineChars="200"/>
        <w:rPr>
          <w:rFonts w:ascii="宋体" w:hAnsi="宋体" w:cs="宋体"/>
          <w:szCs w:val="21"/>
        </w:rPr>
      </w:pPr>
      <w:r>
        <w:rPr>
          <w:rFonts w:hint="eastAsia" w:ascii="宋体" w:hAnsi="宋体" w:cs="宋体"/>
          <w:bCs/>
          <w:szCs w:val="21"/>
        </w:rPr>
        <w:t>4、中标人须为服务人员购买社会保险、保证按采购人要求进行</w:t>
      </w:r>
      <w:r>
        <w:rPr>
          <w:rFonts w:ascii="宋体" w:hAnsi="宋体" w:cs="仿宋_GB2312"/>
          <w:szCs w:val="21"/>
        </w:rPr>
        <w:t>工资发放</w:t>
      </w:r>
      <w:r>
        <w:rPr>
          <w:rFonts w:hint="eastAsia" w:ascii="宋体" w:hAnsi="宋体" w:cs="宋体"/>
          <w:bCs/>
          <w:szCs w:val="21"/>
        </w:rPr>
        <w:t>。</w:t>
      </w:r>
    </w:p>
    <w:p>
      <w:pPr>
        <w:tabs>
          <w:tab w:val="left" w:pos="420"/>
          <w:tab w:val="left" w:pos="636"/>
        </w:tabs>
        <w:spacing w:line="400" w:lineRule="exact"/>
        <w:rPr>
          <w:rFonts w:ascii="宋体" w:hAnsi="宋体" w:cs="宋体"/>
          <w:b/>
          <w:bCs/>
          <w:szCs w:val="21"/>
        </w:rPr>
      </w:pPr>
      <w:r>
        <w:rPr>
          <w:rFonts w:hint="eastAsia" w:ascii="宋体" w:hAnsi="宋体" w:cs="宋体"/>
          <w:b/>
          <w:bCs/>
          <w:szCs w:val="21"/>
        </w:rPr>
        <w:t>（二）主要服务要求（包括但不限于）</w:t>
      </w:r>
    </w:p>
    <w:p>
      <w:pPr>
        <w:numPr>
          <w:ilvl w:val="6"/>
          <w:numId w:val="10"/>
        </w:numPr>
        <w:tabs>
          <w:tab w:val="left" w:pos="420"/>
          <w:tab w:val="left" w:pos="636"/>
        </w:tabs>
        <w:spacing w:before="108" w:beforeLines="30" w:after="108" w:afterLines="30" w:line="400" w:lineRule="exact"/>
        <w:ind w:left="2943" w:hanging="2943"/>
        <w:rPr>
          <w:rFonts w:ascii="宋体" w:hAnsi="宋体" w:cs="宋体"/>
          <w:b/>
          <w:szCs w:val="21"/>
        </w:rPr>
      </w:pPr>
      <w:r>
        <w:rPr>
          <w:rFonts w:hint="eastAsia" w:ascii="宋体" w:hAnsi="宋体" w:cs="宋体"/>
          <w:b/>
          <w:szCs w:val="21"/>
        </w:rPr>
        <w:t>中标人按采购人具体要求跟进相应服务人员完成采购单位日常工作；</w:t>
      </w:r>
    </w:p>
    <w:p>
      <w:pPr>
        <w:tabs>
          <w:tab w:val="left" w:pos="420"/>
        </w:tabs>
        <w:ind w:firstLine="420" w:firstLineChars="200"/>
        <w:rPr>
          <w:rFonts w:ascii="宋体" w:hAnsi="宋体" w:cs="宋体"/>
          <w:bCs/>
          <w:szCs w:val="21"/>
        </w:rPr>
      </w:pPr>
      <w:r>
        <w:rPr>
          <w:rFonts w:hint="eastAsia" w:ascii="宋体" w:hAnsi="宋体" w:cs="宋体"/>
          <w:bCs/>
          <w:szCs w:val="21"/>
        </w:rPr>
        <w:t>1）中标人负责所有服务人员的人事、劳资、社会保险、计生、基础培训等人事劳资管理工作，并提供为服务人员办理劳动用工手续（签订劳动合同等）、结算发放工资、发放经济补偿金、缴纳社会保险、处理保险理赔、管理人事档案、提供员工培训等方面的管理服务。中标人有义务及时向采购人提供服务人员的有关个人资料，采购人承诺不随意对外泄露。</w:t>
      </w:r>
    </w:p>
    <w:p>
      <w:pPr>
        <w:tabs>
          <w:tab w:val="left" w:pos="420"/>
        </w:tabs>
        <w:ind w:firstLine="420" w:firstLineChars="200"/>
        <w:rPr>
          <w:rFonts w:ascii="宋体" w:hAnsi="宋体" w:cs="宋体"/>
          <w:bCs/>
          <w:szCs w:val="21"/>
        </w:rPr>
      </w:pPr>
      <w:r>
        <w:rPr>
          <w:rFonts w:hint="eastAsia" w:ascii="宋体" w:hAnsi="宋体" w:cs="宋体"/>
          <w:bCs/>
          <w:szCs w:val="21"/>
        </w:rPr>
        <w:t>2）中标人须依法为服务员工办理五险，为服务员工购买医疗、工伤、养老、失业、生育保险等法律法规规定的各项待遇；如发生工伤、重大疾病、非因公死亡等事故，中标人须依照法律法规规定进行调查处理。</w:t>
      </w:r>
    </w:p>
    <w:p>
      <w:pPr>
        <w:tabs>
          <w:tab w:val="left" w:pos="420"/>
        </w:tabs>
        <w:ind w:firstLine="420" w:firstLineChars="200"/>
        <w:rPr>
          <w:rFonts w:ascii="宋体" w:hAnsi="宋体" w:cs="宋体"/>
          <w:bCs/>
          <w:szCs w:val="21"/>
        </w:rPr>
      </w:pPr>
      <w:r>
        <w:rPr>
          <w:rFonts w:hint="eastAsia" w:ascii="宋体" w:hAnsi="宋体" w:cs="宋体"/>
          <w:bCs/>
          <w:szCs w:val="21"/>
        </w:rPr>
        <w:t xml:space="preserve">3）中标人必须切实有效落实管理制度，中标人根据采购人要求跟进服务人员，服务人员按照采购人单位规章制度和相关岗位职责开展工作。 </w:t>
      </w:r>
    </w:p>
    <w:p>
      <w:pPr>
        <w:tabs>
          <w:tab w:val="left" w:pos="420"/>
        </w:tabs>
        <w:ind w:firstLine="420" w:firstLineChars="200"/>
        <w:rPr>
          <w:rFonts w:ascii="宋体" w:hAnsi="宋体" w:cs="宋体"/>
          <w:bCs/>
          <w:szCs w:val="21"/>
        </w:rPr>
      </w:pPr>
      <w:r>
        <w:rPr>
          <w:rFonts w:hint="eastAsia" w:ascii="宋体" w:hAnsi="宋体" w:cs="宋体"/>
          <w:bCs/>
          <w:szCs w:val="21"/>
        </w:rPr>
        <w:t>4）中标人应经常性对服务人员进行职业道德教育，监督检察服务人员执行采购单位规章制度的情况，协助采购人对违规违法员工进行处理，维护采购人正常的经营秩序。</w:t>
      </w:r>
    </w:p>
    <w:p>
      <w:pPr>
        <w:tabs>
          <w:tab w:val="left" w:pos="420"/>
        </w:tabs>
        <w:ind w:firstLine="420" w:firstLineChars="200"/>
        <w:rPr>
          <w:rFonts w:ascii="宋体" w:hAnsi="宋体" w:cs="宋体"/>
          <w:bCs/>
          <w:szCs w:val="21"/>
        </w:rPr>
      </w:pPr>
      <w:r>
        <w:rPr>
          <w:rFonts w:hint="eastAsia" w:ascii="宋体" w:hAnsi="宋体" w:cs="宋体"/>
          <w:bCs/>
          <w:szCs w:val="21"/>
        </w:rPr>
        <w:t>5）中标人须按时发放服务员工的工资，并依法办理社保、意外险和个人所得税的代缴代扣等事宜。</w:t>
      </w:r>
    </w:p>
    <w:p>
      <w:pPr>
        <w:tabs>
          <w:tab w:val="left" w:pos="420"/>
        </w:tabs>
        <w:ind w:firstLine="420" w:firstLineChars="200"/>
        <w:rPr>
          <w:rFonts w:ascii="宋体" w:hAnsi="宋体" w:cs="宋体"/>
          <w:bCs/>
          <w:szCs w:val="21"/>
        </w:rPr>
      </w:pPr>
      <w:r>
        <w:rPr>
          <w:rFonts w:hint="eastAsia" w:ascii="宋体" w:hAnsi="宋体" w:cs="宋体"/>
          <w:bCs/>
          <w:szCs w:val="21"/>
        </w:rPr>
        <w:t>6）中标人负责处理与服务员工相关的各种劳资纠纷，处理相关的劳动仲裁、诉讼等事宜。</w:t>
      </w:r>
    </w:p>
    <w:p>
      <w:pPr>
        <w:tabs>
          <w:tab w:val="left" w:pos="420"/>
        </w:tabs>
        <w:ind w:firstLine="420" w:firstLineChars="200"/>
        <w:rPr>
          <w:rFonts w:ascii="宋体" w:hAnsi="宋体" w:cs="宋体"/>
          <w:bCs/>
          <w:szCs w:val="21"/>
        </w:rPr>
      </w:pPr>
      <w:r>
        <w:rPr>
          <w:rFonts w:hint="eastAsia" w:ascii="宋体" w:hAnsi="宋体" w:cs="宋体"/>
          <w:bCs/>
          <w:szCs w:val="21"/>
        </w:rPr>
        <w:t>7）中标人应对服务员工进行培训，包括但不限于上岗前培训、在岗培训等；须根据采购人或用工单位的要求，教育服务员工严格遵守用工单位的规章管理制度，严格遵守劳动纪律，服从用工单位作出的合理工作安排和调度。</w:t>
      </w:r>
    </w:p>
    <w:p>
      <w:pPr>
        <w:tabs>
          <w:tab w:val="left" w:pos="420"/>
        </w:tabs>
        <w:ind w:firstLine="420" w:firstLineChars="200"/>
        <w:rPr>
          <w:rFonts w:ascii="宋体" w:hAnsi="宋体" w:cs="宋体"/>
          <w:bCs/>
          <w:szCs w:val="21"/>
        </w:rPr>
      </w:pPr>
      <w:r>
        <w:rPr>
          <w:rFonts w:hint="eastAsia" w:ascii="宋体" w:hAnsi="宋体" w:cs="宋体"/>
          <w:bCs/>
          <w:szCs w:val="21"/>
        </w:rPr>
        <w:t>8）中标人应协助用工单位对服务员工进行绩效考核，对考核不达标的服务员工，中标人应根据采购人或用工单位的决定及时进行处理。</w:t>
      </w:r>
    </w:p>
    <w:p>
      <w:pPr>
        <w:tabs>
          <w:tab w:val="left" w:pos="420"/>
        </w:tabs>
        <w:ind w:firstLine="420" w:firstLineChars="200"/>
        <w:rPr>
          <w:rFonts w:ascii="宋体" w:hAnsi="宋体" w:cs="宋体"/>
          <w:bCs/>
          <w:szCs w:val="21"/>
        </w:rPr>
      </w:pPr>
      <w:r>
        <w:rPr>
          <w:rFonts w:hint="eastAsia" w:ascii="宋体" w:hAnsi="宋体" w:cs="宋体"/>
          <w:bCs/>
          <w:szCs w:val="21"/>
        </w:rPr>
        <w:t>9）中标人及其服务员工在服务期间应严格遵守国家现行的法律法规，包括但不限于《劳动法》、《劳动合同法》等。</w:t>
      </w:r>
    </w:p>
    <w:p>
      <w:pPr>
        <w:tabs>
          <w:tab w:val="left" w:pos="420"/>
        </w:tabs>
        <w:ind w:firstLine="420" w:firstLineChars="200"/>
        <w:rPr>
          <w:rFonts w:ascii="宋体" w:hAnsi="宋体" w:cs="宋体"/>
          <w:bCs/>
          <w:szCs w:val="21"/>
        </w:rPr>
      </w:pPr>
      <w:r>
        <w:rPr>
          <w:rFonts w:hint="eastAsia" w:ascii="宋体" w:hAnsi="宋体" w:cs="宋体"/>
          <w:bCs/>
          <w:szCs w:val="21"/>
        </w:rPr>
        <w:t>10）中标人应确实做好资金管理，确保资金安全；须对本项目涉及的所有费用开具增值税专用发票。</w:t>
      </w:r>
    </w:p>
    <w:p>
      <w:pPr>
        <w:tabs>
          <w:tab w:val="left" w:pos="420"/>
        </w:tabs>
        <w:ind w:firstLine="420" w:firstLineChars="200"/>
        <w:rPr>
          <w:rFonts w:ascii="宋体" w:hAnsi="宋体" w:cs="宋体"/>
          <w:bCs/>
          <w:szCs w:val="21"/>
        </w:rPr>
      </w:pPr>
      <w:r>
        <w:rPr>
          <w:rFonts w:hint="eastAsia" w:ascii="宋体" w:hAnsi="宋体" w:cs="宋体"/>
          <w:bCs/>
          <w:szCs w:val="21"/>
        </w:rPr>
        <w:t>11）中标人应及时掌握国家、省、市有关劳动标准、劳动条件、工资、社会保险等方面的最新政策动态，并及时告知采购人或用工单位，积极配合采购人或用工单位对新政策规定的组织实施。</w:t>
      </w:r>
    </w:p>
    <w:p>
      <w:pPr>
        <w:tabs>
          <w:tab w:val="left" w:pos="420"/>
        </w:tabs>
        <w:ind w:firstLine="420" w:firstLineChars="200"/>
        <w:rPr>
          <w:rFonts w:ascii="宋体" w:hAnsi="宋体" w:cs="宋体"/>
          <w:bCs/>
          <w:szCs w:val="21"/>
        </w:rPr>
      </w:pPr>
      <w:r>
        <w:rPr>
          <w:rFonts w:hint="eastAsia" w:ascii="宋体" w:hAnsi="宋体" w:cs="宋体"/>
          <w:bCs/>
          <w:szCs w:val="21"/>
        </w:rPr>
        <w:t>12）中标人应对采购人委托的各项目的内容予以严格保密。接受派单业务前必须按照国家相关保密规定和采购方签订《保密协议》，对违反《保密协议》相关内容规定的，采购方有权追究其法律责任。</w:t>
      </w:r>
    </w:p>
    <w:p>
      <w:pPr>
        <w:tabs>
          <w:tab w:val="left" w:pos="420"/>
        </w:tabs>
        <w:ind w:firstLine="420" w:firstLineChars="200"/>
        <w:rPr>
          <w:rFonts w:ascii="宋体" w:hAnsi="宋体" w:cs="宋体"/>
          <w:bCs/>
          <w:szCs w:val="21"/>
        </w:rPr>
      </w:pPr>
      <w:r>
        <w:rPr>
          <w:rFonts w:hint="eastAsia" w:ascii="宋体" w:hAnsi="宋体" w:cs="宋体"/>
          <w:bCs/>
          <w:szCs w:val="21"/>
        </w:rPr>
        <w:t>13）中标人应服从采购人的统筹安排，并严格按照采购人的要求保质保量地提供相应服务。</w:t>
      </w:r>
    </w:p>
    <w:p>
      <w:pPr>
        <w:numPr>
          <w:ilvl w:val="6"/>
          <w:numId w:val="10"/>
        </w:numPr>
        <w:tabs>
          <w:tab w:val="left" w:pos="426"/>
          <w:tab w:val="left" w:pos="636"/>
        </w:tabs>
        <w:spacing w:before="108" w:beforeLines="30" w:after="108" w:afterLines="30" w:line="400" w:lineRule="exact"/>
        <w:ind w:left="2943" w:hanging="2943"/>
        <w:rPr>
          <w:rFonts w:ascii="宋体" w:hAnsi="宋体" w:cs="宋体"/>
          <w:b/>
          <w:szCs w:val="21"/>
        </w:rPr>
      </w:pPr>
      <w:r>
        <w:rPr>
          <w:rFonts w:hint="eastAsia" w:ascii="宋体" w:hAnsi="宋体" w:cs="宋体"/>
          <w:b/>
          <w:szCs w:val="21"/>
        </w:rPr>
        <w:t>用工要求</w:t>
      </w:r>
    </w:p>
    <w:p>
      <w:pPr>
        <w:tabs>
          <w:tab w:val="left" w:pos="426"/>
        </w:tabs>
        <w:ind w:firstLine="420" w:firstLineChars="200"/>
        <w:rPr>
          <w:rFonts w:ascii="宋体" w:hAnsi="宋体" w:cs="宋体"/>
          <w:bCs/>
          <w:szCs w:val="21"/>
        </w:rPr>
      </w:pPr>
      <w:r>
        <w:rPr>
          <w:rFonts w:hint="eastAsia" w:ascii="宋体" w:hAnsi="宋体" w:cs="宋体"/>
          <w:bCs/>
          <w:szCs w:val="21"/>
        </w:rPr>
        <w:t>1）采购人根据业务需要情况，以书面形式通知中标人服务需求；</w:t>
      </w:r>
    </w:p>
    <w:p>
      <w:pPr>
        <w:tabs>
          <w:tab w:val="left" w:pos="426"/>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）根据实际工作需要提供服务；</w:t>
      </w:r>
    </w:p>
    <w:p>
      <w:pPr>
        <w:tabs>
          <w:tab w:val="left" w:pos="426"/>
        </w:tabs>
        <w:ind w:firstLine="420" w:firstLineChars="200"/>
        <w:rPr>
          <w:rFonts w:ascii="宋体" w:hAnsi="宋体" w:cs="宋体"/>
          <w:bCs/>
          <w:szCs w:val="21"/>
        </w:rPr>
      </w:pPr>
      <w:r>
        <w:rPr>
          <w:rFonts w:ascii="宋体" w:hAnsi="宋体" w:cs="宋体"/>
          <w:bCs/>
          <w:szCs w:val="21"/>
        </w:rPr>
        <w:t>3</w:t>
      </w:r>
      <w:r>
        <w:rPr>
          <w:rFonts w:hint="eastAsia" w:ascii="宋体" w:hAnsi="宋体" w:cs="宋体"/>
          <w:bCs/>
          <w:szCs w:val="21"/>
        </w:rPr>
        <w:t>）中标人收集相关证件并建立员工档案，备份采购单位；</w:t>
      </w:r>
    </w:p>
    <w:p>
      <w:pPr>
        <w:tabs>
          <w:tab w:val="left" w:pos="426"/>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）中标人通知拟录用人员入职，并办理相关的入职手续，签订劳动合同等；</w:t>
      </w:r>
    </w:p>
    <w:p>
      <w:pPr>
        <w:tabs>
          <w:tab w:val="left" w:pos="426"/>
        </w:tabs>
        <w:ind w:firstLine="420" w:firstLineChars="200"/>
        <w:rPr>
          <w:rFonts w:ascii="宋体" w:hAnsi="宋体" w:cs="宋体"/>
          <w:bCs/>
          <w:szCs w:val="21"/>
        </w:rPr>
      </w:pPr>
      <w:r>
        <w:rPr>
          <w:rFonts w:ascii="宋体" w:hAnsi="宋体" w:cs="宋体"/>
          <w:bCs/>
          <w:szCs w:val="21"/>
        </w:rPr>
        <w:t>5</w:t>
      </w:r>
      <w:r>
        <w:rPr>
          <w:rFonts w:hint="eastAsia" w:ascii="宋体" w:hAnsi="宋体" w:cs="宋体"/>
          <w:bCs/>
          <w:szCs w:val="21"/>
        </w:rPr>
        <w:t>）采购人有权要求调换不适合岗位要求的服务人员，非因采购人提出更换服务人员要求，中标人不得随意调换服务人员，调换须与采购人协商。</w:t>
      </w:r>
    </w:p>
    <w:p/>
    <w:p>
      <w:pPr>
        <w:pStyle w:val="8"/>
      </w:pPr>
      <w:r>
        <w:rPr>
          <w:rFonts w:hint="eastAsia"/>
        </w:rPr>
        <w:t>四、服务人员的管理</w:t>
      </w:r>
    </w:p>
    <w:p>
      <w:pPr>
        <w:tabs>
          <w:tab w:val="left" w:pos="426"/>
        </w:tabs>
        <w:ind w:firstLine="420" w:firstLineChars="200"/>
        <w:rPr>
          <w:rFonts w:ascii="宋体" w:hAnsi="宋体" w:cs="宋体"/>
          <w:bCs/>
          <w:szCs w:val="21"/>
        </w:rPr>
      </w:pPr>
      <w:r>
        <w:rPr>
          <w:rFonts w:hint="eastAsia" w:ascii="宋体" w:hAnsi="宋体" w:cs="宋体"/>
          <w:bCs/>
          <w:szCs w:val="21"/>
        </w:rPr>
        <w:t>1、中标人应教育服务人员遵守国家法律法规以及采购单位的规章制度、管理规范和劳动纪律，服从和执行采购人的工作安排和调度，接受采购人管理人员的检查监督，中标人必须建立完善的培训制度，包括岗前培训、日常技能培训、配合采购人业务培训等；</w:t>
      </w:r>
    </w:p>
    <w:p>
      <w:pPr>
        <w:tabs>
          <w:tab w:val="left" w:pos="426"/>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由于采购人单位性质原因，要求服务人员必须严守秘密，不能泄露与工作有关的任何信息。中标人应教育服务人员不得以任何形式向他人提供或泄露采购单位的涉密信息；服务人员及中标人应按规定与采购人签订保密协议。</w:t>
      </w:r>
    </w:p>
    <w:p>
      <w:pPr>
        <w:tabs>
          <w:tab w:val="left" w:pos="426"/>
        </w:tabs>
        <w:ind w:firstLine="420" w:firstLineChars="200"/>
        <w:rPr>
          <w:rFonts w:ascii="宋体" w:hAnsi="宋体" w:cs="宋体"/>
          <w:bCs/>
          <w:szCs w:val="21"/>
        </w:rPr>
      </w:pPr>
      <w:r>
        <w:rPr>
          <w:rFonts w:hint="eastAsia" w:ascii="宋体" w:hAnsi="宋体" w:cs="宋体"/>
          <w:bCs/>
          <w:szCs w:val="21"/>
        </w:rPr>
        <w:t>3、中标人负责考勤管理、绩效考核及工作期间的日常管理等事项，采购人可协助考勤工作；</w:t>
      </w:r>
    </w:p>
    <w:p>
      <w:pPr>
        <w:tabs>
          <w:tab w:val="left" w:pos="426"/>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、服务人员不服从采购人日常工作管理以及违反采购人的劳动纪律的，采购人有权依据有关管理规定通知中标人进行相应的处理，考核不合格者，依据采购人及中标人相关制度处理。</w:t>
      </w:r>
    </w:p>
    <w:p>
      <w:pPr>
        <w:tabs>
          <w:tab w:val="left" w:pos="426"/>
        </w:tabs>
        <w:ind w:firstLine="420" w:firstLineChars="200"/>
        <w:rPr>
          <w:rFonts w:ascii="宋体" w:hAnsi="宋体" w:cs="宋体"/>
          <w:bCs/>
          <w:szCs w:val="21"/>
        </w:rPr>
      </w:pPr>
      <w:r>
        <w:rPr>
          <w:rFonts w:hint="eastAsia" w:ascii="宋体" w:hAnsi="宋体" w:cs="宋体"/>
          <w:bCs/>
          <w:szCs w:val="21"/>
        </w:rPr>
        <w:t>5、中标人全权负责服务人员的用工管理、劳务纠纷处理与社保办理、退休办理以及涉及劳动关系的所有事宜，与服务人员签订劳动合同并将劳动合同提供采购单位备案。</w:t>
      </w:r>
    </w:p>
    <w:p/>
    <w:p>
      <w:pPr>
        <w:pStyle w:val="8"/>
      </w:pPr>
      <w:r>
        <w:rPr>
          <w:rFonts w:hint="eastAsia"/>
        </w:rPr>
        <w:t>五、服务费用</w:t>
      </w:r>
    </w:p>
    <w:p>
      <w:pPr>
        <w:tabs>
          <w:tab w:val="left" w:pos="420"/>
        </w:tabs>
        <w:ind w:firstLine="420" w:firstLineChars="200"/>
        <w:rPr>
          <w:rFonts w:ascii="宋体" w:hAnsi="宋体" w:cs="宋体"/>
          <w:bCs/>
          <w:szCs w:val="21"/>
        </w:rPr>
      </w:pPr>
      <w:r>
        <w:rPr>
          <w:rFonts w:hint="eastAsia" w:ascii="宋体" w:hAnsi="宋体" w:cs="宋体"/>
          <w:bCs/>
          <w:szCs w:val="21"/>
        </w:rPr>
        <w:t>本项目预算包括的费用项目如下：</w:t>
      </w:r>
    </w:p>
    <w:p>
      <w:pPr>
        <w:tabs>
          <w:tab w:val="left" w:pos="420"/>
        </w:tabs>
        <w:ind w:firstLine="420" w:firstLineChars="200"/>
        <w:rPr>
          <w:rFonts w:ascii="宋体" w:hAnsi="宋体" w:cs="宋体"/>
          <w:bCs/>
          <w:szCs w:val="21"/>
        </w:rPr>
      </w:pPr>
      <w:r>
        <w:rPr>
          <w:rFonts w:hint="eastAsia" w:ascii="宋体" w:hAnsi="宋体" w:cs="宋体"/>
          <w:bCs/>
          <w:szCs w:val="21"/>
        </w:rPr>
        <w:t>（一）基本费用：</w:t>
      </w:r>
    </w:p>
    <w:p>
      <w:pPr>
        <w:tabs>
          <w:tab w:val="left" w:pos="420"/>
        </w:tabs>
        <w:ind w:firstLine="420" w:firstLineChars="200"/>
        <w:rPr>
          <w:rFonts w:ascii="宋体" w:hAnsi="宋体" w:cs="宋体"/>
          <w:bCs/>
          <w:szCs w:val="21"/>
        </w:rPr>
      </w:pPr>
      <w:r>
        <w:rPr>
          <w:rFonts w:hint="eastAsia" w:ascii="宋体" w:hAnsi="宋体" w:cs="宋体"/>
          <w:bCs/>
          <w:szCs w:val="21"/>
        </w:rPr>
        <w:t>1.工资：服务人员按规定完成相关工作，可以获得相应工资；</w:t>
      </w:r>
    </w:p>
    <w:p>
      <w:pPr>
        <w:tabs>
          <w:tab w:val="left" w:pos="420"/>
        </w:tabs>
        <w:ind w:firstLine="420" w:firstLineChars="200"/>
        <w:rPr>
          <w:rFonts w:ascii="宋体" w:hAnsi="宋体" w:cs="宋体"/>
          <w:bCs/>
          <w:szCs w:val="21"/>
        </w:rPr>
      </w:pPr>
      <w:r>
        <w:rPr>
          <w:rFonts w:hint="eastAsia" w:ascii="宋体" w:hAnsi="宋体" w:cs="宋体"/>
          <w:bCs/>
          <w:szCs w:val="21"/>
        </w:rPr>
        <w:t>2.五险：中标人需按相关法律法规为服务人员缴纳社会保险；</w:t>
      </w:r>
    </w:p>
    <w:p>
      <w:pPr>
        <w:tabs>
          <w:tab w:val="left" w:pos="420"/>
        </w:tabs>
        <w:ind w:firstLine="420" w:firstLineChars="200"/>
        <w:rPr>
          <w:rFonts w:ascii="宋体" w:hAnsi="宋体" w:cs="宋体"/>
          <w:bCs/>
          <w:szCs w:val="21"/>
        </w:rPr>
      </w:pPr>
      <w:r>
        <w:rPr>
          <w:rFonts w:hint="eastAsia" w:ascii="宋体" w:hAnsi="宋体" w:cs="宋体"/>
          <w:bCs/>
          <w:szCs w:val="21"/>
        </w:rPr>
        <w:t>3.管理费及其他费用：涉及本项目的人员管理费用及其他费用（包括但不限于人员工资、社保、意外险、残疾人就业保障金等）。</w:t>
      </w:r>
    </w:p>
    <w:p>
      <w:pPr>
        <w:tabs>
          <w:tab w:val="left" w:pos="420"/>
        </w:tabs>
        <w:ind w:firstLine="420" w:firstLineChars="200"/>
        <w:rPr>
          <w:rFonts w:ascii="宋体" w:hAnsi="宋体" w:cs="宋体"/>
          <w:bCs/>
          <w:szCs w:val="21"/>
        </w:rPr>
      </w:pPr>
      <w:r>
        <w:rPr>
          <w:rFonts w:hint="eastAsia" w:ascii="宋体" w:hAnsi="宋体" w:cs="宋体"/>
          <w:bCs/>
          <w:szCs w:val="21"/>
        </w:rPr>
        <w:t>（二）服务人员具体工资项目根据实际业务服务在劳动合同内确定；</w:t>
      </w:r>
    </w:p>
    <w:p>
      <w:pPr>
        <w:tabs>
          <w:tab w:val="left" w:pos="426"/>
        </w:tabs>
        <w:ind w:firstLine="420" w:firstLineChars="200"/>
        <w:rPr>
          <w:rFonts w:ascii="宋体" w:hAnsi="宋体" w:cs="宋体"/>
          <w:bCs/>
          <w:szCs w:val="21"/>
        </w:rPr>
      </w:pPr>
      <w:r>
        <w:rPr>
          <w:rFonts w:hint="eastAsia" w:ascii="宋体" w:hAnsi="宋体" w:cs="宋体"/>
          <w:bCs/>
          <w:szCs w:val="21"/>
        </w:rPr>
        <w:t>（三）可根据实际情况调整项目费用或工资项目，由采购人与中标人协商执行。</w:t>
      </w:r>
    </w:p>
    <w:p/>
    <w:p>
      <w:pPr>
        <w:pStyle w:val="8"/>
      </w:pPr>
      <w:r>
        <w:rPr>
          <w:rFonts w:hint="eastAsia"/>
        </w:rPr>
        <w:t>六、违约责任</w:t>
      </w:r>
    </w:p>
    <w:p>
      <w:pPr>
        <w:tabs>
          <w:tab w:val="left" w:pos="420"/>
        </w:tabs>
        <w:ind w:firstLine="420" w:firstLineChars="200"/>
        <w:rPr>
          <w:rFonts w:ascii="宋体" w:hAnsi="宋体" w:cs="宋体"/>
          <w:bCs/>
          <w:szCs w:val="21"/>
        </w:rPr>
      </w:pPr>
      <w:r>
        <w:rPr>
          <w:rFonts w:hint="eastAsia" w:ascii="宋体" w:hAnsi="宋体" w:cs="宋体"/>
          <w:bCs/>
          <w:szCs w:val="21"/>
        </w:rPr>
        <w:t>1、未经采购人同意，中标人不得将承接项目发包或转包，否则，视为中标人违约，采购人可以上报监督管理部门后解除服务合同。</w:t>
      </w:r>
    </w:p>
    <w:p>
      <w:pPr>
        <w:tabs>
          <w:tab w:val="left" w:pos="420"/>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、未经采购人同意，中标人不得随意更换服务人员，否则，视为中标人违约，采购人可以上报监督管理部门后解除服务合同。</w:t>
      </w:r>
    </w:p>
    <w:p>
      <w:pPr>
        <w:tabs>
          <w:tab w:val="left" w:pos="420"/>
        </w:tabs>
        <w:ind w:firstLine="420" w:firstLineChars="200"/>
        <w:rPr>
          <w:rFonts w:ascii="宋体" w:hAnsi="宋体" w:cs="宋体"/>
          <w:bCs/>
          <w:szCs w:val="21"/>
        </w:rPr>
      </w:pPr>
      <w:r>
        <w:rPr>
          <w:rFonts w:ascii="宋体" w:hAnsi="宋体" w:cs="宋体"/>
          <w:bCs/>
          <w:szCs w:val="21"/>
        </w:rPr>
        <w:t>3</w:t>
      </w:r>
      <w:r>
        <w:rPr>
          <w:rFonts w:hint="eastAsia" w:ascii="宋体" w:hAnsi="宋体" w:cs="宋体"/>
          <w:bCs/>
          <w:szCs w:val="21"/>
        </w:rPr>
        <w:t>、由于中标人工作失误的原因，造成服务人员的经济损失，所产生的损失及后果由中标人承担。</w:t>
      </w:r>
    </w:p>
    <w:p>
      <w:pPr>
        <w:tabs>
          <w:tab w:val="left" w:pos="420"/>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、若中标人在签订合同并生效后30天内未能按采购人要求安排服务人员签合同，则视为中标人主动违约，采购人有权终止合同。</w:t>
      </w:r>
    </w:p>
    <w:p>
      <w:pPr>
        <w:tabs>
          <w:tab w:val="left" w:pos="420"/>
        </w:tabs>
        <w:ind w:firstLine="420" w:firstLineChars="200"/>
        <w:rPr>
          <w:rFonts w:ascii="宋体" w:hAnsi="宋体" w:cs="宋体"/>
          <w:bCs/>
          <w:szCs w:val="21"/>
        </w:rPr>
      </w:pPr>
      <w:r>
        <w:rPr>
          <w:rFonts w:ascii="宋体" w:hAnsi="宋体" w:cs="宋体"/>
          <w:bCs/>
          <w:szCs w:val="21"/>
        </w:rPr>
        <w:t>5</w:t>
      </w:r>
      <w:r>
        <w:rPr>
          <w:rFonts w:hint="eastAsia" w:ascii="宋体" w:hAnsi="宋体" w:cs="宋体"/>
          <w:bCs/>
          <w:szCs w:val="21"/>
        </w:rPr>
        <w:t>、若中标人在服务某阶段时期内违反其服务承诺或本招标文件的要求三次或以上，则视为中标人违约，采购人有权拒绝支付本期项目服务费。</w:t>
      </w:r>
    </w:p>
    <w:p/>
    <w:p>
      <w:pPr>
        <w:pStyle w:val="8"/>
      </w:pPr>
      <w:r>
        <w:rPr>
          <w:rFonts w:hint="eastAsia"/>
        </w:rPr>
        <w:t>七、对服务项目的监督和管理</w:t>
      </w:r>
    </w:p>
    <w:p>
      <w:pPr>
        <w:tabs>
          <w:tab w:val="left" w:pos="420"/>
        </w:tabs>
        <w:ind w:firstLine="420" w:firstLineChars="200"/>
        <w:rPr>
          <w:rFonts w:ascii="宋体" w:hAnsi="宋体" w:cs="宋体"/>
          <w:bCs/>
          <w:szCs w:val="21"/>
        </w:rPr>
      </w:pPr>
      <w:r>
        <w:rPr>
          <w:rFonts w:hint="eastAsia" w:ascii="宋体" w:hAnsi="宋体" w:cs="宋体"/>
          <w:bCs/>
          <w:szCs w:val="21"/>
        </w:rPr>
        <w:t>（一）各方职责：</w:t>
      </w:r>
    </w:p>
    <w:p>
      <w:pPr>
        <w:tabs>
          <w:tab w:val="left" w:pos="420"/>
        </w:tabs>
        <w:ind w:firstLine="420" w:firstLineChars="200"/>
        <w:rPr>
          <w:rFonts w:ascii="宋体" w:hAnsi="宋体" w:cs="宋体"/>
          <w:bCs/>
          <w:szCs w:val="21"/>
        </w:rPr>
      </w:pPr>
      <w:r>
        <w:rPr>
          <w:rFonts w:hint="eastAsia" w:ascii="宋体" w:hAnsi="宋体" w:cs="宋体"/>
          <w:bCs/>
          <w:szCs w:val="21"/>
        </w:rPr>
        <w:t>1、采购人为项目甲方角色，对中标人的服务实施活动进行全过程监督、检查和管理。负责项目的决策和总体监督，对项目的宏观的把握和整体推进。</w:t>
      </w:r>
    </w:p>
    <w:p>
      <w:pPr>
        <w:tabs>
          <w:tab w:val="left" w:pos="420"/>
        </w:tabs>
        <w:ind w:firstLine="420" w:firstLineChars="200"/>
        <w:rPr>
          <w:rFonts w:ascii="宋体" w:hAnsi="宋体" w:cs="宋体"/>
          <w:bCs/>
          <w:szCs w:val="21"/>
        </w:rPr>
      </w:pPr>
      <w:r>
        <w:rPr>
          <w:rFonts w:hint="eastAsia" w:ascii="宋体" w:hAnsi="宋体" w:cs="宋体"/>
          <w:bCs/>
          <w:szCs w:val="21"/>
        </w:rPr>
        <w:t>2、中标人为项目乙方角色，承担服务项目需求调研、具体的实施工作，受到采购人的监督和管理。</w:t>
      </w:r>
    </w:p>
    <w:p>
      <w:pPr>
        <w:tabs>
          <w:tab w:val="left" w:pos="420"/>
        </w:tabs>
        <w:ind w:firstLine="420" w:firstLineChars="200"/>
        <w:rPr>
          <w:rFonts w:ascii="宋体" w:hAnsi="宋体" w:cs="宋体"/>
          <w:bCs/>
          <w:szCs w:val="21"/>
        </w:rPr>
      </w:pPr>
      <w:r>
        <w:rPr>
          <w:rFonts w:hint="eastAsia" w:ascii="宋体" w:hAnsi="宋体" w:cs="宋体"/>
          <w:bCs/>
          <w:szCs w:val="21"/>
        </w:rPr>
        <w:t>（二）服务项目要求：中标人必须就采购人提供的全部内容和服务要求做出回应，提供切合该服务项目的整体解决方案，并在项目范围内完成指定的工作和负责解决全部的业务问题。中标人必须对采购人提出的有关问题和置疑作出实质性的回应。</w:t>
      </w:r>
    </w:p>
    <w:p/>
    <w:p>
      <w:pPr>
        <w:pStyle w:val="8"/>
      </w:pPr>
      <w:r>
        <w:rPr>
          <w:rFonts w:hint="eastAsia"/>
        </w:rPr>
        <w:t>八、采购人配合条件</w:t>
      </w:r>
    </w:p>
    <w:p>
      <w:pPr>
        <w:rPr>
          <w:rFonts w:ascii="宋体" w:hAnsi="宋体" w:cs="宋体"/>
          <w:bCs/>
          <w:szCs w:val="21"/>
        </w:rPr>
      </w:pPr>
      <w:r>
        <w:rPr>
          <w:rFonts w:hint="eastAsia" w:ascii="宋体" w:hAnsi="宋体" w:cs="宋体"/>
          <w:bCs/>
          <w:szCs w:val="21"/>
        </w:rPr>
        <w:t>投标人在投标文件中要列明在项目实施过程中要求采购人提供的配合条件。</w:t>
      </w:r>
    </w:p>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3"/>
      <w:bookmarkEnd w:id="184"/>
      <w:bookmarkEnd w:id="185"/>
      <w:bookmarkEnd w:id="186"/>
      <w:bookmarkStart w:id="191" w:name="_Toc12485"/>
      <w:bookmarkStart w:id="192" w:name="_Toc21448"/>
    </w:p>
    <w:p/>
    <w:p>
      <w:pPr>
        <w:pStyle w:val="2"/>
      </w:pPr>
    </w:p>
    <w:p/>
    <w:p>
      <w:pPr>
        <w:pStyle w:val="2"/>
      </w:pPr>
    </w:p>
    <w:p/>
    <w:p>
      <w:pPr>
        <w:pStyle w:val="2"/>
      </w:pPr>
    </w:p>
    <w:p/>
    <w:p>
      <w:pPr>
        <w:pStyle w:val="2"/>
      </w:pPr>
    </w:p>
    <w:p/>
    <w:p>
      <w:pPr>
        <w:pStyle w:val="2"/>
      </w:pPr>
    </w:p>
    <w:p/>
    <w:bookmarkEnd w:id="191"/>
    <w:bookmarkEnd w:id="192"/>
    <w:p>
      <w:pPr>
        <w:pStyle w:val="6"/>
        <w:spacing w:before="0" w:after="0" w:line="360" w:lineRule="auto"/>
        <w:rPr>
          <w:rFonts w:ascii="宋体" w:hAnsi="宋体" w:eastAsia="宋体" w:cs="宋体"/>
          <w:sz w:val="21"/>
          <w:szCs w:val="21"/>
        </w:rPr>
      </w:pPr>
      <w:bookmarkStart w:id="193" w:name="_Toc12014"/>
      <w:r>
        <w:rPr>
          <w:rFonts w:hint="eastAsia" w:ascii="宋体" w:hAnsi="宋体" w:eastAsia="宋体" w:cs="宋体"/>
          <w:sz w:val="21"/>
          <w:szCs w:val="21"/>
        </w:rPr>
        <w:t>第六部分 合同格式（仅供参考）</w:t>
      </w:r>
      <w:bookmarkEnd w:id="193"/>
      <w:bookmarkStart w:id="194" w:name="_Toc21155"/>
      <w:bookmarkStart w:id="195" w:name="_Toc13430"/>
      <w:bookmarkStart w:id="196" w:name="_Toc1534"/>
    </w:p>
    <w:p>
      <w:pPr>
        <w:pStyle w:val="7"/>
        <w:rPr>
          <w:rFonts w:ascii="宋体" w:hAnsi="宋体" w:cs="宋体"/>
          <w:sz w:val="21"/>
          <w:szCs w:val="21"/>
        </w:rPr>
      </w:pPr>
      <w:bookmarkStart w:id="197" w:name="_Toc16730"/>
      <w:bookmarkStart w:id="198" w:name="_Toc19575"/>
      <w:bookmarkStart w:id="199" w:name="_Toc8880"/>
      <w:r>
        <w:rPr>
          <w:rFonts w:hint="eastAsia" w:ascii="宋体" w:hAnsi="宋体" w:cs="宋体"/>
          <w:sz w:val="21"/>
          <w:szCs w:val="21"/>
        </w:rPr>
        <w:t>合同格式</w:t>
      </w:r>
      <w:bookmarkEnd w:id="194"/>
      <w:bookmarkEnd w:id="195"/>
      <w:bookmarkEnd w:id="196"/>
      <w:bookmarkEnd w:id="197"/>
      <w:bookmarkEnd w:id="198"/>
      <w:bookmarkEnd w:id="199"/>
    </w:p>
    <w:p>
      <w:pPr>
        <w:rPr>
          <w:rFonts w:ascii="宋体" w:hAnsi="宋体" w:cs="宋体"/>
          <w:b/>
          <w:szCs w:val="21"/>
        </w:rPr>
      </w:pPr>
    </w:p>
    <w:p>
      <w:pPr>
        <w:rPr>
          <w:rFonts w:ascii="宋体" w:hAnsi="宋体" w:cs="宋体"/>
          <w:b/>
          <w:szCs w:val="21"/>
        </w:rPr>
      </w:pPr>
      <w:r>
        <w:rPr>
          <w:rFonts w:hint="eastAsia" w:ascii="宋体" w:hAnsi="宋体" w:cs="宋体"/>
          <w:b/>
          <w:szCs w:val="21"/>
        </w:rPr>
        <w:t>甲方：广东省盐业集团东莞有限公司</w:t>
      </w:r>
    </w:p>
    <w:p>
      <w:pPr>
        <w:rPr>
          <w:rFonts w:ascii="宋体" w:hAnsi="宋体" w:cs="宋体"/>
          <w:b/>
          <w:szCs w:val="21"/>
        </w:rPr>
      </w:pPr>
      <w:r>
        <w:rPr>
          <w:rFonts w:hint="eastAsia" w:ascii="宋体" w:hAnsi="宋体" w:cs="宋体"/>
          <w:b/>
          <w:szCs w:val="21"/>
        </w:rPr>
        <w:t>地址：广东省东莞市莞城街道东城西路银月楼172号111室</w:t>
      </w:r>
    </w:p>
    <w:p>
      <w:pPr>
        <w:rPr>
          <w:rFonts w:ascii="宋体" w:hAnsi="宋体" w:cs="宋体"/>
          <w:b/>
          <w:szCs w:val="21"/>
        </w:rPr>
      </w:pPr>
      <w:r>
        <w:rPr>
          <w:rFonts w:hint="eastAsia" w:ascii="宋体" w:hAnsi="宋体" w:cs="宋体"/>
          <w:b/>
          <w:szCs w:val="21"/>
        </w:rPr>
        <w:t>法定代表人：</w:t>
      </w:r>
    </w:p>
    <w:p>
      <w:pPr>
        <w:rPr>
          <w:rFonts w:ascii="宋体" w:hAnsi="宋体" w:cs="宋体"/>
          <w:b/>
          <w:szCs w:val="21"/>
        </w:rPr>
      </w:pPr>
      <w:r>
        <w:rPr>
          <w:rFonts w:hint="eastAsia" w:ascii="宋体" w:hAnsi="宋体" w:cs="宋体"/>
          <w:b/>
          <w:szCs w:val="21"/>
        </w:rPr>
        <w:t>业务联系人：</w:t>
      </w:r>
    </w:p>
    <w:p>
      <w:pPr>
        <w:rPr>
          <w:rFonts w:ascii="宋体" w:hAnsi="宋体" w:cs="宋体"/>
          <w:b/>
          <w:szCs w:val="21"/>
        </w:rPr>
      </w:pPr>
      <w:r>
        <w:rPr>
          <w:rFonts w:hint="eastAsia" w:ascii="宋体" w:hAnsi="宋体" w:cs="宋体"/>
          <w:b/>
          <w:szCs w:val="21"/>
        </w:rPr>
        <w:t>联系方式：</w:t>
      </w:r>
    </w:p>
    <w:p>
      <w:pPr>
        <w:rPr>
          <w:rFonts w:ascii="宋体" w:hAnsi="宋体" w:cs="宋体"/>
          <w:b/>
          <w:szCs w:val="21"/>
        </w:rPr>
      </w:pPr>
    </w:p>
    <w:p>
      <w:pPr>
        <w:rPr>
          <w:rFonts w:ascii="宋体" w:hAnsi="宋体" w:cs="宋体"/>
          <w:b/>
          <w:szCs w:val="21"/>
        </w:rPr>
      </w:pPr>
      <w:r>
        <w:rPr>
          <w:rFonts w:hint="eastAsia" w:ascii="宋体" w:hAnsi="宋体" w:cs="宋体"/>
          <w:b/>
          <w:szCs w:val="21"/>
        </w:rPr>
        <w:t>乙方：</w:t>
      </w:r>
    </w:p>
    <w:p>
      <w:pPr>
        <w:rPr>
          <w:rFonts w:ascii="宋体" w:hAnsi="宋体" w:cs="宋体"/>
          <w:b/>
          <w:szCs w:val="21"/>
        </w:rPr>
      </w:pPr>
      <w:r>
        <w:rPr>
          <w:rFonts w:hint="eastAsia" w:ascii="宋体" w:hAnsi="宋体" w:cs="宋体"/>
          <w:b/>
          <w:szCs w:val="21"/>
        </w:rPr>
        <w:t>地址：</w:t>
      </w:r>
    </w:p>
    <w:p>
      <w:pPr>
        <w:rPr>
          <w:rFonts w:ascii="宋体" w:hAnsi="宋体" w:cs="宋体"/>
          <w:b/>
          <w:szCs w:val="21"/>
        </w:rPr>
      </w:pPr>
      <w:r>
        <w:rPr>
          <w:rFonts w:hint="eastAsia" w:ascii="宋体" w:hAnsi="宋体" w:cs="宋体"/>
          <w:b/>
          <w:szCs w:val="21"/>
        </w:rPr>
        <w:t>法定代表人：</w:t>
      </w:r>
    </w:p>
    <w:p>
      <w:pPr>
        <w:rPr>
          <w:rFonts w:ascii="宋体" w:hAnsi="宋体" w:cs="宋体"/>
          <w:b/>
          <w:szCs w:val="21"/>
        </w:rPr>
      </w:pPr>
      <w:r>
        <w:rPr>
          <w:rFonts w:hint="eastAsia" w:ascii="宋体" w:hAnsi="宋体" w:cs="宋体"/>
          <w:b/>
          <w:szCs w:val="21"/>
        </w:rPr>
        <w:t>业务联系人：</w:t>
      </w:r>
    </w:p>
    <w:p>
      <w:pPr>
        <w:rPr>
          <w:rFonts w:ascii="宋体" w:hAnsi="宋体" w:cs="宋体"/>
          <w:b/>
          <w:szCs w:val="21"/>
        </w:rPr>
      </w:pPr>
      <w:r>
        <w:rPr>
          <w:rFonts w:hint="eastAsia" w:ascii="宋体" w:hAnsi="宋体" w:cs="宋体"/>
          <w:b/>
          <w:szCs w:val="21"/>
        </w:rPr>
        <w:t>联系方式：</w:t>
      </w:r>
    </w:p>
    <w:p>
      <w:pPr>
        <w:rPr>
          <w:rFonts w:ascii="宋体" w:hAnsi="宋体" w:cs="宋体"/>
          <w:b/>
          <w:szCs w:val="21"/>
        </w:rPr>
      </w:pPr>
    </w:p>
    <w:p>
      <w:pPr>
        <w:ind w:firstLine="2951" w:firstLineChars="1400"/>
        <w:rPr>
          <w:rFonts w:ascii="宋体" w:hAnsi="宋体" w:cs="宋体"/>
          <w:b/>
          <w:szCs w:val="21"/>
        </w:rPr>
      </w:pPr>
      <w:r>
        <w:rPr>
          <w:rFonts w:hint="eastAsia" w:ascii="宋体" w:hAnsi="宋体" w:cs="宋体"/>
          <w:b/>
          <w:szCs w:val="21"/>
        </w:rPr>
        <w:t>第一章  总  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第一条</w:t>
      </w:r>
      <w:r>
        <w:rPr>
          <w:rFonts w:hint="eastAsia" w:ascii="宋体" w:hAnsi="宋体" w:cs="宋体"/>
          <w:sz w:val="21"/>
          <w:szCs w:val="21"/>
        </w:rPr>
        <w:t xml:space="preserve">  甲、乙双方本着友好合作、平等互惠、优势互补的原则，经友好协商，就甲方服务外包事宜，达成一致共同签署本合同，以资共同遵守。</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bCs/>
          <w:sz w:val="21"/>
          <w:szCs w:val="21"/>
        </w:rPr>
        <w:t xml:space="preserve">第二条  </w:t>
      </w:r>
      <w:r>
        <w:rPr>
          <w:rFonts w:hint="eastAsia" w:ascii="宋体" w:hAnsi="宋体" w:cs="宋体"/>
          <w:sz w:val="21"/>
          <w:szCs w:val="21"/>
        </w:rPr>
        <w:t>本协议所称的服务外包，是指甲方与乙方以签订合同的形式，将业务委托给乙方承担，乙方根据合同按甲方的要求完成工作，甲方与乙方建立合同关系，并向乙方支付服务外包费用。</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ind w:firstLine="2951" w:firstLineChars="1400"/>
        <w:rPr>
          <w:rFonts w:ascii="宋体" w:hAnsi="宋体" w:cs="宋体"/>
          <w:b/>
          <w:szCs w:val="21"/>
        </w:rPr>
      </w:pPr>
      <w:r>
        <w:rPr>
          <w:rFonts w:hint="eastAsia" w:ascii="宋体" w:hAnsi="宋体" w:cs="宋体"/>
          <w:b/>
          <w:szCs w:val="21"/>
        </w:rPr>
        <w:t>第二章  外包内容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第三条  </w:t>
      </w:r>
      <w:r>
        <w:rPr>
          <w:rFonts w:hint="eastAsia" w:ascii="宋体" w:hAnsi="宋体" w:cs="宋体"/>
          <w:sz w:val="21"/>
          <w:szCs w:val="21"/>
        </w:rPr>
        <w:t>甲方将以下服务项目外包给乙方：</w:t>
      </w:r>
    </w:p>
    <w:p>
      <w:pPr>
        <w:pStyle w:val="59"/>
        <w:tabs>
          <w:tab w:val="left" w:pos="0"/>
          <w:tab w:val="left" w:pos="405"/>
          <w:tab w:val="left" w:pos="567"/>
          <w:tab w:val="left" w:pos="601"/>
          <w:tab w:val="left" w:pos="1980"/>
        </w:tabs>
        <w:spacing w:line="360" w:lineRule="auto"/>
        <w:rPr>
          <w:rFonts w:ascii="宋体" w:hAnsi="宋体" w:cs="宋体"/>
          <w:kern w:val="10"/>
          <w:sz w:val="21"/>
          <w:szCs w:val="21"/>
        </w:rPr>
      </w:pPr>
      <w:r>
        <w:rPr>
          <w:rFonts w:hint="eastAsia" w:ascii="宋体" w:hAnsi="宋体" w:cs="宋体"/>
          <w:sz w:val="21"/>
          <w:szCs w:val="21"/>
        </w:rPr>
        <w:t>（一）项目隶属：甲方及甲方所属分支机构。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（二）项目名称：服务外包项目。</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（三）本服务外包项目工作地点：甲方及甲方所属分支机构。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（四）服务内容：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36"/>
        <w:gridCol w:w="907"/>
        <w:gridCol w:w="904"/>
        <w:gridCol w:w="992"/>
        <w:gridCol w:w="1560"/>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60" w:type="dxa"/>
            <w:vAlign w:val="center"/>
          </w:tcPr>
          <w:p>
            <w:pPr>
              <w:rPr>
                <w:rFonts w:ascii="宋体" w:hAnsi="宋体" w:cs="宋体"/>
                <w:b/>
                <w:szCs w:val="21"/>
              </w:rPr>
            </w:pPr>
            <w:r>
              <w:rPr>
                <w:rFonts w:hint="eastAsia" w:ascii="宋体" w:hAnsi="宋体" w:cs="宋体"/>
                <w:b/>
                <w:szCs w:val="21"/>
              </w:rPr>
              <w:t>服务地点</w:t>
            </w:r>
          </w:p>
        </w:tc>
        <w:tc>
          <w:tcPr>
            <w:tcW w:w="1843" w:type="dxa"/>
            <w:gridSpan w:val="2"/>
            <w:vAlign w:val="center"/>
          </w:tcPr>
          <w:p>
            <w:pPr>
              <w:rPr>
                <w:rFonts w:ascii="宋体" w:hAnsi="宋体" w:cs="宋体"/>
                <w:szCs w:val="21"/>
              </w:rPr>
            </w:pPr>
            <w:r>
              <w:rPr>
                <w:rFonts w:hint="eastAsia" w:ascii="宋体" w:hAnsi="宋体" w:cs="宋体"/>
                <w:szCs w:val="21"/>
              </w:rPr>
              <w:t>公司本部</w:t>
            </w:r>
          </w:p>
        </w:tc>
        <w:tc>
          <w:tcPr>
            <w:tcW w:w="5440" w:type="dxa"/>
            <w:gridSpan w:val="5"/>
            <w:vAlign w:val="center"/>
          </w:tcPr>
          <w:p>
            <w:pP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60" w:type="dxa"/>
            <w:vAlign w:val="center"/>
          </w:tcPr>
          <w:p>
            <w:pPr>
              <w:rPr>
                <w:rFonts w:ascii="宋体" w:hAnsi="宋体" w:cs="宋体"/>
                <w:b/>
                <w:szCs w:val="21"/>
              </w:rPr>
            </w:pPr>
            <w:r>
              <w:rPr>
                <w:rFonts w:hint="eastAsia" w:ascii="宋体" w:hAnsi="宋体" w:cs="宋体"/>
                <w:b/>
                <w:szCs w:val="21"/>
              </w:rPr>
              <w:t>服务项目</w:t>
            </w:r>
          </w:p>
        </w:tc>
        <w:tc>
          <w:tcPr>
            <w:tcW w:w="936" w:type="dxa"/>
            <w:vAlign w:val="center"/>
          </w:tcPr>
          <w:p>
            <w:pPr>
              <w:rPr>
                <w:rFonts w:ascii="宋体" w:hAnsi="宋体" w:cs="宋体"/>
                <w:szCs w:val="21"/>
              </w:rPr>
            </w:pPr>
            <w:r>
              <w:rPr>
                <w:rFonts w:hint="eastAsia" w:ascii="宋体" w:hAnsi="宋体" w:cs="宋体"/>
                <w:szCs w:val="21"/>
              </w:rPr>
              <w:t>饭堂后厨业务</w:t>
            </w:r>
          </w:p>
        </w:tc>
        <w:tc>
          <w:tcPr>
            <w:tcW w:w="907" w:type="dxa"/>
            <w:vAlign w:val="center"/>
          </w:tcPr>
          <w:p>
            <w:pPr>
              <w:rPr>
                <w:rFonts w:ascii="宋体" w:hAnsi="宋体" w:cs="宋体"/>
                <w:szCs w:val="21"/>
              </w:rPr>
            </w:pPr>
            <w:r>
              <w:rPr>
                <w:rFonts w:hint="eastAsia" w:ascii="宋体" w:hAnsi="宋体" w:cs="宋体"/>
                <w:szCs w:val="21"/>
              </w:rPr>
              <w:t>清洁业务</w:t>
            </w:r>
          </w:p>
        </w:tc>
        <w:tc>
          <w:tcPr>
            <w:tcW w:w="904" w:type="dxa"/>
            <w:vAlign w:val="center"/>
          </w:tcPr>
          <w:p>
            <w:pPr>
              <w:rPr>
                <w:rFonts w:ascii="宋体" w:hAnsi="宋体" w:cs="宋体"/>
                <w:szCs w:val="21"/>
              </w:rPr>
            </w:pPr>
            <w:r>
              <w:rPr>
                <w:rFonts w:hint="eastAsia" w:ascii="宋体" w:hAnsi="宋体" w:cs="宋体"/>
                <w:szCs w:val="21"/>
              </w:rPr>
              <w:t>电工业务</w:t>
            </w:r>
          </w:p>
        </w:tc>
        <w:tc>
          <w:tcPr>
            <w:tcW w:w="992" w:type="dxa"/>
            <w:vAlign w:val="center"/>
          </w:tcPr>
          <w:p>
            <w:pPr>
              <w:rPr>
                <w:rFonts w:ascii="宋体" w:hAnsi="宋体" w:cs="宋体"/>
                <w:szCs w:val="21"/>
              </w:rPr>
            </w:pPr>
            <w:r>
              <w:rPr>
                <w:rFonts w:hint="eastAsia" w:ascii="宋体" w:hAnsi="宋体" w:cs="宋体"/>
                <w:szCs w:val="21"/>
              </w:rPr>
              <w:t>叉车业务</w:t>
            </w:r>
          </w:p>
        </w:tc>
        <w:tc>
          <w:tcPr>
            <w:tcW w:w="1560" w:type="dxa"/>
            <w:vAlign w:val="center"/>
          </w:tcPr>
          <w:p>
            <w:pPr>
              <w:rPr>
                <w:rFonts w:ascii="宋体" w:hAnsi="宋体" w:cs="宋体"/>
                <w:szCs w:val="21"/>
              </w:rPr>
            </w:pPr>
            <w:r>
              <w:rPr>
                <w:rFonts w:hint="eastAsia" w:ascii="宋体" w:hAnsi="宋体" w:cs="宋体"/>
                <w:szCs w:val="21"/>
              </w:rPr>
              <w:t>仓库后勤业务</w:t>
            </w:r>
          </w:p>
        </w:tc>
        <w:tc>
          <w:tcPr>
            <w:tcW w:w="992" w:type="dxa"/>
            <w:vAlign w:val="center"/>
          </w:tcPr>
          <w:p>
            <w:pPr>
              <w:rPr>
                <w:rFonts w:ascii="宋体" w:hAnsi="宋体" w:cs="宋体"/>
                <w:szCs w:val="21"/>
              </w:rPr>
            </w:pPr>
            <w:r>
              <w:rPr>
                <w:rFonts w:hint="eastAsia" w:ascii="宋体" w:hAnsi="宋体" w:cs="宋体"/>
                <w:szCs w:val="21"/>
              </w:rPr>
              <w:t>配送业务</w:t>
            </w:r>
          </w:p>
        </w:tc>
        <w:tc>
          <w:tcPr>
            <w:tcW w:w="992" w:type="dxa"/>
            <w:vAlign w:val="center"/>
          </w:tcPr>
          <w:p>
            <w:pPr>
              <w:rPr>
                <w:rFonts w:ascii="宋体" w:hAnsi="宋体" w:cs="宋体"/>
                <w:szCs w:val="21"/>
              </w:rPr>
            </w:pPr>
            <w:r>
              <w:rPr>
                <w:rFonts w:hint="eastAsia" w:ascii="宋体" w:hAnsi="宋体" w:cs="宋体"/>
                <w:szCs w:val="21"/>
              </w:rPr>
              <w:t>打码业务</w:t>
            </w:r>
          </w:p>
        </w:tc>
      </w:tr>
    </w:tbl>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第四条  </w:t>
      </w:r>
      <w:r>
        <w:rPr>
          <w:rFonts w:hint="eastAsia" w:ascii="宋体" w:hAnsi="宋体" w:cs="宋体"/>
          <w:sz w:val="21"/>
          <w:szCs w:val="21"/>
        </w:rPr>
        <w:t>甲方负责提供场地、设备、设施和工具，并承担项目和日常运作费用，包括但不限于水电费等。</w:t>
      </w:r>
    </w:p>
    <w:p>
      <w:pPr>
        <w:pStyle w:val="59"/>
        <w:tabs>
          <w:tab w:val="left" w:pos="0"/>
          <w:tab w:val="left" w:pos="405"/>
          <w:tab w:val="left" w:pos="567"/>
          <w:tab w:val="left" w:pos="601"/>
          <w:tab w:val="left" w:pos="1980"/>
        </w:tabs>
        <w:spacing w:line="360" w:lineRule="auto"/>
        <w:ind w:left="126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第三章  协议期限</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第五条</w:t>
      </w:r>
      <w:r>
        <w:rPr>
          <w:rFonts w:hint="eastAsia" w:ascii="宋体" w:hAnsi="宋体" w:cs="宋体"/>
          <w:sz w:val="21"/>
          <w:szCs w:val="21"/>
        </w:rPr>
        <w:t xml:space="preserve">  本协议期限为</w:t>
      </w:r>
      <w:r>
        <w:rPr>
          <w:rFonts w:hint="eastAsia" w:ascii="宋体" w:hAnsi="宋体" w:cs="宋体"/>
          <w:sz w:val="21"/>
          <w:szCs w:val="21"/>
          <w:u w:val="single"/>
        </w:rPr>
        <w:t xml:space="preserve">    </w:t>
      </w:r>
      <w:r>
        <w:rPr>
          <w:rFonts w:hint="eastAsia" w:ascii="宋体" w:hAnsi="宋体" w:cs="宋体"/>
          <w:sz w:val="21"/>
          <w:szCs w:val="21"/>
        </w:rPr>
        <w:t>年，从</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 xml:space="preserve"> 月</w:t>
      </w:r>
      <w:r>
        <w:rPr>
          <w:rFonts w:hint="eastAsia" w:ascii="宋体" w:hAnsi="宋体" w:cs="宋体"/>
          <w:sz w:val="21"/>
          <w:szCs w:val="21"/>
          <w:u w:val="single"/>
        </w:rPr>
        <w:t xml:space="preserve">   </w:t>
      </w:r>
      <w:r>
        <w:rPr>
          <w:rFonts w:hint="eastAsia" w:ascii="宋体" w:hAnsi="宋体" w:cs="宋体"/>
          <w:sz w:val="21"/>
          <w:szCs w:val="21"/>
        </w:rPr>
        <w:t>日至</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月</w:t>
      </w:r>
      <w:r>
        <w:rPr>
          <w:rFonts w:hint="eastAsia" w:ascii="宋体" w:hAnsi="宋体" w:cs="宋体"/>
          <w:sz w:val="21"/>
          <w:szCs w:val="21"/>
          <w:u w:val="single"/>
        </w:rPr>
        <w:t xml:space="preserve">    </w:t>
      </w:r>
      <w:r>
        <w:rPr>
          <w:rFonts w:hint="eastAsia" w:ascii="宋体" w:hAnsi="宋体" w:cs="宋体"/>
          <w:sz w:val="21"/>
          <w:szCs w:val="21"/>
        </w:rPr>
        <w:t xml:space="preserve"> 止。本合同规定的履行期限届满，若乙方服务价格无变动，甲乙双方经过协商确认后，本合同可再延期一年。</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第四章  权利和义务</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第六条  </w:t>
      </w:r>
      <w:r>
        <w:rPr>
          <w:rFonts w:hint="eastAsia" w:ascii="宋体" w:hAnsi="宋体" w:cs="宋体"/>
          <w:sz w:val="21"/>
          <w:szCs w:val="21"/>
        </w:rPr>
        <w:t>甲方的权利：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甲方有权根据外包项目的工作需要制订相应的服务规范、考评办法；甲方有权要求乙方遵照甲方的服务规范和本协议的约定为甲方提供服务。甲方根据相关业务的考核方案，按月对乙方的服务质量进行考核。</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（二）甲方对外包业务享有监督权，对乙方可以进行相关的必要和适当的工作指导，并要求乙方对服务外包服务中的不完善之处进行改正。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（三）甲方有权要求乙方提供乙方参与本项目人员的从业资料。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（四）甲方认为乙方有任何违反或可能违反本协议的行为，甲方有权提出书面意见要求乙方限期整改。乙方应在收到甲方的书面意见后10个工作日内，以书面形式将其整改的结果或整改措施回复甲方。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第七条</w:t>
      </w:r>
      <w:r>
        <w:rPr>
          <w:rFonts w:hint="eastAsia" w:ascii="宋体" w:hAnsi="宋体" w:cs="宋体"/>
          <w:sz w:val="21"/>
          <w:szCs w:val="21"/>
        </w:rPr>
        <w:t xml:space="preserve">  甲方的义务：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（一）在外包服务实施过程中，甲方应为乙方提供必要的技术支持与工作指导，配合乙方履行职责。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在服务外包实施过程中，甲方应为乙方提供外包业务所需的场所和设备，提供必要的工作条件、劳动安全生产条件和必要的劳动保护用品；对外包业务所需的设施、设备定期进行维护和安全检查，保证设施设备的安全运转。在外包业务经营期间乙方若要扩大场地或更新设备的，需提前向甲方申请，经甲方相关部门核准后，由甲方负责解决或购买。设备损坏、遗失的维修和补充费用由甲方承担，但乙方人员对设备损坏、遗失存在过错的，乙方应追偿相关人员承担相应的赔偿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（三）甲方负责配送业务、叉车业务中的正常车辆费用。</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（四）甲方不得将本合同的内容向甲乙双方以外的、与签订和履行本合同无关的任何第三方透露，不得泄露乙方的商业秘密（包括本合同及其附件和合同签订前的各项方案）。</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（五）本协议期满前两个月，甲乙双方应就本协议续签或终止合作事宜进行沟通并确定方案，妥善安排相关工作。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（六）甲方应按本协议约定及时足额向乙方支付服务外包费用。</w:t>
      </w:r>
    </w:p>
    <w:p>
      <w:pPr>
        <w:pStyle w:val="59"/>
        <w:tabs>
          <w:tab w:val="left" w:pos="0"/>
          <w:tab w:val="left" w:pos="405"/>
          <w:tab w:val="left" w:pos="567"/>
          <w:tab w:val="left" w:pos="601"/>
          <w:tab w:val="left" w:pos="1980"/>
        </w:tabs>
        <w:spacing w:line="360" w:lineRule="auto"/>
        <w:ind w:left="1260" w:firstLine="1476" w:firstLineChars="700"/>
        <w:rPr>
          <w:rFonts w:ascii="宋体" w:hAnsi="宋体" w:cs="宋体"/>
          <w:sz w:val="21"/>
          <w:szCs w:val="21"/>
        </w:rPr>
      </w:pPr>
      <w:r>
        <w:rPr>
          <w:rFonts w:hint="eastAsia" w:ascii="宋体" w:hAnsi="宋体" w:cs="宋体"/>
          <w:b/>
          <w:sz w:val="21"/>
          <w:szCs w:val="21"/>
        </w:rPr>
        <w:t>第八条</w:t>
      </w:r>
      <w:r>
        <w:rPr>
          <w:rFonts w:hint="eastAsia" w:ascii="宋体" w:hAnsi="宋体" w:cs="宋体"/>
          <w:sz w:val="21"/>
          <w:szCs w:val="21"/>
        </w:rPr>
        <w:t xml:space="preserve">  乙方的权利：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（一）乙方有权按本协议约定按时足额获取服务外包费用。</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（二）乙方对外包业务和参与本项目人员享有自主管理权，包括但不限于对整体项目的日常管理、指定项目日常管理人员等。</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（三）乙方有权督促甲方为乙方提供必要的、符合有关规定的工作场所、工作条件及各项劳动安全生产条件，充分重视和保护乙方依法享有的合法权益。</w:t>
      </w:r>
    </w:p>
    <w:p>
      <w:pPr>
        <w:pStyle w:val="59"/>
        <w:tabs>
          <w:tab w:val="left" w:pos="0"/>
          <w:tab w:val="left" w:pos="405"/>
          <w:tab w:val="left" w:pos="567"/>
          <w:tab w:val="left" w:pos="601"/>
          <w:tab w:val="left" w:pos="1980"/>
        </w:tabs>
        <w:spacing w:line="360" w:lineRule="auto"/>
        <w:ind w:left="1260" w:firstLine="1474" w:firstLineChars="699"/>
        <w:rPr>
          <w:rFonts w:ascii="宋体" w:hAnsi="宋体" w:cs="宋体"/>
          <w:sz w:val="21"/>
          <w:szCs w:val="21"/>
        </w:rPr>
      </w:pPr>
      <w:r>
        <w:rPr>
          <w:rFonts w:hint="eastAsia" w:ascii="宋体" w:hAnsi="宋体" w:cs="宋体"/>
          <w:b/>
          <w:sz w:val="21"/>
          <w:szCs w:val="21"/>
        </w:rPr>
        <w:t>第九条</w:t>
      </w:r>
      <w:r>
        <w:rPr>
          <w:rFonts w:hint="eastAsia" w:ascii="宋体" w:hAnsi="宋体" w:cs="宋体"/>
          <w:sz w:val="21"/>
          <w:szCs w:val="21"/>
        </w:rPr>
        <w:t xml:space="preserve">  乙方的义务：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（一）乙方必须是具有合法、合规的法人及经营资格，及时办理工商登记和税务登记的公司。</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乙方应当严格按照本合同约定和甲方确定的服务要求开展外包业务，并接受甲方的定期考核。在外包业务开展过程中，未经甲方许可，乙方不得影响甲方其他业务的开展，不得进行与外包服务内容无关的工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（三）乙方派出的从事所承接业务的人员必须具有相应的资质，包括但不限于以下资质，从事叉车服务的应有叉车证，从事电工服务的应有电工证，从事配送服务的应具有B2以上驾照和货车驾驶员从业资格证。</w:t>
      </w:r>
    </w:p>
    <w:p>
      <w:pPr>
        <w:rPr>
          <w:rFonts w:ascii="宋体" w:hAnsi="宋体" w:cs="宋体"/>
          <w:szCs w:val="21"/>
        </w:rPr>
      </w:pPr>
      <w:r>
        <w:rPr>
          <w:rFonts w:hint="eastAsia" w:ascii="宋体" w:hAnsi="宋体" w:cs="宋体"/>
          <w:szCs w:val="21"/>
        </w:rPr>
        <w:t>（四）乙方应成立项目服务团队，设立相应的项目运营或管理岗位，以保证项目的正常有序进行。乙方服务团队的费用由乙方承担。</w:t>
      </w:r>
    </w:p>
    <w:p>
      <w:pPr>
        <w:rPr>
          <w:rFonts w:ascii="宋体" w:hAnsi="宋体" w:cs="宋体"/>
          <w:szCs w:val="21"/>
        </w:rPr>
      </w:pPr>
      <w:r>
        <w:rPr>
          <w:rFonts w:hint="eastAsia" w:ascii="宋体" w:hAnsi="宋体" w:cs="宋体"/>
          <w:szCs w:val="21"/>
        </w:rPr>
        <w:t>（五）乙方有义务按照甲方的外包服务要求，参照甲方关于外包业务的相关规章制度和工作场地各项管理规定，结合乙方关于该外包项目的管理思路，制定相应的规章制度（包括但不限于工作时间、工作要求、工作完成标准等）予以规范，以加强管理。</w:t>
      </w:r>
    </w:p>
    <w:p>
      <w:pPr>
        <w:rPr>
          <w:rFonts w:ascii="宋体" w:hAnsi="宋体" w:cs="宋体"/>
          <w:szCs w:val="21"/>
        </w:rPr>
      </w:pPr>
      <w:r>
        <w:rPr>
          <w:rFonts w:hint="eastAsia" w:ascii="宋体" w:hAnsi="宋体" w:cs="宋体"/>
          <w:szCs w:val="21"/>
        </w:rPr>
        <w:t>（六）乙方派驻甲方工作人员需按照甲方单位规章制度开展工作，如违反规定，甲方将视情节严重程度进行处罚；乙方派驻甲方工作人员应维护甲方所提供的办公场地及相关资产。</w:t>
      </w:r>
    </w:p>
    <w:p>
      <w:pPr>
        <w:rPr>
          <w:rFonts w:ascii="宋体" w:hAnsi="宋体" w:cs="宋体"/>
          <w:szCs w:val="21"/>
        </w:rPr>
      </w:pPr>
      <w:r>
        <w:rPr>
          <w:rFonts w:hint="eastAsia" w:ascii="宋体" w:hAnsi="宋体" w:cs="宋体"/>
          <w:szCs w:val="21"/>
        </w:rPr>
        <w:t>（七）乙方向其派驻人员履行用人单位对劳动者的全部义务，因派驻人员原因导致的甲方损失由乙方承担。</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八）在配送业务中履行过程中，如发生意外，包括但不限于乙方所派出的人员发生人身意外、甲方发生财产及其它损失、造成第三方损失，经鉴定为车辆问题导致的，由甲方负责；经鉴定为乙方派出人员因素导致的，由乙方负责追偿相关责任人员。</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（九）乙方须接受甲方对外包服务的质量检查，并对甲方提出的服务质量改进建议予以及时响应和整改。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（十）乙方需签署《安全生产协议书》。</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（十一）如甲方需要，乙方有义务向甲方提供乙方参与本项目人员有关从业资料。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（十二）乙方从甲方领取的工作工具、设备和其他物品，由甲方负责登记管理，在乙方服务期结束时，由乙方负责协助收回交还甲方。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（十三）乙方应定期向甲方通报外包项目的相关事项，并如发生突发性事件，乙方应及时向甲方通报。</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（十四）乙方应当以自身的技术和劳动力完成外包业务的主要工作，未经甲方许可，乙方不得将外包业务转包、变相转包或分包。</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五）乙方应当与为甲方提供外包服务的人员签订书面劳动合同，根据国家和地方规定为服务人员缴纳养老保险、失业保险、医疗保险、工伤保险和生育保险等法定社会保险。乙方应尽力避免与提供外包服务人员产生劳动争议，以免影响甲方相关外包业务的开展。</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六）甲方及时支付服务费用的，乙方应及时发放外包服务人员的劳动报酬及其他福利，对符合工伤条件的应及时提供工伤待遇。乙方服务人员因工或非因工发生伤亡事故的，乙方承担伤亡事故或损害事故的法定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（十七）乙方应当维护与参与本项目人员的劳资关系，因乙方与参与本项目人员产生纠纷对甲方工作产生影响造成损失的由乙方负责。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八）乙方不得以任何形式向他人提供或泄露甲方的商业秘密和本合同的内容及其相关附件，对甲方各类客户的资料、业务数据等应按照甲方相关文件及工作要求执行保密工作，乙方在提供服务期间获悉的甲方信息，乙方负有保密义务。</w:t>
      </w:r>
    </w:p>
    <w:p>
      <w:pPr>
        <w:pStyle w:val="59"/>
        <w:tabs>
          <w:tab w:val="left" w:pos="0"/>
          <w:tab w:val="left" w:pos="405"/>
          <w:tab w:val="left" w:pos="567"/>
          <w:tab w:val="left" w:pos="601"/>
          <w:tab w:val="left" w:pos="1980"/>
        </w:tabs>
        <w:spacing w:line="360" w:lineRule="auto"/>
        <w:ind w:left="126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476" w:firstLineChars="700"/>
        <w:rPr>
          <w:rFonts w:ascii="宋体" w:hAnsi="宋体" w:cs="宋体"/>
          <w:b/>
          <w:sz w:val="21"/>
          <w:szCs w:val="21"/>
        </w:rPr>
      </w:pPr>
      <w:r>
        <w:rPr>
          <w:rFonts w:hint="eastAsia" w:ascii="宋体" w:hAnsi="宋体" w:cs="宋体"/>
          <w:b/>
          <w:sz w:val="21"/>
          <w:szCs w:val="21"/>
        </w:rPr>
        <w:t>第五章 服务外包服务的管理</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第十条 </w:t>
      </w:r>
      <w:r>
        <w:rPr>
          <w:rFonts w:hint="eastAsia" w:ascii="宋体" w:hAnsi="宋体" w:cs="宋体"/>
          <w:sz w:val="21"/>
          <w:szCs w:val="21"/>
        </w:rPr>
        <w:t>乙方派驻人员在甲方工作期间发生工伤事故、非因工负伤等情形时，甲方应第一时间通知乙方并及时协助乙方安排救治工作，由乙方按照国家和地方有关规定办理相关手续，甲方给予相关协助。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第十一条 </w:t>
      </w:r>
      <w:r>
        <w:rPr>
          <w:rFonts w:hint="eastAsia" w:ascii="宋体" w:hAnsi="宋体" w:cs="宋体"/>
          <w:sz w:val="21"/>
          <w:szCs w:val="21"/>
        </w:rPr>
        <w:t>在本合同有效期内，甲方因自身原因决定缩减或增加业务服务项目的，甲方应至少提前一个月通知乙方。乙方按要求提供相应服务。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第十二条 </w:t>
      </w:r>
      <w:r>
        <w:rPr>
          <w:rFonts w:hint="eastAsia" w:ascii="宋体" w:hAnsi="宋体" w:cs="宋体"/>
          <w:sz w:val="21"/>
          <w:szCs w:val="21"/>
        </w:rPr>
        <w:t>甲方根据委托给乙方的外包服务的特殊性，要求乙方提供“不间断服务”，即在正常休息或请假期间由乙方安排替班人员进行替班服务，进而保证甲方外包服务的连续性。</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第十三条 </w:t>
      </w:r>
      <w:r>
        <w:rPr>
          <w:rFonts w:hint="eastAsia" w:ascii="宋体" w:hAnsi="宋体" w:cs="宋体"/>
          <w:sz w:val="21"/>
          <w:szCs w:val="21"/>
        </w:rPr>
        <w:t>本合同中规定的服务外包项目根据甲方需求的时间进行，甲方需启动或暂停项目时，应提前一个月告知乙方，由乙方妥善安排工作。</w:t>
      </w: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r>
        <w:rPr>
          <w:rFonts w:hint="eastAsia" w:ascii="宋体" w:hAnsi="宋体" w:cs="宋体"/>
          <w:b/>
          <w:sz w:val="21"/>
          <w:szCs w:val="21"/>
        </w:rPr>
        <w:t>第六章 服务外包费用与结算</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第十四条</w:t>
      </w:r>
      <w:r>
        <w:rPr>
          <w:rFonts w:hint="eastAsia" w:ascii="宋体" w:hAnsi="宋体" w:cs="宋体"/>
          <w:sz w:val="21"/>
          <w:szCs w:val="21"/>
        </w:rPr>
        <w:t xml:space="preserve">  外包服务费标准：</w:t>
      </w:r>
    </w:p>
    <w:p>
      <w:pPr>
        <w:pStyle w:val="59"/>
        <w:numPr>
          <w:ilvl w:val="0"/>
          <w:numId w:val="11"/>
        </w:numPr>
        <w:tabs>
          <w:tab w:val="left" w:pos="0"/>
          <w:tab w:val="left" w:pos="405"/>
          <w:tab w:val="left" w:pos="567"/>
          <w:tab w:val="left" w:pos="601"/>
          <w:tab w:val="left" w:pos="1980"/>
        </w:tabs>
        <w:spacing w:line="360" w:lineRule="auto"/>
        <w:ind w:left="1260"/>
        <w:rPr>
          <w:rFonts w:ascii="宋体" w:hAnsi="宋体" w:cs="宋体"/>
          <w:b/>
          <w:sz w:val="21"/>
          <w:szCs w:val="21"/>
        </w:rPr>
      </w:pPr>
      <w:r>
        <w:rPr>
          <w:rFonts w:hint="eastAsia" w:ascii="宋体" w:hAnsi="宋体" w:cs="宋体"/>
          <w:b/>
          <w:sz w:val="21"/>
          <w:szCs w:val="21"/>
        </w:rPr>
        <w:t>配送业务</w:t>
      </w:r>
    </w:p>
    <w:tbl>
      <w:tblPr>
        <w:tblStyle w:val="23"/>
        <w:tblW w:w="0" w:type="auto"/>
        <w:tblInd w:w="108" w:type="dxa"/>
        <w:tblLayout w:type="fixed"/>
        <w:tblCellMar>
          <w:top w:w="0" w:type="dxa"/>
          <w:left w:w="108" w:type="dxa"/>
          <w:bottom w:w="0" w:type="dxa"/>
          <w:right w:w="108" w:type="dxa"/>
        </w:tblCellMar>
      </w:tblPr>
      <w:tblGrid>
        <w:gridCol w:w="1560"/>
        <w:gridCol w:w="1701"/>
        <w:gridCol w:w="283"/>
        <w:gridCol w:w="1701"/>
        <w:gridCol w:w="1843"/>
        <w:gridCol w:w="2126"/>
      </w:tblGrid>
      <w:tr>
        <w:tblPrEx>
          <w:tblCellMar>
            <w:top w:w="0" w:type="dxa"/>
            <w:left w:w="108" w:type="dxa"/>
            <w:bottom w:w="0" w:type="dxa"/>
            <w:right w:w="108" w:type="dxa"/>
          </w:tblCellMar>
        </w:tblPrEx>
        <w:trPr>
          <w:trHeight w:val="420" w:hRule="atLeast"/>
        </w:trPr>
        <w:tc>
          <w:tcPr>
            <w:tcW w:w="1560"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车辆</w:t>
            </w:r>
          </w:p>
        </w:tc>
        <w:tc>
          <w:tcPr>
            <w:tcW w:w="1701"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A区</w:t>
            </w:r>
          </w:p>
        </w:tc>
        <w:tc>
          <w:tcPr>
            <w:tcW w:w="1984" w:type="dxa"/>
            <w:gridSpan w:val="2"/>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B区</w:t>
            </w:r>
          </w:p>
        </w:tc>
        <w:tc>
          <w:tcPr>
            <w:tcW w:w="1843"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C区</w:t>
            </w:r>
          </w:p>
        </w:tc>
        <w:tc>
          <w:tcPr>
            <w:tcW w:w="2126"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外市</w:t>
            </w:r>
          </w:p>
        </w:tc>
      </w:tr>
      <w:tr>
        <w:tblPrEx>
          <w:tblCellMar>
            <w:top w:w="0" w:type="dxa"/>
            <w:left w:w="108" w:type="dxa"/>
            <w:bottom w:w="0" w:type="dxa"/>
            <w:right w:w="108" w:type="dxa"/>
          </w:tblCellMar>
        </w:tblPrEx>
        <w:trPr>
          <w:trHeight w:val="5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p>
        </w:tc>
        <w:tc>
          <w:tcPr>
            <w:tcW w:w="1701"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1984" w:type="dxa"/>
            <w:gridSpan w:val="2"/>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1843"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2126"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r>
      <w:tr>
        <w:tblPrEx>
          <w:tblCellMar>
            <w:top w:w="0" w:type="dxa"/>
            <w:left w:w="108" w:type="dxa"/>
            <w:bottom w:w="0" w:type="dxa"/>
            <w:right w:w="108" w:type="dxa"/>
          </w:tblCellMar>
        </w:tblPrEx>
        <w:trPr>
          <w:trHeight w:val="500"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4吨车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5吨车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8吨车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10吨车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13吨车</w:t>
            </w:r>
          </w:p>
        </w:tc>
        <w:tc>
          <w:tcPr>
            <w:tcW w:w="1701"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1843"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2126"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420" w:hRule="atLeast"/>
        </w:trPr>
        <w:tc>
          <w:tcPr>
            <w:tcW w:w="9214" w:type="dxa"/>
            <w:gridSpan w:val="6"/>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szCs w:val="21"/>
              </w:rPr>
            </w:pPr>
            <w:r>
              <w:rPr>
                <w:rFonts w:hint="eastAsia" w:ascii="宋体" w:hAnsi="宋体" w:cs="宋体"/>
                <w:b/>
                <w:bCs/>
                <w:szCs w:val="21"/>
              </w:rPr>
              <w:t>配送区域说明：</w:t>
            </w:r>
          </w:p>
          <w:p>
            <w:pPr>
              <w:rPr>
                <w:rFonts w:ascii="宋体" w:hAnsi="宋体" w:cs="宋体"/>
                <w:bCs/>
                <w:szCs w:val="21"/>
              </w:rPr>
            </w:pPr>
            <w:r>
              <w:rPr>
                <w:rFonts w:hint="eastAsia" w:ascii="宋体" w:hAnsi="宋体" w:cs="宋体"/>
                <w:bCs/>
                <w:szCs w:val="21"/>
              </w:rPr>
              <w:t>A区配送区域为东坑、横沥、茶山、寮步、石龙、企石、石排、石碣、高埗、常平、大朗、松山湖、桥头</w:t>
            </w:r>
          </w:p>
          <w:p>
            <w:pPr>
              <w:rPr>
                <w:rFonts w:ascii="宋体" w:hAnsi="宋体" w:cs="宋体"/>
                <w:bCs/>
                <w:szCs w:val="21"/>
              </w:rPr>
            </w:pPr>
            <w:r>
              <w:rPr>
                <w:rFonts w:hint="eastAsia" w:ascii="宋体" w:hAnsi="宋体" w:cs="宋体"/>
                <w:bCs/>
                <w:szCs w:val="21"/>
              </w:rPr>
              <w:t>B区配送区域为中堂、大岭山、东城、万江、莞城、南城、望牛墩</w:t>
            </w:r>
          </w:p>
          <w:p>
            <w:pPr>
              <w:rPr>
                <w:rFonts w:ascii="宋体" w:hAnsi="宋体" w:cs="宋体"/>
                <w:bCs/>
                <w:szCs w:val="21"/>
              </w:rPr>
            </w:pPr>
            <w:r>
              <w:rPr>
                <w:rFonts w:hint="eastAsia" w:ascii="宋体" w:hAnsi="宋体" w:cs="宋体"/>
                <w:bCs/>
                <w:szCs w:val="21"/>
              </w:rPr>
              <w:t>C区配送区域为道滘、厚街、樟木头、洪梅、谢岗、黄江、清溪、凤岗、虎门、长安、沙田、麻涌、塘厦</w:t>
            </w:r>
          </w:p>
        </w:tc>
      </w:tr>
      <w:tr>
        <w:trPr>
          <w:trHeight w:val="420"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零担配送</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价格（元/件）</w:t>
            </w:r>
          </w:p>
        </w:tc>
      </w:tr>
      <w:tr>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小包装</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大包装</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bl>
    <w:p>
      <w:pPr>
        <w:pStyle w:val="59"/>
        <w:tabs>
          <w:tab w:val="left" w:pos="0"/>
          <w:tab w:val="left" w:pos="405"/>
          <w:tab w:val="left" w:pos="567"/>
          <w:tab w:val="left" w:pos="601"/>
          <w:tab w:val="left" w:pos="1980"/>
        </w:tabs>
        <w:spacing w:line="360" w:lineRule="auto"/>
        <w:ind w:left="1260" w:firstLine="207" w:firstLineChars="98"/>
        <w:rPr>
          <w:rFonts w:ascii="宋体" w:hAnsi="宋体" w:cs="宋体"/>
          <w:b/>
          <w:sz w:val="21"/>
          <w:szCs w:val="21"/>
        </w:rPr>
      </w:pPr>
      <w:r>
        <w:rPr>
          <w:rFonts w:hint="eastAsia" w:ascii="宋体" w:hAnsi="宋体" w:cs="宋体"/>
          <w:b/>
          <w:sz w:val="21"/>
          <w:szCs w:val="21"/>
        </w:rPr>
        <w:t>（二）其它业务</w:t>
      </w:r>
    </w:p>
    <w:tbl>
      <w:tblPr>
        <w:tblStyle w:val="23"/>
        <w:tblW w:w="0" w:type="auto"/>
        <w:tblInd w:w="108" w:type="dxa"/>
        <w:tblLayout w:type="fixed"/>
        <w:tblCellMar>
          <w:top w:w="0" w:type="dxa"/>
          <w:left w:w="108" w:type="dxa"/>
          <w:bottom w:w="0" w:type="dxa"/>
          <w:right w:w="108" w:type="dxa"/>
        </w:tblCellMar>
      </w:tblPr>
      <w:tblGrid>
        <w:gridCol w:w="3544"/>
        <w:gridCol w:w="5670"/>
      </w:tblGrid>
      <w:tr>
        <w:tblPrEx>
          <w:tblCellMar>
            <w:top w:w="0" w:type="dxa"/>
            <w:left w:w="108" w:type="dxa"/>
            <w:bottom w:w="0" w:type="dxa"/>
            <w:right w:w="108" w:type="dxa"/>
          </w:tblCellMar>
        </w:tblPrEx>
        <w:trPr>
          <w:trHeight w:val="270" w:hRule="atLeast"/>
        </w:trPr>
        <w:tc>
          <w:tcPr>
            <w:tcW w:w="354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其它业务</w:t>
            </w:r>
          </w:p>
        </w:tc>
        <w:tc>
          <w:tcPr>
            <w:tcW w:w="5670" w:type="dxa"/>
            <w:tcBorders>
              <w:top w:val="single" w:color="auto" w:sz="4" w:space="0"/>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价格（元/年）</w:t>
            </w: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仓库后勤业务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叉车业务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电工业务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打码业务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饭堂后厨业务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清洁业务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bl>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第十五条</w:t>
      </w:r>
      <w:r>
        <w:rPr>
          <w:rFonts w:hint="eastAsia" w:ascii="宋体" w:hAnsi="宋体" w:cs="宋体"/>
          <w:sz w:val="21"/>
          <w:szCs w:val="21"/>
        </w:rPr>
        <w:t xml:space="preserve">  本项目的服务外包费用包含乙方提供服务所应支付的全部费用，以月为单位结算，结算方式为银行转账，并由乙方开具增值税专用发票；配送业务服务费用按当月具体配送量进行核算，其它业务按实际发生金额核算。</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第十六条 </w:t>
      </w:r>
      <w:r>
        <w:rPr>
          <w:rFonts w:hint="eastAsia" w:ascii="宋体" w:hAnsi="宋体" w:cs="宋体"/>
          <w:sz w:val="21"/>
          <w:szCs w:val="21"/>
        </w:rPr>
        <w:t>乙方开具合规的增值税专用发票，按发票金额结算。</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第十七条 </w:t>
      </w:r>
      <w:r>
        <w:rPr>
          <w:rFonts w:hint="eastAsia" w:ascii="宋体" w:hAnsi="宋体" w:cs="宋体"/>
          <w:sz w:val="21"/>
          <w:szCs w:val="21"/>
        </w:rPr>
        <w:t>付款方式及时间进度：乙方于每月</w:t>
      </w:r>
      <w:r>
        <w:rPr>
          <w:rFonts w:hint="eastAsia" w:ascii="宋体" w:hAnsi="宋体" w:cs="宋体"/>
          <w:sz w:val="21"/>
          <w:szCs w:val="21"/>
          <w:u w:val="single"/>
        </w:rPr>
        <w:t xml:space="preserve">   </w:t>
      </w:r>
      <w:r>
        <w:rPr>
          <w:rFonts w:hint="eastAsia" w:ascii="宋体" w:hAnsi="宋体" w:cs="宋体"/>
          <w:sz w:val="21"/>
          <w:szCs w:val="21"/>
        </w:rPr>
        <w:t>日前，将甲乙双方核对无误的上月费用账单和发票提交给甲方，甲方在收到乙方发票后</w:t>
      </w:r>
      <w:r>
        <w:rPr>
          <w:rFonts w:hint="eastAsia" w:ascii="宋体" w:hAnsi="宋体" w:cs="宋体"/>
          <w:sz w:val="21"/>
          <w:szCs w:val="21"/>
          <w:u w:val="single"/>
        </w:rPr>
        <w:t xml:space="preserve">   </w:t>
      </w:r>
      <w:r>
        <w:rPr>
          <w:rFonts w:hint="eastAsia" w:ascii="宋体" w:hAnsi="宋体" w:cs="宋体"/>
          <w:sz w:val="21"/>
          <w:szCs w:val="21"/>
        </w:rPr>
        <w:t>个工作日内将该费用转入乙方指定的银行账号内。</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乙方账户信息：</w:t>
      </w:r>
    </w:p>
    <w:p>
      <w:pPr>
        <w:autoSpaceDE w:val="0"/>
        <w:autoSpaceDN w:val="0"/>
        <w:ind w:firstLine="420" w:firstLineChars="200"/>
        <w:rPr>
          <w:rFonts w:ascii="宋体" w:hAnsi="宋体" w:cs="宋体"/>
          <w:szCs w:val="21"/>
        </w:rPr>
      </w:pPr>
      <w:r>
        <w:rPr>
          <w:rFonts w:hint="eastAsia" w:ascii="宋体" w:hAnsi="宋体" w:cs="宋体"/>
          <w:szCs w:val="21"/>
          <w:lang w:val="zh-CN"/>
        </w:rPr>
        <w:t>开户名称：</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开户银行：</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银行账号：</w:t>
      </w:r>
    </w:p>
    <w:p>
      <w:pPr>
        <w:autoSpaceDE w:val="0"/>
        <w:autoSpaceDN w:val="0"/>
        <w:ind w:firstLine="420" w:firstLineChars="200"/>
        <w:rPr>
          <w:rFonts w:ascii="宋体" w:hAnsi="宋体" w:cs="宋体"/>
          <w:szCs w:val="21"/>
          <w:lang w:val="zh-CN"/>
        </w:rPr>
      </w:pPr>
    </w:p>
    <w:p>
      <w:pPr>
        <w:autoSpaceDE w:val="0"/>
        <w:autoSpaceDN w:val="0"/>
        <w:rPr>
          <w:rFonts w:ascii="宋体" w:hAnsi="宋体" w:cs="宋体"/>
          <w:b/>
          <w:szCs w:val="21"/>
        </w:rPr>
      </w:pPr>
      <w:r>
        <w:rPr>
          <w:rFonts w:hint="eastAsia" w:ascii="宋体" w:hAnsi="宋体" w:cs="宋体"/>
          <w:b/>
          <w:szCs w:val="21"/>
        </w:rPr>
        <w:t>第七章 合同履约保证金</w:t>
      </w:r>
    </w:p>
    <w:p>
      <w:pPr>
        <w:autoSpaceDE w:val="0"/>
        <w:autoSpaceDN w:val="0"/>
        <w:rPr>
          <w:rFonts w:ascii="宋体" w:hAnsi="宋体" w:cs="宋体"/>
          <w:szCs w:val="21"/>
          <w:lang w:val="zh-CN"/>
        </w:rPr>
      </w:pPr>
      <w:r>
        <w:rPr>
          <w:rFonts w:hint="eastAsia" w:ascii="宋体" w:hAnsi="宋体" w:cs="宋体"/>
          <w:b/>
          <w:szCs w:val="21"/>
        </w:rPr>
        <w:t xml:space="preserve">第十八条  </w:t>
      </w:r>
      <w:r>
        <w:rPr>
          <w:rFonts w:hint="eastAsia" w:ascii="宋体" w:hAnsi="宋体" w:cs="宋体"/>
          <w:szCs w:val="21"/>
        </w:rPr>
        <w:t>乙方同意在签署合同后5个工作日内，向甲方一次性交纳合同履约保证金人民币：叁万元整（</w:t>
      </w:r>
      <w:r>
        <w:rPr>
          <w:rFonts w:hint="eastAsia" w:ascii="宋体" w:hAnsi="宋体" w:cs="宋体"/>
          <w:szCs w:val="21"/>
          <w:u w:val="single"/>
        </w:rPr>
        <w:t>¥30,000.00</w:t>
      </w:r>
      <w:r>
        <w:rPr>
          <w:rFonts w:hint="eastAsia" w:ascii="宋体" w:hAnsi="宋体" w:cs="宋体"/>
          <w:szCs w:val="21"/>
        </w:rPr>
        <w:t>）。该合同履约保证金不计息。如乙方在履行合同过程中不存在违约行为、没有造成甲方损失的，甲方在合同期满或终止后 20个工作日内无息退还乙方。如因乙方违约导致甲方终止本合同、乙方违约终止本合同或乙方违约造成甲方损失的，乙方交付的合同履约保证金不予退还。如履约保证金不足以赔付全部损失的，乙方还应当就差额部分继续承担赔偿责任。</w:t>
      </w:r>
    </w:p>
    <w:p>
      <w:pPr>
        <w:autoSpaceDE w:val="0"/>
        <w:autoSpaceDN w:val="0"/>
        <w:ind w:firstLine="420" w:firstLineChars="200"/>
        <w:rPr>
          <w:rFonts w:ascii="宋体" w:hAnsi="宋体" w:cs="宋体"/>
          <w:szCs w:val="21"/>
          <w:lang w:val="zh-CN"/>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第八章  违约责任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第十九条</w:t>
      </w:r>
      <w:r>
        <w:rPr>
          <w:rFonts w:hint="eastAsia" w:ascii="宋体" w:hAnsi="宋体" w:cs="宋体"/>
          <w:sz w:val="21"/>
          <w:szCs w:val="21"/>
        </w:rPr>
        <w:t xml:space="preserve">  甲、乙双方任何一方违反或擅自变更本协议的约定，应当承担由此给对方造成的经济损失和相关责任。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第二十条</w:t>
      </w:r>
      <w:r>
        <w:rPr>
          <w:rFonts w:hint="eastAsia" w:ascii="宋体" w:hAnsi="宋体" w:cs="宋体"/>
          <w:sz w:val="21"/>
          <w:szCs w:val="21"/>
        </w:rPr>
        <w:t xml:space="preserve">  因甲方原因不能按协议规定的时间及时支付服务费用的，除继续履行支付义务外，应按每日1‰的比例向乙方支付拖欠部分的违约金。</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第二十一条</w:t>
      </w:r>
      <w:r>
        <w:rPr>
          <w:rFonts w:hint="eastAsia" w:ascii="宋体" w:hAnsi="宋体" w:cs="宋体"/>
          <w:sz w:val="21"/>
          <w:szCs w:val="21"/>
        </w:rPr>
        <w:t xml:space="preserve">  若乙方没有严格按照本协议或双方签订的其他补充协议的约定开展外包业务造成甲方损失的，依据责任认定，为乙方或乙方派出人员因素导致的，乙方应当承担相应的违约责任，根据甲方实际损失扣除相应部分的履约保证金。</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054" w:firstLineChars="500"/>
        <w:rPr>
          <w:rFonts w:ascii="宋体" w:hAnsi="宋体" w:cs="宋体"/>
          <w:b/>
          <w:sz w:val="21"/>
          <w:szCs w:val="21"/>
        </w:rPr>
      </w:pPr>
      <w:r>
        <w:rPr>
          <w:rFonts w:hint="eastAsia" w:ascii="宋体" w:hAnsi="宋体" w:cs="宋体"/>
          <w:b/>
          <w:sz w:val="21"/>
          <w:szCs w:val="21"/>
        </w:rPr>
        <w:t>第九章  合同的变更、解除和终止</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第二十二条</w:t>
      </w:r>
      <w:r>
        <w:rPr>
          <w:rFonts w:hint="eastAsia" w:ascii="宋体" w:hAnsi="宋体" w:cs="宋体"/>
          <w:sz w:val="21"/>
          <w:szCs w:val="21"/>
        </w:rPr>
        <w:t xml:space="preserve">  甲、乙双方有一方有正当理由要求变更本合同的，须提前一个月以书面形式通知对方并协商解决，达成一致后双方应签署变更协议或补充协议，变更协议或补充协议与本合同具有同等效力。</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第二十三条</w:t>
      </w:r>
      <w:r>
        <w:rPr>
          <w:rFonts w:hint="eastAsia" w:ascii="宋体" w:hAnsi="宋体" w:cs="宋体"/>
          <w:sz w:val="21"/>
          <w:szCs w:val="21"/>
        </w:rPr>
        <w:t xml:space="preserve">  本合同在履行中，如国家或当地政府新颁布了有关法律、法规和规定，应以新颁布的规定为准。新颁布的有关法律、法规和规定与本合同条款发生矛盾时，甲乙双方须就合同条款进行协商达成变更，任何一方不得拒绝变更合同条款。</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第二十四条</w:t>
      </w:r>
      <w:r>
        <w:rPr>
          <w:rFonts w:hint="eastAsia" w:ascii="宋体" w:hAnsi="宋体" w:cs="宋体"/>
          <w:sz w:val="21"/>
          <w:szCs w:val="21"/>
        </w:rPr>
        <w:t xml:space="preserve">  乙方有下列情形之一的，甲方有权单方面解除本合同：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（一）乙方无正当理由未按照要求完成外包服务工作的。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（二）经考核，乙方提供的服务3次不达标的。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第二十五条</w:t>
      </w:r>
      <w:r>
        <w:rPr>
          <w:rFonts w:hint="eastAsia" w:ascii="宋体" w:hAnsi="宋体" w:cs="宋体"/>
          <w:sz w:val="21"/>
          <w:szCs w:val="21"/>
        </w:rPr>
        <w:t xml:space="preserve">  甲方有下列情形之一的，乙方有权单方面解除本协议：</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（一）甲方拖欠乙方外包服务费用30日（含30日）以上，且经乙方书面催告，在15个工作日内无正当理由仍不履行的。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（二）甲方违反国家有关法律法规的，或者提供的工作条件、安全卫生条件恶劣，严重危害乙方权益的。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第二十六条</w:t>
      </w:r>
      <w:r>
        <w:rPr>
          <w:rFonts w:hint="eastAsia" w:ascii="宋体" w:hAnsi="宋体" w:cs="宋体"/>
          <w:sz w:val="21"/>
          <w:szCs w:val="21"/>
        </w:rPr>
        <w:t xml:space="preserve">  本合同期满双方不再续约或者因一方违约导致本合同无法履行，则本合同终止。但合同的终止不得损害第三方的利益，双方应为此做出合理安排。</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第十章  附  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第二十七条</w:t>
      </w:r>
      <w:r>
        <w:rPr>
          <w:rFonts w:hint="eastAsia" w:ascii="宋体" w:hAnsi="宋体" w:cs="宋体"/>
          <w:sz w:val="21"/>
          <w:szCs w:val="21"/>
        </w:rPr>
        <w:t xml:space="preserve">  本合同未尽事宜或与国家有关法律、法规、规定相悖的，均按国家有关法律、法规、规定执行。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第二十八条</w:t>
      </w:r>
      <w:r>
        <w:rPr>
          <w:rFonts w:hint="eastAsia" w:ascii="宋体" w:hAnsi="宋体" w:cs="宋体"/>
          <w:sz w:val="21"/>
          <w:szCs w:val="21"/>
        </w:rPr>
        <w:t xml:space="preserve">  任何一方就对方针对本合同项下任何条款的违约行为的自动弃权或重复性弃权不应被视为是对下一次针对同一条款的违约行为或针对其它条款的违约行为的弃权。</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第二十九条</w:t>
      </w:r>
      <w:r>
        <w:rPr>
          <w:rFonts w:hint="eastAsia" w:ascii="宋体" w:hAnsi="宋体" w:cs="宋体"/>
          <w:sz w:val="21"/>
          <w:szCs w:val="21"/>
        </w:rPr>
        <w:t xml:space="preserve">  本合同中涉及的所有“通知”、“同意”、“确认”等事项均应以书面形式做出，并作为依据。双方确认与本合同履行有关而发出的所有书面通知或其他通讯，或者因争议解决由司法裁判机关发出的法律文书，均以本合同开头确定的通讯地址为准。送达有关文书时，如采用EMS邮寄送达的方式，发生收件人拒绝签收或其他无法送达情形的，则从发件人寄出文书之日起3日即视为已经送达。任何一方的通讯地址发生变化的，应书面通知对方，否则，应自行承担由此造成的一切法律后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第三十条</w:t>
      </w:r>
      <w:r>
        <w:rPr>
          <w:rFonts w:hint="eastAsia" w:ascii="宋体" w:hAnsi="宋体" w:cs="宋体"/>
          <w:sz w:val="21"/>
          <w:szCs w:val="21"/>
        </w:rPr>
        <w:t xml:space="preserve"> 甲、乙双方因执行本合同发生的一切争议，双方应首先友好协商解决。经协商不能解决，可向甲方所在地人民法院提起诉讼。在诉讼期间，除必须在诉讼过程中进行解决的问题外，合同其余部分应继续履行。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第三十一条</w:t>
      </w:r>
      <w:r>
        <w:rPr>
          <w:rFonts w:hint="eastAsia" w:ascii="宋体" w:hAnsi="宋体" w:cs="宋体"/>
          <w:sz w:val="21"/>
          <w:szCs w:val="21"/>
        </w:rPr>
        <w:t xml:space="preserve">  本合同有关附件及补充协议是本合同不可分割的组成部分，与本合同具有同等法律效力；本合同未尽事宜，双方另行协商并签署补充协议，作为本合同的附件，具有同等法律效力。</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第三十二条</w:t>
      </w:r>
      <w:r>
        <w:rPr>
          <w:rFonts w:hint="eastAsia" w:ascii="宋体" w:hAnsi="宋体" w:cs="宋体"/>
          <w:sz w:val="21"/>
          <w:szCs w:val="21"/>
        </w:rPr>
        <w:t xml:space="preserve">  本合同一式贰份，自双方授权代表人签字并加盖单位公章之日起生效。甲乙双方各执壹份，具有同等法律效力。</w:t>
      </w: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r>
        <w:rPr>
          <w:rFonts w:hint="eastAsia" w:ascii="宋体" w:hAnsi="宋体" w:cs="宋体"/>
          <w:b/>
          <w:szCs w:val="21"/>
        </w:rPr>
        <w:t>甲方（盖章）：</w:t>
      </w:r>
    </w:p>
    <w:p>
      <w:pPr>
        <w:rPr>
          <w:rFonts w:ascii="宋体" w:hAnsi="宋体" w:cs="宋体"/>
          <w:b/>
          <w:szCs w:val="21"/>
        </w:rPr>
      </w:pPr>
    </w:p>
    <w:p>
      <w:pPr>
        <w:rPr>
          <w:rFonts w:ascii="宋体" w:hAnsi="宋体" w:cs="宋体"/>
          <w:b/>
          <w:szCs w:val="21"/>
        </w:rPr>
      </w:pPr>
      <w:r>
        <w:rPr>
          <w:rFonts w:hint="eastAsia" w:ascii="宋体" w:hAnsi="宋体" w:cs="宋体"/>
          <w:b/>
          <w:szCs w:val="21"/>
        </w:rPr>
        <w:t xml:space="preserve">法定代表人（签字）： </w:t>
      </w:r>
    </w:p>
    <w:p>
      <w:pPr>
        <w:rPr>
          <w:rFonts w:ascii="宋体" w:hAnsi="宋体" w:cs="宋体"/>
          <w:b/>
          <w:szCs w:val="21"/>
        </w:rPr>
      </w:pPr>
    </w:p>
    <w:p>
      <w:pPr>
        <w:rPr>
          <w:rFonts w:ascii="宋体" w:hAnsi="宋体" w:cs="宋体"/>
          <w:b/>
          <w:szCs w:val="21"/>
        </w:rPr>
      </w:pPr>
      <w:r>
        <w:rPr>
          <w:rFonts w:hint="eastAsia" w:ascii="宋体" w:hAnsi="宋体" w:cs="宋体"/>
          <w:b/>
          <w:szCs w:val="21"/>
        </w:rPr>
        <w:t>签订日期：</w:t>
      </w:r>
    </w:p>
    <w:p>
      <w:pPr>
        <w:rPr>
          <w:rFonts w:ascii="宋体" w:hAnsi="宋体" w:cs="宋体"/>
          <w:b/>
          <w:szCs w:val="21"/>
        </w:rPr>
      </w:pPr>
    </w:p>
    <w:p>
      <w:pPr>
        <w:rPr>
          <w:rFonts w:ascii="宋体" w:hAnsi="宋体" w:cs="宋体"/>
          <w:b/>
          <w:szCs w:val="21"/>
        </w:rPr>
      </w:pPr>
      <w:r>
        <w:rPr>
          <w:rFonts w:hint="eastAsia" w:ascii="宋体" w:hAnsi="宋体" w:cs="宋体"/>
          <w:b/>
          <w:szCs w:val="21"/>
        </w:rPr>
        <w:t>乙方（盖章）：</w:t>
      </w: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r>
        <w:rPr>
          <w:rFonts w:hint="eastAsia" w:ascii="宋体" w:hAnsi="宋体" w:cs="宋体"/>
          <w:b/>
          <w:kern w:val="2"/>
          <w:sz w:val="21"/>
          <w:szCs w:val="21"/>
        </w:rPr>
        <w:t xml:space="preserve">法定代表人（签字）： </w:t>
      </w: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p>
    <w:p>
      <w:pPr>
        <w:rPr>
          <w:rFonts w:ascii="宋体" w:hAnsi="宋体" w:cs="宋体"/>
          <w:szCs w:val="21"/>
        </w:rPr>
      </w:pPr>
      <w:r>
        <w:rPr>
          <w:rFonts w:hint="eastAsia" w:ascii="宋体" w:hAnsi="宋体" w:cs="宋体"/>
          <w:b/>
          <w:kern w:val="2"/>
          <w:szCs w:val="21"/>
        </w:rPr>
        <w:t>签订日期：</w:t>
      </w:r>
    </w:p>
    <w:p>
      <w:pPr>
        <w:rPr>
          <w:rFonts w:ascii="宋体" w:hAnsi="宋体" w:cs="宋体"/>
          <w:b/>
          <w:bCs/>
          <w:sz w:val="24"/>
          <w:szCs w:val="24"/>
        </w:rPr>
      </w:pPr>
    </w:p>
    <w:p>
      <w:pPr>
        <w:jc w:val="center"/>
        <w:rPr>
          <w:rFonts w:ascii="宋体" w:hAnsi="宋体" w:cs="宋体"/>
          <w:b/>
          <w:bCs/>
          <w:sz w:val="24"/>
          <w:szCs w:val="24"/>
        </w:rPr>
      </w:pPr>
    </w:p>
    <w:p>
      <w:pPr>
        <w:jc w:val="center"/>
        <w:rPr>
          <w:rFonts w:ascii="宋体" w:hAnsi="宋体" w:cs="宋体"/>
          <w:b/>
          <w:bCs/>
          <w:sz w:val="24"/>
          <w:szCs w:val="24"/>
        </w:rPr>
      </w:pPr>
      <w:r>
        <w:rPr>
          <w:rFonts w:hint="eastAsia" w:ascii="宋体" w:hAnsi="宋体" w:cs="宋体"/>
          <w:b/>
          <w:bCs/>
          <w:sz w:val="24"/>
          <w:szCs w:val="24"/>
        </w:rPr>
        <w:t>服务外包服务内容</w:t>
      </w:r>
    </w:p>
    <w:p>
      <w:pPr>
        <w:rPr>
          <w:rFonts w:ascii="宋体" w:hAnsi="宋体" w:cs="宋体"/>
          <w:szCs w:val="21"/>
        </w:rPr>
      </w:pPr>
      <w:r>
        <w:rPr>
          <w:rFonts w:hint="eastAsia" w:ascii="宋体" w:hAnsi="宋体" w:cs="宋体"/>
          <w:szCs w:val="21"/>
        </w:rPr>
        <w:t xml:space="preserve">    服务场所：广东省盐业集团东莞有限公司本部位于东莞市莞城街道东城西路172号111,办公区域面积约为700平方米；配送中心位于茶山镇南塘路1</w:t>
      </w:r>
      <w:r>
        <w:rPr>
          <w:rFonts w:ascii="宋体" w:hAnsi="宋体" w:cs="宋体"/>
          <w:szCs w:val="21"/>
        </w:rPr>
        <w:t>5</w:t>
      </w:r>
      <w:r>
        <w:rPr>
          <w:rFonts w:hint="eastAsia" w:ascii="宋体" w:hAnsi="宋体" w:cs="宋体"/>
          <w:szCs w:val="21"/>
        </w:rPr>
        <w:t>号，办公区域、仓库面积等合计约为5169平方米。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36"/>
        <w:gridCol w:w="996"/>
        <w:gridCol w:w="992"/>
        <w:gridCol w:w="992"/>
        <w:gridCol w:w="1418"/>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84" w:type="dxa"/>
            <w:vAlign w:val="center"/>
          </w:tcPr>
          <w:p>
            <w:pPr>
              <w:jc w:val="center"/>
              <w:rPr>
                <w:rFonts w:ascii="宋体" w:hAnsi="宋体" w:cs="宋体"/>
                <w:b/>
                <w:szCs w:val="21"/>
              </w:rPr>
            </w:pPr>
            <w:r>
              <w:rPr>
                <w:rFonts w:hint="eastAsia" w:ascii="宋体" w:hAnsi="宋体" w:cs="宋体"/>
                <w:b/>
                <w:szCs w:val="21"/>
              </w:rPr>
              <w:t>服务地点</w:t>
            </w:r>
          </w:p>
        </w:tc>
        <w:tc>
          <w:tcPr>
            <w:tcW w:w="1932" w:type="dxa"/>
            <w:gridSpan w:val="2"/>
            <w:vAlign w:val="center"/>
          </w:tcPr>
          <w:p>
            <w:pPr>
              <w:jc w:val="center"/>
              <w:rPr>
                <w:rFonts w:ascii="宋体" w:hAnsi="宋体" w:cs="宋体"/>
                <w:szCs w:val="21"/>
              </w:rPr>
            </w:pPr>
            <w:r>
              <w:rPr>
                <w:rFonts w:hint="eastAsia" w:ascii="宋体" w:hAnsi="宋体" w:cs="宋体"/>
                <w:szCs w:val="21"/>
              </w:rPr>
              <w:t>公司本部</w:t>
            </w:r>
          </w:p>
        </w:tc>
        <w:tc>
          <w:tcPr>
            <w:tcW w:w="5245" w:type="dxa"/>
            <w:gridSpan w:val="5"/>
            <w:vAlign w:val="center"/>
          </w:tcPr>
          <w:p>
            <w:pPr>
              <w:jc w:val="cente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84" w:type="dxa"/>
            <w:vAlign w:val="center"/>
          </w:tcPr>
          <w:p>
            <w:pPr>
              <w:jc w:val="center"/>
              <w:rPr>
                <w:rFonts w:ascii="宋体" w:hAnsi="宋体" w:cs="宋体"/>
                <w:b/>
                <w:szCs w:val="21"/>
              </w:rPr>
            </w:pPr>
            <w:r>
              <w:rPr>
                <w:rFonts w:hint="eastAsia" w:ascii="宋体" w:hAnsi="宋体" w:cs="宋体"/>
                <w:b/>
                <w:szCs w:val="21"/>
              </w:rPr>
              <w:t>服务项目</w:t>
            </w:r>
          </w:p>
        </w:tc>
        <w:tc>
          <w:tcPr>
            <w:tcW w:w="936" w:type="dxa"/>
            <w:vAlign w:val="center"/>
          </w:tcPr>
          <w:p>
            <w:pPr>
              <w:jc w:val="center"/>
              <w:rPr>
                <w:rFonts w:ascii="宋体" w:hAnsi="宋体" w:cs="宋体"/>
                <w:szCs w:val="21"/>
              </w:rPr>
            </w:pPr>
            <w:r>
              <w:rPr>
                <w:rFonts w:hint="eastAsia" w:ascii="宋体" w:hAnsi="宋体" w:cs="宋体"/>
                <w:szCs w:val="21"/>
              </w:rPr>
              <w:t>厨房业务</w:t>
            </w:r>
          </w:p>
        </w:tc>
        <w:tc>
          <w:tcPr>
            <w:tcW w:w="996" w:type="dxa"/>
            <w:vAlign w:val="center"/>
          </w:tcPr>
          <w:p>
            <w:pPr>
              <w:jc w:val="center"/>
              <w:rPr>
                <w:rFonts w:ascii="宋体" w:hAnsi="宋体" w:cs="宋体"/>
                <w:szCs w:val="21"/>
              </w:rPr>
            </w:pPr>
            <w:r>
              <w:rPr>
                <w:rFonts w:hint="eastAsia" w:ascii="宋体" w:hAnsi="宋体" w:cs="宋体"/>
                <w:szCs w:val="21"/>
              </w:rPr>
              <w:t>清洁业务</w:t>
            </w:r>
          </w:p>
        </w:tc>
        <w:tc>
          <w:tcPr>
            <w:tcW w:w="992" w:type="dxa"/>
            <w:vAlign w:val="center"/>
          </w:tcPr>
          <w:p>
            <w:pPr>
              <w:jc w:val="center"/>
              <w:rPr>
                <w:rFonts w:ascii="宋体" w:hAnsi="宋体" w:cs="宋体"/>
                <w:szCs w:val="21"/>
              </w:rPr>
            </w:pPr>
            <w:r>
              <w:rPr>
                <w:rFonts w:hint="eastAsia" w:ascii="宋体" w:hAnsi="宋体" w:cs="宋体"/>
                <w:szCs w:val="21"/>
              </w:rPr>
              <w:t>电工业务</w:t>
            </w:r>
          </w:p>
        </w:tc>
        <w:tc>
          <w:tcPr>
            <w:tcW w:w="992" w:type="dxa"/>
            <w:vAlign w:val="center"/>
          </w:tcPr>
          <w:p>
            <w:pPr>
              <w:jc w:val="center"/>
              <w:rPr>
                <w:rFonts w:ascii="宋体" w:hAnsi="宋体" w:cs="宋体"/>
                <w:szCs w:val="21"/>
              </w:rPr>
            </w:pPr>
            <w:r>
              <w:rPr>
                <w:rFonts w:hint="eastAsia" w:ascii="宋体" w:hAnsi="宋体" w:cs="宋体"/>
                <w:szCs w:val="21"/>
              </w:rPr>
              <w:t>叉车业务</w:t>
            </w:r>
          </w:p>
        </w:tc>
        <w:tc>
          <w:tcPr>
            <w:tcW w:w="1418" w:type="dxa"/>
            <w:vAlign w:val="center"/>
          </w:tcPr>
          <w:p>
            <w:pPr>
              <w:jc w:val="center"/>
              <w:rPr>
                <w:rFonts w:ascii="宋体" w:hAnsi="宋体" w:cs="宋体"/>
                <w:szCs w:val="21"/>
              </w:rPr>
            </w:pPr>
            <w:r>
              <w:rPr>
                <w:rFonts w:hint="eastAsia" w:ascii="宋体" w:hAnsi="宋体" w:cs="宋体"/>
                <w:szCs w:val="21"/>
              </w:rPr>
              <w:t>仓库后勤业务</w:t>
            </w:r>
          </w:p>
        </w:tc>
        <w:tc>
          <w:tcPr>
            <w:tcW w:w="850" w:type="dxa"/>
            <w:vAlign w:val="center"/>
          </w:tcPr>
          <w:p>
            <w:pPr>
              <w:jc w:val="center"/>
              <w:rPr>
                <w:rFonts w:ascii="宋体" w:hAnsi="宋体" w:cs="宋体"/>
                <w:szCs w:val="21"/>
              </w:rPr>
            </w:pPr>
            <w:r>
              <w:rPr>
                <w:rFonts w:hint="eastAsia" w:ascii="宋体" w:hAnsi="宋体" w:cs="宋体"/>
                <w:szCs w:val="21"/>
              </w:rPr>
              <w:t>配送业务</w:t>
            </w:r>
          </w:p>
        </w:tc>
        <w:tc>
          <w:tcPr>
            <w:tcW w:w="993" w:type="dxa"/>
            <w:vAlign w:val="center"/>
          </w:tcPr>
          <w:p>
            <w:pPr>
              <w:jc w:val="center"/>
              <w:rPr>
                <w:rFonts w:ascii="宋体" w:hAnsi="宋体" w:cs="宋体"/>
                <w:szCs w:val="21"/>
              </w:rPr>
            </w:pPr>
            <w:r>
              <w:rPr>
                <w:rFonts w:hint="eastAsia" w:ascii="宋体" w:hAnsi="宋体" w:cs="宋体"/>
                <w:szCs w:val="21"/>
              </w:rPr>
              <w:t>打码业务</w:t>
            </w:r>
          </w:p>
        </w:tc>
      </w:tr>
    </w:tbl>
    <w:p>
      <w:pPr>
        <w:rPr>
          <w:rFonts w:ascii="宋体" w:hAnsi="宋体" w:cs="宋体"/>
          <w:b/>
          <w:szCs w:val="21"/>
        </w:rPr>
      </w:pPr>
      <w:r>
        <w:rPr>
          <w:rFonts w:hint="eastAsia" w:ascii="宋体" w:hAnsi="宋体" w:cs="宋体"/>
          <w:b/>
          <w:szCs w:val="21"/>
        </w:rPr>
        <w:t>A、公司本部</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（1）厨房业务</w:t>
      </w:r>
    </w:p>
    <w:p>
      <w:pPr>
        <w:ind w:firstLine="422" w:firstLineChars="200"/>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①食堂菜系为粤菜。用餐人数:早午约25人、晚约10人。</w:t>
      </w:r>
    </w:p>
    <w:p>
      <w:pPr>
        <w:ind w:firstLine="420" w:firstLineChars="200"/>
        <w:rPr>
          <w:rFonts w:ascii="宋体" w:hAnsi="宋体" w:cs="宋体"/>
          <w:szCs w:val="21"/>
        </w:rPr>
      </w:pPr>
      <w:r>
        <w:rPr>
          <w:rFonts w:hint="eastAsia" w:ascii="宋体" w:hAnsi="宋体" w:cs="宋体"/>
          <w:szCs w:val="21"/>
        </w:rPr>
        <w:t>②乙方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ind w:firstLine="420" w:firstLineChars="200"/>
        <w:rPr>
          <w:rFonts w:ascii="宋体" w:hAnsi="宋体" w:cs="宋体"/>
          <w:szCs w:val="21"/>
        </w:rPr>
      </w:pPr>
      <w:r>
        <w:rPr>
          <w:rFonts w:hint="eastAsia" w:ascii="宋体" w:hAnsi="宋体" w:cs="宋体"/>
          <w:szCs w:val="21"/>
        </w:rPr>
        <w:t>③维护食堂环境卫生、个人卫生，做好每日碗筷的清洗消毒和食堂区域范围内的卫生清洁工作。确保无卫生死角，确保食物存放整洁，炊具放置有序。</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（2）清洁业务</w:t>
      </w:r>
    </w:p>
    <w:p>
      <w:pPr>
        <w:ind w:firstLine="413" w:firstLineChars="196"/>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①负责公司本部办公区域的日常的清洁与保洁工作，至少一日两次清洁，及时清理垃圾和杂物，做到墙身无蜘蛛网，地面无明显垃圾，保证消防通道畅通和办公区域内环境的干净卫生。</w:t>
      </w:r>
    </w:p>
    <w:p>
      <w:pPr>
        <w:ind w:firstLine="420" w:firstLineChars="200"/>
        <w:rPr>
          <w:rFonts w:ascii="宋体" w:hAnsi="宋体" w:cs="宋体"/>
          <w:szCs w:val="21"/>
        </w:rPr>
      </w:pPr>
      <w:r>
        <w:rPr>
          <w:rFonts w:hint="eastAsia" w:ascii="宋体" w:hAnsi="宋体" w:cs="宋体"/>
          <w:szCs w:val="21"/>
        </w:rPr>
        <w:t>②及时清洗会客接待的茶杯茶具，并做好消毒。</w:t>
      </w:r>
    </w:p>
    <w:p>
      <w:pPr>
        <w:ind w:firstLine="420" w:firstLineChars="200"/>
        <w:rPr>
          <w:rFonts w:ascii="宋体" w:hAnsi="宋体" w:cs="宋体"/>
          <w:szCs w:val="21"/>
        </w:rPr>
      </w:pPr>
      <w:r>
        <w:rPr>
          <w:rFonts w:hint="eastAsia" w:ascii="宋体" w:hAnsi="宋体" w:cs="宋体"/>
          <w:szCs w:val="21"/>
        </w:rPr>
        <w:t>③做好洗手间区域的清洁，保持地面不湿滑，无异味。</w:t>
      </w:r>
    </w:p>
    <w:p>
      <w:pPr>
        <w:rPr>
          <w:rFonts w:ascii="宋体" w:hAnsi="宋体" w:cs="宋体"/>
          <w:b/>
          <w:szCs w:val="21"/>
        </w:rPr>
      </w:pPr>
      <w:r>
        <w:rPr>
          <w:rFonts w:hint="eastAsia" w:ascii="宋体" w:hAnsi="宋体" w:cs="宋体"/>
          <w:b/>
          <w:szCs w:val="21"/>
        </w:rPr>
        <w:t>B、茶山配送中心</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（3）电工业务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①负责公司配送中心所有用电设备和线路的检查维修，以及所有供电设施的安装、修理与保养工作，并做好相关记录。</w:t>
      </w:r>
    </w:p>
    <w:p>
      <w:pPr>
        <w:ind w:firstLine="420" w:firstLineChars="200"/>
        <w:rPr>
          <w:rFonts w:ascii="宋体" w:hAnsi="宋体" w:cs="宋体"/>
          <w:szCs w:val="21"/>
        </w:rPr>
      </w:pPr>
      <w:r>
        <w:rPr>
          <w:rFonts w:hint="eastAsia" w:ascii="宋体" w:hAnsi="宋体" w:cs="宋体"/>
          <w:szCs w:val="21"/>
        </w:rPr>
        <w:t>②负责对用电设备的安全隐患进行自查和整改，确保用电工作符合安全生产的相关制度规定。</w:t>
      </w:r>
    </w:p>
    <w:p>
      <w:pPr>
        <w:ind w:firstLine="420" w:firstLineChars="200"/>
        <w:rPr>
          <w:rFonts w:ascii="宋体" w:hAnsi="宋体" w:cs="宋体"/>
          <w:szCs w:val="21"/>
        </w:rPr>
      </w:pPr>
      <w:r>
        <w:rPr>
          <w:rFonts w:hint="eastAsia" w:ascii="宋体" w:hAnsi="宋体" w:cs="宋体"/>
          <w:szCs w:val="21"/>
        </w:rPr>
        <w:t>③负责仓库内外的勤杂工作，包括仓库环境的管理、烂包破包的清理及管理工作。</w:t>
      </w:r>
    </w:p>
    <w:p>
      <w:pPr>
        <w:ind w:firstLine="420" w:firstLineChars="200"/>
        <w:rPr>
          <w:rFonts w:ascii="宋体" w:hAnsi="宋体" w:cs="宋体"/>
          <w:szCs w:val="21"/>
        </w:rPr>
      </w:pPr>
      <w:r>
        <w:rPr>
          <w:rFonts w:hint="eastAsia" w:ascii="宋体" w:hAnsi="宋体" w:cs="宋体"/>
          <w:szCs w:val="21"/>
        </w:rPr>
        <w:t>④负责部门临时性用工的所有工作，包括配送司机、后勤等。</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（4）叉车业务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①按照工作安排，负责做好盐产品、辅料和各种废料的叉运工作，并严格遵守安全行驶的原则。</w:t>
      </w:r>
    </w:p>
    <w:p>
      <w:pPr>
        <w:ind w:firstLine="420" w:firstLineChars="200"/>
        <w:rPr>
          <w:rFonts w:ascii="宋体" w:hAnsi="宋体" w:cs="宋体"/>
          <w:szCs w:val="21"/>
        </w:rPr>
      </w:pPr>
      <w:r>
        <w:rPr>
          <w:rFonts w:hint="eastAsia" w:ascii="宋体" w:hAnsi="宋体" w:cs="宋体"/>
          <w:szCs w:val="21"/>
        </w:rPr>
        <w:t>②认真做好叉车的日常维护和保养工作，确保叉车的安全和整洁。</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（5）仓库后勤业务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①负责配送中心仓库的日常后勤保障工作，包括仓库安全管理等工作。</w:t>
      </w:r>
    </w:p>
    <w:p>
      <w:pPr>
        <w:ind w:firstLine="420" w:firstLineChars="200"/>
        <w:rPr>
          <w:rFonts w:ascii="宋体" w:hAnsi="宋体" w:cs="宋体"/>
          <w:szCs w:val="21"/>
        </w:rPr>
      </w:pPr>
      <w:r>
        <w:rPr>
          <w:rFonts w:hint="eastAsia" w:ascii="宋体" w:hAnsi="宋体" w:cs="宋体"/>
          <w:szCs w:val="21"/>
        </w:rPr>
        <w:t>②协助进行内务管理和传达管理，对来访人员和车辆进行登记和检查，及时处理异常情况或突发事件。</w:t>
      </w:r>
    </w:p>
    <w:p>
      <w:pPr>
        <w:ind w:firstLine="420" w:firstLineChars="200"/>
        <w:rPr>
          <w:rFonts w:ascii="宋体" w:hAnsi="宋体" w:cs="宋体"/>
          <w:szCs w:val="21"/>
        </w:rPr>
      </w:pPr>
      <w:r>
        <w:rPr>
          <w:rFonts w:hint="eastAsia" w:ascii="宋体" w:hAnsi="宋体" w:cs="宋体"/>
          <w:szCs w:val="21"/>
        </w:rPr>
        <w:t>③乙方所派出提供服务的人员，应具有安全责任意识和处理突发事件的能力，能掌握基本消防器材的使用方法，熟记消防、警匪、救护等联系方式来确保紧急事故报告及时。</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（6）配送业务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bCs/>
          <w:szCs w:val="21"/>
        </w:rPr>
        <w:t>1、</w:t>
      </w:r>
      <w:r>
        <w:rPr>
          <w:rFonts w:hint="eastAsia" w:ascii="宋体" w:hAnsi="宋体" w:cs="宋体"/>
          <w:szCs w:val="21"/>
        </w:rPr>
        <w:t>负责区域内产品订单的配送任务，按时整理呈递相关业务单据和资料，并负责配送车辆的保养、维和修清洁工作。</w:t>
      </w:r>
    </w:p>
    <w:p>
      <w:pPr>
        <w:ind w:firstLine="420" w:firstLineChars="200"/>
        <w:rPr>
          <w:rFonts w:ascii="宋体" w:hAnsi="宋体" w:cs="宋体"/>
          <w:bCs/>
          <w:szCs w:val="21"/>
        </w:rPr>
      </w:pPr>
      <w:r>
        <w:rPr>
          <w:rFonts w:hint="eastAsia" w:ascii="宋体" w:hAnsi="宋体" w:cs="宋体"/>
          <w:bCs/>
          <w:szCs w:val="21"/>
        </w:rPr>
        <w:t>2、遵守交通法规和公司车辆管理制度，熟悉东莞市内及周边道路，能协助仓管及配送人员处理日常事务。</w:t>
      </w:r>
    </w:p>
    <w:p>
      <w:pPr>
        <w:ind w:firstLine="420" w:firstLineChars="200"/>
        <w:rPr>
          <w:rFonts w:ascii="宋体" w:hAnsi="宋体" w:cs="宋体"/>
          <w:bCs/>
          <w:szCs w:val="21"/>
        </w:rPr>
      </w:pPr>
      <w:r>
        <w:rPr>
          <w:rFonts w:hint="eastAsia" w:ascii="宋体" w:hAnsi="宋体" w:cs="宋体"/>
          <w:bCs/>
          <w:szCs w:val="21"/>
        </w:rPr>
        <w:t>3、具有良好的驾驶技术和安全服务意识，无不良行车记录，具备一定的沟通能力，语言表达能力良好，具备突发情况处理能力。</w:t>
      </w:r>
    </w:p>
    <w:p>
      <w:pPr>
        <w:ind w:firstLine="211" w:firstLineChars="100"/>
        <w:rPr>
          <w:rFonts w:ascii="宋体" w:hAnsi="宋体" w:cs="宋体"/>
          <w:b/>
          <w:szCs w:val="21"/>
        </w:rPr>
      </w:pPr>
      <w:r>
        <w:rPr>
          <w:rFonts w:hint="eastAsia" w:ascii="宋体" w:hAnsi="宋体" w:cs="宋体"/>
          <w:b/>
          <w:szCs w:val="21"/>
        </w:rPr>
        <w:t>（</w:t>
      </w:r>
      <w:r>
        <w:rPr>
          <w:rFonts w:ascii="宋体" w:hAnsi="宋体" w:cs="宋体"/>
          <w:b/>
          <w:szCs w:val="21"/>
        </w:rPr>
        <w:t>7</w:t>
      </w:r>
      <w:r>
        <w:rPr>
          <w:rFonts w:hint="eastAsia" w:ascii="宋体" w:hAnsi="宋体" w:cs="宋体"/>
          <w:b/>
          <w:szCs w:val="21"/>
        </w:rPr>
        <w:t>）打码业务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负责产品的打码工作。</w:t>
      </w:r>
    </w:p>
    <w:p>
      <w:pPr>
        <w:pStyle w:val="2"/>
        <w:rPr>
          <w:lang w:val="en-US" w:bidi="ar-SA"/>
        </w:rPr>
      </w:pPr>
    </w:p>
    <w:p>
      <w:pPr>
        <w:pStyle w:val="3"/>
        <w:ind w:firstLine="240"/>
        <w:rPr>
          <w:lang w:val="en-US" w:bidi="ar-SA"/>
        </w:rPr>
      </w:pPr>
    </w:p>
    <w:p>
      <w:pPr>
        <w:pStyle w:val="4"/>
        <w:ind w:left="0"/>
      </w:pPr>
    </w:p>
    <w:p/>
    <w:p>
      <w:pPr>
        <w:pStyle w:val="2"/>
        <w:rPr>
          <w:lang w:val="en-US" w:bidi="ar-SA"/>
        </w:rPr>
      </w:pPr>
    </w:p>
    <w:p>
      <w:pPr>
        <w:pStyle w:val="3"/>
        <w:ind w:firstLine="240"/>
        <w:rPr>
          <w:lang w:val="en-US" w:bidi="ar-SA"/>
        </w:rPr>
      </w:pPr>
    </w:p>
    <w:p/>
    <w:p>
      <w:pPr>
        <w:jc w:val="center"/>
        <w:rPr>
          <w:rFonts w:ascii="宋体" w:hAnsi="宋体" w:cs="宋体"/>
          <w:b/>
          <w:bCs/>
          <w:szCs w:val="21"/>
        </w:rPr>
      </w:pPr>
      <w:r>
        <w:rPr>
          <w:rFonts w:hint="eastAsia" w:ascii="宋体" w:hAnsi="宋体" w:cs="宋体"/>
          <w:b/>
          <w:bCs/>
          <w:szCs w:val="21"/>
        </w:rPr>
        <w:t>服务外包服务考核细则</w:t>
      </w:r>
    </w:p>
    <w:tbl>
      <w:tblPr>
        <w:tblStyle w:val="23"/>
        <w:tblW w:w="4998" w:type="pct"/>
        <w:tblInd w:w="0" w:type="dxa"/>
        <w:tblLayout w:type="autofit"/>
        <w:tblCellMar>
          <w:top w:w="0" w:type="dxa"/>
          <w:left w:w="108" w:type="dxa"/>
          <w:bottom w:w="0" w:type="dxa"/>
          <w:right w:w="108" w:type="dxa"/>
        </w:tblCellMar>
      </w:tblPr>
      <w:tblGrid>
        <w:gridCol w:w="1152"/>
        <w:gridCol w:w="7367"/>
      </w:tblGrid>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饭堂后厨业务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考勤纪律。没有及时按照工作时间开餐的，一次扣100元。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卫生清洁。没有注意食物卫生、没有维护厨房和厨具卫生干净的，一次扣100-200元。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成本控制。没有及时了解菜品价格动态，超出预算1次扣50元。浪费水电气的，一次扣50元。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bottom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菜品质量。没有提前一周制定并公示菜单的，一次扣50元。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清洁业务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考勤纪律。没有保证一日两次到岗的，一次扣50元。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公共卫生。没有按规定完成每日清洁任务的，一次扣50-200元。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bottom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卫生管理。出现没有爱护清洁工具、节约用水、安全用电等违规行为的，一次扣50-200元。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电工业务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考勤纪律。工作时间不在岗，迟到早退的，一次扣50元。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设备维护。未按规定对设备进行定期维修保养，导致设备损坏或影响工作运行的，一次扣100-200元。</w:t>
            </w:r>
          </w:p>
        </w:tc>
      </w:tr>
      <w:tr>
        <w:tblPrEx>
          <w:tblCellMar>
            <w:top w:w="0" w:type="dxa"/>
            <w:left w:w="108" w:type="dxa"/>
            <w:bottom w:w="0" w:type="dxa"/>
            <w:right w:w="108" w:type="dxa"/>
          </w:tblCellMar>
        </w:tblPrEx>
        <w:trPr>
          <w:trHeight w:val="679"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用电安全。违反公司安全生产相关制度规定，对公司安全生产工作造成不良影响的，一次扣100-200元。</w:t>
            </w:r>
          </w:p>
        </w:tc>
      </w:tr>
      <w:tr>
        <w:tblPrEx>
          <w:tblCellMar>
            <w:top w:w="0" w:type="dxa"/>
            <w:left w:w="108" w:type="dxa"/>
            <w:bottom w:w="0" w:type="dxa"/>
            <w:right w:w="108" w:type="dxa"/>
          </w:tblCellMar>
        </w:tblPrEx>
        <w:trPr>
          <w:trHeight w:val="702"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日常管理。不服从管理、工作懒散拖沓、作业不规范的，一次扣50-200元。</w:t>
            </w:r>
          </w:p>
        </w:tc>
      </w:tr>
      <w:tr>
        <w:tblPrEx>
          <w:tblCellMar>
            <w:top w:w="0" w:type="dxa"/>
            <w:left w:w="108" w:type="dxa"/>
            <w:bottom w:w="0" w:type="dxa"/>
            <w:right w:w="108" w:type="dxa"/>
          </w:tblCellMar>
        </w:tblPrEx>
        <w:trPr>
          <w:trHeight w:val="405"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仓库后勤业务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考勤纪律。无人员在岗，一次扣100元。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安全保卫。因个人原因导致公司财产损失的，视情节严重性追究其相应责任。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安全巡查。安全巡查监管不到位、未及时上报安全隐患的，一次扣100-200元。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0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叉车业务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考勤纪律。工作时间人员不在岗，迟到早退的，一次扣50元。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安全行车。违反叉车管理规定，操作不规范导致安全事故的，一次扣100-200元。视情节严重追究其相应责任。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维护保养。因为未按规定进行叉车日常保养、维修、清洁，导致叉车损坏或影响工作运行的，产生的损失从服务费中进行扣减，并视情节严重追究其相应责任。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45" w:hRule="atLeast"/>
        </w:trPr>
        <w:tc>
          <w:tcPr>
            <w:tcW w:w="676" w:type="pct"/>
            <w:vMerge w:val="restart"/>
            <w:tcBorders>
              <w:top w:val="single" w:color="auto" w:sz="8" w:space="0"/>
              <w:left w:val="single" w:color="auto" w:sz="8" w:space="0"/>
              <w:right w:val="single" w:color="auto" w:sz="8" w:space="0"/>
            </w:tcBorders>
            <w:vAlign w:val="center"/>
          </w:tcPr>
          <w:p>
            <w:pPr>
              <w:rPr>
                <w:rFonts w:ascii="宋体" w:hAnsi="宋体" w:cs="宋体"/>
                <w:b/>
                <w:szCs w:val="21"/>
              </w:rPr>
            </w:pPr>
            <w:r>
              <w:rPr>
                <w:rFonts w:hint="eastAsia" w:ascii="宋体" w:hAnsi="宋体" w:cs="宋体"/>
                <w:b/>
                <w:szCs w:val="21"/>
              </w:rPr>
              <w:t>打码业务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考勤纪律。工作时间人员不在岗，迟到早退的，一次扣50元。</w:t>
            </w:r>
          </w:p>
        </w:tc>
      </w:tr>
      <w:tr>
        <w:tblPrEx>
          <w:tblCellMar>
            <w:top w:w="0" w:type="dxa"/>
            <w:left w:w="108" w:type="dxa"/>
            <w:bottom w:w="0" w:type="dxa"/>
            <w:right w:w="108" w:type="dxa"/>
          </w:tblCellMar>
        </w:tblPrEx>
        <w:trPr>
          <w:trHeight w:val="345" w:hRule="atLeast"/>
        </w:trPr>
        <w:tc>
          <w:tcPr>
            <w:tcW w:w="676" w:type="pct"/>
            <w:vMerge w:val="continue"/>
            <w:tcBorders>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配送业务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考勤纪律。未按时间开始配送的，一次扣50元。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安全行车。违反安全行车规定，发生安全事故的，产生的损失从服务费中进行扣减，并视情节严重追究其相应责任。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配送服务。送错货、未及时交款交单、接到客户投诉的，一次扣100-200元。</w:t>
            </w:r>
          </w:p>
        </w:tc>
      </w:tr>
      <w:tr>
        <w:tblPrEx>
          <w:tblCellMar>
            <w:top w:w="0" w:type="dxa"/>
            <w:left w:w="108" w:type="dxa"/>
            <w:bottom w:w="0" w:type="dxa"/>
            <w:right w:w="108" w:type="dxa"/>
          </w:tblCellMar>
        </w:tblPrEx>
        <w:trPr>
          <w:trHeight w:val="942"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日常管理。不服从调度、工作懒散拖沓、作业不规范、影响配送进度、车辆未定期维护保养的，一次扣50-200元。</w:t>
            </w:r>
          </w:p>
        </w:tc>
      </w:tr>
      <w:tr>
        <w:tblPrEx>
          <w:tblCellMar>
            <w:top w:w="0" w:type="dxa"/>
            <w:left w:w="108" w:type="dxa"/>
            <w:bottom w:w="0" w:type="dxa"/>
            <w:right w:w="108" w:type="dxa"/>
          </w:tblCellMar>
        </w:tblPrEx>
        <w:trPr>
          <w:trHeight w:val="799" w:hRule="atLeast"/>
        </w:trPr>
        <w:tc>
          <w:tcPr>
            <w:tcW w:w="5000" w:type="pct"/>
            <w:gridSpan w:val="2"/>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r>
              <w:rPr>
                <w:rFonts w:hint="eastAsia" w:ascii="宋体" w:hAnsi="宋体" w:cs="宋体"/>
                <w:b/>
                <w:szCs w:val="21"/>
              </w:rPr>
              <w:t>备注：</w:t>
            </w:r>
            <w:r>
              <w:rPr>
                <w:rFonts w:hint="eastAsia" w:ascii="宋体" w:hAnsi="宋体" w:cs="宋体"/>
                <w:szCs w:val="21"/>
              </w:rPr>
              <w:t>外包人员若当月多次违反我司相关制度规定，第1次以告知函方式告知外包公司，2次-3次的处以罚金，3次以上的建议外包公司辞退处理。</w:t>
            </w:r>
          </w:p>
        </w:tc>
      </w:tr>
    </w:tbl>
    <w:p>
      <w:pPr>
        <w:pStyle w:val="3"/>
        <w:ind w:left="0" w:firstLine="0" w:firstLineChars="0"/>
      </w:pPr>
    </w:p>
    <w:p>
      <w:pPr>
        <w:ind w:firstLine="422" w:firstLineChars="200"/>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p>
    <w:p>
      <w:pPr>
        <w:pStyle w:val="2"/>
        <w:rPr>
          <w:lang w:val="en-US" w:bidi="ar-SA"/>
        </w:rPr>
      </w:pPr>
    </w:p>
    <w:p>
      <w:pPr>
        <w:pStyle w:val="3"/>
        <w:ind w:firstLine="240"/>
        <w:rPr>
          <w:lang w:val="en-US" w:bidi="ar-SA"/>
        </w:rPr>
      </w:pPr>
    </w:p>
    <w:p>
      <w:pPr>
        <w:pStyle w:val="4"/>
      </w:pPr>
    </w:p>
    <w:p/>
    <w:p>
      <w:pPr>
        <w:pStyle w:val="6"/>
        <w:spacing w:before="0" w:after="0" w:line="240" w:lineRule="auto"/>
        <w:rPr>
          <w:sz w:val="28"/>
          <w:szCs w:val="28"/>
        </w:rPr>
      </w:pPr>
      <w:bookmarkStart w:id="200" w:name="_Toc23749"/>
      <w:bookmarkStart w:id="201" w:name="_Toc1478"/>
      <w:bookmarkStart w:id="202" w:name="_Toc31587"/>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r>
        <w:rPr>
          <w:rFonts w:hint="eastAsia"/>
          <w:sz w:val="28"/>
          <w:szCs w:val="28"/>
        </w:rPr>
        <w:t>第七部分  投标文件格式</w:t>
      </w:r>
      <w:bookmarkEnd w:id="200"/>
      <w:bookmarkEnd w:id="201"/>
      <w:bookmarkEnd w:id="202"/>
    </w:p>
    <w:p/>
    <w:p>
      <w:pPr>
        <w:pStyle w:val="7"/>
      </w:pPr>
      <w:bookmarkStart w:id="203" w:name="_Toc26830"/>
      <w:bookmarkStart w:id="204" w:name="_Toc6790"/>
      <w:bookmarkStart w:id="205" w:name="_Toc5794"/>
      <w:r>
        <w:rPr>
          <w:rFonts w:hint="eastAsia"/>
        </w:rPr>
        <w:t>投标文件目录</w:t>
      </w:r>
      <w:bookmarkEnd w:id="203"/>
      <w:bookmarkEnd w:id="204"/>
      <w:bookmarkEnd w:id="205"/>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pStyle w:val="7"/>
      </w:pPr>
      <w:bookmarkStart w:id="206" w:name="_Toc18893"/>
      <w:bookmarkStart w:id="207" w:name="_Toc5670"/>
      <w:bookmarkStart w:id="208" w:name="_Toc25502"/>
      <w:r>
        <w:rPr>
          <w:rFonts w:hint="eastAsia"/>
        </w:rPr>
        <w:t>评分标准索引表</w:t>
      </w:r>
      <w:bookmarkEnd w:id="206"/>
      <w:bookmarkEnd w:id="207"/>
      <w:bookmarkEnd w:id="208"/>
    </w:p>
    <w:p>
      <w:pPr>
        <w:jc w:val="center"/>
        <w:rPr>
          <w:rFonts w:ascii="黑体" w:eastAsia="黑体"/>
          <w:sz w:val="32"/>
          <w:szCs w:val="32"/>
        </w:rPr>
      </w:pPr>
      <w:r>
        <w:rPr>
          <w:rFonts w:hint="eastAsia" w:ascii="黑体" w:eastAsia="黑体"/>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2"/>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7"/>
        <w:jc w:val="center"/>
      </w:pPr>
      <w:bookmarkStart w:id="209" w:name="_Toc22080"/>
      <w:bookmarkStart w:id="210" w:name="_Toc8194"/>
      <w:bookmarkStart w:id="211" w:name="_Toc30640"/>
      <w:r>
        <w:rPr>
          <w:rFonts w:hint="eastAsia"/>
        </w:rPr>
        <w:t>第一章价格文件</w:t>
      </w:r>
      <w:bookmarkEnd w:id="209"/>
      <w:bookmarkEnd w:id="210"/>
    </w:p>
    <w:p>
      <w:pPr>
        <w:pStyle w:val="7"/>
        <w:jc w:val="center"/>
      </w:pPr>
      <w:bookmarkStart w:id="212" w:name="_Toc19750"/>
      <w:bookmarkStart w:id="213" w:name="_Toc4168"/>
      <w:r>
        <w:rPr>
          <w:rFonts w:hint="eastAsia"/>
        </w:rPr>
        <w:t>一、唱标一览表</w:t>
      </w:r>
      <w:bookmarkEnd w:id="212"/>
      <w:bookmarkEnd w:id="213"/>
    </w:p>
    <w:p/>
    <w:tbl>
      <w:tblPr>
        <w:tblStyle w:val="23"/>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2495"/>
        <w:gridCol w:w="2160"/>
        <w:gridCol w:w="1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2160"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cs="仿宋_GB2312"/>
              </w:rPr>
              <w:t>服务期</w:t>
            </w:r>
          </w:p>
        </w:tc>
        <w:tc>
          <w:tcPr>
            <w:tcW w:w="1261"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2160"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rPr>
              <w:t>自签订合同之日起服务期限一年</w:t>
            </w:r>
          </w:p>
        </w:tc>
        <w:tc>
          <w:tcPr>
            <w:tcW w:w="1261"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2160"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c>
          <w:tcPr>
            <w:tcW w:w="1261"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2、此表应按投标人须知的规定密封标记并与《授权委托书》、《投标保证金汇入情况说明》一同密封单独提交。</w:t>
      </w:r>
    </w:p>
    <w:p/>
    <w:p>
      <w:pPr>
        <w:pStyle w:val="2"/>
      </w:pPr>
    </w:p>
    <w:p/>
    <w:p/>
    <w:p/>
    <w:p/>
    <w:p/>
    <w:p/>
    <w:p/>
    <w:p/>
    <w:p/>
    <w:p/>
    <w:p>
      <w:pPr>
        <w:pStyle w:val="2"/>
      </w:pPr>
    </w:p>
    <w:p>
      <w:pPr>
        <w:sectPr>
          <w:type w:val="continuous"/>
          <w:pgSz w:w="11906" w:h="16838"/>
          <w:pgMar w:top="1440" w:right="1800" w:bottom="1440" w:left="1800" w:header="708" w:footer="708" w:gutter="0"/>
          <w:cols w:space="708" w:num="1"/>
          <w:titlePg/>
          <w:docGrid w:type="lines" w:linePitch="360" w:charSpace="0"/>
        </w:sectPr>
      </w:pPr>
    </w:p>
    <w:p>
      <w:pPr>
        <w:pStyle w:val="7"/>
        <w:jc w:val="center"/>
      </w:pPr>
      <w:bookmarkStart w:id="214" w:name="_Toc31062"/>
      <w:bookmarkStart w:id="215" w:name="_Toc31172"/>
      <w:r>
        <w:rPr>
          <w:rFonts w:hint="eastAsia"/>
        </w:rPr>
        <w:t>二、报价明细表</w:t>
      </w:r>
      <w:bookmarkEnd w:id="214"/>
      <w:bookmarkEnd w:id="215"/>
    </w:p>
    <w:p>
      <w:pPr>
        <w:rPr>
          <w:b/>
          <w:bCs/>
        </w:rPr>
      </w:pPr>
      <w:r>
        <w:rPr>
          <w:rFonts w:hint="eastAsia"/>
          <w:b/>
          <w:bCs/>
        </w:rPr>
        <w:t>（1）配送业务</w:t>
      </w:r>
    </w:p>
    <w:tbl>
      <w:tblPr>
        <w:tblStyle w:val="23"/>
        <w:tblW w:w="4996" w:type="pct"/>
        <w:tblInd w:w="0" w:type="dxa"/>
        <w:tblLayout w:type="autofit"/>
        <w:tblCellMar>
          <w:top w:w="0" w:type="dxa"/>
          <w:left w:w="108" w:type="dxa"/>
          <w:bottom w:w="0" w:type="dxa"/>
          <w:right w:w="108" w:type="dxa"/>
        </w:tblCellMar>
      </w:tblPr>
      <w:tblGrid>
        <w:gridCol w:w="789"/>
        <w:gridCol w:w="801"/>
        <w:gridCol w:w="804"/>
        <w:gridCol w:w="895"/>
        <w:gridCol w:w="218"/>
        <w:gridCol w:w="1057"/>
        <w:gridCol w:w="853"/>
        <w:gridCol w:w="870"/>
        <w:gridCol w:w="329"/>
        <w:gridCol w:w="898"/>
        <w:gridCol w:w="1142"/>
        <w:gridCol w:w="895"/>
        <w:gridCol w:w="346"/>
        <w:gridCol w:w="1173"/>
        <w:gridCol w:w="940"/>
        <w:gridCol w:w="283"/>
        <w:gridCol w:w="1020"/>
        <w:gridCol w:w="850"/>
      </w:tblGrid>
      <w:tr>
        <w:tblPrEx>
          <w:tblCellMar>
            <w:top w:w="0" w:type="dxa"/>
            <w:left w:w="108" w:type="dxa"/>
            <w:bottom w:w="0" w:type="dxa"/>
            <w:right w:w="108" w:type="dxa"/>
          </w:tblCellMar>
        </w:tblPrEx>
        <w:trPr>
          <w:trHeight w:val="540" w:hRule="atLeast"/>
        </w:trPr>
        <w:tc>
          <w:tcPr>
            <w:tcW w:w="279"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车辆</w:t>
            </w:r>
          </w:p>
        </w:tc>
        <w:tc>
          <w:tcPr>
            <w:tcW w:w="960"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A区</w:t>
            </w:r>
          </w:p>
        </w:tc>
        <w:tc>
          <w:tcPr>
            <w:tcW w:w="981"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B区</w:t>
            </w:r>
          </w:p>
        </w:tc>
        <w:tc>
          <w:tcPr>
            <w:tcW w:w="12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C区</w:t>
            </w:r>
          </w:p>
        </w:tc>
        <w:tc>
          <w:tcPr>
            <w:tcW w:w="1205"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外市</w:t>
            </w:r>
          </w:p>
        </w:tc>
        <w:tc>
          <w:tcPr>
            <w:tcW w:w="299" w:type="pct"/>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54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宋体" w:hAnsi="宋体" w:cs="宋体"/>
                <w:b/>
                <w:bCs/>
                <w:color w:val="000000"/>
                <w:szCs w:val="21"/>
              </w:rPr>
            </w:pP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299" w:type="pct"/>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100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400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26</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28</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36</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20</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23</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33</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8吨车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300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13.5</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17.5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w:t>
            </w:r>
            <w:r>
              <w:rPr>
                <w:rFonts w:ascii="宋体" w:hAnsi="宋体" w:cs="宋体"/>
                <w:color w:val="000000"/>
                <w:szCs w:val="21"/>
                <w:lang w:bidi="ar"/>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4500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2500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w:t>
            </w:r>
            <w:r>
              <w:rPr>
                <w:rFonts w:ascii="宋体" w:hAnsi="宋体" w:cs="宋体"/>
                <w:color w:val="000000"/>
                <w:szCs w:val="21"/>
                <w:lang w:bidi="ar"/>
              </w:rPr>
              <w:t>300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18</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配送区域说明：</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A区配送区域为东坑、横沥、茶山、寮步、石龙、企石、石排、石碣、高埗、常平、大朗、松山湖、桥头</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B区配送区域为中堂、大岭山、东城、万江、莞城、南城、望牛墩</w:t>
            </w:r>
          </w:p>
        </w:tc>
      </w:tr>
      <w:tr>
        <w:tblPrEx>
          <w:tblCellMar>
            <w:top w:w="0" w:type="dxa"/>
            <w:left w:w="108" w:type="dxa"/>
            <w:bottom w:w="0" w:type="dxa"/>
            <w:right w:w="108" w:type="dxa"/>
          </w:tblCellMar>
        </w:tblPrEx>
        <w:trPr>
          <w:trHeight w:val="300" w:hRule="atLeast"/>
        </w:trPr>
        <w:tc>
          <w:tcPr>
            <w:tcW w:w="5000" w:type="pct"/>
            <w:gridSpan w:val="18"/>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C区配送区域为道滘、厚街、樟木头、洪梅、谢岗、黄江、清溪、凤岗、虎门、长安、沙田、麻涌、塘厦</w:t>
            </w:r>
          </w:p>
        </w:tc>
      </w:tr>
      <w:tr>
        <w:tblPrEx>
          <w:tblCellMar>
            <w:top w:w="0" w:type="dxa"/>
            <w:left w:w="108" w:type="dxa"/>
            <w:bottom w:w="0" w:type="dxa"/>
            <w:right w:w="108" w:type="dxa"/>
          </w:tblCellMar>
        </w:tblPrEx>
        <w:trPr>
          <w:trHeight w:val="54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零担配送</w:t>
            </w:r>
          </w:p>
        </w:tc>
        <w:tc>
          <w:tcPr>
            <w:tcW w:w="11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预计（件/年）</w:t>
            </w:r>
          </w:p>
        </w:tc>
        <w:tc>
          <w:tcPr>
            <w:tcW w:w="1036"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限价（元/件）</w:t>
            </w:r>
          </w:p>
        </w:tc>
        <w:tc>
          <w:tcPr>
            <w:tcW w:w="867"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报价（元/件）</w:t>
            </w:r>
          </w:p>
        </w:tc>
        <w:tc>
          <w:tcPr>
            <w:tcW w:w="759"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30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小包装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200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3.5</w:t>
            </w:r>
          </w:p>
        </w:tc>
        <w:tc>
          <w:tcPr>
            <w:tcW w:w="867"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59"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大包装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8000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w:t>
            </w:r>
          </w:p>
        </w:tc>
        <w:tc>
          <w:tcPr>
            <w:tcW w:w="867"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59"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4240" w:type="pct"/>
            <w:gridSpan w:val="15"/>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配送业务费全年合计</w:t>
            </w:r>
          </w:p>
        </w:tc>
        <w:tc>
          <w:tcPr>
            <w:tcW w:w="759" w:type="pct"/>
            <w:gridSpan w:val="3"/>
            <w:tcBorders>
              <w:top w:val="nil"/>
              <w:left w:val="nil"/>
              <w:bottom w:val="single" w:color="000000" w:sz="8" w:space="0"/>
              <w:right w:val="single" w:color="000000" w:sz="8" w:space="0"/>
            </w:tcBorders>
            <w:shd w:val="clear" w:color="auto" w:fill="auto"/>
            <w:noWrap/>
            <w:vAlign w:val="center"/>
          </w:tcPr>
          <w:p>
            <w:pPr>
              <w:spacing w:line="240" w:lineRule="auto"/>
              <w:rPr>
                <w:rFonts w:ascii="宋体" w:hAnsi="宋体" w:cs="宋体"/>
                <w:color w:val="000000"/>
                <w:szCs w:val="21"/>
              </w:rPr>
            </w:pPr>
          </w:p>
        </w:tc>
      </w:tr>
    </w:tbl>
    <w:p>
      <w:pPr>
        <w:pStyle w:val="2"/>
        <w:sectPr>
          <w:type w:val="continuous"/>
          <w:pgSz w:w="16838" w:h="11906" w:orient="landscape"/>
          <w:pgMar w:top="1800" w:right="1440" w:bottom="1800" w:left="1440" w:header="708" w:footer="708" w:gutter="0"/>
          <w:cols w:space="708" w:num="1"/>
          <w:titlePg/>
          <w:docGrid w:type="lines" w:linePitch="360" w:charSpace="0"/>
        </w:sectPr>
      </w:pPr>
    </w:p>
    <w:p>
      <w:pPr>
        <w:rPr>
          <w:b/>
          <w:bCs/>
        </w:rPr>
      </w:pPr>
      <w:r>
        <w:rPr>
          <w:rFonts w:hint="eastAsia"/>
          <w:b/>
          <w:bCs/>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62"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仓库后勤业务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3</w:t>
            </w:r>
            <w:r>
              <w:rPr>
                <w:rFonts w:hint="eastAsia" w:ascii="宋体" w:hAnsi="宋体" w:cs="宋体"/>
                <w:color w:val="000000"/>
                <w:szCs w:val="21"/>
                <w:lang w:bidi="ar"/>
              </w:rPr>
              <w:t>5000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叉车业务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5</w:t>
            </w:r>
            <w:r>
              <w:rPr>
                <w:rFonts w:hint="eastAsia" w:ascii="宋体" w:hAnsi="宋体" w:cs="宋体"/>
                <w:color w:val="000000"/>
                <w:szCs w:val="21"/>
                <w:lang w:bidi="ar"/>
              </w:rPr>
              <w:t>8000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电工业务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113300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打码业务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7</w:t>
            </w:r>
            <w:r>
              <w:rPr>
                <w:rFonts w:ascii="宋体" w:hAnsi="宋体" w:cs="宋体"/>
                <w:color w:val="000000"/>
                <w:szCs w:val="21"/>
                <w:lang w:bidi="ar"/>
              </w:rPr>
              <w:t>9990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厨房业务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155600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清洁业务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46660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szCs w:val="21"/>
              </w:rPr>
            </w:pPr>
            <w:r>
              <w:rPr>
                <w:rFonts w:hint="eastAsia" w:ascii="宋体" w:hAnsi="宋体" w:cs="宋体"/>
                <w:b/>
                <w:bCs/>
                <w:szCs w:val="21"/>
              </w:rPr>
              <w:t>其它业务全年合计：</w:t>
            </w:r>
          </w:p>
        </w:tc>
      </w:tr>
    </w:tbl>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adjustRightInd/>
        <w:snapToGrid/>
        <w:spacing w:line="276" w:lineRule="auto"/>
      </w:pPr>
      <w:r>
        <w:rPr>
          <w:rFonts w:ascii="楷体_GB2312" w:eastAsia="楷体_GB2312"/>
          <w:sz w:val="24"/>
        </w:rPr>
        <w:br w:type="page"/>
      </w:r>
    </w:p>
    <w:p>
      <w:pPr>
        <w:pStyle w:val="7"/>
        <w:jc w:val="center"/>
      </w:pPr>
      <w:bookmarkStart w:id="216" w:name="_Toc23948"/>
      <w:bookmarkStart w:id="217" w:name="_Toc6471"/>
      <w:r>
        <w:rPr>
          <w:rFonts w:hint="eastAsia"/>
        </w:rPr>
        <w:t>第二章商务文件</w:t>
      </w:r>
      <w:bookmarkEnd w:id="216"/>
      <w:bookmarkEnd w:id="217"/>
    </w:p>
    <w:bookmarkEnd w:id="211"/>
    <w:p>
      <w:pPr>
        <w:pStyle w:val="7"/>
        <w:jc w:val="center"/>
      </w:pPr>
      <w:bookmarkStart w:id="218" w:name="_Toc23787"/>
      <w:bookmarkStart w:id="219" w:name="_Toc1952"/>
      <w:r>
        <w:rPr>
          <w:rFonts w:hint="eastAsia"/>
        </w:rPr>
        <w:t>一、投标函</w:t>
      </w:r>
      <w:bookmarkEnd w:id="218"/>
      <w:bookmarkEnd w:id="219"/>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我方保证遵守投标人须知中关于没收投标保证金的规定。</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7"/>
        <w:jc w:val="center"/>
      </w:pPr>
      <w:bookmarkStart w:id="220" w:name="_Toc28616"/>
      <w:bookmarkStart w:id="221" w:name="_Toc15719"/>
      <w:r>
        <w:rPr>
          <w:rFonts w:hint="eastAsia"/>
        </w:rPr>
        <w:t>二、资格申明函</w:t>
      </w:r>
      <w:bookmarkEnd w:id="220"/>
      <w:bookmarkEnd w:id="221"/>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szCs w:val="21"/>
        </w:rPr>
      </w:pPr>
      <w:r>
        <w:rPr>
          <w:rFonts w:hint="eastAsia" w:ascii="宋体" w:hAnsi="宋体"/>
          <w:szCs w:val="21"/>
        </w:rPr>
        <w:t>2、</w:t>
      </w:r>
      <w:r>
        <w:rPr>
          <w:rFonts w:ascii="宋体" w:hAnsi="宋体"/>
          <w:szCs w:val="21"/>
        </w:rPr>
        <w:t>我方依法注册，在法律上、财务上和运作上完全独立于（甲方名称）（甲方）及</w:t>
      </w:r>
      <w:r>
        <w:rPr>
          <w:rFonts w:hint="eastAsia" w:ascii="宋体" w:hAnsi="宋体"/>
          <w:szCs w:val="21"/>
        </w:rPr>
        <w:t>广东政通招标有限公司</w:t>
      </w:r>
      <w:r>
        <w:rPr>
          <w:rFonts w:ascii="宋体" w:hAnsi="宋体"/>
          <w:szCs w:val="21"/>
        </w:rPr>
        <w:t>（采购代理机构）</w:t>
      </w:r>
      <w:r>
        <w:rPr>
          <w:rFonts w:hint="eastAsia" w:ascii="宋体" w:hAnsi="宋体"/>
          <w:szCs w:val="21"/>
        </w:rPr>
        <w:t>。</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pPr>
        <w:pStyle w:val="3"/>
        <w:ind w:firstLine="240"/>
      </w:pPr>
    </w:p>
    <w:p>
      <w:pPr>
        <w:pStyle w:val="4"/>
      </w:pPr>
    </w:p>
    <w:p/>
    <w:p>
      <w:pPr>
        <w:pStyle w:val="2"/>
      </w:pPr>
    </w:p>
    <w:p>
      <w:bookmarkStart w:id="222" w:name="_Toc16412"/>
    </w:p>
    <w:p>
      <w:pPr>
        <w:pStyle w:val="7"/>
        <w:jc w:val="center"/>
      </w:pPr>
      <w:bookmarkStart w:id="223" w:name="_Toc21273"/>
      <w:bookmarkStart w:id="224" w:name="_Toc32742"/>
      <w:r>
        <w:rPr>
          <w:rFonts w:hint="eastAsia"/>
        </w:rPr>
        <w:t>三、在参与采购活动前三年未有重大违法记录、没有不良信用记录的声明函</w:t>
      </w:r>
      <w:bookmarkEnd w:id="223"/>
      <w:bookmarkEnd w:id="224"/>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22"/>
    </w:p>
    <w:p>
      <w:pPr>
        <w:pStyle w:val="7"/>
        <w:jc w:val="center"/>
      </w:pPr>
      <w:bookmarkStart w:id="225" w:name="_Toc3894"/>
      <w:bookmarkStart w:id="226" w:name="_Toc13243"/>
      <w:r>
        <w:rPr>
          <w:rFonts w:hint="eastAsia"/>
        </w:rPr>
        <w:t>四、法定代表人证明书</w:t>
      </w:r>
      <w:bookmarkEnd w:id="225"/>
      <w:bookmarkEnd w:id="226"/>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7"/>
        <w:jc w:val="center"/>
      </w:pPr>
      <w:bookmarkStart w:id="227" w:name="_Toc5918"/>
      <w:bookmarkStart w:id="228" w:name="_Toc5626"/>
      <w:r>
        <w:rPr>
          <w:rFonts w:hint="eastAsia"/>
        </w:rPr>
        <w:t>五、法定代表人授权书</w:t>
      </w:r>
      <w:bookmarkEnd w:id="227"/>
      <w:bookmarkEnd w:id="228"/>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29"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7"/>
        <w:jc w:val="center"/>
      </w:pPr>
      <w:bookmarkStart w:id="230" w:name="_Toc18562"/>
      <w:bookmarkStart w:id="231" w:name="_Toc24013"/>
      <w:r>
        <w:rPr>
          <w:rFonts w:hint="eastAsia"/>
        </w:rPr>
        <w:t>六、投标人基本情况说明</w:t>
      </w:r>
      <w:bookmarkEnd w:id="230"/>
      <w:bookmarkEnd w:id="231"/>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7"/>
        <w:jc w:val="center"/>
      </w:pPr>
      <w:bookmarkStart w:id="232" w:name="_Toc5919"/>
      <w:bookmarkStart w:id="233" w:name="_Toc29995"/>
      <w:bookmarkStart w:id="234" w:name="_Toc1511"/>
      <w:bookmarkStart w:id="235" w:name="_Toc4926"/>
      <w:bookmarkStart w:id="236" w:name="_Toc28067"/>
      <w:bookmarkStart w:id="237" w:name="_Toc24210"/>
      <w:bookmarkStart w:id="238" w:name="_Toc17470"/>
      <w:r>
        <w:rPr>
          <w:rFonts w:hint="eastAsia"/>
        </w:rPr>
        <w:t>七、营业执照</w:t>
      </w:r>
      <w:bookmarkEnd w:id="232"/>
      <w:bookmarkEnd w:id="233"/>
      <w:bookmarkEnd w:id="234"/>
      <w:bookmarkEnd w:id="235"/>
      <w:bookmarkEnd w:id="236"/>
      <w:bookmarkEnd w:id="237"/>
      <w:bookmarkEnd w:id="238"/>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29"/>
    <w:p>
      <w:pPr>
        <w:pStyle w:val="7"/>
        <w:jc w:val="center"/>
      </w:pPr>
      <w:bookmarkStart w:id="239" w:name="_Toc21638"/>
      <w:bookmarkStart w:id="240" w:name="_Toc29439"/>
      <w:r>
        <w:rPr>
          <w:rFonts w:hint="eastAsia"/>
        </w:rPr>
        <w:t>八、特殊资格要求证明文件</w:t>
      </w:r>
      <w:bookmarkEnd w:id="239"/>
      <w:bookmarkEnd w:id="240"/>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7"/>
        <w:jc w:val="center"/>
      </w:pPr>
      <w:bookmarkStart w:id="241" w:name="_Toc14263"/>
      <w:bookmarkStart w:id="242" w:name="_Toc23341"/>
      <w:r>
        <w:rPr>
          <w:rFonts w:hint="eastAsia"/>
        </w:rPr>
        <w:t>九、承诺书</w:t>
      </w:r>
      <w:bookmarkEnd w:id="241"/>
      <w:bookmarkEnd w:id="242"/>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243"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243"/>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7"/>
        <w:jc w:val="center"/>
      </w:pPr>
      <w:bookmarkStart w:id="244" w:name="_Toc13653"/>
      <w:bookmarkStart w:id="245" w:name="_Toc13955"/>
      <w:r>
        <w:rPr>
          <w:rFonts w:hint="eastAsia"/>
        </w:rPr>
        <w:t>十、招标代理服务费承诺书</w:t>
      </w:r>
      <w:bookmarkEnd w:id="244"/>
      <w:bookmarkEnd w:id="245"/>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7"/>
        <w:jc w:val="center"/>
      </w:pPr>
      <w:bookmarkStart w:id="246" w:name="_Toc1975"/>
      <w:bookmarkStart w:id="247" w:name="_Toc12598"/>
      <w:r>
        <w:rPr>
          <w:rFonts w:hint="eastAsia"/>
        </w:rPr>
        <w:t>十一、商务条款偏离表</w:t>
      </w:r>
      <w:bookmarkEnd w:id="246"/>
      <w:bookmarkEnd w:id="247"/>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248" w:name="_Toc32183"/>
    </w:p>
    <w:p>
      <w:pPr>
        <w:pStyle w:val="7"/>
        <w:jc w:val="center"/>
      </w:pPr>
      <w:bookmarkStart w:id="249" w:name="_Toc19276"/>
      <w:bookmarkStart w:id="250" w:name="_Toc25391"/>
      <w:r>
        <w:rPr>
          <w:rFonts w:hint="eastAsia"/>
        </w:rPr>
        <w:t>十二、业绩表</w:t>
      </w:r>
      <w:bookmarkEnd w:id="249"/>
      <w:bookmarkEnd w:id="250"/>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注：该表格为参考格式，投标人可按实际情况自行制订。</w:t>
      </w:r>
    </w:p>
    <w:p/>
    <w:p/>
    <w:p/>
    <w:p/>
    <w:p/>
    <w:p/>
    <w:p/>
    <w:p/>
    <w:p/>
    <w:p/>
    <w:p/>
    <w:p/>
    <w:p/>
    <w:p/>
    <w:p>
      <w:pPr>
        <w:pStyle w:val="2"/>
      </w:pPr>
    </w:p>
    <w:p>
      <w:pPr>
        <w:pStyle w:val="2"/>
        <w:ind w:left="0"/>
      </w:pPr>
    </w:p>
    <w:p>
      <w:pPr>
        <w:pStyle w:val="7"/>
        <w:jc w:val="center"/>
        <w:rPr>
          <w:rFonts w:ascii="黑体" w:eastAsia="黑体"/>
          <w:szCs w:val="28"/>
        </w:rPr>
      </w:pPr>
      <w:bookmarkStart w:id="251" w:name="_Toc14688"/>
      <w:bookmarkStart w:id="252" w:name="_Toc20520"/>
      <w:r>
        <w:rPr>
          <w:rFonts w:hint="eastAsia"/>
        </w:rPr>
        <w:t>第三章技术文件</w:t>
      </w:r>
      <w:bookmarkEnd w:id="248"/>
      <w:bookmarkEnd w:id="251"/>
      <w:bookmarkEnd w:id="252"/>
    </w:p>
    <w:p>
      <w:pPr>
        <w:pStyle w:val="7"/>
        <w:jc w:val="center"/>
      </w:pPr>
      <w:bookmarkStart w:id="253" w:name="_Toc7092"/>
      <w:bookmarkStart w:id="254" w:name="_Toc13097"/>
      <w:r>
        <w:rPr>
          <w:rFonts w:hint="eastAsia"/>
        </w:rPr>
        <w:t>一、技术规格偏离表</w:t>
      </w:r>
      <w:bookmarkEnd w:id="253"/>
      <w:bookmarkEnd w:id="254"/>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注：投标人应对照招标文件技术要求，在“偏离情况”项中填写“无偏离”、“正偏离”或“负偏离”，逐条说明已对招标文件的技术内容做出了实质性的响应，并申明与招标文件的偏差和例外。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255" w:name="_Toc17691"/>
      <w:r>
        <w:rPr>
          <w:rFonts w:hint="eastAsia" w:ascii="宋体" w:hAnsi="宋体"/>
          <w:szCs w:val="21"/>
        </w:rPr>
        <w:br w:type="page"/>
      </w:r>
      <w:bookmarkEnd w:id="255"/>
      <w:bookmarkStart w:id="256" w:name="_Toc6080"/>
      <w:bookmarkStart w:id="257" w:name="_Toc1274"/>
      <w:bookmarkStart w:id="258" w:name="_Toc18668"/>
      <w:bookmarkStart w:id="259" w:name="_Toc4827"/>
      <w:bookmarkStart w:id="260" w:name="_Toc26078"/>
      <w:bookmarkStart w:id="261" w:name="_Toc4464"/>
    </w:p>
    <w:p>
      <w:pPr>
        <w:pStyle w:val="7"/>
        <w:jc w:val="center"/>
      </w:pPr>
      <w:bookmarkStart w:id="262" w:name="_Toc13461"/>
      <w:bookmarkStart w:id="263" w:name="_Toc10734"/>
      <w:r>
        <w:rPr>
          <w:rFonts w:hint="eastAsia"/>
        </w:rPr>
        <w:t>二、重要技术参数（▲）响应表</w:t>
      </w:r>
      <w:bookmarkEnd w:id="256"/>
      <w:bookmarkEnd w:id="257"/>
      <w:bookmarkEnd w:id="258"/>
      <w:bookmarkEnd w:id="259"/>
      <w:bookmarkEnd w:id="260"/>
      <w:bookmarkEnd w:id="261"/>
      <w:bookmarkEnd w:id="262"/>
      <w:bookmarkEnd w:id="263"/>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64" w:name="_Toc29560"/>
            <w:bookmarkStart w:id="265" w:name="_Toc27079"/>
            <w:bookmarkStart w:id="266" w:name="_Toc29642"/>
            <w:r>
              <w:rPr>
                <w:rFonts w:hint="eastAsia" w:ascii="宋体" w:hAnsi="宋体" w:cs="宋体"/>
                <w:b w:val="0"/>
                <w:bCs w:val="0"/>
                <w:sz w:val="21"/>
                <w:szCs w:val="21"/>
              </w:rPr>
              <w:t>序号</w:t>
            </w:r>
            <w:bookmarkEnd w:id="264"/>
            <w:bookmarkEnd w:id="265"/>
            <w:bookmarkEnd w:id="266"/>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67" w:name="_Toc14815"/>
            <w:bookmarkStart w:id="268" w:name="_Toc1016"/>
            <w:bookmarkStart w:id="269" w:name="_Toc10045"/>
            <w:bookmarkStart w:id="270" w:name="_Toc2700"/>
            <w:bookmarkStart w:id="271" w:name="_Toc15368"/>
            <w:bookmarkStart w:id="272" w:name="_Toc12049"/>
            <w:bookmarkStart w:id="273" w:name="_Toc26124"/>
            <w:bookmarkStart w:id="274" w:name="_Toc15903"/>
            <w:bookmarkStart w:id="275" w:name="_Toc4304"/>
            <w:bookmarkStart w:id="276" w:name="_Toc16872"/>
            <w:bookmarkStart w:id="277" w:name="_Toc21739"/>
            <w:bookmarkStart w:id="278" w:name="_Toc22448"/>
            <w:bookmarkStart w:id="279" w:name="_Toc27090"/>
            <w:bookmarkStart w:id="280" w:name="_Toc19251"/>
            <w:bookmarkStart w:id="281" w:name="_Toc8490"/>
            <w:bookmarkStart w:id="282" w:name="_Toc24662"/>
            <w:bookmarkStart w:id="283" w:name="_Toc32531"/>
            <w:bookmarkStart w:id="284" w:name="_Toc22879"/>
            <w:bookmarkStart w:id="285" w:name="_Toc22917"/>
            <w:bookmarkStart w:id="286" w:name="_Toc8312"/>
            <w:bookmarkStart w:id="287" w:name="_Toc21809"/>
            <w:bookmarkStart w:id="288" w:name="_Toc7333"/>
            <w:bookmarkStart w:id="289" w:name="_Toc27442"/>
            <w:r>
              <w:rPr>
                <w:rFonts w:hint="eastAsia" w:ascii="宋体" w:hAnsi="宋体" w:cs="宋体"/>
                <w:b w:val="0"/>
                <w:bCs w:val="0"/>
                <w:sz w:val="21"/>
                <w:szCs w:val="21"/>
              </w:rPr>
              <w:t>重要技术参数评分条款（▲）</w:t>
            </w:r>
            <w:bookmarkEnd w:id="267"/>
            <w:bookmarkEnd w:id="268"/>
            <w:bookmarkEnd w:id="269"/>
            <w:bookmarkEnd w:id="270"/>
            <w:bookmarkEnd w:id="271"/>
            <w:bookmarkEnd w:id="272"/>
            <w:bookmarkEnd w:id="273"/>
            <w:bookmarkEnd w:id="274"/>
            <w:bookmarkEnd w:id="275"/>
            <w:bookmarkEnd w:id="276"/>
            <w:bookmarkEnd w:id="277"/>
            <w:bookmarkEnd w:id="278"/>
            <w:bookmarkEnd w:id="279"/>
          </w:p>
          <w:bookmarkEnd w:id="280"/>
          <w:bookmarkEnd w:id="281"/>
          <w:bookmarkEnd w:id="282"/>
          <w:bookmarkEnd w:id="283"/>
          <w:bookmarkEnd w:id="284"/>
          <w:bookmarkEnd w:id="285"/>
          <w:bookmarkEnd w:id="286"/>
          <w:bookmarkEnd w:id="287"/>
          <w:bookmarkEnd w:id="288"/>
          <w:bookmarkEnd w:id="289"/>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90" w:name="_Toc2408"/>
            <w:bookmarkStart w:id="291" w:name="_Toc22153"/>
            <w:bookmarkStart w:id="292" w:name="_Toc10122"/>
            <w:r>
              <w:rPr>
                <w:rFonts w:hint="eastAsia" w:ascii="宋体" w:hAnsi="宋体" w:cs="宋体"/>
                <w:b w:val="0"/>
                <w:bCs w:val="0"/>
                <w:sz w:val="21"/>
                <w:szCs w:val="21"/>
              </w:rPr>
              <w:t>投标文件响应内容</w:t>
            </w:r>
            <w:bookmarkEnd w:id="290"/>
            <w:bookmarkEnd w:id="291"/>
            <w:bookmarkEnd w:id="292"/>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93" w:name="_Toc27285"/>
            <w:bookmarkStart w:id="294" w:name="_Toc16003"/>
            <w:bookmarkStart w:id="295" w:name="_Toc29838"/>
            <w:bookmarkStart w:id="296" w:name="_Toc1330"/>
            <w:bookmarkStart w:id="297" w:name="_Toc5563"/>
            <w:bookmarkStart w:id="298" w:name="_Toc20820"/>
            <w:bookmarkStart w:id="299" w:name="_Toc17642"/>
            <w:bookmarkStart w:id="300" w:name="_Toc3701"/>
            <w:bookmarkStart w:id="301" w:name="_Toc27185"/>
            <w:bookmarkStart w:id="302" w:name="_Toc17296"/>
            <w:bookmarkStart w:id="303" w:name="_Toc5992"/>
            <w:bookmarkStart w:id="304" w:name="_Toc1912"/>
            <w:bookmarkStart w:id="305" w:name="_Toc20139"/>
            <w:r>
              <w:rPr>
                <w:rFonts w:hint="eastAsia" w:ascii="宋体" w:hAnsi="宋体" w:cs="宋体"/>
                <w:b w:val="0"/>
                <w:bCs w:val="0"/>
                <w:sz w:val="21"/>
                <w:szCs w:val="21"/>
              </w:rPr>
              <w:t>说明</w:t>
            </w:r>
            <w:bookmarkEnd w:id="293"/>
            <w:bookmarkEnd w:id="294"/>
            <w:bookmarkEnd w:id="295"/>
          </w:p>
        </w:tc>
        <w:tc>
          <w:tcPr>
            <w:tcW w:w="1591"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306" w:name="_Toc3520"/>
            <w:bookmarkStart w:id="307" w:name="_Toc857"/>
            <w:bookmarkStart w:id="308" w:name="_Toc19105"/>
            <w:r>
              <w:rPr>
                <w:rFonts w:hint="eastAsia" w:ascii="宋体" w:hAnsi="宋体" w:cs="宋体"/>
                <w:b w:val="0"/>
                <w:bCs w:val="0"/>
                <w:sz w:val="21"/>
                <w:szCs w:val="21"/>
              </w:rPr>
              <w:t>页码范围</w:t>
            </w:r>
            <w:bookmarkEnd w:id="296"/>
            <w:bookmarkEnd w:id="297"/>
            <w:bookmarkEnd w:id="298"/>
            <w:bookmarkEnd w:id="299"/>
            <w:bookmarkEnd w:id="300"/>
            <w:bookmarkEnd w:id="301"/>
            <w:bookmarkEnd w:id="302"/>
            <w:bookmarkEnd w:id="303"/>
            <w:bookmarkEnd w:id="304"/>
            <w:bookmarkEnd w:id="305"/>
            <w:bookmarkEnd w:id="306"/>
            <w:bookmarkEnd w:id="307"/>
            <w:bookmarkEnd w:id="3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14"/>
        </w:numPr>
        <w:rPr>
          <w:rFonts w:ascii="黑体" w:eastAsia="黑体"/>
          <w:sz w:val="32"/>
          <w:szCs w:val="32"/>
        </w:rPr>
      </w:pPr>
      <w:r>
        <w:rPr>
          <w:rFonts w:hint="eastAsia" w:ascii="宋体" w:hAnsi="宋体"/>
          <w:szCs w:val="21"/>
        </w:rPr>
        <w:br w:type="page"/>
      </w:r>
    </w:p>
    <w:p>
      <w:pPr>
        <w:pStyle w:val="7"/>
        <w:jc w:val="center"/>
      </w:pPr>
      <w:bookmarkStart w:id="309" w:name="_Toc27139"/>
      <w:bookmarkStart w:id="310" w:name="_Toc19349"/>
      <w:r>
        <w:rPr>
          <w:rFonts w:hint="eastAsia"/>
        </w:rPr>
        <w:t>三、实质性条款（标记★）投标响应表</w:t>
      </w:r>
      <w:bookmarkEnd w:id="309"/>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7"/>
        <w:jc w:val="center"/>
      </w:pPr>
      <w:bookmarkStart w:id="311" w:name="_Toc21519"/>
      <w:r>
        <w:rPr>
          <w:rFonts w:hint="eastAsia"/>
        </w:rPr>
        <w:t>四、项目技术方案</w:t>
      </w:r>
      <w:bookmarkEnd w:id="310"/>
      <w:bookmarkEnd w:id="311"/>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7"/>
        <w:jc w:val="center"/>
      </w:pPr>
      <w:bookmarkStart w:id="312" w:name="_Toc26880"/>
      <w:bookmarkStart w:id="313" w:name="_Toc16328"/>
      <w:r>
        <w:rPr>
          <w:rFonts w:hint="eastAsia"/>
        </w:rPr>
        <w:t>五、项目负责人及团队成员资料表</w:t>
      </w:r>
      <w:bookmarkEnd w:id="312"/>
      <w:bookmarkEnd w:id="313"/>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7"/>
        <w:jc w:val="center"/>
      </w:pPr>
      <w:bookmarkStart w:id="314" w:name="_Toc26980"/>
      <w:bookmarkStart w:id="315" w:name="_Toc15431"/>
      <w:r>
        <w:rPr>
          <w:rFonts w:hint="eastAsia"/>
        </w:rPr>
        <w:t>六、投标货物明细一览表</w:t>
      </w:r>
      <w:bookmarkEnd w:id="314"/>
      <w:bookmarkEnd w:id="315"/>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宋体" w:hAnsi="宋体"/>
          <w:szCs w:val="21"/>
        </w:rPr>
      </w:pPr>
      <w:r>
        <w:rPr>
          <w:rFonts w:hint="eastAsia" w:ascii="宋体" w:hAnsi="宋体" w:cs="Times New Roman"/>
          <w:szCs w:val="21"/>
        </w:rPr>
        <w:t>投标人盖章：</w:t>
      </w:r>
      <w:r>
        <w:rPr>
          <w:rFonts w:hint="eastAsia" w:ascii="宋体" w:hAnsi="宋体"/>
          <w:szCs w:val="21"/>
        </w:rPr>
        <w:br w:type="page"/>
      </w:r>
    </w:p>
    <w:p>
      <w:pPr>
        <w:pStyle w:val="7"/>
        <w:jc w:val="center"/>
      </w:pPr>
      <w:bookmarkStart w:id="316" w:name="_Toc21541"/>
      <w:bookmarkStart w:id="317" w:name="_Toc16710"/>
      <w:r>
        <w:rPr>
          <w:rFonts w:hint="eastAsia"/>
        </w:rPr>
        <w:t>七、投标保证金汇入情况说明</w:t>
      </w:r>
      <w:bookmarkEnd w:id="316"/>
      <w:bookmarkEnd w:id="317"/>
    </w:p>
    <w:p>
      <w:pPr>
        <w:spacing w:line="480" w:lineRule="auto"/>
        <w:rPr>
          <w:rFonts w:ascii="宋体" w:hAnsi="宋体"/>
          <w:szCs w:val="21"/>
        </w:rPr>
      </w:pPr>
      <w:r>
        <w:rPr>
          <w:rFonts w:hint="eastAsia" w:ascii="宋体" w:hAnsi="宋体"/>
          <w:szCs w:val="21"/>
        </w:rPr>
        <w:t>致：广东政通招标有限公司：</w:t>
      </w:r>
    </w:p>
    <w:p>
      <w:pPr>
        <w:ind w:firstLine="420" w:firstLineChars="200"/>
        <w:rPr>
          <w:rFonts w:ascii="宋体" w:hAnsi="宋体"/>
          <w:szCs w:val="21"/>
        </w:rPr>
      </w:pPr>
      <w:r>
        <w:rPr>
          <w:rFonts w:hint="eastAsia" w:ascii="宋体" w:hAnsi="宋体"/>
          <w:szCs w:val="21"/>
        </w:rPr>
        <w:t>本单位已按（项目名称）包</w:t>
      </w:r>
      <w:r>
        <w:rPr>
          <w:rFonts w:hint="eastAsia" w:ascii="宋体" w:hAnsi="宋体"/>
          <w:szCs w:val="21"/>
          <w:u w:val="single"/>
        </w:rPr>
        <w:t xml:space="preserve">    </w:t>
      </w:r>
      <w:r>
        <w:rPr>
          <w:rFonts w:hint="eastAsia" w:ascii="宋体" w:hAnsi="宋体"/>
          <w:szCs w:val="21"/>
        </w:rPr>
        <w:t>（采购项目编号：</w:t>
      </w:r>
      <w:r>
        <w:rPr>
          <w:rFonts w:hint="eastAsia" w:ascii="宋体" w:hAnsi="宋体"/>
          <w:szCs w:val="21"/>
          <w:u w:val="single"/>
        </w:rPr>
        <w:t xml:space="preserve">       </w:t>
      </w:r>
      <w:r>
        <w:rPr>
          <w:rFonts w:hint="eastAsia" w:ascii="宋体" w:hAnsi="宋体"/>
          <w:szCs w:val="21"/>
        </w:rPr>
        <w:t>）的招标文件要求，于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  日前以</w:t>
      </w:r>
      <w:r>
        <w:rPr>
          <w:rFonts w:hint="eastAsia" w:ascii="宋体" w:hAnsi="宋体"/>
          <w:szCs w:val="21"/>
          <w:u w:val="single"/>
        </w:rPr>
        <w:t xml:space="preserve">           （付款形式）</w:t>
      </w:r>
      <w:r>
        <w:rPr>
          <w:rFonts w:hint="eastAsia" w:ascii="宋体" w:hAnsi="宋体"/>
          <w:szCs w:val="21"/>
        </w:rPr>
        <w:t>方式汇入指定帐户（帐户名称：</w:t>
      </w:r>
      <w:r>
        <w:rPr>
          <w:rFonts w:hint="eastAsia" w:ascii="宋体" w:hAnsi="宋体"/>
          <w:szCs w:val="21"/>
          <w:u w:val="single"/>
        </w:rPr>
        <w:t xml:space="preserve">      </w:t>
      </w: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w:t>
      </w:r>
    </w:p>
    <w:p>
      <w:pPr>
        <w:ind w:firstLine="420" w:firstLineChars="200"/>
        <w:rPr>
          <w:rFonts w:ascii="宋体" w:hAnsi="宋体"/>
          <w:szCs w:val="21"/>
        </w:rPr>
      </w:pPr>
      <w:r>
        <w:rPr>
          <w:rFonts w:hint="eastAsia" w:ascii="宋体" w:hAnsi="宋体"/>
          <w:szCs w:val="21"/>
        </w:rPr>
        <w:t>本单位投标保证金的汇款情况：（详见附件－投标保证金进帐单）</w:t>
      </w:r>
    </w:p>
    <w:p>
      <w:pPr>
        <w:ind w:firstLine="420" w:firstLineChars="200"/>
        <w:rPr>
          <w:rFonts w:ascii="宋体" w:hAnsi="宋体"/>
          <w:szCs w:val="21"/>
        </w:rPr>
      </w:pPr>
      <w:r>
        <w:rPr>
          <w:rFonts w:hint="eastAsia" w:ascii="宋体" w:hAnsi="宋体"/>
          <w:szCs w:val="21"/>
        </w:rPr>
        <w:t>汇出时间：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ind w:firstLine="420" w:firstLineChars="200"/>
        <w:rPr>
          <w:rFonts w:ascii="宋体" w:hAnsi="宋体"/>
          <w:szCs w:val="21"/>
        </w:rPr>
      </w:pPr>
      <w:r>
        <w:rPr>
          <w:rFonts w:hint="eastAsia" w:ascii="宋体" w:hAnsi="宋体"/>
          <w:szCs w:val="21"/>
        </w:rPr>
        <w:t>汇款金额：</w:t>
      </w:r>
      <w:r>
        <w:rPr>
          <w:rFonts w:hint="eastAsia" w:ascii="宋体" w:hAnsi="宋体"/>
          <w:szCs w:val="21"/>
          <w:u w:val="single"/>
        </w:rPr>
        <w:t xml:space="preserve">           </w:t>
      </w:r>
      <w:r>
        <w:rPr>
          <w:rFonts w:hint="eastAsia" w:ascii="宋体" w:hAnsi="宋体"/>
          <w:szCs w:val="21"/>
        </w:rPr>
        <w:t>（大写）人民币（小写：￥</w:t>
      </w:r>
      <w:r>
        <w:rPr>
          <w:rFonts w:hint="eastAsia" w:ascii="宋体" w:hAnsi="宋体"/>
          <w:szCs w:val="21"/>
          <w:u w:val="single"/>
        </w:rPr>
        <w:t xml:space="preserve">    </w:t>
      </w:r>
      <w:r>
        <w:rPr>
          <w:rFonts w:hint="eastAsia" w:ascii="宋体" w:hAnsi="宋体"/>
          <w:szCs w:val="21"/>
        </w:rPr>
        <w:t>元），</w:t>
      </w:r>
    </w:p>
    <w:p>
      <w:pPr>
        <w:ind w:firstLine="420" w:firstLineChars="200"/>
        <w:rPr>
          <w:rFonts w:ascii="宋体" w:hAnsi="宋体"/>
          <w:szCs w:val="21"/>
        </w:rPr>
      </w:pPr>
      <w:r>
        <w:rPr>
          <w:rFonts w:hint="eastAsia" w:ascii="宋体" w:hAnsi="宋体"/>
          <w:szCs w:val="21"/>
        </w:rPr>
        <w:t>汇款帐户名称：</w:t>
      </w:r>
      <w:r>
        <w:rPr>
          <w:rFonts w:hint="eastAsia" w:ascii="宋体" w:hAnsi="宋体"/>
          <w:szCs w:val="21"/>
          <w:u w:val="single"/>
        </w:rPr>
        <w:t xml:space="preserve">  （必须是投标时使用的帐户名）   </w:t>
      </w:r>
    </w:p>
    <w:p>
      <w:pPr>
        <w:ind w:firstLine="420" w:firstLineChars="200"/>
        <w:rPr>
          <w:rFonts w:ascii="宋体" w:hAnsi="宋体"/>
          <w:szCs w:val="21"/>
        </w:rPr>
      </w:pPr>
      <w:r>
        <w:rPr>
          <w:rFonts w:hint="eastAsia" w:ascii="宋体" w:hAnsi="宋体"/>
          <w:szCs w:val="21"/>
        </w:rPr>
        <w:t>帐        号：</w:t>
      </w:r>
      <w:r>
        <w:rPr>
          <w:rFonts w:hint="eastAsia" w:ascii="宋体" w:hAnsi="宋体"/>
          <w:szCs w:val="21"/>
          <w:u w:val="single"/>
        </w:rPr>
        <w:t xml:space="preserve">  （必须是投标时使用的帐号）     </w:t>
      </w:r>
    </w:p>
    <w:p>
      <w:pPr>
        <w:ind w:firstLine="420" w:firstLineChars="200"/>
        <w:rPr>
          <w:rFonts w:ascii="宋体" w:hAnsi="宋体"/>
          <w:szCs w:val="21"/>
          <w:u w:val="single"/>
        </w:rPr>
      </w:pPr>
      <w:r>
        <w:rPr>
          <w:rFonts w:hint="eastAsia" w:ascii="宋体" w:hAnsi="宋体"/>
          <w:szCs w:val="21"/>
        </w:rPr>
        <w:t>开 户  银 行：</w:t>
      </w:r>
      <w:r>
        <w:rPr>
          <w:rFonts w:hint="eastAsia" w:ascii="宋体" w:hAnsi="宋体"/>
          <w:szCs w:val="21"/>
          <w:u w:val="single"/>
        </w:rPr>
        <w:t xml:space="preserve">  （      银行   分行  支行    ）</w:t>
      </w:r>
    </w:p>
    <w:p>
      <w:pPr>
        <w:ind w:firstLine="420" w:firstLineChars="200"/>
        <w:rPr>
          <w:rFonts w:ascii="宋体" w:hAnsi="宋体"/>
          <w:szCs w:val="21"/>
        </w:rPr>
      </w:pPr>
      <w:r>
        <w:rPr>
          <w:rFonts w:hint="eastAsia" w:ascii="宋体" w:hAnsi="宋体"/>
          <w:szCs w:val="21"/>
        </w:rPr>
        <w:t>本单位谨承诺上述资料是正确、真实的，如因上述证明与事实不符导致的一切损失，本单位保证承担赔偿等一切法律责任。</w:t>
      </w:r>
    </w:p>
    <w:p>
      <w:pPr>
        <w:ind w:firstLine="420" w:firstLineChars="200"/>
        <w:rPr>
          <w:rFonts w:ascii="宋体" w:hAnsi="宋体"/>
          <w:szCs w:val="21"/>
        </w:rPr>
      </w:pPr>
      <w:r>
        <w:rPr>
          <w:rFonts w:hint="eastAsia" w:ascii="宋体" w:hAnsi="宋体"/>
          <w:szCs w:val="21"/>
        </w:rPr>
        <w:t>投标保证金退回时，请按上述资料退回。</w:t>
      </w:r>
    </w:p>
    <w:p>
      <w:pPr>
        <w:spacing w:line="480" w:lineRule="auto"/>
        <w:ind w:right="844" w:rightChars="402"/>
        <w:jc w:val="right"/>
        <w:rPr>
          <w:rFonts w:ascii="宋体" w:hAnsi="宋体"/>
          <w:szCs w:val="21"/>
        </w:rPr>
      </w:pPr>
      <w:r>
        <w:rPr>
          <w:rFonts w:hint="eastAsia" w:ascii="宋体" w:hAnsi="宋体"/>
          <w:szCs w:val="21"/>
        </w:rPr>
        <w:t>（单位公章）</w:t>
      </w:r>
    </w:p>
    <w:p>
      <w:pPr>
        <w:spacing w:line="480" w:lineRule="auto"/>
        <w:ind w:right="628" w:rightChars="299"/>
        <w:jc w:val="center"/>
        <w:rPr>
          <w:rFonts w:ascii="宋体" w:hAnsi="宋体"/>
          <w:szCs w:val="21"/>
        </w:rPr>
      </w:pPr>
      <w:r>
        <w:rPr>
          <w:rFonts w:hint="eastAsia" w:ascii="宋体" w:hAnsi="宋体"/>
          <w:szCs w:val="21"/>
        </w:rPr>
        <w:t xml:space="preserve">                                                        年 月 日</w:t>
      </w:r>
    </w:p>
    <w:p>
      <w:pPr>
        <w:rPr>
          <w:rFonts w:ascii="宋体" w:hAnsi="宋体"/>
          <w:szCs w:val="21"/>
        </w:rPr>
      </w:pPr>
      <w:r>
        <w:rPr>
          <w:rFonts w:hint="eastAsia" w:ascii="宋体" w:hAnsi="宋体"/>
          <w:szCs w:val="21"/>
        </w:rPr>
        <w:t>单位名称：</w:t>
      </w:r>
    </w:p>
    <w:p>
      <w:pPr>
        <w:rPr>
          <w:rFonts w:ascii="宋体" w:hAnsi="宋体"/>
          <w:szCs w:val="21"/>
        </w:rPr>
      </w:pPr>
      <w:r>
        <w:rPr>
          <w:rFonts w:hint="eastAsia" w:ascii="宋体" w:hAnsi="宋体"/>
          <w:szCs w:val="21"/>
        </w:rPr>
        <w:t>单位地址：</w:t>
      </w:r>
    </w:p>
    <w:p>
      <w:pPr>
        <w:rPr>
          <w:rFonts w:ascii="宋体" w:hAnsi="宋体"/>
          <w:szCs w:val="21"/>
        </w:rPr>
      </w:pPr>
      <w:r>
        <w:rPr>
          <w:rFonts w:hint="eastAsia" w:ascii="宋体" w:hAnsi="宋体"/>
          <w:szCs w:val="21"/>
        </w:rPr>
        <w:t>联系人：</w:t>
      </w:r>
    </w:p>
    <w:p>
      <w:pPr>
        <w:rPr>
          <w:rFonts w:ascii="宋体" w:hAnsi="宋体"/>
          <w:szCs w:val="21"/>
        </w:rPr>
      </w:pPr>
      <w:r>
        <w:rPr>
          <w:rFonts w:hint="eastAsia" w:ascii="宋体" w:hAnsi="宋体"/>
          <w:szCs w:val="21"/>
        </w:rPr>
        <w:t xml:space="preserve">单位电话： </w:t>
      </w:r>
    </w:p>
    <w:p>
      <w:pPr>
        <w:rPr>
          <w:rFonts w:ascii="宋体" w:hAnsi="宋体"/>
          <w:szCs w:val="21"/>
        </w:rPr>
      </w:pPr>
      <w:r>
        <w:rPr>
          <w:rFonts w:hint="eastAsia" w:ascii="宋体" w:hAnsi="宋体"/>
          <w:szCs w:val="21"/>
        </w:rPr>
        <w:t>联系人手机：</w:t>
      </w:r>
    </w:p>
    <w:p>
      <w:pPr>
        <w:rPr>
          <w:rFonts w:ascii="宋体" w:hAnsi="宋体"/>
          <w:szCs w:val="21"/>
        </w:rPr>
      </w:pPr>
    </w:p>
    <w:p>
      <w:pPr>
        <w:spacing w:line="380" w:lineRule="exact"/>
        <w:ind w:firstLine="420" w:firstLineChars="200"/>
        <w:rPr>
          <w:rFonts w:ascii="宋体" w:hAnsi="宋体"/>
          <w:szCs w:val="21"/>
        </w:rPr>
      </w:pPr>
      <w:r>
        <w:rPr>
          <w:rFonts w:hint="eastAsia" w:ascii="宋体" w:hAnsi="宋体"/>
          <w:szCs w:val="21"/>
        </w:rPr>
        <w:br w:type="page"/>
      </w:r>
    </w:p>
    <w:p>
      <w:pPr>
        <w:spacing w:line="380" w:lineRule="exact"/>
        <w:ind w:firstLine="420" w:firstLineChars="200"/>
        <w:rPr>
          <w:rFonts w:ascii="宋体" w:hAnsi="宋体"/>
          <w:szCs w:val="21"/>
        </w:rPr>
      </w:pPr>
      <w:r>
        <w:rPr>
          <w:rFonts w:hint="eastAsia" w:ascii="宋体" w:hAnsi="宋体"/>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szCs w:val="21"/>
              </w:rPr>
            </w:pPr>
            <w:r>
              <w:rPr>
                <w:rFonts w:hint="eastAsia" w:ascii="宋体" w:hAnsi="宋体"/>
                <w:szCs w:val="21"/>
              </w:rPr>
              <w:t>（粘贴汇款单或转账</w:t>
            </w:r>
            <w:r>
              <w:rPr>
                <w:rFonts w:ascii="宋体" w:hAnsi="宋体"/>
                <w:szCs w:val="21"/>
              </w:rPr>
              <w:t>凭证</w:t>
            </w:r>
            <w:r>
              <w:rPr>
                <w:rFonts w:hint="eastAsia" w:ascii="宋体" w:hAnsi="宋体"/>
                <w:szCs w:val="21"/>
              </w:rPr>
              <w:t>复印件，并在骑缝上加盖投标人公章，或是直接把转账</w:t>
            </w:r>
            <w:r>
              <w:rPr>
                <w:rFonts w:ascii="宋体" w:hAnsi="宋体"/>
                <w:szCs w:val="21"/>
              </w:rPr>
              <w:t>凭证</w:t>
            </w:r>
            <w:r>
              <w:rPr>
                <w:rFonts w:hint="eastAsia" w:ascii="宋体" w:hAnsi="宋体"/>
                <w:szCs w:val="21"/>
              </w:rPr>
              <w:t>复印到此张纸上）</w:t>
            </w:r>
          </w:p>
        </w:tc>
      </w:tr>
    </w:tbl>
    <w:p>
      <w:pPr>
        <w:ind w:firstLine="422" w:firstLineChars="200"/>
        <w:rPr>
          <w:rFonts w:ascii="宋体" w:hAnsi="宋体"/>
          <w:b/>
          <w:bCs/>
          <w:szCs w:val="21"/>
        </w:rPr>
      </w:pPr>
      <w:r>
        <w:rPr>
          <w:rFonts w:hint="eastAsia" w:ascii="宋体" w:hAnsi="宋体"/>
          <w:b/>
          <w:bCs/>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rPr>
      </w:pPr>
      <w:r>
        <w:rPr>
          <w:rFonts w:hint="eastAsia" w:ascii="宋体" w:hAnsi="宋体"/>
          <w:b/>
          <w:bCs/>
          <w:szCs w:val="21"/>
        </w:rPr>
        <w:t>（2）若投标人以投标担保函形式提交投标保证金，则无需在投标文件中提供此格式。</w:t>
      </w:r>
    </w:p>
    <w:p>
      <w:pPr>
        <w:rPr>
          <w:rFonts w:ascii="黑体" w:eastAsia="黑体"/>
          <w:sz w:val="28"/>
          <w:szCs w:val="28"/>
        </w:rPr>
      </w:pPr>
      <w:r>
        <w:rPr>
          <w:rFonts w:hint="eastAsia" w:ascii="宋体" w:hAnsi="宋体"/>
          <w:szCs w:val="21"/>
        </w:rPr>
        <w:br w:type="page"/>
      </w:r>
    </w:p>
    <w:p>
      <w:pPr>
        <w:pStyle w:val="7"/>
        <w:jc w:val="center"/>
      </w:pPr>
      <w:bookmarkStart w:id="318" w:name="_Toc24545"/>
      <w:bookmarkStart w:id="319" w:name="_Toc26855"/>
      <w:r>
        <w:rPr>
          <w:rFonts w:hint="eastAsia"/>
        </w:rPr>
        <w:t>八、采购投标担保函</w:t>
      </w:r>
      <w:bookmarkEnd w:id="318"/>
      <w:bookmarkEnd w:id="319"/>
    </w:p>
    <w:p>
      <w:pPr>
        <w:wordWrap w:val="0"/>
        <w:jc w:val="right"/>
        <w:rPr>
          <w:rFonts w:ascii="仿宋_GB2312" w:eastAsia="仿宋_GB2312"/>
          <w:sz w:val="32"/>
          <w:szCs w:val="32"/>
        </w:rPr>
      </w:pPr>
      <w:r>
        <w:rPr>
          <w:rFonts w:hint="eastAsia" w:ascii="黑体" w:eastAsia="黑体"/>
          <w:sz w:val="28"/>
          <w:szCs w:val="28"/>
        </w:rPr>
        <w:t xml:space="preserve"> 编号：</w:t>
      </w:r>
    </w:p>
    <w:p>
      <w:pPr>
        <w:spacing w:line="480" w:lineRule="auto"/>
        <w:rPr>
          <w:rFonts w:ascii="宋体" w:hAnsi="宋体" w:cs="宋体"/>
          <w:szCs w:val="21"/>
        </w:rPr>
      </w:pPr>
      <w:r>
        <w:rPr>
          <w:rFonts w:hint="eastAsia" w:ascii="宋体" w:hAnsi="宋体" w:cs="宋体"/>
          <w:szCs w:val="21"/>
        </w:rPr>
        <w:t>（采购人或采购代理机构）：</w:t>
      </w:r>
    </w:p>
    <w:p>
      <w:pPr>
        <w:spacing w:line="480" w:lineRule="auto"/>
        <w:ind w:firstLine="420" w:firstLineChars="200"/>
        <w:rPr>
          <w:rFonts w:ascii="宋体" w:hAnsi="宋体" w:cs="宋体"/>
          <w:szCs w:val="21"/>
        </w:rPr>
      </w:pPr>
      <w:r>
        <w:rPr>
          <w:rFonts w:hint="eastAsia" w:ascii="宋体" w:hAnsi="宋体" w:cs="宋体"/>
          <w:szCs w:val="21"/>
        </w:rPr>
        <w:t>鉴于（以下简称“投标人”）拟参加编号为</w:t>
      </w:r>
      <w:r>
        <w:rPr>
          <w:rFonts w:hint="eastAsia" w:ascii="宋体" w:hAnsi="宋体" w:cs="宋体"/>
          <w:szCs w:val="21"/>
          <w:u w:val="single"/>
        </w:rPr>
        <w:t xml:space="preserve">            的</w:t>
      </w:r>
    </w:p>
    <w:p>
      <w:pPr>
        <w:spacing w:line="480" w:lineRule="auto"/>
        <w:rPr>
          <w:rFonts w:ascii="宋体" w:hAnsi="宋体" w:cs="宋体"/>
          <w:szCs w:val="21"/>
        </w:rPr>
      </w:pPr>
      <w:r>
        <w:rPr>
          <w:rFonts w:hint="eastAsia" w:ascii="宋体" w:hAnsi="宋体" w:cs="宋体"/>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szCs w:val="21"/>
        </w:rPr>
      </w:pPr>
      <w:r>
        <w:rPr>
          <w:rFonts w:hint="eastAsia" w:ascii="宋体" w:hAnsi="宋体" w:cs="宋体"/>
          <w:b/>
          <w:szCs w:val="21"/>
        </w:rPr>
        <w:t>一、保证责任的情形及保证金额</w:t>
      </w:r>
    </w:p>
    <w:p>
      <w:pPr>
        <w:spacing w:line="480" w:lineRule="auto"/>
        <w:ind w:firstLine="210" w:firstLineChars="100"/>
        <w:rPr>
          <w:rFonts w:ascii="宋体" w:hAnsi="宋体" w:cs="宋体"/>
          <w:szCs w:val="21"/>
        </w:rPr>
      </w:pPr>
      <w:r>
        <w:rPr>
          <w:rFonts w:hint="eastAsia" w:ascii="宋体" w:hAnsi="宋体" w:cs="宋体"/>
          <w:szCs w:val="21"/>
        </w:rPr>
        <w:t>（一）在投标人出现下列情形之一时，我方承担保证责任：</w:t>
      </w:r>
    </w:p>
    <w:p>
      <w:pPr>
        <w:spacing w:line="480" w:lineRule="auto"/>
        <w:ind w:firstLine="420" w:firstLineChars="200"/>
        <w:rPr>
          <w:rFonts w:ascii="宋体" w:hAnsi="宋体" w:cs="宋体"/>
          <w:szCs w:val="21"/>
        </w:rPr>
      </w:pPr>
      <w:r>
        <w:rPr>
          <w:rFonts w:hint="eastAsia" w:ascii="宋体" w:hAnsi="宋体" w:cs="宋体"/>
          <w:szCs w:val="21"/>
        </w:rPr>
        <w:t>1．中标后投标人无正当理由不与采购人或者采购代理机构签订《采购合同》；</w:t>
      </w:r>
    </w:p>
    <w:p>
      <w:pPr>
        <w:spacing w:line="480" w:lineRule="auto"/>
        <w:ind w:firstLine="420" w:firstLineChars="200"/>
        <w:rPr>
          <w:rFonts w:ascii="宋体" w:hAnsi="宋体" w:cs="宋体"/>
          <w:szCs w:val="21"/>
        </w:rPr>
      </w:pPr>
      <w:r>
        <w:rPr>
          <w:rFonts w:hint="eastAsia" w:ascii="宋体" w:hAnsi="宋体" w:cs="宋体"/>
          <w:szCs w:val="21"/>
        </w:rPr>
        <w:t>2．招标文件规定的投标人应当缴纳保证金的其他情形。</w:t>
      </w:r>
    </w:p>
    <w:p>
      <w:pPr>
        <w:spacing w:line="480" w:lineRule="auto"/>
        <w:ind w:firstLine="210" w:firstLineChars="100"/>
        <w:rPr>
          <w:rFonts w:ascii="宋体" w:hAnsi="宋体" w:cs="宋体"/>
          <w:szCs w:val="21"/>
        </w:rPr>
      </w:pPr>
      <w:r>
        <w:rPr>
          <w:rFonts w:hint="eastAsia" w:ascii="宋体" w:hAnsi="宋体" w:cs="宋体"/>
          <w:szCs w:val="21"/>
        </w:rPr>
        <w:t>（二）我方承担保证责任的最高金额为人民币元（大写），即本项目的投标保证金金额。</w:t>
      </w:r>
    </w:p>
    <w:p>
      <w:pPr>
        <w:spacing w:line="480" w:lineRule="auto"/>
        <w:ind w:firstLine="422" w:firstLineChars="200"/>
        <w:rPr>
          <w:rFonts w:ascii="宋体" w:hAnsi="宋体" w:cs="宋体"/>
          <w:b/>
          <w:szCs w:val="21"/>
        </w:rPr>
      </w:pPr>
      <w:r>
        <w:rPr>
          <w:rFonts w:hint="eastAsia" w:ascii="宋体" w:hAnsi="宋体" w:cs="宋体"/>
          <w:b/>
          <w:szCs w:val="21"/>
        </w:rPr>
        <w:t>二、保证的方式及保证期间</w:t>
      </w:r>
    </w:p>
    <w:p>
      <w:pPr>
        <w:spacing w:line="480" w:lineRule="auto"/>
        <w:ind w:firstLine="420" w:firstLineChars="200"/>
        <w:rPr>
          <w:rFonts w:ascii="宋体" w:hAnsi="宋体" w:cs="宋体"/>
          <w:szCs w:val="21"/>
        </w:rPr>
      </w:pPr>
      <w:r>
        <w:rPr>
          <w:rFonts w:hint="eastAsia" w:ascii="宋体" w:hAnsi="宋体" w:cs="宋体"/>
          <w:szCs w:val="21"/>
        </w:rPr>
        <w:t>我方保证的方式为：连带责任保证。</w:t>
      </w:r>
    </w:p>
    <w:p>
      <w:pPr>
        <w:spacing w:line="480" w:lineRule="auto"/>
        <w:ind w:firstLine="420" w:firstLineChars="200"/>
        <w:rPr>
          <w:rFonts w:ascii="宋体" w:hAnsi="宋体" w:cs="宋体"/>
          <w:szCs w:val="21"/>
        </w:rPr>
      </w:pPr>
      <w:r>
        <w:rPr>
          <w:rFonts w:hint="eastAsia" w:ascii="宋体" w:hAnsi="宋体" w:cs="宋体"/>
          <w:szCs w:val="21"/>
        </w:rPr>
        <w:t>我方的保证期间为：自本保函生效之日起个月止。</w:t>
      </w:r>
    </w:p>
    <w:p>
      <w:pPr>
        <w:spacing w:line="480" w:lineRule="auto"/>
        <w:ind w:firstLine="422" w:firstLineChars="200"/>
        <w:rPr>
          <w:rFonts w:ascii="宋体" w:hAnsi="宋体" w:cs="宋体"/>
          <w:b/>
          <w:szCs w:val="21"/>
        </w:rPr>
      </w:pPr>
      <w:r>
        <w:rPr>
          <w:rFonts w:hint="eastAsia" w:ascii="宋体" w:hAnsi="宋体" w:cs="宋体"/>
          <w:b/>
          <w:szCs w:val="21"/>
        </w:rPr>
        <w:t>三、承担保证责任的程序</w:t>
      </w:r>
    </w:p>
    <w:p>
      <w:pPr>
        <w:spacing w:line="480" w:lineRule="auto"/>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rPr>
      </w:pPr>
      <w:r>
        <w:rPr>
          <w:rFonts w:hint="eastAsia" w:ascii="宋体" w:hAnsi="宋体" w:cs="宋体"/>
          <w:szCs w:val="21"/>
        </w:rPr>
        <w:t>2．我方在收到索赔通知及相关证明材料后，在</w:t>
      </w:r>
      <w:r>
        <w:rPr>
          <w:rFonts w:hint="eastAsia" w:ascii="宋体" w:hAnsi="宋体" w:cs="宋体"/>
          <w:szCs w:val="21"/>
          <w:u w:val="single"/>
        </w:rPr>
        <w:t>　　　</w:t>
      </w:r>
      <w:r>
        <w:rPr>
          <w:rFonts w:hint="eastAsia" w:ascii="宋体" w:hAnsi="宋体" w:cs="宋体"/>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rPr>
      </w:pPr>
      <w:r>
        <w:rPr>
          <w:rFonts w:hint="eastAsia" w:ascii="宋体" w:hAnsi="宋体" w:cs="宋体"/>
          <w:b/>
          <w:szCs w:val="21"/>
        </w:rPr>
        <w:t>四、保证责任的终止</w:t>
      </w:r>
    </w:p>
    <w:p>
      <w:pPr>
        <w:spacing w:line="480" w:lineRule="auto"/>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rPr>
      </w:pPr>
      <w:r>
        <w:rPr>
          <w:rFonts w:hint="eastAsia" w:ascii="宋体" w:hAnsi="宋体" w:cs="宋体"/>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rPr>
      </w:pPr>
      <w:r>
        <w:rPr>
          <w:rFonts w:hint="eastAsia" w:ascii="宋体" w:hAnsi="宋体" w:cs="宋体"/>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rPr>
      </w:pPr>
      <w:r>
        <w:rPr>
          <w:rFonts w:hint="eastAsia" w:ascii="宋体" w:hAnsi="宋体" w:cs="宋体"/>
          <w:b/>
          <w:szCs w:val="21"/>
        </w:rPr>
        <w:t>五、免责条款</w:t>
      </w:r>
    </w:p>
    <w:p>
      <w:pPr>
        <w:spacing w:line="480" w:lineRule="auto"/>
        <w:ind w:firstLine="420" w:firstLineChars="200"/>
        <w:rPr>
          <w:rFonts w:ascii="宋体" w:hAnsi="宋体" w:cs="宋体"/>
          <w:szCs w:val="21"/>
        </w:rPr>
      </w:pPr>
      <w:r>
        <w:rPr>
          <w:rFonts w:hint="eastAsia" w:ascii="宋体" w:hAnsi="宋体" w:cs="宋体"/>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rPr>
      </w:pPr>
      <w:r>
        <w:rPr>
          <w:rFonts w:hint="eastAsia" w:ascii="宋体" w:hAnsi="宋体" w:cs="宋体"/>
          <w:szCs w:val="21"/>
        </w:rPr>
        <w:t>2．因你方原因致使投标人发生本保函第一条第（一）款约定情形的，我方不承担保证责任。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3．因不可抗力造成投标人发生本保函第一条约定情形的，我方不承担保证责任。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rPr>
      </w:pPr>
      <w:r>
        <w:rPr>
          <w:rFonts w:hint="eastAsia" w:ascii="宋体" w:hAnsi="宋体" w:cs="宋体"/>
          <w:b/>
          <w:szCs w:val="21"/>
        </w:rPr>
        <w:t>六、争议的解决</w:t>
      </w:r>
    </w:p>
    <w:p>
      <w:pPr>
        <w:spacing w:line="480" w:lineRule="auto"/>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rPr>
      </w:pPr>
      <w:r>
        <w:rPr>
          <w:rFonts w:hint="eastAsia" w:ascii="宋体" w:hAnsi="宋体" w:cs="宋体"/>
          <w:b/>
          <w:szCs w:val="21"/>
        </w:rPr>
        <w:t>七、保函的生效</w:t>
      </w:r>
    </w:p>
    <w:p>
      <w:pPr>
        <w:spacing w:line="480" w:lineRule="auto"/>
        <w:ind w:firstLine="420" w:firstLineChars="200"/>
        <w:rPr>
          <w:rFonts w:ascii="宋体" w:hAnsi="宋体" w:cs="宋体"/>
          <w:szCs w:val="21"/>
        </w:rPr>
      </w:pPr>
      <w:r>
        <w:rPr>
          <w:rFonts w:hint="eastAsia" w:ascii="宋体" w:hAnsi="宋体" w:cs="宋体"/>
          <w:szCs w:val="21"/>
        </w:rPr>
        <w:t>本保函自我方加盖公章之日起生效。</w:t>
      </w:r>
    </w:p>
    <w:p>
      <w:pPr>
        <w:spacing w:line="480" w:lineRule="auto"/>
        <w:jc w:val="right"/>
        <w:rPr>
          <w:rFonts w:ascii="宋体" w:hAnsi="宋体" w:cs="宋体"/>
          <w:szCs w:val="21"/>
        </w:rPr>
      </w:pPr>
    </w:p>
    <w:p>
      <w:pPr>
        <w:spacing w:line="480" w:lineRule="auto"/>
        <w:jc w:val="right"/>
        <w:rPr>
          <w:rFonts w:ascii="宋体" w:hAnsi="宋体" w:cs="宋体"/>
          <w:szCs w:val="21"/>
        </w:rPr>
      </w:pPr>
      <w:r>
        <w:rPr>
          <w:rFonts w:hint="eastAsia" w:ascii="宋体" w:hAnsi="宋体" w:cs="宋体"/>
          <w:szCs w:val="21"/>
        </w:rPr>
        <w:t>保证人：（公章）</w:t>
      </w:r>
    </w:p>
    <w:p>
      <w:pPr>
        <w:spacing w:line="480" w:lineRule="auto"/>
        <w:jc w:val="right"/>
        <w:rPr>
          <w:rFonts w:ascii="宋体" w:hAnsi="宋体" w:cs="宋体"/>
          <w:szCs w:val="21"/>
        </w:rPr>
      </w:pPr>
      <w:r>
        <w:rPr>
          <w:rFonts w:hint="eastAsia" w:ascii="宋体" w:hAnsi="宋体" w:cs="宋体"/>
          <w:szCs w:val="21"/>
        </w:rPr>
        <w:t>年     月      日</w:t>
      </w:r>
    </w:p>
    <w:p>
      <w:pPr>
        <w:rPr>
          <w:rFonts w:ascii="宋体" w:hAnsi="宋体"/>
          <w:szCs w:val="21"/>
        </w:rPr>
      </w:pPr>
    </w:p>
    <w:p>
      <w:pPr>
        <w:rPr>
          <w:rFonts w:ascii="宋体" w:hAnsi="宋体"/>
          <w:b/>
          <w:bCs/>
          <w:szCs w:val="21"/>
        </w:rPr>
      </w:pPr>
      <w:r>
        <w:rPr>
          <w:rFonts w:hint="eastAsia" w:ascii="宋体" w:hAnsi="宋体"/>
          <w:b/>
          <w:bCs/>
          <w:szCs w:val="21"/>
        </w:rPr>
        <w:t>注：</w:t>
      </w:r>
    </w:p>
    <w:p>
      <w:pPr>
        <w:ind w:firstLine="422" w:firstLineChars="200"/>
        <w:rPr>
          <w:rFonts w:ascii="宋体" w:hAnsi="宋体"/>
          <w:b/>
          <w:bCs/>
          <w:szCs w:val="21"/>
        </w:rPr>
      </w:pPr>
      <w:r>
        <w:rPr>
          <w:rFonts w:hint="eastAsia" w:ascii="宋体" w:hAnsi="宋体"/>
          <w:b/>
          <w:bCs/>
          <w:szCs w:val="21"/>
        </w:rPr>
        <w:t>（1）若投标人不以投标担保函形式提交投标保证金，则无需在投标文件中提供此格式。</w:t>
      </w:r>
    </w:p>
    <w:p>
      <w:pPr>
        <w:ind w:firstLine="422" w:firstLineChars="200"/>
      </w:pPr>
      <w:r>
        <w:rPr>
          <w:rFonts w:hint="eastAsia" w:ascii="宋体" w:hAnsi="宋体"/>
          <w:b/>
          <w:bCs/>
          <w:szCs w:val="21"/>
        </w:rPr>
        <w:t>（2）若投标人以投标担保函形式提交投标保证金，则应将投标担保函原件交予采购代理机构。</w:t>
      </w:r>
    </w:p>
    <w:p>
      <w:pPr>
        <w:pStyle w:val="7"/>
        <w:jc w:val="center"/>
      </w:pPr>
      <w:bookmarkStart w:id="320" w:name="_Toc6961"/>
      <w:r>
        <w:rPr>
          <w:rFonts w:hint="eastAsia"/>
        </w:rPr>
        <w:t>九、采购履约担保函</w:t>
      </w:r>
      <w:bookmarkEnd w:id="320"/>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7"/>
        <w:jc w:val="center"/>
      </w:pPr>
      <w:bookmarkStart w:id="321" w:name="_Toc26782"/>
      <w:bookmarkStart w:id="322" w:name="_Toc26772"/>
      <w:r>
        <w:rPr>
          <w:rFonts w:hint="eastAsia"/>
        </w:rPr>
        <w:t>第四章唱标信封（单独封装）</w:t>
      </w:r>
      <w:bookmarkEnd w:id="321"/>
      <w:bookmarkEnd w:id="322"/>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Pr>
        <w:ind w:firstLine="420" w:firstLineChars="200"/>
      </w:pPr>
      <w:r>
        <w:rPr>
          <w:rFonts w:hint="eastAsia"/>
        </w:rPr>
        <w:t>（3）投标保证金汇入情况说明及投标保证金汇款底单（复印件加盖公章），或《采购投标担保函》复印件。</w:t>
      </w:r>
    </w:p>
    <w:p/>
    <w:p/>
    <w:p/>
    <w:p/>
    <w:p/>
    <w:p/>
    <w:p/>
    <w:p/>
    <w:p/>
    <w:p/>
    <w:p/>
    <w:p/>
    <w:p>
      <w:bookmarkStart w:id="323" w:name="_Toc11182"/>
    </w:p>
    <w:p/>
    <w:p/>
    <w:p/>
    <w:p/>
    <w:p/>
    <w:p/>
    <w:p>
      <w:pPr>
        <w:pStyle w:val="2"/>
      </w:pPr>
    </w:p>
    <w:p/>
    <w:p>
      <w:pPr>
        <w:pStyle w:val="2"/>
      </w:pPr>
    </w:p>
    <w:p/>
    <w:p>
      <w:pPr>
        <w:pStyle w:val="2"/>
      </w:pPr>
    </w:p>
    <w:p/>
    <w:p>
      <w:pPr>
        <w:pStyle w:val="2"/>
      </w:pPr>
    </w:p>
    <w:p/>
    <w:p>
      <w:pPr>
        <w:pStyle w:val="7"/>
        <w:jc w:val="center"/>
      </w:pPr>
      <w:bookmarkStart w:id="324" w:name="_Toc2710"/>
      <w:bookmarkStart w:id="325" w:name="_Toc22736"/>
      <w:r>
        <w:rPr>
          <w:rFonts w:hint="eastAsia"/>
        </w:rPr>
        <w:t>第五章联合体共同投标协议书（如有需要）</w:t>
      </w:r>
      <w:bookmarkEnd w:id="324"/>
      <w:bookmarkEnd w:id="325"/>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23"/>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3"/>
        <w:tblW w:w="4998" w:type="pct"/>
        <w:tblInd w:w="0" w:type="dxa"/>
        <w:tblLayout w:type="fixed"/>
        <w:tblCellMar>
          <w:top w:w="0" w:type="dxa"/>
          <w:left w:w="108" w:type="dxa"/>
          <w:bottom w:w="0" w:type="dxa"/>
          <w:right w:w="108" w:type="dxa"/>
        </w:tblCellMar>
      </w:tblPr>
      <w:tblGrid>
        <w:gridCol w:w="2768"/>
        <w:gridCol w:w="2354"/>
        <w:gridCol w:w="1016"/>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w:t>
            </w:r>
            <w:r>
              <w:rPr>
                <w:rFonts w:hint="eastAsia" w:ascii="宋体" w:hAnsi="宋体" w:cs="宋体"/>
                <w:sz w:val="28"/>
                <w:szCs w:val="28"/>
                <w:lang w:val="en-US" w:eastAsia="zh-CN" w:bidi="ar"/>
              </w:rPr>
              <w:t>300</w:t>
            </w:r>
            <w:r>
              <w:rPr>
                <w:rFonts w:hint="eastAsia" w:ascii="宋体" w:hAnsi="宋体" w:cs="宋体"/>
                <w:sz w:val="28"/>
                <w:szCs w:val="28"/>
                <w:lang w:bidi="ar"/>
              </w:rPr>
              <w:t>元/份</w:t>
            </w:r>
          </w:p>
        </w:tc>
      </w:tr>
    </w:tbl>
    <w:p>
      <w:pPr>
        <w:pStyle w:val="3"/>
        <w:ind w:left="0" w:firstLine="0" w:firstLineChars="0"/>
      </w:pPr>
    </w:p>
    <w:sectPr>
      <w:type w:val="continuous"/>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40BA966"/>
    <w:multiLevelType w:val="singleLevel"/>
    <w:tmpl w:val="A40BA966"/>
    <w:lvl w:ilvl="0" w:tentative="0">
      <w:start w:val="1"/>
      <w:numFmt w:val="decimal"/>
      <w:suff w:val="nothing"/>
      <w:lvlText w:val="%1．"/>
      <w:lvlJc w:val="left"/>
      <w:pPr>
        <w:ind w:left="0" w:firstLine="400"/>
      </w:pPr>
      <w:rPr>
        <w:rFonts w:hint="default"/>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C74D97"/>
    <w:multiLevelType w:val="multilevel"/>
    <w:tmpl w:val="05C74D9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1E126B9"/>
    <w:multiLevelType w:val="multilevel"/>
    <w:tmpl w:val="11E126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21C127FC"/>
    <w:multiLevelType w:val="multilevel"/>
    <w:tmpl w:val="21C127FC"/>
    <w:lvl w:ilvl="0" w:tentative="0">
      <w:start w:val="1"/>
      <w:numFmt w:val="japaneseCounting"/>
      <w:lvlText w:val="（%1）"/>
      <w:lvlJc w:val="left"/>
      <w:pPr>
        <w:ind w:left="1640" w:hanging="108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316010E5"/>
    <w:multiLevelType w:val="singleLevel"/>
    <w:tmpl w:val="316010E5"/>
    <w:lvl w:ilvl="0" w:tentative="0">
      <w:start w:val="1"/>
      <w:numFmt w:val="decimal"/>
      <w:suff w:val="nothing"/>
      <w:lvlText w:val="%1．"/>
      <w:lvlJc w:val="left"/>
    </w:lvl>
  </w:abstractNum>
  <w:abstractNum w:abstractNumId="12">
    <w:nsid w:val="3B1B8417"/>
    <w:multiLevelType w:val="singleLevel"/>
    <w:tmpl w:val="3B1B8417"/>
    <w:lvl w:ilvl="0" w:tentative="0">
      <w:start w:val="1"/>
      <w:numFmt w:val="decimal"/>
      <w:suff w:val="nothing"/>
      <w:lvlText w:val="%1、"/>
      <w:lvlJc w:val="left"/>
    </w:lvl>
  </w:abstractNum>
  <w:abstractNum w:abstractNumId="13">
    <w:nsid w:val="3F88662E"/>
    <w:multiLevelType w:val="singleLevel"/>
    <w:tmpl w:val="3F88662E"/>
    <w:lvl w:ilvl="0" w:tentative="0">
      <w:start w:val="1"/>
      <w:numFmt w:val="decimal"/>
      <w:suff w:val="space"/>
      <w:lvlText w:val="%1)"/>
      <w:lvlJc w:val="left"/>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2"/>
  </w:num>
  <w:num w:numId="3">
    <w:abstractNumId w:val="8"/>
  </w:num>
  <w:num w:numId="4">
    <w:abstractNumId w:val="13"/>
  </w:num>
  <w:num w:numId="5">
    <w:abstractNumId w:val="9"/>
  </w:num>
  <w:num w:numId="6">
    <w:abstractNumId w:val="4"/>
  </w:num>
  <w:num w:numId="7">
    <w:abstractNumId w:val="2"/>
  </w:num>
  <w:num w:numId="8">
    <w:abstractNumId w:val="1"/>
  </w:num>
  <w:num w:numId="9">
    <w:abstractNumId w:val="6"/>
  </w:num>
  <w:num w:numId="10">
    <w:abstractNumId w:val="7"/>
  </w:num>
  <w:num w:numId="11">
    <w:abstractNumId w:val="10"/>
  </w:num>
  <w:num w:numId="12">
    <w:abstractNumId w:val="3"/>
  </w:num>
  <w:num w:numId="13">
    <w:abstractNumId w:val="5"/>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1YzMxYjlkNjI3YTY0NWM4NzJjZGI3NDYxYWQzZjgifQ=="/>
  </w:docVars>
  <w:rsids>
    <w:rsidRoot w:val="00664F6B"/>
    <w:rsid w:val="00006462"/>
    <w:rsid w:val="0001757B"/>
    <w:rsid w:val="0002148C"/>
    <w:rsid w:val="000300E4"/>
    <w:rsid w:val="0003307E"/>
    <w:rsid w:val="000336BA"/>
    <w:rsid w:val="000359A1"/>
    <w:rsid w:val="00051B10"/>
    <w:rsid w:val="0007500F"/>
    <w:rsid w:val="0008282E"/>
    <w:rsid w:val="000855B5"/>
    <w:rsid w:val="0009376C"/>
    <w:rsid w:val="000A363F"/>
    <w:rsid w:val="000A42A8"/>
    <w:rsid w:val="000A4B89"/>
    <w:rsid w:val="000A5063"/>
    <w:rsid w:val="000A5DBD"/>
    <w:rsid w:val="000A7733"/>
    <w:rsid w:val="000C4524"/>
    <w:rsid w:val="000D44A6"/>
    <w:rsid w:val="000D5273"/>
    <w:rsid w:val="000F09D9"/>
    <w:rsid w:val="000F0E98"/>
    <w:rsid w:val="00102AF1"/>
    <w:rsid w:val="001049A5"/>
    <w:rsid w:val="0010765D"/>
    <w:rsid w:val="00116627"/>
    <w:rsid w:val="001242F3"/>
    <w:rsid w:val="00134CAD"/>
    <w:rsid w:val="00136E8D"/>
    <w:rsid w:val="0013730B"/>
    <w:rsid w:val="00137853"/>
    <w:rsid w:val="00137E1C"/>
    <w:rsid w:val="00147012"/>
    <w:rsid w:val="00152B99"/>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E02BF"/>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2D0B"/>
    <w:rsid w:val="0026312D"/>
    <w:rsid w:val="0027078E"/>
    <w:rsid w:val="00284156"/>
    <w:rsid w:val="00285643"/>
    <w:rsid w:val="002867A1"/>
    <w:rsid w:val="002901F8"/>
    <w:rsid w:val="002A1FB3"/>
    <w:rsid w:val="002A540A"/>
    <w:rsid w:val="002B4087"/>
    <w:rsid w:val="002B5F6C"/>
    <w:rsid w:val="002C165E"/>
    <w:rsid w:val="002C6C78"/>
    <w:rsid w:val="002D1594"/>
    <w:rsid w:val="002D3F9C"/>
    <w:rsid w:val="002D503C"/>
    <w:rsid w:val="002D674A"/>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84B95"/>
    <w:rsid w:val="00486464"/>
    <w:rsid w:val="00490B9E"/>
    <w:rsid w:val="00497577"/>
    <w:rsid w:val="004A05D7"/>
    <w:rsid w:val="004A07D0"/>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D6C6A"/>
    <w:rsid w:val="005F573A"/>
    <w:rsid w:val="005F7EB1"/>
    <w:rsid w:val="00604B81"/>
    <w:rsid w:val="00613417"/>
    <w:rsid w:val="0061545F"/>
    <w:rsid w:val="006175DE"/>
    <w:rsid w:val="006215AC"/>
    <w:rsid w:val="00621821"/>
    <w:rsid w:val="00622362"/>
    <w:rsid w:val="00622497"/>
    <w:rsid w:val="006276AD"/>
    <w:rsid w:val="00627BCA"/>
    <w:rsid w:val="006378D4"/>
    <w:rsid w:val="0064416A"/>
    <w:rsid w:val="0065365D"/>
    <w:rsid w:val="0065543F"/>
    <w:rsid w:val="006578CD"/>
    <w:rsid w:val="00664F6B"/>
    <w:rsid w:val="006731D2"/>
    <w:rsid w:val="00682986"/>
    <w:rsid w:val="006858F8"/>
    <w:rsid w:val="006913C9"/>
    <w:rsid w:val="00691701"/>
    <w:rsid w:val="00691AE0"/>
    <w:rsid w:val="006946B3"/>
    <w:rsid w:val="0069491E"/>
    <w:rsid w:val="0069735A"/>
    <w:rsid w:val="006B7878"/>
    <w:rsid w:val="006C14BD"/>
    <w:rsid w:val="006C28E5"/>
    <w:rsid w:val="006D08E0"/>
    <w:rsid w:val="006D1BA8"/>
    <w:rsid w:val="006D1BE7"/>
    <w:rsid w:val="006D393E"/>
    <w:rsid w:val="006D4AD8"/>
    <w:rsid w:val="006E0B58"/>
    <w:rsid w:val="006E0C4B"/>
    <w:rsid w:val="007110BA"/>
    <w:rsid w:val="00711465"/>
    <w:rsid w:val="0072310A"/>
    <w:rsid w:val="00723B11"/>
    <w:rsid w:val="00723E7C"/>
    <w:rsid w:val="007343A7"/>
    <w:rsid w:val="00734BB2"/>
    <w:rsid w:val="00746AE3"/>
    <w:rsid w:val="0075028E"/>
    <w:rsid w:val="007608B9"/>
    <w:rsid w:val="00761AAB"/>
    <w:rsid w:val="00771F6C"/>
    <w:rsid w:val="007724B4"/>
    <w:rsid w:val="007818FB"/>
    <w:rsid w:val="007916E7"/>
    <w:rsid w:val="00797C5D"/>
    <w:rsid w:val="00797D2F"/>
    <w:rsid w:val="007A34B9"/>
    <w:rsid w:val="007A6F47"/>
    <w:rsid w:val="007B346D"/>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56328"/>
    <w:rsid w:val="0086026F"/>
    <w:rsid w:val="008640F5"/>
    <w:rsid w:val="008907DA"/>
    <w:rsid w:val="008A0587"/>
    <w:rsid w:val="008B1E93"/>
    <w:rsid w:val="008B7726"/>
    <w:rsid w:val="008C51C8"/>
    <w:rsid w:val="008D429E"/>
    <w:rsid w:val="008D5A10"/>
    <w:rsid w:val="008E319F"/>
    <w:rsid w:val="008E4452"/>
    <w:rsid w:val="008E60FB"/>
    <w:rsid w:val="008E619C"/>
    <w:rsid w:val="008F6E0E"/>
    <w:rsid w:val="008F79E1"/>
    <w:rsid w:val="00906F49"/>
    <w:rsid w:val="0091006C"/>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4FA0"/>
    <w:rsid w:val="009A7058"/>
    <w:rsid w:val="009C6AD9"/>
    <w:rsid w:val="009D55C3"/>
    <w:rsid w:val="009E398C"/>
    <w:rsid w:val="009E6F05"/>
    <w:rsid w:val="00A03EED"/>
    <w:rsid w:val="00A10906"/>
    <w:rsid w:val="00A13BCD"/>
    <w:rsid w:val="00A14EEF"/>
    <w:rsid w:val="00A25E78"/>
    <w:rsid w:val="00A61230"/>
    <w:rsid w:val="00A66E81"/>
    <w:rsid w:val="00A813C5"/>
    <w:rsid w:val="00A824E6"/>
    <w:rsid w:val="00A8406E"/>
    <w:rsid w:val="00A858DC"/>
    <w:rsid w:val="00A94D14"/>
    <w:rsid w:val="00AB19CE"/>
    <w:rsid w:val="00AB3969"/>
    <w:rsid w:val="00AC187B"/>
    <w:rsid w:val="00AC5C21"/>
    <w:rsid w:val="00AE310E"/>
    <w:rsid w:val="00AE4FC5"/>
    <w:rsid w:val="00AF5796"/>
    <w:rsid w:val="00AF5F1F"/>
    <w:rsid w:val="00B027A4"/>
    <w:rsid w:val="00B236B3"/>
    <w:rsid w:val="00B26534"/>
    <w:rsid w:val="00B265E6"/>
    <w:rsid w:val="00B26806"/>
    <w:rsid w:val="00B31B24"/>
    <w:rsid w:val="00B4287F"/>
    <w:rsid w:val="00B4315F"/>
    <w:rsid w:val="00B5262D"/>
    <w:rsid w:val="00B53916"/>
    <w:rsid w:val="00B60DAB"/>
    <w:rsid w:val="00B66970"/>
    <w:rsid w:val="00B7194E"/>
    <w:rsid w:val="00B73F05"/>
    <w:rsid w:val="00B763B0"/>
    <w:rsid w:val="00B90057"/>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05C7"/>
    <w:rsid w:val="00CB667D"/>
    <w:rsid w:val="00CB7EF0"/>
    <w:rsid w:val="00CC584A"/>
    <w:rsid w:val="00CC5E4E"/>
    <w:rsid w:val="00CD0979"/>
    <w:rsid w:val="00CD0EAB"/>
    <w:rsid w:val="00CE08C3"/>
    <w:rsid w:val="00CE2AF3"/>
    <w:rsid w:val="00CE621D"/>
    <w:rsid w:val="00CE66E8"/>
    <w:rsid w:val="00D05388"/>
    <w:rsid w:val="00D114CD"/>
    <w:rsid w:val="00D14476"/>
    <w:rsid w:val="00D232FF"/>
    <w:rsid w:val="00D279AA"/>
    <w:rsid w:val="00D33ACF"/>
    <w:rsid w:val="00D34544"/>
    <w:rsid w:val="00D44A97"/>
    <w:rsid w:val="00D45C0C"/>
    <w:rsid w:val="00D508A5"/>
    <w:rsid w:val="00D5104B"/>
    <w:rsid w:val="00D555D8"/>
    <w:rsid w:val="00D60778"/>
    <w:rsid w:val="00D6286C"/>
    <w:rsid w:val="00D64D28"/>
    <w:rsid w:val="00D65511"/>
    <w:rsid w:val="00D6604D"/>
    <w:rsid w:val="00D677F1"/>
    <w:rsid w:val="00D74601"/>
    <w:rsid w:val="00D83E46"/>
    <w:rsid w:val="00D847B6"/>
    <w:rsid w:val="00DA6169"/>
    <w:rsid w:val="00DB5480"/>
    <w:rsid w:val="00DB6317"/>
    <w:rsid w:val="00DC5AD9"/>
    <w:rsid w:val="00DC691F"/>
    <w:rsid w:val="00DC7585"/>
    <w:rsid w:val="00DC76EE"/>
    <w:rsid w:val="00DD02DE"/>
    <w:rsid w:val="00DD07B7"/>
    <w:rsid w:val="00DD113C"/>
    <w:rsid w:val="00DE0BEB"/>
    <w:rsid w:val="00DE4856"/>
    <w:rsid w:val="00DF485B"/>
    <w:rsid w:val="00E21B77"/>
    <w:rsid w:val="00E36688"/>
    <w:rsid w:val="00E40187"/>
    <w:rsid w:val="00E40CAD"/>
    <w:rsid w:val="00E42BCD"/>
    <w:rsid w:val="00E44530"/>
    <w:rsid w:val="00E4799D"/>
    <w:rsid w:val="00E519DA"/>
    <w:rsid w:val="00E55C4E"/>
    <w:rsid w:val="00E574A6"/>
    <w:rsid w:val="00E61D2E"/>
    <w:rsid w:val="00E62B7F"/>
    <w:rsid w:val="00E726BC"/>
    <w:rsid w:val="00E72821"/>
    <w:rsid w:val="00E77F30"/>
    <w:rsid w:val="00E81DDC"/>
    <w:rsid w:val="00E81F67"/>
    <w:rsid w:val="00E83650"/>
    <w:rsid w:val="00E83A31"/>
    <w:rsid w:val="00E93E51"/>
    <w:rsid w:val="00E950CB"/>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814DE"/>
    <w:rsid w:val="00F85695"/>
    <w:rsid w:val="00F97062"/>
    <w:rsid w:val="00F9745D"/>
    <w:rsid w:val="00FC74F1"/>
    <w:rsid w:val="00FC7B53"/>
    <w:rsid w:val="00FD48CC"/>
    <w:rsid w:val="00FE62D1"/>
    <w:rsid w:val="00FF26BF"/>
    <w:rsid w:val="016D23D2"/>
    <w:rsid w:val="018023CE"/>
    <w:rsid w:val="01881AD6"/>
    <w:rsid w:val="01B40242"/>
    <w:rsid w:val="01B938AA"/>
    <w:rsid w:val="01E74B6E"/>
    <w:rsid w:val="02126CDB"/>
    <w:rsid w:val="021832B7"/>
    <w:rsid w:val="024E2E49"/>
    <w:rsid w:val="02A741FD"/>
    <w:rsid w:val="02C16E5D"/>
    <w:rsid w:val="02D964CF"/>
    <w:rsid w:val="0340787C"/>
    <w:rsid w:val="0349583F"/>
    <w:rsid w:val="03707410"/>
    <w:rsid w:val="037F03E3"/>
    <w:rsid w:val="03A0770F"/>
    <w:rsid w:val="03A27BF9"/>
    <w:rsid w:val="03A448B8"/>
    <w:rsid w:val="03A4578A"/>
    <w:rsid w:val="03AD071E"/>
    <w:rsid w:val="03D10969"/>
    <w:rsid w:val="0494604F"/>
    <w:rsid w:val="04C674B5"/>
    <w:rsid w:val="04DF1036"/>
    <w:rsid w:val="050F6021"/>
    <w:rsid w:val="05A97DEC"/>
    <w:rsid w:val="05C81981"/>
    <w:rsid w:val="065A32ED"/>
    <w:rsid w:val="06856731"/>
    <w:rsid w:val="06BC41F2"/>
    <w:rsid w:val="06DF3DBD"/>
    <w:rsid w:val="07197D08"/>
    <w:rsid w:val="071C2CFD"/>
    <w:rsid w:val="071D3B22"/>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3B5D4C"/>
    <w:rsid w:val="0E4249F1"/>
    <w:rsid w:val="0E7B4FF1"/>
    <w:rsid w:val="0F6C5A53"/>
    <w:rsid w:val="0F7C5FF6"/>
    <w:rsid w:val="0FC63FBD"/>
    <w:rsid w:val="106C564D"/>
    <w:rsid w:val="107B7B8F"/>
    <w:rsid w:val="107C67CE"/>
    <w:rsid w:val="1080523F"/>
    <w:rsid w:val="108F06C9"/>
    <w:rsid w:val="109D68CB"/>
    <w:rsid w:val="10A949B8"/>
    <w:rsid w:val="10C54639"/>
    <w:rsid w:val="11200D07"/>
    <w:rsid w:val="115E4087"/>
    <w:rsid w:val="11890163"/>
    <w:rsid w:val="11DA73AF"/>
    <w:rsid w:val="122A109C"/>
    <w:rsid w:val="1285542E"/>
    <w:rsid w:val="12C60D80"/>
    <w:rsid w:val="131867D4"/>
    <w:rsid w:val="131F7A3A"/>
    <w:rsid w:val="132645D0"/>
    <w:rsid w:val="13455ABC"/>
    <w:rsid w:val="1370322B"/>
    <w:rsid w:val="13B27845"/>
    <w:rsid w:val="13BE469F"/>
    <w:rsid w:val="13F87121"/>
    <w:rsid w:val="141A03E1"/>
    <w:rsid w:val="1437005F"/>
    <w:rsid w:val="143B2E0B"/>
    <w:rsid w:val="14672B11"/>
    <w:rsid w:val="14892735"/>
    <w:rsid w:val="14CC769D"/>
    <w:rsid w:val="157D38E3"/>
    <w:rsid w:val="15D359D7"/>
    <w:rsid w:val="15D81E0F"/>
    <w:rsid w:val="161771F3"/>
    <w:rsid w:val="16222D6D"/>
    <w:rsid w:val="163C77BE"/>
    <w:rsid w:val="16632F86"/>
    <w:rsid w:val="1679588C"/>
    <w:rsid w:val="167E758F"/>
    <w:rsid w:val="16994962"/>
    <w:rsid w:val="16A71041"/>
    <w:rsid w:val="16AA24BF"/>
    <w:rsid w:val="16F2389F"/>
    <w:rsid w:val="16F72341"/>
    <w:rsid w:val="175E261A"/>
    <w:rsid w:val="17680CAB"/>
    <w:rsid w:val="176E4128"/>
    <w:rsid w:val="1783371F"/>
    <w:rsid w:val="17E62B67"/>
    <w:rsid w:val="180C0192"/>
    <w:rsid w:val="180F4499"/>
    <w:rsid w:val="18221ECE"/>
    <w:rsid w:val="18DB40E1"/>
    <w:rsid w:val="190B7894"/>
    <w:rsid w:val="19A2789F"/>
    <w:rsid w:val="1A460CF5"/>
    <w:rsid w:val="1A7F297D"/>
    <w:rsid w:val="1AB16AC1"/>
    <w:rsid w:val="1B034A52"/>
    <w:rsid w:val="1B1F34AD"/>
    <w:rsid w:val="1B8D5DC6"/>
    <w:rsid w:val="1BFE1D3B"/>
    <w:rsid w:val="1C2775EC"/>
    <w:rsid w:val="1C750ECE"/>
    <w:rsid w:val="1CA22168"/>
    <w:rsid w:val="1D0836D7"/>
    <w:rsid w:val="1D196139"/>
    <w:rsid w:val="1D1E643F"/>
    <w:rsid w:val="1D5C02F3"/>
    <w:rsid w:val="1DB85900"/>
    <w:rsid w:val="1DC05348"/>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11110C2"/>
    <w:rsid w:val="22154DDD"/>
    <w:rsid w:val="22213E42"/>
    <w:rsid w:val="22336873"/>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8F0111"/>
    <w:rsid w:val="28A64522"/>
    <w:rsid w:val="28CC5B40"/>
    <w:rsid w:val="290B3EB9"/>
    <w:rsid w:val="291418C2"/>
    <w:rsid w:val="2950768C"/>
    <w:rsid w:val="29794227"/>
    <w:rsid w:val="297A5FC4"/>
    <w:rsid w:val="2A1113BC"/>
    <w:rsid w:val="2A8D4F8F"/>
    <w:rsid w:val="2A911082"/>
    <w:rsid w:val="2A917B34"/>
    <w:rsid w:val="2AD34750"/>
    <w:rsid w:val="2AE3766F"/>
    <w:rsid w:val="2B7E4054"/>
    <w:rsid w:val="2B900322"/>
    <w:rsid w:val="2BF22742"/>
    <w:rsid w:val="2C987C56"/>
    <w:rsid w:val="2CD800E8"/>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0F11E2"/>
    <w:rsid w:val="308A038C"/>
    <w:rsid w:val="308C7755"/>
    <w:rsid w:val="30FF27D2"/>
    <w:rsid w:val="31170995"/>
    <w:rsid w:val="31264A30"/>
    <w:rsid w:val="31372D40"/>
    <w:rsid w:val="31884E67"/>
    <w:rsid w:val="31A0275E"/>
    <w:rsid w:val="31B7357A"/>
    <w:rsid w:val="31ED6B08"/>
    <w:rsid w:val="31F915C9"/>
    <w:rsid w:val="321449A9"/>
    <w:rsid w:val="32610CE6"/>
    <w:rsid w:val="32631A32"/>
    <w:rsid w:val="326C21BA"/>
    <w:rsid w:val="328464CE"/>
    <w:rsid w:val="32AB70C5"/>
    <w:rsid w:val="32DC33E0"/>
    <w:rsid w:val="335D0AF5"/>
    <w:rsid w:val="3370088C"/>
    <w:rsid w:val="33A3154A"/>
    <w:rsid w:val="33B73A4E"/>
    <w:rsid w:val="33DC2F78"/>
    <w:rsid w:val="3428227C"/>
    <w:rsid w:val="344D42C5"/>
    <w:rsid w:val="35260F83"/>
    <w:rsid w:val="35602226"/>
    <w:rsid w:val="356B72E7"/>
    <w:rsid w:val="3572424F"/>
    <w:rsid w:val="35FC3844"/>
    <w:rsid w:val="36532047"/>
    <w:rsid w:val="366061FD"/>
    <w:rsid w:val="36794DEF"/>
    <w:rsid w:val="36AD519D"/>
    <w:rsid w:val="36B57705"/>
    <w:rsid w:val="371A0A04"/>
    <w:rsid w:val="374F1A0B"/>
    <w:rsid w:val="3767321B"/>
    <w:rsid w:val="37A103ED"/>
    <w:rsid w:val="37EA5E6E"/>
    <w:rsid w:val="37F77C8B"/>
    <w:rsid w:val="37FF016F"/>
    <w:rsid w:val="38427C0B"/>
    <w:rsid w:val="38620344"/>
    <w:rsid w:val="387C5ABE"/>
    <w:rsid w:val="389B3A1E"/>
    <w:rsid w:val="38EB6119"/>
    <w:rsid w:val="394F040B"/>
    <w:rsid w:val="396B2FE9"/>
    <w:rsid w:val="39DE33DA"/>
    <w:rsid w:val="39FA5B4A"/>
    <w:rsid w:val="39FE0BE9"/>
    <w:rsid w:val="3A3C1AAF"/>
    <w:rsid w:val="3A424C25"/>
    <w:rsid w:val="3A4B7CC1"/>
    <w:rsid w:val="3A51228C"/>
    <w:rsid w:val="3A552E60"/>
    <w:rsid w:val="3A5D642F"/>
    <w:rsid w:val="3AB210FC"/>
    <w:rsid w:val="3ACE216B"/>
    <w:rsid w:val="3ACF69A3"/>
    <w:rsid w:val="3AD95C13"/>
    <w:rsid w:val="3B261E51"/>
    <w:rsid w:val="3B973F88"/>
    <w:rsid w:val="3BCD72F7"/>
    <w:rsid w:val="3BF267D2"/>
    <w:rsid w:val="3BFB073F"/>
    <w:rsid w:val="3C414142"/>
    <w:rsid w:val="3CE114D9"/>
    <w:rsid w:val="3CF737A2"/>
    <w:rsid w:val="3CF7509A"/>
    <w:rsid w:val="3D10295A"/>
    <w:rsid w:val="3E0572FD"/>
    <w:rsid w:val="3E1A5292"/>
    <w:rsid w:val="3E5A7FE7"/>
    <w:rsid w:val="3EC8179E"/>
    <w:rsid w:val="3EF66B2E"/>
    <w:rsid w:val="3F217914"/>
    <w:rsid w:val="3F472400"/>
    <w:rsid w:val="3F942B76"/>
    <w:rsid w:val="3FD70BB0"/>
    <w:rsid w:val="3FE13F11"/>
    <w:rsid w:val="3FFB55AC"/>
    <w:rsid w:val="401C5F9D"/>
    <w:rsid w:val="401C690C"/>
    <w:rsid w:val="401D7195"/>
    <w:rsid w:val="405F1BE4"/>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D77F1"/>
    <w:rsid w:val="43FA5777"/>
    <w:rsid w:val="44044D92"/>
    <w:rsid w:val="441C1611"/>
    <w:rsid w:val="443C440B"/>
    <w:rsid w:val="443F7DBF"/>
    <w:rsid w:val="44514F52"/>
    <w:rsid w:val="448965CB"/>
    <w:rsid w:val="44B35566"/>
    <w:rsid w:val="44C5497E"/>
    <w:rsid w:val="44FA2D53"/>
    <w:rsid w:val="4571374F"/>
    <w:rsid w:val="45736B2A"/>
    <w:rsid w:val="458B1BB0"/>
    <w:rsid w:val="4611075B"/>
    <w:rsid w:val="46214818"/>
    <w:rsid w:val="467A0297"/>
    <w:rsid w:val="468B7125"/>
    <w:rsid w:val="46C4691F"/>
    <w:rsid w:val="470D5A07"/>
    <w:rsid w:val="472A6F97"/>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AEC7135"/>
    <w:rsid w:val="4B1926BD"/>
    <w:rsid w:val="4B560086"/>
    <w:rsid w:val="4B7501F5"/>
    <w:rsid w:val="4B8C2DEB"/>
    <w:rsid w:val="4BFA3C9F"/>
    <w:rsid w:val="4C0E3379"/>
    <w:rsid w:val="4C107F48"/>
    <w:rsid w:val="4C235ADD"/>
    <w:rsid w:val="4C3277BC"/>
    <w:rsid w:val="4C686851"/>
    <w:rsid w:val="4CB25875"/>
    <w:rsid w:val="4CC353EB"/>
    <w:rsid w:val="4CC86E99"/>
    <w:rsid w:val="4CF36F3C"/>
    <w:rsid w:val="4D3E2FAE"/>
    <w:rsid w:val="4D4F67BA"/>
    <w:rsid w:val="4D603399"/>
    <w:rsid w:val="4D867EE1"/>
    <w:rsid w:val="4DBC4C65"/>
    <w:rsid w:val="4DF6568D"/>
    <w:rsid w:val="4E2E1A80"/>
    <w:rsid w:val="4E550010"/>
    <w:rsid w:val="4E5F14CB"/>
    <w:rsid w:val="4F3705F8"/>
    <w:rsid w:val="4F651D09"/>
    <w:rsid w:val="4F960823"/>
    <w:rsid w:val="4FAC3540"/>
    <w:rsid w:val="4FBB12F4"/>
    <w:rsid w:val="4FCF1583"/>
    <w:rsid w:val="4FFA7625"/>
    <w:rsid w:val="501B0BF9"/>
    <w:rsid w:val="507D2599"/>
    <w:rsid w:val="5096229D"/>
    <w:rsid w:val="50B44FCE"/>
    <w:rsid w:val="50DC4184"/>
    <w:rsid w:val="51475B39"/>
    <w:rsid w:val="514C3EA7"/>
    <w:rsid w:val="519849E5"/>
    <w:rsid w:val="51B36892"/>
    <w:rsid w:val="52506DA7"/>
    <w:rsid w:val="52F61C7A"/>
    <w:rsid w:val="53153936"/>
    <w:rsid w:val="53323819"/>
    <w:rsid w:val="533B2B84"/>
    <w:rsid w:val="537A7243"/>
    <w:rsid w:val="539C1B81"/>
    <w:rsid w:val="53AA6184"/>
    <w:rsid w:val="53AE750F"/>
    <w:rsid w:val="53EB0895"/>
    <w:rsid w:val="53F263AD"/>
    <w:rsid w:val="54693932"/>
    <w:rsid w:val="549A6BFA"/>
    <w:rsid w:val="54E72921"/>
    <w:rsid w:val="55806F07"/>
    <w:rsid w:val="55FA2961"/>
    <w:rsid w:val="562D673C"/>
    <w:rsid w:val="565A0E46"/>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27E52"/>
    <w:rsid w:val="59996DA8"/>
    <w:rsid w:val="59AC3CE9"/>
    <w:rsid w:val="59C30F1B"/>
    <w:rsid w:val="5A0D5854"/>
    <w:rsid w:val="5A20156F"/>
    <w:rsid w:val="5A8E5D27"/>
    <w:rsid w:val="5A9847F3"/>
    <w:rsid w:val="5AC7121C"/>
    <w:rsid w:val="5AD90B8D"/>
    <w:rsid w:val="5AE12927"/>
    <w:rsid w:val="5AF72FCB"/>
    <w:rsid w:val="5B2243E9"/>
    <w:rsid w:val="5B4E1A44"/>
    <w:rsid w:val="5B666742"/>
    <w:rsid w:val="5B6919B0"/>
    <w:rsid w:val="5B873201"/>
    <w:rsid w:val="5B89551D"/>
    <w:rsid w:val="5B967767"/>
    <w:rsid w:val="5B9E55DE"/>
    <w:rsid w:val="5BB22BEC"/>
    <w:rsid w:val="5C1D18D2"/>
    <w:rsid w:val="5C286807"/>
    <w:rsid w:val="5C446BC8"/>
    <w:rsid w:val="5C4C687B"/>
    <w:rsid w:val="5C7C2768"/>
    <w:rsid w:val="5CB23AE6"/>
    <w:rsid w:val="5CF55792"/>
    <w:rsid w:val="5CFD533A"/>
    <w:rsid w:val="5D1426D7"/>
    <w:rsid w:val="5D893B14"/>
    <w:rsid w:val="5D9F3D30"/>
    <w:rsid w:val="5E2810D5"/>
    <w:rsid w:val="5E2B7D62"/>
    <w:rsid w:val="5E4C1408"/>
    <w:rsid w:val="5E71411E"/>
    <w:rsid w:val="5EA06921"/>
    <w:rsid w:val="5ED5006A"/>
    <w:rsid w:val="5F576E4B"/>
    <w:rsid w:val="5F5D4EDE"/>
    <w:rsid w:val="5F7A2C30"/>
    <w:rsid w:val="5FBE370A"/>
    <w:rsid w:val="5FD25204"/>
    <w:rsid w:val="60292845"/>
    <w:rsid w:val="608B4E35"/>
    <w:rsid w:val="61027308"/>
    <w:rsid w:val="612E1A5D"/>
    <w:rsid w:val="61816046"/>
    <w:rsid w:val="62107A8C"/>
    <w:rsid w:val="62182687"/>
    <w:rsid w:val="62391564"/>
    <w:rsid w:val="62816669"/>
    <w:rsid w:val="62BA0953"/>
    <w:rsid w:val="62D03A7C"/>
    <w:rsid w:val="62F16BCB"/>
    <w:rsid w:val="62F648FE"/>
    <w:rsid w:val="63341DB1"/>
    <w:rsid w:val="63447612"/>
    <w:rsid w:val="636A10D8"/>
    <w:rsid w:val="63907004"/>
    <w:rsid w:val="63A10995"/>
    <w:rsid w:val="63C23EFA"/>
    <w:rsid w:val="643A070A"/>
    <w:rsid w:val="644C573D"/>
    <w:rsid w:val="648667A7"/>
    <w:rsid w:val="649C52DD"/>
    <w:rsid w:val="64DB383A"/>
    <w:rsid w:val="65032F85"/>
    <w:rsid w:val="65136B50"/>
    <w:rsid w:val="657E2A35"/>
    <w:rsid w:val="65A94E9D"/>
    <w:rsid w:val="65C60A92"/>
    <w:rsid w:val="662203DD"/>
    <w:rsid w:val="66526A59"/>
    <w:rsid w:val="666B723B"/>
    <w:rsid w:val="6678045A"/>
    <w:rsid w:val="669A4C72"/>
    <w:rsid w:val="66DD6702"/>
    <w:rsid w:val="679406CB"/>
    <w:rsid w:val="67AB52F1"/>
    <w:rsid w:val="67C35C0B"/>
    <w:rsid w:val="67E6573B"/>
    <w:rsid w:val="681233D2"/>
    <w:rsid w:val="681D5EE5"/>
    <w:rsid w:val="68207679"/>
    <w:rsid w:val="683D5031"/>
    <w:rsid w:val="68652AB3"/>
    <w:rsid w:val="6895578E"/>
    <w:rsid w:val="689F1926"/>
    <w:rsid w:val="68AD17BB"/>
    <w:rsid w:val="68C25B6F"/>
    <w:rsid w:val="68D94D22"/>
    <w:rsid w:val="692B2E4A"/>
    <w:rsid w:val="694303FB"/>
    <w:rsid w:val="696A0B34"/>
    <w:rsid w:val="698D6A17"/>
    <w:rsid w:val="69A233E7"/>
    <w:rsid w:val="69EE3535"/>
    <w:rsid w:val="69F954C1"/>
    <w:rsid w:val="6A2031B6"/>
    <w:rsid w:val="6A440C53"/>
    <w:rsid w:val="6AC61F6F"/>
    <w:rsid w:val="6ADE74F0"/>
    <w:rsid w:val="6B1002C0"/>
    <w:rsid w:val="6B1F5CFA"/>
    <w:rsid w:val="6B433439"/>
    <w:rsid w:val="6B723594"/>
    <w:rsid w:val="6B805156"/>
    <w:rsid w:val="6BD50977"/>
    <w:rsid w:val="6BEA2A9B"/>
    <w:rsid w:val="6C016C58"/>
    <w:rsid w:val="6C9C0875"/>
    <w:rsid w:val="6C9D1F03"/>
    <w:rsid w:val="6CAA3931"/>
    <w:rsid w:val="6CB25B6C"/>
    <w:rsid w:val="6CDD0BF2"/>
    <w:rsid w:val="6D3933CA"/>
    <w:rsid w:val="6D7B61EC"/>
    <w:rsid w:val="6DC3266E"/>
    <w:rsid w:val="6DD049FF"/>
    <w:rsid w:val="6E09491E"/>
    <w:rsid w:val="6E0D3655"/>
    <w:rsid w:val="6E5D7B7F"/>
    <w:rsid w:val="6E5F4465"/>
    <w:rsid w:val="6E8C54DA"/>
    <w:rsid w:val="6E8E6D06"/>
    <w:rsid w:val="6EF11E03"/>
    <w:rsid w:val="6F111C62"/>
    <w:rsid w:val="6F2176E5"/>
    <w:rsid w:val="6F3053CA"/>
    <w:rsid w:val="6F592303"/>
    <w:rsid w:val="6F5F5B74"/>
    <w:rsid w:val="6F9B1C65"/>
    <w:rsid w:val="6FD47A25"/>
    <w:rsid w:val="6FF06202"/>
    <w:rsid w:val="6FF44026"/>
    <w:rsid w:val="6FF66A38"/>
    <w:rsid w:val="6FFB146E"/>
    <w:rsid w:val="701A5C74"/>
    <w:rsid w:val="706516C3"/>
    <w:rsid w:val="70864A71"/>
    <w:rsid w:val="70896E68"/>
    <w:rsid w:val="7107057F"/>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61F61"/>
    <w:rsid w:val="754D77D2"/>
    <w:rsid w:val="75596138"/>
    <w:rsid w:val="755D38A7"/>
    <w:rsid w:val="755F5A0F"/>
    <w:rsid w:val="75614792"/>
    <w:rsid w:val="756E5849"/>
    <w:rsid w:val="75784473"/>
    <w:rsid w:val="757E044C"/>
    <w:rsid w:val="75977BC3"/>
    <w:rsid w:val="759C54AC"/>
    <w:rsid w:val="75B161B3"/>
    <w:rsid w:val="75E470E3"/>
    <w:rsid w:val="76424830"/>
    <w:rsid w:val="76736B32"/>
    <w:rsid w:val="769E3900"/>
    <w:rsid w:val="76E3765E"/>
    <w:rsid w:val="76FC2AFA"/>
    <w:rsid w:val="773F0836"/>
    <w:rsid w:val="77653671"/>
    <w:rsid w:val="778546CC"/>
    <w:rsid w:val="77AC0FA8"/>
    <w:rsid w:val="77B479AF"/>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131549"/>
    <w:rsid w:val="7B416BDC"/>
    <w:rsid w:val="7B5350AD"/>
    <w:rsid w:val="7B6867EB"/>
    <w:rsid w:val="7B697C89"/>
    <w:rsid w:val="7B8D34C3"/>
    <w:rsid w:val="7B971D84"/>
    <w:rsid w:val="7BF32F03"/>
    <w:rsid w:val="7C1724A5"/>
    <w:rsid w:val="7C5E03C9"/>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7"/>
    <w:next w:val="1"/>
    <w:link w:val="32"/>
    <w:unhideWhenUsed/>
    <w:qFormat/>
    <w:uiPriority w:val="9"/>
    <w:pPr>
      <w:spacing w:before="260" w:after="260" w:line="416" w:lineRule="auto"/>
      <w:outlineLvl w:val="1"/>
    </w:pPr>
    <w:rPr>
      <w:rFonts w:eastAsiaTheme="majorEastAsia"/>
      <w:sz w:val="32"/>
    </w:rPr>
  </w:style>
  <w:style w:type="paragraph" w:styleId="7">
    <w:name w:val="heading 3"/>
    <w:basedOn w:val="8"/>
    <w:next w:val="1"/>
    <w:link w:val="33"/>
    <w:unhideWhenUsed/>
    <w:qFormat/>
    <w:uiPriority w:val="9"/>
    <w:pPr>
      <w:outlineLvl w:val="2"/>
    </w:pPr>
    <w:rPr>
      <w:sz w:val="28"/>
      <w:szCs w:val="32"/>
    </w:rPr>
  </w:style>
  <w:style w:type="paragraph" w:styleId="8">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next w:val="4"/>
    <w:unhideWhenUsed/>
    <w:qFormat/>
    <w:uiPriority w:val="99"/>
    <w:pPr>
      <w:ind w:firstLine="420" w:firstLineChars="100"/>
    </w:pPr>
    <w:rPr>
      <w:rFonts w:ascii="Times New Roman" w:hAnsi="Times New Roman" w:cs="Times New Roman"/>
    </w:rPr>
  </w:style>
  <w:style w:type="paragraph" w:styleId="4">
    <w:name w:val="toc 6"/>
    <w:basedOn w:val="1"/>
    <w:next w:val="1"/>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Emphasis"/>
    <w:basedOn w:val="25"/>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5"/>
    <w:semiHidden/>
    <w:unhideWhenUsed/>
    <w:qFormat/>
    <w:uiPriority w:val="99"/>
    <w:rPr>
      <w:sz w:val="21"/>
      <w:szCs w:val="21"/>
    </w:rPr>
  </w:style>
  <w:style w:type="character" w:styleId="30">
    <w:name w:val="footnote reference"/>
    <w:basedOn w:val="25"/>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字符"/>
    <w:basedOn w:val="25"/>
    <w:link w:val="6"/>
    <w:qFormat/>
    <w:uiPriority w:val="9"/>
    <w:rPr>
      <w:rFonts w:asciiTheme="majorHAnsi" w:hAnsiTheme="majorHAnsi" w:eastAsiaTheme="majorEastAsia" w:cstheme="majorBidi"/>
      <w:b/>
      <w:bCs/>
      <w:sz w:val="32"/>
      <w:szCs w:val="32"/>
    </w:rPr>
  </w:style>
  <w:style w:type="character" w:customStyle="1" w:styleId="33">
    <w:name w:val="标题 3 字符"/>
    <w:basedOn w:val="25"/>
    <w:link w:val="7"/>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字符"/>
    <w:basedOn w:val="25"/>
    <w:link w:val="8"/>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7"/>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5"/>
    <w:link w:val="11"/>
    <w:semiHidden/>
    <w:qFormat/>
    <w:uiPriority w:val="99"/>
    <w:rPr>
      <w:rFonts w:ascii="宋体" w:hAnsi="Courier New" w:eastAsia="宋体" w:cs="Courier New"/>
      <w:sz w:val="21"/>
      <w:szCs w:val="21"/>
    </w:rPr>
  </w:style>
  <w:style w:type="character" w:customStyle="1" w:styleId="47">
    <w:name w:val="页眉 字符"/>
    <w:basedOn w:val="25"/>
    <w:link w:val="15"/>
    <w:qFormat/>
    <w:uiPriority w:val="99"/>
    <w:rPr>
      <w:rFonts w:ascii="Tahoma" w:hAnsi="Tahoma"/>
      <w:sz w:val="18"/>
      <w:szCs w:val="18"/>
    </w:rPr>
  </w:style>
  <w:style w:type="character" w:customStyle="1" w:styleId="48">
    <w:name w:val="页脚 字符"/>
    <w:basedOn w:val="25"/>
    <w:link w:val="14"/>
    <w:qFormat/>
    <w:uiPriority w:val="99"/>
    <w:rPr>
      <w:rFonts w:ascii="Tahoma" w:hAnsi="Tahoma"/>
      <w:sz w:val="18"/>
      <w:szCs w:val="18"/>
    </w:rPr>
  </w:style>
  <w:style w:type="character" w:customStyle="1" w:styleId="49">
    <w:name w:val="批注框文本 字符"/>
    <w:basedOn w:val="25"/>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缺省文本"/>
    <w:basedOn w:val="1"/>
    <w:qFormat/>
    <w:uiPriority w:val="0"/>
    <w:pPr>
      <w:widowControl w:val="0"/>
      <w:autoSpaceDE w:val="0"/>
      <w:autoSpaceDN w:val="0"/>
      <w:snapToGrid/>
      <w:spacing w:line="240" w:lineRule="auto"/>
    </w:pPr>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89</Pages>
  <Words>37878</Words>
  <Characters>38927</Characters>
  <Lines>342</Lines>
  <Paragraphs>96</Paragraphs>
  <TotalTime>3</TotalTime>
  <ScaleCrop>false</ScaleCrop>
  <LinksUpToDate>false</LinksUpToDate>
  <CharactersWithSpaces>41163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2022-05-31T09:28:00Z</dcterms:created>
  <dc:creator>MyPC</dc:creator>
  <cp:keywords>文件格式版本</cp:keywords>
  <cp:lastModifiedBy>admin</cp:lastModifiedBy>
  <cp:lastPrinted>2022-06-02T07:15:00Z</cp:lastPrinted>
  <dcterms:modified xsi:type="dcterms:W3CDTF">2022-08-02T09:36:59Z</dcterms:modified>
  <dc:subject>公开招标文件版本</dc:subject>
  <dc:title>公开招标文件版本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C22D167A847B48E28C97C93092312E58</vt:lpwstr>
  </property>
</Properties>
</file>