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Cs/>
          <w:sz w:val="52"/>
          <w:szCs w:val="52"/>
          <w:lang w:eastAsia="zh-CN"/>
        </w:rPr>
      </w:pPr>
      <w:r>
        <w:rPr>
          <w:rFonts w:hint="eastAsia" w:ascii="宋体" w:hAnsi="宋体" w:eastAsia="宋体" w:cs="宋体"/>
          <w:bCs/>
          <w:sz w:val="52"/>
          <w:szCs w:val="52"/>
          <w:lang w:eastAsia="zh-CN"/>
        </w:rPr>
        <w:drawing>
          <wp:anchor distT="0" distB="0" distL="114300" distR="114300" simplePos="0" relativeHeight="251659264" behindDoc="0" locked="0" layoutInCell="1" allowOverlap="1">
            <wp:simplePos x="0" y="0"/>
            <wp:positionH relativeFrom="column">
              <wp:posOffset>-1142365</wp:posOffset>
            </wp:positionH>
            <wp:positionV relativeFrom="paragraph">
              <wp:posOffset>-930275</wp:posOffset>
            </wp:positionV>
            <wp:extent cx="7550785" cy="10711815"/>
            <wp:effectExtent l="0" t="0" r="12065" b="13335"/>
            <wp:wrapNone/>
            <wp:docPr id="5" name="图片 5" descr="采购文件封面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采购文件封面_00"/>
                    <pic:cNvPicPr>
                      <a:picLocks noChangeAspect="1"/>
                    </pic:cNvPicPr>
                  </pic:nvPicPr>
                  <pic:blipFill>
                    <a:blip r:embed="rId16"/>
                    <a:stretch>
                      <a:fillRect/>
                    </a:stretch>
                  </pic:blipFill>
                  <pic:spPr>
                    <a:xfrm>
                      <a:off x="0" y="0"/>
                      <a:ext cx="7550785" cy="10711815"/>
                    </a:xfrm>
                    <a:prstGeom prst="rect">
                      <a:avLst/>
                    </a:prstGeom>
                  </pic:spPr>
                </pic:pic>
              </a:graphicData>
            </a:graphic>
          </wp:anchor>
        </w:drawing>
      </w:r>
    </w:p>
    <w:p>
      <w:pPr>
        <w:jc w:val="both"/>
        <w:rPr>
          <w:rFonts w:ascii="宋体" w:hAnsi="宋体" w:cs="宋体"/>
          <w:bCs/>
          <w:sz w:val="52"/>
          <w:szCs w:val="52"/>
        </w:rPr>
      </w:pPr>
    </w:p>
    <w:p>
      <w:pPr>
        <w:jc w:val="both"/>
        <w:rPr>
          <w:rFonts w:ascii="宋体" w:hAnsi="宋体" w:cs="宋体"/>
          <w:bCs/>
          <w:sz w:val="52"/>
          <w:szCs w:val="52"/>
        </w:rPr>
      </w:pPr>
    </w:p>
    <w:p>
      <w:pPr>
        <w:jc w:val="center"/>
        <w:rPr>
          <w:rFonts w:ascii="宋体" w:hAnsi="宋体" w:cs="宋体"/>
          <w:b/>
          <w:sz w:val="52"/>
          <w:szCs w:val="52"/>
        </w:rPr>
      </w:pPr>
      <w:r>
        <w:rPr>
          <w:rFonts w:hint="eastAsia" w:ascii="宋体" w:hAnsi="宋体" w:cs="宋体"/>
          <w:b/>
          <w:sz w:val="52"/>
          <w:szCs w:val="52"/>
        </w:rPr>
        <w:t>城服公司环卫车辆设备采购项目</w:t>
      </w:r>
    </w:p>
    <w:p>
      <w:pPr>
        <w:rPr>
          <w:rFonts w:ascii="宋体" w:hAnsi="宋体" w:cs="宋体"/>
          <w:b/>
          <w:bCs/>
          <w:sz w:val="52"/>
          <w:szCs w:val="52"/>
        </w:rPr>
      </w:pPr>
    </w:p>
    <w:p>
      <w:pPr>
        <w:ind w:right="-28"/>
        <w:jc w:val="center"/>
        <w:textAlignment w:val="bottom"/>
        <w:rPr>
          <w:rFonts w:ascii="宋体" w:hAnsi="宋体" w:cs="宋体"/>
          <w:b/>
          <w:bCs/>
          <w:spacing w:val="57"/>
          <w:sz w:val="52"/>
          <w:szCs w:val="52"/>
        </w:rPr>
      </w:pPr>
      <w:r>
        <w:rPr>
          <w:rFonts w:hint="eastAsia" w:ascii="宋体" w:hAnsi="宋体" w:cs="宋体"/>
          <w:b/>
          <w:bCs/>
          <w:spacing w:val="57"/>
          <w:sz w:val="52"/>
          <w:szCs w:val="52"/>
        </w:rPr>
        <w:t>采购文件</w:t>
      </w:r>
    </w:p>
    <w:p>
      <w:pPr>
        <w:rPr>
          <w:rFonts w:ascii="宋体" w:hAnsi="宋体" w:cs="宋体"/>
          <w:sz w:val="24"/>
          <w:szCs w:val="24"/>
        </w:rPr>
      </w:pPr>
    </w:p>
    <w:p>
      <w:pPr>
        <w:pStyle w:val="2"/>
        <w:rPr>
          <w:szCs w:val="24"/>
        </w:rPr>
      </w:pPr>
    </w:p>
    <w:tbl>
      <w:tblPr>
        <w:tblStyle w:val="29"/>
        <w:tblW w:w="0" w:type="auto"/>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13"/>
        <w:gridCol w:w="6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2613" w:type="dxa"/>
            <w:noWrap/>
            <w:vAlign w:val="center"/>
          </w:tcPr>
          <w:p>
            <w:pPr>
              <w:spacing w:before="200"/>
              <w:jc w:val="both"/>
              <w:rPr>
                <w:rFonts w:ascii="宋体" w:hAnsi="宋体" w:cs="宋体"/>
                <w:bCs/>
                <w:sz w:val="28"/>
                <w:szCs w:val="28"/>
              </w:rPr>
            </w:pPr>
            <w:r>
              <w:rPr>
                <w:rFonts w:hint="eastAsia" w:ascii="宋体" w:hAnsi="宋体" w:cs="宋体"/>
                <w:bCs/>
                <w:sz w:val="28"/>
                <w:szCs w:val="28"/>
              </w:rPr>
              <w:t>项目名称：</w:t>
            </w:r>
          </w:p>
        </w:tc>
        <w:tc>
          <w:tcPr>
            <w:tcW w:w="6203" w:type="dxa"/>
            <w:noWrap/>
            <w:vAlign w:val="center"/>
          </w:tcPr>
          <w:p>
            <w:pPr>
              <w:spacing w:before="200"/>
              <w:jc w:val="both"/>
              <w:rPr>
                <w:rFonts w:ascii="宋体" w:hAnsi="宋体" w:cs="宋体"/>
                <w:bCs/>
                <w:sz w:val="28"/>
                <w:szCs w:val="28"/>
              </w:rPr>
            </w:pPr>
            <w:r>
              <w:rPr>
                <w:rFonts w:hint="eastAsia" w:ascii="宋体" w:hAnsi="宋体" w:cs="宋体"/>
                <w:bCs/>
                <w:sz w:val="28"/>
                <w:szCs w:val="28"/>
              </w:rPr>
              <w:t>城服公司环卫车辆设备采购项目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2613" w:type="dxa"/>
            <w:noWrap/>
            <w:vAlign w:val="center"/>
          </w:tcPr>
          <w:p>
            <w:pPr>
              <w:spacing w:before="200"/>
              <w:jc w:val="both"/>
              <w:rPr>
                <w:rFonts w:ascii="宋体" w:hAnsi="宋体" w:cs="宋体"/>
                <w:bCs/>
                <w:sz w:val="28"/>
                <w:szCs w:val="28"/>
              </w:rPr>
            </w:pPr>
            <w:r>
              <w:rPr>
                <w:rFonts w:hint="eastAsia" w:ascii="宋体" w:hAnsi="宋体" w:cs="宋体"/>
                <w:bCs/>
                <w:sz w:val="28"/>
                <w:szCs w:val="28"/>
              </w:rPr>
              <w:t>项目采购编号：</w:t>
            </w:r>
          </w:p>
        </w:tc>
        <w:tc>
          <w:tcPr>
            <w:tcW w:w="6203" w:type="dxa"/>
            <w:noWrap/>
            <w:vAlign w:val="center"/>
          </w:tcPr>
          <w:p>
            <w:pPr>
              <w:spacing w:before="200"/>
              <w:jc w:val="both"/>
              <w:rPr>
                <w:rFonts w:ascii="宋体" w:hAnsi="宋体" w:cs="宋体"/>
                <w:bCs/>
                <w:sz w:val="28"/>
                <w:szCs w:val="28"/>
              </w:rPr>
            </w:pPr>
            <w:r>
              <w:rPr>
                <w:rFonts w:hint="eastAsia" w:ascii="宋体" w:hAnsi="宋体" w:cs="宋体"/>
                <w:bCs/>
                <w:sz w:val="28"/>
                <w:szCs w:val="28"/>
              </w:rPr>
              <w:t>DSCF–SL-02－02-002(2022)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noWrap/>
            <w:vAlign w:val="center"/>
          </w:tcPr>
          <w:p>
            <w:pPr>
              <w:spacing w:before="200"/>
              <w:jc w:val="both"/>
              <w:rPr>
                <w:rFonts w:ascii="宋体" w:hAnsi="宋体" w:cs="宋体"/>
                <w:bCs/>
                <w:sz w:val="28"/>
                <w:szCs w:val="28"/>
              </w:rPr>
            </w:pPr>
            <w:r>
              <w:rPr>
                <w:rFonts w:hint="eastAsia" w:ascii="宋体" w:hAnsi="宋体" w:cs="宋体"/>
                <w:bCs/>
                <w:sz w:val="28"/>
                <w:szCs w:val="28"/>
              </w:rPr>
              <w:t>采购人：</w:t>
            </w:r>
          </w:p>
        </w:tc>
        <w:tc>
          <w:tcPr>
            <w:tcW w:w="6203" w:type="dxa"/>
            <w:noWrap/>
            <w:vAlign w:val="center"/>
          </w:tcPr>
          <w:p>
            <w:pPr>
              <w:spacing w:before="200"/>
              <w:jc w:val="both"/>
              <w:rPr>
                <w:rFonts w:ascii="宋体" w:hAnsi="宋体" w:cs="宋体"/>
                <w:bCs/>
                <w:sz w:val="28"/>
                <w:szCs w:val="28"/>
              </w:rPr>
            </w:pPr>
            <w:r>
              <w:rPr>
                <w:rFonts w:hint="eastAsia" w:ascii="宋体" w:hAnsi="宋体" w:cs="宋体"/>
                <w:bCs/>
                <w:sz w:val="28"/>
                <w:szCs w:val="28"/>
              </w:rPr>
              <w:t>东莞市东实城市环境服务有限公司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noWrap/>
            <w:vAlign w:val="center"/>
          </w:tcPr>
          <w:p>
            <w:pPr>
              <w:spacing w:before="200"/>
              <w:jc w:val="both"/>
              <w:rPr>
                <w:rFonts w:ascii="宋体" w:hAnsi="宋体" w:cs="宋体"/>
                <w:bCs/>
                <w:sz w:val="28"/>
                <w:szCs w:val="28"/>
              </w:rPr>
            </w:pPr>
            <w:r>
              <w:rPr>
                <w:rFonts w:hint="eastAsia" w:ascii="宋体" w:hAnsi="宋体" w:cs="宋体"/>
                <w:bCs/>
                <w:sz w:val="28"/>
                <w:szCs w:val="28"/>
              </w:rPr>
              <w:t>采购代理：</w:t>
            </w:r>
          </w:p>
        </w:tc>
        <w:tc>
          <w:tcPr>
            <w:tcW w:w="6203" w:type="dxa"/>
            <w:noWrap/>
            <w:vAlign w:val="center"/>
          </w:tcPr>
          <w:p>
            <w:pPr>
              <w:spacing w:before="200"/>
              <w:jc w:val="both"/>
              <w:rPr>
                <w:rFonts w:ascii="宋体" w:hAnsi="宋体" w:cs="宋体"/>
                <w:bCs/>
                <w:sz w:val="28"/>
                <w:szCs w:val="28"/>
              </w:rPr>
            </w:pPr>
            <w:r>
              <w:rPr>
                <w:rFonts w:hint="eastAsia" w:ascii="宋体" w:hAnsi="宋体" w:cs="宋体"/>
                <w:bCs/>
                <w:sz w:val="28"/>
                <w:szCs w:val="28"/>
              </w:rPr>
              <w:t>广东政通招标有限公司</w:t>
            </w:r>
          </w:p>
        </w:tc>
      </w:tr>
    </w:tbl>
    <w:p>
      <w:pPr>
        <w:jc w:val="center"/>
        <w:rPr>
          <w:rFonts w:ascii="宋体" w:hAnsi="宋体" w:cs="宋体"/>
          <w:sz w:val="24"/>
          <w:szCs w:val="24"/>
        </w:rPr>
      </w:pPr>
    </w:p>
    <w:p>
      <w:pPr>
        <w:spacing w:before="200"/>
        <w:jc w:val="center"/>
        <w:rPr>
          <w:rFonts w:ascii="宋体" w:hAnsi="宋体" w:cs="宋体"/>
          <w:b/>
          <w:sz w:val="28"/>
          <w:szCs w:val="28"/>
        </w:rPr>
      </w:pPr>
      <w:r>
        <w:rPr>
          <w:rFonts w:hint="eastAsia" w:ascii="宋体" w:hAnsi="宋体" w:cs="宋体"/>
          <w:b/>
          <w:sz w:val="28"/>
          <w:szCs w:val="28"/>
        </w:rPr>
        <w:t>2022年8月</w:t>
      </w:r>
    </w:p>
    <w:p>
      <w:pPr>
        <w:rPr>
          <w:rFonts w:ascii="宋体" w:hAnsi="宋体" w:cs="宋体"/>
          <w:sz w:val="24"/>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708" w:footer="708" w:gutter="0"/>
          <w:pgNumType w:start="1"/>
          <w:cols w:space="708" w:num="1"/>
          <w:titlePg/>
          <w:docGrid w:type="lines" w:linePitch="360" w:charSpace="0"/>
        </w:sectPr>
      </w:pPr>
    </w:p>
    <w:p>
      <w:pPr>
        <w:pStyle w:val="25"/>
        <w:ind w:left="0" w:leftChars="0"/>
        <w:rPr>
          <w:rFonts w:cs="宋体"/>
          <w:sz w:val="24"/>
          <w:szCs w:val="24"/>
        </w:rPr>
      </w:pPr>
      <w:r>
        <w:rPr>
          <w:rFonts w:hint="eastAsia" w:cs="宋体"/>
          <w:sz w:val="24"/>
          <w:szCs w:val="24"/>
        </w:rPr>
        <w:t>目录</w:t>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TOC \o "1-9" \u </w:instrText>
      </w:r>
      <w:r>
        <w:rPr>
          <w:rFonts w:hint="eastAsia" w:ascii="宋体" w:hAnsi="宋体" w:cs="宋体"/>
          <w:sz w:val="24"/>
          <w:szCs w:val="24"/>
        </w:rPr>
        <w:fldChar w:fldCharType="separate"/>
      </w:r>
      <w:r>
        <w:rPr>
          <w:rFonts w:hint="eastAsia" w:ascii="宋体" w:hAnsi="宋体" w:cs="宋体"/>
          <w:sz w:val="24"/>
          <w:szCs w:val="24"/>
        </w:rPr>
        <w:t>投标邀请书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_Toc12550 \h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第二部分相关资料表格</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_Toc7038 \h </w:instrText>
      </w:r>
      <w:r>
        <w:rPr>
          <w:rFonts w:hint="eastAsia" w:ascii="宋体" w:hAnsi="宋体" w:cs="宋体"/>
          <w:sz w:val="24"/>
          <w:szCs w:val="24"/>
        </w:rPr>
        <w:fldChar w:fldCharType="separate"/>
      </w:r>
      <w:r>
        <w:rPr>
          <w:rFonts w:hint="eastAsia" w:ascii="宋体" w:hAnsi="宋体" w:cs="宋体"/>
          <w:sz w:val="24"/>
          <w:szCs w:val="24"/>
        </w:rPr>
        <w:t>8</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附表一：投标资料表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_Toc28851 \h </w:instrText>
      </w:r>
      <w:r>
        <w:rPr>
          <w:rFonts w:hint="eastAsia" w:ascii="宋体" w:hAnsi="宋体" w:cs="宋体"/>
          <w:sz w:val="24"/>
          <w:szCs w:val="24"/>
        </w:rPr>
        <w:fldChar w:fldCharType="separate"/>
      </w:r>
      <w:r>
        <w:rPr>
          <w:rFonts w:hint="eastAsia" w:ascii="宋体" w:hAnsi="宋体" w:cs="宋体"/>
          <w:sz w:val="24"/>
          <w:szCs w:val="24"/>
        </w:rPr>
        <w:t>8</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第三部分用户需求书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_Toc7721 \h </w:instrText>
      </w:r>
      <w:r>
        <w:rPr>
          <w:rFonts w:hint="eastAsia" w:ascii="宋体" w:hAnsi="宋体" w:cs="宋体"/>
          <w:sz w:val="24"/>
          <w:szCs w:val="24"/>
        </w:rPr>
        <w:fldChar w:fldCharType="separate"/>
      </w:r>
      <w:r>
        <w:rPr>
          <w:rFonts w:hint="eastAsia" w:ascii="宋体" w:hAnsi="宋体" w:cs="宋体"/>
          <w:sz w:val="24"/>
          <w:szCs w:val="24"/>
        </w:rPr>
        <w:t>11</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第一章 商务需求书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_Toc3509 \h </w:instrText>
      </w:r>
      <w:r>
        <w:rPr>
          <w:rFonts w:hint="eastAsia" w:ascii="宋体" w:hAnsi="宋体" w:cs="宋体"/>
          <w:sz w:val="24"/>
          <w:szCs w:val="24"/>
        </w:rPr>
        <w:fldChar w:fldCharType="separate"/>
      </w:r>
      <w:r>
        <w:rPr>
          <w:rFonts w:hint="eastAsia" w:ascii="宋体" w:hAnsi="宋体" w:cs="宋体"/>
          <w:sz w:val="24"/>
          <w:szCs w:val="24"/>
        </w:rPr>
        <w:t>11</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第二章 技术需求书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_Toc6584 \h </w:instrText>
      </w:r>
      <w:r>
        <w:rPr>
          <w:rFonts w:hint="eastAsia" w:ascii="宋体" w:hAnsi="宋体" w:cs="宋体"/>
          <w:sz w:val="24"/>
          <w:szCs w:val="24"/>
        </w:rPr>
        <w:fldChar w:fldCharType="separate"/>
      </w:r>
      <w:r>
        <w:rPr>
          <w:rFonts w:hint="eastAsia" w:ascii="宋体" w:hAnsi="宋体" w:cs="宋体"/>
          <w:sz w:val="24"/>
          <w:szCs w:val="24"/>
        </w:rPr>
        <w:t>13</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第四部分投标人须知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_Toc9794 \h </w:instrText>
      </w:r>
      <w:r>
        <w:rPr>
          <w:rFonts w:hint="eastAsia" w:ascii="宋体" w:hAnsi="宋体" w:cs="宋体"/>
          <w:sz w:val="24"/>
          <w:szCs w:val="24"/>
        </w:rPr>
        <w:fldChar w:fldCharType="separate"/>
      </w:r>
      <w:r>
        <w:rPr>
          <w:rFonts w:hint="eastAsia" w:ascii="宋体" w:hAnsi="宋体" w:cs="宋体"/>
          <w:sz w:val="24"/>
          <w:szCs w:val="24"/>
        </w:rPr>
        <w:t>29</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一、 说明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_Toc26607 \h </w:instrText>
      </w:r>
      <w:r>
        <w:rPr>
          <w:rFonts w:hint="eastAsia" w:ascii="宋体" w:hAnsi="宋体" w:cs="宋体"/>
          <w:sz w:val="24"/>
          <w:szCs w:val="24"/>
        </w:rPr>
        <w:fldChar w:fldCharType="separate"/>
      </w:r>
      <w:r>
        <w:rPr>
          <w:rFonts w:hint="eastAsia" w:ascii="宋体" w:hAnsi="宋体" w:cs="宋体"/>
          <w:sz w:val="24"/>
          <w:szCs w:val="24"/>
        </w:rPr>
        <w:t>29</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1.适用范围</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_Toc23309 \h </w:instrText>
      </w:r>
      <w:r>
        <w:rPr>
          <w:rFonts w:hint="eastAsia" w:ascii="宋体" w:hAnsi="宋体" w:cs="宋体"/>
          <w:sz w:val="24"/>
          <w:szCs w:val="24"/>
        </w:rPr>
        <w:fldChar w:fldCharType="separate"/>
      </w:r>
      <w:r>
        <w:rPr>
          <w:rFonts w:hint="eastAsia" w:ascii="宋体" w:hAnsi="宋体" w:cs="宋体"/>
          <w:sz w:val="24"/>
          <w:szCs w:val="24"/>
        </w:rPr>
        <w:t>29</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2.定义</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_Toc29623 \h </w:instrText>
      </w:r>
      <w:r>
        <w:rPr>
          <w:rFonts w:hint="eastAsia" w:ascii="宋体" w:hAnsi="宋体" w:cs="宋体"/>
          <w:sz w:val="24"/>
          <w:szCs w:val="24"/>
        </w:rPr>
        <w:fldChar w:fldCharType="separate"/>
      </w:r>
      <w:r>
        <w:rPr>
          <w:rFonts w:hint="eastAsia" w:ascii="宋体" w:hAnsi="宋体" w:cs="宋体"/>
          <w:sz w:val="24"/>
          <w:szCs w:val="24"/>
        </w:rPr>
        <w:t>29</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3.★合格的投标人</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_Toc17499 \h </w:instrText>
      </w:r>
      <w:r>
        <w:rPr>
          <w:rFonts w:hint="eastAsia" w:ascii="宋体" w:hAnsi="宋体" w:cs="宋体"/>
          <w:sz w:val="24"/>
          <w:szCs w:val="24"/>
        </w:rPr>
        <w:fldChar w:fldCharType="separate"/>
      </w:r>
      <w:r>
        <w:rPr>
          <w:rFonts w:hint="eastAsia" w:ascii="宋体" w:hAnsi="宋体" w:cs="宋体"/>
          <w:sz w:val="24"/>
          <w:szCs w:val="24"/>
        </w:rPr>
        <w:t>29</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4.投标费用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_Toc28792 \h </w:instrText>
      </w:r>
      <w:r>
        <w:rPr>
          <w:rFonts w:hint="eastAsia" w:ascii="宋体" w:hAnsi="宋体" w:cs="宋体"/>
          <w:sz w:val="24"/>
          <w:szCs w:val="24"/>
        </w:rPr>
        <w:fldChar w:fldCharType="separate"/>
      </w:r>
      <w:r>
        <w:rPr>
          <w:rFonts w:hint="eastAsia" w:ascii="宋体" w:hAnsi="宋体" w:cs="宋体"/>
          <w:sz w:val="24"/>
          <w:szCs w:val="24"/>
        </w:rPr>
        <w:t>29</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5.知识产权</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_Toc2104 \h </w:instrText>
      </w:r>
      <w:r>
        <w:rPr>
          <w:rFonts w:hint="eastAsia" w:ascii="宋体" w:hAnsi="宋体" w:cs="宋体"/>
          <w:sz w:val="24"/>
          <w:szCs w:val="24"/>
        </w:rPr>
        <w:fldChar w:fldCharType="separate"/>
      </w:r>
      <w:r>
        <w:rPr>
          <w:rFonts w:hint="eastAsia" w:ascii="宋体" w:hAnsi="宋体" w:cs="宋体"/>
          <w:sz w:val="24"/>
          <w:szCs w:val="24"/>
        </w:rPr>
        <w:t>30</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6.纪律与保密事项</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_Toc18975 \h </w:instrText>
      </w:r>
      <w:r>
        <w:rPr>
          <w:rFonts w:hint="eastAsia" w:ascii="宋体" w:hAnsi="宋体" w:cs="宋体"/>
          <w:sz w:val="24"/>
          <w:szCs w:val="24"/>
        </w:rPr>
        <w:fldChar w:fldCharType="separate"/>
      </w:r>
      <w:r>
        <w:rPr>
          <w:rFonts w:hint="eastAsia" w:ascii="宋体" w:hAnsi="宋体" w:cs="宋体"/>
          <w:sz w:val="24"/>
          <w:szCs w:val="24"/>
        </w:rPr>
        <w:t>30</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7.关于联合体投标</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_Toc4264 \h </w:instrText>
      </w:r>
      <w:r>
        <w:rPr>
          <w:rFonts w:hint="eastAsia" w:ascii="宋体" w:hAnsi="宋体" w:cs="宋体"/>
          <w:sz w:val="24"/>
          <w:szCs w:val="24"/>
        </w:rPr>
        <w:fldChar w:fldCharType="separate"/>
      </w:r>
      <w:r>
        <w:rPr>
          <w:rFonts w:hint="eastAsia" w:ascii="宋体" w:hAnsi="宋体" w:cs="宋体"/>
          <w:sz w:val="24"/>
          <w:szCs w:val="24"/>
        </w:rPr>
        <w:t>31</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8.保证</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_Toc24899 \h </w:instrText>
      </w:r>
      <w:r>
        <w:rPr>
          <w:rFonts w:hint="eastAsia" w:ascii="宋体" w:hAnsi="宋体" w:cs="宋体"/>
          <w:sz w:val="24"/>
          <w:szCs w:val="24"/>
        </w:rPr>
        <w:fldChar w:fldCharType="separate"/>
      </w:r>
      <w:r>
        <w:rPr>
          <w:rFonts w:hint="eastAsia" w:ascii="宋体" w:hAnsi="宋体" w:cs="宋体"/>
          <w:sz w:val="24"/>
          <w:szCs w:val="24"/>
        </w:rPr>
        <w:t>32</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9.重要说明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_Toc26621 \h </w:instrText>
      </w:r>
      <w:r>
        <w:rPr>
          <w:rFonts w:hint="eastAsia" w:ascii="宋体" w:hAnsi="宋体" w:cs="宋体"/>
          <w:sz w:val="24"/>
          <w:szCs w:val="24"/>
        </w:rPr>
        <w:fldChar w:fldCharType="separate"/>
      </w:r>
      <w:r>
        <w:rPr>
          <w:rFonts w:hint="eastAsia" w:ascii="宋体" w:hAnsi="宋体" w:cs="宋体"/>
          <w:sz w:val="24"/>
          <w:szCs w:val="24"/>
        </w:rPr>
        <w:t>32</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二、 采购文件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_Toc31395 \h </w:instrText>
      </w:r>
      <w:r>
        <w:rPr>
          <w:rFonts w:hint="eastAsia" w:ascii="宋体" w:hAnsi="宋体" w:cs="宋体"/>
          <w:sz w:val="24"/>
          <w:szCs w:val="24"/>
        </w:rPr>
        <w:fldChar w:fldCharType="separate"/>
      </w:r>
      <w:r>
        <w:rPr>
          <w:rFonts w:hint="eastAsia" w:ascii="宋体" w:hAnsi="宋体" w:cs="宋体"/>
          <w:sz w:val="24"/>
          <w:szCs w:val="24"/>
        </w:rPr>
        <w:t>32</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10.采购文件的组成</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_Toc23781 \h </w:instrText>
      </w:r>
      <w:r>
        <w:rPr>
          <w:rFonts w:hint="eastAsia" w:ascii="宋体" w:hAnsi="宋体" w:cs="宋体"/>
          <w:sz w:val="24"/>
          <w:szCs w:val="24"/>
        </w:rPr>
        <w:fldChar w:fldCharType="separate"/>
      </w:r>
      <w:r>
        <w:rPr>
          <w:rFonts w:hint="eastAsia" w:ascii="宋体" w:hAnsi="宋体" w:cs="宋体"/>
          <w:sz w:val="24"/>
          <w:szCs w:val="24"/>
        </w:rPr>
        <w:t>32</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11.采购文件的询问（或质疑）及澄清</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_Toc31603 \h </w:instrText>
      </w:r>
      <w:r>
        <w:rPr>
          <w:rFonts w:hint="eastAsia" w:ascii="宋体" w:hAnsi="宋体" w:cs="宋体"/>
          <w:sz w:val="24"/>
          <w:szCs w:val="24"/>
        </w:rPr>
        <w:fldChar w:fldCharType="separate"/>
      </w:r>
      <w:r>
        <w:rPr>
          <w:rFonts w:hint="eastAsia" w:ascii="宋体" w:hAnsi="宋体" w:cs="宋体"/>
          <w:sz w:val="24"/>
          <w:szCs w:val="24"/>
        </w:rPr>
        <w:t>32</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12.采购文件的更正和修改</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_Toc21503 \h </w:instrText>
      </w:r>
      <w:r>
        <w:rPr>
          <w:rFonts w:hint="eastAsia" w:ascii="宋体" w:hAnsi="宋体" w:cs="宋体"/>
          <w:sz w:val="24"/>
          <w:szCs w:val="24"/>
        </w:rPr>
        <w:fldChar w:fldCharType="separate"/>
      </w:r>
      <w:r>
        <w:rPr>
          <w:rFonts w:hint="eastAsia" w:ascii="宋体" w:hAnsi="宋体" w:cs="宋体"/>
          <w:sz w:val="24"/>
          <w:szCs w:val="24"/>
        </w:rPr>
        <w:t>33</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三、 投标文件的编制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_Toc24872 \h </w:instrText>
      </w:r>
      <w:r>
        <w:rPr>
          <w:rFonts w:hint="eastAsia" w:ascii="宋体" w:hAnsi="宋体" w:cs="宋体"/>
          <w:sz w:val="24"/>
          <w:szCs w:val="24"/>
        </w:rPr>
        <w:fldChar w:fldCharType="separate"/>
      </w:r>
      <w:r>
        <w:rPr>
          <w:rFonts w:hint="eastAsia" w:ascii="宋体" w:hAnsi="宋体" w:cs="宋体"/>
          <w:sz w:val="24"/>
          <w:szCs w:val="24"/>
        </w:rPr>
        <w:t>33</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13.投标文件的语言及度量衡单位</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_Toc6899 \h </w:instrText>
      </w:r>
      <w:r>
        <w:rPr>
          <w:rFonts w:hint="eastAsia" w:ascii="宋体" w:hAnsi="宋体" w:cs="宋体"/>
          <w:sz w:val="24"/>
          <w:szCs w:val="24"/>
        </w:rPr>
        <w:fldChar w:fldCharType="separate"/>
      </w:r>
      <w:r>
        <w:rPr>
          <w:rFonts w:hint="eastAsia" w:ascii="宋体" w:hAnsi="宋体" w:cs="宋体"/>
          <w:sz w:val="24"/>
          <w:szCs w:val="24"/>
        </w:rPr>
        <w:t>33</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14.投标文件的组成</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_Toc6317 \h </w:instrText>
      </w:r>
      <w:r>
        <w:rPr>
          <w:rFonts w:hint="eastAsia" w:ascii="宋体" w:hAnsi="宋体" w:cs="宋体"/>
          <w:sz w:val="24"/>
          <w:szCs w:val="24"/>
        </w:rPr>
        <w:fldChar w:fldCharType="separate"/>
      </w:r>
      <w:r>
        <w:rPr>
          <w:rFonts w:hint="eastAsia" w:ascii="宋体" w:hAnsi="宋体" w:cs="宋体"/>
          <w:sz w:val="24"/>
          <w:szCs w:val="24"/>
        </w:rPr>
        <w:t>33</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15.投标文件编制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_Toc29022 \h </w:instrText>
      </w:r>
      <w:r>
        <w:rPr>
          <w:rFonts w:hint="eastAsia" w:ascii="宋体" w:hAnsi="宋体" w:cs="宋体"/>
          <w:sz w:val="24"/>
          <w:szCs w:val="24"/>
        </w:rPr>
        <w:fldChar w:fldCharType="separate"/>
      </w:r>
      <w:r>
        <w:rPr>
          <w:rFonts w:hint="eastAsia" w:ascii="宋体" w:hAnsi="宋体" w:cs="宋体"/>
          <w:sz w:val="24"/>
          <w:szCs w:val="24"/>
        </w:rPr>
        <w:t>34</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17.投标报价说明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_Toc14366 \h </w:instrText>
      </w:r>
      <w:r>
        <w:rPr>
          <w:rFonts w:hint="eastAsia" w:ascii="宋体" w:hAnsi="宋体" w:cs="宋体"/>
          <w:sz w:val="24"/>
          <w:szCs w:val="24"/>
        </w:rPr>
        <w:fldChar w:fldCharType="separate"/>
      </w:r>
      <w:r>
        <w:rPr>
          <w:rFonts w:hint="eastAsia" w:ascii="宋体" w:hAnsi="宋体" w:cs="宋体"/>
          <w:sz w:val="24"/>
          <w:szCs w:val="24"/>
        </w:rPr>
        <w:t>35</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18.投标人所提供的服务或货物的证明文件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_Toc24086 \h </w:instrText>
      </w:r>
      <w:r>
        <w:rPr>
          <w:rFonts w:hint="eastAsia" w:ascii="宋体" w:hAnsi="宋体" w:cs="宋体"/>
          <w:sz w:val="24"/>
          <w:szCs w:val="24"/>
        </w:rPr>
        <w:fldChar w:fldCharType="separate"/>
      </w:r>
      <w:r>
        <w:rPr>
          <w:rFonts w:hint="eastAsia" w:ascii="宋体" w:hAnsi="宋体" w:cs="宋体"/>
          <w:sz w:val="24"/>
          <w:szCs w:val="24"/>
        </w:rPr>
        <w:t>35</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19.★投标有效期</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_Toc30588 \h </w:instrText>
      </w:r>
      <w:r>
        <w:rPr>
          <w:rFonts w:hint="eastAsia" w:ascii="宋体" w:hAnsi="宋体" w:cs="宋体"/>
          <w:sz w:val="24"/>
          <w:szCs w:val="24"/>
        </w:rPr>
        <w:fldChar w:fldCharType="separate"/>
      </w:r>
      <w:r>
        <w:rPr>
          <w:rFonts w:hint="eastAsia" w:ascii="宋体" w:hAnsi="宋体" w:cs="宋体"/>
          <w:sz w:val="24"/>
          <w:szCs w:val="24"/>
        </w:rPr>
        <w:t>35</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20.投标保证金</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_Toc23436 \h </w:instrText>
      </w:r>
      <w:r>
        <w:rPr>
          <w:rFonts w:hint="eastAsia" w:ascii="宋体" w:hAnsi="宋体" w:cs="宋体"/>
          <w:sz w:val="24"/>
          <w:szCs w:val="24"/>
        </w:rPr>
        <w:fldChar w:fldCharType="separate"/>
      </w:r>
      <w:r>
        <w:rPr>
          <w:rFonts w:hint="eastAsia" w:ascii="宋体" w:hAnsi="宋体" w:cs="宋体"/>
          <w:sz w:val="24"/>
          <w:szCs w:val="24"/>
        </w:rPr>
        <w:t>35</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21.投标文件的式样和签署</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_Toc26626 \h </w:instrText>
      </w:r>
      <w:r>
        <w:rPr>
          <w:rFonts w:hint="eastAsia" w:ascii="宋体" w:hAnsi="宋体" w:cs="宋体"/>
          <w:sz w:val="24"/>
          <w:szCs w:val="24"/>
        </w:rPr>
        <w:fldChar w:fldCharType="separate"/>
      </w:r>
      <w:r>
        <w:rPr>
          <w:rFonts w:hint="eastAsia" w:ascii="宋体" w:hAnsi="宋体" w:cs="宋体"/>
          <w:sz w:val="24"/>
          <w:szCs w:val="24"/>
        </w:rPr>
        <w:t>37</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22.关于报价</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_Toc31840 \h </w:instrText>
      </w:r>
      <w:r>
        <w:rPr>
          <w:rFonts w:hint="eastAsia" w:ascii="宋体" w:hAnsi="宋体" w:cs="宋体"/>
          <w:sz w:val="24"/>
          <w:szCs w:val="24"/>
        </w:rPr>
        <w:fldChar w:fldCharType="separate"/>
      </w:r>
      <w:r>
        <w:rPr>
          <w:rFonts w:hint="eastAsia" w:ascii="宋体" w:hAnsi="宋体" w:cs="宋体"/>
          <w:sz w:val="24"/>
          <w:szCs w:val="24"/>
        </w:rPr>
        <w:t>37</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四、 投标文件的递交</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_Toc9972 \h </w:instrText>
      </w:r>
      <w:r>
        <w:rPr>
          <w:rFonts w:hint="eastAsia" w:ascii="宋体" w:hAnsi="宋体" w:cs="宋体"/>
          <w:sz w:val="24"/>
          <w:szCs w:val="24"/>
        </w:rPr>
        <w:fldChar w:fldCharType="separate"/>
      </w:r>
      <w:r>
        <w:rPr>
          <w:rFonts w:hint="eastAsia" w:ascii="宋体" w:hAnsi="宋体" w:cs="宋体"/>
          <w:sz w:val="24"/>
          <w:szCs w:val="24"/>
        </w:rPr>
        <w:t>38</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23.投标文件的装订，签署，密封和标记</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_Toc29020 \h </w:instrText>
      </w:r>
      <w:r>
        <w:rPr>
          <w:rFonts w:hint="eastAsia" w:ascii="宋体" w:hAnsi="宋体" w:cs="宋体"/>
          <w:sz w:val="24"/>
          <w:szCs w:val="24"/>
        </w:rPr>
        <w:fldChar w:fldCharType="separate"/>
      </w:r>
      <w:r>
        <w:rPr>
          <w:rFonts w:hint="eastAsia" w:ascii="宋体" w:hAnsi="宋体" w:cs="宋体"/>
          <w:sz w:val="24"/>
          <w:szCs w:val="24"/>
        </w:rPr>
        <w:t>38</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24.迟交的投标文件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_Toc28711 \h </w:instrText>
      </w:r>
      <w:r>
        <w:rPr>
          <w:rFonts w:hint="eastAsia" w:ascii="宋体" w:hAnsi="宋体" w:cs="宋体"/>
          <w:sz w:val="24"/>
          <w:szCs w:val="24"/>
        </w:rPr>
        <w:fldChar w:fldCharType="separate"/>
      </w:r>
      <w:r>
        <w:rPr>
          <w:rFonts w:hint="eastAsia" w:ascii="宋体" w:hAnsi="宋体" w:cs="宋体"/>
          <w:sz w:val="24"/>
          <w:szCs w:val="24"/>
        </w:rPr>
        <w:t>39</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25.投标截止期</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_Toc25709 \h </w:instrText>
      </w:r>
      <w:r>
        <w:rPr>
          <w:rFonts w:hint="eastAsia" w:ascii="宋体" w:hAnsi="宋体" w:cs="宋体"/>
          <w:sz w:val="24"/>
          <w:szCs w:val="24"/>
        </w:rPr>
        <w:fldChar w:fldCharType="separate"/>
      </w:r>
      <w:r>
        <w:rPr>
          <w:rFonts w:hint="eastAsia" w:ascii="宋体" w:hAnsi="宋体" w:cs="宋体"/>
          <w:sz w:val="24"/>
          <w:szCs w:val="24"/>
        </w:rPr>
        <w:t>39</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26.投标文件的补充、修改与撤回</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_Toc21910 \h </w:instrText>
      </w:r>
      <w:r>
        <w:rPr>
          <w:rFonts w:hint="eastAsia" w:ascii="宋体" w:hAnsi="宋体" w:cs="宋体"/>
          <w:sz w:val="24"/>
          <w:szCs w:val="24"/>
        </w:rPr>
        <w:fldChar w:fldCharType="separate"/>
      </w:r>
      <w:r>
        <w:rPr>
          <w:rFonts w:hint="eastAsia" w:ascii="宋体" w:hAnsi="宋体" w:cs="宋体"/>
          <w:sz w:val="24"/>
          <w:szCs w:val="24"/>
        </w:rPr>
        <w:t>39</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27.评标委员会</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_Toc30812 \h </w:instrText>
      </w:r>
      <w:r>
        <w:rPr>
          <w:rFonts w:hint="eastAsia" w:ascii="宋体" w:hAnsi="宋体" w:cs="宋体"/>
          <w:sz w:val="24"/>
          <w:szCs w:val="24"/>
        </w:rPr>
        <w:fldChar w:fldCharType="separate"/>
      </w:r>
      <w:r>
        <w:rPr>
          <w:rFonts w:hint="eastAsia" w:ascii="宋体" w:hAnsi="宋体" w:cs="宋体"/>
          <w:sz w:val="24"/>
          <w:szCs w:val="24"/>
        </w:rPr>
        <w:t>40</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lang w:eastAsia="zh-TW"/>
        </w:rPr>
        <w:t>五、 评标程序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_Toc19639 \h </w:instrText>
      </w:r>
      <w:r>
        <w:rPr>
          <w:rFonts w:hint="eastAsia" w:ascii="宋体" w:hAnsi="宋体" w:cs="宋体"/>
          <w:sz w:val="24"/>
          <w:szCs w:val="24"/>
        </w:rPr>
        <w:fldChar w:fldCharType="separate"/>
      </w:r>
      <w:r>
        <w:rPr>
          <w:rFonts w:hint="eastAsia" w:ascii="宋体" w:hAnsi="宋体" w:cs="宋体"/>
          <w:sz w:val="24"/>
          <w:szCs w:val="24"/>
        </w:rPr>
        <w:t>40</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28.开标</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_Toc31569 \h </w:instrText>
      </w:r>
      <w:r>
        <w:rPr>
          <w:rFonts w:hint="eastAsia" w:ascii="宋体" w:hAnsi="宋体" w:cs="宋体"/>
          <w:sz w:val="24"/>
          <w:szCs w:val="24"/>
        </w:rPr>
        <w:fldChar w:fldCharType="separate"/>
      </w:r>
      <w:r>
        <w:rPr>
          <w:rFonts w:hint="eastAsia" w:ascii="宋体" w:hAnsi="宋体" w:cs="宋体"/>
          <w:sz w:val="24"/>
          <w:szCs w:val="24"/>
        </w:rPr>
        <w:t>40</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29.投标文件的澄清</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_Toc1908 \h </w:instrText>
      </w:r>
      <w:r>
        <w:rPr>
          <w:rFonts w:hint="eastAsia" w:ascii="宋体" w:hAnsi="宋体" w:cs="宋体"/>
          <w:sz w:val="24"/>
          <w:szCs w:val="24"/>
        </w:rPr>
        <w:fldChar w:fldCharType="separate"/>
      </w:r>
      <w:r>
        <w:rPr>
          <w:rFonts w:hint="eastAsia" w:ascii="宋体" w:hAnsi="宋体" w:cs="宋体"/>
          <w:sz w:val="24"/>
          <w:szCs w:val="24"/>
        </w:rPr>
        <w:t>40</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30.评标</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_Toc2661 \h </w:instrText>
      </w:r>
      <w:r>
        <w:rPr>
          <w:rFonts w:hint="eastAsia" w:ascii="宋体" w:hAnsi="宋体" w:cs="宋体"/>
          <w:sz w:val="24"/>
          <w:szCs w:val="24"/>
        </w:rPr>
        <w:fldChar w:fldCharType="separate"/>
      </w:r>
      <w:r>
        <w:rPr>
          <w:rFonts w:hint="eastAsia" w:ascii="宋体" w:hAnsi="宋体" w:cs="宋体"/>
          <w:sz w:val="24"/>
          <w:szCs w:val="24"/>
        </w:rPr>
        <w:t>40</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31.综合评审：</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_Toc32244 \h </w:instrText>
      </w:r>
      <w:r>
        <w:rPr>
          <w:rFonts w:hint="eastAsia" w:ascii="宋体" w:hAnsi="宋体" w:cs="宋体"/>
          <w:sz w:val="24"/>
          <w:szCs w:val="24"/>
        </w:rPr>
        <w:fldChar w:fldCharType="separate"/>
      </w:r>
      <w:r>
        <w:rPr>
          <w:rFonts w:hint="eastAsia" w:ascii="宋体" w:hAnsi="宋体" w:cs="宋体"/>
          <w:sz w:val="24"/>
          <w:szCs w:val="24"/>
        </w:rPr>
        <w:t>43</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32.投标文件的修正和澄清</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_Toc5839 \h </w:instrText>
      </w:r>
      <w:r>
        <w:rPr>
          <w:rFonts w:hint="eastAsia" w:ascii="宋体" w:hAnsi="宋体" w:cs="宋体"/>
          <w:sz w:val="24"/>
          <w:szCs w:val="24"/>
        </w:rPr>
        <w:fldChar w:fldCharType="separate"/>
      </w:r>
      <w:r>
        <w:rPr>
          <w:rFonts w:hint="eastAsia" w:ascii="宋体" w:hAnsi="宋体" w:cs="宋体"/>
          <w:sz w:val="24"/>
          <w:szCs w:val="24"/>
        </w:rPr>
        <w:t>48</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33.资格后审</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_Toc30614 \h </w:instrText>
      </w:r>
      <w:r>
        <w:rPr>
          <w:rFonts w:hint="eastAsia" w:ascii="宋体" w:hAnsi="宋体" w:cs="宋体"/>
          <w:sz w:val="24"/>
          <w:szCs w:val="24"/>
        </w:rPr>
        <w:fldChar w:fldCharType="separate"/>
      </w:r>
      <w:r>
        <w:rPr>
          <w:rFonts w:hint="eastAsia" w:ascii="宋体" w:hAnsi="宋体" w:cs="宋体"/>
          <w:sz w:val="24"/>
          <w:szCs w:val="24"/>
        </w:rPr>
        <w:t>48</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34.评标结果公示</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_Toc368 \h </w:instrText>
      </w:r>
      <w:r>
        <w:rPr>
          <w:rFonts w:hint="eastAsia" w:ascii="宋体" w:hAnsi="宋体" w:cs="宋体"/>
          <w:sz w:val="24"/>
          <w:szCs w:val="24"/>
        </w:rPr>
        <w:fldChar w:fldCharType="separate"/>
      </w:r>
      <w:r>
        <w:rPr>
          <w:rFonts w:hint="eastAsia" w:ascii="宋体" w:hAnsi="宋体" w:cs="宋体"/>
          <w:sz w:val="24"/>
          <w:szCs w:val="24"/>
        </w:rPr>
        <w:t>49</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六、 授予合同</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_Toc5316 \h </w:instrText>
      </w:r>
      <w:r>
        <w:rPr>
          <w:rFonts w:hint="eastAsia" w:ascii="宋体" w:hAnsi="宋体" w:cs="宋体"/>
          <w:sz w:val="24"/>
          <w:szCs w:val="24"/>
        </w:rPr>
        <w:fldChar w:fldCharType="separate"/>
      </w:r>
      <w:r>
        <w:rPr>
          <w:rFonts w:hint="eastAsia" w:ascii="宋体" w:hAnsi="宋体" w:cs="宋体"/>
          <w:sz w:val="24"/>
          <w:szCs w:val="24"/>
        </w:rPr>
        <w:t>49</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35.合同授予标准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_Toc26572 \h </w:instrText>
      </w:r>
      <w:r>
        <w:rPr>
          <w:rFonts w:hint="eastAsia" w:ascii="宋体" w:hAnsi="宋体" w:cs="宋体"/>
          <w:sz w:val="24"/>
          <w:szCs w:val="24"/>
        </w:rPr>
        <w:fldChar w:fldCharType="separate"/>
      </w:r>
      <w:r>
        <w:rPr>
          <w:rFonts w:hint="eastAsia" w:ascii="宋体" w:hAnsi="宋体" w:cs="宋体"/>
          <w:sz w:val="24"/>
          <w:szCs w:val="24"/>
        </w:rPr>
        <w:t>49</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36.中标通知书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_Toc10395 \h </w:instrText>
      </w:r>
      <w:r>
        <w:rPr>
          <w:rFonts w:hint="eastAsia" w:ascii="宋体" w:hAnsi="宋体" w:cs="宋体"/>
          <w:sz w:val="24"/>
          <w:szCs w:val="24"/>
        </w:rPr>
        <w:fldChar w:fldCharType="separate"/>
      </w:r>
      <w:r>
        <w:rPr>
          <w:rFonts w:hint="eastAsia" w:ascii="宋体" w:hAnsi="宋体" w:cs="宋体"/>
          <w:sz w:val="24"/>
          <w:szCs w:val="24"/>
        </w:rPr>
        <w:t>49</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37.履约保证金</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_Toc21931 \h </w:instrText>
      </w:r>
      <w:r>
        <w:rPr>
          <w:rFonts w:hint="eastAsia" w:ascii="宋体" w:hAnsi="宋体" w:cs="宋体"/>
          <w:sz w:val="24"/>
          <w:szCs w:val="24"/>
        </w:rPr>
        <w:fldChar w:fldCharType="separate"/>
      </w:r>
      <w:r>
        <w:rPr>
          <w:rFonts w:hint="eastAsia" w:ascii="宋体" w:hAnsi="宋体" w:cs="宋体"/>
          <w:sz w:val="24"/>
          <w:szCs w:val="24"/>
        </w:rPr>
        <w:t>50</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38.签订合同</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_Toc26733 \h </w:instrText>
      </w:r>
      <w:r>
        <w:rPr>
          <w:rFonts w:hint="eastAsia" w:ascii="宋体" w:hAnsi="宋体" w:cs="宋体"/>
          <w:sz w:val="24"/>
          <w:szCs w:val="24"/>
        </w:rPr>
        <w:fldChar w:fldCharType="separate"/>
      </w:r>
      <w:r>
        <w:rPr>
          <w:rFonts w:hint="eastAsia" w:ascii="宋体" w:hAnsi="宋体" w:cs="宋体"/>
          <w:sz w:val="24"/>
          <w:szCs w:val="24"/>
        </w:rPr>
        <w:t>51</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39.中标人结算时须开具与其名称一致的正规发票。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_Toc26882 \h </w:instrText>
      </w:r>
      <w:r>
        <w:rPr>
          <w:rFonts w:hint="eastAsia" w:ascii="宋体" w:hAnsi="宋体" w:cs="宋体"/>
          <w:sz w:val="24"/>
          <w:szCs w:val="24"/>
        </w:rPr>
        <w:fldChar w:fldCharType="separate"/>
      </w:r>
      <w:r>
        <w:rPr>
          <w:rFonts w:hint="eastAsia" w:ascii="宋体" w:hAnsi="宋体" w:cs="宋体"/>
          <w:sz w:val="24"/>
          <w:szCs w:val="24"/>
        </w:rPr>
        <w:t>51</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40.接受和拒绝任何或所有投标的权利</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_Toc26787 \h </w:instrText>
      </w:r>
      <w:r>
        <w:rPr>
          <w:rFonts w:hint="eastAsia" w:ascii="宋体" w:hAnsi="宋体" w:cs="宋体"/>
          <w:sz w:val="24"/>
          <w:szCs w:val="24"/>
        </w:rPr>
        <w:fldChar w:fldCharType="separate"/>
      </w:r>
      <w:r>
        <w:rPr>
          <w:rFonts w:hint="eastAsia" w:ascii="宋体" w:hAnsi="宋体" w:cs="宋体"/>
          <w:sz w:val="24"/>
          <w:szCs w:val="24"/>
        </w:rPr>
        <w:t>51</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41.质疑与投诉</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_Toc8653 \h </w:instrText>
      </w:r>
      <w:r>
        <w:rPr>
          <w:rFonts w:hint="eastAsia" w:ascii="宋体" w:hAnsi="宋体" w:cs="宋体"/>
          <w:sz w:val="24"/>
          <w:szCs w:val="24"/>
        </w:rPr>
        <w:fldChar w:fldCharType="separate"/>
      </w:r>
      <w:r>
        <w:rPr>
          <w:rFonts w:hint="eastAsia" w:ascii="宋体" w:hAnsi="宋体" w:cs="宋体"/>
          <w:sz w:val="24"/>
          <w:szCs w:val="24"/>
        </w:rPr>
        <w:t>51</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42.采购文件的解释权</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_Toc22941 \h </w:instrText>
      </w:r>
      <w:r>
        <w:rPr>
          <w:rFonts w:hint="eastAsia" w:ascii="宋体" w:hAnsi="宋体" w:cs="宋体"/>
          <w:sz w:val="24"/>
          <w:szCs w:val="24"/>
        </w:rPr>
        <w:fldChar w:fldCharType="separate"/>
      </w:r>
      <w:r>
        <w:rPr>
          <w:rFonts w:hint="eastAsia" w:ascii="宋体" w:hAnsi="宋体" w:cs="宋体"/>
          <w:sz w:val="24"/>
          <w:szCs w:val="24"/>
        </w:rPr>
        <w:t>52</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第五部分合同格式（仅供参考）</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_Toc9721 \h </w:instrText>
      </w:r>
      <w:r>
        <w:rPr>
          <w:rFonts w:hint="eastAsia" w:ascii="宋体" w:hAnsi="宋体" w:cs="宋体"/>
          <w:sz w:val="24"/>
          <w:szCs w:val="24"/>
        </w:rPr>
        <w:fldChar w:fldCharType="separate"/>
      </w:r>
      <w:r>
        <w:rPr>
          <w:rFonts w:hint="eastAsia" w:ascii="宋体" w:hAnsi="宋体" w:cs="宋体"/>
          <w:sz w:val="24"/>
          <w:szCs w:val="24"/>
        </w:rPr>
        <w:t>53</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第一部分 合同模板</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_Toc19565 \h </w:instrText>
      </w:r>
      <w:r>
        <w:rPr>
          <w:rFonts w:hint="eastAsia" w:ascii="宋体" w:hAnsi="宋体" w:cs="宋体"/>
          <w:sz w:val="24"/>
          <w:szCs w:val="24"/>
        </w:rPr>
        <w:fldChar w:fldCharType="separate"/>
      </w:r>
      <w:r>
        <w:rPr>
          <w:rFonts w:hint="eastAsia" w:ascii="宋体" w:hAnsi="宋体" w:cs="宋体"/>
          <w:sz w:val="24"/>
          <w:szCs w:val="24"/>
        </w:rPr>
        <w:t>53</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阳光合作协议</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_Toc5880 \h </w:instrText>
      </w:r>
      <w:r>
        <w:rPr>
          <w:rFonts w:hint="eastAsia" w:ascii="宋体" w:hAnsi="宋体" w:cs="宋体"/>
          <w:sz w:val="24"/>
          <w:szCs w:val="24"/>
        </w:rPr>
        <w:fldChar w:fldCharType="separate"/>
      </w:r>
      <w:r>
        <w:rPr>
          <w:rFonts w:hint="eastAsia" w:ascii="宋体" w:hAnsi="宋体" w:cs="宋体"/>
          <w:sz w:val="24"/>
          <w:szCs w:val="24"/>
        </w:rPr>
        <w:t>73</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第六部分附件－投标文件格式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_Toc6637 \h </w:instrText>
      </w:r>
      <w:r>
        <w:rPr>
          <w:rFonts w:hint="eastAsia" w:ascii="宋体" w:hAnsi="宋体" w:cs="宋体"/>
          <w:sz w:val="24"/>
          <w:szCs w:val="24"/>
        </w:rPr>
        <w:fldChar w:fldCharType="separate"/>
      </w:r>
      <w:r>
        <w:rPr>
          <w:rFonts w:hint="eastAsia" w:ascii="宋体" w:hAnsi="宋体" w:cs="宋体"/>
          <w:sz w:val="24"/>
          <w:szCs w:val="24"/>
        </w:rPr>
        <w:t>75</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投标文件目录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_Toc28864 \h </w:instrText>
      </w:r>
      <w:r>
        <w:rPr>
          <w:rFonts w:hint="eastAsia" w:ascii="宋体" w:hAnsi="宋体" w:cs="宋体"/>
          <w:sz w:val="24"/>
          <w:szCs w:val="24"/>
        </w:rPr>
        <w:fldChar w:fldCharType="separate"/>
      </w:r>
      <w:r>
        <w:rPr>
          <w:rFonts w:hint="eastAsia" w:ascii="宋体" w:hAnsi="宋体" w:cs="宋体"/>
          <w:sz w:val="24"/>
          <w:szCs w:val="24"/>
        </w:rPr>
        <w:t>75</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评分标准索引表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_Toc19143 \h </w:instrText>
      </w:r>
      <w:r>
        <w:rPr>
          <w:rFonts w:hint="eastAsia" w:ascii="宋体" w:hAnsi="宋体" w:cs="宋体"/>
          <w:sz w:val="24"/>
          <w:szCs w:val="24"/>
        </w:rPr>
        <w:fldChar w:fldCharType="separate"/>
      </w:r>
      <w:r>
        <w:rPr>
          <w:rFonts w:hint="eastAsia" w:ascii="宋体" w:hAnsi="宋体" w:cs="宋体"/>
          <w:sz w:val="24"/>
          <w:szCs w:val="24"/>
        </w:rPr>
        <w:t>76</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价格文件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_Toc25887 \h </w:instrText>
      </w:r>
      <w:r>
        <w:rPr>
          <w:rFonts w:hint="eastAsia" w:ascii="宋体" w:hAnsi="宋体" w:cs="宋体"/>
          <w:sz w:val="24"/>
          <w:szCs w:val="24"/>
        </w:rPr>
        <w:fldChar w:fldCharType="separate"/>
      </w:r>
      <w:r>
        <w:rPr>
          <w:rFonts w:hint="eastAsia" w:ascii="宋体" w:hAnsi="宋体" w:cs="宋体"/>
          <w:sz w:val="24"/>
          <w:szCs w:val="24"/>
        </w:rPr>
        <w:t>77</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附件1.开标一览表格式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_Toc4346 \h </w:instrText>
      </w:r>
      <w:r>
        <w:rPr>
          <w:rFonts w:hint="eastAsia" w:ascii="宋体" w:hAnsi="宋体" w:cs="宋体"/>
          <w:sz w:val="24"/>
          <w:szCs w:val="24"/>
        </w:rPr>
        <w:fldChar w:fldCharType="separate"/>
      </w:r>
      <w:r>
        <w:rPr>
          <w:rFonts w:hint="eastAsia" w:ascii="宋体" w:hAnsi="宋体" w:cs="宋体"/>
          <w:sz w:val="24"/>
          <w:szCs w:val="24"/>
        </w:rPr>
        <w:t>78</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附件2.报价明细表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_Toc51 \h </w:instrText>
      </w:r>
      <w:r>
        <w:rPr>
          <w:rFonts w:hint="eastAsia" w:ascii="宋体" w:hAnsi="宋体" w:cs="宋体"/>
          <w:sz w:val="24"/>
          <w:szCs w:val="24"/>
        </w:rPr>
        <w:fldChar w:fldCharType="separate"/>
      </w:r>
      <w:r>
        <w:rPr>
          <w:rFonts w:hint="eastAsia" w:ascii="宋体" w:hAnsi="宋体" w:cs="宋体"/>
          <w:sz w:val="24"/>
          <w:szCs w:val="24"/>
        </w:rPr>
        <w:t>79</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商务技术文件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_Toc28635 \h </w:instrText>
      </w:r>
      <w:r>
        <w:rPr>
          <w:rFonts w:hint="eastAsia" w:ascii="宋体" w:hAnsi="宋体" w:cs="宋体"/>
          <w:sz w:val="24"/>
          <w:szCs w:val="24"/>
        </w:rPr>
        <w:fldChar w:fldCharType="separate"/>
      </w:r>
      <w:r>
        <w:rPr>
          <w:rFonts w:hint="eastAsia" w:ascii="宋体" w:hAnsi="宋体" w:cs="宋体"/>
          <w:sz w:val="24"/>
          <w:szCs w:val="24"/>
        </w:rPr>
        <w:t>80</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附件3.投标书格式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_Toc26585 \h </w:instrText>
      </w:r>
      <w:r>
        <w:rPr>
          <w:rFonts w:hint="eastAsia" w:ascii="宋体" w:hAnsi="宋体" w:cs="宋体"/>
          <w:sz w:val="24"/>
          <w:szCs w:val="24"/>
        </w:rPr>
        <w:fldChar w:fldCharType="separate"/>
      </w:r>
      <w:r>
        <w:rPr>
          <w:rFonts w:hint="eastAsia" w:ascii="宋体" w:hAnsi="宋体" w:cs="宋体"/>
          <w:sz w:val="24"/>
          <w:szCs w:val="24"/>
        </w:rPr>
        <w:t>81</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附件4. 法定代表人证明书格式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_Toc28202 \h </w:instrText>
      </w:r>
      <w:r>
        <w:rPr>
          <w:rFonts w:hint="eastAsia" w:ascii="宋体" w:hAnsi="宋体" w:cs="宋体"/>
          <w:sz w:val="24"/>
          <w:szCs w:val="24"/>
        </w:rPr>
        <w:fldChar w:fldCharType="separate"/>
      </w:r>
      <w:r>
        <w:rPr>
          <w:rFonts w:hint="eastAsia" w:ascii="宋体" w:hAnsi="宋体" w:cs="宋体"/>
          <w:sz w:val="24"/>
          <w:szCs w:val="24"/>
        </w:rPr>
        <w:t>82</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附件5.法定代表人授权书格式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_Toc1735 \h </w:instrText>
      </w:r>
      <w:r>
        <w:rPr>
          <w:rFonts w:hint="eastAsia" w:ascii="宋体" w:hAnsi="宋体" w:cs="宋体"/>
          <w:sz w:val="24"/>
          <w:szCs w:val="24"/>
        </w:rPr>
        <w:fldChar w:fldCharType="separate"/>
      </w:r>
      <w:r>
        <w:rPr>
          <w:rFonts w:hint="eastAsia" w:ascii="宋体" w:hAnsi="宋体" w:cs="宋体"/>
          <w:sz w:val="24"/>
          <w:szCs w:val="24"/>
        </w:rPr>
        <w:t>83</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附件6.资格申明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_Toc5874 \h </w:instrText>
      </w:r>
      <w:r>
        <w:rPr>
          <w:rFonts w:hint="eastAsia" w:ascii="宋体" w:hAnsi="宋体" w:cs="宋体"/>
          <w:sz w:val="24"/>
          <w:szCs w:val="24"/>
        </w:rPr>
        <w:fldChar w:fldCharType="separate"/>
      </w:r>
      <w:r>
        <w:rPr>
          <w:rFonts w:hint="eastAsia" w:ascii="宋体" w:hAnsi="宋体" w:cs="宋体"/>
          <w:sz w:val="24"/>
          <w:szCs w:val="24"/>
        </w:rPr>
        <w:t>84</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附件7.营业执照</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_Toc603 \h </w:instrText>
      </w:r>
      <w:r>
        <w:rPr>
          <w:rFonts w:hint="eastAsia" w:ascii="宋体" w:hAnsi="宋体" w:cs="宋体"/>
          <w:sz w:val="24"/>
          <w:szCs w:val="24"/>
        </w:rPr>
        <w:fldChar w:fldCharType="separate"/>
      </w:r>
      <w:r>
        <w:rPr>
          <w:rFonts w:hint="eastAsia" w:ascii="宋体" w:hAnsi="宋体" w:cs="宋体"/>
          <w:sz w:val="24"/>
          <w:szCs w:val="24"/>
        </w:rPr>
        <w:t>85</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附件8.相关资质证明文件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_Toc11922 \h </w:instrText>
      </w:r>
      <w:r>
        <w:rPr>
          <w:rFonts w:hint="eastAsia" w:ascii="宋体" w:hAnsi="宋体" w:cs="宋体"/>
          <w:sz w:val="24"/>
          <w:szCs w:val="24"/>
        </w:rPr>
        <w:fldChar w:fldCharType="separate"/>
      </w:r>
      <w:r>
        <w:rPr>
          <w:rFonts w:hint="eastAsia" w:ascii="宋体" w:hAnsi="宋体" w:cs="宋体"/>
          <w:sz w:val="24"/>
          <w:szCs w:val="24"/>
        </w:rPr>
        <w:t>86</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附件9. 商务条款偏离表格式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_Toc22542 \h </w:instrText>
      </w:r>
      <w:r>
        <w:rPr>
          <w:rFonts w:hint="eastAsia" w:ascii="宋体" w:hAnsi="宋体" w:cs="宋体"/>
          <w:sz w:val="24"/>
          <w:szCs w:val="24"/>
        </w:rPr>
        <w:fldChar w:fldCharType="separate"/>
      </w:r>
      <w:r>
        <w:rPr>
          <w:rFonts w:hint="eastAsia" w:ascii="宋体" w:hAnsi="宋体" w:cs="宋体"/>
          <w:sz w:val="24"/>
          <w:szCs w:val="24"/>
        </w:rPr>
        <w:t>87</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附件10. 技术规格偏离表格式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_Toc9445 \h </w:instrText>
      </w:r>
      <w:r>
        <w:rPr>
          <w:rFonts w:hint="eastAsia" w:ascii="宋体" w:hAnsi="宋体" w:cs="宋体"/>
          <w:sz w:val="24"/>
          <w:szCs w:val="24"/>
        </w:rPr>
        <w:fldChar w:fldCharType="separate"/>
      </w:r>
      <w:r>
        <w:rPr>
          <w:rFonts w:hint="eastAsia" w:ascii="宋体" w:hAnsi="宋体" w:cs="宋体"/>
          <w:sz w:val="24"/>
          <w:szCs w:val="24"/>
        </w:rPr>
        <w:t>88</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附件11.业绩表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_Toc10091 \h </w:instrText>
      </w:r>
      <w:r>
        <w:rPr>
          <w:rFonts w:hint="eastAsia" w:ascii="宋体" w:hAnsi="宋体" w:cs="宋体"/>
          <w:sz w:val="24"/>
          <w:szCs w:val="24"/>
        </w:rPr>
        <w:fldChar w:fldCharType="separate"/>
      </w:r>
      <w:r>
        <w:rPr>
          <w:rFonts w:hint="eastAsia" w:ascii="宋体" w:hAnsi="宋体" w:cs="宋体"/>
          <w:sz w:val="24"/>
          <w:szCs w:val="24"/>
        </w:rPr>
        <w:t>89</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附件12. 项目实施方案格式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_Toc21993 \h </w:instrText>
      </w:r>
      <w:r>
        <w:rPr>
          <w:rFonts w:hint="eastAsia" w:ascii="宋体" w:hAnsi="宋体" w:cs="宋体"/>
          <w:sz w:val="24"/>
          <w:szCs w:val="24"/>
        </w:rPr>
        <w:fldChar w:fldCharType="separate"/>
      </w:r>
      <w:r>
        <w:rPr>
          <w:rFonts w:hint="eastAsia" w:ascii="宋体" w:hAnsi="宋体" w:cs="宋体"/>
          <w:sz w:val="24"/>
          <w:szCs w:val="24"/>
        </w:rPr>
        <w:t>90</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附件13. 实施本项目的有关人员资料表格式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_Toc5294 \h </w:instrText>
      </w:r>
      <w:r>
        <w:rPr>
          <w:rFonts w:hint="eastAsia" w:ascii="宋体" w:hAnsi="宋体" w:cs="宋体"/>
          <w:sz w:val="24"/>
          <w:szCs w:val="24"/>
        </w:rPr>
        <w:fldChar w:fldCharType="separate"/>
      </w:r>
      <w:r>
        <w:rPr>
          <w:rFonts w:hint="eastAsia" w:ascii="宋体" w:hAnsi="宋体" w:cs="宋体"/>
          <w:sz w:val="24"/>
          <w:szCs w:val="24"/>
        </w:rPr>
        <w:t>91</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附件14.在经营活动中没有重大违法记录的书面声明格式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_Toc29777 \h </w:instrText>
      </w:r>
      <w:r>
        <w:rPr>
          <w:rFonts w:hint="eastAsia" w:ascii="宋体" w:hAnsi="宋体" w:cs="宋体"/>
          <w:sz w:val="24"/>
          <w:szCs w:val="24"/>
        </w:rPr>
        <w:fldChar w:fldCharType="separate"/>
      </w:r>
      <w:r>
        <w:rPr>
          <w:rFonts w:hint="eastAsia" w:ascii="宋体" w:hAnsi="宋体" w:cs="宋体"/>
          <w:sz w:val="24"/>
          <w:szCs w:val="24"/>
        </w:rPr>
        <w:t>92</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附件15. 投标保证金汇入情况说明格式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_Toc20864 \h </w:instrText>
      </w:r>
      <w:r>
        <w:rPr>
          <w:rFonts w:hint="eastAsia" w:ascii="宋体" w:hAnsi="宋体" w:cs="宋体"/>
          <w:sz w:val="24"/>
          <w:szCs w:val="24"/>
        </w:rPr>
        <w:fldChar w:fldCharType="separate"/>
      </w:r>
      <w:r>
        <w:rPr>
          <w:rFonts w:hint="eastAsia" w:ascii="宋体" w:hAnsi="宋体" w:cs="宋体"/>
          <w:sz w:val="24"/>
          <w:szCs w:val="24"/>
        </w:rPr>
        <w:t>93</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附件16.不可撤销履约保函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_Toc5601 \h </w:instrText>
      </w:r>
      <w:r>
        <w:rPr>
          <w:rFonts w:hint="eastAsia" w:ascii="宋体" w:hAnsi="宋体" w:cs="宋体"/>
          <w:sz w:val="24"/>
          <w:szCs w:val="24"/>
        </w:rPr>
        <w:fldChar w:fldCharType="separate"/>
      </w:r>
      <w:r>
        <w:rPr>
          <w:rFonts w:hint="eastAsia" w:ascii="宋体" w:hAnsi="宋体" w:cs="宋体"/>
          <w:sz w:val="24"/>
          <w:szCs w:val="24"/>
        </w:rPr>
        <w:t>95</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t>附件17.开标文件格式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_Toc1125 \h </w:instrText>
      </w:r>
      <w:r>
        <w:rPr>
          <w:rFonts w:hint="eastAsia" w:ascii="宋体" w:hAnsi="宋体" w:cs="宋体"/>
          <w:sz w:val="24"/>
          <w:szCs w:val="24"/>
        </w:rPr>
        <w:fldChar w:fldCharType="separate"/>
      </w:r>
      <w:r>
        <w:rPr>
          <w:rFonts w:hint="eastAsia" w:ascii="宋体" w:hAnsi="宋体" w:cs="宋体"/>
          <w:sz w:val="24"/>
          <w:szCs w:val="24"/>
        </w:rPr>
        <w:t>96</w:t>
      </w:r>
      <w:r>
        <w:rPr>
          <w:rFonts w:hint="eastAsia" w:ascii="宋体" w:hAnsi="宋体" w:cs="宋体"/>
          <w:sz w:val="24"/>
          <w:szCs w:val="24"/>
        </w:rPr>
        <w:fldChar w:fldCharType="end"/>
      </w:r>
    </w:p>
    <w:p>
      <w:pPr>
        <w:pStyle w:val="15"/>
        <w:tabs>
          <w:tab w:val="right" w:leader="dot" w:pos="8306"/>
          <w:tab w:val="clear" w:pos="8296"/>
        </w:tabs>
        <w:ind w:left="0" w:leftChars="0"/>
        <w:jc w:val="both"/>
        <w:rPr>
          <w:rFonts w:ascii="宋体" w:hAnsi="宋体" w:cs="宋体"/>
          <w:sz w:val="24"/>
          <w:szCs w:val="24"/>
        </w:rPr>
      </w:pPr>
      <w:r>
        <w:rPr>
          <w:rFonts w:hint="eastAsia" w:ascii="宋体" w:hAnsi="宋体" w:cs="宋体"/>
          <w:sz w:val="24"/>
          <w:szCs w:val="24"/>
        </w:rPr>
        <w:fldChar w:fldCharType="end"/>
      </w:r>
    </w:p>
    <w:p>
      <w:pPr>
        <w:rPr>
          <w:rFonts w:ascii="宋体" w:hAnsi="宋体" w:cs="宋体"/>
          <w:sz w:val="24"/>
          <w:szCs w:val="24"/>
        </w:rPr>
      </w:pPr>
      <w:r>
        <w:rPr>
          <w:rFonts w:hint="eastAsia" w:ascii="宋体" w:hAnsi="宋体" w:cs="宋体"/>
          <w:sz w:val="24"/>
          <w:szCs w:val="24"/>
        </w:rPr>
        <w:br w:type="page"/>
      </w:r>
    </w:p>
    <w:p>
      <w:pPr>
        <w:pStyle w:val="25"/>
        <w:tabs>
          <w:tab w:val="right" w:leader="dot" w:pos="8306"/>
          <w:tab w:val="clear" w:pos="8296"/>
        </w:tabs>
        <w:spacing w:line="240" w:lineRule="auto"/>
        <w:ind w:left="0" w:leftChars="0"/>
        <w:jc w:val="both"/>
        <w:rPr>
          <w:rFonts w:cs="宋体"/>
          <w:b/>
          <w:bCs/>
          <w:sz w:val="24"/>
          <w:szCs w:val="24"/>
        </w:rPr>
      </w:pPr>
      <w:r>
        <w:rPr>
          <w:rFonts w:hint="eastAsia" w:cs="宋体"/>
          <w:b/>
          <w:bCs/>
          <w:sz w:val="24"/>
          <w:szCs w:val="24"/>
        </w:rPr>
        <w:t>第一部分投标邀请</w:t>
      </w:r>
    </w:p>
    <w:p>
      <w:pPr>
        <w:pStyle w:val="8"/>
        <w:spacing w:before="0" w:after="0" w:line="360" w:lineRule="auto"/>
        <w:jc w:val="center"/>
        <w:rPr>
          <w:rFonts w:ascii="宋体" w:hAnsi="宋体" w:cs="宋体"/>
          <w:sz w:val="24"/>
          <w:szCs w:val="24"/>
        </w:rPr>
      </w:pPr>
      <w:bookmarkStart w:id="0" w:name="_Toc12550"/>
      <w:bookmarkStart w:id="1" w:name="_Toc8936"/>
      <w:r>
        <w:rPr>
          <w:rFonts w:hint="eastAsia" w:ascii="宋体" w:hAnsi="宋体" w:cs="宋体"/>
          <w:sz w:val="24"/>
          <w:szCs w:val="24"/>
        </w:rPr>
        <w:t>投标邀请书</w:t>
      </w:r>
      <w:bookmarkEnd w:id="0"/>
      <w:bookmarkEnd w:id="1"/>
    </w:p>
    <w:p>
      <w:pPr>
        <w:ind w:firstLine="480" w:firstLineChars="200"/>
        <w:rPr>
          <w:rFonts w:ascii="宋体" w:hAnsi="宋体" w:cs="宋体"/>
          <w:sz w:val="24"/>
          <w:szCs w:val="24"/>
        </w:rPr>
      </w:pPr>
      <w:r>
        <w:rPr>
          <w:rFonts w:hint="eastAsia" w:ascii="宋体" w:hAnsi="宋体" w:cs="宋体"/>
          <w:sz w:val="24"/>
          <w:szCs w:val="24"/>
        </w:rPr>
        <w:t>广东政通招标有限公司（以下简称“采购代理机构”）受</w:t>
      </w:r>
      <w:r>
        <w:rPr>
          <w:rFonts w:hint="eastAsia" w:ascii="宋体" w:hAnsi="宋体" w:cs="宋体"/>
          <w:b/>
          <w:sz w:val="24"/>
          <w:szCs w:val="24"/>
          <w:u w:val="single"/>
        </w:rPr>
        <w:t>东莞市东实城市环境服务有限公司</w:t>
      </w:r>
      <w:r>
        <w:rPr>
          <w:rFonts w:hint="eastAsia" w:ascii="宋体" w:hAnsi="宋体" w:cs="宋体"/>
          <w:sz w:val="24"/>
          <w:szCs w:val="24"/>
        </w:rPr>
        <w:t>（以下简称“采购人”）委托，现就</w:t>
      </w:r>
      <w:r>
        <w:rPr>
          <w:rFonts w:hint="eastAsia" w:ascii="宋体" w:hAnsi="宋体" w:cs="宋体"/>
          <w:b/>
          <w:sz w:val="24"/>
          <w:szCs w:val="24"/>
          <w:u w:val="single"/>
        </w:rPr>
        <w:t>城服公司环卫车辆设备采购项目</w:t>
      </w:r>
      <w:r>
        <w:rPr>
          <w:rFonts w:hint="eastAsia" w:ascii="宋体" w:hAnsi="宋体" w:cs="宋体"/>
          <w:sz w:val="24"/>
          <w:szCs w:val="24"/>
        </w:rPr>
        <w:t>（项目编号：</w:t>
      </w:r>
      <w:r>
        <w:rPr>
          <w:rFonts w:hint="eastAsia" w:ascii="宋体" w:hAnsi="宋体" w:cs="宋体"/>
          <w:b/>
          <w:sz w:val="24"/>
          <w:szCs w:val="24"/>
          <w:u w:val="single"/>
        </w:rPr>
        <w:t>DSCF–SL-02－02-002(2022)</w:t>
      </w:r>
      <w:r>
        <w:rPr>
          <w:rFonts w:hint="eastAsia" w:ascii="宋体" w:hAnsi="宋体" w:cs="宋体"/>
          <w:sz w:val="24"/>
          <w:szCs w:val="24"/>
        </w:rPr>
        <w:t>）进行国内公开采购，欢迎符合采购文件要求的国内投标人参加投标。有关事项如下：</w:t>
      </w:r>
    </w:p>
    <w:p>
      <w:pPr>
        <w:ind w:firstLine="472" w:firstLineChars="196"/>
        <w:rPr>
          <w:rFonts w:ascii="宋体" w:hAnsi="宋体" w:cs="宋体"/>
          <w:b/>
          <w:sz w:val="24"/>
          <w:szCs w:val="24"/>
        </w:rPr>
      </w:pPr>
    </w:p>
    <w:p>
      <w:pPr>
        <w:ind w:firstLine="472" w:firstLineChars="196"/>
        <w:rPr>
          <w:rFonts w:ascii="宋体" w:hAnsi="宋体" w:cs="宋体"/>
          <w:b/>
          <w:sz w:val="24"/>
          <w:szCs w:val="24"/>
        </w:rPr>
      </w:pPr>
      <w:r>
        <w:rPr>
          <w:rFonts w:hint="eastAsia" w:ascii="宋体" w:hAnsi="宋体" w:cs="宋体"/>
          <w:b/>
          <w:sz w:val="24"/>
          <w:szCs w:val="24"/>
        </w:rPr>
        <w:t>一、采购项目的名称、用途、简要技术要求或者采购项目的性质</w:t>
      </w:r>
    </w:p>
    <w:p>
      <w:pPr>
        <w:ind w:firstLine="480" w:firstLineChars="200"/>
        <w:rPr>
          <w:rFonts w:ascii="宋体" w:hAnsi="宋体" w:cs="宋体"/>
          <w:sz w:val="24"/>
          <w:szCs w:val="24"/>
        </w:rPr>
      </w:pPr>
      <w:r>
        <w:rPr>
          <w:rFonts w:hint="eastAsia" w:ascii="宋体" w:hAnsi="宋体" w:cs="宋体"/>
          <w:sz w:val="24"/>
          <w:szCs w:val="24"/>
        </w:rPr>
        <w:t>1、项目内容</w:t>
      </w:r>
    </w:p>
    <w:tbl>
      <w:tblPr>
        <w:tblStyle w:val="28"/>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1"/>
        <w:gridCol w:w="730"/>
        <w:gridCol w:w="2050"/>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021" w:type="dxa"/>
            <w:vAlign w:val="center"/>
          </w:tcPr>
          <w:p>
            <w:pPr>
              <w:spacing w:line="240" w:lineRule="auto"/>
              <w:jc w:val="center"/>
              <w:rPr>
                <w:rFonts w:ascii="宋体" w:hAnsi="宋体" w:cs="宋体"/>
                <w:kern w:val="28"/>
                <w:sz w:val="24"/>
                <w:szCs w:val="24"/>
              </w:rPr>
            </w:pPr>
            <w:r>
              <w:rPr>
                <w:rFonts w:hint="eastAsia" w:ascii="宋体" w:hAnsi="宋体" w:cs="宋体"/>
                <w:kern w:val="28"/>
                <w:sz w:val="24"/>
                <w:szCs w:val="24"/>
              </w:rPr>
              <w:t>项目采购内容</w:t>
            </w:r>
          </w:p>
        </w:tc>
        <w:tc>
          <w:tcPr>
            <w:tcW w:w="730" w:type="dxa"/>
            <w:vAlign w:val="center"/>
          </w:tcPr>
          <w:p>
            <w:pPr>
              <w:spacing w:line="240" w:lineRule="auto"/>
              <w:jc w:val="center"/>
              <w:rPr>
                <w:rFonts w:ascii="宋体" w:hAnsi="宋体" w:cs="宋体"/>
                <w:kern w:val="28"/>
                <w:sz w:val="24"/>
                <w:szCs w:val="24"/>
              </w:rPr>
            </w:pPr>
            <w:r>
              <w:rPr>
                <w:rFonts w:hint="eastAsia" w:ascii="宋体" w:hAnsi="宋体" w:cs="宋体"/>
                <w:kern w:val="28"/>
                <w:sz w:val="24"/>
                <w:szCs w:val="24"/>
              </w:rPr>
              <w:t>数量</w:t>
            </w:r>
          </w:p>
        </w:tc>
        <w:tc>
          <w:tcPr>
            <w:tcW w:w="2050" w:type="dxa"/>
            <w:vAlign w:val="center"/>
          </w:tcPr>
          <w:p>
            <w:pPr>
              <w:spacing w:line="240" w:lineRule="auto"/>
              <w:jc w:val="center"/>
              <w:rPr>
                <w:rFonts w:ascii="宋体" w:hAnsi="宋体" w:cs="宋体"/>
                <w:kern w:val="28"/>
                <w:sz w:val="24"/>
                <w:szCs w:val="24"/>
              </w:rPr>
            </w:pPr>
            <w:r>
              <w:rPr>
                <w:rFonts w:hint="eastAsia" w:ascii="宋体" w:hAnsi="宋体" w:cs="宋体"/>
                <w:kern w:val="28"/>
                <w:sz w:val="24"/>
                <w:szCs w:val="24"/>
              </w:rPr>
              <w:t>预算金额(元)</w:t>
            </w:r>
          </w:p>
        </w:tc>
        <w:tc>
          <w:tcPr>
            <w:tcW w:w="2050" w:type="dxa"/>
            <w:vAlign w:val="center"/>
          </w:tcPr>
          <w:p>
            <w:pPr>
              <w:spacing w:line="240" w:lineRule="auto"/>
              <w:jc w:val="center"/>
              <w:rPr>
                <w:rFonts w:hint="eastAsia" w:ascii="宋体" w:hAnsi="宋体" w:cs="宋体"/>
                <w:kern w:val="28"/>
                <w:sz w:val="24"/>
                <w:szCs w:val="24"/>
              </w:rPr>
            </w:pPr>
            <w:r>
              <w:rPr>
                <w:rFonts w:hint="eastAsia" w:ascii="宋体" w:hAnsi="宋体" w:cs="宋体"/>
                <w:kern w:val="28"/>
                <w:sz w:val="24"/>
                <w:szCs w:val="24"/>
                <w:lang w:val="en-US" w:eastAsia="zh-CN"/>
              </w:rPr>
              <w:t>最高限价</w:t>
            </w:r>
            <w:r>
              <w:rPr>
                <w:rFonts w:hint="eastAsia" w:ascii="宋体" w:hAnsi="宋体" w:cs="宋体"/>
                <w:kern w:val="28"/>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5021" w:type="dxa"/>
            <w:vAlign w:val="center"/>
          </w:tcPr>
          <w:p>
            <w:pPr>
              <w:spacing w:line="240" w:lineRule="auto"/>
              <w:jc w:val="center"/>
              <w:rPr>
                <w:rFonts w:ascii="宋体" w:hAnsi="宋体" w:cs="宋体"/>
                <w:sz w:val="24"/>
                <w:szCs w:val="24"/>
              </w:rPr>
            </w:pPr>
            <w:r>
              <w:rPr>
                <w:rFonts w:hint="eastAsia" w:ascii="宋体" w:hAnsi="宋体" w:cs="宋体"/>
                <w:sz w:val="24"/>
                <w:szCs w:val="24"/>
              </w:rPr>
              <w:t>城服公司环卫车辆设备采购项目</w:t>
            </w:r>
          </w:p>
        </w:tc>
        <w:tc>
          <w:tcPr>
            <w:tcW w:w="730" w:type="dxa"/>
            <w:vAlign w:val="center"/>
          </w:tcPr>
          <w:p>
            <w:pPr>
              <w:spacing w:line="240" w:lineRule="auto"/>
              <w:jc w:val="center"/>
              <w:rPr>
                <w:rFonts w:ascii="宋体" w:hAnsi="宋体" w:cs="宋体"/>
                <w:sz w:val="24"/>
                <w:szCs w:val="24"/>
              </w:rPr>
            </w:pPr>
            <w:r>
              <w:rPr>
                <w:rFonts w:hint="eastAsia" w:ascii="宋体" w:hAnsi="宋体" w:cs="宋体"/>
                <w:sz w:val="24"/>
                <w:szCs w:val="24"/>
              </w:rPr>
              <w:t>1项</w:t>
            </w:r>
          </w:p>
        </w:tc>
        <w:tc>
          <w:tcPr>
            <w:tcW w:w="2050" w:type="dxa"/>
            <w:vAlign w:val="center"/>
          </w:tcPr>
          <w:p>
            <w:pPr>
              <w:spacing w:line="24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12,000,000.00</w:t>
            </w:r>
          </w:p>
        </w:tc>
        <w:tc>
          <w:tcPr>
            <w:tcW w:w="2050" w:type="dxa"/>
            <w:vAlign w:val="center"/>
          </w:tcPr>
          <w:p>
            <w:pPr>
              <w:spacing w:line="24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12,000,000.00</w:t>
            </w:r>
          </w:p>
        </w:tc>
      </w:tr>
    </w:tbl>
    <w:p>
      <w:pPr>
        <w:ind w:firstLine="480" w:firstLineChars="200"/>
        <w:rPr>
          <w:rFonts w:ascii="宋体" w:hAnsi="宋体" w:cs="宋体"/>
          <w:sz w:val="24"/>
          <w:szCs w:val="24"/>
        </w:rPr>
      </w:pPr>
      <w:r>
        <w:rPr>
          <w:rFonts w:hint="eastAsia" w:ascii="宋体" w:hAnsi="宋体" w:cs="宋体"/>
          <w:sz w:val="24"/>
          <w:szCs w:val="24"/>
        </w:rPr>
        <w:t>2、简要技术要求或采购项目的性质：详细内容请参阅采购文件第三部分《用户需求书》。</w:t>
      </w:r>
    </w:p>
    <w:p>
      <w:pPr>
        <w:ind w:firstLine="472" w:firstLineChars="196"/>
        <w:rPr>
          <w:rFonts w:ascii="宋体" w:hAnsi="宋体" w:cs="宋体"/>
          <w:b/>
          <w:sz w:val="24"/>
          <w:szCs w:val="24"/>
        </w:rPr>
      </w:pPr>
    </w:p>
    <w:p>
      <w:pPr>
        <w:ind w:firstLine="472" w:firstLineChars="196"/>
        <w:rPr>
          <w:rFonts w:ascii="宋体" w:hAnsi="宋体" w:cs="宋体"/>
          <w:b/>
          <w:sz w:val="24"/>
          <w:szCs w:val="24"/>
        </w:rPr>
      </w:pPr>
      <w:r>
        <w:rPr>
          <w:rFonts w:hint="eastAsia" w:ascii="宋体" w:hAnsi="宋体" w:cs="宋体"/>
          <w:b/>
          <w:sz w:val="24"/>
          <w:szCs w:val="24"/>
        </w:rPr>
        <w:t>二、投标人资格要求</w:t>
      </w:r>
    </w:p>
    <w:p>
      <w:pPr>
        <w:ind w:firstLine="470" w:firstLineChars="196"/>
        <w:rPr>
          <w:rFonts w:ascii="宋体" w:hAnsi="宋体" w:cs="宋体"/>
          <w:sz w:val="24"/>
          <w:szCs w:val="24"/>
        </w:rPr>
      </w:pPr>
      <w:r>
        <w:rPr>
          <w:rFonts w:hint="eastAsia" w:ascii="宋体" w:hAnsi="宋体" w:cs="宋体"/>
          <w:sz w:val="24"/>
          <w:szCs w:val="24"/>
        </w:rPr>
        <w:t>1、一般要求：</w:t>
      </w:r>
    </w:p>
    <w:p>
      <w:pPr>
        <w:ind w:firstLine="480" w:firstLineChars="200"/>
        <w:rPr>
          <w:rFonts w:ascii="宋体" w:hAnsi="宋体" w:cs="宋体"/>
          <w:sz w:val="24"/>
          <w:szCs w:val="24"/>
        </w:rPr>
      </w:pPr>
      <w:r>
        <w:rPr>
          <w:rFonts w:hint="eastAsia" w:ascii="宋体" w:hAnsi="宋体" w:cs="宋体"/>
          <w:sz w:val="24"/>
          <w:szCs w:val="24"/>
        </w:rPr>
        <w:t>（1）投标人具备独立承担民事责任能力且在中华人民共和国境内注册的法人或其他组织（提供在中华人民共和国境内注册的法人或其他组织的营业执照或事业单位法人证书或社会团体法人登记证书或其他证明文件复印件加盖投标人公章）。</w:t>
      </w:r>
    </w:p>
    <w:p>
      <w:pPr>
        <w:tabs>
          <w:tab w:val="left" w:pos="624"/>
          <w:tab w:val="left" w:pos="1327"/>
        </w:tabs>
        <w:ind w:firstLine="480" w:firstLineChars="200"/>
        <w:rPr>
          <w:rFonts w:ascii="宋体" w:hAnsi="宋体" w:cs="宋体"/>
          <w:sz w:val="24"/>
          <w:szCs w:val="24"/>
        </w:rPr>
      </w:pPr>
      <w:r>
        <w:rPr>
          <w:rFonts w:hint="eastAsia" w:ascii="宋体" w:hAnsi="宋体" w:cs="宋体"/>
          <w:sz w:val="24"/>
          <w:szCs w:val="24"/>
        </w:rPr>
        <w:t>（2）参加采购活动前三年内，在经营活动中没有重大违法记录（须提供书面声明）；</w:t>
      </w:r>
    </w:p>
    <w:p>
      <w:pPr>
        <w:tabs>
          <w:tab w:val="left" w:pos="624"/>
          <w:tab w:val="left" w:pos="1327"/>
        </w:tabs>
        <w:ind w:firstLine="480" w:firstLineChars="200"/>
        <w:rPr>
          <w:rFonts w:ascii="宋体" w:hAnsi="宋体" w:cs="宋体"/>
          <w:sz w:val="24"/>
          <w:szCs w:val="24"/>
        </w:rPr>
      </w:pPr>
      <w:r>
        <w:rPr>
          <w:rFonts w:hint="eastAsia" w:ascii="宋体" w:hAnsi="宋体" w:cs="宋体"/>
          <w:sz w:val="24"/>
          <w:szCs w:val="24"/>
        </w:rPr>
        <w:t>（3）投标人未被列入“信用中国”网站(www.creditchina.gov.cn )“记录失信被执行人或税收违法黑名单”记录名单；（以采购代理机构于投标截止日当天在“信用中国”网站（www.creditchina.gov.cn ）查询结果为准，如相关失信记录已失效，投标人需提供相关证明资料）</w:t>
      </w:r>
    </w:p>
    <w:p>
      <w:pPr>
        <w:tabs>
          <w:tab w:val="left" w:pos="624"/>
          <w:tab w:val="left" w:pos="1327"/>
        </w:tabs>
        <w:ind w:firstLine="480" w:firstLineChars="200"/>
        <w:rPr>
          <w:rFonts w:ascii="宋体" w:hAnsi="宋体" w:cs="宋体"/>
          <w:sz w:val="24"/>
          <w:szCs w:val="24"/>
        </w:rPr>
      </w:pPr>
      <w:r>
        <w:rPr>
          <w:rFonts w:hint="eastAsia" w:ascii="宋体" w:hAnsi="宋体" w:cs="宋体"/>
          <w:sz w:val="24"/>
          <w:szCs w:val="24"/>
        </w:rPr>
        <w:t>（4）本项目不接受联合体投标。</w:t>
      </w:r>
    </w:p>
    <w:p>
      <w:pPr>
        <w:ind w:firstLine="480" w:firstLineChars="200"/>
        <w:rPr>
          <w:rFonts w:ascii="宋体" w:hAnsi="宋体" w:cs="宋体"/>
          <w:sz w:val="24"/>
          <w:szCs w:val="24"/>
        </w:rPr>
      </w:pPr>
      <w:r>
        <w:rPr>
          <w:rFonts w:hint="eastAsia" w:ascii="宋体" w:hAnsi="宋体" w:cs="宋体"/>
          <w:sz w:val="24"/>
          <w:szCs w:val="24"/>
        </w:rPr>
        <w:t>注：与采购人存在利害关系可能影响采购公正性的法人、其他组织或者个人，不得参加投标。单位负责人为同一人或者存在控股、管理关系的不同单位，不得分别独立参加同一标段投标或者未划分标段的同一采购项目投标。</w:t>
      </w:r>
    </w:p>
    <w:p>
      <w:pPr>
        <w:rPr>
          <w:rFonts w:ascii="宋体" w:hAnsi="宋体" w:cs="宋体"/>
          <w:sz w:val="24"/>
          <w:szCs w:val="24"/>
        </w:rPr>
      </w:pPr>
    </w:p>
    <w:p>
      <w:pPr>
        <w:ind w:firstLine="470" w:firstLineChars="196"/>
        <w:rPr>
          <w:rFonts w:ascii="宋体" w:hAnsi="宋体" w:cs="宋体"/>
          <w:sz w:val="24"/>
          <w:szCs w:val="24"/>
        </w:rPr>
      </w:pPr>
      <w:r>
        <w:rPr>
          <w:rFonts w:hint="eastAsia" w:ascii="宋体" w:hAnsi="宋体" w:cs="宋体"/>
          <w:sz w:val="24"/>
          <w:szCs w:val="24"/>
        </w:rPr>
        <w:t>2、特殊要求：</w:t>
      </w:r>
    </w:p>
    <w:p>
      <w:pPr>
        <w:ind w:firstLine="480" w:firstLineChars="200"/>
        <w:rPr>
          <w:rFonts w:ascii="宋体" w:hAnsi="宋体" w:cs="宋体"/>
          <w:sz w:val="24"/>
          <w:szCs w:val="24"/>
        </w:rPr>
      </w:pPr>
      <w:r>
        <w:rPr>
          <w:rFonts w:hint="eastAsia" w:ascii="宋体" w:hAnsi="宋体" w:cs="宋体"/>
          <w:sz w:val="24"/>
          <w:szCs w:val="24"/>
        </w:rPr>
        <w:t>无</w:t>
      </w:r>
    </w:p>
    <w:p>
      <w:pPr>
        <w:rPr>
          <w:rFonts w:ascii="宋体" w:hAnsi="宋体" w:cs="宋体"/>
          <w:sz w:val="24"/>
          <w:szCs w:val="24"/>
        </w:rPr>
      </w:pPr>
    </w:p>
    <w:p>
      <w:pPr>
        <w:ind w:firstLine="472" w:firstLineChars="196"/>
        <w:rPr>
          <w:rFonts w:ascii="宋体" w:hAnsi="宋体" w:cs="宋体"/>
          <w:b/>
          <w:sz w:val="24"/>
          <w:szCs w:val="24"/>
        </w:rPr>
      </w:pPr>
      <w:r>
        <w:rPr>
          <w:rFonts w:hint="eastAsia" w:ascii="宋体" w:hAnsi="宋体" w:cs="宋体"/>
          <w:b/>
          <w:sz w:val="24"/>
          <w:szCs w:val="24"/>
        </w:rPr>
        <w:t>三、获取采购文方式及要求：</w:t>
      </w:r>
    </w:p>
    <w:p>
      <w:pPr>
        <w:ind w:firstLine="480" w:firstLineChars="200"/>
        <w:rPr>
          <w:rFonts w:ascii="宋体" w:hAnsi="宋体" w:cs="宋体"/>
          <w:sz w:val="24"/>
          <w:szCs w:val="24"/>
        </w:rPr>
      </w:pPr>
      <w:r>
        <w:rPr>
          <w:rFonts w:hint="eastAsia" w:ascii="宋体" w:hAnsi="宋体" w:cs="宋体"/>
          <w:sz w:val="24"/>
          <w:szCs w:val="24"/>
        </w:rPr>
        <w:t>1、采购文件下载地址：东莞实业投资控股集团有限公司网站</w:t>
      </w:r>
      <w:r>
        <w:rPr>
          <w:rFonts w:hint="eastAsia" w:ascii="宋体" w:hAnsi="宋体" w:cs="宋体"/>
          <w:sz w:val="24"/>
          <w:szCs w:val="24"/>
          <w:u w:val="single"/>
        </w:rPr>
        <w:t>（http://www.dgsy.com.cn）</w:t>
      </w:r>
      <w:r>
        <w:rPr>
          <w:rFonts w:hint="eastAsia" w:ascii="宋体" w:hAnsi="宋体" w:cs="宋体"/>
          <w:sz w:val="24"/>
          <w:szCs w:val="24"/>
        </w:rPr>
        <w:t>首页采购栏目下下载。</w:t>
      </w:r>
    </w:p>
    <w:p>
      <w:pPr>
        <w:ind w:firstLine="480" w:firstLineChars="200"/>
        <w:rPr>
          <w:rFonts w:ascii="宋体" w:hAnsi="宋体" w:cs="宋体"/>
          <w:sz w:val="24"/>
          <w:szCs w:val="24"/>
        </w:rPr>
      </w:pPr>
      <w:r>
        <w:rPr>
          <w:rFonts w:hint="eastAsia" w:ascii="宋体" w:hAnsi="宋体" w:cs="宋体"/>
          <w:sz w:val="24"/>
          <w:szCs w:val="24"/>
        </w:rPr>
        <w:t>2、采购文件下载时间：2022年</w:t>
      </w:r>
      <w:r>
        <w:rPr>
          <w:rFonts w:hint="eastAsia" w:ascii="宋体" w:hAnsi="宋体" w:cs="宋体"/>
          <w:sz w:val="24"/>
          <w:szCs w:val="24"/>
          <w:u w:val="single"/>
          <w:lang w:val="en-US" w:eastAsia="zh-CN"/>
        </w:rPr>
        <w:t>8</w:t>
      </w:r>
      <w:r>
        <w:rPr>
          <w:rFonts w:hint="eastAsia" w:ascii="宋体" w:hAnsi="宋体" w:cs="宋体"/>
          <w:sz w:val="24"/>
          <w:szCs w:val="24"/>
        </w:rPr>
        <w:t>月</w:t>
      </w:r>
      <w:r>
        <w:rPr>
          <w:rFonts w:hint="eastAsia" w:ascii="宋体" w:hAnsi="宋体" w:cs="宋体"/>
          <w:sz w:val="24"/>
          <w:szCs w:val="24"/>
          <w:u w:val="single"/>
          <w:lang w:val="en-US" w:eastAsia="zh-CN"/>
        </w:rPr>
        <w:t>1</w:t>
      </w:r>
      <w:r>
        <w:rPr>
          <w:rFonts w:hint="eastAsia" w:ascii="宋体" w:hAnsi="宋体" w:cs="宋体"/>
          <w:sz w:val="24"/>
          <w:szCs w:val="24"/>
        </w:rPr>
        <w:t>日至2022年</w:t>
      </w:r>
      <w:r>
        <w:rPr>
          <w:rFonts w:hint="eastAsia" w:ascii="宋体" w:hAnsi="宋体" w:cs="宋体"/>
          <w:sz w:val="24"/>
          <w:szCs w:val="24"/>
          <w:u w:val="single"/>
          <w:lang w:val="en-US" w:eastAsia="zh-CN"/>
        </w:rPr>
        <w:t>8</w:t>
      </w:r>
      <w:r>
        <w:rPr>
          <w:rFonts w:hint="eastAsia" w:ascii="宋体" w:hAnsi="宋体" w:cs="宋体"/>
          <w:sz w:val="24"/>
          <w:szCs w:val="24"/>
        </w:rPr>
        <w:t>月</w:t>
      </w:r>
      <w:r>
        <w:rPr>
          <w:rFonts w:hint="eastAsia" w:ascii="宋体" w:hAnsi="宋体" w:cs="宋体"/>
          <w:sz w:val="24"/>
          <w:szCs w:val="24"/>
          <w:u w:val="single"/>
          <w:lang w:val="en-US" w:eastAsia="zh-CN"/>
        </w:rPr>
        <w:t>21</w:t>
      </w:r>
      <w:r>
        <w:rPr>
          <w:rFonts w:hint="eastAsia" w:ascii="宋体" w:hAnsi="宋体" w:cs="宋体"/>
          <w:sz w:val="24"/>
          <w:szCs w:val="24"/>
        </w:rPr>
        <w:t>日。</w:t>
      </w:r>
    </w:p>
    <w:p>
      <w:pPr>
        <w:ind w:firstLine="480" w:firstLineChars="200"/>
        <w:rPr>
          <w:rFonts w:ascii="宋体" w:hAnsi="宋体" w:cs="宋体"/>
          <w:sz w:val="24"/>
          <w:szCs w:val="24"/>
        </w:rPr>
      </w:pPr>
      <w:r>
        <w:rPr>
          <w:rFonts w:hint="eastAsia" w:ascii="宋体" w:hAnsi="宋体" w:cs="宋体"/>
          <w:sz w:val="24"/>
          <w:szCs w:val="24"/>
        </w:rPr>
        <w:t>3、获取采购文件时间：2022年</w:t>
      </w:r>
      <w:r>
        <w:rPr>
          <w:rFonts w:hint="eastAsia" w:ascii="宋体" w:hAnsi="宋体" w:cs="宋体"/>
          <w:sz w:val="24"/>
          <w:szCs w:val="24"/>
          <w:u w:val="single"/>
          <w:lang w:val="en-US" w:eastAsia="zh-CN"/>
        </w:rPr>
        <w:t>8</w:t>
      </w:r>
      <w:r>
        <w:rPr>
          <w:rFonts w:hint="eastAsia" w:ascii="宋体" w:hAnsi="宋体" w:cs="宋体"/>
          <w:sz w:val="24"/>
          <w:szCs w:val="24"/>
        </w:rPr>
        <w:t>月</w:t>
      </w:r>
      <w:r>
        <w:rPr>
          <w:rFonts w:hint="eastAsia" w:ascii="宋体" w:hAnsi="宋体" w:cs="宋体"/>
          <w:sz w:val="24"/>
          <w:szCs w:val="24"/>
          <w:u w:val="single"/>
          <w:lang w:val="en-US" w:eastAsia="zh-CN"/>
        </w:rPr>
        <w:t>1</w:t>
      </w:r>
      <w:r>
        <w:rPr>
          <w:rFonts w:hint="eastAsia" w:ascii="宋体" w:hAnsi="宋体" w:cs="宋体"/>
          <w:sz w:val="24"/>
          <w:szCs w:val="24"/>
        </w:rPr>
        <w:t>日至2022年</w:t>
      </w:r>
      <w:r>
        <w:rPr>
          <w:rFonts w:hint="eastAsia" w:ascii="宋体" w:hAnsi="宋体" w:cs="宋体"/>
          <w:sz w:val="24"/>
          <w:szCs w:val="24"/>
          <w:u w:val="single"/>
          <w:lang w:val="en-US" w:eastAsia="zh-CN"/>
        </w:rPr>
        <w:t>8</w:t>
      </w:r>
      <w:r>
        <w:rPr>
          <w:rFonts w:hint="eastAsia" w:ascii="宋体" w:hAnsi="宋体" w:cs="宋体"/>
          <w:sz w:val="24"/>
          <w:szCs w:val="24"/>
        </w:rPr>
        <w:t>月</w:t>
      </w:r>
      <w:r>
        <w:rPr>
          <w:rFonts w:hint="eastAsia" w:ascii="宋体" w:hAnsi="宋体" w:cs="宋体"/>
          <w:sz w:val="24"/>
          <w:szCs w:val="24"/>
          <w:u w:val="single"/>
          <w:lang w:val="en-US" w:eastAsia="zh-CN"/>
        </w:rPr>
        <w:t>21</w:t>
      </w:r>
      <w:r>
        <w:rPr>
          <w:rFonts w:hint="eastAsia" w:ascii="宋体" w:hAnsi="宋体" w:cs="宋体"/>
          <w:sz w:val="24"/>
          <w:szCs w:val="24"/>
        </w:rPr>
        <w:t>日（节假日除外），上午8：30～12：00，下午14：00～17：30（北京时间）。</w:t>
      </w:r>
    </w:p>
    <w:p>
      <w:pPr>
        <w:ind w:firstLine="480" w:firstLineChars="200"/>
        <w:rPr>
          <w:rFonts w:ascii="宋体" w:hAnsi="宋体" w:cs="宋体"/>
          <w:sz w:val="24"/>
          <w:szCs w:val="24"/>
        </w:rPr>
      </w:pPr>
      <w:r>
        <w:rPr>
          <w:rFonts w:hint="eastAsia" w:ascii="宋体" w:hAnsi="宋体" w:cs="宋体"/>
          <w:sz w:val="24"/>
          <w:szCs w:val="24"/>
        </w:rPr>
        <w:t>4、获取采购文件方式：不进行实名登记报名。拟参加投标的投标人可自行于东莞实业投资控股集团有限公司网站</w:t>
      </w:r>
      <w:r>
        <w:rPr>
          <w:rFonts w:hint="eastAsia" w:ascii="宋体" w:hAnsi="宋体" w:cs="宋体"/>
          <w:sz w:val="24"/>
          <w:szCs w:val="24"/>
          <w:u w:val="single"/>
        </w:rPr>
        <w:t>（http://www.dgsy.com.cn）</w:t>
      </w:r>
      <w:r>
        <w:rPr>
          <w:rFonts w:hint="eastAsia" w:ascii="宋体" w:hAnsi="宋体" w:cs="宋体"/>
          <w:sz w:val="24"/>
          <w:szCs w:val="24"/>
        </w:rPr>
        <w:t>下载采购文件。</w:t>
      </w:r>
    </w:p>
    <w:p>
      <w:pPr>
        <w:rPr>
          <w:rFonts w:ascii="宋体" w:hAnsi="宋体" w:cs="宋体"/>
          <w:sz w:val="24"/>
          <w:szCs w:val="24"/>
        </w:rPr>
      </w:pPr>
    </w:p>
    <w:p>
      <w:pPr>
        <w:ind w:firstLine="472" w:firstLineChars="196"/>
        <w:rPr>
          <w:rFonts w:ascii="宋体" w:hAnsi="宋体" w:cs="宋体"/>
          <w:b/>
          <w:sz w:val="24"/>
          <w:szCs w:val="24"/>
        </w:rPr>
      </w:pPr>
      <w:r>
        <w:rPr>
          <w:rFonts w:hint="eastAsia" w:ascii="宋体" w:hAnsi="宋体" w:cs="宋体"/>
          <w:b/>
          <w:sz w:val="24"/>
          <w:szCs w:val="24"/>
        </w:rPr>
        <w:t>四、递交投标文件截止时间、投标时间及地点：</w:t>
      </w:r>
    </w:p>
    <w:p>
      <w:pPr>
        <w:ind w:firstLine="480" w:firstLineChars="200"/>
        <w:rPr>
          <w:rFonts w:ascii="宋体" w:hAnsi="宋体" w:cs="宋体"/>
          <w:sz w:val="24"/>
          <w:szCs w:val="24"/>
        </w:rPr>
      </w:pPr>
      <w:r>
        <w:rPr>
          <w:rFonts w:hint="eastAsia" w:ascii="宋体" w:hAnsi="宋体" w:cs="宋体"/>
          <w:sz w:val="24"/>
          <w:szCs w:val="24"/>
        </w:rPr>
        <w:t>1、递交投标文件时间：2022年</w:t>
      </w:r>
      <w:r>
        <w:rPr>
          <w:rFonts w:hint="eastAsia" w:ascii="宋体" w:hAnsi="宋体" w:cs="宋体"/>
          <w:sz w:val="24"/>
          <w:szCs w:val="24"/>
          <w:u w:val="single"/>
          <w:lang w:val="en-US" w:eastAsia="zh-CN"/>
        </w:rPr>
        <w:t>8</w:t>
      </w:r>
      <w:r>
        <w:rPr>
          <w:rFonts w:hint="eastAsia" w:ascii="宋体" w:hAnsi="宋体" w:cs="宋体"/>
          <w:sz w:val="24"/>
          <w:szCs w:val="24"/>
        </w:rPr>
        <w:t>月</w:t>
      </w:r>
      <w:r>
        <w:rPr>
          <w:rFonts w:hint="eastAsia" w:ascii="宋体" w:hAnsi="宋体" w:cs="宋体"/>
          <w:sz w:val="24"/>
          <w:szCs w:val="24"/>
          <w:u w:val="single"/>
          <w:lang w:val="en-US" w:eastAsia="zh-CN"/>
        </w:rPr>
        <w:t>22</w:t>
      </w:r>
      <w:r>
        <w:rPr>
          <w:rFonts w:hint="eastAsia" w:ascii="宋体" w:hAnsi="宋体" w:cs="宋体"/>
          <w:sz w:val="24"/>
          <w:szCs w:val="24"/>
        </w:rPr>
        <w:t>日（北京时间）</w:t>
      </w:r>
      <w:r>
        <w:rPr>
          <w:rFonts w:hint="eastAsia" w:ascii="宋体" w:hAnsi="宋体" w:cs="宋体"/>
          <w:sz w:val="24"/>
          <w:szCs w:val="24"/>
          <w:u w:val="single"/>
        </w:rPr>
        <w:t>09</w:t>
      </w:r>
      <w:r>
        <w:rPr>
          <w:rFonts w:hint="eastAsia" w:ascii="宋体" w:hAnsi="宋体" w:cs="宋体"/>
          <w:sz w:val="24"/>
          <w:szCs w:val="24"/>
        </w:rPr>
        <w:t>:</w:t>
      </w:r>
      <w:r>
        <w:rPr>
          <w:rFonts w:hint="eastAsia" w:ascii="宋体" w:hAnsi="宋体" w:cs="宋体"/>
          <w:sz w:val="24"/>
          <w:szCs w:val="24"/>
          <w:u w:val="single"/>
        </w:rPr>
        <w:t>00</w:t>
      </w:r>
      <w:r>
        <w:rPr>
          <w:rFonts w:hint="eastAsia" w:ascii="宋体" w:hAnsi="宋体" w:cs="宋体"/>
          <w:sz w:val="24"/>
          <w:szCs w:val="24"/>
        </w:rPr>
        <w:t>～</w:t>
      </w:r>
      <w:r>
        <w:rPr>
          <w:rFonts w:hint="eastAsia" w:ascii="宋体" w:hAnsi="宋体" w:cs="宋体"/>
          <w:sz w:val="24"/>
          <w:szCs w:val="24"/>
          <w:u w:val="single"/>
        </w:rPr>
        <w:t>09</w:t>
      </w:r>
      <w:r>
        <w:rPr>
          <w:rFonts w:hint="eastAsia" w:ascii="宋体" w:hAnsi="宋体" w:cs="宋体"/>
          <w:sz w:val="24"/>
          <w:szCs w:val="24"/>
        </w:rPr>
        <w:t>:</w:t>
      </w:r>
      <w:r>
        <w:rPr>
          <w:rFonts w:hint="eastAsia" w:ascii="宋体" w:hAnsi="宋体" w:cs="宋体"/>
          <w:sz w:val="24"/>
          <w:szCs w:val="24"/>
          <w:u w:val="single"/>
        </w:rPr>
        <w:t>30</w:t>
      </w:r>
      <w:r>
        <w:rPr>
          <w:rFonts w:hint="eastAsia" w:ascii="宋体" w:hAnsi="宋体" w:cs="宋体"/>
          <w:sz w:val="24"/>
          <w:szCs w:val="24"/>
        </w:rPr>
        <w:t>。</w:t>
      </w:r>
    </w:p>
    <w:p>
      <w:pPr>
        <w:ind w:firstLine="480" w:firstLineChars="200"/>
        <w:rPr>
          <w:rFonts w:ascii="宋体" w:hAnsi="宋体" w:cs="宋体"/>
          <w:b/>
          <w:sz w:val="24"/>
          <w:szCs w:val="24"/>
        </w:rPr>
      </w:pPr>
      <w:r>
        <w:rPr>
          <w:rFonts w:hint="eastAsia" w:ascii="宋体" w:hAnsi="宋体" w:cs="宋体"/>
          <w:sz w:val="24"/>
          <w:szCs w:val="24"/>
        </w:rPr>
        <w:t>2、递交投标文件截止及开标时间：2022年</w:t>
      </w:r>
      <w:r>
        <w:rPr>
          <w:rFonts w:hint="eastAsia" w:ascii="宋体" w:hAnsi="宋体" w:cs="宋体"/>
          <w:sz w:val="24"/>
          <w:szCs w:val="24"/>
          <w:u w:val="single"/>
          <w:lang w:val="en-US" w:eastAsia="zh-CN"/>
        </w:rPr>
        <w:t>8</w:t>
      </w:r>
      <w:r>
        <w:rPr>
          <w:rFonts w:hint="eastAsia" w:ascii="宋体" w:hAnsi="宋体" w:cs="宋体"/>
          <w:sz w:val="24"/>
          <w:szCs w:val="24"/>
        </w:rPr>
        <w:t>月</w:t>
      </w:r>
      <w:r>
        <w:rPr>
          <w:rFonts w:hint="eastAsia" w:ascii="宋体" w:hAnsi="宋体" w:cs="宋体"/>
          <w:sz w:val="24"/>
          <w:szCs w:val="24"/>
          <w:u w:val="single"/>
          <w:lang w:val="en-US" w:eastAsia="zh-CN"/>
        </w:rPr>
        <w:t>22</w:t>
      </w:r>
      <w:r>
        <w:rPr>
          <w:rFonts w:hint="eastAsia" w:ascii="宋体" w:hAnsi="宋体" w:cs="宋体"/>
          <w:sz w:val="24"/>
          <w:szCs w:val="24"/>
        </w:rPr>
        <w:t>日</w:t>
      </w:r>
      <w:r>
        <w:rPr>
          <w:rFonts w:hint="eastAsia" w:ascii="宋体" w:hAnsi="宋体" w:cs="宋体"/>
          <w:sz w:val="24"/>
          <w:szCs w:val="24"/>
          <w:u w:val="single"/>
        </w:rPr>
        <w:t>09</w:t>
      </w:r>
      <w:r>
        <w:rPr>
          <w:rFonts w:hint="eastAsia" w:ascii="宋体" w:hAnsi="宋体" w:cs="宋体"/>
          <w:sz w:val="24"/>
          <w:szCs w:val="24"/>
        </w:rPr>
        <w:t>:</w:t>
      </w:r>
      <w:r>
        <w:rPr>
          <w:rFonts w:hint="eastAsia" w:ascii="宋体" w:hAnsi="宋体" w:cs="宋体"/>
          <w:sz w:val="24"/>
          <w:szCs w:val="24"/>
          <w:u w:val="single"/>
        </w:rPr>
        <w:t>30</w:t>
      </w:r>
      <w:r>
        <w:rPr>
          <w:rFonts w:hint="eastAsia" w:ascii="宋体" w:hAnsi="宋体" w:cs="宋体"/>
          <w:sz w:val="24"/>
          <w:szCs w:val="24"/>
        </w:rPr>
        <w:t>（北京时间），所有投标文件应于截止时间之前递交，迟交或以电报、传真形式的投标文件将拒绝接收。</w:t>
      </w:r>
      <w:r>
        <w:rPr>
          <w:rFonts w:hint="eastAsia" w:ascii="宋体" w:hAnsi="宋体" w:cs="宋体"/>
          <w:b/>
          <w:sz w:val="24"/>
          <w:szCs w:val="24"/>
        </w:rPr>
        <w:t>届时请投标人的法定代表人或其授权代表务必携带有效身份证明出席开标会议。</w:t>
      </w:r>
    </w:p>
    <w:p>
      <w:pPr>
        <w:ind w:firstLine="480" w:firstLineChars="200"/>
        <w:rPr>
          <w:rFonts w:ascii="宋体" w:hAnsi="宋体" w:cs="宋体"/>
          <w:sz w:val="24"/>
          <w:szCs w:val="24"/>
        </w:rPr>
      </w:pPr>
      <w:r>
        <w:rPr>
          <w:rFonts w:hint="eastAsia" w:ascii="宋体" w:hAnsi="宋体" w:cs="宋体"/>
          <w:sz w:val="24"/>
          <w:szCs w:val="24"/>
        </w:rPr>
        <w:t>3、开标地点：东莞市南城街道鸿福路199号（市民服务中心）411室。</w:t>
      </w:r>
    </w:p>
    <w:p>
      <w:pPr>
        <w:ind w:firstLine="470" w:firstLineChars="196"/>
        <w:rPr>
          <w:rFonts w:ascii="宋体" w:hAnsi="宋体" w:cs="宋体"/>
          <w:bCs/>
          <w:sz w:val="24"/>
          <w:szCs w:val="24"/>
        </w:rPr>
      </w:pPr>
    </w:p>
    <w:p>
      <w:pPr>
        <w:ind w:firstLine="472" w:firstLineChars="196"/>
        <w:rPr>
          <w:rFonts w:ascii="宋体" w:hAnsi="宋体" w:cs="宋体"/>
          <w:bCs/>
          <w:sz w:val="24"/>
          <w:szCs w:val="24"/>
        </w:rPr>
      </w:pPr>
      <w:r>
        <w:rPr>
          <w:rFonts w:hint="eastAsia" w:ascii="宋体" w:hAnsi="宋体" w:cs="宋体"/>
          <w:b/>
          <w:sz w:val="24"/>
          <w:szCs w:val="24"/>
        </w:rPr>
        <w:t>五、采购人及采购代理机构的名称、地址和联系方法：</w:t>
      </w:r>
    </w:p>
    <w:p>
      <w:pPr>
        <w:ind w:firstLine="480" w:firstLineChars="200"/>
        <w:rPr>
          <w:rFonts w:hint="eastAsia" w:ascii="宋体" w:hAnsi="宋体" w:cs="宋体"/>
          <w:bCs/>
          <w:sz w:val="24"/>
          <w:szCs w:val="24"/>
        </w:rPr>
      </w:pPr>
      <w:r>
        <w:rPr>
          <w:rFonts w:hint="eastAsia" w:ascii="宋体" w:hAnsi="宋体" w:cs="宋体"/>
          <w:bCs/>
          <w:sz w:val="24"/>
          <w:szCs w:val="24"/>
        </w:rPr>
        <w:t>采购人联系人：曾工、李工</w:t>
      </w:r>
    </w:p>
    <w:p>
      <w:pPr>
        <w:ind w:firstLine="480" w:firstLineChars="200"/>
        <w:rPr>
          <w:rFonts w:ascii="宋体" w:hAnsi="宋体" w:cs="宋体"/>
          <w:bCs/>
          <w:sz w:val="24"/>
          <w:szCs w:val="24"/>
        </w:rPr>
      </w:pPr>
      <w:r>
        <w:rPr>
          <w:rFonts w:hint="eastAsia" w:ascii="宋体" w:hAnsi="宋体" w:cs="宋体"/>
          <w:bCs/>
          <w:sz w:val="24"/>
          <w:szCs w:val="24"/>
        </w:rPr>
        <w:t>地址：广东省东莞市洪梅镇海心沙路9号</w:t>
      </w:r>
      <w:r>
        <w:rPr>
          <w:rFonts w:hint="eastAsia" w:ascii="宋体" w:hAnsi="宋体" w:cs="宋体"/>
          <w:sz w:val="24"/>
          <w:szCs w:val="24"/>
        </w:rPr>
        <w:t xml:space="preserve"> </w:t>
      </w:r>
    </w:p>
    <w:p>
      <w:pPr>
        <w:ind w:firstLine="480" w:firstLineChars="200"/>
        <w:rPr>
          <w:rFonts w:hint="default" w:ascii="宋体" w:hAnsi="宋体" w:eastAsia="宋体" w:cs="宋体"/>
          <w:bCs/>
          <w:sz w:val="24"/>
          <w:szCs w:val="24"/>
          <w:lang w:val="en-US" w:eastAsia="zh-CN"/>
        </w:rPr>
      </w:pPr>
      <w:r>
        <w:rPr>
          <w:rFonts w:hint="eastAsia" w:ascii="宋体" w:hAnsi="宋体" w:cs="宋体"/>
          <w:bCs/>
          <w:sz w:val="24"/>
          <w:szCs w:val="24"/>
        </w:rPr>
        <w:t>联系电话：</w:t>
      </w:r>
      <w:r>
        <w:rPr>
          <w:rFonts w:hint="eastAsia" w:ascii="宋体" w:hAnsi="宋体" w:cs="宋体"/>
          <w:bCs/>
          <w:sz w:val="24"/>
          <w:szCs w:val="24"/>
          <w:lang w:val="en-US" w:eastAsia="zh-CN"/>
        </w:rPr>
        <w:t>0769-39028727</w:t>
      </w:r>
    </w:p>
    <w:p>
      <w:pPr>
        <w:ind w:firstLine="480" w:firstLineChars="200"/>
        <w:rPr>
          <w:rFonts w:ascii="宋体" w:hAnsi="宋体" w:cs="宋体"/>
          <w:sz w:val="24"/>
          <w:szCs w:val="24"/>
        </w:rPr>
      </w:pPr>
    </w:p>
    <w:p>
      <w:pPr>
        <w:ind w:firstLine="480" w:firstLineChars="200"/>
        <w:rPr>
          <w:rFonts w:ascii="宋体" w:hAnsi="宋体" w:cs="宋体"/>
          <w:sz w:val="24"/>
          <w:szCs w:val="24"/>
        </w:rPr>
      </w:pPr>
      <w:r>
        <w:rPr>
          <w:rFonts w:hint="eastAsia" w:ascii="宋体" w:hAnsi="宋体" w:cs="宋体"/>
          <w:sz w:val="24"/>
          <w:szCs w:val="24"/>
        </w:rPr>
        <w:t>采购代理机构名称：广东政通招标有限公司</w:t>
      </w:r>
    </w:p>
    <w:p>
      <w:pPr>
        <w:ind w:firstLine="480" w:firstLineChars="200"/>
        <w:rPr>
          <w:rFonts w:ascii="宋体" w:hAnsi="宋体" w:cs="宋体"/>
          <w:sz w:val="24"/>
          <w:szCs w:val="24"/>
        </w:rPr>
      </w:pPr>
      <w:r>
        <w:rPr>
          <w:rFonts w:hint="eastAsia" w:ascii="宋体" w:hAnsi="宋体" w:cs="宋体"/>
          <w:sz w:val="24"/>
          <w:szCs w:val="24"/>
        </w:rPr>
        <w:t>地址：东莞市南城街道鸿福路199号（市民服务中心）411室。</w:t>
      </w:r>
    </w:p>
    <w:p>
      <w:pPr>
        <w:ind w:firstLine="480" w:firstLineChars="200"/>
        <w:rPr>
          <w:rFonts w:ascii="宋体" w:hAnsi="宋体" w:cs="宋体"/>
          <w:sz w:val="24"/>
          <w:szCs w:val="24"/>
        </w:rPr>
      </w:pPr>
      <w:r>
        <w:rPr>
          <w:rFonts w:hint="eastAsia" w:ascii="宋体" w:hAnsi="宋体" w:cs="宋体"/>
          <w:sz w:val="24"/>
          <w:szCs w:val="24"/>
        </w:rPr>
        <w:t>采购代理机构联系人：杨工</w:t>
      </w:r>
    </w:p>
    <w:p>
      <w:pPr>
        <w:ind w:firstLine="480" w:firstLineChars="200"/>
        <w:rPr>
          <w:rFonts w:ascii="宋体" w:hAnsi="宋体" w:cs="宋体"/>
          <w:sz w:val="24"/>
          <w:szCs w:val="24"/>
        </w:rPr>
      </w:pPr>
      <w:r>
        <w:rPr>
          <w:rFonts w:hint="eastAsia" w:ascii="宋体" w:hAnsi="宋体" w:cs="宋体"/>
          <w:sz w:val="24"/>
          <w:szCs w:val="24"/>
        </w:rPr>
        <w:t>联系电话：0769-22881803</w:t>
      </w:r>
    </w:p>
    <w:p>
      <w:pPr>
        <w:ind w:firstLine="480" w:firstLineChars="200"/>
        <w:rPr>
          <w:rFonts w:ascii="宋体" w:hAnsi="宋体" w:cs="宋体"/>
          <w:sz w:val="24"/>
          <w:szCs w:val="24"/>
        </w:rPr>
      </w:pPr>
      <w:r>
        <w:rPr>
          <w:rFonts w:hint="eastAsia" w:ascii="宋体" w:hAnsi="宋体" w:cs="宋体"/>
          <w:sz w:val="24"/>
          <w:szCs w:val="24"/>
        </w:rPr>
        <w:t>E－ mail：471539976@qq.com</w:t>
      </w:r>
    </w:p>
    <w:p>
      <w:pPr>
        <w:ind w:firstLine="480" w:firstLineChars="200"/>
        <w:rPr>
          <w:rFonts w:ascii="宋体" w:hAnsi="宋体" w:cs="宋体"/>
          <w:sz w:val="24"/>
          <w:szCs w:val="24"/>
        </w:rPr>
      </w:pPr>
    </w:p>
    <w:p>
      <w:pPr>
        <w:ind w:right="752" w:rightChars="358"/>
        <w:jc w:val="right"/>
        <w:rPr>
          <w:rFonts w:ascii="宋体" w:hAnsi="宋体" w:cs="宋体"/>
          <w:sz w:val="24"/>
          <w:szCs w:val="24"/>
        </w:rPr>
      </w:pPr>
    </w:p>
    <w:p>
      <w:pPr>
        <w:ind w:right="752" w:rightChars="358"/>
        <w:jc w:val="right"/>
        <w:rPr>
          <w:rFonts w:ascii="宋体" w:hAnsi="宋体" w:cs="宋体"/>
          <w:sz w:val="24"/>
          <w:szCs w:val="24"/>
        </w:rPr>
      </w:pPr>
      <w:r>
        <w:rPr>
          <w:rFonts w:hint="eastAsia" w:ascii="宋体" w:hAnsi="宋体" w:cs="宋体"/>
          <w:sz w:val="24"/>
          <w:szCs w:val="24"/>
        </w:rPr>
        <w:t>广东政通招标有限公司</w:t>
      </w:r>
    </w:p>
    <w:p>
      <w:pPr>
        <w:ind w:right="752" w:rightChars="358"/>
        <w:jc w:val="right"/>
        <w:rPr>
          <w:rFonts w:ascii="宋体" w:hAnsi="宋体" w:cs="宋体"/>
          <w:sz w:val="24"/>
          <w:szCs w:val="24"/>
        </w:rPr>
      </w:pPr>
      <w:r>
        <w:rPr>
          <w:rFonts w:hint="eastAsia" w:ascii="宋体" w:hAnsi="宋体" w:cs="宋体"/>
          <w:sz w:val="24"/>
          <w:szCs w:val="24"/>
        </w:rPr>
        <w:t>2022年</w:t>
      </w:r>
      <w:r>
        <w:rPr>
          <w:rFonts w:hint="eastAsia" w:ascii="宋体" w:hAnsi="宋体" w:cs="宋体"/>
          <w:sz w:val="24"/>
          <w:szCs w:val="24"/>
          <w:lang w:val="en-US" w:eastAsia="zh-CN"/>
        </w:rPr>
        <w:t>8</w:t>
      </w:r>
      <w:r>
        <w:rPr>
          <w:rFonts w:hint="eastAsia" w:ascii="宋体" w:hAnsi="宋体" w:cs="宋体"/>
          <w:sz w:val="24"/>
          <w:szCs w:val="24"/>
        </w:rPr>
        <w:t xml:space="preserve">月 </w:t>
      </w:r>
    </w:p>
    <w:p>
      <w:pPr>
        <w:ind w:left="6265" w:leftChars="2755" w:hanging="480" w:hangingChars="200"/>
        <w:rPr>
          <w:rFonts w:ascii="宋体" w:hAnsi="宋体" w:cs="宋体"/>
          <w:sz w:val="24"/>
          <w:szCs w:val="24"/>
        </w:rPr>
      </w:pPr>
      <w:r>
        <w:rPr>
          <w:rFonts w:hint="eastAsia" w:ascii="宋体" w:hAnsi="宋体" w:cs="宋体"/>
          <w:sz w:val="24"/>
          <w:szCs w:val="24"/>
        </w:rPr>
        <w:br w:type="page"/>
      </w:r>
    </w:p>
    <w:p>
      <w:pPr>
        <w:pStyle w:val="6"/>
        <w:spacing w:before="0" w:after="0" w:line="240" w:lineRule="auto"/>
        <w:rPr>
          <w:rFonts w:ascii="宋体" w:hAnsi="宋体" w:eastAsia="宋体" w:cs="宋体"/>
          <w:sz w:val="24"/>
          <w:szCs w:val="24"/>
        </w:rPr>
      </w:pPr>
      <w:bookmarkStart w:id="2" w:name="_Toc7038"/>
      <w:bookmarkStart w:id="3" w:name="_Toc3296"/>
      <w:r>
        <w:rPr>
          <w:rFonts w:hint="eastAsia" w:ascii="宋体" w:hAnsi="宋体" w:eastAsia="宋体" w:cs="宋体"/>
          <w:sz w:val="24"/>
          <w:szCs w:val="24"/>
        </w:rPr>
        <w:t>第二部分相关资料表格</w:t>
      </w:r>
      <w:bookmarkEnd w:id="2"/>
      <w:bookmarkEnd w:id="3"/>
    </w:p>
    <w:p>
      <w:pPr>
        <w:pStyle w:val="8"/>
        <w:spacing w:before="0" w:after="0" w:line="240" w:lineRule="auto"/>
        <w:jc w:val="center"/>
        <w:rPr>
          <w:rFonts w:ascii="宋体" w:hAnsi="宋体" w:cs="宋体"/>
          <w:sz w:val="24"/>
          <w:szCs w:val="24"/>
        </w:rPr>
      </w:pPr>
      <w:bookmarkStart w:id="4" w:name="_Toc5777"/>
      <w:bookmarkStart w:id="5" w:name="_Toc28851"/>
      <w:r>
        <w:rPr>
          <w:rFonts w:hint="eastAsia" w:ascii="宋体" w:hAnsi="宋体" w:cs="宋体"/>
          <w:sz w:val="24"/>
          <w:szCs w:val="24"/>
        </w:rPr>
        <w:t>附表一：投标资料表</w:t>
      </w:r>
      <w:bookmarkEnd w:id="4"/>
      <w:bookmarkEnd w:id="5"/>
    </w:p>
    <w:tbl>
      <w:tblPr>
        <w:tblStyle w:val="28"/>
        <w:tblW w:w="8410" w:type="dxa"/>
        <w:tblInd w:w="-24" w:type="dxa"/>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
      <w:tblGrid>
        <w:gridCol w:w="878"/>
        <w:gridCol w:w="1506"/>
        <w:gridCol w:w="1102"/>
        <w:gridCol w:w="404"/>
        <w:gridCol w:w="1506"/>
        <w:gridCol w:w="1506"/>
        <w:gridCol w:w="1508"/>
      </w:tblGrid>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78" w:type="dxa"/>
            <w:vAlign w:val="center"/>
          </w:tcPr>
          <w:p>
            <w:pPr>
              <w:jc w:val="center"/>
              <w:rPr>
                <w:rFonts w:ascii="宋体" w:hAnsi="宋体" w:cs="宋体"/>
                <w:sz w:val="24"/>
                <w:szCs w:val="24"/>
              </w:rPr>
            </w:pPr>
            <w:r>
              <w:rPr>
                <w:rFonts w:hint="eastAsia" w:ascii="宋体" w:hAnsi="宋体" w:cs="宋体"/>
                <w:sz w:val="24"/>
                <w:szCs w:val="24"/>
              </w:rPr>
              <w:t>序号</w:t>
            </w:r>
          </w:p>
        </w:tc>
        <w:tc>
          <w:tcPr>
            <w:tcW w:w="7532" w:type="dxa"/>
            <w:gridSpan w:val="6"/>
            <w:vAlign w:val="center"/>
          </w:tcPr>
          <w:p>
            <w:pPr>
              <w:jc w:val="center"/>
              <w:rPr>
                <w:rFonts w:ascii="宋体" w:hAnsi="宋体" w:cs="宋体"/>
                <w:b/>
                <w:sz w:val="24"/>
                <w:szCs w:val="24"/>
              </w:rPr>
            </w:pPr>
            <w:r>
              <w:rPr>
                <w:rFonts w:hint="eastAsia" w:ascii="宋体" w:hAnsi="宋体" w:cs="宋体"/>
                <w:b/>
                <w:sz w:val="24"/>
                <w:szCs w:val="24"/>
              </w:rPr>
              <w:t>内容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551" w:hRule="atLeast"/>
        </w:trPr>
        <w:tc>
          <w:tcPr>
            <w:tcW w:w="8410" w:type="dxa"/>
            <w:gridSpan w:val="7"/>
            <w:vAlign w:val="center"/>
          </w:tcPr>
          <w:p>
            <w:pPr>
              <w:jc w:val="center"/>
              <w:rPr>
                <w:rFonts w:ascii="宋体" w:hAnsi="宋体" w:cs="宋体"/>
                <w:b/>
                <w:sz w:val="24"/>
                <w:szCs w:val="24"/>
              </w:rPr>
            </w:pPr>
            <w:r>
              <w:rPr>
                <w:rFonts w:hint="eastAsia" w:ascii="宋体" w:hAnsi="宋体" w:cs="宋体"/>
                <w:b/>
                <w:sz w:val="24"/>
                <w:szCs w:val="24"/>
              </w:rPr>
              <w:t>一、说明</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cs="宋体"/>
                <w:sz w:val="24"/>
                <w:szCs w:val="24"/>
              </w:rPr>
            </w:pPr>
            <w:r>
              <w:rPr>
                <w:rFonts w:hint="eastAsia" w:ascii="宋体" w:hAnsi="宋体" w:cs="宋体"/>
                <w:sz w:val="24"/>
                <w:szCs w:val="24"/>
              </w:rPr>
              <w:t>1</w:t>
            </w:r>
          </w:p>
        </w:tc>
        <w:tc>
          <w:tcPr>
            <w:tcW w:w="7532" w:type="dxa"/>
            <w:gridSpan w:val="6"/>
            <w:vAlign w:val="center"/>
          </w:tcPr>
          <w:p>
            <w:pPr>
              <w:rPr>
                <w:rFonts w:ascii="宋体" w:hAnsi="宋体" w:cs="宋体"/>
                <w:b/>
                <w:bCs/>
                <w:sz w:val="24"/>
                <w:szCs w:val="24"/>
              </w:rPr>
            </w:pPr>
            <w:r>
              <w:rPr>
                <w:rFonts w:hint="eastAsia" w:ascii="宋体" w:hAnsi="宋体" w:cs="宋体"/>
                <w:b/>
                <w:bCs/>
                <w:sz w:val="24"/>
                <w:szCs w:val="24"/>
              </w:rPr>
              <w:t>项目最高限价（单位：元）</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cs="宋体"/>
                <w:sz w:val="24"/>
                <w:szCs w:val="24"/>
              </w:rPr>
            </w:pPr>
          </w:p>
        </w:tc>
        <w:tc>
          <w:tcPr>
            <w:tcW w:w="7532" w:type="dxa"/>
            <w:gridSpan w:val="6"/>
            <w:vAlign w:val="center"/>
          </w:tcPr>
          <w:p>
            <w:pPr>
              <w:rPr>
                <w:rFonts w:ascii="宋体" w:hAnsi="宋体" w:cs="宋体"/>
                <w:b/>
                <w:bCs/>
                <w:sz w:val="24"/>
                <w:szCs w:val="24"/>
              </w:rPr>
            </w:pPr>
            <w:r>
              <w:rPr>
                <w:rFonts w:hint="eastAsia" w:ascii="宋体" w:hAnsi="宋体" w:cs="宋体"/>
                <w:bCs/>
                <w:sz w:val="24"/>
                <w:szCs w:val="24"/>
              </w:rPr>
              <w:t>与项目预算一致。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cs="宋体"/>
                <w:sz w:val="24"/>
                <w:szCs w:val="24"/>
              </w:rPr>
            </w:pPr>
            <w:r>
              <w:rPr>
                <w:rFonts w:hint="eastAsia" w:ascii="宋体" w:hAnsi="宋体" w:cs="宋体"/>
                <w:sz w:val="24"/>
                <w:szCs w:val="24"/>
              </w:rPr>
              <w:t>2</w:t>
            </w:r>
          </w:p>
        </w:tc>
        <w:tc>
          <w:tcPr>
            <w:tcW w:w="7532" w:type="dxa"/>
            <w:gridSpan w:val="6"/>
            <w:vAlign w:val="center"/>
          </w:tcPr>
          <w:p>
            <w:pPr>
              <w:rPr>
                <w:rFonts w:ascii="宋体" w:hAnsi="宋体" w:cs="宋体"/>
                <w:b/>
                <w:bCs/>
                <w:sz w:val="24"/>
                <w:szCs w:val="24"/>
              </w:rPr>
            </w:pPr>
            <w:r>
              <w:rPr>
                <w:rFonts w:hint="eastAsia" w:ascii="宋体" w:hAnsi="宋体" w:cs="宋体"/>
                <w:b/>
                <w:bCs/>
                <w:sz w:val="24"/>
                <w:szCs w:val="24"/>
              </w:rPr>
              <w:t>资金来源</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cs="宋体"/>
                <w:sz w:val="24"/>
                <w:szCs w:val="24"/>
              </w:rPr>
            </w:pPr>
          </w:p>
        </w:tc>
        <w:tc>
          <w:tcPr>
            <w:tcW w:w="7532" w:type="dxa"/>
            <w:gridSpan w:val="6"/>
            <w:vAlign w:val="center"/>
          </w:tcPr>
          <w:p>
            <w:pPr>
              <w:rPr>
                <w:rFonts w:ascii="宋体" w:hAnsi="宋体" w:cs="宋体"/>
                <w:b/>
                <w:bCs/>
                <w:sz w:val="24"/>
                <w:szCs w:val="24"/>
              </w:rPr>
            </w:pPr>
            <w:r>
              <w:rPr>
                <w:rFonts w:hint="eastAsia" w:ascii="宋体" w:hAnsi="宋体" w:cs="宋体"/>
                <w:sz w:val="24"/>
                <w:szCs w:val="24"/>
              </w:rPr>
              <w:t>自有资金。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cs="宋体"/>
                <w:sz w:val="24"/>
                <w:szCs w:val="24"/>
              </w:rPr>
            </w:pPr>
            <w:r>
              <w:rPr>
                <w:rFonts w:hint="eastAsia" w:ascii="宋体" w:hAnsi="宋体" w:cs="宋体"/>
                <w:sz w:val="24"/>
                <w:szCs w:val="24"/>
              </w:rPr>
              <w:t>3</w:t>
            </w:r>
          </w:p>
        </w:tc>
        <w:tc>
          <w:tcPr>
            <w:tcW w:w="7532" w:type="dxa"/>
            <w:gridSpan w:val="6"/>
            <w:vAlign w:val="center"/>
          </w:tcPr>
          <w:p>
            <w:pPr>
              <w:rPr>
                <w:rFonts w:ascii="宋体" w:hAnsi="宋体" w:cs="宋体"/>
                <w:b/>
                <w:sz w:val="24"/>
                <w:szCs w:val="24"/>
              </w:rPr>
            </w:pPr>
            <w:r>
              <w:rPr>
                <w:rFonts w:hint="eastAsia" w:ascii="宋体" w:hAnsi="宋体" w:cs="宋体"/>
                <w:b/>
                <w:sz w:val="24"/>
                <w:szCs w:val="24"/>
              </w:rPr>
              <w:t>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cs="宋体"/>
                <w:sz w:val="24"/>
                <w:szCs w:val="24"/>
              </w:rPr>
            </w:pPr>
          </w:p>
        </w:tc>
        <w:tc>
          <w:tcPr>
            <w:tcW w:w="7532" w:type="dxa"/>
            <w:gridSpan w:val="6"/>
            <w:vAlign w:val="center"/>
          </w:tcPr>
          <w:p>
            <w:pPr>
              <w:rPr>
                <w:rFonts w:ascii="宋体" w:hAnsi="宋体" w:cs="宋体"/>
                <w:b/>
                <w:sz w:val="24"/>
                <w:szCs w:val="24"/>
              </w:rPr>
            </w:pPr>
            <w:r>
              <w:rPr>
                <w:rFonts w:hint="eastAsia" w:ascii="宋体" w:hAnsi="宋体" w:cs="宋体"/>
                <w:bCs/>
                <w:sz w:val="24"/>
                <w:szCs w:val="24"/>
              </w:rPr>
              <w:t>本项目不组织踏勘现场。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restart"/>
            <w:vAlign w:val="center"/>
          </w:tcPr>
          <w:p>
            <w:pPr>
              <w:jc w:val="center"/>
              <w:rPr>
                <w:rFonts w:ascii="宋体" w:hAnsi="宋体" w:cs="宋体"/>
                <w:sz w:val="24"/>
                <w:szCs w:val="24"/>
              </w:rPr>
            </w:pPr>
            <w:r>
              <w:rPr>
                <w:rFonts w:hint="eastAsia" w:ascii="宋体" w:hAnsi="宋体" w:cs="宋体"/>
                <w:sz w:val="24"/>
                <w:szCs w:val="24"/>
              </w:rPr>
              <w:t>4</w:t>
            </w:r>
          </w:p>
        </w:tc>
        <w:tc>
          <w:tcPr>
            <w:tcW w:w="7532" w:type="dxa"/>
            <w:gridSpan w:val="6"/>
            <w:vAlign w:val="center"/>
          </w:tcPr>
          <w:p>
            <w:pPr>
              <w:jc w:val="center"/>
              <w:rPr>
                <w:rFonts w:ascii="宋体" w:hAnsi="宋体" w:cs="宋体"/>
                <w:b/>
                <w:sz w:val="24"/>
                <w:szCs w:val="24"/>
              </w:rPr>
            </w:pPr>
            <w:r>
              <w:rPr>
                <w:rFonts w:hint="eastAsia" w:ascii="宋体" w:hAnsi="宋体" w:cs="宋体"/>
                <w:b/>
                <w:sz w:val="24"/>
                <w:szCs w:val="24"/>
              </w:rPr>
              <w:t>采购信息发布网站</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jc w:val="center"/>
              <w:rPr>
                <w:rFonts w:ascii="宋体" w:hAnsi="宋体" w:cs="宋体"/>
                <w:sz w:val="24"/>
                <w:szCs w:val="24"/>
              </w:rPr>
            </w:pPr>
          </w:p>
        </w:tc>
        <w:tc>
          <w:tcPr>
            <w:tcW w:w="1506" w:type="dxa"/>
            <w:vAlign w:val="center"/>
          </w:tcPr>
          <w:p>
            <w:pPr>
              <w:jc w:val="center"/>
              <w:rPr>
                <w:rFonts w:ascii="宋体" w:hAnsi="宋体" w:cs="宋体"/>
                <w:b/>
                <w:sz w:val="24"/>
                <w:szCs w:val="24"/>
              </w:rPr>
            </w:pPr>
            <w:r>
              <w:rPr>
                <w:rFonts w:hint="eastAsia" w:ascii="宋体" w:hAnsi="宋体" w:cs="宋体"/>
                <w:b/>
                <w:sz w:val="24"/>
                <w:szCs w:val="24"/>
              </w:rPr>
              <w:t>中国招标投标公共服务平台</w:t>
            </w:r>
          </w:p>
        </w:tc>
        <w:tc>
          <w:tcPr>
            <w:tcW w:w="1506" w:type="dxa"/>
            <w:gridSpan w:val="2"/>
            <w:vAlign w:val="center"/>
          </w:tcPr>
          <w:p>
            <w:pPr>
              <w:jc w:val="center"/>
              <w:rPr>
                <w:rFonts w:ascii="宋体" w:hAnsi="宋体" w:cs="宋体"/>
                <w:b/>
                <w:sz w:val="24"/>
                <w:szCs w:val="24"/>
              </w:rPr>
            </w:pPr>
            <w:r>
              <w:rPr>
                <w:rFonts w:hint="eastAsia" w:ascii="宋体" w:hAnsi="宋体" w:cs="宋体"/>
                <w:b/>
                <w:sz w:val="24"/>
                <w:szCs w:val="24"/>
                <w:lang w:val="zh-CN"/>
              </w:rPr>
              <w:t>东莞市公共资源交易网</w:t>
            </w:r>
          </w:p>
        </w:tc>
        <w:tc>
          <w:tcPr>
            <w:tcW w:w="1506" w:type="dxa"/>
            <w:vAlign w:val="center"/>
          </w:tcPr>
          <w:p>
            <w:pPr>
              <w:jc w:val="center"/>
              <w:rPr>
                <w:rFonts w:ascii="宋体" w:hAnsi="宋体" w:cs="宋体"/>
                <w:b/>
                <w:sz w:val="24"/>
                <w:szCs w:val="24"/>
              </w:rPr>
            </w:pPr>
            <w:r>
              <w:rPr>
                <w:rFonts w:hint="eastAsia" w:ascii="宋体" w:hAnsi="宋体" w:cs="宋体"/>
                <w:b/>
                <w:sz w:val="24"/>
                <w:szCs w:val="24"/>
              </w:rPr>
              <w:t>东实集团门户网站</w:t>
            </w:r>
          </w:p>
        </w:tc>
        <w:tc>
          <w:tcPr>
            <w:tcW w:w="1506" w:type="dxa"/>
            <w:vAlign w:val="center"/>
          </w:tcPr>
          <w:p>
            <w:pPr>
              <w:jc w:val="center"/>
              <w:rPr>
                <w:rFonts w:ascii="宋体" w:hAnsi="宋体" w:cs="宋体"/>
                <w:b/>
                <w:sz w:val="24"/>
                <w:szCs w:val="24"/>
              </w:rPr>
            </w:pPr>
            <w:r>
              <w:rPr>
                <w:rFonts w:hint="eastAsia" w:ascii="宋体" w:hAnsi="宋体" w:cs="宋体"/>
                <w:b/>
                <w:sz w:val="24"/>
                <w:szCs w:val="24"/>
              </w:rPr>
              <w:t>东莞市东实新能源有限公司网站</w:t>
            </w:r>
          </w:p>
        </w:tc>
        <w:tc>
          <w:tcPr>
            <w:tcW w:w="1508" w:type="dxa"/>
            <w:vAlign w:val="center"/>
          </w:tcPr>
          <w:p>
            <w:pPr>
              <w:jc w:val="center"/>
              <w:rPr>
                <w:rFonts w:ascii="宋体" w:hAnsi="宋体" w:cs="宋体"/>
                <w:b/>
                <w:sz w:val="24"/>
                <w:szCs w:val="24"/>
              </w:rPr>
            </w:pPr>
            <w:r>
              <w:rPr>
                <w:rFonts w:hint="eastAsia" w:ascii="宋体" w:hAnsi="宋体" w:cs="宋体"/>
                <w:b/>
                <w:sz w:val="24"/>
                <w:szCs w:val="24"/>
              </w:rPr>
              <w:t>政通招标网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jc w:val="center"/>
              <w:rPr>
                <w:rFonts w:ascii="宋体" w:hAnsi="宋体" w:cs="宋体"/>
                <w:sz w:val="24"/>
                <w:szCs w:val="24"/>
              </w:rPr>
            </w:pPr>
          </w:p>
        </w:tc>
        <w:tc>
          <w:tcPr>
            <w:tcW w:w="1506" w:type="dxa"/>
            <w:vAlign w:val="center"/>
          </w:tcPr>
          <w:p>
            <w:pPr>
              <w:rPr>
                <w:rFonts w:ascii="宋体" w:hAnsi="宋体" w:cs="宋体"/>
                <w:bCs/>
                <w:sz w:val="24"/>
                <w:szCs w:val="24"/>
              </w:rPr>
            </w:pPr>
            <w:r>
              <w:rPr>
                <w:rFonts w:hint="eastAsia" w:ascii="宋体" w:hAnsi="宋体" w:cs="宋体"/>
                <w:bCs/>
                <w:sz w:val="24"/>
                <w:szCs w:val="24"/>
              </w:rPr>
              <w:t>http://www.cebpubservice.com</w:t>
            </w:r>
          </w:p>
        </w:tc>
        <w:tc>
          <w:tcPr>
            <w:tcW w:w="1506" w:type="dxa"/>
            <w:gridSpan w:val="2"/>
            <w:vAlign w:val="center"/>
          </w:tcPr>
          <w:p>
            <w:pPr>
              <w:rPr>
                <w:rFonts w:ascii="宋体" w:hAnsi="宋体" w:cs="宋体"/>
                <w:bCs/>
                <w:sz w:val="24"/>
                <w:szCs w:val="24"/>
              </w:rPr>
            </w:pPr>
            <w:r>
              <w:rPr>
                <w:rFonts w:hint="eastAsia" w:ascii="宋体" w:hAnsi="宋体" w:cs="宋体"/>
                <w:bCs/>
                <w:sz w:val="24"/>
                <w:szCs w:val="24"/>
              </w:rPr>
              <w:t>http://ggzy.dg.gov.cn</w:t>
            </w:r>
          </w:p>
        </w:tc>
        <w:tc>
          <w:tcPr>
            <w:tcW w:w="1506" w:type="dxa"/>
            <w:vAlign w:val="center"/>
          </w:tcPr>
          <w:p>
            <w:pPr>
              <w:rPr>
                <w:rFonts w:ascii="宋体" w:hAnsi="宋体" w:cs="宋体"/>
                <w:bCs/>
                <w:sz w:val="24"/>
                <w:szCs w:val="24"/>
              </w:rPr>
            </w:pPr>
            <w:r>
              <w:rPr>
                <w:rFonts w:hint="eastAsia" w:ascii="宋体" w:hAnsi="宋体" w:cs="宋体"/>
                <w:bCs/>
                <w:sz w:val="24"/>
                <w:szCs w:val="24"/>
              </w:rPr>
              <w:t>http://www.dgsy.com.cn</w:t>
            </w:r>
          </w:p>
        </w:tc>
        <w:tc>
          <w:tcPr>
            <w:tcW w:w="1506" w:type="dxa"/>
            <w:vAlign w:val="center"/>
          </w:tcPr>
          <w:p>
            <w:pPr>
              <w:rPr>
                <w:rFonts w:ascii="宋体" w:hAnsi="宋体" w:cs="宋体"/>
                <w:bCs/>
                <w:sz w:val="24"/>
                <w:szCs w:val="24"/>
              </w:rPr>
            </w:pPr>
            <w:r>
              <w:rPr>
                <w:rFonts w:hint="eastAsia" w:ascii="宋体" w:hAnsi="宋体" w:cs="宋体"/>
                <w:bCs/>
                <w:sz w:val="24"/>
                <w:szCs w:val="24"/>
              </w:rPr>
              <w:t>http://www.dshuanbao.com.cn</w:t>
            </w:r>
          </w:p>
        </w:tc>
        <w:tc>
          <w:tcPr>
            <w:tcW w:w="1508" w:type="dxa"/>
            <w:vAlign w:val="center"/>
          </w:tcPr>
          <w:p>
            <w:pPr>
              <w:rPr>
                <w:rFonts w:ascii="宋体" w:hAnsi="宋体" w:cs="宋体"/>
                <w:bCs/>
                <w:sz w:val="24"/>
                <w:szCs w:val="24"/>
              </w:rPr>
            </w:pPr>
            <w:r>
              <w:rPr>
                <w:rFonts w:hint="eastAsia" w:ascii="宋体" w:hAnsi="宋体" w:cs="宋体"/>
                <w:bCs/>
                <w:sz w:val="24"/>
                <w:szCs w:val="24"/>
              </w:rPr>
              <w:t>http://www.zttendering.com</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629" w:hRule="atLeast"/>
        </w:trPr>
        <w:tc>
          <w:tcPr>
            <w:tcW w:w="8410" w:type="dxa"/>
            <w:gridSpan w:val="7"/>
            <w:vAlign w:val="center"/>
          </w:tcPr>
          <w:p>
            <w:pPr>
              <w:jc w:val="center"/>
              <w:rPr>
                <w:rFonts w:ascii="宋体" w:hAnsi="宋体" w:cs="宋体"/>
                <w:b/>
                <w:sz w:val="24"/>
                <w:szCs w:val="24"/>
              </w:rPr>
            </w:pPr>
            <w:r>
              <w:rPr>
                <w:rFonts w:hint="eastAsia" w:ascii="宋体" w:hAnsi="宋体" w:cs="宋体"/>
                <w:b/>
                <w:sz w:val="24"/>
                <w:szCs w:val="24"/>
              </w:rPr>
              <w:t>二、投标文件的编制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cs="宋体"/>
                <w:sz w:val="24"/>
                <w:szCs w:val="24"/>
              </w:rPr>
            </w:pPr>
            <w:r>
              <w:rPr>
                <w:rFonts w:hint="eastAsia" w:ascii="宋体" w:hAnsi="宋体" w:cs="宋体"/>
                <w:sz w:val="24"/>
                <w:szCs w:val="24"/>
              </w:rPr>
              <w:t>5</w:t>
            </w:r>
          </w:p>
        </w:tc>
        <w:tc>
          <w:tcPr>
            <w:tcW w:w="7532" w:type="dxa"/>
            <w:gridSpan w:val="6"/>
            <w:vAlign w:val="center"/>
          </w:tcPr>
          <w:p>
            <w:pPr>
              <w:rPr>
                <w:rFonts w:ascii="宋体" w:hAnsi="宋体" w:cs="宋体"/>
                <w:b/>
                <w:sz w:val="24"/>
                <w:szCs w:val="24"/>
              </w:rPr>
            </w:pPr>
            <w:r>
              <w:rPr>
                <w:rFonts w:hint="eastAsia" w:ascii="宋体" w:hAnsi="宋体" w:cs="宋体"/>
                <w:b/>
                <w:sz w:val="24"/>
                <w:szCs w:val="24"/>
              </w:rPr>
              <w:t>投标语言</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cs="宋体"/>
                <w:sz w:val="24"/>
                <w:szCs w:val="24"/>
              </w:rPr>
            </w:pPr>
          </w:p>
        </w:tc>
        <w:tc>
          <w:tcPr>
            <w:tcW w:w="7532" w:type="dxa"/>
            <w:gridSpan w:val="6"/>
            <w:vAlign w:val="center"/>
          </w:tcPr>
          <w:p>
            <w:pPr>
              <w:rPr>
                <w:rFonts w:ascii="宋体" w:hAnsi="宋体" w:cs="宋体"/>
                <w:b/>
                <w:sz w:val="24"/>
                <w:szCs w:val="24"/>
              </w:rPr>
            </w:pPr>
            <w:r>
              <w:rPr>
                <w:rFonts w:hint="eastAsia" w:ascii="宋体" w:hAnsi="宋体" w:cs="宋体"/>
                <w:sz w:val="24"/>
                <w:szCs w:val="24"/>
              </w:rPr>
              <w:t>中文。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cs="宋体"/>
                <w:sz w:val="24"/>
                <w:szCs w:val="24"/>
              </w:rPr>
            </w:pPr>
            <w:r>
              <w:rPr>
                <w:rFonts w:hint="eastAsia" w:ascii="宋体" w:hAnsi="宋体" w:cs="宋体"/>
                <w:sz w:val="24"/>
                <w:szCs w:val="24"/>
              </w:rPr>
              <w:t>6</w:t>
            </w:r>
          </w:p>
        </w:tc>
        <w:tc>
          <w:tcPr>
            <w:tcW w:w="7532" w:type="dxa"/>
            <w:gridSpan w:val="6"/>
            <w:vAlign w:val="center"/>
          </w:tcPr>
          <w:p>
            <w:pPr>
              <w:jc w:val="both"/>
              <w:rPr>
                <w:rFonts w:ascii="宋体" w:hAnsi="宋体" w:cs="宋体"/>
                <w:b/>
                <w:sz w:val="24"/>
                <w:szCs w:val="24"/>
              </w:rPr>
            </w:pPr>
            <w:r>
              <w:rPr>
                <w:rFonts w:hint="eastAsia" w:ascii="宋体" w:hAnsi="宋体" w:cs="宋体"/>
                <w:b/>
                <w:sz w:val="24"/>
                <w:szCs w:val="24"/>
              </w:rPr>
              <w:t>投标报价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cs="宋体"/>
                <w:sz w:val="24"/>
                <w:szCs w:val="24"/>
              </w:rPr>
            </w:pPr>
          </w:p>
        </w:tc>
        <w:tc>
          <w:tcPr>
            <w:tcW w:w="7532" w:type="dxa"/>
            <w:gridSpan w:val="6"/>
            <w:vAlign w:val="center"/>
          </w:tcPr>
          <w:p>
            <w:pPr>
              <w:jc w:val="both"/>
              <w:rPr>
                <w:rFonts w:ascii="宋体" w:hAnsi="宋体" w:cs="宋体"/>
                <w:b/>
                <w:sz w:val="24"/>
                <w:szCs w:val="24"/>
              </w:rPr>
            </w:pPr>
            <w:r>
              <w:rPr>
                <w:rFonts w:hint="eastAsia" w:ascii="宋体" w:hAnsi="宋体" w:cs="宋体"/>
                <w:sz w:val="24"/>
                <w:szCs w:val="24"/>
              </w:rPr>
              <w:t>详见投标人须知。</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restart"/>
            <w:vAlign w:val="center"/>
          </w:tcPr>
          <w:p>
            <w:pPr>
              <w:jc w:val="center"/>
              <w:rPr>
                <w:rFonts w:ascii="宋体" w:hAnsi="宋体" w:cs="宋体"/>
                <w:sz w:val="24"/>
                <w:szCs w:val="24"/>
              </w:rPr>
            </w:pPr>
            <w:r>
              <w:rPr>
                <w:rFonts w:hint="eastAsia" w:ascii="宋体" w:hAnsi="宋体" w:cs="宋体"/>
                <w:sz w:val="24"/>
                <w:szCs w:val="24"/>
              </w:rPr>
              <w:t>7</w:t>
            </w:r>
          </w:p>
        </w:tc>
        <w:tc>
          <w:tcPr>
            <w:tcW w:w="7532" w:type="dxa"/>
            <w:gridSpan w:val="6"/>
            <w:vAlign w:val="center"/>
          </w:tcPr>
          <w:p>
            <w:pPr>
              <w:jc w:val="both"/>
              <w:rPr>
                <w:rFonts w:ascii="宋体" w:hAnsi="宋体" w:cs="宋体"/>
                <w:b/>
                <w:sz w:val="24"/>
                <w:szCs w:val="24"/>
              </w:rPr>
            </w:pPr>
            <w:r>
              <w:rPr>
                <w:rFonts w:hint="eastAsia" w:ascii="宋体" w:hAnsi="宋体" w:cs="宋体"/>
                <w:sz w:val="24"/>
                <w:szCs w:val="24"/>
              </w:rPr>
              <w:t>★</w:t>
            </w:r>
            <w:r>
              <w:rPr>
                <w:rFonts w:hint="eastAsia" w:ascii="宋体" w:hAnsi="宋体" w:cs="宋体"/>
                <w:b/>
                <w:sz w:val="24"/>
                <w:szCs w:val="24"/>
              </w:rPr>
              <w:t>投标保证金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jc w:val="center"/>
              <w:rPr>
                <w:rFonts w:ascii="宋体" w:hAnsi="宋体" w:cs="宋体"/>
                <w:sz w:val="24"/>
                <w:szCs w:val="24"/>
              </w:rPr>
            </w:pPr>
          </w:p>
        </w:tc>
        <w:tc>
          <w:tcPr>
            <w:tcW w:w="7532" w:type="dxa"/>
            <w:gridSpan w:val="6"/>
            <w:vAlign w:val="center"/>
          </w:tcPr>
          <w:p>
            <w:pPr>
              <w:jc w:val="both"/>
              <w:rPr>
                <w:rFonts w:ascii="宋体" w:hAnsi="宋体" w:cs="宋体"/>
                <w:sz w:val="24"/>
                <w:szCs w:val="24"/>
              </w:rPr>
            </w:pPr>
            <w:r>
              <w:rPr>
                <w:rFonts w:hint="eastAsia" w:ascii="宋体" w:hAnsi="宋体" w:cs="宋体"/>
                <w:sz w:val="24"/>
                <w:szCs w:val="24"/>
              </w:rPr>
              <w:t>（1）投标保证金金额：人民币</w:t>
            </w:r>
            <w:r>
              <w:rPr>
                <w:rFonts w:hint="eastAsia" w:ascii="宋体" w:hAnsi="宋体" w:cs="宋体"/>
                <w:b/>
                <w:sz w:val="24"/>
                <w:szCs w:val="24"/>
              </w:rPr>
              <w:t>贰拾肆万</w:t>
            </w:r>
            <w:r>
              <w:rPr>
                <w:rFonts w:hint="eastAsia" w:ascii="宋体" w:hAnsi="宋体" w:cs="宋体"/>
                <w:sz w:val="24"/>
                <w:szCs w:val="24"/>
              </w:rPr>
              <w:t>元整（￥240,000.00）。</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273" w:hRule="atLeast"/>
        </w:trPr>
        <w:tc>
          <w:tcPr>
            <w:tcW w:w="878" w:type="dxa"/>
            <w:vMerge w:val="continue"/>
            <w:vAlign w:val="center"/>
          </w:tcPr>
          <w:p>
            <w:pPr>
              <w:jc w:val="center"/>
              <w:rPr>
                <w:rFonts w:ascii="宋体" w:hAnsi="宋体" w:cs="宋体"/>
                <w:sz w:val="24"/>
                <w:szCs w:val="24"/>
              </w:rPr>
            </w:pPr>
          </w:p>
        </w:tc>
        <w:tc>
          <w:tcPr>
            <w:tcW w:w="7532" w:type="dxa"/>
            <w:gridSpan w:val="6"/>
            <w:vAlign w:val="center"/>
          </w:tcPr>
          <w:p>
            <w:pPr>
              <w:rPr>
                <w:rFonts w:ascii="宋体" w:hAnsi="宋体" w:cs="宋体"/>
                <w:kern w:val="2"/>
                <w:sz w:val="24"/>
                <w:szCs w:val="24"/>
                <w:lang w:val="zh-CN"/>
              </w:rPr>
            </w:pPr>
            <w:r>
              <w:rPr>
                <w:rFonts w:hint="eastAsia" w:ascii="宋体" w:hAnsi="宋体" w:cs="宋体"/>
                <w:sz w:val="24"/>
                <w:szCs w:val="24"/>
              </w:rPr>
              <w:t>（2）</w:t>
            </w:r>
            <w:r>
              <w:rPr>
                <w:rFonts w:hint="eastAsia" w:ascii="宋体" w:hAnsi="宋体" w:cs="宋体"/>
                <w:kern w:val="2"/>
                <w:sz w:val="24"/>
                <w:szCs w:val="24"/>
                <w:lang w:val="zh-CN"/>
              </w:rPr>
              <w:t>投标保证金采用转账、电汇方式提交，应符合以下要求：采用银行转账、电汇方式提交的，保证金汇入以下投标保证金专用账户，不接收由以投标人分支机构、私人账户和其他单位转入的保证金。投标保证金必须在投标文件递交截止前到账，投标保证金未按规定时间到达指定账户或提交金额不足的，将被视为无效投标。且在备注或用途中注明本项目的项目编号。</w:t>
            </w:r>
          </w:p>
          <w:p>
            <w:pPr>
              <w:rPr>
                <w:rFonts w:ascii="宋体" w:hAnsi="宋体" w:cs="宋体"/>
                <w:kern w:val="2"/>
                <w:sz w:val="24"/>
                <w:szCs w:val="24"/>
                <w:lang w:val="zh-CN"/>
              </w:rPr>
            </w:pPr>
            <w:r>
              <w:rPr>
                <w:rFonts w:hint="eastAsia" w:ascii="宋体" w:hAnsi="宋体" w:cs="宋体"/>
                <w:kern w:val="2"/>
                <w:sz w:val="24"/>
                <w:szCs w:val="24"/>
                <w:lang w:val="zh-CN"/>
              </w:rPr>
              <w:t>投标保证金专用账户如下：</w:t>
            </w:r>
          </w:p>
          <w:p>
            <w:pPr>
              <w:spacing w:line="420" w:lineRule="exact"/>
              <w:ind w:firstLine="480" w:firstLineChars="200"/>
              <w:rPr>
                <w:rFonts w:ascii="宋体" w:hAnsi="宋体" w:cs="宋体"/>
                <w:sz w:val="24"/>
                <w:szCs w:val="24"/>
              </w:rPr>
            </w:pPr>
            <w:r>
              <w:rPr>
                <w:rFonts w:hint="eastAsia" w:ascii="宋体" w:hAnsi="宋体" w:cs="宋体"/>
                <w:sz w:val="24"/>
                <w:szCs w:val="24"/>
              </w:rPr>
              <w:t>账户名称：东莞市东实新能源有限公司</w:t>
            </w:r>
          </w:p>
          <w:p>
            <w:pPr>
              <w:spacing w:line="420" w:lineRule="exact"/>
              <w:ind w:firstLine="480" w:firstLineChars="200"/>
              <w:rPr>
                <w:rFonts w:ascii="宋体" w:hAnsi="宋体" w:cs="宋体"/>
                <w:sz w:val="24"/>
                <w:szCs w:val="24"/>
              </w:rPr>
            </w:pPr>
            <w:r>
              <w:rPr>
                <w:rFonts w:hint="eastAsia" w:ascii="宋体" w:hAnsi="宋体" w:cs="宋体"/>
                <w:sz w:val="24"/>
                <w:szCs w:val="24"/>
              </w:rPr>
              <w:t>开户银行：东莞农村商业银行中心支行</w:t>
            </w:r>
          </w:p>
          <w:p>
            <w:pPr>
              <w:ind w:firstLine="480" w:firstLineChars="200"/>
              <w:rPr>
                <w:rFonts w:ascii="宋体" w:hAnsi="宋体" w:cs="宋体"/>
                <w:b/>
                <w:sz w:val="24"/>
                <w:szCs w:val="24"/>
              </w:rPr>
            </w:pPr>
            <w:r>
              <w:rPr>
                <w:rFonts w:hint="eastAsia" w:ascii="宋体" w:hAnsi="宋体" w:cs="宋体"/>
                <w:sz w:val="24"/>
                <w:szCs w:val="24"/>
              </w:rPr>
              <w:t>银行帐号：380010190010009298</w:t>
            </w:r>
            <w:r>
              <w:rPr>
                <w:rFonts w:hint="eastAsia" w:ascii="宋体" w:hAnsi="宋体" w:cs="宋体"/>
                <w:kern w:val="2"/>
                <w:sz w:val="24"/>
                <w:szCs w:val="24"/>
              </w:rPr>
              <w:t xml:space="preserve"> </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878" w:type="dxa"/>
            <w:vMerge w:val="restart"/>
            <w:vAlign w:val="center"/>
          </w:tcPr>
          <w:p>
            <w:pPr>
              <w:jc w:val="center"/>
              <w:rPr>
                <w:rFonts w:ascii="宋体" w:hAnsi="宋体" w:cs="宋体"/>
                <w:sz w:val="24"/>
                <w:szCs w:val="24"/>
              </w:rPr>
            </w:pPr>
            <w:r>
              <w:rPr>
                <w:rFonts w:hint="eastAsia" w:ascii="宋体" w:hAnsi="宋体" w:cs="宋体"/>
                <w:sz w:val="24"/>
                <w:szCs w:val="24"/>
              </w:rPr>
              <w:t>8</w:t>
            </w:r>
          </w:p>
        </w:tc>
        <w:tc>
          <w:tcPr>
            <w:tcW w:w="7532" w:type="dxa"/>
            <w:gridSpan w:val="6"/>
            <w:vAlign w:val="center"/>
          </w:tcPr>
          <w:p>
            <w:pPr>
              <w:jc w:val="both"/>
              <w:rPr>
                <w:rFonts w:ascii="宋体" w:hAnsi="宋体" w:cs="宋体"/>
                <w:b/>
                <w:bCs/>
                <w:sz w:val="24"/>
                <w:szCs w:val="24"/>
                <w:lang w:val="zh-CN"/>
              </w:rPr>
            </w:pPr>
            <w:r>
              <w:rPr>
                <w:rFonts w:hint="eastAsia" w:ascii="宋体" w:hAnsi="宋体" w:cs="宋体"/>
                <w:b/>
                <w:bCs/>
                <w:sz w:val="24"/>
                <w:szCs w:val="24"/>
                <w:lang w:val="zh-CN"/>
              </w:rPr>
              <w:t>投标保证金退还</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535" w:hRule="atLeast"/>
        </w:trPr>
        <w:tc>
          <w:tcPr>
            <w:tcW w:w="878" w:type="dxa"/>
            <w:vMerge w:val="continue"/>
            <w:vAlign w:val="center"/>
          </w:tcPr>
          <w:p>
            <w:pPr>
              <w:jc w:val="center"/>
              <w:rPr>
                <w:rFonts w:ascii="宋体" w:hAnsi="宋体" w:cs="宋体"/>
                <w:sz w:val="24"/>
                <w:szCs w:val="24"/>
              </w:rPr>
            </w:pPr>
          </w:p>
        </w:tc>
        <w:tc>
          <w:tcPr>
            <w:tcW w:w="7532" w:type="dxa"/>
            <w:gridSpan w:val="6"/>
            <w:vAlign w:val="center"/>
          </w:tcPr>
          <w:p>
            <w:pPr>
              <w:jc w:val="both"/>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1</w:t>
            </w:r>
            <w:r>
              <w:rPr>
                <w:rFonts w:hint="eastAsia" w:ascii="宋体" w:hAnsi="宋体" w:cs="宋体"/>
                <w:sz w:val="24"/>
                <w:szCs w:val="24"/>
                <w:lang w:val="zh-CN"/>
              </w:rPr>
              <w:t>）未中标的投标人的保证金应当在中标通知书发出后5个工作日内退还，中标</w:t>
            </w:r>
            <w:r>
              <w:rPr>
                <w:rFonts w:hint="eastAsia" w:ascii="宋体" w:hAnsi="宋体" w:cs="宋体"/>
                <w:sz w:val="24"/>
                <w:szCs w:val="24"/>
              </w:rPr>
              <w:t>的</w:t>
            </w:r>
            <w:r>
              <w:rPr>
                <w:rFonts w:hint="eastAsia" w:ascii="宋体" w:hAnsi="宋体" w:cs="宋体"/>
                <w:sz w:val="24"/>
                <w:szCs w:val="24"/>
                <w:lang w:val="zh-CN"/>
              </w:rPr>
              <w:t>投标人的保证金应当在采购合同签订后5个工作日内退还。</w:t>
            </w:r>
          </w:p>
          <w:p>
            <w:pPr>
              <w:jc w:val="both"/>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2</w:t>
            </w:r>
            <w:r>
              <w:rPr>
                <w:rFonts w:hint="eastAsia" w:ascii="宋体" w:hAnsi="宋体" w:cs="宋体"/>
                <w:sz w:val="24"/>
                <w:szCs w:val="24"/>
                <w:lang w:val="zh-CN"/>
              </w:rPr>
              <w:t>）为方便退还未中标的投标人的保证金，投标人应制作《投标保证金汇入情况说明》随开标文件一并递交。</w:t>
            </w:r>
          </w:p>
          <w:p>
            <w:pPr>
              <w:jc w:val="both"/>
              <w:rPr>
                <w:rFonts w:ascii="宋体" w:hAnsi="宋体" w:cs="宋体"/>
                <w:sz w:val="24"/>
                <w:szCs w:val="24"/>
              </w:rPr>
            </w:pPr>
            <w:r>
              <w:rPr>
                <w:rFonts w:hint="eastAsia" w:ascii="宋体" w:hAnsi="宋体" w:cs="宋体"/>
                <w:sz w:val="24"/>
                <w:szCs w:val="24"/>
                <w:lang w:val="zh-CN"/>
              </w:rPr>
              <w:t>（</w:t>
            </w:r>
            <w:r>
              <w:rPr>
                <w:rFonts w:hint="eastAsia" w:ascii="宋体" w:hAnsi="宋体" w:cs="宋体"/>
                <w:sz w:val="24"/>
                <w:szCs w:val="24"/>
              </w:rPr>
              <w:t>3</w:t>
            </w:r>
            <w:r>
              <w:rPr>
                <w:rFonts w:hint="eastAsia" w:ascii="宋体" w:hAnsi="宋体" w:cs="宋体"/>
                <w:sz w:val="24"/>
                <w:szCs w:val="24"/>
                <w:lang w:val="zh-CN"/>
              </w:rPr>
              <w:t>）投标保证金退还联系电话：</w:t>
            </w:r>
            <w:r>
              <w:rPr>
                <w:rFonts w:hint="eastAsia" w:ascii="宋体" w:hAnsi="宋体" w:cs="宋体"/>
                <w:sz w:val="24"/>
                <w:szCs w:val="24"/>
              </w:rPr>
              <w:t>0769-22881803。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cs="宋体"/>
                <w:sz w:val="24"/>
                <w:szCs w:val="24"/>
              </w:rPr>
            </w:pPr>
            <w:r>
              <w:rPr>
                <w:rFonts w:hint="eastAsia" w:ascii="宋体" w:hAnsi="宋体" w:cs="宋体"/>
                <w:sz w:val="24"/>
                <w:szCs w:val="24"/>
              </w:rPr>
              <w:t>9</w:t>
            </w:r>
          </w:p>
        </w:tc>
        <w:tc>
          <w:tcPr>
            <w:tcW w:w="7532" w:type="dxa"/>
            <w:gridSpan w:val="6"/>
            <w:vAlign w:val="center"/>
          </w:tcPr>
          <w:p>
            <w:pPr>
              <w:jc w:val="both"/>
              <w:rPr>
                <w:rFonts w:ascii="宋体" w:hAnsi="宋体" w:cs="宋体"/>
                <w:b/>
                <w:sz w:val="24"/>
                <w:szCs w:val="24"/>
              </w:rPr>
            </w:pPr>
            <w:r>
              <w:rPr>
                <w:rFonts w:hint="eastAsia" w:ascii="宋体" w:hAnsi="宋体" w:cs="宋体"/>
                <w:sz w:val="24"/>
                <w:szCs w:val="24"/>
              </w:rPr>
              <w:t>★</w:t>
            </w:r>
            <w:r>
              <w:rPr>
                <w:rFonts w:hint="eastAsia" w:ascii="宋体" w:hAnsi="宋体" w:cs="宋体"/>
                <w:b/>
                <w:sz w:val="24"/>
                <w:szCs w:val="24"/>
              </w:rPr>
              <w:t>投标有效期</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cs="宋体"/>
                <w:sz w:val="24"/>
                <w:szCs w:val="24"/>
              </w:rPr>
            </w:pPr>
          </w:p>
        </w:tc>
        <w:tc>
          <w:tcPr>
            <w:tcW w:w="7532" w:type="dxa"/>
            <w:gridSpan w:val="6"/>
            <w:vAlign w:val="center"/>
          </w:tcPr>
          <w:p>
            <w:pPr>
              <w:jc w:val="both"/>
              <w:rPr>
                <w:rFonts w:ascii="宋体" w:hAnsi="宋体" w:cs="宋体"/>
                <w:b/>
                <w:sz w:val="24"/>
                <w:szCs w:val="24"/>
              </w:rPr>
            </w:pPr>
            <w:r>
              <w:rPr>
                <w:rFonts w:hint="eastAsia" w:ascii="宋体" w:hAnsi="宋体" w:cs="宋体"/>
                <w:sz w:val="24"/>
                <w:szCs w:val="24"/>
              </w:rPr>
              <w:t>九十天。</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restart"/>
            <w:vAlign w:val="center"/>
          </w:tcPr>
          <w:p>
            <w:pPr>
              <w:jc w:val="center"/>
              <w:rPr>
                <w:rFonts w:ascii="宋体" w:hAnsi="宋体" w:cs="宋体"/>
                <w:sz w:val="24"/>
                <w:szCs w:val="24"/>
              </w:rPr>
            </w:pPr>
            <w:r>
              <w:rPr>
                <w:rFonts w:hint="eastAsia" w:ascii="宋体" w:hAnsi="宋体" w:cs="宋体"/>
                <w:sz w:val="24"/>
                <w:szCs w:val="24"/>
              </w:rPr>
              <w:t>10</w:t>
            </w:r>
          </w:p>
        </w:tc>
        <w:tc>
          <w:tcPr>
            <w:tcW w:w="7532" w:type="dxa"/>
            <w:gridSpan w:val="6"/>
            <w:vAlign w:val="center"/>
          </w:tcPr>
          <w:p>
            <w:pPr>
              <w:jc w:val="center"/>
              <w:rPr>
                <w:rFonts w:ascii="宋体" w:hAnsi="宋体" w:cs="宋体"/>
                <w:b/>
                <w:sz w:val="24"/>
                <w:szCs w:val="24"/>
              </w:rPr>
            </w:pPr>
            <w:r>
              <w:rPr>
                <w:rFonts w:hint="eastAsia" w:ascii="宋体" w:hAnsi="宋体" w:cs="宋体"/>
                <w:b/>
                <w:sz w:val="24"/>
                <w:szCs w:val="24"/>
              </w:rPr>
              <w:t>投标人应提交以下投标文件（投标文件由价格文件、商务技术文件两部部分组成；其中价格文件单独装订成册，商务技术文件单独装订成册）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jc w:val="center"/>
              <w:rPr>
                <w:rFonts w:ascii="宋体" w:hAnsi="宋体" w:cs="宋体"/>
                <w:sz w:val="24"/>
                <w:szCs w:val="24"/>
              </w:rPr>
            </w:pPr>
          </w:p>
        </w:tc>
        <w:tc>
          <w:tcPr>
            <w:tcW w:w="2608" w:type="dxa"/>
            <w:gridSpan w:val="2"/>
            <w:vAlign w:val="center"/>
          </w:tcPr>
          <w:p>
            <w:pPr>
              <w:jc w:val="center"/>
              <w:rPr>
                <w:rFonts w:ascii="宋体" w:hAnsi="宋体" w:cs="宋体"/>
                <w:b/>
                <w:sz w:val="24"/>
                <w:szCs w:val="24"/>
              </w:rPr>
            </w:pPr>
            <w:r>
              <w:rPr>
                <w:rFonts w:hint="eastAsia" w:ascii="宋体" w:hAnsi="宋体" w:cs="宋体"/>
                <w:b/>
                <w:sz w:val="24"/>
                <w:szCs w:val="24"/>
              </w:rPr>
              <w:t>投标文件类型</w:t>
            </w:r>
          </w:p>
        </w:tc>
        <w:tc>
          <w:tcPr>
            <w:tcW w:w="4924" w:type="dxa"/>
            <w:gridSpan w:val="4"/>
            <w:vAlign w:val="center"/>
          </w:tcPr>
          <w:p>
            <w:pPr>
              <w:jc w:val="center"/>
              <w:rPr>
                <w:rFonts w:ascii="宋体" w:hAnsi="宋体" w:cs="宋体"/>
                <w:b/>
                <w:sz w:val="24"/>
                <w:szCs w:val="24"/>
              </w:rPr>
            </w:pPr>
            <w:r>
              <w:rPr>
                <w:rFonts w:hint="eastAsia" w:ascii="宋体" w:hAnsi="宋体" w:cs="宋体"/>
                <w:b/>
                <w:sz w:val="24"/>
                <w:szCs w:val="24"/>
              </w:rPr>
              <w:t>份数</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jc w:val="center"/>
              <w:rPr>
                <w:rFonts w:ascii="宋体" w:hAnsi="宋体" w:cs="宋体"/>
                <w:sz w:val="24"/>
                <w:szCs w:val="24"/>
              </w:rPr>
            </w:pPr>
          </w:p>
        </w:tc>
        <w:tc>
          <w:tcPr>
            <w:tcW w:w="2608" w:type="dxa"/>
            <w:gridSpan w:val="2"/>
            <w:vAlign w:val="center"/>
          </w:tcPr>
          <w:p>
            <w:pPr>
              <w:jc w:val="center"/>
              <w:rPr>
                <w:rFonts w:ascii="宋体" w:hAnsi="宋体" w:cs="宋体"/>
                <w:b/>
                <w:sz w:val="24"/>
                <w:szCs w:val="24"/>
              </w:rPr>
            </w:pPr>
            <w:r>
              <w:rPr>
                <w:rFonts w:hint="eastAsia" w:ascii="宋体" w:hAnsi="宋体" w:cs="宋体"/>
                <w:b/>
                <w:sz w:val="24"/>
                <w:szCs w:val="24"/>
              </w:rPr>
              <w:t>开标文件</w:t>
            </w:r>
          </w:p>
        </w:tc>
        <w:tc>
          <w:tcPr>
            <w:tcW w:w="4924" w:type="dxa"/>
            <w:gridSpan w:val="4"/>
            <w:vAlign w:val="center"/>
          </w:tcPr>
          <w:p>
            <w:pPr>
              <w:jc w:val="center"/>
              <w:rPr>
                <w:rFonts w:ascii="宋体" w:hAnsi="宋体" w:cs="宋体"/>
                <w:b/>
                <w:sz w:val="24"/>
                <w:szCs w:val="24"/>
              </w:rPr>
            </w:pPr>
            <w:r>
              <w:rPr>
                <w:rFonts w:hint="eastAsia" w:ascii="宋体" w:hAnsi="宋体" w:cs="宋体"/>
                <w:b/>
                <w:sz w:val="24"/>
                <w:szCs w:val="24"/>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jc w:val="center"/>
              <w:rPr>
                <w:rFonts w:ascii="宋体" w:hAnsi="宋体" w:cs="宋体"/>
                <w:sz w:val="24"/>
                <w:szCs w:val="24"/>
              </w:rPr>
            </w:pPr>
          </w:p>
        </w:tc>
        <w:tc>
          <w:tcPr>
            <w:tcW w:w="2608" w:type="dxa"/>
            <w:gridSpan w:val="2"/>
            <w:vAlign w:val="center"/>
          </w:tcPr>
          <w:p>
            <w:pPr>
              <w:jc w:val="center"/>
              <w:rPr>
                <w:rFonts w:ascii="宋体" w:hAnsi="宋体" w:cs="宋体"/>
                <w:b/>
                <w:sz w:val="24"/>
                <w:szCs w:val="24"/>
              </w:rPr>
            </w:pPr>
            <w:r>
              <w:rPr>
                <w:rFonts w:hint="eastAsia" w:ascii="宋体" w:hAnsi="宋体" w:cs="宋体"/>
                <w:b/>
                <w:sz w:val="24"/>
                <w:szCs w:val="24"/>
              </w:rPr>
              <w:t>投标文件正本</w:t>
            </w:r>
          </w:p>
        </w:tc>
        <w:tc>
          <w:tcPr>
            <w:tcW w:w="4924" w:type="dxa"/>
            <w:gridSpan w:val="4"/>
            <w:vAlign w:val="center"/>
          </w:tcPr>
          <w:p>
            <w:pPr>
              <w:jc w:val="center"/>
              <w:rPr>
                <w:rFonts w:ascii="宋体" w:hAnsi="宋体" w:cs="宋体"/>
                <w:b/>
                <w:sz w:val="24"/>
                <w:szCs w:val="24"/>
              </w:rPr>
            </w:pPr>
            <w:r>
              <w:rPr>
                <w:rFonts w:hint="eastAsia" w:ascii="宋体" w:hAnsi="宋体" w:cs="宋体"/>
                <w:b/>
                <w:sz w:val="24"/>
                <w:szCs w:val="24"/>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37" w:hRule="atLeast"/>
        </w:trPr>
        <w:tc>
          <w:tcPr>
            <w:tcW w:w="878" w:type="dxa"/>
            <w:vMerge w:val="continue"/>
            <w:vAlign w:val="center"/>
          </w:tcPr>
          <w:p>
            <w:pPr>
              <w:jc w:val="center"/>
              <w:rPr>
                <w:rFonts w:ascii="宋体" w:hAnsi="宋体" w:cs="宋体"/>
                <w:sz w:val="24"/>
                <w:szCs w:val="24"/>
              </w:rPr>
            </w:pPr>
          </w:p>
        </w:tc>
        <w:tc>
          <w:tcPr>
            <w:tcW w:w="2608" w:type="dxa"/>
            <w:gridSpan w:val="2"/>
            <w:vAlign w:val="center"/>
          </w:tcPr>
          <w:p>
            <w:pPr>
              <w:jc w:val="center"/>
              <w:rPr>
                <w:rFonts w:ascii="宋体" w:hAnsi="宋体" w:cs="宋体"/>
                <w:b/>
                <w:sz w:val="24"/>
                <w:szCs w:val="24"/>
              </w:rPr>
            </w:pPr>
            <w:r>
              <w:rPr>
                <w:rFonts w:hint="eastAsia" w:ascii="宋体" w:hAnsi="宋体" w:cs="宋体"/>
                <w:b/>
                <w:sz w:val="24"/>
                <w:szCs w:val="24"/>
              </w:rPr>
              <w:t>投标文件副本</w:t>
            </w:r>
          </w:p>
        </w:tc>
        <w:tc>
          <w:tcPr>
            <w:tcW w:w="4924" w:type="dxa"/>
            <w:gridSpan w:val="4"/>
            <w:vAlign w:val="center"/>
          </w:tcPr>
          <w:p>
            <w:pPr>
              <w:jc w:val="center"/>
              <w:rPr>
                <w:rFonts w:ascii="宋体" w:hAnsi="宋体" w:cs="宋体"/>
                <w:b/>
                <w:sz w:val="24"/>
                <w:szCs w:val="24"/>
              </w:rPr>
            </w:pPr>
            <w:r>
              <w:rPr>
                <w:rFonts w:hint="eastAsia" w:ascii="宋体" w:hAnsi="宋体" w:cs="宋体"/>
                <w:b/>
                <w:sz w:val="24"/>
                <w:szCs w:val="24"/>
              </w:rPr>
              <w:t>7</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jc w:val="center"/>
              <w:rPr>
                <w:rFonts w:ascii="宋体" w:hAnsi="宋体" w:cs="宋体"/>
                <w:sz w:val="24"/>
                <w:szCs w:val="24"/>
              </w:rPr>
            </w:pPr>
          </w:p>
        </w:tc>
        <w:tc>
          <w:tcPr>
            <w:tcW w:w="2608" w:type="dxa"/>
            <w:gridSpan w:val="2"/>
            <w:vMerge w:val="restart"/>
            <w:vAlign w:val="center"/>
          </w:tcPr>
          <w:p>
            <w:pPr>
              <w:jc w:val="center"/>
              <w:rPr>
                <w:rFonts w:ascii="宋体" w:hAnsi="宋体" w:cs="宋体"/>
                <w:b/>
                <w:sz w:val="24"/>
                <w:szCs w:val="24"/>
              </w:rPr>
            </w:pPr>
            <w:r>
              <w:rPr>
                <w:rFonts w:hint="eastAsia" w:ascii="宋体" w:hAnsi="宋体" w:cs="宋体"/>
                <w:b/>
                <w:sz w:val="24"/>
                <w:szCs w:val="24"/>
              </w:rPr>
              <w:t>电子文档</w:t>
            </w:r>
          </w:p>
        </w:tc>
        <w:tc>
          <w:tcPr>
            <w:tcW w:w="4924" w:type="dxa"/>
            <w:gridSpan w:val="4"/>
            <w:vAlign w:val="center"/>
          </w:tcPr>
          <w:p>
            <w:pPr>
              <w:jc w:val="center"/>
              <w:rPr>
                <w:rFonts w:ascii="宋体" w:hAnsi="宋体" w:cs="宋体"/>
                <w:b/>
                <w:sz w:val="24"/>
                <w:szCs w:val="24"/>
              </w:rPr>
            </w:pPr>
            <w:r>
              <w:rPr>
                <w:rFonts w:hint="eastAsia" w:ascii="宋体" w:hAnsi="宋体" w:cs="宋体"/>
                <w:b/>
                <w:sz w:val="24"/>
                <w:szCs w:val="24"/>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jc w:val="center"/>
              <w:rPr>
                <w:rFonts w:ascii="宋体" w:hAnsi="宋体" w:cs="宋体"/>
                <w:sz w:val="24"/>
                <w:szCs w:val="24"/>
              </w:rPr>
            </w:pPr>
          </w:p>
        </w:tc>
        <w:tc>
          <w:tcPr>
            <w:tcW w:w="2608" w:type="dxa"/>
            <w:gridSpan w:val="2"/>
            <w:vMerge w:val="continue"/>
            <w:vAlign w:val="center"/>
          </w:tcPr>
          <w:p>
            <w:pPr>
              <w:jc w:val="center"/>
              <w:rPr>
                <w:rFonts w:ascii="宋体" w:hAnsi="宋体" w:cs="宋体"/>
                <w:b/>
                <w:sz w:val="24"/>
                <w:szCs w:val="24"/>
              </w:rPr>
            </w:pPr>
          </w:p>
        </w:tc>
        <w:tc>
          <w:tcPr>
            <w:tcW w:w="4924" w:type="dxa"/>
            <w:gridSpan w:val="4"/>
            <w:vAlign w:val="center"/>
          </w:tcPr>
          <w:p>
            <w:pPr>
              <w:jc w:val="center"/>
              <w:rPr>
                <w:rFonts w:ascii="宋体" w:hAnsi="宋体" w:cs="宋体"/>
                <w:b/>
                <w:sz w:val="24"/>
                <w:szCs w:val="24"/>
              </w:rPr>
            </w:pPr>
            <w:r>
              <w:rPr>
                <w:rFonts w:hint="eastAsia" w:ascii="宋体" w:hAnsi="宋体" w:cs="宋体"/>
                <w:b/>
                <w:sz w:val="24"/>
                <w:szCs w:val="24"/>
              </w:rPr>
              <w:t>U盘，须含盖章版PDF投标文件和WORD版投标文件各一版，文字采用WORD文档，计算表格采用 EXCEL文档。</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57" w:hRule="atLeast"/>
        </w:trPr>
        <w:tc>
          <w:tcPr>
            <w:tcW w:w="8410" w:type="dxa"/>
            <w:gridSpan w:val="7"/>
            <w:vAlign w:val="center"/>
          </w:tcPr>
          <w:p>
            <w:pPr>
              <w:jc w:val="center"/>
              <w:rPr>
                <w:rFonts w:ascii="宋体" w:hAnsi="宋体" w:cs="宋体"/>
                <w:b/>
                <w:sz w:val="24"/>
                <w:szCs w:val="24"/>
              </w:rPr>
            </w:pPr>
            <w:r>
              <w:rPr>
                <w:rFonts w:hint="eastAsia" w:ascii="宋体" w:hAnsi="宋体" w:cs="宋体"/>
                <w:b/>
                <w:sz w:val="24"/>
                <w:szCs w:val="24"/>
              </w:rPr>
              <w:t>三、开标与评标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cs="宋体"/>
                <w:sz w:val="24"/>
                <w:szCs w:val="24"/>
              </w:rPr>
            </w:pPr>
            <w:r>
              <w:rPr>
                <w:rFonts w:hint="eastAsia" w:ascii="宋体" w:hAnsi="宋体" w:cs="宋体"/>
                <w:sz w:val="24"/>
                <w:szCs w:val="24"/>
              </w:rPr>
              <w:t>11</w:t>
            </w:r>
          </w:p>
        </w:tc>
        <w:tc>
          <w:tcPr>
            <w:tcW w:w="7532" w:type="dxa"/>
            <w:gridSpan w:val="6"/>
            <w:vAlign w:val="center"/>
          </w:tcPr>
          <w:p>
            <w:pPr>
              <w:jc w:val="both"/>
              <w:rPr>
                <w:rFonts w:ascii="宋体" w:hAnsi="宋体" w:cs="宋体"/>
                <w:sz w:val="24"/>
                <w:szCs w:val="24"/>
              </w:rPr>
            </w:pPr>
            <w:r>
              <w:rPr>
                <w:rFonts w:hint="eastAsia" w:ascii="宋体" w:hAnsi="宋体" w:cs="宋体"/>
                <w:b/>
                <w:sz w:val="24"/>
                <w:szCs w:val="24"/>
              </w:rPr>
              <w:t>本项目评标方法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cs="宋体"/>
                <w:sz w:val="24"/>
                <w:szCs w:val="24"/>
              </w:rPr>
            </w:pPr>
          </w:p>
        </w:tc>
        <w:tc>
          <w:tcPr>
            <w:tcW w:w="7532" w:type="dxa"/>
            <w:gridSpan w:val="6"/>
            <w:vAlign w:val="center"/>
          </w:tcPr>
          <w:p>
            <w:pPr>
              <w:jc w:val="both"/>
              <w:rPr>
                <w:rFonts w:ascii="宋体" w:hAnsi="宋体" w:cs="宋体"/>
                <w:b/>
                <w:sz w:val="24"/>
                <w:szCs w:val="24"/>
              </w:rPr>
            </w:pPr>
            <w:r>
              <w:rPr>
                <w:rFonts w:hint="eastAsia" w:ascii="宋体" w:hAnsi="宋体" w:cs="宋体"/>
                <w:sz w:val="24"/>
                <w:szCs w:val="24"/>
              </w:rPr>
              <w:t>综合评分法。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748" w:hRule="atLeast"/>
        </w:trPr>
        <w:tc>
          <w:tcPr>
            <w:tcW w:w="8410" w:type="dxa"/>
            <w:gridSpan w:val="7"/>
            <w:vAlign w:val="center"/>
          </w:tcPr>
          <w:p>
            <w:pPr>
              <w:jc w:val="center"/>
              <w:rPr>
                <w:rFonts w:ascii="宋体" w:hAnsi="宋体" w:cs="宋体"/>
                <w:b/>
                <w:sz w:val="24"/>
                <w:szCs w:val="24"/>
              </w:rPr>
            </w:pPr>
            <w:r>
              <w:rPr>
                <w:rFonts w:hint="eastAsia" w:ascii="宋体" w:hAnsi="宋体" w:cs="宋体"/>
                <w:b/>
                <w:sz w:val="24"/>
                <w:szCs w:val="24"/>
              </w:rPr>
              <w:t>四、授予合同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39" w:hRule="atLeast"/>
        </w:trPr>
        <w:tc>
          <w:tcPr>
            <w:tcW w:w="878" w:type="dxa"/>
            <w:vMerge w:val="restart"/>
            <w:vAlign w:val="center"/>
          </w:tcPr>
          <w:p>
            <w:pPr>
              <w:jc w:val="center"/>
              <w:rPr>
                <w:rFonts w:ascii="宋体" w:hAnsi="宋体" w:cs="宋体"/>
                <w:sz w:val="24"/>
                <w:szCs w:val="24"/>
              </w:rPr>
            </w:pPr>
            <w:r>
              <w:rPr>
                <w:rFonts w:hint="eastAsia" w:ascii="宋体" w:hAnsi="宋体" w:cs="宋体"/>
                <w:sz w:val="24"/>
                <w:szCs w:val="24"/>
              </w:rPr>
              <w:t>12</w:t>
            </w:r>
          </w:p>
        </w:tc>
        <w:tc>
          <w:tcPr>
            <w:tcW w:w="7532" w:type="dxa"/>
            <w:gridSpan w:val="6"/>
            <w:shd w:val="clear" w:color="auto" w:fill="auto"/>
            <w:vAlign w:val="center"/>
          </w:tcPr>
          <w:p>
            <w:pPr>
              <w:jc w:val="both"/>
              <w:rPr>
                <w:rFonts w:ascii="宋体" w:hAnsi="宋体" w:cs="宋体"/>
                <w:b/>
                <w:sz w:val="24"/>
                <w:szCs w:val="24"/>
              </w:rPr>
            </w:pPr>
            <w:r>
              <w:rPr>
                <w:rFonts w:hint="eastAsia" w:ascii="宋体" w:hAnsi="宋体" w:cs="宋体"/>
                <w:b/>
                <w:sz w:val="24"/>
                <w:szCs w:val="24"/>
              </w:rPr>
              <w:t>履约保证金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878" w:type="dxa"/>
            <w:vMerge w:val="continue"/>
            <w:vAlign w:val="center"/>
          </w:tcPr>
          <w:p>
            <w:pPr>
              <w:jc w:val="center"/>
              <w:rPr>
                <w:rFonts w:ascii="宋体" w:hAnsi="宋体" w:cs="宋体"/>
                <w:sz w:val="24"/>
                <w:szCs w:val="24"/>
              </w:rPr>
            </w:pPr>
          </w:p>
        </w:tc>
        <w:tc>
          <w:tcPr>
            <w:tcW w:w="7532" w:type="dxa"/>
            <w:gridSpan w:val="6"/>
            <w:shd w:val="clear" w:color="auto" w:fill="auto"/>
            <w:vAlign w:val="center"/>
          </w:tcPr>
          <w:p>
            <w:pPr>
              <w:rPr>
                <w:rFonts w:ascii="宋体" w:hAnsi="宋体" w:cs="宋体"/>
                <w:sz w:val="24"/>
                <w:szCs w:val="24"/>
              </w:rPr>
            </w:pPr>
            <w:r>
              <w:rPr>
                <w:rFonts w:hint="eastAsia" w:ascii="宋体" w:hAnsi="宋体" w:cs="宋体"/>
                <w:sz w:val="24"/>
                <w:szCs w:val="24"/>
              </w:rPr>
              <w:t>履约保证金账户：采购人指定账户(单位基本账户)</w:t>
            </w:r>
            <w:r>
              <w:rPr>
                <w:rFonts w:hint="eastAsia" w:ascii="宋体" w:hAnsi="宋体" w:cs="宋体"/>
                <w:kern w:val="2"/>
                <w:sz w:val="24"/>
                <w:szCs w:val="24"/>
              </w:rPr>
              <w:t xml:space="preserve">履约保证金形式：采用银行转账或不可撤销见索即付银行履约保函形式。 </w:t>
            </w:r>
          </w:p>
          <w:p>
            <w:pPr>
              <w:rPr>
                <w:rFonts w:ascii="宋体" w:hAnsi="宋体" w:cs="宋体"/>
                <w:sz w:val="24"/>
                <w:szCs w:val="24"/>
              </w:rPr>
            </w:pPr>
            <w:r>
              <w:rPr>
                <w:rFonts w:hint="eastAsia" w:ascii="宋体" w:hAnsi="宋体" w:cs="宋体"/>
                <w:kern w:val="2"/>
                <w:sz w:val="24"/>
                <w:szCs w:val="24"/>
              </w:rPr>
              <w:t xml:space="preserve">履约保证金金额： </w:t>
            </w:r>
          </w:p>
          <w:p>
            <w:pPr>
              <w:rPr>
                <w:rFonts w:ascii="宋体" w:hAnsi="宋体" w:cs="宋体"/>
                <w:kern w:val="2"/>
                <w:sz w:val="24"/>
                <w:szCs w:val="24"/>
              </w:rPr>
            </w:pPr>
            <w:r>
              <w:rPr>
                <w:rFonts w:hint="eastAsia" w:ascii="宋体" w:hAnsi="宋体" w:cs="宋体"/>
                <w:kern w:val="2"/>
                <w:sz w:val="24"/>
                <w:szCs w:val="24"/>
              </w:rPr>
              <w:t>合同价的10%</w:t>
            </w:r>
          </w:p>
          <w:p>
            <w:pPr>
              <w:rPr>
                <w:rFonts w:ascii="宋体" w:hAnsi="宋体" w:cs="宋体"/>
                <w:kern w:val="2"/>
                <w:sz w:val="24"/>
                <w:szCs w:val="24"/>
              </w:rPr>
            </w:pPr>
            <w:r>
              <w:rPr>
                <w:rFonts w:hint="eastAsia" w:ascii="宋体" w:hAnsi="宋体" w:cs="宋体"/>
                <w:kern w:val="2"/>
                <w:sz w:val="24"/>
                <w:szCs w:val="24"/>
              </w:rPr>
              <w:t>履约保证金账户信息：</w:t>
            </w:r>
          </w:p>
          <w:p>
            <w:pPr>
              <w:spacing w:line="240" w:lineRule="auto"/>
              <w:rPr>
                <w:rFonts w:ascii="宋体" w:hAnsi="宋体" w:cs="宋体"/>
                <w:sz w:val="24"/>
                <w:szCs w:val="24"/>
              </w:rPr>
            </w:pPr>
            <w:r>
              <w:rPr>
                <w:rFonts w:hint="eastAsia" w:ascii="宋体" w:hAnsi="宋体" w:cs="宋体"/>
                <w:sz w:val="24"/>
                <w:szCs w:val="24"/>
              </w:rPr>
              <w:t>账户名称：东莞市东实城市环境服务有限公司</w:t>
            </w:r>
          </w:p>
          <w:p>
            <w:pPr>
              <w:spacing w:line="240" w:lineRule="auto"/>
              <w:rPr>
                <w:rFonts w:ascii="宋体" w:hAnsi="宋体" w:cs="宋体"/>
                <w:sz w:val="24"/>
                <w:szCs w:val="24"/>
              </w:rPr>
            </w:pPr>
            <w:r>
              <w:rPr>
                <w:rFonts w:hint="eastAsia" w:ascii="宋体" w:hAnsi="宋体" w:cs="宋体"/>
                <w:sz w:val="24"/>
                <w:szCs w:val="24"/>
              </w:rPr>
              <w:t>开户银行：交通银行股份有限公司东莞分行</w:t>
            </w:r>
          </w:p>
          <w:p>
            <w:pPr>
              <w:rPr>
                <w:rFonts w:ascii="宋体" w:hAnsi="宋体" w:cs="宋体"/>
                <w:b/>
                <w:sz w:val="24"/>
                <w:szCs w:val="24"/>
              </w:rPr>
            </w:pPr>
            <w:r>
              <w:rPr>
                <w:rFonts w:hint="eastAsia" w:ascii="宋体" w:hAnsi="宋体" w:cs="宋体"/>
                <w:sz w:val="24"/>
                <w:szCs w:val="24"/>
              </w:rPr>
              <w:t>银行账号：483007611013000370341</w:t>
            </w:r>
            <w:r>
              <w:rPr>
                <w:rFonts w:hint="eastAsia" w:ascii="宋体" w:hAnsi="宋体" w:cs="宋体"/>
                <w:kern w:val="2"/>
                <w:sz w:val="24"/>
                <w:szCs w:val="24"/>
              </w:rPr>
              <w:t xml:space="preserve"> </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878" w:type="dxa"/>
            <w:vMerge w:val="restart"/>
            <w:vAlign w:val="center"/>
          </w:tcPr>
          <w:p>
            <w:pPr>
              <w:jc w:val="center"/>
              <w:rPr>
                <w:rFonts w:ascii="宋体" w:hAnsi="宋体" w:cs="宋体"/>
                <w:sz w:val="24"/>
                <w:szCs w:val="24"/>
              </w:rPr>
            </w:pPr>
            <w:r>
              <w:rPr>
                <w:rFonts w:hint="eastAsia" w:ascii="宋体" w:hAnsi="宋体" w:cs="宋体"/>
                <w:sz w:val="24"/>
                <w:szCs w:val="24"/>
              </w:rPr>
              <w:t>13</w:t>
            </w:r>
          </w:p>
        </w:tc>
        <w:tc>
          <w:tcPr>
            <w:tcW w:w="7532" w:type="dxa"/>
            <w:gridSpan w:val="6"/>
            <w:shd w:val="clear" w:color="auto" w:fill="auto"/>
            <w:vAlign w:val="center"/>
          </w:tcPr>
          <w:p>
            <w:pPr>
              <w:spacing w:line="240" w:lineRule="auto"/>
              <w:rPr>
                <w:rFonts w:ascii="宋体" w:hAnsi="宋体" w:cs="宋体"/>
                <w:sz w:val="24"/>
                <w:szCs w:val="24"/>
              </w:rPr>
            </w:pPr>
            <w:r>
              <w:rPr>
                <w:rFonts w:hint="eastAsia" w:ascii="宋体" w:hAnsi="宋体" w:cs="宋体"/>
                <w:b/>
                <w:bCs/>
                <w:sz w:val="24"/>
                <w:szCs w:val="24"/>
              </w:rPr>
              <w:t>中标服务费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878" w:type="dxa"/>
            <w:vMerge w:val="continue"/>
            <w:vAlign w:val="center"/>
          </w:tcPr>
          <w:p>
            <w:pPr>
              <w:jc w:val="center"/>
              <w:rPr>
                <w:rFonts w:ascii="宋体" w:hAnsi="宋体" w:cs="宋体"/>
                <w:sz w:val="24"/>
                <w:szCs w:val="24"/>
              </w:rPr>
            </w:pPr>
          </w:p>
        </w:tc>
        <w:tc>
          <w:tcPr>
            <w:tcW w:w="7532" w:type="dxa"/>
            <w:gridSpan w:val="6"/>
            <w:shd w:val="clear" w:color="auto" w:fill="auto"/>
            <w:vAlign w:val="center"/>
          </w:tcPr>
          <w:p>
            <w:pPr>
              <w:spacing w:line="240" w:lineRule="auto"/>
              <w:rPr>
                <w:rFonts w:ascii="宋体" w:hAnsi="宋体" w:cs="宋体"/>
                <w:sz w:val="24"/>
                <w:szCs w:val="24"/>
              </w:rPr>
            </w:pPr>
            <w:r>
              <w:rPr>
                <w:rFonts w:hint="eastAsia" w:ascii="宋体" w:hAnsi="宋体" w:cs="宋体"/>
                <w:sz w:val="24"/>
                <w:szCs w:val="24"/>
              </w:rPr>
              <w:t>本项目中标服务费由采购人支付。</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20" w:hRule="atLeast"/>
        </w:trPr>
        <w:tc>
          <w:tcPr>
            <w:tcW w:w="8410" w:type="dxa"/>
            <w:gridSpan w:val="7"/>
            <w:vAlign w:val="center"/>
          </w:tcPr>
          <w:p>
            <w:pPr>
              <w:widowControl w:val="0"/>
              <w:tabs>
                <w:tab w:val="left" w:pos="907"/>
              </w:tabs>
              <w:adjustRightInd/>
              <w:snapToGrid/>
              <w:ind w:firstLine="480" w:firstLineChars="200"/>
              <w:jc w:val="both"/>
              <w:rPr>
                <w:rFonts w:ascii="宋体" w:hAnsi="宋体" w:cs="宋体"/>
                <w:sz w:val="24"/>
                <w:szCs w:val="24"/>
              </w:rPr>
            </w:pPr>
            <w:r>
              <w:rPr>
                <w:rFonts w:hint="eastAsia" w:ascii="宋体" w:hAnsi="宋体" w:cs="宋体"/>
                <w:sz w:val="24"/>
                <w:szCs w:val="24"/>
              </w:rPr>
              <w:t>注：本表关于要采购项目的具体资料，是对投标人须知的具体补充和修改，如有矛盾，应以本资料表为准。</w:t>
            </w:r>
          </w:p>
        </w:tc>
      </w:tr>
    </w:tbl>
    <w:p>
      <w:pPr>
        <w:jc w:val="center"/>
        <w:rPr>
          <w:rFonts w:ascii="宋体" w:hAnsi="宋体" w:cs="宋体"/>
          <w:sz w:val="24"/>
          <w:szCs w:val="24"/>
        </w:rPr>
      </w:pPr>
      <w:r>
        <w:rPr>
          <w:rFonts w:hint="eastAsia" w:ascii="宋体" w:hAnsi="宋体" w:cs="宋体"/>
          <w:sz w:val="24"/>
          <w:szCs w:val="24"/>
        </w:rPr>
        <w:br w:type="page"/>
      </w:r>
    </w:p>
    <w:p>
      <w:pPr>
        <w:pStyle w:val="6"/>
        <w:spacing w:before="0" w:after="0" w:line="240" w:lineRule="auto"/>
        <w:rPr>
          <w:rFonts w:ascii="宋体" w:hAnsi="宋体" w:eastAsia="宋体" w:cs="宋体"/>
          <w:sz w:val="24"/>
          <w:szCs w:val="24"/>
        </w:rPr>
      </w:pPr>
      <w:bookmarkStart w:id="6" w:name="_Toc20771"/>
      <w:bookmarkStart w:id="7" w:name="_Toc7721"/>
      <w:r>
        <w:rPr>
          <w:rFonts w:hint="eastAsia" w:ascii="宋体" w:hAnsi="宋体" w:eastAsia="宋体" w:cs="宋体"/>
          <w:sz w:val="24"/>
          <w:szCs w:val="24"/>
        </w:rPr>
        <w:t>第三部分用户需求书</w:t>
      </w:r>
      <w:bookmarkEnd w:id="6"/>
      <w:bookmarkEnd w:id="7"/>
    </w:p>
    <w:p>
      <w:pPr>
        <w:pStyle w:val="8"/>
        <w:spacing w:before="0" w:after="0" w:line="360" w:lineRule="auto"/>
        <w:jc w:val="center"/>
        <w:rPr>
          <w:rFonts w:ascii="宋体" w:hAnsi="宋体" w:cs="宋体"/>
          <w:sz w:val="24"/>
          <w:szCs w:val="24"/>
        </w:rPr>
      </w:pPr>
      <w:bookmarkStart w:id="8" w:name="_Toc20267"/>
      <w:bookmarkStart w:id="9" w:name="_Toc3509"/>
      <w:bookmarkStart w:id="10" w:name="_Toc1593"/>
      <w:bookmarkStart w:id="11" w:name="_Toc308786492"/>
      <w:bookmarkStart w:id="12" w:name="_Toc31278"/>
      <w:bookmarkStart w:id="13" w:name="_Toc13112"/>
      <w:bookmarkStart w:id="14" w:name="_Toc14462"/>
      <w:bookmarkStart w:id="15" w:name="_Toc24679"/>
      <w:r>
        <w:rPr>
          <w:rFonts w:hint="eastAsia" w:ascii="宋体" w:hAnsi="宋体" w:cs="宋体"/>
          <w:sz w:val="24"/>
          <w:szCs w:val="24"/>
        </w:rPr>
        <w:t>第一章 商务需求书</w:t>
      </w:r>
      <w:bookmarkEnd w:id="8"/>
      <w:bookmarkEnd w:id="9"/>
      <w:bookmarkEnd w:id="10"/>
    </w:p>
    <w:tbl>
      <w:tblPr>
        <w:tblStyle w:val="28"/>
        <w:tblW w:w="844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8"/>
        <w:gridCol w:w="1501"/>
        <w:gridCol w:w="62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8" w:type="dxa"/>
            <w:vAlign w:val="center"/>
          </w:tcPr>
          <w:p>
            <w:pPr>
              <w:jc w:val="center"/>
              <w:rPr>
                <w:rFonts w:ascii="宋体" w:hAnsi="宋体" w:cs="宋体"/>
                <w:sz w:val="24"/>
                <w:szCs w:val="24"/>
              </w:rPr>
            </w:pPr>
            <w:r>
              <w:rPr>
                <w:rFonts w:hint="eastAsia" w:ascii="宋体" w:hAnsi="宋体" w:cs="宋体"/>
                <w:sz w:val="24"/>
                <w:szCs w:val="24"/>
              </w:rPr>
              <w:t>序号</w:t>
            </w:r>
          </w:p>
        </w:tc>
        <w:tc>
          <w:tcPr>
            <w:tcW w:w="1501" w:type="dxa"/>
            <w:vAlign w:val="center"/>
          </w:tcPr>
          <w:p>
            <w:pPr>
              <w:jc w:val="center"/>
              <w:rPr>
                <w:rFonts w:ascii="宋体" w:hAnsi="宋体" w:cs="宋体"/>
                <w:sz w:val="24"/>
                <w:szCs w:val="24"/>
              </w:rPr>
            </w:pPr>
            <w:r>
              <w:rPr>
                <w:rFonts w:hint="eastAsia" w:ascii="宋体" w:hAnsi="宋体" w:cs="宋体"/>
                <w:sz w:val="24"/>
                <w:szCs w:val="24"/>
              </w:rPr>
              <w:t>条款名称</w:t>
            </w:r>
          </w:p>
        </w:tc>
        <w:tc>
          <w:tcPr>
            <w:tcW w:w="6226" w:type="dxa"/>
            <w:vAlign w:val="center"/>
          </w:tcPr>
          <w:p>
            <w:pPr>
              <w:jc w:val="center"/>
              <w:rPr>
                <w:rFonts w:ascii="宋体" w:hAnsi="宋体" w:cs="宋体"/>
                <w:sz w:val="24"/>
                <w:szCs w:val="24"/>
              </w:rPr>
            </w:pPr>
            <w:r>
              <w:rPr>
                <w:rFonts w:hint="eastAsia" w:ascii="宋体" w:hAnsi="宋体" w:cs="宋体"/>
                <w:sz w:val="24"/>
                <w:szCs w:val="24"/>
              </w:rPr>
              <w:t>说  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718" w:type="dxa"/>
            <w:vAlign w:val="center"/>
          </w:tcPr>
          <w:p>
            <w:pPr>
              <w:jc w:val="center"/>
              <w:rPr>
                <w:rFonts w:ascii="宋体" w:hAnsi="宋体" w:cs="宋体"/>
                <w:sz w:val="24"/>
                <w:szCs w:val="24"/>
              </w:rPr>
            </w:pPr>
            <w:r>
              <w:rPr>
                <w:rFonts w:hint="eastAsia" w:ascii="宋体" w:hAnsi="宋体" w:cs="宋体"/>
                <w:sz w:val="24"/>
                <w:szCs w:val="24"/>
              </w:rPr>
              <w:t>1</w:t>
            </w:r>
          </w:p>
        </w:tc>
        <w:tc>
          <w:tcPr>
            <w:tcW w:w="1501" w:type="dxa"/>
            <w:vAlign w:val="center"/>
          </w:tcPr>
          <w:p>
            <w:pPr>
              <w:jc w:val="center"/>
              <w:rPr>
                <w:rFonts w:ascii="宋体" w:hAnsi="宋体" w:cs="宋体"/>
                <w:sz w:val="24"/>
                <w:szCs w:val="24"/>
              </w:rPr>
            </w:pPr>
            <w:r>
              <w:rPr>
                <w:rFonts w:hint="eastAsia" w:ascii="宋体" w:hAnsi="宋体" w:cs="宋体"/>
                <w:sz w:val="24"/>
                <w:szCs w:val="24"/>
              </w:rPr>
              <w:t>合格投标人</w:t>
            </w:r>
          </w:p>
        </w:tc>
        <w:tc>
          <w:tcPr>
            <w:tcW w:w="6226" w:type="dxa"/>
            <w:vAlign w:val="center"/>
          </w:tcPr>
          <w:p>
            <w:pPr>
              <w:pStyle w:val="40"/>
              <w:rPr>
                <w:rFonts w:ascii="宋体" w:hAnsi="宋体" w:cs="宋体"/>
                <w:bCs/>
                <w:kern w:val="44"/>
                <w:sz w:val="24"/>
                <w:szCs w:val="24"/>
              </w:rPr>
            </w:pPr>
            <w:r>
              <w:rPr>
                <w:rFonts w:hint="eastAsia" w:ascii="宋体" w:hAnsi="宋体" w:cs="宋体"/>
                <w:sz w:val="24"/>
                <w:szCs w:val="24"/>
              </w:rPr>
              <w:t>详见“第一部分 投标邀请”中“二、投标人资格要求”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718" w:type="dxa"/>
            <w:vAlign w:val="center"/>
          </w:tcPr>
          <w:p>
            <w:pPr>
              <w:jc w:val="center"/>
              <w:rPr>
                <w:rFonts w:ascii="宋体" w:hAnsi="宋体" w:cs="宋体"/>
                <w:sz w:val="24"/>
                <w:szCs w:val="24"/>
              </w:rPr>
            </w:pPr>
            <w:r>
              <w:rPr>
                <w:rFonts w:hint="eastAsia" w:ascii="宋体" w:hAnsi="宋体" w:cs="宋体"/>
                <w:sz w:val="24"/>
                <w:szCs w:val="24"/>
              </w:rPr>
              <w:t>2</w:t>
            </w:r>
          </w:p>
        </w:tc>
        <w:tc>
          <w:tcPr>
            <w:tcW w:w="1501" w:type="dxa"/>
            <w:vAlign w:val="center"/>
          </w:tcPr>
          <w:p>
            <w:pPr>
              <w:jc w:val="center"/>
              <w:rPr>
                <w:rFonts w:ascii="宋体" w:hAnsi="宋体" w:cs="宋体"/>
                <w:sz w:val="24"/>
                <w:szCs w:val="24"/>
              </w:rPr>
            </w:pPr>
            <w:r>
              <w:rPr>
                <w:rFonts w:hint="eastAsia" w:ascii="宋体" w:hAnsi="宋体" w:cs="宋体"/>
                <w:sz w:val="24"/>
                <w:szCs w:val="24"/>
              </w:rPr>
              <w:t>交货期</w:t>
            </w:r>
          </w:p>
        </w:tc>
        <w:tc>
          <w:tcPr>
            <w:tcW w:w="6226" w:type="dxa"/>
            <w:vAlign w:val="center"/>
          </w:tcPr>
          <w:p>
            <w:pPr>
              <w:ind w:firstLine="480" w:firstLineChars="200"/>
              <w:rPr>
                <w:rFonts w:ascii="宋体" w:hAnsi="宋体" w:cs="宋体"/>
                <w:sz w:val="24"/>
                <w:szCs w:val="24"/>
              </w:rPr>
            </w:pPr>
            <w:r>
              <w:rPr>
                <w:rFonts w:hint="eastAsia" w:ascii="宋体" w:hAnsi="宋体" w:cs="宋体"/>
                <w:sz w:val="24"/>
                <w:szCs w:val="24"/>
              </w:rPr>
              <w:t>收到中标通知书后10天内完成供货并由采购人确认验收，包括但不限于随车配套工具、用车说明书、备胎等，验收无误后签订验收确认书。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8" w:hRule="atLeast"/>
        </w:trPr>
        <w:tc>
          <w:tcPr>
            <w:tcW w:w="718" w:type="dxa"/>
            <w:vAlign w:val="center"/>
          </w:tcPr>
          <w:p>
            <w:pPr>
              <w:jc w:val="center"/>
              <w:rPr>
                <w:rFonts w:ascii="宋体" w:hAnsi="宋体" w:cs="宋体"/>
                <w:sz w:val="24"/>
                <w:szCs w:val="24"/>
              </w:rPr>
            </w:pPr>
            <w:r>
              <w:rPr>
                <w:rFonts w:hint="eastAsia" w:ascii="宋体" w:hAnsi="宋体" w:cs="宋体"/>
                <w:sz w:val="24"/>
                <w:szCs w:val="24"/>
              </w:rPr>
              <w:t>3</w:t>
            </w:r>
          </w:p>
        </w:tc>
        <w:tc>
          <w:tcPr>
            <w:tcW w:w="1501" w:type="dxa"/>
            <w:vAlign w:val="center"/>
          </w:tcPr>
          <w:p>
            <w:pPr>
              <w:jc w:val="center"/>
              <w:rPr>
                <w:rFonts w:ascii="宋体" w:hAnsi="宋体" w:cs="宋体"/>
                <w:sz w:val="24"/>
                <w:szCs w:val="24"/>
              </w:rPr>
            </w:pPr>
            <w:r>
              <w:rPr>
                <w:rFonts w:hint="eastAsia" w:ascii="宋体" w:hAnsi="宋体" w:cs="宋体"/>
                <w:sz w:val="24"/>
                <w:szCs w:val="24"/>
              </w:rPr>
              <w:t>质保期</w:t>
            </w:r>
          </w:p>
        </w:tc>
        <w:tc>
          <w:tcPr>
            <w:tcW w:w="6226" w:type="dxa"/>
            <w:vAlign w:val="center"/>
          </w:tcPr>
          <w:p>
            <w:pPr>
              <w:ind w:firstLine="480" w:firstLineChars="200"/>
              <w:contextualSpacing/>
              <w:rPr>
                <w:rFonts w:ascii="宋体" w:hAnsi="宋体" w:cs="宋体"/>
                <w:sz w:val="24"/>
                <w:szCs w:val="24"/>
              </w:rPr>
            </w:pPr>
            <w:r>
              <w:rPr>
                <w:rFonts w:hint="eastAsia" w:ascii="宋体" w:hAnsi="宋体" w:cs="宋体"/>
                <w:sz w:val="24"/>
                <w:szCs w:val="24"/>
              </w:rPr>
              <w:t>自验收合格之日起</w:t>
            </w:r>
            <w:r>
              <w:rPr>
                <w:rFonts w:ascii="宋体" w:hAnsi="宋体" w:cs="宋体"/>
                <w:sz w:val="24"/>
                <w:szCs w:val="24"/>
              </w:rPr>
              <w:t>1</w:t>
            </w:r>
            <w:r>
              <w:rPr>
                <w:rFonts w:hint="eastAsia" w:ascii="宋体" w:hAnsi="宋体" w:cs="宋体"/>
                <w:sz w:val="24"/>
                <w:szCs w:val="24"/>
              </w:rPr>
              <w:t>年。如技术规格书或厂家对单体产品有更高要求的，遵循更高要求。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8" w:hRule="atLeast"/>
        </w:trPr>
        <w:tc>
          <w:tcPr>
            <w:tcW w:w="718" w:type="dxa"/>
            <w:vAlign w:val="center"/>
          </w:tcPr>
          <w:p>
            <w:pPr>
              <w:jc w:val="center"/>
              <w:rPr>
                <w:rFonts w:ascii="宋体" w:hAnsi="宋体" w:cs="宋体"/>
                <w:sz w:val="24"/>
                <w:szCs w:val="24"/>
              </w:rPr>
            </w:pPr>
            <w:r>
              <w:rPr>
                <w:rFonts w:hint="eastAsia" w:ascii="宋体" w:hAnsi="宋体" w:cs="宋体"/>
                <w:sz w:val="24"/>
                <w:szCs w:val="24"/>
              </w:rPr>
              <w:t>4</w:t>
            </w:r>
          </w:p>
        </w:tc>
        <w:tc>
          <w:tcPr>
            <w:tcW w:w="1501" w:type="dxa"/>
            <w:vAlign w:val="center"/>
          </w:tcPr>
          <w:p>
            <w:pPr>
              <w:jc w:val="center"/>
              <w:rPr>
                <w:rFonts w:ascii="宋体" w:hAnsi="宋体" w:cs="宋体"/>
                <w:sz w:val="24"/>
                <w:szCs w:val="24"/>
              </w:rPr>
            </w:pPr>
            <w:r>
              <w:rPr>
                <w:rFonts w:hint="eastAsia" w:ascii="宋体" w:hAnsi="宋体" w:cs="宋体"/>
                <w:sz w:val="24"/>
                <w:szCs w:val="24"/>
              </w:rPr>
              <w:t>付款方式</w:t>
            </w:r>
          </w:p>
        </w:tc>
        <w:tc>
          <w:tcPr>
            <w:tcW w:w="6226" w:type="dxa"/>
            <w:vAlign w:val="center"/>
          </w:tcPr>
          <w:p>
            <w:pPr>
              <w:ind w:firstLine="480" w:firstLineChars="200"/>
              <w:contextualSpacing/>
              <w:rPr>
                <w:rFonts w:ascii="宋体" w:hAnsi="宋体" w:cs="宋体"/>
                <w:sz w:val="24"/>
                <w:szCs w:val="24"/>
              </w:rPr>
            </w:pPr>
            <w:r>
              <w:rPr>
                <w:rFonts w:hint="eastAsia" w:ascii="宋体" w:hAnsi="宋体" w:cs="宋体"/>
                <w:sz w:val="24"/>
                <w:szCs w:val="24"/>
              </w:rPr>
              <w:t>分批次付款：</w:t>
            </w:r>
          </w:p>
          <w:p>
            <w:pPr>
              <w:ind w:firstLine="480" w:firstLineChars="200"/>
              <w:contextualSpacing/>
              <w:rPr>
                <w:rFonts w:ascii="宋体" w:hAnsi="宋体" w:cs="宋体"/>
                <w:sz w:val="24"/>
                <w:szCs w:val="24"/>
              </w:rPr>
            </w:pPr>
            <w:r>
              <w:rPr>
                <w:rFonts w:hint="eastAsia" w:ascii="宋体" w:hAnsi="宋体" w:cs="宋体"/>
                <w:sz w:val="24"/>
                <w:szCs w:val="24"/>
              </w:rPr>
              <w:t>1、合同签订完后，中标人向采购人提交请款报告及等额增税专用发票，采购人收到前述材料之日起三十个日历日内向中标人支付至同总价的20%作为定金；</w:t>
            </w:r>
          </w:p>
          <w:p>
            <w:pPr>
              <w:ind w:firstLine="480" w:firstLineChars="200"/>
              <w:contextualSpacing/>
              <w:rPr>
                <w:rFonts w:ascii="宋体" w:hAnsi="宋体" w:cs="宋体"/>
                <w:sz w:val="24"/>
                <w:szCs w:val="24"/>
              </w:rPr>
            </w:pPr>
            <w:r>
              <w:rPr>
                <w:rFonts w:hint="eastAsia" w:ascii="宋体" w:hAnsi="宋体" w:cs="宋体"/>
                <w:sz w:val="24"/>
                <w:szCs w:val="24"/>
              </w:rPr>
              <w:t>2、整体项目设备完成供货后，中标人向采购人提交请款报告及等额增税专用发票，采购人收到前述材料之日起三十个日历日内向中标人支付至合同总价的70%；</w:t>
            </w:r>
          </w:p>
          <w:p>
            <w:pPr>
              <w:ind w:firstLine="480" w:firstLineChars="200"/>
              <w:contextualSpacing/>
              <w:rPr>
                <w:rFonts w:ascii="宋体" w:hAnsi="宋体" w:cs="宋体"/>
                <w:sz w:val="24"/>
                <w:szCs w:val="24"/>
              </w:rPr>
            </w:pPr>
            <w:r>
              <w:rPr>
                <w:rFonts w:hint="eastAsia" w:ascii="宋体" w:hAnsi="宋体" w:cs="宋体"/>
                <w:sz w:val="24"/>
                <w:szCs w:val="24"/>
              </w:rPr>
              <w:t>3、按照国家规定需要上牌的设备全部完成上牌并按照国家规定的大型车辆安装设备系统后采购人收到前述材料之日起三十个日历日内向中标人支付至结算总价的95%；</w:t>
            </w:r>
          </w:p>
          <w:p>
            <w:pPr>
              <w:ind w:firstLine="480" w:firstLineChars="200"/>
              <w:contextualSpacing/>
              <w:rPr>
                <w:rFonts w:ascii="宋体" w:hAnsi="宋体" w:cs="宋体"/>
                <w:sz w:val="24"/>
                <w:szCs w:val="24"/>
              </w:rPr>
            </w:pPr>
            <w:r>
              <w:rPr>
                <w:rFonts w:hint="eastAsia" w:ascii="宋体" w:hAnsi="宋体" w:cs="宋体"/>
                <w:sz w:val="24"/>
                <w:szCs w:val="24"/>
              </w:rPr>
              <w:t>4、剩余结算总价的5%为质保金，质保期满后，若中标人不存在任何违约情形的，则由中标人提交请款资料，采购人在收到请款资料核验无误之日起三十个日历日内一次性无息支付；质保期间，若中标人存在任何违约情形的，质保金采购人不予退还；</w:t>
            </w:r>
          </w:p>
          <w:p>
            <w:pPr>
              <w:ind w:firstLine="480" w:firstLineChars="200"/>
              <w:contextualSpacing/>
              <w:rPr>
                <w:rFonts w:ascii="宋体" w:hAnsi="宋体" w:cs="宋体"/>
                <w:sz w:val="24"/>
                <w:szCs w:val="24"/>
              </w:rPr>
            </w:pPr>
            <w:r>
              <w:rPr>
                <w:rFonts w:hint="eastAsia" w:ascii="宋体" w:hAnsi="宋体" w:cs="宋体"/>
                <w:sz w:val="24"/>
                <w:szCs w:val="24"/>
              </w:rPr>
              <w:t>5、中标人请款前需向采购人提供请款材料和开具合法有效等额的增值税专用发票，否则采购人有权拒绝付款。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718" w:type="dxa"/>
            <w:vAlign w:val="center"/>
          </w:tcPr>
          <w:p>
            <w:pPr>
              <w:jc w:val="center"/>
              <w:rPr>
                <w:rFonts w:ascii="宋体" w:hAnsi="宋体" w:cs="宋体"/>
                <w:sz w:val="24"/>
                <w:szCs w:val="24"/>
              </w:rPr>
            </w:pPr>
            <w:r>
              <w:rPr>
                <w:rFonts w:hint="eastAsia" w:ascii="宋体" w:hAnsi="宋体" w:cs="宋体"/>
                <w:sz w:val="24"/>
                <w:szCs w:val="24"/>
              </w:rPr>
              <w:t>5</w:t>
            </w:r>
          </w:p>
        </w:tc>
        <w:tc>
          <w:tcPr>
            <w:tcW w:w="1501" w:type="dxa"/>
            <w:vAlign w:val="center"/>
          </w:tcPr>
          <w:p>
            <w:pPr>
              <w:jc w:val="center"/>
              <w:rPr>
                <w:rFonts w:ascii="宋体" w:hAnsi="宋体" w:cs="宋体"/>
                <w:sz w:val="24"/>
                <w:szCs w:val="24"/>
              </w:rPr>
            </w:pPr>
            <w:r>
              <w:rPr>
                <w:rFonts w:hint="eastAsia" w:ascii="宋体" w:hAnsi="宋体" w:cs="宋体"/>
                <w:sz w:val="24"/>
                <w:szCs w:val="24"/>
                <w:lang w:val="zh-CN" w:bidi="zh-CN"/>
              </w:rPr>
              <w:t>验收要求</w:t>
            </w:r>
          </w:p>
        </w:tc>
        <w:tc>
          <w:tcPr>
            <w:tcW w:w="6226" w:type="dxa"/>
            <w:vAlign w:val="center"/>
          </w:tcPr>
          <w:p>
            <w:pPr>
              <w:ind w:firstLine="480" w:firstLineChars="200"/>
              <w:rPr>
                <w:rFonts w:ascii="宋体" w:hAnsi="宋体" w:cs="宋体"/>
                <w:sz w:val="24"/>
                <w:szCs w:val="24"/>
              </w:rPr>
            </w:pPr>
            <w:r>
              <w:rPr>
                <w:rFonts w:hint="eastAsia" w:ascii="宋体" w:hAnsi="宋体" w:cs="宋体"/>
                <w:sz w:val="24"/>
                <w:szCs w:val="24"/>
              </w:rPr>
              <w:t>1、法律上，通过车管所检查无误后拿到相关证书</w:t>
            </w:r>
          </w:p>
          <w:p>
            <w:pPr>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kern w:val="2"/>
                <w:sz w:val="24"/>
                <w:szCs w:val="24"/>
                <w:lang w:val="zh-CN" w:bidi="zh-CN"/>
              </w:rPr>
              <w:t>按国家及相关行业标准进行验收。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718" w:type="dxa"/>
            <w:vAlign w:val="center"/>
          </w:tcPr>
          <w:p>
            <w:pPr>
              <w:jc w:val="center"/>
              <w:rPr>
                <w:rFonts w:ascii="宋体" w:hAnsi="宋体" w:cs="宋体"/>
                <w:sz w:val="24"/>
                <w:szCs w:val="24"/>
              </w:rPr>
            </w:pPr>
            <w:r>
              <w:rPr>
                <w:rFonts w:hint="eastAsia" w:ascii="宋体" w:hAnsi="宋体" w:cs="宋体"/>
                <w:sz w:val="24"/>
                <w:szCs w:val="24"/>
              </w:rPr>
              <w:t>6</w:t>
            </w:r>
          </w:p>
        </w:tc>
        <w:tc>
          <w:tcPr>
            <w:tcW w:w="1501" w:type="dxa"/>
            <w:vAlign w:val="center"/>
          </w:tcPr>
          <w:p>
            <w:pPr>
              <w:jc w:val="center"/>
              <w:rPr>
                <w:rFonts w:ascii="宋体" w:hAnsi="宋体" w:cs="宋体"/>
                <w:sz w:val="24"/>
                <w:szCs w:val="24"/>
              </w:rPr>
            </w:pPr>
            <w:r>
              <w:rPr>
                <w:rFonts w:hint="eastAsia" w:ascii="宋体" w:hAnsi="宋体" w:cs="宋体"/>
                <w:sz w:val="24"/>
                <w:szCs w:val="24"/>
              </w:rPr>
              <w:t>售后服务要求</w:t>
            </w:r>
          </w:p>
        </w:tc>
        <w:tc>
          <w:tcPr>
            <w:tcW w:w="6226" w:type="dxa"/>
            <w:vAlign w:val="center"/>
          </w:tcPr>
          <w:p>
            <w:pPr>
              <w:ind w:firstLine="480" w:firstLineChars="200"/>
              <w:rPr>
                <w:rFonts w:ascii="宋体" w:hAnsi="宋体" w:cs="宋体"/>
                <w:sz w:val="24"/>
                <w:szCs w:val="24"/>
              </w:rPr>
            </w:pPr>
            <w:r>
              <w:rPr>
                <w:rFonts w:hint="eastAsia" w:ascii="宋体" w:hAnsi="宋体" w:cs="宋体"/>
                <w:sz w:val="24"/>
                <w:szCs w:val="24"/>
              </w:rPr>
              <w:t>接到采购人通知后0.5小时内响应，2小时内与采购人协商给出合理解决方案，具体方案是否合理按照采购人要求而定。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718" w:type="dxa"/>
            <w:vAlign w:val="center"/>
          </w:tcPr>
          <w:p>
            <w:pPr>
              <w:jc w:val="center"/>
              <w:rPr>
                <w:rFonts w:ascii="宋体" w:hAnsi="宋体" w:cs="宋体"/>
                <w:sz w:val="24"/>
                <w:szCs w:val="24"/>
              </w:rPr>
            </w:pPr>
            <w:r>
              <w:rPr>
                <w:rFonts w:hint="eastAsia" w:ascii="宋体" w:hAnsi="宋体" w:cs="宋体"/>
                <w:sz w:val="24"/>
                <w:szCs w:val="24"/>
              </w:rPr>
              <w:t>7</w:t>
            </w:r>
          </w:p>
        </w:tc>
        <w:tc>
          <w:tcPr>
            <w:tcW w:w="1501" w:type="dxa"/>
            <w:vAlign w:val="center"/>
          </w:tcPr>
          <w:p>
            <w:pPr>
              <w:jc w:val="center"/>
              <w:rPr>
                <w:rFonts w:ascii="宋体" w:hAnsi="宋体" w:cs="宋体"/>
                <w:sz w:val="24"/>
                <w:szCs w:val="24"/>
              </w:rPr>
            </w:pPr>
            <w:r>
              <w:rPr>
                <w:rFonts w:hint="eastAsia" w:ascii="宋体" w:hAnsi="宋体" w:cs="宋体"/>
                <w:sz w:val="24"/>
                <w:szCs w:val="24"/>
              </w:rPr>
              <w:t>服务地点</w:t>
            </w:r>
          </w:p>
        </w:tc>
        <w:tc>
          <w:tcPr>
            <w:tcW w:w="6226" w:type="dxa"/>
            <w:vAlign w:val="center"/>
          </w:tcPr>
          <w:p>
            <w:pPr>
              <w:ind w:firstLine="480" w:firstLineChars="200"/>
              <w:rPr>
                <w:rFonts w:ascii="宋体" w:hAnsi="宋体" w:cs="宋体"/>
                <w:sz w:val="24"/>
                <w:szCs w:val="24"/>
              </w:rPr>
            </w:pPr>
            <w:r>
              <w:rPr>
                <w:rFonts w:hint="eastAsia" w:ascii="宋体" w:hAnsi="宋体" w:cs="宋体"/>
                <w:sz w:val="24"/>
                <w:szCs w:val="24"/>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6" w:hRule="atLeast"/>
        </w:trPr>
        <w:tc>
          <w:tcPr>
            <w:tcW w:w="718" w:type="dxa"/>
            <w:vAlign w:val="center"/>
          </w:tcPr>
          <w:p>
            <w:pPr>
              <w:jc w:val="center"/>
              <w:rPr>
                <w:rFonts w:ascii="宋体" w:hAnsi="宋体" w:cs="宋体"/>
                <w:sz w:val="24"/>
                <w:szCs w:val="24"/>
              </w:rPr>
            </w:pPr>
            <w:r>
              <w:rPr>
                <w:rFonts w:hint="eastAsia" w:ascii="宋体" w:hAnsi="宋体" w:cs="宋体"/>
                <w:sz w:val="24"/>
                <w:szCs w:val="24"/>
              </w:rPr>
              <w:t>8</w:t>
            </w:r>
          </w:p>
        </w:tc>
        <w:tc>
          <w:tcPr>
            <w:tcW w:w="1501" w:type="dxa"/>
            <w:vAlign w:val="center"/>
          </w:tcPr>
          <w:p>
            <w:pPr>
              <w:jc w:val="center"/>
              <w:rPr>
                <w:rFonts w:ascii="宋体" w:hAnsi="宋体" w:cs="宋体"/>
                <w:sz w:val="24"/>
                <w:szCs w:val="24"/>
              </w:rPr>
            </w:pPr>
            <w:r>
              <w:rPr>
                <w:rFonts w:hint="eastAsia" w:ascii="宋体" w:hAnsi="宋体" w:cs="宋体"/>
                <w:sz w:val="24"/>
                <w:szCs w:val="24"/>
              </w:rPr>
              <w:t>报价要求</w:t>
            </w:r>
          </w:p>
        </w:tc>
        <w:tc>
          <w:tcPr>
            <w:tcW w:w="6226" w:type="dxa"/>
            <w:vAlign w:val="center"/>
          </w:tcPr>
          <w:p>
            <w:pPr>
              <w:pStyle w:val="11"/>
              <w:ind w:firstLine="480" w:firstLineChars="200"/>
              <w:rPr>
                <w:rFonts w:ascii="宋体" w:hAnsi="宋体" w:cs="宋体"/>
                <w:sz w:val="24"/>
                <w:szCs w:val="24"/>
              </w:rPr>
            </w:pPr>
            <w:r>
              <w:rPr>
                <w:rFonts w:hint="eastAsia" w:ascii="宋体" w:hAnsi="宋体" w:cs="宋体"/>
                <w:sz w:val="24"/>
                <w:szCs w:val="24"/>
              </w:rPr>
              <w:t>投标报价应包括完成本次采购所有供货内容的全部费，包括但不限于货物及所需附件设备费、车身价、保险费（包括但不限于车辆交强险、第三者100万加不计免赔）、税金及所有的上牌费用、运输费（含运输至采购人指定交货地点的运输费）、安装、调试、检验、技术服务、培训以及为所有机动车辆（本项目所采购的运输设备）配备安装GPS定位跟踪动态监控系统和行车记录仪等费用，即采用大包干形式交付采购人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1" w:hRule="atLeast"/>
        </w:trPr>
        <w:tc>
          <w:tcPr>
            <w:tcW w:w="718" w:type="dxa"/>
            <w:vAlign w:val="center"/>
          </w:tcPr>
          <w:p>
            <w:pPr>
              <w:jc w:val="center"/>
              <w:rPr>
                <w:rFonts w:ascii="宋体" w:hAnsi="宋体" w:cs="宋体"/>
                <w:sz w:val="24"/>
                <w:szCs w:val="24"/>
              </w:rPr>
            </w:pPr>
            <w:r>
              <w:rPr>
                <w:rFonts w:hint="eastAsia" w:ascii="宋体" w:hAnsi="宋体" w:cs="宋体"/>
                <w:sz w:val="24"/>
                <w:szCs w:val="24"/>
              </w:rPr>
              <w:t>9</w:t>
            </w:r>
          </w:p>
        </w:tc>
        <w:tc>
          <w:tcPr>
            <w:tcW w:w="1501" w:type="dxa"/>
            <w:vAlign w:val="center"/>
          </w:tcPr>
          <w:p>
            <w:pPr>
              <w:jc w:val="center"/>
              <w:rPr>
                <w:rFonts w:ascii="宋体" w:hAnsi="宋体" w:cs="宋体"/>
                <w:sz w:val="24"/>
                <w:szCs w:val="24"/>
              </w:rPr>
            </w:pPr>
            <w:r>
              <w:rPr>
                <w:rFonts w:hint="eastAsia" w:ascii="宋体" w:hAnsi="宋体" w:cs="宋体"/>
                <w:sz w:val="24"/>
                <w:szCs w:val="24"/>
              </w:rPr>
              <w:t>★投标有效期</w:t>
            </w:r>
          </w:p>
        </w:tc>
        <w:tc>
          <w:tcPr>
            <w:tcW w:w="6226" w:type="dxa"/>
            <w:vAlign w:val="center"/>
          </w:tcPr>
          <w:p>
            <w:pPr>
              <w:ind w:firstLine="480" w:firstLineChars="200"/>
              <w:rPr>
                <w:rFonts w:ascii="宋体" w:hAnsi="宋体" w:cs="宋体"/>
                <w:sz w:val="24"/>
                <w:szCs w:val="24"/>
              </w:rPr>
            </w:pPr>
            <w:r>
              <w:rPr>
                <w:rFonts w:hint="eastAsia" w:ascii="宋体" w:hAnsi="宋体" w:cs="宋体"/>
                <w:sz w:val="24"/>
                <w:szCs w:val="24"/>
              </w:rPr>
              <w:t>自开标之日起90天。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1" w:hRule="atLeast"/>
        </w:trPr>
        <w:tc>
          <w:tcPr>
            <w:tcW w:w="718" w:type="dxa"/>
            <w:vAlign w:val="center"/>
          </w:tcPr>
          <w:p>
            <w:pPr>
              <w:jc w:val="center"/>
              <w:rPr>
                <w:rFonts w:ascii="宋体" w:hAnsi="宋体" w:cs="宋体"/>
                <w:sz w:val="24"/>
                <w:szCs w:val="24"/>
              </w:rPr>
            </w:pPr>
            <w:r>
              <w:rPr>
                <w:rFonts w:hint="eastAsia" w:ascii="宋体" w:hAnsi="宋体" w:cs="宋体"/>
                <w:sz w:val="24"/>
                <w:szCs w:val="24"/>
              </w:rPr>
              <w:t>10</w:t>
            </w:r>
          </w:p>
        </w:tc>
        <w:tc>
          <w:tcPr>
            <w:tcW w:w="1501" w:type="dxa"/>
            <w:vAlign w:val="center"/>
          </w:tcPr>
          <w:p>
            <w:pPr>
              <w:jc w:val="center"/>
              <w:rPr>
                <w:rFonts w:ascii="宋体" w:hAnsi="宋体" w:cs="宋体"/>
                <w:sz w:val="24"/>
                <w:szCs w:val="24"/>
              </w:rPr>
            </w:pPr>
            <w:r>
              <w:rPr>
                <w:rFonts w:hint="eastAsia" w:ascii="宋体" w:hAnsi="宋体" w:cs="宋体"/>
                <w:sz w:val="24"/>
                <w:szCs w:val="24"/>
              </w:rPr>
              <w:t>合同条款</w:t>
            </w:r>
          </w:p>
        </w:tc>
        <w:tc>
          <w:tcPr>
            <w:tcW w:w="6226" w:type="dxa"/>
            <w:vAlign w:val="center"/>
          </w:tcPr>
          <w:p>
            <w:pPr>
              <w:ind w:firstLine="480" w:firstLineChars="200"/>
              <w:rPr>
                <w:rFonts w:ascii="宋体" w:hAnsi="宋体" w:cs="宋体"/>
                <w:sz w:val="24"/>
                <w:szCs w:val="24"/>
              </w:rPr>
            </w:pPr>
            <w:r>
              <w:rPr>
                <w:rFonts w:hint="eastAsia" w:ascii="宋体" w:hAnsi="宋体" w:cs="宋体"/>
                <w:sz w:val="24"/>
                <w:szCs w:val="24"/>
              </w:rPr>
              <w:t>投标人实质响应合同各条款。</w:t>
            </w:r>
          </w:p>
        </w:tc>
      </w:tr>
    </w:tbl>
    <w:p>
      <w:pPr>
        <w:rPr>
          <w:rFonts w:ascii="宋体" w:hAnsi="宋体" w:cs="宋体"/>
          <w:sz w:val="24"/>
          <w:szCs w:val="24"/>
        </w:rPr>
      </w:pPr>
    </w:p>
    <w:p>
      <w:pPr>
        <w:pStyle w:val="2"/>
        <w:rPr>
          <w:szCs w:val="24"/>
          <w:lang w:val="en-US"/>
        </w:rPr>
      </w:pPr>
    </w:p>
    <w:p>
      <w:pPr>
        <w:rPr>
          <w:rFonts w:ascii="宋体" w:hAnsi="宋体" w:cs="宋体"/>
          <w:sz w:val="24"/>
          <w:szCs w:val="24"/>
        </w:rPr>
      </w:pPr>
    </w:p>
    <w:p>
      <w:pPr>
        <w:rPr>
          <w:rFonts w:ascii="宋体" w:hAnsi="宋体" w:cs="宋体"/>
          <w:sz w:val="24"/>
          <w:szCs w:val="24"/>
        </w:rPr>
      </w:pPr>
    </w:p>
    <w:p>
      <w:pPr>
        <w:pStyle w:val="2"/>
        <w:rPr>
          <w:szCs w:val="24"/>
        </w:rPr>
      </w:pPr>
    </w:p>
    <w:p>
      <w:pPr>
        <w:pStyle w:val="12"/>
        <w:ind w:firstLine="205"/>
        <w:rPr>
          <w:rFonts w:cs="宋体"/>
          <w:sz w:val="24"/>
          <w:szCs w:val="24"/>
        </w:rPr>
      </w:pPr>
    </w:p>
    <w:p>
      <w:pPr>
        <w:pStyle w:val="12"/>
        <w:ind w:firstLine="205"/>
        <w:rPr>
          <w:rFonts w:cs="宋体"/>
          <w:sz w:val="24"/>
          <w:szCs w:val="24"/>
        </w:rPr>
      </w:pPr>
    </w:p>
    <w:p>
      <w:pPr>
        <w:pStyle w:val="12"/>
        <w:ind w:firstLine="205"/>
        <w:rPr>
          <w:rFonts w:cs="宋体"/>
          <w:sz w:val="24"/>
          <w:szCs w:val="24"/>
        </w:rPr>
      </w:pPr>
    </w:p>
    <w:p>
      <w:pPr>
        <w:pStyle w:val="12"/>
        <w:ind w:firstLine="205"/>
        <w:rPr>
          <w:rFonts w:cs="宋体"/>
          <w:sz w:val="24"/>
          <w:szCs w:val="24"/>
        </w:rPr>
      </w:pPr>
    </w:p>
    <w:p>
      <w:pPr>
        <w:rPr>
          <w:rFonts w:ascii="宋体" w:hAnsi="宋体" w:cs="宋体"/>
          <w:sz w:val="24"/>
          <w:szCs w:val="24"/>
        </w:rPr>
      </w:pPr>
      <w:bookmarkStart w:id="16" w:name="_Toc6584"/>
      <w:bookmarkStart w:id="17" w:name="_Toc19316"/>
      <w:bookmarkStart w:id="18" w:name="_Toc28100"/>
      <w:r>
        <w:rPr>
          <w:rFonts w:hint="eastAsia" w:ascii="宋体" w:hAnsi="宋体" w:cs="宋体"/>
          <w:sz w:val="24"/>
          <w:szCs w:val="24"/>
        </w:rPr>
        <w:br w:type="page"/>
      </w:r>
    </w:p>
    <w:p>
      <w:pPr>
        <w:pStyle w:val="8"/>
        <w:spacing w:before="0" w:after="0" w:line="360" w:lineRule="auto"/>
        <w:jc w:val="center"/>
        <w:rPr>
          <w:rFonts w:ascii="宋体" w:hAnsi="宋体" w:cs="宋体"/>
          <w:sz w:val="24"/>
          <w:szCs w:val="24"/>
        </w:rPr>
      </w:pPr>
      <w:r>
        <w:rPr>
          <w:rFonts w:hint="eastAsia" w:ascii="宋体" w:hAnsi="宋体" w:cs="宋体"/>
          <w:sz w:val="24"/>
          <w:szCs w:val="24"/>
        </w:rPr>
        <w:t>第二章 技术需求书</w:t>
      </w:r>
      <w:bookmarkEnd w:id="16"/>
      <w:bookmarkEnd w:id="17"/>
      <w:bookmarkEnd w:id="18"/>
    </w:p>
    <w:bookmarkEnd w:id="11"/>
    <w:p>
      <w:pPr>
        <w:pStyle w:val="9"/>
        <w:rPr>
          <w:rFonts w:ascii="宋体" w:hAnsi="宋体" w:cs="宋体"/>
          <w:szCs w:val="24"/>
        </w:rPr>
      </w:pPr>
      <w:bookmarkStart w:id="19" w:name="_Toc8727"/>
      <w:bookmarkStart w:id="20" w:name="_Toc24171"/>
      <w:r>
        <w:rPr>
          <w:rFonts w:hint="eastAsia" w:ascii="宋体" w:hAnsi="宋体" w:cs="宋体"/>
          <w:szCs w:val="24"/>
        </w:rPr>
        <w:t>一、项目清单</w:t>
      </w:r>
      <w:bookmarkEnd w:id="19"/>
      <w:bookmarkEnd w:id="20"/>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8"/>
        <w:gridCol w:w="2093"/>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8" w:type="dxa"/>
            <w:vAlign w:val="center"/>
          </w:tcPr>
          <w:p>
            <w:pPr>
              <w:jc w:val="center"/>
              <w:textAlignment w:val="center"/>
              <w:rPr>
                <w:rFonts w:ascii="宋体" w:hAnsi="宋体" w:cs="宋体"/>
                <w:sz w:val="24"/>
                <w:szCs w:val="24"/>
              </w:rPr>
            </w:pPr>
            <w:r>
              <w:rPr>
                <w:rFonts w:hint="eastAsia" w:ascii="宋体" w:hAnsi="宋体" w:cs="宋体"/>
                <w:b/>
                <w:bCs/>
                <w:sz w:val="24"/>
                <w:szCs w:val="24"/>
              </w:rPr>
              <w:t>设备名称</w:t>
            </w:r>
          </w:p>
        </w:tc>
        <w:tc>
          <w:tcPr>
            <w:tcW w:w="2093" w:type="dxa"/>
            <w:vAlign w:val="center"/>
          </w:tcPr>
          <w:p>
            <w:pPr>
              <w:jc w:val="center"/>
              <w:textAlignment w:val="center"/>
              <w:rPr>
                <w:rFonts w:ascii="宋体" w:hAnsi="宋体" w:cs="宋体"/>
                <w:sz w:val="24"/>
                <w:szCs w:val="24"/>
              </w:rPr>
            </w:pPr>
            <w:r>
              <w:rPr>
                <w:rFonts w:hint="eastAsia" w:ascii="宋体" w:hAnsi="宋体" w:cs="宋体"/>
                <w:b/>
                <w:bCs/>
                <w:sz w:val="24"/>
                <w:szCs w:val="24"/>
              </w:rPr>
              <w:t>单位</w:t>
            </w:r>
          </w:p>
        </w:tc>
        <w:tc>
          <w:tcPr>
            <w:tcW w:w="2841" w:type="dxa"/>
            <w:vAlign w:val="center"/>
          </w:tcPr>
          <w:p>
            <w:pPr>
              <w:jc w:val="center"/>
              <w:textAlignment w:val="center"/>
              <w:rPr>
                <w:rFonts w:ascii="宋体" w:hAnsi="宋体" w:cs="宋体"/>
                <w:sz w:val="24"/>
                <w:szCs w:val="24"/>
              </w:rPr>
            </w:pPr>
            <w:r>
              <w:rPr>
                <w:rFonts w:hint="eastAsia" w:ascii="宋体" w:hAnsi="宋体" w:cs="宋体"/>
                <w:b/>
                <w:bCs/>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3"/>
            <w:vAlign w:val="center"/>
          </w:tcPr>
          <w:p>
            <w:pPr>
              <w:jc w:val="center"/>
              <w:textAlignment w:val="center"/>
              <w:rPr>
                <w:rFonts w:ascii="宋体" w:hAnsi="宋体" w:cs="宋体"/>
                <w:b/>
                <w:bCs/>
                <w:sz w:val="24"/>
                <w:szCs w:val="24"/>
              </w:rPr>
            </w:pPr>
            <w:r>
              <w:rPr>
                <w:rFonts w:hint="eastAsia" w:ascii="宋体" w:hAnsi="宋体" w:cs="宋体"/>
                <w:b/>
                <w:bCs/>
                <w:sz w:val="24"/>
                <w:szCs w:val="24"/>
              </w:rPr>
              <w:t>大型电动车辆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8" w:type="dxa"/>
            <w:vAlign w:val="center"/>
          </w:tcPr>
          <w:p>
            <w:pPr>
              <w:jc w:val="center"/>
              <w:textAlignment w:val="center"/>
              <w:rPr>
                <w:rFonts w:ascii="宋体" w:hAnsi="宋体" w:cs="宋体"/>
                <w:sz w:val="24"/>
                <w:szCs w:val="24"/>
              </w:rPr>
            </w:pPr>
            <w:r>
              <w:rPr>
                <w:rFonts w:hint="eastAsia" w:ascii="宋体" w:hAnsi="宋体" w:cs="宋体"/>
                <w:sz w:val="24"/>
                <w:szCs w:val="24"/>
              </w:rPr>
              <w:t>10吨电动湿式扫路车（高压）</w:t>
            </w:r>
          </w:p>
        </w:tc>
        <w:tc>
          <w:tcPr>
            <w:tcW w:w="2093" w:type="dxa"/>
            <w:vAlign w:val="center"/>
          </w:tcPr>
          <w:p>
            <w:pPr>
              <w:jc w:val="center"/>
              <w:textAlignment w:val="center"/>
              <w:rPr>
                <w:rFonts w:ascii="宋体" w:hAnsi="宋体" w:cs="宋体"/>
                <w:sz w:val="24"/>
                <w:szCs w:val="24"/>
              </w:rPr>
            </w:pPr>
            <w:r>
              <w:rPr>
                <w:rFonts w:hint="eastAsia" w:ascii="宋体" w:hAnsi="宋体" w:cs="宋体"/>
                <w:sz w:val="24"/>
                <w:szCs w:val="24"/>
              </w:rPr>
              <w:t>辆</w:t>
            </w:r>
          </w:p>
        </w:tc>
        <w:tc>
          <w:tcPr>
            <w:tcW w:w="2841" w:type="dxa"/>
            <w:vAlign w:val="center"/>
          </w:tcPr>
          <w:p>
            <w:pPr>
              <w:jc w:val="center"/>
              <w:textAlignment w:val="center"/>
              <w:rPr>
                <w:rFonts w:ascii="宋体" w:hAnsi="宋体" w:cs="宋体"/>
                <w:sz w:val="24"/>
                <w:szCs w:val="24"/>
              </w:rPr>
            </w:pPr>
            <w:r>
              <w:rPr>
                <w:rFonts w:hint="eastAsia" w:ascii="宋体" w:hAnsi="宋体" w:cs="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8" w:type="dxa"/>
            <w:vAlign w:val="center"/>
          </w:tcPr>
          <w:p>
            <w:pPr>
              <w:jc w:val="center"/>
              <w:textAlignment w:val="center"/>
              <w:rPr>
                <w:rFonts w:ascii="宋体" w:hAnsi="宋体" w:cs="宋体"/>
                <w:sz w:val="24"/>
                <w:szCs w:val="24"/>
              </w:rPr>
            </w:pPr>
            <w:r>
              <w:rPr>
                <w:rFonts w:hint="eastAsia" w:ascii="宋体" w:hAnsi="宋体" w:cs="宋体"/>
                <w:sz w:val="24"/>
                <w:szCs w:val="24"/>
              </w:rPr>
              <w:t>5吨高压洒水车</w:t>
            </w:r>
          </w:p>
        </w:tc>
        <w:tc>
          <w:tcPr>
            <w:tcW w:w="2093" w:type="dxa"/>
            <w:vAlign w:val="center"/>
          </w:tcPr>
          <w:p>
            <w:pPr>
              <w:jc w:val="center"/>
              <w:textAlignment w:val="center"/>
              <w:rPr>
                <w:rFonts w:ascii="宋体" w:hAnsi="宋体" w:cs="宋体"/>
                <w:sz w:val="24"/>
                <w:szCs w:val="24"/>
              </w:rPr>
            </w:pPr>
            <w:r>
              <w:rPr>
                <w:rFonts w:hint="eastAsia" w:ascii="宋体" w:hAnsi="宋体" w:cs="宋体"/>
                <w:sz w:val="24"/>
                <w:szCs w:val="24"/>
              </w:rPr>
              <w:t>辆</w:t>
            </w:r>
          </w:p>
        </w:tc>
        <w:tc>
          <w:tcPr>
            <w:tcW w:w="2841" w:type="dxa"/>
            <w:vAlign w:val="center"/>
          </w:tcPr>
          <w:p>
            <w:pPr>
              <w:jc w:val="center"/>
              <w:textAlignment w:val="center"/>
              <w:rPr>
                <w:rFonts w:ascii="宋体" w:hAnsi="宋体" w:cs="宋体"/>
                <w:sz w:val="24"/>
                <w:szCs w:val="24"/>
              </w:rPr>
            </w:pPr>
            <w:r>
              <w:rPr>
                <w:rFonts w:hint="eastAsia" w:ascii="宋体"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8" w:type="dxa"/>
            <w:vAlign w:val="center"/>
          </w:tcPr>
          <w:p>
            <w:pPr>
              <w:jc w:val="center"/>
              <w:textAlignment w:val="center"/>
              <w:rPr>
                <w:rFonts w:ascii="宋体" w:hAnsi="宋体" w:cs="宋体"/>
                <w:sz w:val="24"/>
                <w:szCs w:val="24"/>
              </w:rPr>
            </w:pPr>
            <w:r>
              <w:rPr>
                <w:rFonts w:hint="eastAsia" w:ascii="宋体" w:hAnsi="宋体" w:cs="宋体"/>
                <w:sz w:val="24"/>
                <w:szCs w:val="24"/>
              </w:rPr>
              <w:t>18吨高压洒水车</w:t>
            </w:r>
          </w:p>
        </w:tc>
        <w:tc>
          <w:tcPr>
            <w:tcW w:w="2093" w:type="dxa"/>
            <w:vAlign w:val="center"/>
          </w:tcPr>
          <w:p>
            <w:pPr>
              <w:jc w:val="center"/>
              <w:textAlignment w:val="center"/>
              <w:rPr>
                <w:rFonts w:ascii="宋体" w:hAnsi="宋体" w:cs="宋体"/>
                <w:sz w:val="24"/>
                <w:szCs w:val="24"/>
              </w:rPr>
            </w:pPr>
            <w:r>
              <w:rPr>
                <w:rFonts w:hint="eastAsia" w:ascii="宋体" w:hAnsi="宋体" w:cs="宋体"/>
                <w:sz w:val="24"/>
                <w:szCs w:val="24"/>
              </w:rPr>
              <w:t>辆</w:t>
            </w:r>
          </w:p>
        </w:tc>
        <w:tc>
          <w:tcPr>
            <w:tcW w:w="2841" w:type="dxa"/>
            <w:vAlign w:val="center"/>
          </w:tcPr>
          <w:p>
            <w:pPr>
              <w:jc w:val="center"/>
              <w:textAlignment w:val="center"/>
              <w:rPr>
                <w:rFonts w:ascii="宋体" w:hAnsi="宋体" w:cs="宋体"/>
                <w:sz w:val="24"/>
                <w:szCs w:val="24"/>
              </w:rPr>
            </w:pPr>
            <w:r>
              <w:rPr>
                <w:rFonts w:hint="eastAsia" w:ascii="宋体" w:hAnsi="宋体" w:cs="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8" w:type="dxa"/>
            <w:vAlign w:val="center"/>
          </w:tcPr>
          <w:p>
            <w:pPr>
              <w:jc w:val="center"/>
              <w:textAlignment w:val="center"/>
              <w:rPr>
                <w:rFonts w:ascii="宋体" w:hAnsi="宋体" w:cs="宋体"/>
                <w:sz w:val="24"/>
                <w:szCs w:val="24"/>
              </w:rPr>
            </w:pPr>
            <w:r>
              <w:rPr>
                <w:rFonts w:hint="eastAsia" w:ascii="宋体" w:hAnsi="宋体" w:cs="宋体"/>
                <w:sz w:val="24"/>
                <w:szCs w:val="24"/>
              </w:rPr>
              <w:t>18吨抑尘车</w:t>
            </w:r>
          </w:p>
        </w:tc>
        <w:tc>
          <w:tcPr>
            <w:tcW w:w="2093" w:type="dxa"/>
            <w:vAlign w:val="center"/>
          </w:tcPr>
          <w:p>
            <w:pPr>
              <w:jc w:val="center"/>
              <w:textAlignment w:val="center"/>
              <w:rPr>
                <w:rFonts w:ascii="宋体" w:hAnsi="宋体" w:cs="宋体"/>
                <w:sz w:val="24"/>
                <w:szCs w:val="24"/>
              </w:rPr>
            </w:pPr>
            <w:r>
              <w:rPr>
                <w:rFonts w:hint="eastAsia" w:ascii="宋体" w:hAnsi="宋体" w:cs="宋体"/>
                <w:sz w:val="24"/>
                <w:szCs w:val="24"/>
              </w:rPr>
              <w:t>辆</w:t>
            </w:r>
          </w:p>
        </w:tc>
        <w:tc>
          <w:tcPr>
            <w:tcW w:w="2841" w:type="dxa"/>
            <w:vAlign w:val="center"/>
          </w:tcPr>
          <w:p>
            <w:pPr>
              <w:jc w:val="center"/>
              <w:textAlignment w:val="center"/>
              <w:rPr>
                <w:rFonts w:ascii="宋体" w:hAnsi="宋体" w:cs="宋体"/>
                <w:sz w:val="24"/>
                <w:szCs w:val="24"/>
              </w:rPr>
            </w:pPr>
            <w:r>
              <w:rPr>
                <w:rFonts w:hint="eastAsia" w:ascii="宋体"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8" w:type="dxa"/>
            <w:vAlign w:val="center"/>
          </w:tcPr>
          <w:p>
            <w:pPr>
              <w:jc w:val="center"/>
              <w:textAlignment w:val="center"/>
              <w:rPr>
                <w:rFonts w:ascii="宋体" w:hAnsi="宋体" w:cs="宋体"/>
                <w:sz w:val="24"/>
                <w:szCs w:val="24"/>
              </w:rPr>
            </w:pPr>
            <w:r>
              <w:rPr>
                <w:rFonts w:hint="eastAsia" w:ascii="宋体" w:hAnsi="宋体" w:cs="宋体"/>
                <w:sz w:val="24"/>
                <w:szCs w:val="24"/>
              </w:rPr>
              <w:t>4吨纯电动洗扫车（高压）</w:t>
            </w:r>
          </w:p>
        </w:tc>
        <w:tc>
          <w:tcPr>
            <w:tcW w:w="2093" w:type="dxa"/>
            <w:vAlign w:val="center"/>
          </w:tcPr>
          <w:p>
            <w:pPr>
              <w:jc w:val="center"/>
              <w:textAlignment w:val="center"/>
              <w:rPr>
                <w:rFonts w:ascii="宋体" w:hAnsi="宋体" w:cs="宋体"/>
                <w:sz w:val="24"/>
                <w:szCs w:val="24"/>
              </w:rPr>
            </w:pPr>
            <w:r>
              <w:rPr>
                <w:rFonts w:hint="eastAsia" w:ascii="宋体" w:hAnsi="宋体" w:cs="宋体"/>
                <w:sz w:val="24"/>
                <w:szCs w:val="24"/>
              </w:rPr>
              <w:t>辆</w:t>
            </w:r>
          </w:p>
        </w:tc>
        <w:tc>
          <w:tcPr>
            <w:tcW w:w="2841" w:type="dxa"/>
            <w:vAlign w:val="center"/>
          </w:tcPr>
          <w:p>
            <w:pPr>
              <w:jc w:val="center"/>
              <w:textAlignment w:val="center"/>
              <w:rPr>
                <w:rFonts w:ascii="宋体" w:hAnsi="宋体" w:cs="宋体"/>
                <w:sz w:val="24"/>
                <w:szCs w:val="24"/>
              </w:rPr>
            </w:pPr>
            <w:r>
              <w:rPr>
                <w:rFonts w:hint="eastAsia" w:ascii="宋体"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8" w:type="dxa"/>
            <w:vAlign w:val="center"/>
          </w:tcPr>
          <w:p>
            <w:pPr>
              <w:jc w:val="center"/>
              <w:textAlignment w:val="center"/>
              <w:rPr>
                <w:rFonts w:ascii="宋体" w:hAnsi="宋体" w:cs="宋体"/>
                <w:sz w:val="24"/>
                <w:szCs w:val="24"/>
              </w:rPr>
            </w:pPr>
            <w:r>
              <w:rPr>
                <w:rFonts w:hint="eastAsia" w:ascii="宋体" w:hAnsi="宋体" w:cs="宋体"/>
                <w:sz w:val="24"/>
                <w:szCs w:val="24"/>
              </w:rPr>
              <w:t>电动扫路车</w:t>
            </w:r>
          </w:p>
        </w:tc>
        <w:tc>
          <w:tcPr>
            <w:tcW w:w="2093" w:type="dxa"/>
            <w:vAlign w:val="center"/>
          </w:tcPr>
          <w:p>
            <w:pPr>
              <w:jc w:val="center"/>
              <w:textAlignment w:val="center"/>
              <w:rPr>
                <w:rFonts w:ascii="宋体" w:hAnsi="宋体" w:cs="宋体"/>
                <w:sz w:val="24"/>
                <w:szCs w:val="24"/>
              </w:rPr>
            </w:pPr>
            <w:r>
              <w:rPr>
                <w:rFonts w:hint="eastAsia" w:ascii="宋体" w:hAnsi="宋体" w:cs="宋体"/>
                <w:sz w:val="24"/>
                <w:szCs w:val="24"/>
              </w:rPr>
              <w:t>辆</w:t>
            </w:r>
          </w:p>
        </w:tc>
        <w:tc>
          <w:tcPr>
            <w:tcW w:w="2841" w:type="dxa"/>
            <w:vAlign w:val="center"/>
          </w:tcPr>
          <w:p>
            <w:pPr>
              <w:jc w:val="center"/>
              <w:textAlignment w:val="center"/>
              <w:rPr>
                <w:rFonts w:ascii="宋体" w:hAnsi="宋体" w:cs="宋体"/>
                <w:sz w:val="24"/>
                <w:szCs w:val="24"/>
              </w:rPr>
            </w:pPr>
            <w:r>
              <w:rPr>
                <w:rFonts w:hint="eastAsia" w:ascii="宋体"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8" w:type="dxa"/>
            <w:vAlign w:val="center"/>
          </w:tcPr>
          <w:p>
            <w:pPr>
              <w:jc w:val="center"/>
              <w:textAlignment w:val="center"/>
              <w:rPr>
                <w:rFonts w:ascii="宋体" w:hAnsi="宋体" w:cs="宋体"/>
                <w:sz w:val="24"/>
                <w:szCs w:val="24"/>
              </w:rPr>
            </w:pPr>
            <w:r>
              <w:rPr>
                <w:rFonts w:hint="eastAsia" w:ascii="宋体" w:hAnsi="宋体" w:cs="宋体"/>
                <w:sz w:val="24"/>
                <w:szCs w:val="24"/>
              </w:rPr>
              <w:t>垃圾分类收集车</w:t>
            </w:r>
          </w:p>
        </w:tc>
        <w:tc>
          <w:tcPr>
            <w:tcW w:w="2093" w:type="dxa"/>
            <w:vAlign w:val="center"/>
          </w:tcPr>
          <w:p>
            <w:pPr>
              <w:jc w:val="center"/>
              <w:textAlignment w:val="center"/>
              <w:rPr>
                <w:rFonts w:ascii="宋体" w:hAnsi="宋体" w:cs="宋体"/>
                <w:sz w:val="24"/>
                <w:szCs w:val="24"/>
              </w:rPr>
            </w:pPr>
            <w:r>
              <w:rPr>
                <w:rFonts w:hint="eastAsia" w:ascii="宋体" w:hAnsi="宋体" w:cs="宋体"/>
                <w:sz w:val="24"/>
                <w:szCs w:val="24"/>
              </w:rPr>
              <w:t>台</w:t>
            </w:r>
          </w:p>
        </w:tc>
        <w:tc>
          <w:tcPr>
            <w:tcW w:w="2841" w:type="dxa"/>
            <w:vAlign w:val="center"/>
          </w:tcPr>
          <w:p>
            <w:pPr>
              <w:jc w:val="center"/>
              <w:textAlignment w:val="center"/>
              <w:rPr>
                <w:rFonts w:ascii="宋体" w:hAnsi="宋体" w:cs="宋体"/>
                <w:sz w:val="24"/>
                <w:szCs w:val="24"/>
              </w:rPr>
            </w:pPr>
            <w:r>
              <w:rPr>
                <w:rFonts w:hint="eastAsia" w:ascii="宋体" w:hAnsi="宋体" w:cs="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3"/>
            <w:vAlign w:val="center"/>
          </w:tcPr>
          <w:p>
            <w:pPr>
              <w:jc w:val="center"/>
              <w:textAlignment w:val="center"/>
              <w:rPr>
                <w:rFonts w:ascii="宋体" w:hAnsi="宋体" w:cs="宋体"/>
                <w:sz w:val="24"/>
                <w:szCs w:val="24"/>
              </w:rPr>
            </w:pPr>
            <w:r>
              <w:rPr>
                <w:rFonts w:hint="eastAsia" w:ascii="宋体" w:hAnsi="宋体" w:cs="宋体"/>
                <w:b/>
                <w:bCs/>
                <w:sz w:val="24"/>
                <w:szCs w:val="24"/>
              </w:rPr>
              <w:t>中小型车辆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8" w:type="dxa"/>
            <w:vAlign w:val="center"/>
          </w:tcPr>
          <w:p>
            <w:pPr>
              <w:jc w:val="center"/>
              <w:textAlignment w:val="center"/>
              <w:rPr>
                <w:rFonts w:ascii="宋体" w:hAnsi="宋体" w:cs="宋体"/>
                <w:sz w:val="24"/>
                <w:szCs w:val="24"/>
              </w:rPr>
            </w:pPr>
            <w:r>
              <w:rPr>
                <w:rFonts w:hint="eastAsia" w:ascii="宋体" w:hAnsi="宋体" w:cs="宋体"/>
                <w:sz w:val="24"/>
                <w:szCs w:val="24"/>
              </w:rPr>
              <w:t>电动三轮高压清洗车（配备油耗高压清洗机）</w:t>
            </w:r>
          </w:p>
        </w:tc>
        <w:tc>
          <w:tcPr>
            <w:tcW w:w="2093" w:type="dxa"/>
            <w:vAlign w:val="center"/>
          </w:tcPr>
          <w:p>
            <w:pPr>
              <w:jc w:val="center"/>
              <w:textAlignment w:val="center"/>
              <w:rPr>
                <w:rFonts w:ascii="宋体" w:hAnsi="宋体" w:cs="宋体"/>
                <w:sz w:val="24"/>
                <w:szCs w:val="24"/>
              </w:rPr>
            </w:pPr>
            <w:r>
              <w:rPr>
                <w:rFonts w:hint="eastAsia" w:ascii="宋体" w:hAnsi="宋体" w:cs="宋体"/>
                <w:sz w:val="24"/>
                <w:szCs w:val="24"/>
              </w:rPr>
              <w:t>台</w:t>
            </w:r>
          </w:p>
        </w:tc>
        <w:tc>
          <w:tcPr>
            <w:tcW w:w="2841" w:type="dxa"/>
            <w:vAlign w:val="center"/>
          </w:tcPr>
          <w:p>
            <w:pPr>
              <w:jc w:val="center"/>
              <w:textAlignment w:val="center"/>
              <w:rPr>
                <w:rFonts w:ascii="宋体" w:hAnsi="宋体" w:cs="宋体"/>
                <w:sz w:val="24"/>
                <w:szCs w:val="24"/>
              </w:rPr>
            </w:pPr>
            <w:r>
              <w:rPr>
                <w:rFonts w:hint="eastAsia" w:ascii="宋体" w:hAnsi="宋体" w:cs="宋体"/>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8" w:type="dxa"/>
            <w:vAlign w:val="center"/>
          </w:tcPr>
          <w:p>
            <w:pPr>
              <w:jc w:val="center"/>
              <w:textAlignment w:val="center"/>
              <w:rPr>
                <w:rFonts w:ascii="宋体" w:hAnsi="宋体" w:cs="宋体"/>
                <w:sz w:val="24"/>
                <w:szCs w:val="24"/>
              </w:rPr>
            </w:pPr>
            <w:r>
              <w:rPr>
                <w:rFonts w:hint="eastAsia" w:ascii="宋体" w:hAnsi="宋体" w:cs="宋体"/>
                <w:sz w:val="24"/>
                <w:szCs w:val="24"/>
              </w:rPr>
              <w:t>电动三轮保洁车密闭容积1000L</w:t>
            </w:r>
          </w:p>
        </w:tc>
        <w:tc>
          <w:tcPr>
            <w:tcW w:w="2093" w:type="dxa"/>
            <w:vAlign w:val="center"/>
          </w:tcPr>
          <w:p>
            <w:pPr>
              <w:jc w:val="center"/>
              <w:textAlignment w:val="center"/>
              <w:rPr>
                <w:rFonts w:ascii="宋体" w:hAnsi="宋体" w:cs="宋体"/>
                <w:sz w:val="24"/>
                <w:szCs w:val="24"/>
              </w:rPr>
            </w:pPr>
            <w:r>
              <w:rPr>
                <w:rFonts w:hint="eastAsia" w:ascii="宋体" w:hAnsi="宋体" w:cs="宋体"/>
                <w:sz w:val="24"/>
                <w:szCs w:val="24"/>
              </w:rPr>
              <w:t>辆</w:t>
            </w:r>
          </w:p>
        </w:tc>
        <w:tc>
          <w:tcPr>
            <w:tcW w:w="2841" w:type="dxa"/>
            <w:vAlign w:val="center"/>
          </w:tcPr>
          <w:p>
            <w:pPr>
              <w:jc w:val="center"/>
              <w:textAlignment w:val="center"/>
              <w:rPr>
                <w:rFonts w:ascii="宋体" w:hAnsi="宋体" w:cs="宋体"/>
                <w:sz w:val="24"/>
                <w:szCs w:val="24"/>
              </w:rPr>
            </w:pPr>
            <w:r>
              <w:rPr>
                <w:rFonts w:hint="eastAsia" w:ascii="宋体" w:hAnsi="宋体" w:cs="宋体"/>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8" w:type="dxa"/>
            <w:vAlign w:val="center"/>
          </w:tcPr>
          <w:p>
            <w:pPr>
              <w:jc w:val="center"/>
              <w:textAlignment w:val="center"/>
              <w:rPr>
                <w:rFonts w:ascii="宋体" w:hAnsi="宋体" w:cs="宋体"/>
                <w:sz w:val="24"/>
                <w:szCs w:val="24"/>
              </w:rPr>
            </w:pPr>
            <w:r>
              <w:rPr>
                <w:rFonts w:hint="eastAsia" w:ascii="宋体" w:hAnsi="宋体" w:cs="宋体"/>
                <w:sz w:val="24"/>
                <w:szCs w:val="24"/>
              </w:rPr>
              <w:t>电动三轮快速保洁车</w:t>
            </w:r>
          </w:p>
        </w:tc>
        <w:tc>
          <w:tcPr>
            <w:tcW w:w="2093" w:type="dxa"/>
            <w:vAlign w:val="center"/>
          </w:tcPr>
          <w:p>
            <w:pPr>
              <w:jc w:val="center"/>
              <w:textAlignment w:val="center"/>
              <w:rPr>
                <w:rFonts w:ascii="宋体" w:hAnsi="宋体" w:cs="宋体"/>
                <w:sz w:val="24"/>
                <w:szCs w:val="24"/>
              </w:rPr>
            </w:pPr>
            <w:r>
              <w:rPr>
                <w:rFonts w:hint="eastAsia" w:ascii="宋体" w:hAnsi="宋体" w:cs="宋体"/>
                <w:sz w:val="24"/>
                <w:szCs w:val="24"/>
              </w:rPr>
              <w:t>辆</w:t>
            </w:r>
          </w:p>
        </w:tc>
        <w:tc>
          <w:tcPr>
            <w:tcW w:w="2841" w:type="dxa"/>
            <w:vAlign w:val="center"/>
          </w:tcPr>
          <w:p>
            <w:pPr>
              <w:jc w:val="center"/>
              <w:textAlignment w:val="center"/>
              <w:rPr>
                <w:rFonts w:ascii="宋体" w:hAnsi="宋体" w:cs="宋体"/>
                <w:sz w:val="24"/>
                <w:szCs w:val="24"/>
              </w:rPr>
            </w:pPr>
            <w:r>
              <w:rPr>
                <w:rFonts w:hint="eastAsia" w:ascii="宋体" w:hAnsi="宋体" w:cs="宋体"/>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8" w:type="dxa"/>
            <w:vAlign w:val="center"/>
          </w:tcPr>
          <w:p>
            <w:pPr>
              <w:jc w:val="center"/>
              <w:textAlignment w:val="center"/>
              <w:rPr>
                <w:rFonts w:ascii="宋体" w:hAnsi="宋体" w:cs="宋体"/>
                <w:sz w:val="24"/>
                <w:szCs w:val="24"/>
              </w:rPr>
            </w:pPr>
            <w:r>
              <w:rPr>
                <w:rFonts w:hint="eastAsia" w:ascii="宋体" w:hAnsi="宋体" w:cs="宋体"/>
                <w:sz w:val="24"/>
                <w:szCs w:val="24"/>
              </w:rPr>
              <w:t>电动三轮平板车</w:t>
            </w:r>
          </w:p>
        </w:tc>
        <w:tc>
          <w:tcPr>
            <w:tcW w:w="2093" w:type="dxa"/>
            <w:vAlign w:val="center"/>
          </w:tcPr>
          <w:p>
            <w:pPr>
              <w:jc w:val="center"/>
              <w:textAlignment w:val="center"/>
              <w:rPr>
                <w:rFonts w:ascii="宋体" w:hAnsi="宋体" w:cs="宋体"/>
                <w:sz w:val="24"/>
                <w:szCs w:val="24"/>
              </w:rPr>
            </w:pPr>
            <w:r>
              <w:rPr>
                <w:rFonts w:hint="eastAsia" w:ascii="宋体" w:hAnsi="宋体" w:cs="宋体"/>
                <w:sz w:val="24"/>
                <w:szCs w:val="24"/>
              </w:rPr>
              <w:t>台</w:t>
            </w:r>
          </w:p>
        </w:tc>
        <w:tc>
          <w:tcPr>
            <w:tcW w:w="2841" w:type="dxa"/>
            <w:vAlign w:val="center"/>
          </w:tcPr>
          <w:p>
            <w:pPr>
              <w:jc w:val="center"/>
              <w:textAlignment w:val="center"/>
              <w:rPr>
                <w:rFonts w:ascii="宋体" w:hAnsi="宋体" w:cs="宋体"/>
                <w:sz w:val="24"/>
                <w:szCs w:val="24"/>
              </w:rPr>
            </w:pPr>
            <w:r>
              <w:rPr>
                <w:rFonts w:hint="eastAsia" w:ascii="宋体" w:hAnsi="宋体" w:cs="宋体"/>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8" w:type="dxa"/>
            <w:vAlign w:val="center"/>
          </w:tcPr>
          <w:p>
            <w:pPr>
              <w:jc w:val="center"/>
              <w:textAlignment w:val="center"/>
              <w:rPr>
                <w:rFonts w:ascii="宋体" w:hAnsi="宋体" w:cs="宋体"/>
                <w:sz w:val="24"/>
                <w:szCs w:val="24"/>
              </w:rPr>
            </w:pPr>
            <w:r>
              <w:rPr>
                <w:rFonts w:hint="eastAsia" w:ascii="宋体" w:hAnsi="宋体" w:cs="宋体"/>
                <w:sz w:val="24"/>
                <w:szCs w:val="24"/>
              </w:rPr>
              <w:t>巡逻单车（电动巡逻）</w:t>
            </w:r>
          </w:p>
        </w:tc>
        <w:tc>
          <w:tcPr>
            <w:tcW w:w="2093" w:type="dxa"/>
            <w:vAlign w:val="center"/>
          </w:tcPr>
          <w:p>
            <w:pPr>
              <w:jc w:val="center"/>
              <w:textAlignment w:val="center"/>
              <w:rPr>
                <w:rFonts w:ascii="宋体" w:hAnsi="宋体" w:cs="宋体"/>
                <w:sz w:val="24"/>
                <w:szCs w:val="24"/>
              </w:rPr>
            </w:pPr>
            <w:r>
              <w:rPr>
                <w:rFonts w:hint="eastAsia" w:ascii="宋体" w:hAnsi="宋体" w:cs="宋体"/>
                <w:sz w:val="24"/>
                <w:szCs w:val="24"/>
              </w:rPr>
              <w:t>辆</w:t>
            </w:r>
          </w:p>
        </w:tc>
        <w:tc>
          <w:tcPr>
            <w:tcW w:w="2841" w:type="dxa"/>
            <w:vAlign w:val="center"/>
          </w:tcPr>
          <w:p>
            <w:pPr>
              <w:jc w:val="center"/>
              <w:textAlignment w:val="center"/>
              <w:rPr>
                <w:rFonts w:ascii="宋体" w:hAnsi="宋体" w:cs="宋体"/>
                <w:sz w:val="24"/>
                <w:szCs w:val="24"/>
              </w:rPr>
            </w:pPr>
            <w:r>
              <w:rPr>
                <w:rFonts w:hint="eastAsia" w:ascii="宋体" w:hAnsi="宋体" w:cs="宋体"/>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3"/>
            <w:vAlign w:val="center"/>
          </w:tcPr>
          <w:p>
            <w:pPr>
              <w:jc w:val="center"/>
              <w:textAlignment w:val="center"/>
              <w:rPr>
                <w:rFonts w:ascii="宋体" w:hAnsi="宋体" w:cs="宋体"/>
                <w:sz w:val="24"/>
                <w:szCs w:val="24"/>
              </w:rPr>
            </w:pPr>
            <w:r>
              <w:rPr>
                <w:rFonts w:hint="eastAsia" w:ascii="宋体" w:hAnsi="宋体" w:cs="宋体"/>
                <w:b/>
                <w:bCs/>
                <w:sz w:val="24"/>
                <w:szCs w:val="24"/>
              </w:rPr>
              <w:t>油耗车辆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8" w:type="dxa"/>
            <w:vAlign w:val="center"/>
          </w:tcPr>
          <w:p>
            <w:pPr>
              <w:jc w:val="center"/>
              <w:textAlignment w:val="center"/>
              <w:rPr>
                <w:rFonts w:ascii="宋体" w:hAnsi="宋体" w:cs="宋体"/>
                <w:sz w:val="24"/>
                <w:szCs w:val="24"/>
              </w:rPr>
            </w:pPr>
            <w:r>
              <w:rPr>
                <w:rFonts w:hint="eastAsia" w:ascii="宋体" w:hAnsi="宋体" w:cs="宋体"/>
                <w:sz w:val="24"/>
                <w:szCs w:val="24"/>
              </w:rPr>
              <w:t>7吨洒水车</w:t>
            </w:r>
          </w:p>
        </w:tc>
        <w:tc>
          <w:tcPr>
            <w:tcW w:w="2093" w:type="dxa"/>
            <w:vAlign w:val="center"/>
          </w:tcPr>
          <w:p>
            <w:pPr>
              <w:jc w:val="center"/>
              <w:textAlignment w:val="center"/>
              <w:rPr>
                <w:rFonts w:ascii="宋体" w:hAnsi="宋体" w:cs="宋体"/>
                <w:sz w:val="24"/>
                <w:szCs w:val="24"/>
              </w:rPr>
            </w:pPr>
            <w:r>
              <w:rPr>
                <w:rFonts w:hint="eastAsia" w:ascii="宋体" w:hAnsi="宋体" w:cs="宋体"/>
                <w:sz w:val="24"/>
                <w:szCs w:val="24"/>
              </w:rPr>
              <w:t>辆</w:t>
            </w:r>
          </w:p>
        </w:tc>
        <w:tc>
          <w:tcPr>
            <w:tcW w:w="2841" w:type="dxa"/>
            <w:vAlign w:val="center"/>
          </w:tcPr>
          <w:p>
            <w:pPr>
              <w:jc w:val="center"/>
              <w:textAlignment w:val="center"/>
              <w:rPr>
                <w:rFonts w:ascii="宋体" w:hAnsi="宋体" w:cs="宋体"/>
                <w:sz w:val="24"/>
                <w:szCs w:val="24"/>
              </w:rPr>
            </w:pPr>
            <w:r>
              <w:rPr>
                <w:rFonts w:hint="eastAsia" w:ascii="宋体"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8" w:type="dxa"/>
            <w:vAlign w:val="center"/>
          </w:tcPr>
          <w:p>
            <w:pPr>
              <w:jc w:val="center"/>
              <w:textAlignment w:val="center"/>
              <w:rPr>
                <w:rFonts w:ascii="宋体" w:hAnsi="宋体" w:cs="宋体"/>
                <w:sz w:val="24"/>
                <w:szCs w:val="24"/>
              </w:rPr>
            </w:pPr>
            <w:r>
              <w:rPr>
                <w:rFonts w:hint="eastAsia" w:ascii="宋体" w:hAnsi="宋体" w:cs="宋体"/>
                <w:sz w:val="24"/>
                <w:szCs w:val="24"/>
              </w:rPr>
              <w:t>18吨洒水车</w:t>
            </w:r>
          </w:p>
        </w:tc>
        <w:tc>
          <w:tcPr>
            <w:tcW w:w="2093" w:type="dxa"/>
            <w:vAlign w:val="center"/>
          </w:tcPr>
          <w:p>
            <w:pPr>
              <w:jc w:val="center"/>
              <w:textAlignment w:val="center"/>
              <w:rPr>
                <w:rFonts w:ascii="宋体" w:hAnsi="宋体" w:cs="宋体"/>
                <w:sz w:val="24"/>
                <w:szCs w:val="24"/>
              </w:rPr>
            </w:pPr>
            <w:r>
              <w:rPr>
                <w:rFonts w:hint="eastAsia" w:ascii="宋体" w:hAnsi="宋体" w:cs="宋体"/>
                <w:sz w:val="24"/>
                <w:szCs w:val="24"/>
              </w:rPr>
              <w:t>辆</w:t>
            </w:r>
          </w:p>
        </w:tc>
        <w:tc>
          <w:tcPr>
            <w:tcW w:w="2841" w:type="dxa"/>
            <w:vAlign w:val="center"/>
          </w:tcPr>
          <w:p>
            <w:pPr>
              <w:jc w:val="center"/>
              <w:textAlignment w:val="center"/>
              <w:rPr>
                <w:rFonts w:ascii="宋体" w:hAnsi="宋体" w:cs="宋体"/>
                <w:sz w:val="24"/>
                <w:szCs w:val="24"/>
              </w:rPr>
            </w:pPr>
            <w:r>
              <w:rPr>
                <w:rFonts w:hint="eastAsia" w:ascii="宋体"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8" w:type="dxa"/>
            <w:vAlign w:val="center"/>
          </w:tcPr>
          <w:p>
            <w:pPr>
              <w:jc w:val="center"/>
              <w:textAlignment w:val="center"/>
              <w:rPr>
                <w:rFonts w:ascii="宋体" w:hAnsi="宋体" w:cs="宋体"/>
                <w:sz w:val="24"/>
                <w:szCs w:val="24"/>
              </w:rPr>
            </w:pPr>
            <w:r>
              <w:rPr>
                <w:rFonts w:hint="eastAsia" w:ascii="宋体" w:hAnsi="宋体" w:cs="宋体"/>
                <w:sz w:val="24"/>
                <w:szCs w:val="24"/>
              </w:rPr>
              <w:t>18吨密闭压缩式垃圾运输车</w:t>
            </w:r>
          </w:p>
        </w:tc>
        <w:tc>
          <w:tcPr>
            <w:tcW w:w="2093" w:type="dxa"/>
            <w:vAlign w:val="center"/>
          </w:tcPr>
          <w:p>
            <w:pPr>
              <w:jc w:val="center"/>
              <w:textAlignment w:val="center"/>
              <w:rPr>
                <w:rFonts w:ascii="宋体" w:hAnsi="宋体" w:cs="宋体"/>
                <w:sz w:val="24"/>
                <w:szCs w:val="24"/>
              </w:rPr>
            </w:pPr>
            <w:r>
              <w:rPr>
                <w:rFonts w:hint="eastAsia" w:ascii="宋体" w:hAnsi="宋体" w:cs="宋体"/>
                <w:sz w:val="24"/>
                <w:szCs w:val="24"/>
              </w:rPr>
              <w:t>辆</w:t>
            </w:r>
          </w:p>
        </w:tc>
        <w:tc>
          <w:tcPr>
            <w:tcW w:w="2841" w:type="dxa"/>
            <w:vAlign w:val="center"/>
          </w:tcPr>
          <w:p>
            <w:pPr>
              <w:jc w:val="center"/>
              <w:textAlignment w:val="center"/>
              <w:rPr>
                <w:rFonts w:ascii="宋体" w:hAnsi="宋体" w:cs="宋体"/>
                <w:sz w:val="24"/>
                <w:szCs w:val="24"/>
              </w:rPr>
            </w:pPr>
            <w:r>
              <w:rPr>
                <w:rFonts w:hint="eastAsia" w:ascii="宋体" w:hAnsi="宋体" w:cs="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8" w:type="dxa"/>
            <w:vAlign w:val="center"/>
          </w:tcPr>
          <w:p>
            <w:pPr>
              <w:jc w:val="center"/>
              <w:textAlignment w:val="center"/>
              <w:rPr>
                <w:rFonts w:ascii="宋体" w:hAnsi="宋体" w:cs="宋体"/>
                <w:sz w:val="24"/>
                <w:szCs w:val="24"/>
              </w:rPr>
            </w:pPr>
            <w:r>
              <w:rPr>
                <w:rFonts w:hint="eastAsia" w:ascii="宋体" w:hAnsi="宋体" w:cs="宋体"/>
                <w:sz w:val="24"/>
                <w:szCs w:val="24"/>
              </w:rPr>
              <w:t>7.5吨密闭压缩式垃圾运输车</w:t>
            </w:r>
          </w:p>
        </w:tc>
        <w:tc>
          <w:tcPr>
            <w:tcW w:w="2093" w:type="dxa"/>
            <w:vAlign w:val="center"/>
          </w:tcPr>
          <w:p>
            <w:pPr>
              <w:jc w:val="center"/>
              <w:textAlignment w:val="center"/>
              <w:rPr>
                <w:rFonts w:ascii="宋体" w:hAnsi="宋体" w:cs="宋体"/>
                <w:sz w:val="24"/>
                <w:szCs w:val="24"/>
              </w:rPr>
            </w:pPr>
            <w:r>
              <w:rPr>
                <w:rFonts w:hint="eastAsia" w:ascii="宋体" w:hAnsi="宋体" w:cs="宋体"/>
                <w:sz w:val="24"/>
                <w:szCs w:val="24"/>
              </w:rPr>
              <w:t>辆</w:t>
            </w:r>
          </w:p>
        </w:tc>
        <w:tc>
          <w:tcPr>
            <w:tcW w:w="2841" w:type="dxa"/>
            <w:vAlign w:val="center"/>
          </w:tcPr>
          <w:p>
            <w:pPr>
              <w:jc w:val="center"/>
              <w:textAlignment w:val="center"/>
              <w:rPr>
                <w:rFonts w:ascii="宋体" w:hAnsi="宋体" w:cs="宋体"/>
                <w:sz w:val="24"/>
                <w:szCs w:val="24"/>
              </w:rPr>
            </w:pPr>
            <w:r>
              <w:rPr>
                <w:rFonts w:hint="eastAsia" w:ascii="宋体"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8" w:type="dxa"/>
            <w:vAlign w:val="center"/>
          </w:tcPr>
          <w:p>
            <w:pPr>
              <w:jc w:val="center"/>
              <w:textAlignment w:val="center"/>
              <w:rPr>
                <w:rFonts w:ascii="宋体" w:hAnsi="宋体" w:cs="宋体"/>
                <w:sz w:val="24"/>
                <w:szCs w:val="24"/>
              </w:rPr>
            </w:pPr>
            <w:r>
              <w:rPr>
                <w:rFonts w:hint="eastAsia" w:ascii="宋体" w:hAnsi="宋体" w:cs="宋体"/>
                <w:sz w:val="24"/>
                <w:szCs w:val="24"/>
              </w:rPr>
              <w:t>16米高空作业车</w:t>
            </w:r>
          </w:p>
        </w:tc>
        <w:tc>
          <w:tcPr>
            <w:tcW w:w="2093" w:type="dxa"/>
            <w:vAlign w:val="center"/>
          </w:tcPr>
          <w:p>
            <w:pPr>
              <w:jc w:val="center"/>
              <w:textAlignment w:val="center"/>
              <w:rPr>
                <w:rFonts w:ascii="宋体" w:hAnsi="宋体" w:cs="宋体"/>
                <w:sz w:val="24"/>
                <w:szCs w:val="24"/>
              </w:rPr>
            </w:pPr>
            <w:r>
              <w:rPr>
                <w:rFonts w:hint="eastAsia" w:ascii="宋体" w:hAnsi="宋体" w:cs="宋体"/>
                <w:sz w:val="24"/>
                <w:szCs w:val="24"/>
              </w:rPr>
              <w:t>辆</w:t>
            </w:r>
          </w:p>
        </w:tc>
        <w:tc>
          <w:tcPr>
            <w:tcW w:w="2841" w:type="dxa"/>
            <w:vAlign w:val="center"/>
          </w:tcPr>
          <w:p>
            <w:pPr>
              <w:jc w:val="center"/>
              <w:textAlignment w:val="center"/>
              <w:rPr>
                <w:rFonts w:ascii="宋体" w:hAnsi="宋体" w:cs="宋体"/>
                <w:sz w:val="24"/>
                <w:szCs w:val="24"/>
              </w:rPr>
            </w:pPr>
            <w:r>
              <w:rPr>
                <w:rFonts w:hint="eastAsia" w:ascii="宋体"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8" w:type="dxa"/>
            <w:vAlign w:val="center"/>
          </w:tcPr>
          <w:p>
            <w:pPr>
              <w:jc w:val="center"/>
              <w:textAlignment w:val="center"/>
              <w:rPr>
                <w:rFonts w:ascii="宋体" w:hAnsi="宋体" w:cs="宋体"/>
                <w:sz w:val="24"/>
                <w:szCs w:val="24"/>
              </w:rPr>
            </w:pPr>
            <w:r>
              <w:rPr>
                <w:rFonts w:hint="eastAsia" w:ascii="宋体" w:hAnsi="宋体" w:cs="宋体"/>
                <w:sz w:val="24"/>
                <w:szCs w:val="24"/>
              </w:rPr>
              <w:t>平板自卸车</w:t>
            </w:r>
          </w:p>
        </w:tc>
        <w:tc>
          <w:tcPr>
            <w:tcW w:w="2093" w:type="dxa"/>
            <w:vAlign w:val="center"/>
          </w:tcPr>
          <w:p>
            <w:pPr>
              <w:jc w:val="center"/>
              <w:textAlignment w:val="center"/>
              <w:rPr>
                <w:rFonts w:ascii="宋体" w:hAnsi="宋体" w:cs="宋体"/>
                <w:sz w:val="24"/>
                <w:szCs w:val="24"/>
              </w:rPr>
            </w:pPr>
            <w:r>
              <w:rPr>
                <w:rFonts w:hint="eastAsia" w:ascii="宋体" w:hAnsi="宋体" w:cs="宋体"/>
                <w:sz w:val="24"/>
                <w:szCs w:val="24"/>
              </w:rPr>
              <w:t>辆</w:t>
            </w:r>
          </w:p>
        </w:tc>
        <w:tc>
          <w:tcPr>
            <w:tcW w:w="2841" w:type="dxa"/>
            <w:vAlign w:val="center"/>
          </w:tcPr>
          <w:p>
            <w:pPr>
              <w:jc w:val="center"/>
              <w:textAlignment w:val="center"/>
              <w:rPr>
                <w:rFonts w:ascii="宋体" w:hAnsi="宋体" w:cs="宋体"/>
                <w:sz w:val="24"/>
                <w:szCs w:val="24"/>
              </w:rPr>
            </w:pPr>
            <w:r>
              <w:rPr>
                <w:rFonts w:hint="eastAsia" w:ascii="宋体" w:hAnsi="宋体" w:cs="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8" w:type="dxa"/>
            <w:vAlign w:val="center"/>
          </w:tcPr>
          <w:p>
            <w:pPr>
              <w:jc w:val="center"/>
              <w:textAlignment w:val="center"/>
              <w:rPr>
                <w:rFonts w:ascii="宋体" w:hAnsi="宋体" w:cs="宋体"/>
                <w:sz w:val="24"/>
                <w:szCs w:val="24"/>
              </w:rPr>
            </w:pPr>
            <w:r>
              <w:rPr>
                <w:rFonts w:hint="eastAsia" w:ascii="宋体" w:hAnsi="宋体" w:cs="宋体"/>
                <w:sz w:val="24"/>
                <w:szCs w:val="24"/>
              </w:rPr>
              <w:t>路面养护车</w:t>
            </w:r>
          </w:p>
        </w:tc>
        <w:tc>
          <w:tcPr>
            <w:tcW w:w="2093" w:type="dxa"/>
            <w:vAlign w:val="center"/>
          </w:tcPr>
          <w:p>
            <w:pPr>
              <w:jc w:val="center"/>
              <w:textAlignment w:val="center"/>
              <w:rPr>
                <w:rFonts w:ascii="宋体" w:hAnsi="宋体" w:cs="宋体"/>
                <w:sz w:val="24"/>
                <w:szCs w:val="24"/>
              </w:rPr>
            </w:pPr>
            <w:r>
              <w:rPr>
                <w:rFonts w:hint="eastAsia" w:ascii="宋体" w:hAnsi="宋体" w:cs="宋体"/>
                <w:sz w:val="24"/>
                <w:szCs w:val="24"/>
              </w:rPr>
              <w:t>辆</w:t>
            </w:r>
          </w:p>
        </w:tc>
        <w:tc>
          <w:tcPr>
            <w:tcW w:w="2841" w:type="dxa"/>
            <w:vAlign w:val="center"/>
          </w:tcPr>
          <w:p>
            <w:pPr>
              <w:jc w:val="center"/>
              <w:textAlignment w:val="center"/>
              <w:rPr>
                <w:rFonts w:ascii="宋体" w:hAnsi="宋体" w:cs="宋体"/>
                <w:sz w:val="24"/>
                <w:szCs w:val="24"/>
              </w:rPr>
            </w:pPr>
            <w:r>
              <w:rPr>
                <w:rFonts w:hint="eastAsia" w:ascii="宋体" w:hAnsi="宋体" w:cs="宋体"/>
                <w:sz w:val="24"/>
                <w:szCs w:val="24"/>
              </w:rPr>
              <w:t>3</w:t>
            </w:r>
          </w:p>
        </w:tc>
      </w:tr>
    </w:tbl>
    <w:p>
      <w:pPr>
        <w:pStyle w:val="9"/>
        <w:numPr>
          <w:ilvl w:val="0"/>
          <w:numId w:val="1"/>
        </w:numPr>
        <w:rPr>
          <w:rFonts w:ascii="宋体" w:hAnsi="宋体" w:cs="宋体"/>
          <w:szCs w:val="24"/>
        </w:rPr>
      </w:pPr>
      <w:bookmarkStart w:id="21" w:name="_Toc1208"/>
      <w:bookmarkStart w:id="22" w:name="_Toc1589"/>
      <w:r>
        <w:rPr>
          <w:rFonts w:hint="eastAsia" w:ascii="宋体" w:hAnsi="宋体" w:cs="宋体"/>
          <w:szCs w:val="24"/>
        </w:rPr>
        <w:t>产品主要技术参数</w:t>
      </w:r>
      <w:bookmarkEnd w:id="21"/>
      <w:bookmarkEnd w:id="22"/>
    </w:p>
    <w:tbl>
      <w:tblPr>
        <w:tblStyle w:val="28"/>
        <w:tblW w:w="4998" w:type="pct"/>
        <w:tblInd w:w="0" w:type="dxa"/>
        <w:shd w:val="clear" w:color="auto" w:fill="FFFFFF" w:themeFill="background1"/>
        <w:tblLayout w:type="autofit"/>
        <w:tblCellMar>
          <w:top w:w="0" w:type="dxa"/>
          <w:left w:w="108" w:type="dxa"/>
          <w:bottom w:w="0" w:type="dxa"/>
          <w:right w:w="108" w:type="dxa"/>
        </w:tblCellMar>
      </w:tblPr>
      <w:tblGrid>
        <w:gridCol w:w="3050"/>
        <w:gridCol w:w="5469"/>
      </w:tblGrid>
      <w:tr>
        <w:tblPrEx>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bookmarkStart w:id="23" w:name="_Toc8144"/>
            <w:bookmarkStart w:id="24" w:name="_Toc582"/>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综合范围</w:t>
            </w:r>
          </w:p>
        </w:tc>
      </w:tr>
      <w:tr>
        <w:tblPrEx>
          <w:shd w:val="clear" w:color="auto" w:fill="FFFFFF" w:themeFill="background1"/>
          <w:tblCellMar>
            <w:top w:w="0" w:type="dxa"/>
            <w:left w:w="108" w:type="dxa"/>
            <w:bottom w:w="0" w:type="dxa"/>
            <w:right w:w="108" w:type="dxa"/>
          </w:tblCellMar>
        </w:tblPrEx>
        <w:trPr>
          <w:trHeight w:val="28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numPr>
                <w:ilvl w:val="0"/>
                <w:numId w:val="2"/>
              </w:numPr>
              <w:jc w:val="center"/>
              <w:rPr>
                <w:rFonts w:ascii="宋体" w:hAnsi="宋体" w:cs="宋体"/>
                <w:b/>
                <w:bCs/>
                <w:sz w:val="24"/>
                <w:szCs w:val="24"/>
              </w:rPr>
            </w:pPr>
            <w:r>
              <w:rPr>
                <w:rFonts w:hint="eastAsia" w:ascii="宋体" w:hAnsi="宋体" w:cs="宋体"/>
                <w:b/>
                <w:bCs/>
                <w:sz w:val="24"/>
                <w:szCs w:val="24"/>
              </w:rPr>
              <w:t>10吨电动湿式扫路车（高压）</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总质量</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≥10490kg</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整备质量（kg)</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▲≥8100（提供中国汽车网-汽车公告查询截图）</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额定载质量（kg)</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投标人自填</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电池总储存量（kwh）</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≥210</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外形尺寸</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投标人自填</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前悬/后悬</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投标人自填</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接近角/离去角</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▲≥15/11°（提供中国汽车网-汽车公告查询截图）</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清水箱容积（m³）</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≥4m³</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垃圾箱容积（m³）</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≥2m³</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洗扫速度</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0~20km/h</w:t>
            </w:r>
          </w:p>
        </w:tc>
      </w:tr>
      <w:tr>
        <w:tblPrEx>
          <w:shd w:val="clear" w:color="auto" w:fill="FFFFFF" w:themeFill="background1"/>
          <w:tblCellMar>
            <w:top w:w="0" w:type="dxa"/>
            <w:left w:w="108" w:type="dxa"/>
            <w:bottom w:w="0" w:type="dxa"/>
            <w:right w:w="108" w:type="dxa"/>
          </w:tblCellMar>
        </w:tblPrEx>
        <w:trPr>
          <w:trHeight w:val="570"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底盘参考品牌</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上汽大通、宇通、东风、江铃、庆铃。</w:t>
            </w:r>
            <w:r>
              <w:rPr>
                <w:rFonts w:hint="eastAsia" w:ascii="宋体" w:hAnsi="宋体" w:cs="宋体"/>
                <w:b/>
                <w:bCs/>
                <w:sz w:val="24"/>
                <w:szCs w:val="24"/>
              </w:rPr>
              <w:t>注：或同级别品牌(以符合参考品牌同样参数功能的证明为准），最终由采购人认可确定。</w:t>
            </w:r>
          </w:p>
        </w:tc>
      </w:tr>
      <w:tr>
        <w:tblPrEx>
          <w:shd w:val="clear" w:color="auto" w:fill="FFFFFF" w:themeFill="background1"/>
          <w:tblCellMar>
            <w:top w:w="0" w:type="dxa"/>
            <w:left w:w="108" w:type="dxa"/>
            <w:bottom w:w="0" w:type="dxa"/>
            <w:right w:w="108" w:type="dxa"/>
          </w:tblCellMar>
        </w:tblPrEx>
        <w:trPr>
          <w:trHeight w:val="570"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电池参考品牌</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宁德时代、亿纬或宁德时代电芯电池。</w:t>
            </w:r>
            <w:r>
              <w:rPr>
                <w:rFonts w:hint="eastAsia" w:ascii="宋体" w:hAnsi="宋体" w:cs="宋体"/>
                <w:b/>
                <w:bCs/>
                <w:sz w:val="24"/>
                <w:szCs w:val="24"/>
              </w:rPr>
              <w:t>注：或同级别品牌(以符合参考品牌同样参数功能的证明为准），最终由采购人认可确定。</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快速充满蓄电池时间</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≤2.5</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三电系统质保期</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≥5年</w:t>
            </w:r>
          </w:p>
        </w:tc>
      </w:tr>
      <w:tr>
        <w:tblPrEx>
          <w:shd w:val="clear" w:color="auto" w:fill="FFFFFF" w:themeFill="background1"/>
          <w:tblCellMar>
            <w:top w:w="0" w:type="dxa"/>
            <w:left w:w="108" w:type="dxa"/>
            <w:bottom w:w="0" w:type="dxa"/>
            <w:right w:w="108" w:type="dxa"/>
          </w:tblCellMar>
        </w:tblPrEx>
        <w:trPr>
          <w:trHeight w:val="570"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车架质保期</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≥质保1年或者3万公里（以先到为准），易损件除外</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箱体材质</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清水箱碳钢；垃圾箱不锈钢</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连续作业时间h</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≥8h</w:t>
            </w:r>
          </w:p>
        </w:tc>
      </w:tr>
      <w:tr>
        <w:tblPrEx>
          <w:shd w:val="clear" w:color="auto" w:fill="FFFFFF" w:themeFill="background1"/>
          <w:tblCellMar>
            <w:top w:w="0" w:type="dxa"/>
            <w:left w:w="108" w:type="dxa"/>
            <w:bottom w:w="0" w:type="dxa"/>
            <w:right w:w="108" w:type="dxa"/>
          </w:tblCellMar>
        </w:tblPrEx>
        <w:trPr>
          <w:trHeight w:val="28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numPr>
                <w:ilvl w:val="0"/>
                <w:numId w:val="2"/>
              </w:numPr>
              <w:jc w:val="center"/>
              <w:rPr>
                <w:rFonts w:ascii="宋体" w:hAnsi="宋体" w:cs="宋体"/>
                <w:b/>
                <w:bCs/>
                <w:sz w:val="24"/>
                <w:szCs w:val="24"/>
              </w:rPr>
            </w:pPr>
            <w:r>
              <w:rPr>
                <w:rFonts w:hint="eastAsia" w:ascii="宋体" w:hAnsi="宋体" w:cs="宋体"/>
                <w:b/>
                <w:bCs/>
                <w:sz w:val="24"/>
                <w:szCs w:val="24"/>
              </w:rPr>
              <w:t>5吨高压洒水车</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总质量（kg）</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≥8300kg</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整备质量</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▲≥4520（提供中国汽车网-汽车公告查询截图）</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额定载质量</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投标人自填</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罐体容积</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≥4m³</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电池总储存量</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≥100kwh</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公告箱体有效容积</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≥3m³</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外形尺寸</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投标人自填</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前悬/后悬</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投标人自填</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接近角/离去角</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▲≥9/11°（提供中国汽车网-汽车公告查询截图）</w:t>
            </w:r>
          </w:p>
        </w:tc>
      </w:tr>
      <w:tr>
        <w:tblPrEx>
          <w:shd w:val="clear" w:color="auto" w:fill="FFFFFF" w:themeFill="background1"/>
          <w:tblCellMar>
            <w:top w:w="0" w:type="dxa"/>
            <w:left w:w="108" w:type="dxa"/>
            <w:bottom w:w="0" w:type="dxa"/>
            <w:right w:w="108" w:type="dxa"/>
          </w:tblCellMar>
        </w:tblPrEx>
        <w:trPr>
          <w:trHeight w:val="570"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底盘参考品牌</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上汽、宇通、东风、福田、江铃等。</w:t>
            </w:r>
            <w:r>
              <w:rPr>
                <w:rFonts w:hint="eastAsia" w:ascii="宋体" w:hAnsi="宋体" w:cs="宋体"/>
                <w:b/>
                <w:bCs/>
                <w:sz w:val="24"/>
                <w:szCs w:val="24"/>
              </w:rPr>
              <w:t>注：或同级别品牌(以符合参考品牌同样参数功能的证明为准），最终由采购人认可确定。</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驱动电机功率（kW）</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≥120kw</w:t>
            </w:r>
          </w:p>
        </w:tc>
      </w:tr>
      <w:tr>
        <w:tblPrEx>
          <w:shd w:val="clear" w:color="auto" w:fill="FFFFFF" w:themeFill="background1"/>
          <w:tblCellMar>
            <w:top w:w="0" w:type="dxa"/>
            <w:left w:w="108" w:type="dxa"/>
            <w:bottom w:w="0" w:type="dxa"/>
            <w:right w:w="108" w:type="dxa"/>
          </w:tblCellMar>
        </w:tblPrEx>
        <w:trPr>
          <w:trHeight w:val="570"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电池参考品牌</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宁德时代、亿纬或宁德时代电芯电池。</w:t>
            </w:r>
            <w:r>
              <w:rPr>
                <w:rFonts w:hint="eastAsia" w:ascii="宋体" w:hAnsi="宋体" w:cs="宋体"/>
                <w:b/>
                <w:bCs/>
                <w:sz w:val="24"/>
                <w:szCs w:val="24"/>
              </w:rPr>
              <w:t>注：或同级别品牌(以符合参考品牌同样参数功能的证明为准），最终由采购人认可确定。</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快速充满蓄电池时间</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≤2.5</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三电系统质保期</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≥5年</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连续作业时间h</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≥8h</w:t>
            </w:r>
          </w:p>
        </w:tc>
      </w:tr>
      <w:tr>
        <w:tblPrEx>
          <w:shd w:val="clear" w:color="auto" w:fill="FFFFFF" w:themeFill="background1"/>
          <w:tblCellMar>
            <w:top w:w="0" w:type="dxa"/>
            <w:left w:w="108" w:type="dxa"/>
            <w:bottom w:w="0" w:type="dxa"/>
            <w:right w:w="108" w:type="dxa"/>
          </w:tblCellMar>
        </w:tblPrEx>
        <w:trPr>
          <w:trHeight w:val="570"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车架质保期</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≥质保1年或者3万公里（以先到为准），易损件除外</w:t>
            </w:r>
          </w:p>
        </w:tc>
      </w:tr>
      <w:tr>
        <w:tblPrEx>
          <w:shd w:val="clear" w:color="auto" w:fill="FFFFFF" w:themeFill="background1"/>
          <w:tblCellMar>
            <w:top w:w="0" w:type="dxa"/>
            <w:left w:w="108" w:type="dxa"/>
            <w:bottom w:w="0" w:type="dxa"/>
            <w:right w:w="108" w:type="dxa"/>
          </w:tblCellMar>
        </w:tblPrEx>
        <w:trPr>
          <w:trHeight w:val="28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numPr>
                <w:ilvl w:val="0"/>
                <w:numId w:val="2"/>
              </w:numPr>
              <w:jc w:val="center"/>
              <w:rPr>
                <w:rFonts w:ascii="宋体" w:hAnsi="宋体" w:cs="宋体"/>
                <w:b/>
                <w:bCs/>
                <w:sz w:val="24"/>
                <w:szCs w:val="24"/>
              </w:rPr>
            </w:pPr>
            <w:r>
              <w:rPr>
                <w:rFonts w:hint="eastAsia" w:ascii="宋体" w:hAnsi="宋体" w:cs="宋体"/>
                <w:b/>
                <w:bCs/>
                <w:sz w:val="24"/>
                <w:szCs w:val="24"/>
              </w:rPr>
              <w:t>18吨高压洒水车</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总质量（kg）</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≥18000kg</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整备质量</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▲≥9160（提供中国汽车网-汽车公告查询截图）</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额定载质量</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投标人自填</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罐体容积</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≥8.0m³</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电池总储存量</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≥210</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清洗宽度</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≥3m</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公告罐体有效容积</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≥8m³</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外形尺寸</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投标人自填</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前悬/后悬</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投标人自填</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接近角/离去角</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▲≥7/10°（提供中国汽车网-汽车公告查询截图）</w:t>
            </w:r>
          </w:p>
        </w:tc>
      </w:tr>
      <w:tr>
        <w:tblPrEx>
          <w:shd w:val="clear" w:color="auto" w:fill="FFFFFF" w:themeFill="background1"/>
          <w:tblCellMar>
            <w:top w:w="0" w:type="dxa"/>
            <w:left w:w="108" w:type="dxa"/>
            <w:bottom w:w="0" w:type="dxa"/>
            <w:right w:w="108" w:type="dxa"/>
          </w:tblCellMar>
        </w:tblPrEx>
        <w:trPr>
          <w:trHeight w:val="570"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底盘参考品牌</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上汽、宇通、东风、福田、江铃、比亚迪。</w:t>
            </w:r>
            <w:r>
              <w:rPr>
                <w:rFonts w:hint="eastAsia" w:ascii="宋体" w:hAnsi="宋体" w:cs="宋体"/>
                <w:b/>
                <w:bCs/>
                <w:sz w:val="24"/>
                <w:szCs w:val="24"/>
              </w:rPr>
              <w:t>注：或同级别品牌(以符合参考品牌同样参数功能的证明为准），最终由采购人认可确定。</w:t>
            </w:r>
          </w:p>
        </w:tc>
      </w:tr>
      <w:tr>
        <w:tblPrEx>
          <w:shd w:val="clear" w:color="auto" w:fill="FFFFFF" w:themeFill="background1"/>
          <w:tblCellMar>
            <w:top w:w="0" w:type="dxa"/>
            <w:left w:w="108" w:type="dxa"/>
            <w:bottom w:w="0" w:type="dxa"/>
            <w:right w:w="108" w:type="dxa"/>
          </w:tblCellMar>
        </w:tblPrEx>
        <w:trPr>
          <w:trHeight w:val="570"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电池参考品牌</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宁德时代、亿纬、宁德时代电芯电池、比亚迪。</w:t>
            </w:r>
            <w:r>
              <w:rPr>
                <w:rFonts w:hint="eastAsia" w:ascii="宋体" w:hAnsi="宋体" w:cs="宋体"/>
                <w:b/>
                <w:bCs/>
                <w:sz w:val="24"/>
                <w:szCs w:val="24"/>
              </w:rPr>
              <w:t>注：或同级别品牌(以符合参考品牌同样参数功能的证明为准），最终由采购人认可确定。</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快速充满蓄电池时间</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≤2.5h</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三电系统质保期</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≥5年</w:t>
            </w:r>
          </w:p>
        </w:tc>
      </w:tr>
      <w:tr>
        <w:tblPrEx>
          <w:shd w:val="clear" w:color="auto" w:fill="FFFFFF" w:themeFill="background1"/>
          <w:tblCellMar>
            <w:top w:w="0" w:type="dxa"/>
            <w:left w:w="108" w:type="dxa"/>
            <w:bottom w:w="0" w:type="dxa"/>
            <w:right w:w="108" w:type="dxa"/>
          </w:tblCellMar>
        </w:tblPrEx>
        <w:trPr>
          <w:trHeight w:val="570"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车架质保期</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≥质保1年或者3万公里（以先到为准），易损件除外</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连续作业时间h</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≥8h</w:t>
            </w:r>
          </w:p>
        </w:tc>
      </w:tr>
      <w:tr>
        <w:tblPrEx>
          <w:shd w:val="clear" w:color="auto" w:fill="FFFFFF" w:themeFill="background1"/>
          <w:tblCellMar>
            <w:top w:w="0" w:type="dxa"/>
            <w:left w:w="108" w:type="dxa"/>
            <w:bottom w:w="0" w:type="dxa"/>
            <w:right w:w="108" w:type="dxa"/>
          </w:tblCellMar>
        </w:tblPrEx>
        <w:trPr>
          <w:trHeight w:val="28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numPr>
                <w:ilvl w:val="0"/>
                <w:numId w:val="2"/>
              </w:numPr>
              <w:jc w:val="center"/>
              <w:rPr>
                <w:rFonts w:ascii="宋体" w:hAnsi="宋体" w:cs="宋体"/>
                <w:b/>
                <w:bCs/>
                <w:sz w:val="24"/>
                <w:szCs w:val="24"/>
              </w:rPr>
            </w:pPr>
            <w:r>
              <w:rPr>
                <w:rFonts w:hint="eastAsia" w:ascii="宋体" w:hAnsi="宋体" w:cs="宋体"/>
                <w:b/>
                <w:bCs/>
                <w:sz w:val="24"/>
                <w:szCs w:val="24"/>
              </w:rPr>
              <w:t>4吨纯电动洗扫车（高压）</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总质量（kg）</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≥4490kg</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整备质量</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▲≥3450（提供中国汽车网-汽车公告查询截图）</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电池总储存量</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≥65kwh</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外形尺寸</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投标人自填</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前悬/后悬</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投标人自填</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接近角/离去角</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▲≥18/11°（提供中国汽车网-汽车公告查询截图）</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最大清扫能力</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≥34500m²/h</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清水箱容积</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≥1.4m³</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垃圾箱容积</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≥0.8m³</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洗扫速度</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0~20km/h</w:t>
            </w:r>
          </w:p>
        </w:tc>
      </w:tr>
      <w:tr>
        <w:tblPrEx>
          <w:shd w:val="clear" w:color="auto" w:fill="FFFFFF" w:themeFill="background1"/>
          <w:tblCellMar>
            <w:top w:w="0" w:type="dxa"/>
            <w:left w:w="108" w:type="dxa"/>
            <w:bottom w:w="0" w:type="dxa"/>
            <w:right w:w="108" w:type="dxa"/>
          </w:tblCellMar>
        </w:tblPrEx>
        <w:trPr>
          <w:trHeight w:val="570"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底盘参考品牌</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上汽、宇通、东风、福田、江铃等。</w:t>
            </w:r>
            <w:r>
              <w:rPr>
                <w:rFonts w:hint="eastAsia" w:ascii="宋体" w:hAnsi="宋体" w:cs="宋体"/>
                <w:b/>
                <w:bCs/>
                <w:sz w:val="24"/>
                <w:szCs w:val="24"/>
              </w:rPr>
              <w:t>注：或同级别品牌(以符合参考品牌同样参数功能的证明为准），最终由采购人认可确定。</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驱动电机功率（kW）</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≥40kW</w:t>
            </w:r>
          </w:p>
        </w:tc>
      </w:tr>
      <w:tr>
        <w:tblPrEx>
          <w:shd w:val="clear" w:color="auto" w:fill="FFFFFF" w:themeFill="background1"/>
          <w:tblCellMar>
            <w:top w:w="0" w:type="dxa"/>
            <w:left w:w="108" w:type="dxa"/>
            <w:bottom w:w="0" w:type="dxa"/>
            <w:right w:w="108" w:type="dxa"/>
          </w:tblCellMar>
        </w:tblPrEx>
        <w:trPr>
          <w:trHeight w:val="570"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电池参考品牌</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宁德时代、亿纬或宁德时代电芯电池。</w:t>
            </w:r>
            <w:r>
              <w:rPr>
                <w:rFonts w:hint="eastAsia" w:ascii="宋体" w:hAnsi="宋体" w:cs="宋体"/>
                <w:b/>
                <w:bCs/>
                <w:sz w:val="24"/>
                <w:szCs w:val="24"/>
              </w:rPr>
              <w:t>注：或同级别品牌(以符合参考品牌同样参数功能的证明为准），最终由采购人认可确定。</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快速充满蓄电池时间</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≤2.5h</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三电系统质保期</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≥5年</w:t>
            </w:r>
          </w:p>
        </w:tc>
      </w:tr>
      <w:tr>
        <w:tblPrEx>
          <w:shd w:val="clear" w:color="auto" w:fill="FFFFFF" w:themeFill="background1"/>
          <w:tblCellMar>
            <w:top w:w="0" w:type="dxa"/>
            <w:left w:w="108" w:type="dxa"/>
            <w:bottom w:w="0" w:type="dxa"/>
            <w:right w:w="108" w:type="dxa"/>
          </w:tblCellMar>
        </w:tblPrEx>
        <w:trPr>
          <w:trHeight w:val="570"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车架质保期</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≥质保1年或者3万公里（以先到为准），易损件除外</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连续作业时间h</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≥8h</w:t>
            </w:r>
          </w:p>
        </w:tc>
      </w:tr>
      <w:tr>
        <w:tblPrEx>
          <w:shd w:val="clear" w:color="auto" w:fill="FFFFFF" w:themeFill="background1"/>
          <w:tblCellMar>
            <w:top w:w="0" w:type="dxa"/>
            <w:left w:w="108" w:type="dxa"/>
            <w:bottom w:w="0" w:type="dxa"/>
            <w:right w:w="108" w:type="dxa"/>
          </w:tblCellMar>
        </w:tblPrEx>
        <w:trPr>
          <w:trHeight w:val="28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numPr>
                <w:ilvl w:val="0"/>
                <w:numId w:val="2"/>
              </w:numPr>
              <w:jc w:val="center"/>
              <w:rPr>
                <w:rFonts w:ascii="宋体" w:hAnsi="宋体" w:cs="宋体"/>
                <w:b/>
                <w:bCs/>
                <w:sz w:val="24"/>
                <w:szCs w:val="24"/>
              </w:rPr>
            </w:pPr>
            <w:r>
              <w:rPr>
                <w:rFonts w:hint="eastAsia" w:ascii="宋体" w:hAnsi="宋体" w:cs="宋体"/>
                <w:b/>
                <w:bCs/>
                <w:sz w:val="24"/>
                <w:szCs w:val="24"/>
              </w:rPr>
              <w:t>7吨洒水车</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总质量（kg）</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≥7360kg</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整备质量</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▲≥3350（提供中国汽车网-汽车公告查询截图）</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额定载质量</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投标人自填</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罐体容积</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≥4m³</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清洗宽度</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≥10m</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公告罐体有效容积</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≥3m³</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外形尺寸</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投标人自填</w:t>
            </w:r>
          </w:p>
        </w:tc>
      </w:tr>
      <w:tr>
        <w:tblPrEx>
          <w:shd w:val="clear" w:color="auto" w:fill="FFFFFF" w:themeFill="background1"/>
          <w:tblCellMar>
            <w:top w:w="0" w:type="dxa"/>
            <w:left w:w="108" w:type="dxa"/>
            <w:bottom w:w="0" w:type="dxa"/>
            <w:right w:w="108" w:type="dxa"/>
          </w:tblCellMar>
        </w:tblPrEx>
        <w:trPr>
          <w:trHeight w:val="285" w:hRule="atLeast"/>
        </w:trPr>
        <w:tc>
          <w:tcPr>
            <w:tcW w:w="30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排放标准</w:t>
            </w:r>
          </w:p>
        </w:tc>
        <w:tc>
          <w:tcPr>
            <w:tcW w:w="54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国六</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前悬/后悬</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投标人自填</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接近角/离去角</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▲≥10/10°（提供中国汽车网-汽车公告查询截图）</w:t>
            </w:r>
          </w:p>
        </w:tc>
      </w:tr>
      <w:tr>
        <w:tblPrEx>
          <w:shd w:val="clear" w:color="auto" w:fill="FFFFFF" w:themeFill="background1"/>
          <w:tblCellMar>
            <w:top w:w="0" w:type="dxa"/>
            <w:left w:w="108" w:type="dxa"/>
            <w:bottom w:w="0" w:type="dxa"/>
            <w:right w:w="108" w:type="dxa"/>
          </w:tblCellMar>
        </w:tblPrEx>
        <w:trPr>
          <w:trHeight w:val="570"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底盘参考品牌</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上汽、宇通、东风、福田、江铃等。</w:t>
            </w:r>
            <w:r>
              <w:rPr>
                <w:rFonts w:hint="eastAsia" w:ascii="宋体" w:hAnsi="宋体" w:cs="宋体"/>
                <w:b/>
                <w:bCs/>
                <w:sz w:val="24"/>
                <w:szCs w:val="24"/>
              </w:rPr>
              <w:t>注：或同级别品牌(以符合参考品牌同样参数功能的证明为准），最终由采购人认可确定。</w:t>
            </w:r>
          </w:p>
        </w:tc>
      </w:tr>
      <w:tr>
        <w:tblPrEx>
          <w:shd w:val="clear" w:color="auto" w:fill="FFFFFF" w:themeFill="background1"/>
          <w:tblCellMar>
            <w:top w:w="0" w:type="dxa"/>
            <w:left w:w="108" w:type="dxa"/>
            <w:bottom w:w="0" w:type="dxa"/>
            <w:right w:w="108" w:type="dxa"/>
          </w:tblCellMar>
        </w:tblPrEx>
        <w:trPr>
          <w:trHeight w:val="570"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车架质保期</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≥质保1年或者3万公里（以先到为准），易损件除外</w:t>
            </w:r>
          </w:p>
        </w:tc>
      </w:tr>
      <w:tr>
        <w:tblPrEx>
          <w:shd w:val="clear" w:color="auto" w:fill="FFFFFF" w:themeFill="background1"/>
          <w:tblCellMar>
            <w:top w:w="0" w:type="dxa"/>
            <w:left w:w="108" w:type="dxa"/>
            <w:bottom w:w="0" w:type="dxa"/>
            <w:right w:w="108" w:type="dxa"/>
          </w:tblCellMar>
        </w:tblPrEx>
        <w:trPr>
          <w:trHeight w:val="28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numPr>
                <w:ilvl w:val="0"/>
                <w:numId w:val="2"/>
              </w:numPr>
              <w:jc w:val="center"/>
              <w:rPr>
                <w:rFonts w:ascii="宋体" w:hAnsi="宋体" w:cs="宋体"/>
                <w:b/>
                <w:bCs/>
                <w:sz w:val="24"/>
                <w:szCs w:val="24"/>
              </w:rPr>
            </w:pPr>
            <w:r>
              <w:rPr>
                <w:rFonts w:hint="eastAsia" w:ascii="宋体" w:hAnsi="宋体" w:cs="宋体"/>
                <w:b/>
                <w:bCs/>
                <w:sz w:val="24"/>
                <w:szCs w:val="24"/>
              </w:rPr>
              <w:t>18吨洒水车</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总质量（kg）</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≥18000kg</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整备质量</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▲≥7300kg（提供中国汽车网-汽车公告查询截图）</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额定载质量</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投标人自填</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罐体容积</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≥10m³</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清洗宽度</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≥24m</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公告罐体有效容积</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≥9m³</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外形尺寸</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投标人自填</w:t>
            </w:r>
          </w:p>
        </w:tc>
      </w:tr>
      <w:tr>
        <w:tblPrEx>
          <w:shd w:val="clear" w:color="auto" w:fill="FFFFFF" w:themeFill="background1"/>
          <w:tblCellMar>
            <w:top w:w="0" w:type="dxa"/>
            <w:left w:w="108" w:type="dxa"/>
            <w:bottom w:w="0" w:type="dxa"/>
            <w:right w:w="108" w:type="dxa"/>
          </w:tblCellMar>
        </w:tblPrEx>
        <w:trPr>
          <w:trHeight w:val="285" w:hRule="atLeast"/>
        </w:trPr>
        <w:tc>
          <w:tcPr>
            <w:tcW w:w="30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排放标准</w:t>
            </w:r>
          </w:p>
        </w:tc>
        <w:tc>
          <w:tcPr>
            <w:tcW w:w="54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国六</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前悬/后悬</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投标人自填</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接近角/离去角</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▲≥12/10°（提供中国汽车网-汽车公告查询截图）</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最大净功率/转速</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≥145kw/1800r/min</w:t>
            </w:r>
          </w:p>
        </w:tc>
      </w:tr>
      <w:tr>
        <w:tblPrEx>
          <w:shd w:val="clear" w:color="auto" w:fill="FFFFFF" w:themeFill="background1"/>
          <w:tblCellMar>
            <w:top w:w="0" w:type="dxa"/>
            <w:left w:w="108" w:type="dxa"/>
            <w:bottom w:w="0" w:type="dxa"/>
            <w:right w:w="108" w:type="dxa"/>
          </w:tblCellMar>
        </w:tblPrEx>
        <w:trPr>
          <w:trHeight w:val="570"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底盘参考品牌</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上汽、宇通、东风、福田、江铃等。</w:t>
            </w:r>
            <w:r>
              <w:rPr>
                <w:rFonts w:hint="eastAsia" w:ascii="宋体" w:hAnsi="宋体" w:cs="宋体"/>
                <w:b/>
                <w:bCs/>
                <w:sz w:val="24"/>
                <w:szCs w:val="24"/>
              </w:rPr>
              <w:t>注：或同级别品牌(以符合参考品牌同样参数功能的证明为准），最终由采购人认可确定。</w:t>
            </w:r>
          </w:p>
        </w:tc>
      </w:tr>
      <w:tr>
        <w:tblPrEx>
          <w:shd w:val="clear" w:color="auto" w:fill="FFFFFF" w:themeFill="background1"/>
          <w:tblCellMar>
            <w:top w:w="0" w:type="dxa"/>
            <w:left w:w="108" w:type="dxa"/>
            <w:bottom w:w="0" w:type="dxa"/>
            <w:right w:w="108" w:type="dxa"/>
          </w:tblCellMar>
        </w:tblPrEx>
        <w:trPr>
          <w:trHeight w:val="570"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车架质保期</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≥质保1年或者3万公里（以先到为准），易损件除外</w:t>
            </w:r>
          </w:p>
        </w:tc>
      </w:tr>
      <w:tr>
        <w:tblPrEx>
          <w:shd w:val="clear" w:color="auto" w:fill="FFFFFF" w:themeFill="background1"/>
          <w:tblCellMar>
            <w:top w:w="0" w:type="dxa"/>
            <w:left w:w="108" w:type="dxa"/>
            <w:bottom w:w="0" w:type="dxa"/>
            <w:right w:w="108" w:type="dxa"/>
          </w:tblCellMar>
        </w:tblPrEx>
        <w:trPr>
          <w:trHeight w:val="28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numPr>
                <w:ilvl w:val="0"/>
                <w:numId w:val="2"/>
              </w:numPr>
              <w:jc w:val="center"/>
              <w:rPr>
                <w:rFonts w:ascii="宋体" w:hAnsi="宋体" w:cs="宋体"/>
                <w:b/>
                <w:bCs/>
                <w:sz w:val="24"/>
                <w:szCs w:val="24"/>
              </w:rPr>
            </w:pPr>
            <w:r>
              <w:rPr>
                <w:rFonts w:hint="eastAsia" w:ascii="宋体" w:hAnsi="宋体" w:cs="宋体"/>
                <w:b/>
                <w:bCs/>
                <w:sz w:val="24"/>
                <w:szCs w:val="24"/>
              </w:rPr>
              <w:t>18吨密闭压缩式垃圾运输车</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总质量（kg）</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≥18000kg</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整备质量</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▲≥10150kg（提供中国汽车网-汽车公告查询截图）</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额定载质量</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投标人自填</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外形尺寸</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投标人自填</w:t>
            </w:r>
          </w:p>
        </w:tc>
      </w:tr>
      <w:tr>
        <w:tblPrEx>
          <w:shd w:val="clear" w:color="auto" w:fill="FFFFFF" w:themeFill="background1"/>
          <w:tblCellMar>
            <w:top w:w="0" w:type="dxa"/>
            <w:left w:w="108" w:type="dxa"/>
            <w:bottom w:w="0" w:type="dxa"/>
            <w:right w:w="108" w:type="dxa"/>
          </w:tblCellMar>
        </w:tblPrEx>
        <w:trPr>
          <w:trHeight w:val="285" w:hRule="atLeast"/>
        </w:trPr>
        <w:tc>
          <w:tcPr>
            <w:tcW w:w="30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排放标准</w:t>
            </w:r>
          </w:p>
        </w:tc>
        <w:tc>
          <w:tcPr>
            <w:tcW w:w="54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国六</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前悬/后悬</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投标人自填</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接近角/离去角</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▲≥15/15°（提供中国汽车网-汽车公告查询截图）</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最大净功率/转速</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≥150/1800r/min</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垃圾箱有效容积</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≥12m³</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投料口容积</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≥1m³</w:t>
            </w:r>
          </w:p>
        </w:tc>
      </w:tr>
      <w:tr>
        <w:tblPrEx>
          <w:shd w:val="clear" w:color="auto" w:fill="FFFFFF" w:themeFill="background1"/>
          <w:tblCellMar>
            <w:top w:w="0" w:type="dxa"/>
            <w:left w:w="108" w:type="dxa"/>
            <w:bottom w:w="0" w:type="dxa"/>
            <w:right w:w="108" w:type="dxa"/>
          </w:tblCellMar>
        </w:tblPrEx>
        <w:trPr>
          <w:trHeight w:val="570"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底盘参考品牌</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上汽、宇通、东风、福田、江铃等。</w:t>
            </w:r>
            <w:r>
              <w:rPr>
                <w:rFonts w:hint="eastAsia" w:ascii="宋体" w:hAnsi="宋体" w:cs="宋体"/>
                <w:b/>
                <w:bCs/>
                <w:sz w:val="24"/>
                <w:szCs w:val="24"/>
              </w:rPr>
              <w:t>注：或同级别品牌(以符合参考品牌同样参数功能的证明为准），最终由采购人认可确定。</w:t>
            </w:r>
          </w:p>
        </w:tc>
      </w:tr>
      <w:tr>
        <w:tblPrEx>
          <w:shd w:val="clear" w:color="auto" w:fill="FFFFFF" w:themeFill="background1"/>
          <w:tblCellMar>
            <w:top w:w="0" w:type="dxa"/>
            <w:left w:w="108" w:type="dxa"/>
            <w:bottom w:w="0" w:type="dxa"/>
            <w:right w:w="108" w:type="dxa"/>
          </w:tblCellMar>
        </w:tblPrEx>
        <w:trPr>
          <w:trHeight w:val="570"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车架质保期</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≥质保1年或者3万公里（以先到为准），易损件除外</w:t>
            </w:r>
          </w:p>
        </w:tc>
      </w:tr>
      <w:tr>
        <w:tblPrEx>
          <w:shd w:val="clear" w:color="auto" w:fill="FFFFFF" w:themeFill="background1"/>
          <w:tblCellMar>
            <w:top w:w="0" w:type="dxa"/>
            <w:left w:w="108" w:type="dxa"/>
            <w:bottom w:w="0" w:type="dxa"/>
            <w:right w:w="108" w:type="dxa"/>
          </w:tblCellMar>
        </w:tblPrEx>
        <w:trPr>
          <w:trHeight w:val="28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numPr>
                <w:ilvl w:val="0"/>
                <w:numId w:val="2"/>
              </w:numPr>
              <w:jc w:val="center"/>
              <w:rPr>
                <w:rFonts w:ascii="宋体" w:hAnsi="宋体" w:cs="宋体"/>
                <w:b/>
                <w:bCs/>
                <w:sz w:val="24"/>
                <w:szCs w:val="24"/>
              </w:rPr>
            </w:pPr>
            <w:r>
              <w:rPr>
                <w:rFonts w:hint="eastAsia" w:ascii="宋体" w:hAnsi="宋体" w:cs="宋体"/>
                <w:b/>
                <w:bCs/>
                <w:sz w:val="24"/>
                <w:szCs w:val="24"/>
              </w:rPr>
              <w:t>7.5吨密闭压缩式垃圾运输车</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总质量（kg）</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≥8200kg</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整备质量</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▲≥5840kg（提供中国汽车网-汽车公告查询截图）</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额定载质量</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投标人自填</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外形尺寸</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投标人自填</w:t>
            </w:r>
          </w:p>
        </w:tc>
      </w:tr>
      <w:tr>
        <w:tblPrEx>
          <w:shd w:val="clear" w:color="auto" w:fill="FFFFFF" w:themeFill="background1"/>
          <w:tblCellMar>
            <w:top w:w="0" w:type="dxa"/>
            <w:left w:w="108" w:type="dxa"/>
            <w:bottom w:w="0" w:type="dxa"/>
            <w:right w:w="108" w:type="dxa"/>
          </w:tblCellMar>
        </w:tblPrEx>
        <w:trPr>
          <w:trHeight w:val="285" w:hRule="atLeast"/>
        </w:trPr>
        <w:tc>
          <w:tcPr>
            <w:tcW w:w="30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排放标准</w:t>
            </w:r>
          </w:p>
        </w:tc>
        <w:tc>
          <w:tcPr>
            <w:tcW w:w="54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国六</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前悬/后悬</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投标人自填</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接近角/离去角</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▲≥20/11°（提供中国汽车网-汽车公告查询截图）</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最大净功率</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≥90</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垃圾箱有效容积</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≥6m³</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投料口容积</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≥0.6m³</w:t>
            </w:r>
          </w:p>
        </w:tc>
      </w:tr>
      <w:tr>
        <w:tblPrEx>
          <w:shd w:val="clear" w:color="auto" w:fill="FFFFFF" w:themeFill="background1"/>
          <w:tblCellMar>
            <w:top w:w="0" w:type="dxa"/>
            <w:left w:w="108" w:type="dxa"/>
            <w:bottom w:w="0" w:type="dxa"/>
            <w:right w:w="108" w:type="dxa"/>
          </w:tblCellMar>
        </w:tblPrEx>
        <w:trPr>
          <w:trHeight w:val="570"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底盘参考品牌</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上汽、宇通、东风、福田、江铃等。</w:t>
            </w:r>
            <w:r>
              <w:rPr>
                <w:rFonts w:hint="eastAsia" w:ascii="宋体" w:hAnsi="宋体" w:cs="宋体"/>
                <w:b/>
                <w:bCs/>
                <w:sz w:val="24"/>
                <w:szCs w:val="24"/>
              </w:rPr>
              <w:t>注：或同级别品牌(以符合参考品牌同样参数功能的证明为准），最终由采购人认可确定。</w:t>
            </w:r>
          </w:p>
        </w:tc>
      </w:tr>
      <w:tr>
        <w:tblPrEx>
          <w:shd w:val="clear" w:color="auto" w:fill="FFFFFF" w:themeFill="background1"/>
          <w:tblCellMar>
            <w:top w:w="0" w:type="dxa"/>
            <w:left w:w="108" w:type="dxa"/>
            <w:bottom w:w="0" w:type="dxa"/>
            <w:right w:w="108" w:type="dxa"/>
          </w:tblCellMar>
        </w:tblPrEx>
        <w:trPr>
          <w:trHeight w:val="570"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车架质保期</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≥质保1年或者3万公里（以先到为准），易损件除外</w:t>
            </w:r>
          </w:p>
        </w:tc>
      </w:tr>
      <w:tr>
        <w:tblPrEx>
          <w:shd w:val="clear" w:color="auto" w:fill="FFFFFF" w:themeFill="background1"/>
          <w:tblCellMar>
            <w:top w:w="0" w:type="dxa"/>
            <w:left w:w="108" w:type="dxa"/>
            <w:bottom w:w="0" w:type="dxa"/>
            <w:right w:w="108" w:type="dxa"/>
          </w:tblCellMar>
        </w:tblPrEx>
        <w:trPr>
          <w:trHeight w:val="28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numPr>
                <w:ilvl w:val="0"/>
                <w:numId w:val="2"/>
              </w:numPr>
              <w:jc w:val="center"/>
              <w:rPr>
                <w:rFonts w:ascii="宋体" w:hAnsi="宋体" w:cs="宋体"/>
                <w:b/>
                <w:bCs/>
                <w:sz w:val="24"/>
                <w:szCs w:val="24"/>
              </w:rPr>
            </w:pPr>
            <w:r>
              <w:rPr>
                <w:rFonts w:hint="eastAsia" w:ascii="宋体" w:hAnsi="宋体" w:cs="宋体"/>
                <w:b/>
                <w:bCs/>
                <w:sz w:val="24"/>
                <w:szCs w:val="24"/>
              </w:rPr>
              <w:t>16米高空作业车</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总质量</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≥5520kg</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整备质量</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≥5195kg</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轴距</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≥3360mm</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长宽高</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投标人自填</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排放标准</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国六</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作业高度</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≥16.2m</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工作斗额定载荷</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≥200kg</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底盘参考品牌</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江铃。</w:t>
            </w:r>
            <w:r>
              <w:rPr>
                <w:rFonts w:hint="eastAsia" w:ascii="宋体" w:hAnsi="宋体" w:cs="宋体"/>
                <w:b/>
                <w:bCs/>
                <w:sz w:val="24"/>
                <w:szCs w:val="24"/>
              </w:rPr>
              <w:t>注：或同级别品牌(以符合参考品牌同样参数功能的证明为准），最终由采购人认可确定。</w:t>
            </w:r>
          </w:p>
        </w:tc>
      </w:tr>
      <w:tr>
        <w:tblPrEx>
          <w:shd w:val="clear" w:color="auto" w:fill="FFFFFF" w:themeFill="background1"/>
          <w:tblCellMar>
            <w:top w:w="0" w:type="dxa"/>
            <w:left w:w="108" w:type="dxa"/>
            <w:bottom w:w="0" w:type="dxa"/>
            <w:right w:w="108" w:type="dxa"/>
          </w:tblCellMar>
        </w:tblPrEx>
        <w:trPr>
          <w:trHeight w:val="570"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车架质保期</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≥质保1年或者3万公里（以先到为准），易损件除外</w:t>
            </w:r>
          </w:p>
        </w:tc>
      </w:tr>
      <w:tr>
        <w:tblPrEx>
          <w:shd w:val="clear" w:color="auto" w:fill="FFFFFF" w:themeFill="background1"/>
          <w:tblCellMar>
            <w:top w:w="0" w:type="dxa"/>
            <w:left w:w="108" w:type="dxa"/>
            <w:bottom w:w="0" w:type="dxa"/>
            <w:right w:w="108" w:type="dxa"/>
          </w:tblCellMar>
        </w:tblPrEx>
        <w:trPr>
          <w:trHeight w:val="28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numPr>
                <w:ilvl w:val="0"/>
                <w:numId w:val="2"/>
              </w:numPr>
              <w:jc w:val="center"/>
              <w:rPr>
                <w:rFonts w:ascii="宋体" w:hAnsi="宋体" w:cs="宋体"/>
                <w:b/>
                <w:bCs/>
                <w:sz w:val="24"/>
                <w:szCs w:val="24"/>
              </w:rPr>
            </w:pPr>
            <w:r>
              <w:rPr>
                <w:rFonts w:hint="eastAsia" w:ascii="宋体" w:hAnsi="宋体" w:cs="宋体"/>
                <w:b/>
                <w:bCs/>
                <w:sz w:val="24"/>
                <w:szCs w:val="24"/>
              </w:rPr>
              <w:t>路面养护车</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总质量（kg）</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≥3495kg</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整备质量</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▲≥1940（提供中国汽车网-汽车公告查询截图）</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额定载质量</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投标人自填</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外形尺寸</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投标人自填</w:t>
            </w:r>
          </w:p>
        </w:tc>
      </w:tr>
      <w:tr>
        <w:tblPrEx>
          <w:shd w:val="clear" w:color="auto" w:fill="FFFFFF" w:themeFill="background1"/>
          <w:tblCellMar>
            <w:top w:w="0" w:type="dxa"/>
            <w:left w:w="108" w:type="dxa"/>
            <w:bottom w:w="0" w:type="dxa"/>
            <w:right w:w="108" w:type="dxa"/>
          </w:tblCellMar>
        </w:tblPrEx>
        <w:trPr>
          <w:trHeight w:val="285" w:hRule="atLeast"/>
        </w:trPr>
        <w:tc>
          <w:tcPr>
            <w:tcW w:w="30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排放标准</w:t>
            </w:r>
          </w:p>
        </w:tc>
        <w:tc>
          <w:tcPr>
            <w:tcW w:w="54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国六</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前悬/后悬</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投标人自填</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接近角/离去角</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▲≥10/21°（提供中国汽车网-汽车公告查询截图）</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最大净功率</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≥80kw</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水箱有效容积</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≥1.9m³</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水箱制作材料</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Q345钢材、优质碳钢、不锈钢板。</w:t>
            </w:r>
          </w:p>
        </w:tc>
      </w:tr>
      <w:tr>
        <w:tblPrEx>
          <w:shd w:val="clear" w:color="auto" w:fill="FFFFFF" w:themeFill="background1"/>
          <w:tblCellMar>
            <w:top w:w="0" w:type="dxa"/>
            <w:left w:w="108" w:type="dxa"/>
            <w:bottom w:w="0" w:type="dxa"/>
            <w:right w:w="108" w:type="dxa"/>
          </w:tblCellMar>
        </w:tblPrEx>
        <w:trPr>
          <w:trHeight w:val="570"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底盘参考品牌</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上汽、长安、东风、福田、江铃等。</w:t>
            </w:r>
            <w:r>
              <w:rPr>
                <w:rFonts w:hint="eastAsia" w:ascii="宋体" w:hAnsi="宋体" w:cs="宋体"/>
                <w:b/>
                <w:bCs/>
                <w:sz w:val="24"/>
                <w:szCs w:val="24"/>
              </w:rPr>
              <w:t>注：或同级别品牌(以符合参考品牌同样参数功能的证明为准），最终由采购人认可确定。</w:t>
            </w:r>
          </w:p>
        </w:tc>
      </w:tr>
      <w:tr>
        <w:tblPrEx>
          <w:shd w:val="clear" w:color="auto" w:fill="FFFFFF" w:themeFill="background1"/>
          <w:tblCellMar>
            <w:top w:w="0" w:type="dxa"/>
            <w:left w:w="108" w:type="dxa"/>
            <w:bottom w:w="0" w:type="dxa"/>
            <w:right w:w="108" w:type="dxa"/>
          </w:tblCellMar>
        </w:tblPrEx>
        <w:trPr>
          <w:trHeight w:val="570"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车架质保期</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≥质保1年或者3万公里（以先到为准），易损件除外</w:t>
            </w:r>
          </w:p>
        </w:tc>
      </w:tr>
      <w:tr>
        <w:tblPrEx>
          <w:shd w:val="clear" w:color="auto" w:fill="FFFFFF" w:themeFill="background1"/>
          <w:tblCellMar>
            <w:top w:w="0" w:type="dxa"/>
            <w:left w:w="108" w:type="dxa"/>
            <w:bottom w:w="0" w:type="dxa"/>
            <w:right w:w="108" w:type="dxa"/>
          </w:tblCellMar>
        </w:tblPrEx>
        <w:trPr>
          <w:trHeight w:val="570"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每台配备七孔手推洗地排+暴风洗地盘</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配备七孔手推洗地排+暴风洗地盘</w:t>
            </w:r>
          </w:p>
        </w:tc>
      </w:tr>
      <w:tr>
        <w:tblPrEx>
          <w:shd w:val="clear" w:color="auto" w:fill="FFFFFF" w:themeFill="background1"/>
          <w:tblCellMar>
            <w:top w:w="0" w:type="dxa"/>
            <w:left w:w="108" w:type="dxa"/>
            <w:bottom w:w="0" w:type="dxa"/>
            <w:right w:w="108" w:type="dxa"/>
          </w:tblCellMar>
        </w:tblPrEx>
        <w:trPr>
          <w:trHeight w:val="28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numPr>
                <w:ilvl w:val="0"/>
                <w:numId w:val="2"/>
              </w:numPr>
              <w:jc w:val="center"/>
              <w:rPr>
                <w:rFonts w:ascii="宋体" w:hAnsi="宋体" w:cs="宋体"/>
                <w:b/>
                <w:bCs/>
                <w:sz w:val="24"/>
                <w:szCs w:val="24"/>
              </w:rPr>
            </w:pPr>
            <w:r>
              <w:rPr>
                <w:rFonts w:hint="eastAsia" w:ascii="宋体" w:hAnsi="宋体" w:cs="宋体"/>
                <w:b/>
                <w:bCs/>
                <w:sz w:val="24"/>
                <w:szCs w:val="24"/>
              </w:rPr>
              <w:t>18吨抑尘车</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总质量（kg）</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≥18000kg</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整备质量</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▲≥10810kg（提供中国汽车网-汽车公告查询截图）</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额定载质量</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投标人自填</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电池总储存量</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≥280kwh</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清洗宽度</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≥14 m</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公告罐体有效容积</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≥7m³</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外形尺寸</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tcPr>
          <w:p>
            <w:pPr>
              <w:jc w:val="center"/>
            </w:pPr>
            <w:r>
              <w:rPr>
                <w:rFonts w:hint="eastAsia" w:ascii="宋体" w:hAnsi="宋体" w:cs="宋体"/>
                <w:sz w:val="24"/>
                <w:szCs w:val="24"/>
              </w:rPr>
              <w:t>投标人自填</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前悬/后悬</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tcPr>
          <w:p>
            <w:pPr>
              <w:jc w:val="center"/>
            </w:pPr>
            <w:r>
              <w:rPr>
                <w:rFonts w:hint="eastAsia" w:ascii="宋体" w:hAnsi="宋体" w:cs="宋体"/>
                <w:sz w:val="24"/>
                <w:szCs w:val="24"/>
              </w:rPr>
              <w:t>投标人自填</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接近角/离去角</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▲≥11/10°（提供中国汽车网-汽车公告查询截图）</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底盘参考品牌</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东风、宇通、吉利。</w:t>
            </w:r>
            <w:r>
              <w:rPr>
                <w:rFonts w:hint="eastAsia" w:ascii="宋体" w:hAnsi="宋体" w:cs="宋体"/>
                <w:b/>
                <w:bCs/>
                <w:sz w:val="24"/>
                <w:szCs w:val="24"/>
              </w:rPr>
              <w:t>注：或同级别品牌(以符合参考品牌同样参数功能的证明为准），最终由采购人认可确定。</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电池参考品牌</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宁德时代。</w:t>
            </w:r>
            <w:r>
              <w:rPr>
                <w:rFonts w:hint="eastAsia" w:ascii="宋体" w:hAnsi="宋体" w:cs="宋体"/>
                <w:b/>
                <w:bCs/>
                <w:sz w:val="24"/>
                <w:szCs w:val="24"/>
              </w:rPr>
              <w:t>注：或同级别品牌(以符合参考品牌同样参数功能的证明为准），最终由采购人认可确定。</w:t>
            </w:r>
          </w:p>
        </w:tc>
      </w:tr>
      <w:tr>
        <w:tblPrEx>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快速充满蓄电池时间</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≤2.2h</w:t>
            </w:r>
          </w:p>
        </w:tc>
      </w:tr>
      <w:tr>
        <w:tblPrEx>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三电系统质保期</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5年</w:t>
            </w:r>
          </w:p>
        </w:tc>
      </w:tr>
      <w:tr>
        <w:tblPrEx>
          <w:tblCellMar>
            <w:top w:w="0" w:type="dxa"/>
            <w:left w:w="108" w:type="dxa"/>
            <w:bottom w:w="0" w:type="dxa"/>
            <w:right w:w="108" w:type="dxa"/>
          </w:tblCellMar>
        </w:tblPrEx>
        <w:trPr>
          <w:trHeight w:val="570"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车架质保期</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≥质保1年或者3万公里（以先到为准），易损件除外</w:t>
            </w:r>
          </w:p>
        </w:tc>
      </w:tr>
      <w:tr>
        <w:tblPrEx>
          <w:tblCellMar>
            <w:top w:w="0" w:type="dxa"/>
            <w:left w:w="108" w:type="dxa"/>
            <w:bottom w:w="0" w:type="dxa"/>
            <w:right w:w="108" w:type="dxa"/>
          </w:tblCellMar>
        </w:tblPrEx>
        <w:trPr>
          <w:trHeight w:val="28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numPr>
                <w:ilvl w:val="0"/>
                <w:numId w:val="2"/>
              </w:numPr>
              <w:jc w:val="center"/>
              <w:rPr>
                <w:rFonts w:ascii="宋体" w:hAnsi="宋体" w:cs="宋体"/>
                <w:b/>
                <w:bCs/>
                <w:sz w:val="24"/>
                <w:szCs w:val="24"/>
              </w:rPr>
            </w:pPr>
            <w:r>
              <w:rPr>
                <w:rFonts w:hint="eastAsia" w:ascii="宋体" w:hAnsi="宋体" w:cs="宋体"/>
                <w:b/>
                <w:bCs/>
                <w:sz w:val="24"/>
                <w:szCs w:val="24"/>
              </w:rPr>
              <w:t>平板自卸车</w:t>
            </w:r>
          </w:p>
        </w:tc>
      </w:tr>
      <w:tr>
        <w:tblPrEx>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排放标准</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国六标准、柴油</w:t>
            </w:r>
          </w:p>
        </w:tc>
      </w:tr>
      <w:tr>
        <w:tblPrEx>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轴距</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≥3360mm</w:t>
            </w:r>
          </w:p>
        </w:tc>
      </w:tr>
      <w:tr>
        <w:tblPrEx>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长宽高</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≥5980×1895×2065</w:t>
            </w:r>
          </w:p>
        </w:tc>
      </w:tr>
      <w:tr>
        <w:tblPrEx>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整备质量（kg）</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≥2720</w:t>
            </w:r>
          </w:p>
        </w:tc>
      </w:tr>
      <w:tr>
        <w:tblPrEx>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额定载质量（kg）</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投标人自填</w:t>
            </w:r>
          </w:p>
        </w:tc>
      </w:tr>
      <w:tr>
        <w:tblPrEx>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总质量（kg）</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≥4495</w:t>
            </w:r>
          </w:p>
        </w:tc>
      </w:tr>
      <w:tr>
        <w:tblPrEx>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货箱形式</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自卸式</w:t>
            </w:r>
          </w:p>
        </w:tc>
      </w:tr>
      <w:tr>
        <w:tblPrEx>
          <w:shd w:val="clear" w:color="auto" w:fill="FFFFFF" w:themeFill="background1"/>
          <w:tblCellMar>
            <w:top w:w="0" w:type="dxa"/>
            <w:left w:w="108" w:type="dxa"/>
            <w:bottom w:w="0" w:type="dxa"/>
            <w:right w:w="108" w:type="dxa"/>
          </w:tblCellMar>
        </w:tblPrEx>
        <w:trPr>
          <w:trHeight w:val="285" w:hRule="atLeast"/>
        </w:trPr>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车辆颜色</w:t>
            </w:r>
          </w:p>
        </w:tc>
        <w:tc>
          <w:tcPr>
            <w:tcW w:w="32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工程黄</w:t>
            </w:r>
          </w:p>
        </w:tc>
      </w:tr>
    </w:tbl>
    <w:p>
      <w:pPr>
        <w:keepNext/>
        <w:keepLines/>
        <w:widowControl w:val="0"/>
        <w:numPr>
          <w:ilvl w:val="0"/>
          <w:numId w:val="3"/>
        </w:numPr>
        <w:adjustRightInd/>
        <w:snapToGrid/>
        <w:rPr>
          <w:rFonts w:ascii="宋体" w:hAnsi="宋体" w:cs="宋体"/>
          <w:b/>
          <w:bCs/>
          <w:sz w:val="24"/>
          <w:szCs w:val="24"/>
        </w:rPr>
      </w:pPr>
      <w:r>
        <w:rPr>
          <w:rFonts w:hint="eastAsia" w:ascii="宋体" w:hAnsi="宋体" w:cs="宋体"/>
          <w:b/>
          <w:bCs/>
          <w:sz w:val="24"/>
          <w:szCs w:val="24"/>
        </w:rPr>
        <w:t>电动扫路车：</w:t>
      </w:r>
    </w:p>
    <w:tbl>
      <w:tblPr>
        <w:tblStyle w:val="2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4036"/>
        <w:gridCol w:w="4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2368" w:type="pct"/>
            <w:tcBorders>
              <w:tl2br w:val="nil"/>
              <w:tr2bl w:val="nil"/>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项           目</w:t>
            </w:r>
          </w:p>
        </w:tc>
        <w:tc>
          <w:tcPr>
            <w:tcW w:w="2631" w:type="pct"/>
            <w:tcBorders>
              <w:tl2br w:val="nil"/>
              <w:tr2bl w:val="nil"/>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型  号  及  参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68" w:type="pct"/>
            <w:tcBorders>
              <w:tl2br w:val="nil"/>
              <w:tr2bl w:val="nil"/>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总质量</w:t>
            </w:r>
          </w:p>
        </w:tc>
        <w:tc>
          <w:tcPr>
            <w:tcW w:w="2631" w:type="pct"/>
            <w:tcBorders>
              <w:tl2br w:val="nil"/>
              <w:tr2bl w:val="nil"/>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≥2000kg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68" w:type="pct"/>
            <w:tcBorders>
              <w:tl2br w:val="nil"/>
              <w:tr2bl w:val="nil"/>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整备质量</w:t>
            </w:r>
          </w:p>
        </w:tc>
        <w:tc>
          <w:tcPr>
            <w:tcW w:w="2631" w:type="pct"/>
            <w:tcBorders>
              <w:tl2br w:val="nil"/>
              <w:tr2bl w:val="nil"/>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≥1750kg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68" w:type="pct"/>
            <w:tcBorders>
              <w:tl2br w:val="nil"/>
              <w:tr2bl w:val="nil"/>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整车电量</w:t>
            </w:r>
          </w:p>
        </w:tc>
        <w:tc>
          <w:tcPr>
            <w:tcW w:w="2631" w:type="pct"/>
            <w:tcBorders>
              <w:tl2br w:val="nil"/>
              <w:tr2bl w:val="nil"/>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≥33kW·h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68" w:type="pct"/>
            <w:tcBorders>
              <w:tl2br w:val="nil"/>
              <w:tr2bl w:val="nil"/>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最高车速</w:t>
            </w:r>
          </w:p>
        </w:tc>
        <w:tc>
          <w:tcPr>
            <w:tcW w:w="2631" w:type="pct"/>
            <w:tcBorders>
              <w:tl2br w:val="nil"/>
              <w:tr2bl w:val="nil"/>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≥20km/h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68" w:type="pct"/>
            <w:tcBorders>
              <w:tl2br w:val="nil"/>
              <w:tr2bl w:val="nil"/>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爬坡度</w:t>
            </w:r>
          </w:p>
        </w:tc>
        <w:tc>
          <w:tcPr>
            <w:tcW w:w="2631" w:type="pct"/>
            <w:tcBorders>
              <w:tl2br w:val="nil"/>
              <w:tr2bl w:val="nil"/>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68" w:type="pct"/>
            <w:tcBorders>
              <w:tl2br w:val="nil"/>
              <w:tr2bl w:val="nil"/>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最小转弯半径</w:t>
            </w:r>
          </w:p>
        </w:tc>
        <w:tc>
          <w:tcPr>
            <w:tcW w:w="2631" w:type="pct"/>
            <w:tcBorders>
              <w:tl2br w:val="nil"/>
              <w:tr2bl w:val="nil"/>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lang w:val="zh-CN"/>
              </w:rPr>
              <w:t>≤</w:t>
            </w:r>
            <w:r>
              <w:rPr>
                <w:rFonts w:hint="eastAsia" w:ascii="宋体" w:hAnsi="宋体" w:cs="宋体"/>
                <w:sz w:val="24"/>
                <w:szCs w:val="24"/>
              </w:rPr>
              <w:t>2.25m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68" w:type="pct"/>
            <w:tcBorders>
              <w:tl2br w:val="nil"/>
              <w:tr2bl w:val="nil"/>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最大清扫宽度</w:t>
            </w:r>
          </w:p>
        </w:tc>
        <w:tc>
          <w:tcPr>
            <w:tcW w:w="2631" w:type="pct"/>
            <w:tcBorders>
              <w:tl2br w:val="nil"/>
              <w:tr2bl w:val="nil"/>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≥2000mm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68" w:type="pct"/>
            <w:tcBorders>
              <w:tl2br w:val="nil"/>
              <w:tr2bl w:val="nil"/>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作业速度</w:t>
            </w:r>
          </w:p>
        </w:tc>
        <w:tc>
          <w:tcPr>
            <w:tcW w:w="2631" w:type="pct"/>
            <w:tcBorders>
              <w:tl2br w:val="nil"/>
              <w:tr2bl w:val="nil"/>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≥0～8km/h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68" w:type="pct"/>
            <w:tcBorders>
              <w:tl2br w:val="nil"/>
              <w:tr2bl w:val="nil"/>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最大作业能力</w:t>
            </w:r>
          </w:p>
        </w:tc>
        <w:tc>
          <w:tcPr>
            <w:tcW w:w="2631" w:type="pct"/>
            <w:tcBorders>
              <w:tl2br w:val="nil"/>
              <w:tr2bl w:val="nil"/>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≥16000m2/h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2368" w:type="pct"/>
            <w:tcBorders>
              <w:tl2br w:val="nil"/>
              <w:tr2bl w:val="nil"/>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垃圾装载容积</w:t>
            </w:r>
          </w:p>
        </w:tc>
        <w:tc>
          <w:tcPr>
            <w:tcW w:w="2631" w:type="pct"/>
            <w:tcBorders>
              <w:tl2br w:val="nil"/>
              <w:tr2bl w:val="nil"/>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240L标准垃圾桶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68" w:type="pct"/>
            <w:tcBorders>
              <w:tl2br w:val="nil"/>
              <w:tr2bl w:val="nil"/>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清水箱容积</w:t>
            </w:r>
          </w:p>
        </w:tc>
        <w:tc>
          <w:tcPr>
            <w:tcW w:w="2631" w:type="pct"/>
            <w:tcBorders>
              <w:tl2br w:val="nil"/>
              <w:tr2bl w:val="nil"/>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≥180L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68" w:type="pct"/>
            <w:tcBorders>
              <w:tl2br w:val="nil"/>
              <w:tr2bl w:val="nil"/>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作业噪声</w:t>
            </w:r>
          </w:p>
        </w:tc>
        <w:tc>
          <w:tcPr>
            <w:tcW w:w="2631" w:type="pct"/>
            <w:tcBorders>
              <w:tl2br w:val="nil"/>
              <w:tr2bl w:val="nil"/>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68" w:type="pct"/>
            <w:tcBorders>
              <w:tl2br w:val="nil"/>
              <w:tr2bl w:val="nil"/>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连续清扫作业时间</w:t>
            </w:r>
          </w:p>
        </w:tc>
        <w:tc>
          <w:tcPr>
            <w:tcW w:w="2631" w:type="pct"/>
            <w:tcBorders>
              <w:tl2br w:val="nil"/>
              <w:tr2bl w:val="nil"/>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≥6h</w:t>
            </w:r>
          </w:p>
        </w:tc>
      </w:tr>
    </w:tbl>
    <w:p>
      <w:pPr>
        <w:keepNext/>
        <w:keepLines/>
        <w:widowControl w:val="0"/>
        <w:numPr>
          <w:ilvl w:val="0"/>
          <w:numId w:val="3"/>
        </w:numPr>
        <w:adjustRightInd/>
        <w:snapToGrid/>
        <w:rPr>
          <w:rFonts w:ascii="宋体" w:hAnsi="宋体" w:cs="宋体"/>
          <w:b/>
          <w:bCs/>
          <w:sz w:val="24"/>
          <w:szCs w:val="24"/>
        </w:rPr>
      </w:pPr>
      <w:r>
        <w:rPr>
          <w:rFonts w:hint="eastAsia" w:ascii="宋体" w:hAnsi="宋体" w:cs="宋体"/>
          <w:b/>
          <w:bCs/>
          <w:sz w:val="24"/>
          <w:szCs w:val="24"/>
        </w:rPr>
        <w:t>垃圾分类收集车技术参数：</w:t>
      </w:r>
    </w:p>
    <w:tbl>
      <w:tblPr>
        <w:tblStyle w:val="28"/>
        <w:tblW w:w="5000" w:type="pct"/>
        <w:jc w:val="center"/>
        <w:tblLayout w:type="autofit"/>
        <w:tblCellMar>
          <w:top w:w="15" w:type="dxa"/>
          <w:left w:w="15" w:type="dxa"/>
          <w:bottom w:w="15" w:type="dxa"/>
          <w:right w:w="15" w:type="dxa"/>
        </w:tblCellMar>
      </w:tblPr>
      <w:tblGrid>
        <w:gridCol w:w="1374"/>
        <w:gridCol w:w="1440"/>
        <w:gridCol w:w="2119"/>
        <w:gridCol w:w="935"/>
        <w:gridCol w:w="2468"/>
      </w:tblGrid>
      <w:tr>
        <w:tblPrEx>
          <w:tblCellMar>
            <w:top w:w="15" w:type="dxa"/>
            <w:left w:w="15" w:type="dxa"/>
            <w:bottom w:w="15" w:type="dxa"/>
            <w:right w:w="15" w:type="dxa"/>
          </w:tblCellMar>
        </w:tblPrEx>
        <w:trPr>
          <w:trHeight w:val="447" w:hRule="atLeast"/>
          <w:jc w:val="center"/>
        </w:trPr>
        <w:tc>
          <w:tcPr>
            <w:tcW w:w="5000" w:type="pct"/>
            <w:gridSpan w:val="5"/>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技 术 参 数</w:t>
            </w:r>
          </w:p>
        </w:tc>
      </w:tr>
      <w:tr>
        <w:tblPrEx>
          <w:tblCellMar>
            <w:top w:w="15" w:type="dxa"/>
            <w:left w:w="15" w:type="dxa"/>
            <w:bottom w:w="15" w:type="dxa"/>
            <w:right w:w="15" w:type="dxa"/>
          </w:tblCellMar>
        </w:tblPrEx>
        <w:trPr>
          <w:trHeight w:val="523" w:hRule="atLeast"/>
          <w:jc w:val="center"/>
        </w:trPr>
        <w:tc>
          <w:tcPr>
            <w:tcW w:w="2958" w:type="pct"/>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项目名称</w:t>
            </w:r>
          </w:p>
        </w:tc>
        <w:tc>
          <w:tcPr>
            <w:tcW w:w="561"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单位</w:t>
            </w:r>
          </w:p>
        </w:tc>
        <w:tc>
          <w:tcPr>
            <w:tcW w:w="1481"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参数</w:t>
            </w:r>
          </w:p>
        </w:tc>
      </w:tr>
      <w:tr>
        <w:tblPrEx>
          <w:tblCellMar>
            <w:top w:w="15" w:type="dxa"/>
            <w:left w:w="15" w:type="dxa"/>
            <w:bottom w:w="15" w:type="dxa"/>
            <w:right w:w="15" w:type="dxa"/>
          </w:tblCellMar>
        </w:tblPrEx>
        <w:trPr>
          <w:trHeight w:val="510" w:hRule="atLeast"/>
          <w:jc w:val="center"/>
        </w:trPr>
        <w:tc>
          <w:tcPr>
            <w:tcW w:w="2958" w:type="pct"/>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额定乘员</w:t>
            </w:r>
          </w:p>
        </w:tc>
        <w:tc>
          <w:tcPr>
            <w:tcW w:w="561"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人</w:t>
            </w:r>
          </w:p>
        </w:tc>
        <w:tc>
          <w:tcPr>
            <w:tcW w:w="1481"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≥2</w:t>
            </w:r>
          </w:p>
        </w:tc>
      </w:tr>
      <w:tr>
        <w:tblPrEx>
          <w:tblCellMar>
            <w:top w:w="15" w:type="dxa"/>
            <w:left w:w="15" w:type="dxa"/>
            <w:bottom w:w="15" w:type="dxa"/>
            <w:right w:w="15" w:type="dxa"/>
          </w:tblCellMar>
        </w:tblPrEx>
        <w:trPr>
          <w:trHeight w:val="510" w:hRule="atLeast"/>
          <w:jc w:val="center"/>
        </w:trPr>
        <w:tc>
          <w:tcPr>
            <w:tcW w:w="2958" w:type="pct"/>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额定垃圾桶装量</w:t>
            </w:r>
          </w:p>
        </w:tc>
        <w:tc>
          <w:tcPr>
            <w:tcW w:w="561"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只</w:t>
            </w:r>
          </w:p>
        </w:tc>
        <w:tc>
          <w:tcPr>
            <w:tcW w:w="1481"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≥8 (240L）</w:t>
            </w:r>
          </w:p>
        </w:tc>
      </w:tr>
      <w:tr>
        <w:tblPrEx>
          <w:tblCellMar>
            <w:top w:w="15" w:type="dxa"/>
            <w:left w:w="15" w:type="dxa"/>
            <w:bottom w:w="15" w:type="dxa"/>
            <w:right w:w="15" w:type="dxa"/>
          </w:tblCellMar>
        </w:tblPrEx>
        <w:trPr>
          <w:trHeight w:val="510" w:hRule="atLeast"/>
          <w:jc w:val="center"/>
        </w:trPr>
        <w:tc>
          <w:tcPr>
            <w:tcW w:w="824" w:type="pct"/>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重要</w:t>
            </w:r>
          </w:p>
          <w:p>
            <w:pPr>
              <w:jc w:val="center"/>
              <w:rPr>
                <w:rFonts w:ascii="宋体" w:hAnsi="宋体" w:cs="宋体"/>
                <w:sz w:val="24"/>
                <w:szCs w:val="24"/>
              </w:rPr>
            </w:pPr>
            <w:r>
              <w:rPr>
                <w:rFonts w:hint="eastAsia" w:ascii="宋体" w:hAnsi="宋体" w:cs="宋体"/>
                <w:sz w:val="24"/>
                <w:szCs w:val="24"/>
              </w:rPr>
              <w:t>尺寸</w:t>
            </w:r>
          </w:p>
        </w:tc>
        <w:tc>
          <w:tcPr>
            <w:tcW w:w="2135" w:type="pct"/>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整车长</w:t>
            </w:r>
          </w:p>
        </w:tc>
        <w:tc>
          <w:tcPr>
            <w:tcW w:w="561"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mm</w:t>
            </w:r>
          </w:p>
        </w:tc>
        <w:tc>
          <w:tcPr>
            <w:tcW w:w="1481" w:type="pct"/>
            <w:tcBorders>
              <w:top w:val="single" w:color="000000" w:sz="6" w:space="0"/>
              <w:left w:val="single" w:color="000000" w:sz="6" w:space="0"/>
              <w:bottom w:val="single" w:color="000000" w:sz="6" w:space="0"/>
              <w:right w:val="single" w:color="000000" w:sz="6" w:space="0"/>
            </w:tcBorders>
          </w:tcPr>
          <w:p>
            <w:pPr>
              <w:jc w:val="center"/>
            </w:pPr>
            <w:r>
              <w:rPr>
                <w:rFonts w:hint="eastAsia" w:ascii="宋体" w:hAnsi="宋体" w:cs="宋体"/>
                <w:sz w:val="24"/>
                <w:szCs w:val="24"/>
              </w:rPr>
              <w:t>投标人自填</w:t>
            </w:r>
          </w:p>
        </w:tc>
      </w:tr>
      <w:tr>
        <w:tblPrEx>
          <w:tblCellMar>
            <w:top w:w="15" w:type="dxa"/>
            <w:left w:w="15" w:type="dxa"/>
            <w:bottom w:w="15" w:type="dxa"/>
            <w:right w:w="15" w:type="dxa"/>
          </w:tblCellMar>
        </w:tblPrEx>
        <w:trPr>
          <w:trHeight w:val="510" w:hRule="atLeast"/>
          <w:jc w:val="center"/>
        </w:trPr>
        <w:tc>
          <w:tcPr>
            <w:tcW w:w="824" w:type="pct"/>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p>
        </w:tc>
        <w:tc>
          <w:tcPr>
            <w:tcW w:w="2135" w:type="pct"/>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整车宽</w:t>
            </w:r>
          </w:p>
        </w:tc>
        <w:tc>
          <w:tcPr>
            <w:tcW w:w="561"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mm</w:t>
            </w:r>
          </w:p>
        </w:tc>
        <w:tc>
          <w:tcPr>
            <w:tcW w:w="1481" w:type="pct"/>
            <w:tcBorders>
              <w:top w:val="single" w:color="000000" w:sz="6" w:space="0"/>
              <w:left w:val="single" w:color="000000" w:sz="6" w:space="0"/>
              <w:bottom w:val="single" w:color="000000" w:sz="6" w:space="0"/>
              <w:right w:val="single" w:color="000000" w:sz="6" w:space="0"/>
            </w:tcBorders>
          </w:tcPr>
          <w:p>
            <w:pPr>
              <w:jc w:val="center"/>
            </w:pPr>
            <w:r>
              <w:rPr>
                <w:rFonts w:hint="eastAsia" w:ascii="宋体" w:hAnsi="宋体" w:cs="宋体"/>
                <w:sz w:val="24"/>
                <w:szCs w:val="24"/>
              </w:rPr>
              <w:t>投标人自填</w:t>
            </w:r>
          </w:p>
        </w:tc>
      </w:tr>
      <w:tr>
        <w:tblPrEx>
          <w:tblCellMar>
            <w:top w:w="15" w:type="dxa"/>
            <w:left w:w="15" w:type="dxa"/>
            <w:bottom w:w="15" w:type="dxa"/>
            <w:right w:w="15" w:type="dxa"/>
          </w:tblCellMar>
        </w:tblPrEx>
        <w:trPr>
          <w:trHeight w:val="510" w:hRule="atLeast"/>
          <w:jc w:val="center"/>
        </w:trPr>
        <w:tc>
          <w:tcPr>
            <w:tcW w:w="824" w:type="pct"/>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p>
        </w:tc>
        <w:tc>
          <w:tcPr>
            <w:tcW w:w="2135" w:type="pct"/>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整车高</w:t>
            </w:r>
          </w:p>
        </w:tc>
        <w:tc>
          <w:tcPr>
            <w:tcW w:w="561"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mm</w:t>
            </w:r>
          </w:p>
        </w:tc>
        <w:tc>
          <w:tcPr>
            <w:tcW w:w="1481" w:type="pct"/>
            <w:tcBorders>
              <w:top w:val="single" w:color="000000" w:sz="6" w:space="0"/>
              <w:left w:val="single" w:color="000000" w:sz="6" w:space="0"/>
              <w:bottom w:val="single" w:color="000000" w:sz="6" w:space="0"/>
              <w:right w:val="single" w:color="000000" w:sz="6" w:space="0"/>
            </w:tcBorders>
          </w:tcPr>
          <w:p>
            <w:pPr>
              <w:jc w:val="center"/>
            </w:pPr>
            <w:r>
              <w:rPr>
                <w:rFonts w:hint="eastAsia" w:ascii="宋体" w:hAnsi="宋体" w:cs="宋体"/>
                <w:sz w:val="24"/>
                <w:szCs w:val="24"/>
              </w:rPr>
              <w:t>投标人自填</w:t>
            </w:r>
          </w:p>
        </w:tc>
      </w:tr>
      <w:tr>
        <w:tblPrEx>
          <w:tblCellMar>
            <w:top w:w="15" w:type="dxa"/>
            <w:left w:w="15" w:type="dxa"/>
            <w:bottom w:w="15" w:type="dxa"/>
            <w:right w:w="15" w:type="dxa"/>
          </w:tblCellMar>
        </w:tblPrEx>
        <w:trPr>
          <w:trHeight w:val="510" w:hRule="atLeast"/>
          <w:jc w:val="center"/>
        </w:trPr>
        <w:tc>
          <w:tcPr>
            <w:tcW w:w="824" w:type="pct"/>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p>
        </w:tc>
        <w:tc>
          <w:tcPr>
            <w:tcW w:w="864" w:type="pct"/>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轮距</w:t>
            </w:r>
          </w:p>
        </w:tc>
        <w:tc>
          <w:tcPr>
            <w:tcW w:w="1271"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前轮距</w:t>
            </w:r>
          </w:p>
        </w:tc>
        <w:tc>
          <w:tcPr>
            <w:tcW w:w="561"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mm</w:t>
            </w:r>
          </w:p>
        </w:tc>
        <w:tc>
          <w:tcPr>
            <w:tcW w:w="1481"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≥1200</w:t>
            </w:r>
          </w:p>
        </w:tc>
      </w:tr>
      <w:tr>
        <w:tblPrEx>
          <w:tblCellMar>
            <w:top w:w="15" w:type="dxa"/>
            <w:left w:w="15" w:type="dxa"/>
            <w:bottom w:w="15" w:type="dxa"/>
            <w:right w:w="15" w:type="dxa"/>
          </w:tblCellMar>
        </w:tblPrEx>
        <w:trPr>
          <w:trHeight w:val="510" w:hRule="atLeast"/>
          <w:jc w:val="center"/>
        </w:trPr>
        <w:tc>
          <w:tcPr>
            <w:tcW w:w="824" w:type="pct"/>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p>
        </w:tc>
        <w:tc>
          <w:tcPr>
            <w:tcW w:w="864" w:type="pct"/>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p>
        </w:tc>
        <w:tc>
          <w:tcPr>
            <w:tcW w:w="1271"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后轮距</w:t>
            </w:r>
          </w:p>
        </w:tc>
        <w:tc>
          <w:tcPr>
            <w:tcW w:w="561"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mm</w:t>
            </w:r>
          </w:p>
        </w:tc>
        <w:tc>
          <w:tcPr>
            <w:tcW w:w="1481"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≥1200</w:t>
            </w:r>
          </w:p>
        </w:tc>
      </w:tr>
      <w:tr>
        <w:tblPrEx>
          <w:tblCellMar>
            <w:top w:w="15" w:type="dxa"/>
            <w:left w:w="15" w:type="dxa"/>
            <w:bottom w:w="15" w:type="dxa"/>
            <w:right w:w="15" w:type="dxa"/>
          </w:tblCellMar>
        </w:tblPrEx>
        <w:trPr>
          <w:trHeight w:val="510" w:hRule="atLeast"/>
          <w:jc w:val="center"/>
        </w:trPr>
        <w:tc>
          <w:tcPr>
            <w:tcW w:w="824" w:type="pct"/>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p>
        </w:tc>
        <w:tc>
          <w:tcPr>
            <w:tcW w:w="2135" w:type="pct"/>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轴距</w:t>
            </w:r>
          </w:p>
        </w:tc>
        <w:tc>
          <w:tcPr>
            <w:tcW w:w="561"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mm</w:t>
            </w:r>
          </w:p>
        </w:tc>
        <w:tc>
          <w:tcPr>
            <w:tcW w:w="1481"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≥2470</w:t>
            </w:r>
          </w:p>
        </w:tc>
      </w:tr>
      <w:tr>
        <w:tblPrEx>
          <w:tblCellMar>
            <w:top w:w="15" w:type="dxa"/>
            <w:left w:w="15" w:type="dxa"/>
            <w:bottom w:w="15" w:type="dxa"/>
            <w:right w:w="15" w:type="dxa"/>
          </w:tblCellMar>
        </w:tblPrEx>
        <w:trPr>
          <w:trHeight w:val="510" w:hRule="atLeast"/>
          <w:jc w:val="center"/>
        </w:trPr>
        <w:tc>
          <w:tcPr>
            <w:tcW w:w="824" w:type="pct"/>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p>
        </w:tc>
        <w:tc>
          <w:tcPr>
            <w:tcW w:w="2135" w:type="pct"/>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离地间隙</w:t>
            </w:r>
          </w:p>
        </w:tc>
        <w:tc>
          <w:tcPr>
            <w:tcW w:w="561"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mm</w:t>
            </w:r>
          </w:p>
        </w:tc>
        <w:tc>
          <w:tcPr>
            <w:tcW w:w="1481"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≥170</w:t>
            </w:r>
          </w:p>
        </w:tc>
      </w:tr>
      <w:tr>
        <w:tblPrEx>
          <w:tblCellMar>
            <w:top w:w="15" w:type="dxa"/>
            <w:left w:w="15" w:type="dxa"/>
            <w:bottom w:w="15" w:type="dxa"/>
            <w:right w:w="15" w:type="dxa"/>
          </w:tblCellMar>
        </w:tblPrEx>
        <w:trPr>
          <w:trHeight w:val="510" w:hRule="atLeast"/>
          <w:jc w:val="center"/>
        </w:trPr>
        <w:tc>
          <w:tcPr>
            <w:tcW w:w="824" w:type="pct"/>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车箱体</w:t>
            </w:r>
          </w:p>
        </w:tc>
        <w:tc>
          <w:tcPr>
            <w:tcW w:w="2135" w:type="pct"/>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箱长</w:t>
            </w:r>
          </w:p>
        </w:tc>
        <w:tc>
          <w:tcPr>
            <w:tcW w:w="561"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mm</w:t>
            </w:r>
          </w:p>
        </w:tc>
        <w:tc>
          <w:tcPr>
            <w:tcW w:w="1481"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≥3020</w:t>
            </w:r>
          </w:p>
        </w:tc>
      </w:tr>
      <w:tr>
        <w:tblPrEx>
          <w:tblCellMar>
            <w:top w:w="15" w:type="dxa"/>
            <w:left w:w="15" w:type="dxa"/>
            <w:bottom w:w="15" w:type="dxa"/>
            <w:right w:w="15" w:type="dxa"/>
          </w:tblCellMar>
        </w:tblPrEx>
        <w:trPr>
          <w:trHeight w:val="510" w:hRule="atLeast"/>
          <w:jc w:val="center"/>
        </w:trPr>
        <w:tc>
          <w:tcPr>
            <w:tcW w:w="824" w:type="pct"/>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p>
        </w:tc>
        <w:tc>
          <w:tcPr>
            <w:tcW w:w="2135" w:type="pct"/>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箱宽</w:t>
            </w:r>
          </w:p>
        </w:tc>
        <w:tc>
          <w:tcPr>
            <w:tcW w:w="561"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mm</w:t>
            </w:r>
          </w:p>
        </w:tc>
        <w:tc>
          <w:tcPr>
            <w:tcW w:w="1481"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≥1380</w:t>
            </w:r>
          </w:p>
        </w:tc>
      </w:tr>
      <w:tr>
        <w:tblPrEx>
          <w:tblCellMar>
            <w:top w:w="15" w:type="dxa"/>
            <w:left w:w="15" w:type="dxa"/>
            <w:bottom w:w="15" w:type="dxa"/>
            <w:right w:w="15" w:type="dxa"/>
          </w:tblCellMar>
        </w:tblPrEx>
        <w:trPr>
          <w:trHeight w:val="510" w:hRule="atLeast"/>
          <w:jc w:val="center"/>
        </w:trPr>
        <w:tc>
          <w:tcPr>
            <w:tcW w:w="824" w:type="pct"/>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p>
        </w:tc>
        <w:tc>
          <w:tcPr>
            <w:tcW w:w="2135" w:type="pct"/>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箱高</w:t>
            </w:r>
          </w:p>
        </w:tc>
        <w:tc>
          <w:tcPr>
            <w:tcW w:w="561"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mm</w:t>
            </w:r>
          </w:p>
        </w:tc>
        <w:tc>
          <w:tcPr>
            <w:tcW w:w="1481"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≥510</w:t>
            </w:r>
          </w:p>
        </w:tc>
      </w:tr>
      <w:tr>
        <w:tblPrEx>
          <w:tblCellMar>
            <w:top w:w="15" w:type="dxa"/>
            <w:left w:w="15" w:type="dxa"/>
            <w:bottom w:w="15" w:type="dxa"/>
            <w:right w:w="15" w:type="dxa"/>
          </w:tblCellMar>
        </w:tblPrEx>
        <w:trPr>
          <w:trHeight w:val="510" w:hRule="atLeast"/>
          <w:jc w:val="center"/>
        </w:trPr>
        <w:tc>
          <w:tcPr>
            <w:tcW w:w="824" w:type="pct"/>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质量</w:t>
            </w:r>
          </w:p>
          <w:p>
            <w:pPr>
              <w:jc w:val="center"/>
              <w:rPr>
                <w:rFonts w:ascii="宋体" w:hAnsi="宋体" w:cs="宋体"/>
                <w:sz w:val="24"/>
                <w:szCs w:val="24"/>
              </w:rPr>
            </w:pPr>
            <w:r>
              <w:rPr>
                <w:rFonts w:hint="eastAsia" w:ascii="宋体" w:hAnsi="宋体" w:cs="宋体"/>
                <w:sz w:val="24"/>
                <w:szCs w:val="24"/>
              </w:rPr>
              <w:t>参数</w:t>
            </w:r>
          </w:p>
        </w:tc>
        <w:tc>
          <w:tcPr>
            <w:tcW w:w="2135" w:type="pct"/>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整备质量</w:t>
            </w:r>
          </w:p>
        </w:tc>
        <w:tc>
          <w:tcPr>
            <w:tcW w:w="561"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kg</w:t>
            </w:r>
          </w:p>
        </w:tc>
        <w:tc>
          <w:tcPr>
            <w:tcW w:w="1481"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≥1250</w:t>
            </w:r>
          </w:p>
        </w:tc>
      </w:tr>
      <w:tr>
        <w:tblPrEx>
          <w:tblCellMar>
            <w:top w:w="15" w:type="dxa"/>
            <w:left w:w="15" w:type="dxa"/>
            <w:bottom w:w="15" w:type="dxa"/>
            <w:right w:w="15" w:type="dxa"/>
          </w:tblCellMar>
        </w:tblPrEx>
        <w:trPr>
          <w:trHeight w:val="510" w:hRule="atLeast"/>
          <w:jc w:val="center"/>
        </w:trPr>
        <w:tc>
          <w:tcPr>
            <w:tcW w:w="824" w:type="pct"/>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p>
        </w:tc>
        <w:tc>
          <w:tcPr>
            <w:tcW w:w="2135" w:type="pct"/>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额定载荷</w:t>
            </w:r>
          </w:p>
        </w:tc>
        <w:tc>
          <w:tcPr>
            <w:tcW w:w="561"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kg</w:t>
            </w:r>
          </w:p>
        </w:tc>
        <w:tc>
          <w:tcPr>
            <w:tcW w:w="1481"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≥800</w:t>
            </w:r>
          </w:p>
        </w:tc>
      </w:tr>
      <w:tr>
        <w:tblPrEx>
          <w:tblCellMar>
            <w:top w:w="15" w:type="dxa"/>
            <w:left w:w="15" w:type="dxa"/>
            <w:bottom w:w="15" w:type="dxa"/>
            <w:right w:w="15" w:type="dxa"/>
          </w:tblCellMar>
        </w:tblPrEx>
        <w:trPr>
          <w:trHeight w:val="510" w:hRule="atLeast"/>
          <w:jc w:val="center"/>
        </w:trPr>
        <w:tc>
          <w:tcPr>
            <w:tcW w:w="824" w:type="pct"/>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p>
        </w:tc>
        <w:tc>
          <w:tcPr>
            <w:tcW w:w="2135" w:type="pct"/>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前轮轴重（空载）</w:t>
            </w:r>
          </w:p>
        </w:tc>
        <w:tc>
          <w:tcPr>
            <w:tcW w:w="561"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kg</w:t>
            </w:r>
          </w:p>
        </w:tc>
        <w:tc>
          <w:tcPr>
            <w:tcW w:w="1481"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≥500</w:t>
            </w:r>
          </w:p>
        </w:tc>
      </w:tr>
      <w:tr>
        <w:tblPrEx>
          <w:tblCellMar>
            <w:top w:w="15" w:type="dxa"/>
            <w:left w:w="15" w:type="dxa"/>
            <w:bottom w:w="15" w:type="dxa"/>
            <w:right w:w="15" w:type="dxa"/>
          </w:tblCellMar>
        </w:tblPrEx>
        <w:trPr>
          <w:trHeight w:val="510" w:hRule="atLeast"/>
          <w:jc w:val="center"/>
        </w:trPr>
        <w:tc>
          <w:tcPr>
            <w:tcW w:w="824" w:type="pct"/>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p>
        </w:tc>
        <w:tc>
          <w:tcPr>
            <w:tcW w:w="2135" w:type="pct"/>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后轮轴重（空载）</w:t>
            </w:r>
          </w:p>
        </w:tc>
        <w:tc>
          <w:tcPr>
            <w:tcW w:w="561"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kg</w:t>
            </w:r>
          </w:p>
        </w:tc>
        <w:tc>
          <w:tcPr>
            <w:tcW w:w="1481"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≥750</w:t>
            </w:r>
          </w:p>
        </w:tc>
      </w:tr>
      <w:tr>
        <w:tblPrEx>
          <w:tblCellMar>
            <w:top w:w="15" w:type="dxa"/>
            <w:left w:w="15" w:type="dxa"/>
            <w:bottom w:w="15" w:type="dxa"/>
            <w:right w:w="15" w:type="dxa"/>
          </w:tblCellMar>
        </w:tblPrEx>
        <w:trPr>
          <w:trHeight w:val="510" w:hRule="atLeast"/>
          <w:jc w:val="center"/>
        </w:trPr>
        <w:tc>
          <w:tcPr>
            <w:tcW w:w="824" w:type="pct"/>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行驶</w:t>
            </w:r>
          </w:p>
          <w:p>
            <w:pPr>
              <w:jc w:val="center"/>
              <w:rPr>
                <w:rFonts w:ascii="宋体" w:hAnsi="宋体" w:cs="宋体"/>
                <w:sz w:val="24"/>
                <w:szCs w:val="24"/>
              </w:rPr>
            </w:pPr>
            <w:r>
              <w:rPr>
                <w:rFonts w:hint="eastAsia" w:ascii="宋体" w:hAnsi="宋体" w:cs="宋体"/>
                <w:sz w:val="24"/>
                <w:szCs w:val="24"/>
              </w:rPr>
              <w:t>性能</w:t>
            </w:r>
          </w:p>
        </w:tc>
        <w:tc>
          <w:tcPr>
            <w:tcW w:w="2135" w:type="pct"/>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最高速度</w:t>
            </w:r>
          </w:p>
        </w:tc>
        <w:tc>
          <w:tcPr>
            <w:tcW w:w="561"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km/h</w:t>
            </w:r>
          </w:p>
        </w:tc>
        <w:tc>
          <w:tcPr>
            <w:tcW w:w="1481"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≤30</w:t>
            </w:r>
          </w:p>
        </w:tc>
      </w:tr>
      <w:tr>
        <w:tblPrEx>
          <w:tblCellMar>
            <w:top w:w="15" w:type="dxa"/>
            <w:left w:w="15" w:type="dxa"/>
            <w:bottom w:w="15" w:type="dxa"/>
            <w:right w:w="15" w:type="dxa"/>
          </w:tblCellMar>
        </w:tblPrEx>
        <w:trPr>
          <w:trHeight w:val="510" w:hRule="atLeast"/>
          <w:jc w:val="center"/>
        </w:trPr>
        <w:tc>
          <w:tcPr>
            <w:tcW w:w="824" w:type="pct"/>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p>
        </w:tc>
        <w:tc>
          <w:tcPr>
            <w:tcW w:w="2135" w:type="pct"/>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续航里程</w:t>
            </w:r>
          </w:p>
        </w:tc>
        <w:tc>
          <w:tcPr>
            <w:tcW w:w="561"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km</w:t>
            </w:r>
          </w:p>
        </w:tc>
        <w:tc>
          <w:tcPr>
            <w:tcW w:w="1481"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≥80</w:t>
            </w:r>
          </w:p>
        </w:tc>
      </w:tr>
    </w:tbl>
    <w:p>
      <w:pPr>
        <w:keepNext/>
        <w:keepLines/>
        <w:widowControl w:val="0"/>
        <w:numPr>
          <w:ilvl w:val="0"/>
          <w:numId w:val="3"/>
        </w:numPr>
        <w:adjustRightInd/>
        <w:snapToGrid/>
        <w:rPr>
          <w:rFonts w:ascii="宋体" w:hAnsi="宋体" w:cs="宋体"/>
          <w:b/>
          <w:bCs/>
          <w:sz w:val="24"/>
          <w:szCs w:val="24"/>
        </w:rPr>
      </w:pPr>
      <w:r>
        <w:rPr>
          <w:rFonts w:hint="eastAsia" w:ascii="宋体" w:hAnsi="宋体" w:cs="宋体"/>
          <w:b/>
          <w:bCs/>
          <w:sz w:val="24"/>
          <w:szCs w:val="24"/>
        </w:rPr>
        <w:t>电动三轮高压清洗车（配备油耗高压清洗机）：</w:t>
      </w:r>
    </w:p>
    <w:tbl>
      <w:tblPr>
        <w:tblStyle w:val="29"/>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Layout w:type="autofit"/>
        <w:tblCellMar>
          <w:top w:w="0" w:type="dxa"/>
          <w:left w:w="108" w:type="dxa"/>
          <w:bottom w:w="0" w:type="dxa"/>
          <w:right w:w="108" w:type="dxa"/>
        </w:tblCellMar>
      </w:tblPr>
      <w:tblGrid>
        <w:gridCol w:w="708"/>
        <w:gridCol w:w="1249"/>
        <w:gridCol w:w="656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460" w:hRule="atLeast"/>
          <w:jc w:val="center"/>
        </w:trPr>
        <w:tc>
          <w:tcPr>
            <w:tcW w:w="401" w:type="pct"/>
            <w:tcBorders>
              <w:tl2br w:val="nil"/>
              <w:tr2bl w:val="nil"/>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序号</w:t>
            </w:r>
          </w:p>
        </w:tc>
        <w:tc>
          <w:tcPr>
            <w:tcW w:w="740" w:type="pct"/>
            <w:tcBorders>
              <w:tl2br w:val="nil"/>
              <w:tr2bl w:val="nil"/>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项目名称</w:t>
            </w:r>
          </w:p>
        </w:tc>
        <w:tc>
          <w:tcPr>
            <w:tcW w:w="3858" w:type="pct"/>
            <w:tcBorders>
              <w:tl2br w:val="nil"/>
              <w:tr2bl w:val="nil"/>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320" w:hRule="atLeast"/>
          <w:jc w:val="center"/>
        </w:trPr>
        <w:tc>
          <w:tcPr>
            <w:tcW w:w="401" w:type="pct"/>
            <w:vMerge w:val="restart"/>
            <w:tcBorders>
              <w:tl2br w:val="nil"/>
              <w:tr2bl w:val="nil"/>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技术参数</w:t>
            </w:r>
          </w:p>
        </w:tc>
        <w:tc>
          <w:tcPr>
            <w:tcW w:w="740" w:type="pct"/>
            <w:tcBorders>
              <w:tl2br w:val="nil"/>
              <w:tr2bl w:val="nil"/>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整车尺寸</w:t>
            </w:r>
          </w:p>
        </w:tc>
        <w:tc>
          <w:tcPr>
            <w:tcW w:w="3858" w:type="pct"/>
            <w:tcBorders>
              <w:tl2br w:val="nil"/>
              <w:tr2bl w:val="nil"/>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投标人自填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320" w:hRule="atLeast"/>
          <w:jc w:val="center"/>
        </w:trPr>
        <w:tc>
          <w:tcPr>
            <w:tcW w:w="401" w:type="pct"/>
            <w:vMerge w:val="continue"/>
            <w:tcBorders>
              <w:tl2br w:val="nil"/>
              <w:tr2bl w:val="nil"/>
            </w:tcBorders>
            <w:shd w:val="clear" w:color="auto" w:fill="FFFFFF" w:themeFill="background1"/>
            <w:vAlign w:val="center"/>
          </w:tcPr>
          <w:p>
            <w:pPr>
              <w:jc w:val="center"/>
              <w:rPr>
                <w:rFonts w:ascii="宋体" w:hAnsi="宋体" w:cs="宋体"/>
                <w:sz w:val="24"/>
                <w:szCs w:val="24"/>
              </w:rPr>
            </w:pPr>
          </w:p>
        </w:tc>
        <w:tc>
          <w:tcPr>
            <w:tcW w:w="740" w:type="pct"/>
            <w:tcBorders>
              <w:tl2br w:val="nil"/>
              <w:tr2bl w:val="nil"/>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箱体容积</w:t>
            </w:r>
          </w:p>
        </w:tc>
        <w:tc>
          <w:tcPr>
            <w:tcW w:w="3858" w:type="pct"/>
            <w:tcBorders>
              <w:tl2br w:val="nil"/>
              <w:tr2bl w:val="nil"/>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≥500L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320" w:hRule="atLeast"/>
          <w:jc w:val="center"/>
        </w:trPr>
        <w:tc>
          <w:tcPr>
            <w:tcW w:w="401" w:type="pct"/>
            <w:vMerge w:val="continue"/>
            <w:tcBorders>
              <w:tl2br w:val="nil"/>
              <w:tr2bl w:val="nil"/>
            </w:tcBorders>
            <w:shd w:val="clear" w:color="auto" w:fill="FFFFFF" w:themeFill="background1"/>
            <w:vAlign w:val="center"/>
          </w:tcPr>
          <w:p>
            <w:pPr>
              <w:jc w:val="center"/>
              <w:rPr>
                <w:rFonts w:ascii="宋体" w:hAnsi="宋体" w:cs="宋体"/>
                <w:sz w:val="24"/>
                <w:szCs w:val="24"/>
              </w:rPr>
            </w:pPr>
          </w:p>
        </w:tc>
        <w:tc>
          <w:tcPr>
            <w:tcW w:w="740" w:type="pct"/>
            <w:tcBorders>
              <w:tl2br w:val="nil"/>
              <w:tr2bl w:val="nil"/>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额定乘员</w:t>
            </w:r>
          </w:p>
        </w:tc>
        <w:tc>
          <w:tcPr>
            <w:tcW w:w="3858" w:type="pct"/>
            <w:tcBorders>
              <w:tl2br w:val="nil"/>
              <w:tr2bl w:val="nil"/>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≥1人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320" w:hRule="atLeast"/>
          <w:jc w:val="center"/>
        </w:trPr>
        <w:tc>
          <w:tcPr>
            <w:tcW w:w="401" w:type="pct"/>
            <w:vMerge w:val="continue"/>
            <w:tcBorders>
              <w:tl2br w:val="nil"/>
              <w:tr2bl w:val="nil"/>
            </w:tcBorders>
            <w:shd w:val="clear" w:color="auto" w:fill="FFFFFF" w:themeFill="background1"/>
            <w:vAlign w:val="center"/>
          </w:tcPr>
          <w:p>
            <w:pPr>
              <w:jc w:val="center"/>
              <w:rPr>
                <w:rFonts w:ascii="宋体" w:hAnsi="宋体" w:cs="宋体"/>
                <w:sz w:val="24"/>
                <w:szCs w:val="24"/>
              </w:rPr>
            </w:pPr>
          </w:p>
        </w:tc>
        <w:tc>
          <w:tcPr>
            <w:tcW w:w="740" w:type="pct"/>
            <w:tcBorders>
              <w:tl2br w:val="nil"/>
              <w:tr2bl w:val="nil"/>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轴距</w:t>
            </w:r>
          </w:p>
        </w:tc>
        <w:tc>
          <w:tcPr>
            <w:tcW w:w="3858" w:type="pct"/>
            <w:tcBorders>
              <w:tl2br w:val="nil"/>
              <w:tr2bl w:val="nil"/>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≥1990mm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320" w:hRule="atLeast"/>
          <w:jc w:val="center"/>
        </w:trPr>
        <w:tc>
          <w:tcPr>
            <w:tcW w:w="401" w:type="pct"/>
            <w:vMerge w:val="continue"/>
            <w:tcBorders>
              <w:tl2br w:val="nil"/>
              <w:tr2bl w:val="nil"/>
            </w:tcBorders>
            <w:shd w:val="clear" w:color="auto" w:fill="FFFFFF" w:themeFill="background1"/>
            <w:vAlign w:val="center"/>
          </w:tcPr>
          <w:p>
            <w:pPr>
              <w:jc w:val="center"/>
              <w:rPr>
                <w:rFonts w:ascii="宋体" w:hAnsi="宋体" w:cs="宋体"/>
                <w:sz w:val="24"/>
                <w:szCs w:val="24"/>
              </w:rPr>
            </w:pPr>
          </w:p>
        </w:tc>
        <w:tc>
          <w:tcPr>
            <w:tcW w:w="740" w:type="pct"/>
            <w:tcBorders>
              <w:tl2br w:val="nil"/>
              <w:tr2bl w:val="nil"/>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轮距</w:t>
            </w:r>
          </w:p>
        </w:tc>
        <w:tc>
          <w:tcPr>
            <w:tcW w:w="3858" w:type="pct"/>
            <w:tcBorders>
              <w:tl2br w:val="nil"/>
              <w:tr2bl w:val="nil"/>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≥880mm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320" w:hRule="atLeast"/>
          <w:jc w:val="center"/>
        </w:trPr>
        <w:tc>
          <w:tcPr>
            <w:tcW w:w="401" w:type="pct"/>
            <w:vMerge w:val="continue"/>
            <w:tcBorders>
              <w:tl2br w:val="nil"/>
              <w:tr2bl w:val="nil"/>
            </w:tcBorders>
            <w:shd w:val="clear" w:color="auto" w:fill="FFFFFF" w:themeFill="background1"/>
            <w:vAlign w:val="center"/>
          </w:tcPr>
          <w:p>
            <w:pPr>
              <w:jc w:val="center"/>
              <w:rPr>
                <w:rFonts w:ascii="宋体" w:hAnsi="宋体" w:cs="宋体"/>
                <w:sz w:val="24"/>
                <w:szCs w:val="24"/>
              </w:rPr>
            </w:pPr>
          </w:p>
        </w:tc>
        <w:tc>
          <w:tcPr>
            <w:tcW w:w="740" w:type="pct"/>
            <w:tcBorders>
              <w:tl2br w:val="nil"/>
              <w:tr2bl w:val="nil"/>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最小离地间隙</w:t>
            </w:r>
          </w:p>
        </w:tc>
        <w:tc>
          <w:tcPr>
            <w:tcW w:w="3858" w:type="pct"/>
            <w:tcBorders>
              <w:tl2br w:val="nil"/>
              <w:tr2bl w:val="nil"/>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≥130mm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320" w:hRule="atLeast"/>
          <w:jc w:val="center"/>
        </w:trPr>
        <w:tc>
          <w:tcPr>
            <w:tcW w:w="401" w:type="pct"/>
            <w:vMerge w:val="continue"/>
            <w:tcBorders>
              <w:tl2br w:val="nil"/>
              <w:tr2bl w:val="nil"/>
            </w:tcBorders>
            <w:shd w:val="clear" w:color="auto" w:fill="FFFFFF" w:themeFill="background1"/>
            <w:vAlign w:val="center"/>
          </w:tcPr>
          <w:p>
            <w:pPr>
              <w:jc w:val="center"/>
              <w:rPr>
                <w:rFonts w:ascii="宋体" w:hAnsi="宋体" w:cs="宋体"/>
                <w:sz w:val="24"/>
                <w:szCs w:val="24"/>
              </w:rPr>
            </w:pPr>
          </w:p>
        </w:tc>
        <w:tc>
          <w:tcPr>
            <w:tcW w:w="740" w:type="pct"/>
            <w:tcBorders>
              <w:tl2br w:val="nil"/>
              <w:tr2bl w:val="nil"/>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最小转弯半径</w:t>
            </w:r>
          </w:p>
        </w:tc>
        <w:tc>
          <w:tcPr>
            <w:tcW w:w="3858" w:type="pct"/>
            <w:tcBorders>
              <w:tl2br w:val="nil"/>
              <w:tr2bl w:val="nil"/>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≥3m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320" w:hRule="atLeast"/>
          <w:jc w:val="center"/>
        </w:trPr>
        <w:tc>
          <w:tcPr>
            <w:tcW w:w="401" w:type="pct"/>
            <w:vMerge w:val="continue"/>
            <w:tcBorders>
              <w:tl2br w:val="nil"/>
              <w:tr2bl w:val="nil"/>
            </w:tcBorders>
            <w:shd w:val="clear" w:color="auto" w:fill="FFFFFF" w:themeFill="background1"/>
            <w:vAlign w:val="center"/>
          </w:tcPr>
          <w:p>
            <w:pPr>
              <w:jc w:val="center"/>
              <w:rPr>
                <w:rFonts w:ascii="宋体" w:hAnsi="宋体" w:cs="宋体"/>
                <w:sz w:val="24"/>
                <w:szCs w:val="24"/>
              </w:rPr>
            </w:pPr>
          </w:p>
        </w:tc>
        <w:tc>
          <w:tcPr>
            <w:tcW w:w="740" w:type="pct"/>
            <w:tcBorders>
              <w:tl2br w:val="nil"/>
              <w:tr2bl w:val="nil"/>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最大运行速度</w:t>
            </w:r>
          </w:p>
        </w:tc>
        <w:tc>
          <w:tcPr>
            <w:tcW w:w="3858" w:type="pct"/>
            <w:tcBorders>
              <w:tl2br w:val="nil"/>
              <w:tr2bl w:val="nil"/>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≥25km/h</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369" w:hRule="atLeast"/>
          <w:jc w:val="center"/>
        </w:trPr>
        <w:tc>
          <w:tcPr>
            <w:tcW w:w="401" w:type="pct"/>
            <w:vMerge w:val="continue"/>
            <w:tcBorders>
              <w:tl2br w:val="nil"/>
              <w:tr2bl w:val="nil"/>
            </w:tcBorders>
            <w:shd w:val="clear" w:color="auto" w:fill="FFFFFF" w:themeFill="background1"/>
            <w:vAlign w:val="center"/>
          </w:tcPr>
          <w:p>
            <w:pPr>
              <w:jc w:val="center"/>
              <w:rPr>
                <w:rFonts w:ascii="宋体" w:hAnsi="宋体" w:cs="宋体"/>
                <w:sz w:val="24"/>
                <w:szCs w:val="24"/>
              </w:rPr>
            </w:pPr>
          </w:p>
        </w:tc>
        <w:tc>
          <w:tcPr>
            <w:tcW w:w="740" w:type="pct"/>
            <w:tcBorders>
              <w:tl2br w:val="nil"/>
              <w:tr2bl w:val="nil"/>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最大爬坡度</w:t>
            </w:r>
          </w:p>
        </w:tc>
        <w:tc>
          <w:tcPr>
            <w:tcW w:w="3858" w:type="pct"/>
            <w:tcBorders>
              <w:tl2br w:val="nil"/>
              <w:tr2bl w:val="nil"/>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320" w:hRule="atLeast"/>
          <w:jc w:val="center"/>
        </w:trPr>
        <w:tc>
          <w:tcPr>
            <w:tcW w:w="401" w:type="pct"/>
            <w:vMerge w:val="continue"/>
            <w:tcBorders>
              <w:tl2br w:val="nil"/>
              <w:tr2bl w:val="nil"/>
            </w:tcBorders>
            <w:shd w:val="clear" w:color="auto" w:fill="FFFFFF" w:themeFill="background1"/>
            <w:vAlign w:val="center"/>
          </w:tcPr>
          <w:p>
            <w:pPr>
              <w:jc w:val="center"/>
              <w:rPr>
                <w:rFonts w:ascii="宋体" w:hAnsi="宋体" w:cs="宋体"/>
                <w:sz w:val="24"/>
                <w:szCs w:val="24"/>
              </w:rPr>
            </w:pPr>
          </w:p>
        </w:tc>
        <w:tc>
          <w:tcPr>
            <w:tcW w:w="740" w:type="pct"/>
            <w:tcBorders>
              <w:tl2br w:val="nil"/>
              <w:tr2bl w:val="nil"/>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整备质量</w:t>
            </w:r>
          </w:p>
        </w:tc>
        <w:tc>
          <w:tcPr>
            <w:tcW w:w="3858" w:type="pct"/>
            <w:tcBorders>
              <w:tl2br w:val="nil"/>
              <w:tr2bl w:val="nil"/>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≥580kg</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330" w:hRule="atLeast"/>
          <w:jc w:val="center"/>
        </w:trPr>
        <w:tc>
          <w:tcPr>
            <w:tcW w:w="401" w:type="pct"/>
            <w:vMerge w:val="continue"/>
            <w:tcBorders>
              <w:tl2br w:val="nil"/>
              <w:tr2bl w:val="nil"/>
            </w:tcBorders>
            <w:shd w:val="clear" w:color="auto" w:fill="FFFFFF" w:themeFill="background1"/>
            <w:vAlign w:val="center"/>
          </w:tcPr>
          <w:p>
            <w:pPr>
              <w:jc w:val="center"/>
              <w:rPr>
                <w:rFonts w:ascii="宋体" w:hAnsi="宋体" w:cs="宋体"/>
                <w:sz w:val="24"/>
                <w:szCs w:val="24"/>
              </w:rPr>
            </w:pPr>
          </w:p>
        </w:tc>
        <w:tc>
          <w:tcPr>
            <w:tcW w:w="740" w:type="pct"/>
            <w:tcBorders>
              <w:tl2br w:val="nil"/>
              <w:tr2bl w:val="nil"/>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额定载荷</w:t>
            </w:r>
          </w:p>
        </w:tc>
        <w:tc>
          <w:tcPr>
            <w:tcW w:w="3858" w:type="pct"/>
            <w:tcBorders>
              <w:tl2br w:val="nil"/>
              <w:tr2bl w:val="nil"/>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≥700kg</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320" w:hRule="atLeast"/>
          <w:jc w:val="center"/>
        </w:trPr>
        <w:tc>
          <w:tcPr>
            <w:tcW w:w="401" w:type="pct"/>
            <w:vMerge w:val="continue"/>
            <w:tcBorders>
              <w:tl2br w:val="nil"/>
              <w:tr2bl w:val="nil"/>
            </w:tcBorders>
            <w:shd w:val="clear" w:color="auto" w:fill="FFFFFF" w:themeFill="background1"/>
            <w:vAlign w:val="center"/>
          </w:tcPr>
          <w:p>
            <w:pPr>
              <w:jc w:val="center"/>
              <w:rPr>
                <w:rFonts w:ascii="宋体" w:hAnsi="宋体" w:cs="宋体"/>
                <w:sz w:val="24"/>
                <w:szCs w:val="24"/>
              </w:rPr>
            </w:pPr>
          </w:p>
        </w:tc>
        <w:tc>
          <w:tcPr>
            <w:tcW w:w="740" w:type="pct"/>
            <w:tcBorders>
              <w:tl2br w:val="nil"/>
              <w:tr2bl w:val="nil"/>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续驶里程</w:t>
            </w:r>
          </w:p>
        </w:tc>
        <w:tc>
          <w:tcPr>
            <w:tcW w:w="3858" w:type="pct"/>
            <w:tcBorders>
              <w:tl2br w:val="nil"/>
              <w:tr2bl w:val="nil"/>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≥50km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0" w:hRule="atLeast"/>
          <w:jc w:val="center"/>
        </w:trPr>
        <w:tc>
          <w:tcPr>
            <w:tcW w:w="401" w:type="pct"/>
            <w:vMerge w:val="continue"/>
            <w:tcBorders>
              <w:tl2br w:val="nil"/>
              <w:tr2bl w:val="nil"/>
            </w:tcBorders>
            <w:shd w:val="clear" w:color="auto" w:fill="FFFFFF" w:themeFill="background1"/>
            <w:vAlign w:val="center"/>
          </w:tcPr>
          <w:p>
            <w:pPr>
              <w:jc w:val="center"/>
              <w:rPr>
                <w:rFonts w:ascii="宋体" w:hAnsi="宋体" w:cs="宋体"/>
                <w:sz w:val="24"/>
                <w:szCs w:val="24"/>
              </w:rPr>
            </w:pPr>
          </w:p>
        </w:tc>
        <w:tc>
          <w:tcPr>
            <w:tcW w:w="740" w:type="pct"/>
            <w:tcBorders>
              <w:tl2br w:val="nil"/>
              <w:tr2bl w:val="nil"/>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充电时间</w:t>
            </w:r>
          </w:p>
        </w:tc>
        <w:tc>
          <w:tcPr>
            <w:tcW w:w="3858" w:type="pct"/>
            <w:tcBorders>
              <w:tl2br w:val="nil"/>
              <w:tr2bl w:val="nil"/>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≤6-8h（放电率80%）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0" w:hRule="atLeast"/>
          <w:jc w:val="center"/>
        </w:trPr>
        <w:tc>
          <w:tcPr>
            <w:tcW w:w="401" w:type="pct"/>
            <w:vMerge w:val="restart"/>
            <w:tcBorders>
              <w:tl2br w:val="nil"/>
              <w:tr2bl w:val="nil"/>
            </w:tcBorders>
            <w:shd w:val="clear" w:color="auto" w:fill="FFFFFF" w:themeFill="background1"/>
            <w:textDirection w:val="tbRlV"/>
            <w:vAlign w:val="center"/>
          </w:tcPr>
          <w:p>
            <w:pPr>
              <w:jc w:val="center"/>
              <w:rPr>
                <w:rFonts w:ascii="宋体" w:hAnsi="宋体" w:cs="宋体"/>
                <w:sz w:val="24"/>
                <w:szCs w:val="24"/>
              </w:rPr>
            </w:pPr>
            <w:r>
              <w:rPr>
                <w:rFonts w:hint="eastAsia" w:ascii="宋体" w:hAnsi="宋体" w:cs="宋体"/>
                <w:sz w:val="24"/>
                <w:szCs w:val="24"/>
              </w:rPr>
              <w:t>电气系统</w:t>
            </w:r>
          </w:p>
        </w:tc>
        <w:tc>
          <w:tcPr>
            <w:tcW w:w="740" w:type="pct"/>
            <w:tcBorders>
              <w:tl2br w:val="nil"/>
              <w:tr2bl w:val="nil"/>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电机</w:t>
            </w:r>
          </w:p>
        </w:tc>
        <w:tc>
          <w:tcPr>
            <w:tcW w:w="3858" w:type="pct"/>
            <w:tcBorders>
              <w:tl2br w:val="nil"/>
              <w:tr2bl w:val="nil"/>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60V1500W高磁钢无刷差速电机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0" w:hRule="atLeast"/>
          <w:jc w:val="center"/>
        </w:trPr>
        <w:tc>
          <w:tcPr>
            <w:tcW w:w="401" w:type="pct"/>
            <w:vMerge w:val="continue"/>
            <w:tcBorders>
              <w:tl2br w:val="nil"/>
              <w:tr2bl w:val="nil"/>
            </w:tcBorders>
            <w:shd w:val="clear" w:color="auto" w:fill="FFFFFF" w:themeFill="background1"/>
            <w:vAlign w:val="center"/>
          </w:tcPr>
          <w:p>
            <w:pPr>
              <w:jc w:val="center"/>
              <w:rPr>
                <w:rFonts w:ascii="宋体" w:hAnsi="宋体" w:cs="宋体"/>
                <w:sz w:val="24"/>
                <w:szCs w:val="24"/>
              </w:rPr>
            </w:pPr>
          </w:p>
        </w:tc>
        <w:tc>
          <w:tcPr>
            <w:tcW w:w="740" w:type="pct"/>
            <w:tcBorders>
              <w:tl2br w:val="nil"/>
              <w:tr2bl w:val="nil"/>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控制器</w:t>
            </w:r>
          </w:p>
        </w:tc>
        <w:tc>
          <w:tcPr>
            <w:tcW w:w="3858" w:type="pct"/>
            <w:tcBorders>
              <w:tl2br w:val="nil"/>
              <w:tr2bl w:val="nil"/>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60V18管无刷控制器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320" w:hRule="atLeast"/>
          <w:jc w:val="center"/>
        </w:trPr>
        <w:tc>
          <w:tcPr>
            <w:tcW w:w="401" w:type="pct"/>
            <w:vMerge w:val="continue"/>
            <w:tcBorders>
              <w:tl2br w:val="nil"/>
              <w:tr2bl w:val="nil"/>
            </w:tcBorders>
            <w:shd w:val="clear" w:color="auto" w:fill="FFFFFF" w:themeFill="background1"/>
            <w:vAlign w:val="center"/>
          </w:tcPr>
          <w:p>
            <w:pPr>
              <w:jc w:val="center"/>
              <w:rPr>
                <w:rFonts w:ascii="宋体" w:hAnsi="宋体" w:cs="宋体"/>
                <w:sz w:val="24"/>
                <w:szCs w:val="24"/>
              </w:rPr>
            </w:pPr>
          </w:p>
        </w:tc>
        <w:tc>
          <w:tcPr>
            <w:tcW w:w="740" w:type="pct"/>
            <w:tcBorders>
              <w:tl2br w:val="nil"/>
              <w:tr2bl w:val="nil"/>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电池</w:t>
            </w:r>
          </w:p>
        </w:tc>
        <w:tc>
          <w:tcPr>
            <w:tcW w:w="3858" w:type="pct"/>
            <w:tcBorders>
              <w:tl2br w:val="nil"/>
              <w:tr2bl w:val="nil"/>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60V45AH型免维护蓄电池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0" w:hRule="atLeast"/>
          <w:jc w:val="center"/>
        </w:trPr>
        <w:tc>
          <w:tcPr>
            <w:tcW w:w="401" w:type="pct"/>
            <w:vMerge w:val="continue"/>
            <w:tcBorders>
              <w:tl2br w:val="nil"/>
              <w:tr2bl w:val="nil"/>
            </w:tcBorders>
            <w:shd w:val="clear" w:color="auto" w:fill="FFFFFF" w:themeFill="background1"/>
            <w:vAlign w:val="center"/>
          </w:tcPr>
          <w:p>
            <w:pPr>
              <w:jc w:val="center"/>
              <w:rPr>
                <w:rFonts w:ascii="宋体" w:hAnsi="宋体" w:cs="宋体"/>
                <w:sz w:val="24"/>
                <w:szCs w:val="24"/>
              </w:rPr>
            </w:pPr>
          </w:p>
        </w:tc>
        <w:tc>
          <w:tcPr>
            <w:tcW w:w="740" w:type="pct"/>
            <w:tcBorders>
              <w:tl2br w:val="nil"/>
              <w:tr2bl w:val="nil"/>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充电器</w:t>
            </w:r>
          </w:p>
        </w:tc>
        <w:tc>
          <w:tcPr>
            <w:tcW w:w="3858" w:type="pct"/>
            <w:tcBorders>
              <w:tl2br w:val="nil"/>
              <w:tr2bl w:val="nil"/>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便携式智能全自动充电器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0" w:hRule="atLeast"/>
          <w:jc w:val="center"/>
        </w:trPr>
        <w:tc>
          <w:tcPr>
            <w:tcW w:w="401" w:type="pct"/>
            <w:vMerge w:val="continue"/>
            <w:tcBorders>
              <w:tl2br w:val="nil"/>
              <w:tr2bl w:val="nil"/>
            </w:tcBorders>
            <w:shd w:val="clear" w:color="auto" w:fill="FFFFFF" w:themeFill="background1"/>
            <w:vAlign w:val="center"/>
          </w:tcPr>
          <w:p>
            <w:pPr>
              <w:jc w:val="center"/>
              <w:rPr>
                <w:rFonts w:ascii="宋体" w:hAnsi="宋体" w:cs="宋体"/>
                <w:sz w:val="24"/>
                <w:szCs w:val="24"/>
              </w:rPr>
            </w:pPr>
          </w:p>
        </w:tc>
        <w:tc>
          <w:tcPr>
            <w:tcW w:w="740" w:type="pct"/>
            <w:tcBorders>
              <w:tl2br w:val="nil"/>
              <w:tr2bl w:val="nil"/>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灯光及信号</w:t>
            </w:r>
          </w:p>
        </w:tc>
        <w:tc>
          <w:tcPr>
            <w:tcW w:w="3858" w:type="pct"/>
            <w:tcBorders>
              <w:tl2br w:val="nil"/>
              <w:tr2bl w:val="nil"/>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LED大灯、左右转向灯、刹车灯、行车灯、仪表、电喇叭、倒车喇叭、工作警示灯</w:t>
            </w:r>
          </w:p>
        </w:tc>
      </w:tr>
    </w:tbl>
    <w:p>
      <w:pPr>
        <w:keepNext/>
        <w:keepLines/>
        <w:widowControl w:val="0"/>
        <w:numPr>
          <w:ilvl w:val="0"/>
          <w:numId w:val="3"/>
        </w:numPr>
        <w:adjustRightInd/>
        <w:snapToGrid/>
        <w:rPr>
          <w:rFonts w:ascii="宋体" w:hAnsi="宋体" w:cs="宋体"/>
          <w:b/>
          <w:bCs/>
          <w:sz w:val="24"/>
          <w:szCs w:val="24"/>
        </w:rPr>
      </w:pPr>
      <w:r>
        <w:rPr>
          <w:rFonts w:hint="eastAsia" w:ascii="宋体" w:hAnsi="宋体" w:cs="宋体"/>
          <w:b/>
          <w:bCs/>
          <w:sz w:val="24"/>
          <w:szCs w:val="24"/>
        </w:rPr>
        <w:t>电动三轮保洁车密闭容积1000L：</w:t>
      </w:r>
    </w:p>
    <w:tbl>
      <w:tblPr>
        <w:tblStyle w:val="2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4"/>
        <w:gridCol w:w="6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snapToGrid/>
              <w:jc w:val="center"/>
              <w:rPr>
                <w:rFonts w:ascii="宋体" w:hAnsi="宋体" w:cs="宋体"/>
                <w:sz w:val="24"/>
                <w:szCs w:val="24"/>
              </w:rPr>
            </w:pPr>
            <w:r>
              <w:rPr>
                <w:rFonts w:hint="eastAsia" w:ascii="宋体" w:hAnsi="宋体" w:cs="宋体"/>
                <w:sz w:val="24"/>
                <w:szCs w:val="24"/>
              </w:rPr>
              <w:t>项目</w:t>
            </w:r>
          </w:p>
        </w:tc>
        <w:tc>
          <w:tcPr>
            <w:tcW w:w="3547" w:type="pct"/>
            <w:shd w:val="clear" w:color="auto" w:fill="FFFFFF" w:themeFill="background1"/>
            <w:vAlign w:val="center"/>
          </w:tcPr>
          <w:p>
            <w:pPr>
              <w:adjustRightInd/>
              <w:snapToGrid/>
              <w:jc w:val="center"/>
              <w:rPr>
                <w:rFonts w:ascii="宋体" w:hAnsi="宋体" w:cs="宋体"/>
                <w:sz w:val="24"/>
                <w:szCs w:val="24"/>
              </w:rPr>
            </w:pPr>
            <w:r>
              <w:rPr>
                <w:rFonts w:hint="eastAsia" w:ascii="宋体" w:hAnsi="宋体" w:cs="宋体"/>
                <w:sz w:val="24"/>
                <w:szCs w:val="24"/>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snapToGrid/>
              <w:jc w:val="center"/>
              <w:rPr>
                <w:rFonts w:ascii="宋体" w:hAnsi="宋体" w:cs="宋体"/>
                <w:sz w:val="24"/>
                <w:szCs w:val="24"/>
              </w:rPr>
            </w:pPr>
            <w:r>
              <w:rPr>
                <w:rFonts w:hint="eastAsia" w:ascii="宋体" w:hAnsi="宋体" w:cs="宋体"/>
                <w:sz w:val="24"/>
                <w:szCs w:val="24"/>
              </w:rPr>
              <w:t>电机</w:t>
            </w:r>
          </w:p>
        </w:tc>
        <w:tc>
          <w:tcPr>
            <w:tcW w:w="354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snapToGrid/>
              <w:jc w:val="center"/>
              <w:rPr>
                <w:rFonts w:ascii="宋体" w:hAnsi="宋体" w:cs="宋体"/>
                <w:sz w:val="24"/>
                <w:szCs w:val="24"/>
              </w:rPr>
            </w:pPr>
            <w:r>
              <w:rPr>
                <w:rFonts w:hint="eastAsia" w:ascii="宋体" w:hAnsi="宋体" w:cs="宋体"/>
                <w:sz w:val="24"/>
                <w:szCs w:val="24"/>
              </w:rPr>
              <w:t>≥60V  ≥1000W无刷电机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snapToGrid/>
              <w:jc w:val="center"/>
              <w:rPr>
                <w:rFonts w:ascii="宋体" w:hAnsi="宋体" w:cs="宋体"/>
                <w:sz w:val="24"/>
                <w:szCs w:val="24"/>
              </w:rPr>
            </w:pPr>
            <w:r>
              <w:rPr>
                <w:rFonts w:hint="eastAsia" w:ascii="宋体" w:hAnsi="宋体" w:cs="宋体"/>
                <w:sz w:val="24"/>
                <w:szCs w:val="24"/>
              </w:rPr>
              <w:t>仪表</w:t>
            </w:r>
          </w:p>
        </w:tc>
        <w:tc>
          <w:tcPr>
            <w:tcW w:w="354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snapToGrid/>
              <w:jc w:val="center"/>
              <w:rPr>
                <w:rFonts w:ascii="宋体" w:hAnsi="宋体" w:cs="宋体"/>
                <w:sz w:val="24"/>
                <w:szCs w:val="24"/>
              </w:rPr>
            </w:pPr>
            <w:r>
              <w:rPr>
                <w:rFonts w:hint="eastAsia" w:ascii="宋体" w:hAnsi="宋体" w:cs="宋体"/>
                <w:sz w:val="24"/>
                <w:szCs w:val="24"/>
              </w:rPr>
              <w:t>液晶显示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2" w:type="pct"/>
            <w:tcBorders>
              <w:left w:val="single" w:color="auto" w:sz="4" w:space="0"/>
              <w:right w:val="single" w:color="auto" w:sz="4" w:space="0"/>
            </w:tcBorders>
            <w:shd w:val="clear" w:color="auto" w:fill="FFFFFF" w:themeFill="background1"/>
            <w:vAlign w:val="center"/>
          </w:tcPr>
          <w:p>
            <w:pPr>
              <w:adjustRightInd/>
              <w:snapToGrid/>
              <w:jc w:val="center"/>
              <w:rPr>
                <w:rFonts w:ascii="宋体" w:hAnsi="宋体" w:cs="宋体"/>
                <w:sz w:val="24"/>
                <w:szCs w:val="24"/>
              </w:rPr>
            </w:pPr>
            <w:r>
              <w:rPr>
                <w:rFonts w:hint="eastAsia" w:ascii="宋体" w:hAnsi="宋体" w:cs="宋体"/>
                <w:sz w:val="24"/>
                <w:szCs w:val="24"/>
              </w:rPr>
              <w:t>控制器</w:t>
            </w:r>
          </w:p>
        </w:tc>
        <w:tc>
          <w:tcPr>
            <w:tcW w:w="3547" w:type="pct"/>
            <w:tcBorders>
              <w:left w:val="single" w:color="auto" w:sz="4" w:space="0"/>
              <w:right w:val="single" w:color="auto" w:sz="4" w:space="0"/>
            </w:tcBorders>
            <w:shd w:val="clear" w:color="auto" w:fill="FFFFFF" w:themeFill="background1"/>
            <w:vAlign w:val="center"/>
          </w:tcPr>
          <w:p>
            <w:pPr>
              <w:adjustRightInd/>
              <w:snapToGrid/>
              <w:jc w:val="center"/>
              <w:rPr>
                <w:rFonts w:ascii="宋体" w:hAnsi="宋体" w:cs="宋体"/>
                <w:sz w:val="24"/>
                <w:szCs w:val="24"/>
              </w:rPr>
            </w:pPr>
            <w:r>
              <w:rPr>
                <w:rFonts w:hint="eastAsia" w:ascii="宋体" w:hAnsi="宋体" w:cs="宋体"/>
                <w:sz w:val="24"/>
                <w:szCs w:val="24"/>
              </w:rPr>
              <w:t>≥18管控制器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snapToGrid/>
              <w:jc w:val="center"/>
              <w:rPr>
                <w:rFonts w:ascii="宋体" w:hAnsi="宋体" w:cs="宋体"/>
                <w:sz w:val="24"/>
                <w:szCs w:val="24"/>
              </w:rPr>
            </w:pPr>
            <w:r>
              <w:rPr>
                <w:rFonts w:hint="eastAsia" w:ascii="宋体" w:hAnsi="宋体" w:cs="宋体"/>
                <w:sz w:val="24"/>
                <w:szCs w:val="24"/>
              </w:rPr>
              <w:t>充电器</w:t>
            </w:r>
          </w:p>
        </w:tc>
        <w:tc>
          <w:tcPr>
            <w:tcW w:w="354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snapToGrid/>
              <w:jc w:val="center"/>
              <w:rPr>
                <w:rFonts w:ascii="宋体" w:hAnsi="宋体" w:cs="宋体"/>
                <w:sz w:val="24"/>
                <w:szCs w:val="24"/>
              </w:rPr>
            </w:pPr>
            <w:r>
              <w:rPr>
                <w:rFonts w:hint="eastAsia" w:ascii="宋体" w:hAnsi="宋体" w:cs="宋体"/>
                <w:sz w:val="24"/>
                <w:szCs w:val="24"/>
              </w:rPr>
              <w:t>≥60V充电器一只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snapToGrid/>
              <w:jc w:val="center"/>
              <w:rPr>
                <w:rFonts w:ascii="宋体" w:hAnsi="宋体" w:cs="宋体"/>
                <w:sz w:val="24"/>
                <w:szCs w:val="24"/>
              </w:rPr>
            </w:pPr>
            <w:r>
              <w:rPr>
                <w:rFonts w:hint="eastAsia" w:ascii="宋体" w:hAnsi="宋体" w:cs="宋体"/>
                <w:sz w:val="24"/>
                <w:szCs w:val="24"/>
              </w:rPr>
              <w:t>底板厚度</w:t>
            </w:r>
          </w:p>
        </w:tc>
        <w:tc>
          <w:tcPr>
            <w:tcW w:w="354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snapToGrid/>
              <w:jc w:val="center"/>
              <w:rPr>
                <w:rFonts w:ascii="宋体" w:hAnsi="宋体" w:cs="宋体"/>
                <w:sz w:val="24"/>
                <w:szCs w:val="24"/>
              </w:rPr>
            </w:pPr>
            <w:r>
              <w:rPr>
                <w:rFonts w:hint="eastAsia" w:ascii="宋体" w:hAnsi="宋体" w:cs="宋体"/>
                <w:sz w:val="24"/>
                <w:szCs w:val="24"/>
              </w:rPr>
              <w:t>≥1.5mm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snapToGrid/>
              <w:jc w:val="center"/>
              <w:rPr>
                <w:rFonts w:ascii="宋体" w:hAnsi="宋体" w:cs="宋体"/>
                <w:sz w:val="24"/>
                <w:szCs w:val="24"/>
              </w:rPr>
            </w:pPr>
            <w:r>
              <w:rPr>
                <w:rFonts w:hint="eastAsia" w:ascii="宋体" w:hAnsi="宋体" w:cs="宋体"/>
                <w:sz w:val="24"/>
                <w:szCs w:val="24"/>
              </w:rPr>
              <w:t>侧板厚度</w:t>
            </w:r>
          </w:p>
        </w:tc>
        <w:tc>
          <w:tcPr>
            <w:tcW w:w="354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snapToGrid/>
              <w:jc w:val="center"/>
              <w:rPr>
                <w:rFonts w:ascii="宋体" w:hAnsi="宋体" w:cs="宋体"/>
                <w:sz w:val="24"/>
                <w:szCs w:val="24"/>
              </w:rPr>
            </w:pPr>
            <w:r>
              <w:rPr>
                <w:rFonts w:hint="eastAsia" w:ascii="宋体" w:hAnsi="宋体" w:cs="宋体"/>
                <w:sz w:val="24"/>
                <w:szCs w:val="24"/>
              </w:rPr>
              <w:t>≥0.8mm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snapToGrid/>
              <w:jc w:val="center"/>
              <w:rPr>
                <w:rFonts w:ascii="宋体" w:hAnsi="宋体" w:cs="宋体"/>
                <w:sz w:val="24"/>
                <w:szCs w:val="24"/>
              </w:rPr>
            </w:pPr>
            <w:r>
              <w:rPr>
                <w:rFonts w:hint="eastAsia" w:ascii="宋体" w:hAnsi="宋体" w:cs="宋体"/>
                <w:sz w:val="24"/>
                <w:szCs w:val="24"/>
              </w:rPr>
              <w:t>箱体</w:t>
            </w:r>
          </w:p>
        </w:tc>
        <w:tc>
          <w:tcPr>
            <w:tcW w:w="354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snapToGrid/>
              <w:jc w:val="center"/>
              <w:rPr>
                <w:rFonts w:ascii="宋体" w:hAnsi="宋体" w:cs="宋体"/>
                <w:sz w:val="24"/>
                <w:szCs w:val="24"/>
              </w:rPr>
            </w:pPr>
            <w:r>
              <w:rPr>
                <w:rFonts w:hint="eastAsia" w:ascii="宋体" w:hAnsi="宋体" w:cs="宋体"/>
                <w:sz w:val="24"/>
                <w:szCs w:val="24"/>
              </w:rPr>
              <w:t>全密闭</w:t>
            </w:r>
          </w:p>
        </w:tc>
      </w:tr>
    </w:tbl>
    <w:p>
      <w:pPr>
        <w:keepNext/>
        <w:keepLines/>
        <w:widowControl w:val="0"/>
        <w:numPr>
          <w:ilvl w:val="0"/>
          <w:numId w:val="3"/>
        </w:numPr>
        <w:adjustRightInd/>
        <w:snapToGrid/>
        <w:rPr>
          <w:rFonts w:ascii="宋体" w:hAnsi="宋体" w:cs="宋体"/>
          <w:b/>
          <w:bCs/>
          <w:sz w:val="24"/>
          <w:szCs w:val="24"/>
        </w:rPr>
      </w:pPr>
      <w:r>
        <w:rPr>
          <w:rFonts w:hint="eastAsia" w:ascii="宋体" w:hAnsi="宋体" w:cs="宋体"/>
          <w:b/>
          <w:bCs/>
          <w:sz w:val="24"/>
          <w:szCs w:val="24"/>
        </w:rPr>
        <w:t>电动三轮快速保洁车技术参数</w:t>
      </w:r>
    </w:p>
    <w:tbl>
      <w:tblPr>
        <w:tblStyle w:val="29"/>
        <w:tblW w:w="5000" w:type="pct"/>
        <w:jc w:val="center"/>
        <w:tblBorders>
          <w:top w:val="single" w:color="00125E" w:sz="4" w:space="0"/>
          <w:left w:val="single" w:color="00125E" w:sz="4" w:space="0"/>
          <w:bottom w:val="single" w:color="00125E" w:sz="4" w:space="0"/>
          <w:right w:val="single" w:color="00125E" w:sz="4" w:space="0"/>
          <w:insideH w:val="single" w:color="00125E" w:sz="4" w:space="0"/>
          <w:insideV w:val="single" w:color="00125E" w:sz="4" w:space="0"/>
        </w:tblBorders>
        <w:tblLayout w:type="autofit"/>
        <w:tblCellMar>
          <w:top w:w="0" w:type="dxa"/>
          <w:left w:w="108" w:type="dxa"/>
          <w:bottom w:w="0" w:type="dxa"/>
          <w:right w:w="108" w:type="dxa"/>
        </w:tblCellMar>
      </w:tblPr>
      <w:tblGrid>
        <w:gridCol w:w="1217"/>
        <w:gridCol w:w="1633"/>
        <w:gridCol w:w="5672"/>
      </w:tblGrid>
      <w:tr>
        <w:tblPrEx>
          <w:tblBorders>
            <w:top w:val="single" w:color="00125E" w:sz="4" w:space="0"/>
            <w:left w:val="single" w:color="00125E" w:sz="4" w:space="0"/>
            <w:bottom w:val="single" w:color="00125E" w:sz="4" w:space="0"/>
            <w:right w:val="single" w:color="00125E" w:sz="4" w:space="0"/>
            <w:insideH w:val="single" w:color="00125E" w:sz="4" w:space="0"/>
            <w:insideV w:val="single" w:color="00125E" w:sz="4" w:space="0"/>
          </w:tblBorders>
          <w:tblCellMar>
            <w:top w:w="0" w:type="dxa"/>
            <w:left w:w="108" w:type="dxa"/>
            <w:bottom w:w="0" w:type="dxa"/>
            <w:right w:w="108" w:type="dxa"/>
          </w:tblCellMar>
        </w:tblPrEx>
        <w:trPr>
          <w:trHeight w:val="90" w:hRule="atLeast"/>
          <w:jc w:val="center"/>
        </w:trPr>
        <w:tc>
          <w:tcPr>
            <w:tcW w:w="714" w:type="pct"/>
            <w:vMerge w:val="restar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技术参数</w:t>
            </w:r>
          </w:p>
        </w:tc>
        <w:tc>
          <w:tcPr>
            <w:tcW w:w="958"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整车尺寸</w:t>
            </w:r>
          </w:p>
        </w:tc>
        <w:tc>
          <w:tcPr>
            <w:tcW w:w="3326"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投标人自填</w:t>
            </w:r>
          </w:p>
        </w:tc>
      </w:tr>
      <w:tr>
        <w:tblPrEx>
          <w:tblBorders>
            <w:top w:val="single" w:color="00125E" w:sz="4" w:space="0"/>
            <w:left w:val="single" w:color="00125E" w:sz="4" w:space="0"/>
            <w:bottom w:val="single" w:color="00125E" w:sz="4" w:space="0"/>
            <w:right w:val="single" w:color="00125E" w:sz="4" w:space="0"/>
            <w:insideH w:val="single" w:color="00125E" w:sz="4" w:space="0"/>
            <w:insideV w:val="single" w:color="00125E" w:sz="4" w:space="0"/>
          </w:tblBorders>
          <w:tblCellMar>
            <w:top w:w="0" w:type="dxa"/>
            <w:left w:w="108" w:type="dxa"/>
            <w:bottom w:w="0" w:type="dxa"/>
            <w:right w:w="108" w:type="dxa"/>
          </w:tblCellMar>
        </w:tblPrEx>
        <w:trPr>
          <w:trHeight w:val="90" w:hRule="atLeast"/>
          <w:jc w:val="center"/>
        </w:trPr>
        <w:tc>
          <w:tcPr>
            <w:tcW w:w="714" w:type="pct"/>
            <w:vMerge w:val="continue"/>
            <w:tcBorders>
              <w:tl2br w:val="nil"/>
              <w:tr2bl w:val="nil"/>
            </w:tcBorders>
            <w:vAlign w:val="center"/>
          </w:tcPr>
          <w:p>
            <w:pPr>
              <w:jc w:val="center"/>
              <w:rPr>
                <w:rFonts w:ascii="宋体" w:hAnsi="宋体" w:cs="宋体"/>
                <w:sz w:val="24"/>
                <w:szCs w:val="24"/>
              </w:rPr>
            </w:pPr>
          </w:p>
        </w:tc>
        <w:tc>
          <w:tcPr>
            <w:tcW w:w="958"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箱体尺寸</w:t>
            </w:r>
          </w:p>
        </w:tc>
        <w:tc>
          <w:tcPr>
            <w:tcW w:w="3326"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投标人自填</w:t>
            </w:r>
          </w:p>
        </w:tc>
      </w:tr>
      <w:tr>
        <w:tblPrEx>
          <w:tblBorders>
            <w:top w:val="single" w:color="00125E" w:sz="4" w:space="0"/>
            <w:left w:val="single" w:color="00125E" w:sz="4" w:space="0"/>
            <w:bottom w:val="single" w:color="00125E" w:sz="4" w:space="0"/>
            <w:right w:val="single" w:color="00125E" w:sz="4" w:space="0"/>
            <w:insideH w:val="single" w:color="00125E" w:sz="4" w:space="0"/>
            <w:insideV w:val="single" w:color="00125E" w:sz="4" w:space="0"/>
          </w:tblBorders>
          <w:tblCellMar>
            <w:top w:w="0" w:type="dxa"/>
            <w:left w:w="108" w:type="dxa"/>
            <w:bottom w:w="0" w:type="dxa"/>
            <w:right w:w="108" w:type="dxa"/>
          </w:tblCellMar>
        </w:tblPrEx>
        <w:trPr>
          <w:trHeight w:val="90" w:hRule="atLeast"/>
          <w:jc w:val="center"/>
        </w:trPr>
        <w:tc>
          <w:tcPr>
            <w:tcW w:w="714" w:type="pct"/>
            <w:vMerge w:val="continue"/>
            <w:tcBorders>
              <w:tl2br w:val="nil"/>
              <w:tr2bl w:val="nil"/>
            </w:tcBorders>
            <w:vAlign w:val="center"/>
          </w:tcPr>
          <w:p>
            <w:pPr>
              <w:jc w:val="center"/>
              <w:rPr>
                <w:rFonts w:ascii="宋体" w:hAnsi="宋体" w:cs="宋体"/>
                <w:sz w:val="24"/>
                <w:szCs w:val="24"/>
              </w:rPr>
            </w:pPr>
          </w:p>
        </w:tc>
        <w:tc>
          <w:tcPr>
            <w:tcW w:w="958"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额定乘员</w:t>
            </w:r>
          </w:p>
        </w:tc>
        <w:tc>
          <w:tcPr>
            <w:tcW w:w="3326"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1人</w:t>
            </w:r>
          </w:p>
        </w:tc>
      </w:tr>
      <w:tr>
        <w:tblPrEx>
          <w:tblBorders>
            <w:top w:val="single" w:color="00125E" w:sz="4" w:space="0"/>
            <w:left w:val="single" w:color="00125E" w:sz="4" w:space="0"/>
            <w:bottom w:val="single" w:color="00125E" w:sz="4" w:space="0"/>
            <w:right w:val="single" w:color="00125E" w:sz="4" w:space="0"/>
            <w:insideH w:val="single" w:color="00125E" w:sz="4" w:space="0"/>
            <w:insideV w:val="single" w:color="00125E" w:sz="4" w:space="0"/>
          </w:tblBorders>
          <w:tblCellMar>
            <w:top w:w="0" w:type="dxa"/>
            <w:left w:w="108" w:type="dxa"/>
            <w:bottom w:w="0" w:type="dxa"/>
            <w:right w:w="108" w:type="dxa"/>
          </w:tblCellMar>
        </w:tblPrEx>
        <w:trPr>
          <w:trHeight w:val="90" w:hRule="atLeast"/>
          <w:jc w:val="center"/>
        </w:trPr>
        <w:tc>
          <w:tcPr>
            <w:tcW w:w="714" w:type="pct"/>
            <w:vMerge w:val="continue"/>
            <w:tcBorders>
              <w:tl2br w:val="nil"/>
              <w:tr2bl w:val="nil"/>
            </w:tcBorders>
            <w:vAlign w:val="center"/>
          </w:tcPr>
          <w:p>
            <w:pPr>
              <w:jc w:val="center"/>
              <w:rPr>
                <w:rFonts w:ascii="宋体" w:hAnsi="宋体" w:cs="宋体"/>
                <w:sz w:val="24"/>
                <w:szCs w:val="24"/>
              </w:rPr>
            </w:pPr>
          </w:p>
        </w:tc>
        <w:tc>
          <w:tcPr>
            <w:tcW w:w="958"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轴距</w:t>
            </w:r>
          </w:p>
        </w:tc>
        <w:tc>
          <w:tcPr>
            <w:tcW w:w="3326"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2040mm</w:t>
            </w:r>
          </w:p>
        </w:tc>
      </w:tr>
      <w:tr>
        <w:tblPrEx>
          <w:tblBorders>
            <w:top w:val="single" w:color="00125E" w:sz="4" w:space="0"/>
            <w:left w:val="single" w:color="00125E" w:sz="4" w:space="0"/>
            <w:bottom w:val="single" w:color="00125E" w:sz="4" w:space="0"/>
            <w:right w:val="single" w:color="00125E" w:sz="4" w:space="0"/>
            <w:insideH w:val="single" w:color="00125E" w:sz="4" w:space="0"/>
            <w:insideV w:val="single" w:color="00125E" w:sz="4" w:space="0"/>
          </w:tblBorders>
          <w:tblCellMar>
            <w:top w:w="0" w:type="dxa"/>
            <w:left w:w="108" w:type="dxa"/>
            <w:bottom w:w="0" w:type="dxa"/>
            <w:right w:w="108" w:type="dxa"/>
          </w:tblCellMar>
        </w:tblPrEx>
        <w:trPr>
          <w:trHeight w:val="90" w:hRule="atLeast"/>
          <w:jc w:val="center"/>
        </w:trPr>
        <w:tc>
          <w:tcPr>
            <w:tcW w:w="714" w:type="pct"/>
            <w:vMerge w:val="continue"/>
            <w:tcBorders>
              <w:tl2br w:val="nil"/>
              <w:tr2bl w:val="nil"/>
            </w:tcBorders>
            <w:vAlign w:val="center"/>
          </w:tcPr>
          <w:p>
            <w:pPr>
              <w:jc w:val="center"/>
              <w:rPr>
                <w:rFonts w:ascii="宋体" w:hAnsi="宋体" w:cs="宋体"/>
                <w:sz w:val="24"/>
                <w:szCs w:val="24"/>
              </w:rPr>
            </w:pPr>
          </w:p>
        </w:tc>
        <w:tc>
          <w:tcPr>
            <w:tcW w:w="958"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轮距</w:t>
            </w:r>
          </w:p>
        </w:tc>
        <w:tc>
          <w:tcPr>
            <w:tcW w:w="3326"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900mm</w:t>
            </w:r>
          </w:p>
        </w:tc>
      </w:tr>
      <w:tr>
        <w:tblPrEx>
          <w:tblBorders>
            <w:top w:val="single" w:color="00125E" w:sz="4" w:space="0"/>
            <w:left w:val="single" w:color="00125E" w:sz="4" w:space="0"/>
            <w:bottom w:val="single" w:color="00125E" w:sz="4" w:space="0"/>
            <w:right w:val="single" w:color="00125E" w:sz="4" w:space="0"/>
            <w:insideH w:val="single" w:color="00125E" w:sz="4" w:space="0"/>
            <w:insideV w:val="single" w:color="00125E" w:sz="4" w:space="0"/>
          </w:tblBorders>
          <w:tblCellMar>
            <w:top w:w="0" w:type="dxa"/>
            <w:left w:w="108" w:type="dxa"/>
            <w:bottom w:w="0" w:type="dxa"/>
            <w:right w:w="108" w:type="dxa"/>
          </w:tblCellMar>
        </w:tblPrEx>
        <w:trPr>
          <w:trHeight w:val="90" w:hRule="atLeast"/>
          <w:jc w:val="center"/>
        </w:trPr>
        <w:tc>
          <w:tcPr>
            <w:tcW w:w="714" w:type="pct"/>
            <w:vMerge w:val="continue"/>
            <w:tcBorders>
              <w:tl2br w:val="nil"/>
              <w:tr2bl w:val="nil"/>
            </w:tcBorders>
            <w:vAlign w:val="center"/>
          </w:tcPr>
          <w:p>
            <w:pPr>
              <w:jc w:val="center"/>
              <w:rPr>
                <w:rFonts w:ascii="宋体" w:hAnsi="宋体" w:cs="宋体"/>
                <w:sz w:val="24"/>
                <w:szCs w:val="24"/>
              </w:rPr>
            </w:pPr>
          </w:p>
        </w:tc>
        <w:tc>
          <w:tcPr>
            <w:tcW w:w="958"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最小离地间隙</w:t>
            </w:r>
          </w:p>
        </w:tc>
        <w:tc>
          <w:tcPr>
            <w:tcW w:w="3326"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130mm</w:t>
            </w:r>
          </w:p>
        </w:tc>
      </w:tr>
      <w:tr>
        <w:tblPrEx>
          <w:tblBorders>
            <w:top w:val="single" w:color="00125E" w:sz="4" w:space="0"/>
            <w:left w:val="single" w:color="00125E" w:sz="4" w:space="0"/>
            <w:bottom w:val="single" w:color="00125E" w:sz="4" w:space="0"/>
            <w:right w:val="single" w:color="00125E" w:sz="4" w:space="0"/>
            <w:insideH w:val="single" w:color="00125E" w:sz="4" w:space="0"/>
            <w:insideV w:val="single" w:color="00125E" w:sz="4" w:space="0"/>
          </w:tblBorders>
          <w:tblCellMar>
            <w:top w:w="0" w:type="dxa"/>
            <w:left w:w="108" w:type="dxa"/>
            <w:bottom w:w="0" w:type="dxa"/>
            <w:right w:w="108" w:type="dxa"/>
          </w:tblCellMar>
        </w:tblPrEx>
        <w:trPr>
          <w:trHeight w:val="90" w:hRule="atLeast"/>
          <w:jc w:val="center"/>
        </w:trPr>
        <w:tc>
          <w:tcPr>
            <w:tcW w:w="714" w:type="pct"/>
            <w:vMerge w:val="continue"/>
            <w:tcBorders>
              <w:tl2br w:val="nil"/>
              <w:tr2bl w:val="nil"/>
            </w:tcBorders>
            <w:vAlign w:val="center"/>
          </w:tcPr>
          <w:p>
            <w:pPr>
              <w:jc w:val="center"/>
              <w:rPr>
                <w:rFonts w:ascii="宋体" w:hAnsi="宋体" w:cs="宋体"/>
                <w:sz w:val="24"/>
                <w:szCs w:val="24"/>
              </w:rPr>
            </w:pPr>
          </w:p>
        </w:tc>
        <w:tc>
          <w:tcPr>
            <w:tcW w:w="958"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最小转弯半径</w:t>
            </w:r>
          </w:p>
        </w:tc>
        <w:tc>
          <w:tcPr>
            <w:tcW w:w="3326"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3m</w:t>
            </w:r>
          </w:p>
        </w:tc>
      </w:tr>
      <w:tr>
        <w:tblPrEx>
          <w:tblBorders>
            <w:top w:val="single" w:color="00125E" w:sz="4" w:space="0"/>
            <w:left w:val="single" w:color="00125E" w:sz="4" w:space="0"/>
            <w:bottom w:val="single" w:color="00125E" w:sz="4" w:space="0"/>
            <w:right w:val="single" w:color="00125E" w:sz="4" w:space="0"/>
            <w:insideH w:val="single" w:color="00125E" w:sz="4" w:space="0"/>
            <w:insideV w:val="single" w:color="00125E" w:sz="4" w:space="0"/>
          </w:tblBorders>
        </w:tblPrEx>
        <w:trPr>
          <w:trHeight w:val="90" w:hRule="atLeast"/>
          <w:jc w:val="center"/>
        </w:trPr>
        <w:tc>
          <w:tcPr>
            <w:tcW w:w="714" w:type="pct"/>
            <w:vMerge w:val="continue"/>
            <w:tcBorders>
              <w:tl2br w:val="nil"/>
              <w:tr2bl w:val="nil"/>
            </w:tcBorders>
            <w:vAlign w:val="center"/>
          </w:tcPr>
          <w:p>
            <w:pPr>
              <w:jc w:val="center"/>
              <w:rPr>
                <w:rFonts w:ascii="宋体" w:hAnsi="宋体" w:cs="宋体"/>
                <w:sz w:val="24"/>
                <w:szCs w:val="24"/>
              </w:rPr>
            </w:pPr>
          </w:p>
        </w:tc>
        <w:tc>
          <w:tcPr>
            <w:tcW w:w="958"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最大运行速度</w:t>
            </w:r>
          </w:p>
        </w:tc>
        <w:tc>
          <w:tcPr>
            <w:tcW w:w="3326"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25km/h</w:t>
            </w:r>
          </w:p>
        </w:tc>
      </w:tr>
      <w:tr>
        <w:tblPrEx>
          <w:tblBorders>
            <w:top w:val="single" w:color="00125E" w:sz="4" w:space="0"/>
            <w:left w:val="single" w:color="00125E" w:sz="4" w:space="0"/>
            <w:bottom w:val="single" w:color="00125E" w:sz="4" w:space="0"/>
            <w:right w:val="single" w:color="00125E" w:sz="4" w:space="0"/>
            <w:insideH w:val="single" w:color="00125E" w:sz="4" w:space="0"/>
            <w:insideV w:val="single" w:color="00125E" w:sz="4" w:space="0"/>
          </w:tblBorders>
          <w:tblCellMar>
            <w:top w:w="0" w:type="dxa"/>
            <w:left w:w="108" w:type="dxa"/>
            <w:bottom w:w="0" w:type="dxa"/>
            <w:right w:w="108" w:type="dxa"/>
          </w:tblCellMar>
        </w:tblPrEx>
        <w:trPr>
          <w:trHeight w:val="90" w:hRule="atLeast"/>
          <w:jc w:val="center"/>
        </w:trPr>
        <w:tc>
          <w:tcPr>
            <w:tcW w:w="714" w:type="pct"/>
            <w:vMerge w:val="continue"/>
            <w:tcBorders>
              <w:tl2br w:val="nil"/>
              <w:tr2bl w:val="nil"/>
            </w:tcBorders>
            <w:vAlign w:val="center"/>
          </w:tcPr>
          <w:p>
            <w:pPr>
              <w:jc w:val="center"/>
              <w:rPr>
                <w:rFonts w:ascii="宋体" w:hAnsi="宋体" w:cs="宋体"/>
                <w:sz w:val="24"/>
                <w:szCs w:val="24"/>
              </w:rPr>
            </w:pPr>
          </w:p>
        </w:tc>
        <w:tc>
          <w:tcPr>
            <w:tcW w:w="958"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最大爬坡度</w:t>
            </w:r>
          </w:p>
        </w:tc>
        <w:tc>
          <w:tcPr>
            <w:tcW w:w="3326"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10%</w:t>
            </w:r>
          </w:p>
        </w:tc>
      </w:tr>
      <w:tr>
        <w:tblPrEx>
          <w:tblBorders>
            <w:top w:val="single" w:color="00125E" w:sz="4" w:space="0"/>
            <w:left w:val="single" w:color="00125E" w:sz="4" w:space="0"/>
            <w:bottom w:val="single" w:color="00125E" w:sz="4" w:space="0"/>
            <w:right w:val="single" w:color="00125E" w:sz="4" w:space="0"/>
            <w:insideH w:val="single" w:color="00125E" w:sz="4" w:space="0"/>
            <w:insideV w:val="single" w:color="00125E" w:sz="4" w:space="0"/>
          </w:tblBorders>
        </w:tblPrEx>
        <w:trPr>
          <w:trHeight w:val="90" w:hRule="atLeast"/>
          <w:jc w:val="center"/>
        </w:trPr>
        <w:tc>
          <w:tcPr>
            <w:tcW w:w="714" w:type="pct"/>
            <w:vMerge w:val="continue"/>
            <w:tcBorders>
              <w:tl2br w:val="nil"/>
              <w:tr2bl w:val="nil"/>
            </w:tcBorders>
            <w:vAlign w:val="center"/>
          </w:tcPr>
          <w:p>
            <w:pPr>
              <w:jc w:val="center"/>
              <w:rPr>
                <w:rFonts w:ascii="宋体" w:hAnsi="宋体" w:cs="宋体"/>
                <w:sz w:val="24"/>
                <w:szCs w:val="24"/>
              </w:rPr>
            </w:pPr>
          </w:p>
        </w:tc>
        <w:tc>
          <w:tcPr>
            <w:tcW w:w="958"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整备质量</w:t>
            </w:r>
          </w:p>
        </w:tc>
        <w:tc>
          <w:tcPr>
            <w:tcW w:w="3326"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240kg</w:t>
            </w:r>
          </w:p>
        </w:tc>
      </w:tr>
      <w:tr>
        <w:tblPrEx>
          <w:tblBorders>
            <w:top w:val="single" w:color="00125E" w:sz="4" w:space="0"/>
            <w:left w:val="single" w:color="00125E" w:sz="4" w:space="0"/>
            <w:bottom w:val="single" w:color="00125E" w:sz="4" w:space="0"/>
            <w:right w:val="single" w:color="00125E" w:sz="4" w:space="0"/>
            <w:insideH w:val="single" w:color="00125E" w:sz="4" w:space="0"/>
            <w:insideV w:val="single" w:color="00125E" w:sz="4" w:space="0"/>
          </w:tblBorders>
          <w:tblCellMar>
            <w:top w:w="0" w:type="dxa"/>
            <w:left w:w="108" w:type="dxa"/>
            <w:bottom w:w="0" w:type="dxa"/>
            <w:right w:w="108" w:type="dxa"/>
          </w:tblCellMar>
        </w:tblPrEx>
        <w:trPr>
          <w:trHeight w:val="90" w:hRule="atLeast"/>
          <w:jc w:val="center"/>
        </w:trPr>
        <w:tc>
          <w:tcPr>
            <w:tcW w:w="714" w:type="pct"/>
            <w:vMerge w:val="continue"/>
            <w:tcBorders>
              <w:tl2br w:val="nil"/>
              <w:tr2bl w:val="nil"/>
            </w:tcBorders>
            <w:vAlign w:val="center"/>
          </w:tcPr>
          <w:p>
            <w:pPr>
              <w:jc w:val="center"/>
              <w:rPr>
                <w:rFonts w:ascii="宋体" w:hAnsi="宋体" w:cs="宋体"/>
                <w:sz w:val="24"/>
                <w:szCs w:val="24"/>
              </w:rPr>
            </w:pPr>
          </w:p>
        </w:tc>
        <w:tc>
          <w:tcPr>
            <w:tcW w:w="958"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额定载荷</w:t>
            </w:r>
          </w:p>
        </w:tc>
        <w:tc>
          <w:tcPr>
            <w:tcW w:w="3326"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300kg</w:t>
            </w:r>
          </w:p>
        </w:tc>
      </w:tr>
      <w:tr>
        <w:tblPrEx>
          <w:tblBorders>
            <w:top w:val="single" w:color="00125E" w:sz="4" w:space="0"/>
            <w:left w:val="single" w:color="00125E" w:sz="4" w:space="0"/>
            <w:bottom w:val="single" w:color="00125E" w:sz="4" w:space="0"/>
            <w:right w:val="single" w:color="00125E" w:sz="4" w:space="0"/>
            <w:insideH w:val="single" w:color="00125E" w:sz="4" w:space="0"/>
            <w:insideV w:val="single" w:color="00125E" w:sz="4" w:space="0"/>
          </w:tblBorders>
          <w:tblCellMar>
            <w:top w:w="0" w:type="dxa"/>
            <w:left w:w="108" w:type="dxa"/>
            <w:bottom w:w="0" w:type="dxa"/>
            <w:right w:w="108" w:type="dxa"/>
          </w:tblCellMar>
        </w:tblPrEx>
        <w:trPr>
          <w:trHeight w:val="90" w:hRule="atLeast"/>
          <w:jc w:val="center"/>
        </w:trPr>
        <w:tc>
          <w:tcPr>
            <w:tcW w:w="714" w:type="pct"/>
            <w:vMerge w:val="continue"/>
            <w:tcBorders>
              <w:tl2br w:val="nil"/>
              <w:tr2bl w:val="nil"/>
            </w:tcBorders>
            <w:vAlign w:val="center"/>
          </w:tcPr>
          <w:p>
            <w:pPr>
              <w:jc w:val="center"/>
              <w:rPr>
                <w:rFonts w:ascii="宋体" w:hAnsi="宋体" w:cs="宋体"/>
                <w:sz w:val="24"/>
                <w:szCs w:val="24"/>
              </w:rPr>
            </w:pPr>
          </w:p>
        </w:tc>
        <w:tc>
          <w:tcPr>
            <w:tcW w:w="958"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续驶里程</w:t>
            </w:r>
          </w:p>
        </w:tc>
        <w:tc>
          <w:tcPr>
            <w:tcW w:w="3326"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50km</w:t>
            </w:r>
          </w:p>
        </w:tc>
      </w:tr>
      <w:tr>
        <w:tblPrEx>
          <w:tblBorders>
            <w:top w:val="single" w:color="00125E" w:sz="4" w:space="0"/>
            <w:left w:val="single" w:color="00125E" w:sz="4" w:space="0"/>
            <w:bottom w:val="single" w:color="00125E" w:sz="4" w:space="0"/>
            <w:right w:val="single" w:color="00125E" w:sz="4" w:space="0"/>
            <w:insideH w:val="single" w:color="00125E" w:sz="4" w:space="0"/>
            <w:insideV w:val="single" w:color="00125E" w:sz="4" w:space="0"/>
          </w:tblBorders>
          <w:tblCellMar>
            <w:top w:w="0" w:type="dxa"/>
            <w:left w:w="108" w:type="dxa"/>
            <w:bottom w:w="0" w:type="dxa"/>
            <w:right w:w="108" w:type="dxa"/>
          </w:tblCellMar>
        </w:tblPrEx>
        <w:trPr>
          <w:trHeight w:val="90" w:hRule="atLeast"/>
          <w:jc w:val="center"/>
        </w:trPr>
        <w:tc>
          <w:tcPr>
            <w:tcW w:w="714" w:type="pct"/>
            <w:vMerge w:val="continue"/>
            <w:tcBorders>
              <w:tl2br w:val="nil"/>
              <w:tr2bl w:val="nil"/>
            </w:tcBorders>
            <w:vAlign w:val="center"/>
          </w:tcPr>
          <w:p>
            <w:pPr>
              <w:jc w:val="center"/>
              <w:rPr>
                <w:rFonts w:ascii="宋体" w:hAnsi="宋体" w:cs="宋体"/>
                <w:sz w:val="24"/>
                <w:szCs w:val="24"/>
              </w:rPr>
            </w:pPr>
          </w:p>
        </w:tc>
        <w:tc>
          <w:tcPr>
            <w:tcW w:w="958"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充电时间</w:t>
            </w:r>
          </w:p>
        </w:tc>
        <w:tc>
          <w:tcPr>
            <w:tcW w:w="3326"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6-8h（放电率80%）</w:t>
            </w:r>
          </w:p>
        </w:tc>
      </w:tr>
      <w:tr>
        <w:tblPrEx>
          <w:tblBorders>
            <w:top w:val="single" w:color="00125E" w:sz="4" w:space="0"/>
            <w:left w:val="single" w:color="00125E" w:sz="4" w:space="0"/>
            <w:bottom w:val="single" w:color="00125E" w:sz="4" w:space="0"/>
            <w:right w:val="single" w:color="00125E" w:sz="4" w:space="0"/>
            <w:insideH w:val="single" w:color="00125E" w:sz="4" w:space="0"/>
            <w:insideV w:val="single" w:color="00125E" w:sz="4" w:space="0"/>
          </w:tblBorders>
          <w:tblCellMar>
            <w:top w:w="0" w:type="dxa"/>
            <w:left w:w="108" w:type="dxa"/>
            <w:bottom w:w="0" w:type="dxa"/>
            <w:right w:w="108" w:type="dxa"/>
          </w:tblCellMar>
        </w:tblPrEx>
        <w:trPr>
          <w:trHeight w:val="90" w:hRule="atLeast"/>
          <w:jc w:val="center"/>
        </w:trPr>
        <w:tc>
          <w:tcPr>
            <w:tcW w:w="714" w:type="pct"/>
            <w:vMerge w:val="restar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电气系统</w:t>
            </w:r>
          </w:p>
        </w:tc>
        <w:tc>
          <w:tcPr>
            <w:tcW w:w="958"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电机</w:t>
            </w:r>
          </w:p>
        </w:tc>
        <w:tc>
          <w:tcPr>
            <w:tcW w:w="3326"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60V1000W高磁钢无刷差速电机</w:t>
            </w:r>
          </w:p>
        </w:tc>
      </w:tr>
      <w:tr>
        <w:tblPrEx>
          <w:tblBorders>
            <w:top w:val="single" w:color="00125E" w:sz="4" w:space="0"/>
            <w:left w:val="single" w:color="00125E" w:sz="4" w:space="0"/>
            <w:bottom w:val="single" w:color="00125E" w:sz="4" w:space="0"/>
            <w:right w:val="single" w:color="00125E" w:sz="4" w:space="0"/>
            <w:insideH w:val="single" w:color="00125E" w:sz="4" w:space="0"/>
            <w:insideV w:val="single" w:color="00125E" w:sz="4" w:space="0"/>
          </w:tblBorders>
          <w:tblCellMar>
            <w:top w:w="0" w:type="dxa"/>
            <w:left w:w="108" w:type="dxa"/>
            <w:bottom w:w="0" w:type="dxa"/>
            <w:right w:w="108" w:type="dxa"/>
          </w:tblCellMar>
        </w:tblPrEx>
        <w:trPr>
          <w:trHeight w:val="90" w:hRule="atLeast"/>
          <w:jc w:val="center"/>
        </w:trPr>
        <w:tc>
          <w:tcPr>
            <w:tcW w:w="714" w:type="pct"/>
            <w:vMerge w:val="continue"/>
            <w:tcBorders>
              <w:tl2br w:val="nil"/>
              <w:tr2bl w:val="nil"/>
            </w:tcBorders>
            <w:vAlign w:val="center"/>
          </w:tcPr>
          <w:p>
            <w:pPr>
              <w:jc w:val="center"/>
              <w:rPr>
                <w:rFonts w:ascii="宋体" w:hAnsi="宋体" w:cs="宋体"/>
                <w:sz w:val="24"/>
                <w:szCs w:val="24"/>
              </w:rPr>
            </w:pPr>
          </w:p>
        </w:tc>
        <w:tc>
          <w:tcPr>
            <w:tcW w:w="958"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控制器</w:t>
            </w:r>
          </w:p>
        </w:tc>
        <w:tc>
          <w:tcPr>
            <w:tcW w:w="3326"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60V18管无刷控制器</w:t>
            </w:r>
          </w:p>
        </w:tc>
      </w:tr>
      <w:tr>
        <w:tblPrEx>
          <w:tblBorders>
            <w:top w:val="single" w:color="00125E" w:sz="4" w:space="0"/>
            <w:left w:val="single" w:color="00125E" w:sz="4" w:space="0"/>
            <w:bottom w:val="single" w:color="00125E" w:sz="4" w:space="0"/>
            <w:right w:val="single" w:color="00125E" w:sz="4" w:space="0"/>
            <w:insideH w:val="single" w:color="00125E" w:sz="4" w:space="0"/>
            <w:insideV w:val="single" w:color="00125E" w:sz="4" w:space="0"/>
          </w:tblBorders>
          <w:tblCellMar>
            <w:top w:w="0" w:type="dxa"/>
            <w:left w:w="108" w:type="dxa"/>
            <w:bottom w:w="0" w:type="dxa"/>
            <w:right w:w="108" w:type="dxa"/>
          </w:tblCellMar>
        </w:tblPrEx>
        <w:trPr>
          <w:trHeight w:val="90" w:hRule="atLeast"/>
          <w:jc w:val="center"/>
        </w:trPr>
        <w:tc>
          <w:tcPr>
            <w:tcW w:w="714" w:type="pct"/>
            <w:vMerge w:val="continue"/>
            <w:tcBorders>
              <w:tl2br w:val="nil"/>
              <w:tr2bl w:val="nil"/>
            </w:tcBorders>
            <w:vAlign w:val="center"/>
          </w:tcPr>
          <w:p>
            <w:pPr>
              <w:jc w:val="center"/>
              <w:rPr>
                <w:rFonts w:ascii="宋体" w:hAnsi="宋体" w:cs="宋体"/>
                <w:sz w:val="24"/>
                <w:szCs w:val="24"/>
              </w:rPr>
            </w:pPr>
          </w:p>
        </w:tc>
        <w:tc>
          <w:tcPr>
            <w:tcW w:w="958"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电池</w:t>
            </w:r>
          </w:p>
        </w:tc>
        <w:tc>
          <w:tcPr>
            <w:tcW w:w="3326"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60V45Ah铅酸电池</w:t>
            </w:r>
          </w:p>
        </w:tc>
      </w:tr>
      <w:tr>
        <w:tblPrEx>
          <w:tblBorders>
            <w:top w:val="single" w:color="00125E" w:sz="4" w:space="0"/>
            <w:left w:val="single" w:color="00125E" w:sz="4" w:space="0"/>
            <w:bottom w:val="single" w:color="00125E" w:sz="4" w:space="0"/>
            <w:right w:val="single" w:color="00125E" w:sz="4" w:space="0"/>
            <w:insideH w:val="single" w:color="00125E" w:sz="4" w:space="0"/>
            <w:insideV w:val="single" w:color="00125E" w:sz="4" w:space="0"/>
          </w:tblBorders>
        </w:tblPrEx>
        <w:trPr>
          <w:trHeight w:val="90" w:hRule="atLeast"/>
          <w:jc w:val="center"/>
        </w:trPr>
        <w:tc>
          <w:tcPr>
            <w:tcW w:w="714" w:type="pct"/>
            <w:vMerge w:val="continue"/>
            <w:tcBorders>
              <w:tl2br w:val="nil"/>
              <w:tr2bl w:val="nil"/>
            </w:tcBorders>
            <w:vAlign w:val="center"/>
          </w:tcPr>
          <w:p>
            <w:pPr>
              <w:jc w:val="center"/>
              <w:rPr>
                <w:rFonts w:ascii="宋体" w:hAnsi="宋体" w:cs="宋体"/>
                <w:sz w:val="24"/>
                <w:szCs w:val="24"/>
              </w:rPr>
            </w:pPr>
          </w:p>
        </w:tc>
        <w:tc>
          <w:tcPr>
            <w:tcW w:w="958"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充电器</w:t>
            </w:r>
          </w:p>
        </w:tc>
        <w:tc>
          <w:tcPr>
            <w:tcW w:w="3326"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便携式智能全自动充电器</w:t>
            </w:r>
          </w:p>
        </w:tc>
      </w:tr>
      <w:tr>
        <w:tblPrEx>
          <w:tblBorders>
            <w:top w:val="single" w:color="00125E" w:sz="4" w:space="0"/>
            <w:left w:val="single" w:color="00125E" w:sz="4" w:space="0"/>
            <w:bottom w:val="single" w:color="00125E" w:sz="4" w:space="0"/>
            <w:right w:val="single" w:color="00125E" w:sz="4" w:space="0"/>
            <w:insideH w:val="single" w:color="00125E" w:sz="4" w:space="0"/>
            <w:insideV w:val="single" w:color="00125E" w:sz="4" w:space="0"/>
          </w:tblBorders>
          <w:tblCellMar>
            <w:top w:w="0" w:type="dxa"/>
            <w:left w:w="108" w:type="dxa"/>
            <w:bottom w:w="0" w:type="dxa"/>
            <w:right w:w="108" w:type="dxa"/>
          </w:tblCellMar>
        </w:tblPrEx>
        <w:trPr>
          <w:trHeight w:val="90" w:hRule="atLeast"/>
          <w:jc w:val="center"/>
        </w:trPr>
        <w:tc>
          <w:tcPr>
            <w:tcW w:w="714" w:type="pct"/>
            <w:vMerge w:val="continue"/>
            <w:tcBorders>
              <w:tl2br w:val="nil"/>
              <w:tr2bl w:val="nil"/>
            </w:tcBorders>
            <w:vAlign w:val="center"/>
          </w:tcPr>
          <w:p>
            <w:pPr>
              <w:jc w:val="center"/>
              <w:rPr>
                <w:rFonts w:ascii="宋体" w:hAnsi="宋体" w:cs="宋体"/>
                <w:sz w:val="24"/>
                <w:szCs w:val="24"/>
              </w:rPr>
            </w:pPr>
          </w:p>
        </w:tc>
        <w:tc>
          <w:tcPr>
            <w:tcW w:w="958"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灯光及信号</w:t>
            </w:r>
          </w:p>
        </w:tc>
        <w:tc>
          <w:tcPr>
            <w:tcW w:w="3326"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LED大灯、左右转向灯、刹车灯、行车灯、仪表、电喇叭、倒车喇叭、工作警示灯</w:t>
            </w:r>
          </w:p>
        </w:tc>
      </w:tr>
    </w:tbl>
    <w:p>
      <w:pPr>
        <w:keepNext/>
        <w:keepLines/>
        <w:widowControl w:val="0"/>
        <w:numPr>
          <w:ilvl w:val="0"/>
          <w:numId w:val="3"/>
        </w:numPr>
        <w:adjustRightInd/>
        <w:snapToGrid/>
        <w:rPr>
          <w:rFonts w:ascii="宋体" w:hAnsi="宋体" w:cs="宋体"/>
          <w:b/>
          <w:bCs/>
          <w:sz w:val="24"/>
          <w:szCs w:val="24"/>
        </w:rPr>
      </w:pPr>
      <w:r>
        <w:rPr>
          <w:rFonts w:hint="eastAsia" w:ascii="宋体" w:hAnsi="宋体" w:cs="宋体"/>
          <w:b/>
          <w:bCs/>
          <w:sz w:val="24"/>
          <w:szCs w:val="24"/>
        </w:rPr>
        <w:t>电动三轮平板车技术参数：</w:t>
      </w:r>
    </w:p>
    <w:tbl>
      <w:tblPr>
        <w:tblStyle w:val="2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2682"/>
        <w:gridCol w:w="5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157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项     目</w:t>
            </w:r>
          </w:p>
        </w:tc>
        <w:tc>
          <w:tcPr>
            <w:tcW w:w="3425" w:type="pct"/>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型   号   及   参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电机</w:t>
            </w:r>
          </w:p>
        </w:tc>
        <w:tc>
          <w:tcPr>
            <w:tcW w:w="342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≥60V  1000W无刷电机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仪表</w:t>
            </w:r>
          </w:p>
        </w:tc>
        <w:tc>
          <w:tcPr>
            <w:tcW w:w="342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液晶显示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4" w:type="pct"/>
            <w:tcBorders>
              <w:left w:val="single" w:color="auto" w:sz="4" w:space="0"/>
              <w:right w:val="single" w:color="auto"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控制器</w:t>
            </w:r>
          </w:p>
        </w:tc>
        <w:tc>
          <w:tcPr>
            <w:tcW w:w="3425" w:type="pct"/>
            <w:tcBorders>
              <w:left w:val="single" w:color="auto" w:sz="4" w:space="0"/>
              <w:right w:val="single" w:color="auto"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18管控制器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充电器</w:t>
            </w:r>
          </w:p>
        </w:tc>
        <w:tc>
          <w:tcPr>
            <w:tcW w:w="342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≥60V充电器一只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车厢</w:t>
            </w:r>
          </w:p>
        </w:tc>
        <w:tc>
          <w:tcPr>
            <w:tcW w:w="342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材质201不锈钢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底板厚度</w:t>
            </w:r>
          </w:p>
        </w:tc>
        <w:tc>
          <w:tcPr>
            <w:tcW w:w="342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侧板厚度</w:t>
            </w:r>
          </w:p>
        </w:tc>
        <w:tc>
          <w:tcPr>
            <w:tcW w:w="342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≥0.8mm</w:t>
            </w:r>
          </w:p>
        </w:tc>
      </w:tr>
    </w:tbl>
    <w:p>
      <w:pPr>
        <w:keepNext/>
        <w:keepLines/>
        <w:widowControl w:val="0"/>
        <w:numPr>
          <w:ilvl w:val="0"/>
          <w:numId w:val="3"/>
        </w:numPr>
        <w:adjustRightInd/>
        <w:snapToGrid/>
        <w:rPr>
          <w:rFonts w:ascii="宋体" w:hAnsi="宋体" w:cs="宋体"/>
          <w:b/>
          <w:bCs/>
          <w:sz w:val="24"/>
          <w:szCs w:val="24"/>
        </w:rPr>
      </w:pPr>
      <w:r>
        <w:rPr>
          <w:rFonts w:hint="eastAsia" w:ascii="宋体" w:hAnsi="宋体" w:cs="宋体"/>
          <w:b/>
          <w:bCs/>
          <w:sz w:val="24"/>
          <w:szCs w:val="24"/>
        </w:rPr>
        <w:t>巡逻单车（电动巡逻）：</w:t>
      </w:r>
    </w:p>
    <w:tbl>
      <w:tblPr>
        <w:tblStyle w:val="82"/>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06"/>
        <w:gridCol w:w="2695"/>
        <w:gridCol w:w="47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45"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序号</w:t>
            </w:r>
          </w:p>
        </w:tc>
        <w:tc>
          <w:tcPr>
            <w:tcW w:w="1621"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项目</w:t>
            </w:r>
          </w:p>
        </w:tc>
        <w:tc>
          <w:tcPr>
            <w:tcW w:w="2832"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参数要求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45"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1</w:t>
            </w:r>
          </w:p>
        </w:tc>
        <w:tc>
          <w:tcPr>
            <w:tcW w:w="1621"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电池类型</w:t>
            </w:r>
          </w:p>
        </w:tc>
        <w:tc>
          <w:tcPr>
            <w:tcW w:w="2832"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锂电电池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545"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2</w:t>
            </w:r>
          </w:p>
        </w:tc>
        <w:tc>
          <w:tcPr>
            <w:tcW w:w="1621"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额定容量</w:t>
            </w:r>
          </w:p>
        </w:tc>
        <w:tc>
          <w:tcPr>
            <w:tcW w:w="2832"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≥24ah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45"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3</w:t>
            </w:r>
          </w:p>
        </w:tc>
        <w:tc>
          <w:tcPr>
            <w:tcW w:w="1621"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标称电压</w:t>
            </w:r>
          </w:p>
        </w:tc>
        <w:tc>
          <w:tcPr>
            <w:tcW w:w="2832"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≥4*12V</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45"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5</w:t>
            </w:r>
          </w:p>
        </w:tc>
        <w:tc>
          <w:tcPr>
            <w:tcW w:w="1621"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额定输出功率</w:t>
            </w:r>
          </w:p>
        </w:tc>
        <w:tc>
          <w:tcPr>
            <w:tcW w:w="2832"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≥400W</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45"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6</w:t>
            </w:r>
          </w:p>
        </w:tc>
        <w:tc>
          <w:tcPr>
            <w:tcW w:w="1621"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额定电压</w:t>
            </w:r>
          </w:p>
        </w:tc>
        <w:tc>
          <w:tcPr>
            <w:tcW w:w="2832"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≥48V</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45"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7</w:t>
            </w:r>
          </w:p>
        </w:tc>
        <w:tc>
          <w:tcPr>
            <w:tcW w:w="1621"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额定转速</w:t>
            </w:r>
          </w:p>
        </w:tc>
        <w:tc>
          <w:tcPr>
            <w:tcW w:w="2832"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≥320r/min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45"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8</w:t>
            </w:r>
          </w:p>
        </w:tc>
        <w:tc>
          <w:tcPr>
            <w:tcW w:w="1621"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额定输出功率</w:t>
            </w:r>
          </w:p>
        </w:tc>
        <w:tc>
          <w:tcPr>
            <w:tcW w:w="2832"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≥400W</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45"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10</w:t>
            </w:r>
          </w:p>
        </w:tc>
        <w:tc>
          <w:tcPr>
            <w:tcW w:w="1621"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过流保护着</w:t>
            </w:r>
          </w:p>
        </w:tc>
        <w:tc>
          <w:tcPr>
            <w:tcW w:w="2832"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25±1A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45"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14</w:t>
            </w:r>
          </w:p>
        </w:tc>
        <w:tc>
          <w:tcPr>
            <w:tcW w:w="1621"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充电电流</w:t>
            </w:r>
          </w:p>
        </w:tc>
        <w:tc>
          <w:tcPr>
            <w:tcW w:w="2832"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≥2.0A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45"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17</w:t>
            </w:r>
          </w:p>
        </w:tc>
        <w:tc>
          <w:tcPr>
            <w:tcW w:w="1621"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前爆闪警灯</w:t>
            </w:r>
          </w:p>
        </w:tc>
        <w:tc>
          <w:tcPr>
            <w:tcW w:w="2832"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后杆警灯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45"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18</w:t>
            </w:r>
          </w:p>
        </w:tc>
        <w:tc>
          <w:tcPr>
            <w:tcW w:w="1621"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电压</w:t>
            </w:r>
          </w:p>
        </w:tc>
        <w:tc>
          <w:tcPr>
            <w:tcW w:w="2832"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48V</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45"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20</w:t>
            </w:r>
          </w:p>
        </w:tc>
        <w:tc>
          <w:tcPr>
            <w:tcW w:w="1621"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外形尺寸</w:t>
            </w:r>
          </w:p>
        </w:tc>
        <w:tc>
          <w:tcPr>
            <w:tcW w:w="2832"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投标人自填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45"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21</w:t>
            </w:r>
          </w:p>
        </w:tc>
        <w:tc>
          <w:tcPr>
            <w:tcW w:w="1621"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前后轮中心距</w:t>
            </w:r>
          </w:p>
        </w:tc>
        <w:tc>
          <w:tcPr>
            <w:tcW w:w="2832"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≥1245mm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45"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23</w:t>
            </w:r>
          </w:p>
        </w:tc>
        <w:tc>
          <w:tcPr>
            <w:tcW w:w="1621"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整车质量</w:t>
            </w:r>
          </w:p>
        </w:tc>
        <w:tc>
          <w:tcPr>
            <w:tcW w:w="2832"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≥54.5KG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45"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24</w:t>
            </w:r>
          </w:p>
        </w:tc>
        <w:tc>
          <w:tcPr>
            <w:tcW w:w="1621"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轮胎规格</w:t>
            </w:r>
          </w:p>
        </w:tc>
        <w:tc>
          <w:tcPr>
            <w:tcW w:w="2832"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前后≥14x2.50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45"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25</w:t>
            </w:r>
          </w:p>
        </w:tc>
        <w:tc>
          <w:tcPr>
            <w:tcW w:w="1621"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制动形式</w:t>
            </w:r>
          </w:p>
        </w:tc>
        <w:tc>
          <w:tcPr>
            <w:tcW w:w="2832"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前后鼓刹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45"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26</w:t>
            </w:r>
          </w:p>
        </w:tc>
        <w:tc>
          <w:tcPr>
            <w:tcW w:w="1621"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最高车速</w:t>
            </w:r>
          </w:p>
        </w:tc>
        <w:tc>
          <w:tcPr>
            <w:tcW w:w="2832"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≤25KM/h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45"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27</w:t>
            </w:r>
          </w:p>
        </w:tc>
        <w:tc>
          <w:tcPr>
            <w:tcW w:w="1621"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续航里程</w:t>
            </w:r>
          </w:p>
        </w:tc>
        <w:tc>
          <w:tcPr>
            <w:tcW w:w="2832"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≥100KM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45"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31</w:t>
            </w:r>
          </w:p>
        </w:tc>
        <w:tc>
          <w:tcPr>
            <w:tcW w:w="1621"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最大爬坡度</w:t>
            </w:r>
          </w:p>
        </w:tc>
        <w:tc>
          <w:tcPr>
            <w:tcW w:w="2832"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45"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32</w:t>
            </w:r>
          </w:p>
        </w:tc>
        <w:tc>
          <w:tcPr>
            <w:tcW w:w="1621"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百公里耗电</w:t>
            </w:r>
          </w:p>
        </w:tc>
        <w:tc>
          <w:tcPr>
            <w:tcW w:w="2832"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1.8KW/h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45"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33</w:t>
            </w:r>
          </w:p>
        </w:tc>
        <w:tc>
          <w:tcPr>
            <w:tcW w:w="1621"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前减震</w:t>
            </w:r>
          </w:p>
        </w:tc>
        <w:tc>
          <w:tcPr>
            <w:tcW w:w="2832"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液压减震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45"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34</w:t>
            </w:r>
          </w:p>
        </w:tc>
        <w:tc>
          <w:tcPr>
            <w:tcW w:w="1621"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三音鸣笛</w:t>
            </w:r>
          </w:p>
        </w:tc>
        <w:tc>
          <w:tcPr>
            <w:tcW w:w="2832" w:type="pct"/>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喊话器</w:t>
            </w:r>
          </w:p>
        </w:tc>
      </w:tr>
    </w:tbl>
    <w:p>
      <w:pPr>
        <w:rPr>
          <w:rFonts w:ascii="宋体" w:hAnsi="宋体" w:cs="宋体"/>
          <w:szCs w:val="21"/>
        </w:rPr>
      </w:pPr>
    </w:p>
    <w:p>
      <w:pPr>
        <w:pStyle w:val="9"/>
        <w:numPr>
          <w:ilvl w:val="0"/>
          <w:numId w:val="1"/>
        </w:numPr>
        <w:rPr>
          <w:rFonts w:ascii="宋体" w:hAnsi="宋体" w:cs="宋体"/>
          <w:szCs w:val="24"/>
        </w:rPr>
      </w:pPr>
      <w:r>
        <w:rPr>
          <w:rFonts w:hint="eastAsia" w:ascii="宋体" w:hAnsi="宋体" w:cs="宋体"/>
          <w:szCs w:val="24"/>
        </w:rPr>
        <w:t>其他要求</w:t>
      </w:r>
      <w:bookmarkEnd w:id="23"/>
      <w:bookmarkEnd w:id="24"/>
    </w:p>
    <w:p>
      <w:pPr>
        <w:ind w:firstLine="480" w:firstLineChars="200"/>
        <w:rPr>
          <w:rFonts w:ascii="宋体" w:hAnsi="宋体" w:cs="宋体"/>
          <w:sz w:val="24"/>
          <w:szCs w:val="24"/>
        </w:rPr>
      </w:pPr>
      <w:r>
        <w:rPr>
          <w:rFonts w:hint="eastAsia" w:ascii="宋体" w:hAnsi="宋体" w:cs="宋体"/>
          <w:sz w:val="24"/>
          <w:szCs w:val="24"/>
        </w:rPr>
        <w:t>1、投标人所投货物必须是原装、全新、未经使用的产品，并且符合国家以及该产品的出厂标准。</w:t>
      </w:r>
    </w:p>
    <w:p>
      <w:pPr>
        <w:widowControl w:val="0"/>
        <w:ind w:firstLine="480" w:firstLineChars="200"/>
        <w:jc w:val="both"/>
        <w:rPr>
          <w:rFonts w:ascii="宋体" w:hAnsi="宋体" w:cs="宋体"/>
          <w:sz w:val="24"/>
          <w:szCs w:val="24"/>
        </w:rPr>
      </w:pPr>
      <w:r>
        <w:rPr>
          <w:rFonts w:hint="eastAsia" w:ascii="宋体" w:hAnsi="宋体" w:cs="宋体"/>
          <w:sz w:val="24"/>
          <w:szCs w:val="24"/>
        </w:rPr>
        <w:t>2、所有货物在开箱检验时必须完好，无破损，配置与装箱单相符。货物外观清洁，标记编号以及盘面显示等字体清晰，明确，电车需配置充电桩。</w:t>
      </w:r>
    </w:p>
    <w:p>
      <w:pPr>
        <w:widowControl w:val="0"/>
        <w:adjustRightInd/>
        <w:snapToGrid/>
        <w:ind w:firstLine="480" w:firstLineChars="200"/>
        <w:contextualSpacing/>
        <w:rPr>
          <w:rFonts w:ascii="宋体" w:hAnsi="宋体" w:cs="宋体"/>
          <w:sz w:val="24"/>
          <w:szCs w:val="24"/>
        </w:rPr>
      </w:pPr>
      <w:r>
        <w:rPr>
          <w:rFonts w:hint="eastAsia" w:ascii="宋体" w:hAnsi="宋体" w:cs="宋体"/>
          <w:sz w:val="24"/>
          <w:szCs w:val="24"/>
        </w:rPr>
        <w:t>3、对于影响货物正常工作的必要组成部分，无论在技术规范中指出与否，投标人都应提供并在投标文件中明确列出。</w:t>
      </w:r>
    </w:p>
    <w:p>
      <w:pPr>
        <w:widowControl w:val="0"/>
        <w:adjustRightInd/>
        <w:snapToGrid/>
        <w:ind w:firstLine="480" w:firstLineChars="200"/>
        <w:contextualSpacing/>
        <w:rPr>
          <w:rFonts w:ascii="宋体" w:hAnsi="宋体" w:cs="宋体"/>
          <w:sz w:val="24"/>
          <w:szCs w:val="24"/>
        </w:rPr>
      </w:pPr>
      <w:r>
        <w:rPr>
          <w:rFonts w:hint="eastAsia" w:ascii="宋体" w:hAnsi="宋体" w:cs="宋体"/>
          <w:sz w:val="24"/>
          <w:szCs w:val="24"/>
        </w:rPr>
        <w:t>4、投标人必须保证产品符合相关验收标准，并通过验收后，再移交采购人。</w:t>
      </w:r>
    </w:p>
    <w:p>
      <w:pPr>
        <w:widowControl w:val="0"/>
        <w:adjustRightInd/>
        <w:snapToGrid/>
        <w:ind w:firstLine="480" w:firstLineChars="200"/>
        <w:contextualSpacing/>
        <w:rPr>
          <w:rFonts w:ascii="宋体" w:hAnsi="宋体" w:cs="宋体"/>
          <w:sz w:val="24"/>
          <w:szCs w:val="24"/>
        </w:rPr>
      </w:pPr>
      <w:r>
        <w:rPr>
          <w:rFonts w:hint="eastAsia" w:ascii="宋体" w:hAnsi="宋体" w:cs="宋体"/>
          <w:sz w:val="24"/>
          <w:szCs w:val="24"/>
        </w:rPr>
        <w:t>5、投标人所投设备应符合中华人民共和国有关规范和安全要求。</w:t>
      </w:r>
    </w:p>
    <w:p>
      <w:pPr>
        <w:widowControl w:val="0"/>
        <w:adjustRightInd/>
        <w:snapToGrid/>
        <w:ind w:firstLine="480" w:firstLineChars="200"/>
        <w:contextualSpacing/>
        <w:rPr>
          <w:rFonts w:ascii="宋体" w:hAnsi="宋体" w:cs="宋体"/>
          <w:sz w:val="24"/>
          <w:szCs w:val="24"/>
        </w:rPr>
      </w:pPr>
      <w:r>
        <w:rPr>
          <w:rFonts w:hint="eastAsia" w:ascii="宋体" w:hAnsi="宋体" w:cs="宋体"/>
          <w:sz w:val="24"/>
          <w:szCs w:val="24"/>
        </w:rPr>
        <w:t>6、投标人须负责投标货物装卸运输、安装调试（①货物到达交货点后，中标人即按合同执行时间进度计划派出有经验的项目经理及工程技术人员到本项目现场进行安装；②由中标人派技术人员负责安装调试，直到设备正常运行；③设备完成安装后，技术人员对采购人进行指导培训和基本保养；④采购人应当提供符合合同货物安装条件的场所和提供只能由采购人给予的必要的配合）、试运行（符合功能性设计的要求）、验收和售后服务、培训（功能介绍、维护管理、故障保证，培训时间不少于30天）等。</w:t>
      </w:r>
    </w:p>
    <w:p>
      <w:pPr>
        <w:widowControl w:val="0"/>
        <w:adjustRightInd/>
        <w:snapToGrid/>
        <w:ind w:firstLine="480" w:firstLineChars="200"/>
        <w:contextualSpacing/>
        <w:rPr>
          <w:rFonts w:ascii="宋体" w:hAnsi="宋体" w:cs="宋体"/>
          <w:sz w:val="24"/>
          <w:szCs w:val="24"/>
        </w:rPr>
      </w:pPr>
      <w:r>
        <w:rPr>
          <w:rFonts w:hint="eastAsia" w:ascii="宋体" w:hAnsi="宋体" w:cs="宋体"/>
          <w:sz w:val="24"/>
          <w:szCs w:val="24"/>
        </w:rPr>
        <w:t>7、兼容性要求：如有需要，大型电动车辆、油耗车辆需开放端口与采购人的智慧环卫系统等相关联。</w:t>
      </w:r>
    </w:p>
    <w:p>
      <w:pPr>
        <w:widowControl w:val="0"/>
        <w:adjustRightInd/>
        <w:snapToGrid/>
        <w:ind w:firstLine="480" w:firstLineChars="200"/>
        <w:contextualSpacing/>
        <w:rPr>
          <w:rFonts w:ascii="宋体" w:hAnsi="宋体" w:cs="宋体"/>
          <w:sz w:val="24"/>
          <w:szCs w:val="24"/>
        </w:rPr>
      </w:pPr>
      <w:r>
        <w:rPr>
          <w:rFonts w:hint="eastAsia" w:ascii="宋体" w:hAnsi="宋体" w:cs="宋体"/>
          <w:sz w:val="24"/>
          <w:szCs w:val="24"/>
        </w:rPr>
        <w:t>8、本项目为一个整体，投标人必须对本项目整体进行投标，不能只对其中一部分货物进行投标，且要提供详细的技术资料。</w:t>
      </w:r>
    </w:p>
    <w:p>
      <w:pPr>
        <w:widowControl w:val="0"/>
        <w:adjustRightInd/>
        <w:snapToGrid/>
        <w:ind w:firstLine="480" w:firstLineChars="200"/>
        <w:contextualSpacing/>
        <w:rPr>
          <w:rFonts w:ascii="宋体" w:hAnsi="宋体" w:cs="宋体"/>
          <w:sz w:val="24"/>
          <w:szCs w:val="24"/>
        </w:rPr>
      </w:pPr>
      <w:r>
        <w:rPr>
          <w:rFonts w:hint="eastAsia" w:ascii="宋体" w:hAnsi="宋体" w:cs="宋体"/>
          <w:sz w:val="24"/>
          <w:szCs w:val="24"/>
        </w:rPr>
        <w:t>9、投标人提供的产品必须符合采购文件要求的技术参数及功能要求。</w:t>
      </w:r>
    </w:p>
    <w:p>
      <w:pPr>
        <w:ind w:firstLine="480" w:firstLineChars="200"/>
        <w:rPr>
          <w:rFonts w:ascii="宋体" w:hAnsi="宋体" w:cs="宋体"/>
          <w:sz w:val="24"/>
          <w:szCs w:val="24"/>
        </w:rPr>
      </w:pPr>
      <w:r>
        <w:rPr>
          <w:rFonts w:hint="eastAsia" w:ascii="宋体" w:hAnsi="宋体" w:cs="宋体"/>
          <w:sz w:val="24"/>
          <w:szCs w:val="24"/>
        </w:rPr>
        <w:t>10、本项目产品技术参数及功能要求仅供投标人参考，涉及具体品牌、型号、产地的产品，仅作为项目质量水平与配置的参考，在不低于此基准的前提下，投标人可以同档次或更优的同类产品替代。</w:t>
      </w:r>
    </w:p>
    <w:p>
      <w:pPr>
        <w:ind w:firstLine="480" w:firstLineChars="200"/>
        <w:rPr>
          <w:rFonts w:ascii="宋体" w:hAnsi="宋体" w:cs="宋体"/>
          <w:sz w:val="24"/>
          <w:szCs w:val="24"/>
        </w:rPr>
      </w:pPr>
      <w:r>
        <w:rPr>
          <w:rFonts w:hint="eastAsia" w:ascii="宋体" w:hAnsi="宋体" w:cs="宋体"/>
          <w:sz w:val="24"/>
          <w:szCs w:val="24"/>
        </w:rPr>
        <w:t>11、所有设备需在显眼的展示区域包括但不限于车身周围、车尾处标注“东实环境”及logo。</w:t>
      </w:r>
    </w:p>
    <w:p>
      <w:pPr>
        <w:ind w:firstLine="480" w:firstLineChars="200"/>
        <w:rPr>
          <w:rFonts w:ascii="宋体" w:hAnsi="宋体" w:cs="宋体"/>
          <w:sz w:val="24"/>
          <w:szCs w:val="24"/>
        </w:rPr>
      </w:pPr>
      <w:r>
        <w:rPr>
          <w:rFonts w:hint="eastAsia" w:ascii="宋体" w:hAnsi="宋体" w:cs="宋体"/>
          <w:sz w:val="24"/>
          <w:szCs w:val="24"/>
        </w:rPr>
        <w:t>12、中标人在车管所上牌后的大型专项作业车辆需配备GPS车载卫星定位终端，右侧盲区雷达监测及倒车后视系统。采购人不需为安装右侧盲区雷达监测及倒车后视系统增加费用。（注：右侧盲区雷达监测系统必须通过GB4943.1-2011《信息技术设备安全第1部份：通用要求》）</w:t>
      </w:r>
    </w:p>
    <w:p>
      <w:pPr>
        <w:ind w:firstLine="480" w:firstLineChars="200"/>
        <w:rPr>
          <w:rFonts w:ascii="宋体" w:hAnsi="宋体" w:cs="宋体"/>
          <w:sz w:val="24"/>
          <w:szCs w:val="24"/>
        </w:rPr>
      </w:pPr>
      <w:r>
        <w:rPr>
          <w:rFonts w:hint="eastAsia" w:ascii="宋体" w:hAnsi="宋体" w:cs="宋体"/>
          <w:sz w:val="24"/>
          <w:szCs w:val="24"/>
        </w:rPr>
        <w:t>13、根据东莞市城市管理和综合执法局关于垃圾分类的最新要求，车辆设备交付时外观需有垃圾分类的相应标识，具体标识内容以东莞市城市管理和综合执法局规定及与采购人商议确定为准。</w:t>
      </w:r>
    </w:p>
    <w:p>
      <w:pPr>
        <w:ind w:firstLine="480" w:firstLineChars="200"/>
        <w:rPr>
          <w:rFonts w:ascii="宋体" w:hAnsi="宋体" w:cs="宋体"/>
          <w:sz w:val="24"/>
          <w:szCs w:val="24"/>
        </w:rPr>
      </w:pPr>
      <w:r>
        <w:rPr>
          <w:rFonts w:hint="eastAsia" w:ascii="宋体" w:hAnsi="宋体" w:cs="宋体"/>
          <w:sz w:val="24"/>
          <w:szCs w:val="24"/>
        </w:rPr>
        <w:t>14、投标人应在东莞内有建立售后服务点或中标后30天内须在东莞内设立售后服务点。</w:t>
      </w:r>
    </w:p>
    <w:p>
      <w:pPr>
        <w:ind w:firstLine="482" w:firstLineChars="200"/>
        <w:rPr>
          <w:rFonts w:ascii="宋体" w:hAnsi="宋体" w:cs="宋体"/>
          <w:b/>
          <w:bCs/>
          <w:sz w:val="24"/>
          <w:szCs w:val="24"/>
        </w:rPr>
      </w:pPr>
      <w:r>
        <w:rPr>
          <w:rFonts w:hint="eastAsia" w:ascii="宋体" w:hAnsi="宋体" w:cs="宋体"/>
          <w:b/>
          <w:bCs/>
          <w:sz w:val="24"/>
          <w:szCs w:val="24"/>
        </w:rPr>
        <w:t>注：不满足采购文件中 “★”条款的投标文件将作无效投标处理。</w:t>
      </w:r>
      <w:bookmarkEnd w:id="12"/>
      <w:bookmarkEnd w:id="13"/>
      <w:bookmarkEnd w:id="14"/>
      <w:bookmarkEnd w:id="15"/>
    </w:p>
    <w:p>
      <w:pPr>
        <w:rPr>
          <w:rFonts w:ascii="宋体" w:hAnsi="宋体" w:cs="宋体"/>
          <w:sz w:val="24"/>
          <w:szCs w:val="24"/>
        </w:rPr>
      </w:pPr>
      <w:bookmarkStart w:id="25" w:name="_Toc20931"/>
      <w:bookmarkStart w:id="26" w:name="_Toc9794"/>
      <w:r>
        <w:rPr>
          <w:rFonts w:hint="eastAsia" w:ascii="宋体" w:hAnsi="宋体" w:cs="宋体"/>
          <w:sz w:val="24"/>
          <w:szCs w:val="24"/>
        </w:rPr>
        <w:br w:type="page"/>
      </w:r>
    </w:p>
    <w:p>
      <w:pPr>
        <w:pStyle w:val="6"/>
        <w:spacing w:before="0" w:after="0" w:line="240" w:lineRule="auto"/>
        <w:rPr>
          <w:rFonts w:ascii="宋体" w:hAnsi="宋体" w:eastAsia="宋体" w:cs="宋体"/>
          <w:sz w:val="24"/>
          <w:szCs w:val="24"/>
        </w:rPr>
      </w:pPr>
      <w:r>
        <w:rPr>
          <w:rFonts w:hint="eastAsia" w:ascii="宋体" w:hAnsi="宋体" w:eastAsia="宋体" w:cs="宋体"/>
          <w:sz w:val="24"/>
          <w:szCs w:val="24"/>
        </w:rPr>
        <w:t>第四部分投标人须知</w:t>
      </w:r>
      <w:bookmarkEnd w:id="25"/>
      <w:bookmarkEnd w:id="26"/>
    </w:p>
    <w:p>
      <w:pPr>
        <w:pStyle w:val="8"/>
        <w:numPr>
          <w:ilvl w:val="0"/>
          <w:numId w:val="4"/>
        </w:numPr>
        <w:spacing w:before="0" w:after="0" w:line="480" w:lineRule="auto"/>
        <w:jc w:val="center"/>
        <w:rPr>
          <w:rFonts w:ascii="宋体" w:hAnsi="宋体" w:cs="宋体"/>
          <w:sz w:val="24"/>
          <w:szCs w:val="24"/>
        </w:rPr>
      </w:pPr>
      <w:bookmarkStart w:id="27" w:name="_Toc8555"/>
      <w:bookmarkStart w:id="28" w:name="_Toc26607"/>
      <w:r>
        <w:rPr>
          <w:rFonts w:hint="eastAsia" w:ascii="宋体" w:hAnsi="宋体" w:cs="宋体"/>
          <w:sz w:val="24"/>
          <w:szCs w:val="24"/>
        </w:rPr>
        <w:t>说明</w:t>
      </w:r>
      <w:bookmarkEnd w:id="27"/>
      <w:bookmarkEnd w:id="28"/>
    </w:p>
    <w:p>
      <w:pPr>
        <w:pStyle w:val="9"/>
        <w:widowControl w:val="0"/>
        <w:overflowPunct w:val="0"/>
        <w:spacing w:line="240" w:lineRule="auto"/>
        <w:rPr>
          <w:rFonts w:ascii="宋体" w:hAnsi="宋体" w:cs="宋体"/>
          <w:szCs w:val="24"/>
        </w:rPr>
      </w:pPr>
      <w:bookmarkStart w:id="29" w:name="_Toc23309"/>
      <w:bookmarkStart w:id="30" w:name="_Toc7305"/>
      <w:r>
        <w:rPr>
          <w:rFonts w:hint="eastAsia" w:ascii="宋体" w:hAnsi="宋体" w:cs="宋体"/>
          <w:szCs w:val="24"/>
        </w:rPr>
        <w:t>1.适用范围</w:t>
      </w:r>
      <w:bookmarkEnd w:id="29"/>
      <w:bookmarkEnd w:id="30"/>
    </w:p>
    <w:p>
      <w:pPr>
        <w:widowControl w:val="0"/>
        <w:numPr>
          <w:ilvl w:val="1"/>
          <w:numId w:val="5"/>
        </w:numPr>
        <w:adjustRightInd/>
        <w:snapToGrid/>
        <w:spacing w:line="360" w:lineRule="exact"/>
        <w:jc w:val="both"/>
        <w:rPr>
          <w:rFonts w:ascii="宋体" w:hAnsi="宋体" w:cs="宋体"/>
          <w:sz w:val="24"/>
          <w:szCs w:val="24"/>
        </w:rPr>
      </w:pPr>
      <w:r>
        <w:rPr>
          <w:rFonts w:hint="eastAsia" w:ascii="宋体" w:hAnsi="宋体" w:cs="宋体"/>
          <w:sz w:val="24"/>
          <w:szCs w:val="24"/>
        </w:rPr>
        <w:t>采购范围：见本文件《用户需求书》</w:t>
      </w:r>
    </w:p>
    <w:p>
      <w:pPr>
        <w:rPr>
          <w:rFonts w:ascii="宋体" w:hAnsi="宋体" w:cs="宋体"/>
          <w:sz w:val="24"/>
          <w:szCs w:val="24"/>
        </w:rPr>
      </w:pPr>
    </w:p>
    <w:p>
      <w:pPr>
        <w:pStyle w:val="9"/>
        <w:widowControl w:val="0"/>
        <w:overflowPunct w:val="0"/>
        <w:spacing w:line="240" w:lineRule="auto"/>
        <w:rPr>
          <w:rFonts w:ascii="宋体" w:hAnsi="宋体" w:cs="宋体"/>
          <w:szCs w:val="24"/>
        </w:rPr>
      </w:pPr>
      <w:bookmarkStart w:id="31" w:name="_Toc16289"/>
      <w:bookmarkStart w:id="32" w:name="_Toc29623"/>
      <w:r>
        <w:rPr>
          <w:rFonts w:hint="eastAsia" w:ascii="宋体" w:hAnsi="宋体" w:cs="宋体"/>
          <w:szCs w:val="24"/>
        </w:rPr>
        <w:t>2.</w:t>
      </w:r>
      <w:bookmarkStart w:id="33" w:name="_Toc303084246"/>
      <w:bookmarkStart w:id="34" w:name="_Toc298847174"/>
      <w:bookmarkStart w:id="35" w:name="_Toc1530"/>
      <w:bookmarkStart w:id="36" w:name="_Toc382049092"/>
      <w:r>
        <w:rPr>
          <w:rFonts w:hint="eastAsia" w:ascii="宋体" w:hAnsi="宋体" w:cs="宋体"/>
          <w:szCs w:val="24"/>
        </w:rPr>
        <w:t>定义</w:t>
      </w:r>
      <w:bookmarkEnd w:id="31"/>
      <w:bookmarkEnd w:id="32"/>
      <w:bookmarkEnd w:id="33"/>
      <w:bookmarkEnd w:id="34"/>
      <w:bookmarkEnd w:id="35"/>
      <w:bookmarkEnd w:id="36"/>
    </w:p>
    <w:p>
      <w:pPr>
        <w:pStyle w:val="40"/>
        <w:widowControl w:val="0"/>
        <w:numPr>
          <w:ilvl w:val="0"/>
          <w:numId w:val="5"/>
        </w:numPr>
        <w:adjustRightInd/>
        <w:snapToGrid/>
        <w:spacing w:line="360" w:lineRule="exact"/>
        <w:ind w:firstLineChars="0"/>
        <w:jc w:val="both"/>
        <w:rPr>
          <w:rFonts w:ascii="宋体" w:hAnsi="宋体" w:cs="宋体"/>
          <w:vanish/>
          <w:sz w:val="24"/>
          <w:szCs w:val="24"/>
        </w:rPr>
      </w:pPr>
    </w:p>
    <w:p>
      <w:pPr>
        <w:widowControl w:val="0"/>
        <w:numPr>
          <w:ilvl w:val="1"/>
          <w:numId w:val="5"/>
        </w:numPr>
        <w:adjustRightInd/>
        <w:snapToGrid/>
        <w:spacing w:line="360" w:lineRule="exact"/>
        <w:jc w:val="both"/>
        <w:rPr>
          <w:rFonts w:ascii="宋体" w:hAnsi="宋体" w:cs="宋体"/>
          <w:sz w:val="24"/>
          <w:szCs w:val="24"/>
        </w:rPr>
      </w:pPr>
      <w:r>
        <w:rPr>
          <w:rFonts w:hint="eastAsia" w:ascii="宋体" w:hAnsi="宋体" w:cs="宋体"/>
          <w:sz w:val="24"/>
          <w:szCs w:val="24"/>
        </w:rPr>
        <w:t>采购人：是指东莞市东实城市环境服务有限公司。</w:t>
      </w:r>
    </w:p>
    <w:p>
      <w:pPr>
        <w:widowControl w:val="0"/>
        <w:numPr>
          <w:ilvl w:val="1"/>
          <w:numId w:val="5"/>
        </w:numPr>
        <w:adjustRightInd/>
        <w:snapToGrid/>
        <w:spacing w:line="360" w:lineRule="exact"/>
        <w:jc w:val="both"/>
        <w:rPr>
          <w:rFonts w:ascii="宋体" w:hAnsi="宋体" w:cs="宋体"/>
          <w:sz w:val="24"/>
          <w:szCs w:val="24"/>
        </w:rPr>
      </w:pPr>
      <w:r>
        <w:rPr>
          <w:rFonts w:hint="eastAsia" w:ascii="宋体" w:hAnsi="宋体" w:cs="宋体"/>
          <w:sz w:val="24"/>
          <w:szCs w:val="24"/>
        </w:rPr>
        <w:t>投标人：响应采购并且符合采购文件规定资格条件和参加投标竞争的法人、其他组织或者自然人。</w:t>
      </w:r>
    </w:p>
    <w:p>
      <w:pPr>
        <w:widowControl w:val="0"/>
        <w:numPr>
          <w:ilvl w:val="1"/>
          <w:numId w:val="5"/>
        </w:numPr>
        <w:adjustRightInd/>
        <w:snapToGrid/>
        <w:spacing w:line="360" w:lineRule="exact"/>
        <w:jc w:val="both"/>
        <w:rPr>
          <w:rFonts w:ascii="宋体" w:hAnsi="宋体" w:cs="宋体"/>
          <w:sz w:val="24"/>
          <w:szCs w:val="24"/>
        </w:rPr>
      </w:pPr>
      <w:r>
        <w:rPr>
          <w:rFonts w:hint="eastAsia" w:ascii="宋体" w:hAnsi="宋体" w:cs="宋体"/>
          <w:sz w:val="24"/>
          <w:szCs w:val="24"/>
        </w:rPr>
        <w:t>法人：法人是依法在国内进行注册并具有民事权利能力和民事行为能力，依法独立享有民事权利和承担民事义务的组织。</w:t>
      </w:r>
    </w:p>
    <w:p>
      <w:pPr>
        <w:widowControl w:val="0"/>
        <w:numPr>
          <w:ilvl w:val="1"/>
          <w:numId w:val="5"/>
        </w:numPr>
        <w:adjustRightInd/>
        <w:snapToGrid/>
        <w:spacing w:line="360" w:lineRule="exact"/>
        <w:jc w:val="both"/>
        <w:rPr>
          <w:rFonts w:ascii="宋体" w:hAnsi="宋体" w:cs="宋体"/>
          <w:sz w:val="24"/>
          <w:szCs w:val="24"/>
        </w:rPr>
      </w:pPr>
      <w:r>
        <w:rPr>
          <w:rFonts w:hint="eastAsia" w:ascii="宋体" w:hAnsi="宋体" w:cs="宋体"/>
          <w:sz w:val="24"/>
          <w:szCs w:val="24"/>
        </w:rPr>
        <w:t>中标人：指经评标委员会评审推荐、采购人确认的获得本项目中标资格的投标人。</w:t>
      </w:r>
    </w:p>
    <w:p>
      <w:pPr>
        <w:widowControl w:val="0"/>
        <w:numPr>
          <w:ilvl w:val="1"/>
          <w:numId w:val="5"/>
        </w:numPr>
        <w:adjustRightInd/>
        <w:snapToGrid/>
        <w:spacing w:line="360" w:lineRule="exact"/>
        <w:jc w:val="both"/>
        <w:rPr>
          <w:rFonts w:ascii="宋体" w:hAnsi="宋体" w:cs="宋体"/>
          <w:sz w:val="24"/>
          <w:szCs w:val="24"/>
        </w:rPr>
      </w:pPr>
      <w:r>
        <w:rPr>
          <w:rFonts w:hint="eastAsia" w:ascii="宋体" w:hAnsi="宋体" w:cs="宋体"/>
          <w:sz w:val="24"/>
          <w:szCs w:val="24"/>
        </w:rPr>
        <w:t>采购代理机构：广东政通招标有限公司。</w:t>
      </w:r>
    </w:p>
    <w:p>
      <w:pPr>
        <w:widowControl w:val="0"/>
        <w:numPr>
          <w:ilvl w:val="1"/>
          <w:numId w:val="5"/>
        </w:numPr>
        <w:adjustRightInd/>
        <w:snapToGrid/>
        <w:spacing w:line="360" w:lineRule="exact"/>
        <w:jc w:val="both"/>
        <w:rPr>
          <w:rFonts w:ascii="宋体" w:hAnsi="宋体" w:cs="宋体"/>
          <w:sz w:val="24"/>
          <w:szCs w:val="24"/>
        </w:rPr>
      </w:pPr>
      <w:r>
        <w:rPr>
          <w:rFonts w:hint="eastAsia" w:ascii="宋体" w:hAnsi="宋体" w:cs="宋体"/>
          <w:sz w:val="24"/>
          <w:szCs w:val="24"/>
        </w:rPr>
        <w:t>评标委员会：评标委员会是依据相关规定组建的专门负责本次采购其评标工作的临时性机构。</w:t>
      </w:r>
    </w:p>
    <w:p>
      <w:pPr>
        <w:widowControl w:val="0"/>
        <w:numPr>
          <w:ilvl w:val="1"/>
          <w:numId w:val="5"/>
        </w:numPr>
        <w:adjustRightInd/>
        <w:snapToGrid/>
        <w:spacing w:line="360" w:lineRule="exact"/>
        <w:jc w:val="both"/>
        <w:rPr>
          <w:rFonts w:ascii="宋体" w:hAnsi="宋体" w:cs="宋体"/>
          <w:sz w:val="24"/>
          <w:szCs w:val="24"/>
        </w:rPr>
      </w:pPr>
      <w:r>
        <w:rPr>
          <w:rFonts w:hint="eastAsia" w:ascii="宋体" w:hAnsi="宋体" w:cs="宋体"/>
          <w:sz w:val="24"/>
          <w:szCs w:val="24"/>
        </w:rPr>
        <w:t>合同：指由本次采购所产生的合同或合约文件。</w:t>
      </w:r>
    </w:p>
    <w:p>
      <w:pPr>
        <w:widowControl w:val="0"/>
        <w:numPr>
          <w:ilvl w:val="1"/>
          <w:numId w:val="5"/>
        </w:numPr>
        <w:adjustRightInd/>
        <w:snapToGrid/>
        <w:spacing w:line="360" w:lineRule="exact"/>
        <w:jc w:val="both"/>
        <w:rPr>
          <w:rFonts w:ascii="宋体" w:hAnsi="宋体" w:cs="宋体"/>
          <w:sz w:val="24"/>
          <w:szCs w:val="24"/>
        </w:rPr>
      </w:pPr>
      <w:r>
        <w:rPr>
          <w:rFonts w:hint="eastAsia" w:ascii="宋体" w:hAnsi="宋体" w:cs="宋体"/>
          <w:sz w:val="24"/>
          <w:szCs w:val="24"/>
        </w:rPr>
        <w:t>公章：公章是</w:t>
      </w:r>
      <w:r>
        <w:rPr>
          <w:rFonts w:hint="eastAsia" w:ascii="宋体" w:hAnsi="宋体" w:cs="宋体"/>
          <w:iCs/>
          <w:sz w:val="24"/>
          <w:szCs w:val="24"/>
        </w:rPr>
        <w:t>指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cs="宋体"/>
          <w:sz w:val="24"/>
          <w:szCs w:val="24"/>
        </w:rPr>
        <w:t>）</w:t>
      </w:r>
    </w:p>
    <w:p>
      <w:pPr>
        <w:widowControl w:val="0"/>
        <w:numPr>
          <w:ilvl w:val="1"/>
          <w:numId w:val="5"/>
        </w:numPr>
        <w:adjustRightInd/>
        <w:snapToGrid/>
        <w:spacing w:line="360" w:lineRule="exact"/>
        <w:jc w:val="both"/>
        <w:rPr>
          <w:rFonts w:ascii="宋体" w:hAnsi="宋体" w:cs="宋体"/>
          <w:sz w:val="24"/>
          <w:szCs w:val="24"/>
        </w:rPr>
      </w:pPr>
      <w:r>
        <w:rPr>
          <w:rFonts w:hint="eastAsia" w:ascii="宋体" w:hAnsi="宋体" w:cs="宋体"/>
          <w:sz w:val="24"/>
          <w:szCs w:val="24"/>
        </w:rPr>
        <w:t>时间</w:t>
      </w:r>
      <w:r>
        <w:rPr>
          <w:rFonts w:hint="eastAsia" w:ascii="宋体" w:hAnsi="宋体" w:cs="宋体"/>
          <w:iCs/>
          <w:sz w:val="24"/>
          <w:szCs w:val="24"/>
        </w:rPr>
        <w:t>：本文件规定按日计算期间的，开始当天不计入，从次日开始计算。期限的最后一日是国家法定节假日的，顺延到节假日后的次日为期限的最后一日。</w:t>
      </w:r>
    </w:p>
    <w:p>
      <w:pPr>
        <w:rPr>
          <w:rFonts w:ascii="宋体" w:hAnsi="宋体" w:cs="宋体"/>
          <w:sz w:val="24"/>
          <w:szCs w:val="24"/>
        </w:rPr>
      </w:pPr>
    </w:p>
    <w:p>
      <w:pPr>
        <w:pStyle w:val="74"/>
        <w:spacing w:before="0" w:after="0"/>
        <w:rPr>
          <w:rFonts w:ascii="宋体" w:hAnsi="宋体" w:cs="宋体"/>
          <w:spacing w:val="0"/>
          <w:kern w:val="2"/>
          <w:sz w:val="24"/>
          <w:szCs w:val="24"/>
        </w:rPr>
      </w:pPr>
    </w:p>
    <w:p>
      <w:pPr>
        <w:numPr>
          <w:ilvl w:val="255"/>
          <w:numId w:val="0"/>
        </w:numPr>
        <w:outlineLvl w:val="2"/>
        <w:rPr>
          <w:rFonts w:ascii="宋体" w:hAnsi="宋体" w:cs="宋体"/>
          <w:b/>
          <w:sz w:val="24"/>
          <w:szCs w:val="24"/>
        </w:rPr>
      </w:pPr>
      <w:bookmarkStart w:id="37" w:name="_Toc24820"/>
      <w:bookmarkStart w:id="38" w:name="_Toc17499"/>
      <w:r>
        <w:rPr>
          <w:rFonts w:hint="eastAsia" w:ascii="宋体" w:hAnsi="宋体" w:cs="宋体"/>
          <w:b/>
          <w:sz w:val="24"/>
          <w:szCs w:val="24"/>
        </w:rPr>
        <w:t>3.★合格的投标人</w:t>
      </w:r>
      <w:bookmarkEnd w:id="37"/>
      <w:bookmarkEnd w:id="38"/>
    </w:p>
    <w:p>
      <w:pPr>
        <w:numPr>
          <w:ilvl w:val="255"/>
          <w:numId w:val="0"/>
        </w:numPr>
        <w:rPr>
          <w:rFonts w:ascii="宋体" w:hAnsi="宋体" w:cs="宋体"/>
          <w:sz w:val="24"/>
          <w:szCs w:val="24"/>
        </w:rPr>
      </w:pPr>
      <w:r>
        <w:rPr>
          <w:rFonts w:hint="eastAsia" w:ascii="宋体" w:hAnsi="宋体" w:cs="宋体"/>
          <w:sz w:val="24"/>
          <w:szCs w:val="24"/>
        </w:rPr>
        <w:t>3.1投标人须符合</w:t>
      </w:r>
      <w:r>
        <w:rPr>
          <w:rFonts w:hint="eastAsia" w:ascii="宋体" w:hAnsi="宋体" w:cs="宋体"/>
          <w:sz w:val="24"/>
          <w:szCs w:val="24"/>
          <w:lang w:eastAsia="zh-TW"/>
        </w:rPr>
        <w:t>“</w:t>
      </w:r>
      <w:r>
        <w:rPr>
          <w:rFonts w:hint="eastAsia" w:ascii="宋体" w:hAnsi="宋体" w:cs="宋体"/>
          <w:sz w:val="24"/>
          <w:szCs w:val="24"/>
        </w:rPr>
        <w:t>采购</w:t>
      </w:r>
      <w:r>
        <w:rPr>
          <w:rFonts w:hint="eastAsia" w:ascii="宋体" w:hAnsi="宋体" w:cs="宋体"/>
          <w:kern w:val="28"/>
          <w:sz w:val="24"/>
          <w:szCs w:val="24"/>
        </w:rPr>
        <w:t>邀请函</w:t>
      </w:r>
      <w:r>
        <w:rPr>
          <w:rFonts w:hint="eastAsia" w:ascii="宋体" w:hAnsi="宋体" w:cs="宋体"/>
          <w:sz w:val="24"/>
          <w:szCs w:val="24"/>
        </w:rPr>
        <w:t>”投标人资格要求的全部条款。</w:t>
      </w:r>
    </w:p>
    <w:p>
      <w:pPr>
        <w:rPr>
          <w:rFonts w:ascii="宋体" w:hAnsi="宋体" w:cs="宋体"/>
          <w:sz w:val="24"/>
          <w:szCs w:val="24"/>
        </w:rPr>
      </w:pPr>
    </w:p>
    <w:p>
      <w:pPr>
        <w:pStyle w:val="9"/>
        <w:widowControl w:val="0"/>
        <w:overflowPunct w:val="0"/>
        <w:spacing w:line="240" w:lineRule="auto"/>
        <w:rPr>
          <w:rFonts w:ascii="宋体" w:hAnsi="宋体" w:cs="宋体"/>
          <w:szCs w:val="24"/>
        </w:rPr>
      </w:pPr>
      <w:bookmarkStart w:id="39" w:name="_Toc17751"/>
      <w:bookmarkStart w:id="40" w:name="_Toc28792"/>
      <w:r>
        <w:rPr>
          <w:rFonts w:hint="eastAsia" w:ascii="宋体" w:hAnsi="宋体" w:cs="宋体"/>
          <w:szCs w:val="24"/>
        </w:rPr>
        <w:t>4.投标费用</w:t>
      </w:r>
      <w:bookmarkEnd w:id="39"/>
      <w:bookmarkEnd w:id="40"/>
    </w:p>
    <w:p>
      <w:pPr>
        <w:pStyle w:val="40"/>
        <w:widowControl w:val="0"/>
        <w:numPr>
          <w:ilvl w:val="0"/>
          <w:numId w:val="5"/>
        </w:numPr>
        <w:adjustRightInd/>
        <w:snapToGrid/>
        <w:spacing w:line="360" w:lineRule="exact"/>
        <w:ind w:firstLineChars="0"/>
        <w:jc w:val="both"/>
        <w:rPr>
          <w:rFonts w:ascii="宋体" w:hAnsi="宋体" w:cs="宋体"/>
          <w:vanish/>
          <w:sz w:val="24"/>
          <w:szCs w:val="24"/>
        </w:rPr>
      </w:pPr>
    </w:p>
    <w:p>
      <w:pPr>
        <w:widowControl w:val="0"/>
        <w:numPr>
          <w:ilvl w:val="1"/>
          <w:numId w:val="5"/>
        </w:numPr>
        <w:adjustRightInd/>
        <w:snapToGrid/>
        <w:spacing w:line="360" w:lineRule="exact"/>
        <w:jc w:val="both"/>
        <w:rPr>
          <w:rFonts w:ascii="宋体" w:hAnsi="宋体" w:cs="宋体"/>
          <w:sz w:val="24"/>
          <w:szCs w:val="24"/>
        </w:rPr>
      </w:pPr>
      <w:r>
        <w:rPr>
          <w:rFonts w:hint="eastAsia" w:ascii="宋体" w:hAnsi="宋体" w:cs="宋体"/>
          <w:sz w:val="24"/>
          <w:szCs w:val="24"/>
        </w:rPr>
        <w:t>投标人应承担所有与编写投标文件和参加投标有关的自身的所有费用，不论投标的结果如何，采购代理机构和采购人在任何情况下均无义务和责任承担这些费用。</w:t>
      </w:r>
    </w:p>
    <w:p>
      <w:pPr>
        <w:widowControl w:val="0"/>
        <w:adjustRightInd/>
        <w:snapToGrid/>
        <w:spacing w:line="360" w:lineRule="exact"/>
        <w:jc w:val="both"/>
        <w:rPr>
          <w:rFonts w:ascii="宋体" w:hAnsi="宋体" w:cs="宋体"/>
          <w:sz w:val="24"/>
          <w:szCs w:val="24"/>
        </w:rPr>
      </w:pPr>
    </w:p>
    <w:p>
      <w:pPr>
        <w:pStyle w:val="9"/>
        <w:widowControl w:val="0"/>
        <w:overflowPunct w:val="0"/>
        <w:spacing w:line="240" w:lineRule="auto"/>
        <w:rPr>
          <w:rFonts w:ascii="宋体" w:hAnsi="宋体" w:cs="宋体"/>
          <w:szCs w:val="24"/>
        </w:rPr>
      </w:pPr>
      <w:bookmarkStart w:id="41" w:name="_Toc2104"/>
      <w:bookmarkStart w:id="42" w:name="_Toc18061"/>
      <w:r>
        <w:rPr>
          <w:rFonts w:hint="eastAsia" w:ascii="宋体" w:hAnsi="宋体" w:cs="宋体"/>
          <w:szCs w:val="24"/>
        </w:rPr>
        <w:t>5.知识产权</w:t>
      </w:r>
      <w:bookmarkEnd w:id="41"/>
      <w:bookmarkEnd w:id="42"/>
    </w:p>
    <w:p>
      <w:pPr>
        <w:pStyle w:val="40"/>
        <w:widowControl w:val="0"/>
        <w:numPr>
          <w:ilvl w:val="0"/>
          <w:numId w:val="5"/>
        </w:numPr>
        <w:adjustRightInd/>
        <w:snapToGrid/>
        <w:spacing w:line="360" w:lineRule="exact"/>
        <w:ind w:firstLineChars="0"/>
        <w:jc w:val="both"/>
        <w:rPr>
          <w:rFonts w:ascii="宋体" w:hAnsi="宋体" w:cs="宋体"/>
          <w:vanish/>
          <w:sz w:val="24"/>
          <w:szCs w:val="24"/>
        </w:rPr>
      </w:pPr>
    </w:p>
    <w:p>
      <w:pPr>
        <w:widowControl w:val="0"/>
        <w:numPr>
          <w:ilvl w:val="1"/>
          <w:numId w:val="5"/>
        </w:numPr>
        <w:adjustRightInd/>
        <w:snapToGrid/>
        <w:spacing w:line="360" w:lineRule="exact"/>
        <w:jc w:val="both"/>
        <w:rPr>
          <w:rFonts w:ascii="宋体" w:hAnsi="宋体" w:cs="宋体"/>
          <w:sz w:val="24"/>
          <w:szCs w:val="24"/>
        </w:rPr>
      </w:pPr>
      <w:r>
        <w:rPr>
          <w:rFonts w:hint="eastAsia" w:ascii="宋体" w:hAnsi="宋体" w:cs="宋体"/>
          <w:sz w:val="24"/>
          <w:szCs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widowControl w:val="0"/>
        <w:numPr>
          <w:ilvl w:val="1"/>
          <w:numId w:val="5"/>
        </w:numPr>
        <w:adjustRightInd/>
        <w:snapToGrid/>
        <w:spacing w:line="360" w:lineRule="exact"/>
        <w:jc w:val="both"/>
        <w:rPr>
          <w:rFonts w:ascii="宋体" w:hAnsi="宋体" w:cs="宋体"/>
          <w:sz w:val="24"/>
          <w:szCs w:val="24"/>
        </w:rPr>
      </w:pPr>
      <w:r>
        <w:rPr>
          <w:rFonts w:hint="eastAsia" w:ascii="宋体" w:hAnsi="宋体" w:cs="宋体"/>
          <w:sz w:val="24"/>
          <w:szCs w:val="24"/>
        </w:rPr>
        <w:t>采购人享有本项目实施过程中产生的知识成果及知识产权。</w:t>
      </w:r>
    </w:p>
    <w:p>
      <w:pPr>
        <w:widowControl w:val="0"/>
        <w:numPr>
          <w:ilvl w:val="1"/>
          <w:numId w:val="5"/>
        </w:numPr>
        <w:adjustRightInd/>
        <w:snapToGrid/>
        <w:spacing w:line="360" w:lineRule="exact"/>
        <w:jc w:val="both"/>
        <w:rPr>
          <w:rFonts w:ascii="宋体" w:hAnsi="宋体" w:cs="宋体"/>
          <w:sz w:val="24"/>
          <w:szCs w:val="24"/>
        </w:rPr>
      </w:pPr>
      <w:r>
        <w:rPr>
          <w:rFonts w:hint="eastAsia" w:ascii="宋体" w:hAnsi="宋体" w:cs="宋体"/>
          <w:sz w:val="24"/>
          <w:szCs w:val="24"/>
        </w:rPr>
        <w:t>投标人如欲在项目实施过程中采用自有知识成果，需在投标文件中声明，并提供相关知识产权证明文件。使用该知识成果后，投标人需提供开发接口和开发手册等技术文档。</w:t>
      </w:r>
    </w:p>
    <w:p>
      <w:pPr>
        <w:widowControl w:val="0"/>
        <w:numPr>
          <w:ilvl w:val="1"/>
          <w:numId w:val="5"/>
        </w:numPr>
        <w:adjustRightInd/>
        <w:snapToGrid/>
        <w:spacing w:line="360" w:lineRule="exact"/>
        <w:jc w:val="both"/>
        <w:rPr>
          <w:rFonts w:ascii="宋体" w:hAnsi="宋体" w:cs="宋体"/>
          <w:sz w:val="24"/>
          <w:szCs w:val="24"/>
        </w:rPr>
      </w:pPr>
      <w:r>
        <w:rPr>
          <w:rFonts w:hint="eastAsia" w:ascii="宋体" w:hAnsi="宋体" w:cs="宋体"/>
          <w:sz w:val="24"/>
          <w:szCs w:val="24"/>
        </w:rPr>
        <w:t>采购货物为计算机办公设备时，投标人提供的产品必须是预装正版操作系统软件的计算机产品。</w:t>
      </w:r>
    </w:p>
    <w:p>
      <w:pPr>
        <w:widowControl w:val="0"/>
        <w:adjustRightInd/>
        <w:snapToGrid/>
        <w:spacing w:line="360" w:lineRule="exact"/>
        <w:ind w:left="567"/>
        <w:jc w:val="both"/>
        <w:rPr>
          <w:rFonts w:ascii="宋体" w:hAnsi="宋体" w:cs="宋体"/>
          <w:sz w:val="24"/>
          <w:szCs w:val="24"/>
        </w:rPr>
      </w:pPr>
    </w:p>
    <w:p>
      <w:pPr>
        <w:numPr>
          <w:ilvl w:val="255"/>
          <w:numId w:val="0"/>
        </w:numPr>
        <w:outlineLvl w:val="2"/>
        <w:rPr>
          <w:rFonts w:ascii="宋体" w:hAnsi="宋体" w:cs="宋体"/>
          <w:b/>
          <w:sz w:val="24"/>
          <w:szCs w:val="24"/>
        </w:rPr>
      </w:pPr>
      <w:bookmarkStart w:id="43" w:name="_Toc18975"/>
      <w:bookmarkStart w:id="44" w:name="_Toc24958"/>
      <w:r>
        <w:rPr>
          <w:rFonts w:hint="eastAsia" w:ascii="宋体" w:hAnsi="宋体" w:cs="宋体"/>
          <w:b/>
          <w:sz w:val="24"/>
          <w:szCs w:val="24"/>
        </w:rPr>
        <w:t>6.纪律与保密事项</w:t>
      </w:r>
      <w:bookmarkEnd w:id="43"/>
      <w:bookmarkEnd w:id="44"/>
    </w:p>
    <w:p>
      <w:pPr>
        <w:numPr>
          <w:ilvl w:val="255"/>
          <w:numId w:val="0"/>
        </w:numPr>
        <w:rPr>
          <w:rFonts w:ascii="宋体" w:hAnsi="宋体" w:cs="宋体"/>
          <w:sz w:val="24"/>
          <w:szCs w:val="24"/>
        </w:rPr>
      </w:pPr>
      <w:r>
        <w:rPr>
          <w:rFonts w:hint="eastAsia" w:ascii="宋体" w:hAnsi="宋体" w:cs="宋体"/>
          <w:sz w:val="24"/>
          <w:szCs w:val="24"/>
        </w:rPr>
        <w:t>6.1.凡参与本项目的有关人员均应自觉接受有关部门的监督，不得向他人透露已获得采购文件的潜在投标人的名称、数量以及可能影响公平竞争的有关本次采购的其他情况。</w:t>
      </w:r>
    </w:p>
    <w:p>
      <w:pPr>
        <w:numPr>
          <w:ilvl w:val="255"/>
          <w:numId w:val="0"/>
        </w:numPr>
        <w:rPr>
          <w:rFonts w:ascii="宋体" w:hAnsi="宋体" w:cs="宋体"/>
          <w:sz w:val="24"/>
          <w:szCs w:val="24"/>
        </w:rPr>
      </w:pPr>
      <w:r>
        <w:rPr>
          <w:rFonts w:hint="eastAsia" w:ascii="宋体" w:hAnsi="宋体" w:cs="宋体"/>
          <w:sz w:val="24"/>
          <w:szCs w:val="24"/>
        </w:rPr>
        <w:t>6.2.开标开始，直至向中标人发出《中标通知书》时止，凡与审查、更正、评价和比较报价的有关资料以及授标意见等，参与评标工作的有关人员均不得向投标人及与评审无关的其他人透露。</w:t>
      </w:r>
    </w:p>
    <w:p>
      <w:pPr>
        <w:numPr>
          <w:ilvl w:val="255"/>
          <w:numId w:val="0"/>
        </w:numPr>
        <w:rPr>
          <w:rFonts w:ascii="宋体" w:hAnsi="宋体" w:cs="宋体"/>
          <w:sz w:val="24"/>
          <w:szCs w:val="24"/>
        </w:rPr>
      </w:pPr>
      <w:r>
        <w:rPr>
          <w:rFonts w:hint="eastAsia" w:ascii="宋体" w:hAnsi="宋体" w:cs="宋体"/>
          <w:sz w:val="24"/>
          <w:szCs w:val="24"/>
        </w:rPr>
        <w:t>6.3.投标人不得串通作弊，以不正当的手段妨碍、排挤其他投标人，破坏公平竞争原则。</w:t>
      </w:r>
    </w:p>
    <w:p>
      <w:pPr>
        <w:numPr>
          <w:ilvl w:val="255"/>
          <w:numId w:val="0"/>
        </w:numPr>
        <w:rPr>
          <w:rFonts w:ascii="宋体" w:hAnsi="宋体" w:cs="宋体"/>
          <w:sz w:val="24"/>
          <w:szCs w:val="24"/>
        </w:rPr>
      </w:pPr>
      <w:r>
        <w:rPr>
          <w:rFonts w:hint="eastAsia" w:ascii="宋体" w:hAnsi="宋体" w:cs="宋体"/>
          <w:sz w:val="24"/>
          <w:szCs w:val="24"/>
        </w:rPr>
        <w:t>6.4.凡两家或以上供应商参加同一项目的采购，有如下情况的，一经发现，将视同串标处理：</w:t>
      </w:r>
    </w:p>
    <w:p>
      <w:pPr>
        <w:numPr>
          <w:ilvl w:val="0"/>
          <w:numId w:val="6"/>
        </w:numPr>
        <w:rPr>
          <w:rFonts w:ascii="宋体" w:hAnsi="宋体" w:cs="宋体"/>
          <w:sz w:val="24"/>
          <w:szCs w:val="24"/>
          <w:u w:val="single"/>
        </w:rPr>
      </w:pPr>
      <w:r>
        <w:rPr>
          <w:rFonts w:hint="eastAsia" w:ascii="宋体" w:hAnsi="宋体" w:cs="宋体"/>
          <w:sz w:val="24"/>
          <w:szCs w:val="24"/>
          <w:u w:val="single"/>
        </w:rPr>
        <w:t>不同投标人的投标文件由同一单位或者个人编制；</w:t>
      </w:r>
    </w:p>
    <w:p>
      <w:pPr>
        <w:numPr>
          <w:ilvl w:val="0"/>
          <w:numId w:val="6"/>
        </w:numPr>
        <w:rPr>
          <w:rFonts w:ascii="宋体" w:hAnsi="宋体" w:cs="宋体"/>
          <w:sz w:val="24"/>
          <w:szCs w:val="24"/>
          <w:u w:val="single"/>
        </w:rPr>
      </w:pPr>
      <w:r>
        <w:rPr>
          <w:rFonts w:hint="eastAsia" w:ascii="宋体" w:hAnsi="宋体" w:cs="宋体"/>
          <w:sz w:val="24"/>
          <w:szCs w:val="24"/>
          <w:u w:val="single"/>
        </w:rPr>
        <w:t>不同投标人委托同一单位或者个人办理投标事宜；</w:t>
      </w:r>
    </w:p>
    <w:p>
      <w:pPr>
        <w:numPr>
          <w:ilvl w:val="0"/>
          <w:numId w:val="6"/>
        </w:numPr>
        <w:rPr>
          <w:rFonts w:ascii="宋体" w:hAnsi="宋体" w:cs="宋体"/>
          <w:sz w:val="24"/>
          <w:szCs w:val="24"/>
          <w:u w:val="single"/>
        </w:rPr>
      </w:pPr>
      <w:r>
        <w:rPr>
          <w:rFonts w:hint="eastAsia" w:ascii="宋体" w:hAnsi="宋体" w:cs="宋体"/>
          <w:sz w:val="24"/>
          <w:szCs w:val="24"/>
          <w:u w:val="single"/>
        </w:rPr>
        <w:t>不同投标人的投标文件载明的项目管理成员或者联系人员为同一人；</w:t>
      </w:r>
    </w:p>
    <w:p>
      <w:pPr>
        <w:numPr>
          <w:ilvl w:val="0"/>
          <w:numId w:val="6"/>
        </w:numPr>
        <w:rPr>
          <w:rFonts w:ascii="宋体" w:hAnsi="宋体" w:cs="宋体"/>
          <w:sz w:val="24"/>
          <w:szCs w:val="24"/>
          <w:u w:val="single"/>
        </w:rPr>
      </w:pPr>
      <w:r>
        <w:rPr>
          <w:rFonts w:hint="eastAsia" w:ascii="宋体" w:hAnsi="宋体" w:cs="宋体"/>
          <w:sz w:val="24"/>
          <w:szCs w:val="24"/>
          <w:u w:val="single"/>
        </w:rPr>
        <w:t>不同投标人的投标文件异常一致或者投标报价呈规律性差异；</w:t>
      </w:r>
    </w:p>
    <w:p>
      <w:pPr>
        <w:numPr>
          <w:ilvl w:val="0"/>
          <w:numId w:val="6"/>
        </w:numPr>
        <w:rPr>
          <w:rFonts w:ascii="宋体" w:hAnsi="宋体" w:cs="宋体"/>
          <w:sz w:val="24"/>
          <w:szCs w:val="24"/>
          <w:u w:val="single"/>
        </w:rPr>
      </w:pPr>
      <w:r>
        <w:rPr>
          <w:rFonts w:hint="eastAsia" w:ascii="宋体" w:hAnsi="宋体" w:cs="宋体"/>
          <w:sz w:val="24"/>
          <w:szCs w:val="24"/>
          <w:u w:val="single"/>
        </w:rPr>
        <w:t>不同投标人的投标文件相互混装；</w:t>
      </w:r>
    </w:p>
    <w:p>
      <w:pPr>
        <w:numPr>
          <w:ilvl w:val="0"/>
          <w:numId w:val="6"/>
        </w:numPr>
        <w:rPr>
          <w:rFonts w:ascii="宋体" w:hAnsi="宋体" w:cs="宋体"/>
          <w:sz w:val="24"/>
          <w:szCs w:val="24"/>
          <w:u w:val="single"/>
        </w:rPr>
      </w:pPr>
      <w:r>
        <w:rPr>
          <w:rFonts w:hint="eastAsia" w:ascii="宋体" w:hAnsi="宋体" w:cs="宋体"/>
          <w:sz w:val="24"/>
          <w:szCs w:val="24"/>
          <w:u w:val="single"/>
        </w:rPr>
        <w:t>不同投标人的投标保证金从同一单位或者个人的账户转出。</w:t>
      </w:r>
    </w:p>
    <w:p>
      <w:pPr>
        <w:rPr>
          <w:rFonts w:ascii="宋体" w:hAnsi="宋体" w:cs="宋体"/>
          <w:sz w:val="24"/>
          <w:szCs w:val="24"/>
        </w:rPr>
      </w:pPr>
      <w:r>
        <w:rPr>
          <w:rFonts w:hint="eastAsia" w:ascii="宋体" w:hAnsi="宋体" w:cs="宋体"/>
          <w:sz w:val="24"/>
          <w:szCs w:val="24"/>
        </w:rPr>
        <w:t>6.5.获得本采购文件者，应对文件进行保密，不得用作本次项目以外的任何用途。若有要求，评标结束后，投标人应归还采购文件中的保密的文件和资料。</w:t>
      </w:r>
    </w:p>
    <w:p/>
    <w:p>
      <w:pPr>
        <w:outlineLvl w:val="2"/>
        <w:rPr>
          <w:rFonts w:ascii="宋体" w:hAnsi="宋体" w:cs="宋体"/>
          <w:b/>
          <w:sz w:val="24"/>
          <w:szCs w:val="24"/>
        </w:rPr>
      </w:pPr>
      <w:bookmarkStart w:id="45" w:name="_Toc4264"/>
      <w:bookmarkStart w:id="46" w:name="_Toc30686"/>
      <w:r>
        <w:rPr>
          <w:rFonts w:hint="eastAsia" w:ascii="宋体" w:hAnsi="宋体" w:cs="宋体"/>
          <w:b/>
          <w:sz w:val="24"/>
          <w:szCs w:val="24"/>
        </w:rPr>
        <w:t>7.关于联合体投标</w:t>
      </w:r>
      <w:bookmarkEnd w:id="45"/>
      <w:bookmarkEnd w:id="46"/>
    </w:p>
    <w:p>
      <w:pPr>
        <w:pStyle w:val="40"/>
        <w:widowControl w:val="0"/>
        <w:numPr>
          <w:ilvl w:val="0"/>
          <w:numId w:val="5"/>
        </w:numPr>
        <w:adjustRightInd/>
        <w:snapToGrid/>
        <w:spacing w:line="360" w:lineRule="exact"/>
        <w:ind w:firstLineChars="0"/>
        <w:jc w:val="both"/>
        <w:rPr>
          <w:rFonts w:ascii="宋体" w:hAnsi="宋体" w:cs="宋体"/>
          <w:vanish/>
          <w:sz w:val="24"/>
          <w:szCs w:val="24"/>
        </w:rPr>
      </w:pPr>
    </w:p>
    <w:p>
      <w:pPr>
        <w:widowControl w:val="0"/>
        <w:numPr>
          <w:ilvl w:val="255"/>
          <w:numId w:val="0"/>
        </w:numPr>
        <w:adjustRightInd/>
        <w:snapToGrid/>
        <w:jc w:val="both"/>
        <w:rPr>
          <w:rFonts w:ascii="宋体" w:hAnsi="宋体" w:cs="宋体"/>
          <w:sz w:val="24"/>
          <w:szCs w:val="24"/>
        </w:rPr>
      </w:pPr>
      <w:r>
        <w:rPr>
          <w:rFonts w:hint="eastAsia" w:ascii="宋体" w:hAnsi="宋体" w:cs="宋体"/>
          <w:sz w:val="24"/>
          <w:szCs w:val="24"/>
        </w:rPr>
        <w:t>7.1.对接受联合体投标的项目：两个以上的自然人、法人或者其他组织可以组成一个联合体，以一个投标人的身份共同参加采购活动。</w:t>
      </w:r>
    </w:p>
    <w:p>
      <w:pPr>
        <w:widowControl w:val="0"/>
        <w:numPr>
          <w:ilvl w:val="255"/>
          <w:numId w:val="0"/>
        </w:numPr>
        <w:adjustRightInd/>
        <w:snapToGrid/>
        <w:jc w:val="both"/>
        <w:rPr>
          <w:rFonts w:ascii="宋体" w:hAnsi="宋体" w:cs="宋体"/>
          <w:sz w:val="24"/>
          <w:szCs w:val="24"/>
        </w:rPr>
      </w:pPr>
      <w:r>
        <w:rPr>
          <w:rFonts w:hint="eastAsia" w:ascii="宋体" w:hAnsi="宋体" w:cs="宋体"/>
          <w:sz w:val="24"/>
          <w:szCs w:val="24"/>
        </w:rPr>
        <w:t>7.2.以联合体形式参与项目的供应商在领购采购文件时，应提供所有联合体组成成员的营业执照复印件，并加盖各联合体组成成员的公章。</w:t>
      </w:r>
    </w:p>
    <w:p>
      <w:pPr>
        <w:widowControl w:val="0"/>
        <w:numPr>
          <w:ilvl w:val="255"/>
          <w:numId w:val="0"/>
        </w:numPr>
        <w:adjustRightInd/>
        <w:snapToGrid/>
        <w:jc w:val="both"/>
        <w:rPr>
          <w:rFonts w:ascii="宋体" w:hAnsi="宋体" w:cs="宋体"/>
          <w:sz w:val="24"/>
          <w:szCs w:val="24"/>
        </w:rPr>
      </w:pPr>
      <w:r>
        <w:rPr>
          <w:rFonts w:hint="eastAsia" w:ascii="宋体" w:hAnsi="宋体" w:cs="宋体"/>
          <w:sz w:val="24"/>
          <w:szCs w:val="24"/>
        </w:rPr>
        <w:t>7.3.联合体各方均应具有独立承担民事责任能力的法人或其他组织。</w:t>
      </w:r>
    </w:p>
    <w:p>
      <w:pPr>
        <w:widowControl w:val="0"/>
        <w:numPr>
          <w:ilvl w:val="255"/>
          <w:numId w:val="0"/>
        </w:numPr>
        <w:adjustRightInd/>
        <w:snapToGrid/>
        <w:jc w:val="both"/>
        <w:rPr>
          <w:rFonts w:ascii="宋体" w:hAnsi="宋体" w:cs="宋体"/>
          <w:sz w:val="24"/>
          <w:szCs w:val="24"/>
        </w:rPr>
      </w:pPr>
      <w:r>
        <w:rPr>
          <w:rFonts w:hint="eastAsia" w:ascii="宋体" w:hAnsi="宋体" w:cs="宋体"/>
          <w:sz w:val="24"/>
          <w:szCs w:val="24"/>
        </w:rPr>
        <w:t>7.4.两个以上的自然人、法人或者其他组织组成一个联合体，以一个供应商的身份共同参加采购活动的，应当对所有联合体成员进行信用记录查询，联合体成员存在不良信用记录的，视同联合体存在不良信用记录。</w:t>
      </w:r>
    </w:p>
    <w:p>
      <w:pPr>
        <w:widowControl w:val="0"/>
        <w:numPr>
          <w:ilvl w:val="255"/>
          <w:numId w:val="0"/>
        </w:numPr>
        <w:adjustRightInd/>
        <w:snapToGrid/>
        <w:jc w:val="both"/>
        <w:rPr>
          <w:rFonts w:ascii="宋体" w:hAnsi="宋体" w:cs="宋体"/>
          <w:sz w:val="24"/>
          <w:szCs w:val="24"/>
        </w:rPr>
      </w:pPr>
      <w:r>
        <w:rPr>
          <w:rFonts w:hint="eastAsia" w:ascii="宋体" w:hAnsi="宋体" w:cs="宋体"/>
          <w:sz w:val="24"/>
          <w:szCs w:val="24"/>
        </w:rPr>
        <w:t>7.5.采购人根据采购项目的特殊要求规定投标人特定条件的，联合体各方中至少应当有一方符合采购人规定的特定条件。</w:t>
      </w:r>
    </w:p>
    <w:p>
      <w:pPr>
        <w:widowControl w:val="0"/>
        <w:numPr>
          <w:ilvl w:val="255"/>
          <w:numId w:val="0"/>
        </w:numPr>
        <w:adjustRightInd/>
        <w:snapToGrid/>
        <w:jc w:val="both"/>
        <w:rPr>
          <w:rFonts w:ascii="宋体" w:hAnsi="宋体" w:cs="宋体"/>
          <w:sz w:val="24"/>
          <w:szCs w:val="24"/>
        </w:rPr>
      </w:pPr>
      <w:r>
        <w:rPr>
          <w:rFonts w:hint="eastAsia" w:ascii="宋体" w:hAnsi="宋体" w:cs="宋体"/>
          <w:sz w:val="24"/>
          <w:szCs w:val="24"/>
        </w:rPr>
        <w:t>7.6.联合体各方之间应当签订共同投标协议并在投标文件内提交，明确约定联合体各方承担的工作和相应的责任。联合体各方签订共同投标协议后，不得再以自己名义单独在同一项目中投标，也不得组成新的联合体参加同一项目投标。</w:t>
      </w:r>
    </w:p>
    <w:p>
      <w:pPr>
        <w:widowControl w:val="0"/>
        <w:numPr>
          <w:ilvl w:val="255"/>
          <w:numId w:val="0"/>
        </w:numPr>
        <w:adjustRightInd/>
        <w:snapToGrid/>
        <w:jc w:val="both"/>
        <w:rPr>
          <w:rFonts w:ascii="宋体" w:hAnsi="宋体" w:cs="宋体"/>
          <w:sz w:val="24"/>
          <w:szCs w:val="24"/>
        </w:rPr>
      </w:pPr>
      <w:r>
        <w:rPr>
          <w:rFonts w:hint="eastAsia" w:ascii="宋体" w:hAnsi="宋体" w:cs="宋体"/>
          <w:sz w:val="24"/>
          <w:szCs w:val="24"/>
        </w:rPr>
        <w:t>7.7.供应商为联合体的，可以由联合体中的任意一方交纳保证金，其交纳的保证金对联合体各方均具有约束力。</w:t>
      </w:r>
    </w:p>
    <w:p>
      <w:pPr>
        <w:widowControl w:val="0"/>
        <w:numPr>
          <w:ilvl w:val="255"/>
          <w:numId w:val="0"/>
        </w:numPr>
        <w:adjustRightInd/>
        <w:snapToGrid/>
        <w:jc w:val="both"/>
        <w:rPr>
          <w:rFonts w:ascii="宋体" w:hAnsi="宋体" w:cs="宋体"/>
          <w:sz w:val="24"/>
          <w:szCs w:val="24"/>
        </w:rPr>
      </w:pPr>
      <w:r>
        <w:rPr>
          <w:rFonts w:hint="eastAsia" w:ascii="宋体" w:hAnsi="宋体" w:cs="宋体"/>
          <w:sz w:val="24"/>
          <w:szCs w:val="24"/>
        </w:rPr>
        <w:t>7.8.联合体中有同类资质的投标人按照联合体分工承担相同工作的，应当按照资质等级较低的供应商确定资质等级。</w:t>
      </w:r>
    </w:p>
    <w:p>
      <w:pPr>
        <w:widowControl w:val="0"/>
        <w:numPr>
          <w:ilvl w:val="255"/>
          <w:numId w:val="0"/>
        </w:numPr>
        <w:adjustRightInd/>
        <w:snapToGrid/>
        <w:jc w:val="both"/>
        <w:rPr>
          <w:rFonts w:ascii="宋体" w:hAnsi="宋体" w:cs="宋体"/>
          <w:sz w:val="24"/>
          <w:szCs w:val="24"/>
        </w:rPr>
      </w:pPr>
      <w:r>
        <w:rPr>
          <w:rFonts w:hint="eastAsia" w:ascii="宋体" w:hAnsi="宋体" w:cs="宋体"/>
          <w:sz w:val="24"/>
          <w:szCs w:val="24"/>
        </w:rPr>
        <w:t>7.9.以联合体形式参加采购活动，联合体各方均为中小企业的，联合体视同中小企业。其中，联合体各方均为小微企业的，联合体视同小微企业。双方均应提供《中小企业声明函》。</w:t>
      </w:r>
    </w:p>
    <w:p>
      <w:pPr>
        <w:widowControl w:val="0"/>
        <w:numPr>
          <w:ilvl w:val="255"/>
          <w:numId w:val="0"/>
        </w:numPr>
        <w:adjustRightInd/>
        <w:snapToGrid/>
        <w:jc w:val="both"/>
        <w:rPr>
          <w:rFonts w:ascii="宋体" w:hAnsi="宋体" w:cs="宋体"/>
          <w:sz w:val="24"/>
          <w:szCs w:val="24"/>
        </w:rPr>
      </w:pPr>
      <w:r>
        <w:rPr>
          <w:rFonts w:hint="eastAsia" w:ascii="宋体" w:hAnsi="宋体" w:cs="宋体"/>
          <w:sz w:val="24"/>
          <w:szCs w:val="24"/>
        </w:rPr>
        <w:t>7.10.除联合体协议明确授权盖章单位外，联合体投标时投标文件中所有要求盖章的地方均须加盖联合体所有组成成员的公章，否则该处盖章无效。</w:t>
      </w:r>
    </w:p>
    <w:p>
      <w:pPr>
        <w:widowControl w:val="0"/>
        <w:numPr>
          <w:ilvl w:val="255"/>
          <w:numId w:val="0"/>
        </w:numPr>
        <w:adjustRightInd/>
        <w:snapToGrid/>
        <w:jc w:val="both"/>
        <w:rPr>
          <w:rFonts w:ascii="宋体" w:hAnsi="宋体" w:cs="宋体"/>
          <w:sz w:val="24"/>
          <w:szCs w:val="24"/>
        </w:rPr>
      </w:pPr>
      <w:r>
        <w:rPr>
          <w:rFonts w:hint="eastAsia" w:ascii="宋体" w:hAnsi="宋体" w:cs="宋体"/>
          <w:sz w:val="24"/>
          <w:szCs w:val="24"/>
        </w:rPr>
        <w:t>7.11.联合体进行评分时，业绩、奖项等的认定和评分根据共同投标协议约定的各方承担的工作和相应责任，确定一方打分，不累加打分；评审标准不明确或难以明确以哪一方计算评分情况时，则按主体方情况评分。</w:t>
      </w:r>
    </w:p>
    <w:p>
      <w:pPr>
        <w:numPr>
          <w:ilvl w:val="255"/>
          <w:numId w:val="0"/>
        </w:numPr>
        <w:outlineLvl w:val="2"/>
        <w:rPr>
          <w:rFonts w:ascii="宋体" w:hAnsi="宋体" w:cs="宋体"/>
          <w:b/>
          <w:sz w:val="24"/>
          <w:szCs w:val="24"/>
        </w:rPr>
      </w:pPr>
      <w:bookmarkStart w:id="47" w:name="_Toc30290"/>
      <w:bookmarkStart w:id="48" w:name="_Toc24899"/>
      <w:r>
        <w:rPr>
          <w:rFonts w:hint="eastAsia" w:ascii="宋体" w:hAnsi="宋体" w:cs="宋体"/>
          <w:b/>
          <w:sz w:val="24"/>
          <w:szCs w:val="24"/>
        </w:rPr>
        <w:t>8.保证</w:t>
      </w:r>
      <w:bookmarkEnd w:id="47"/>
      <w:bookmarkEnd w:id="48"/>
      <w:bookmarkStart w:id="49" w:name="_Hlt113684504"/>
      <w:bookmarkEnd w:id="49"/>
    </w:p>
    <w:p>
      <w:pPr>
        <w:numPr>
          <w:ilvl w:val="1"/>
          <w:numId w:val="7"/>
        </w:numPr>
        <w:rPr>
          <w:rFonts w:ascii="宋体" w:hAnsi="宋体" w:cs="宋体"/>
          <w:sz w:val="24"/>
          <w:szCs w:val="24"/>
        </w:rPr>
      </w:pPr>
      <w:r>
        <w:rPr>
          <w:rFonts w:hint="eastAsia" w:ascii="宋体" w:hAnsi="宋体" w:cs="宋体"/>
          <w:sz w:val="24"/>
          <w:szCs w:val="24"/>
        </w:rPr>
        <w:t>投标人应保证所提交给采购代理机构的资料和数据是真实的。</w:t>
      </w:r>
    </w:p>
    <w:p>
      <w:pPr>
        <w:rPr>
          <w:rFonts w:ascii="宋体" w:hAnsi="宋体" w:cs="宋体"/>
          <w:sz w:val="24"/>
          <w:szCs w:val="24"/>
        </w:rPr>
      </w:pPr>
    </w:p>
    <w:p>
      <w:pPr>
        <w:numPr>
          <w:ilvl w:val="255"/>
          <w:numId w:val="0"/>
        </w:numPr>
        <w:outlineLvl w:val="2"/>
        <w:rPr>
          <w:rFonts w:ascii="宋体" w:hAnsi="宋体" w:cs="宋体"/>
          <w:b/>
          <w:sz w:val="24"/>
          <w:szCs w:val="24"/>
        </w:rPr>
      </w:pPr>
      <w:bookmarkStart w:id="50" w:name="_Toc4268"/>
      <w:bookmarkStart w:id="51" w:name="_Toc26621"/>
      <w:r>
        <w:rPr>
          <w:rFonts w:hint="eastAsia" w:ascii="宋体" w:hAnsi="宋体" w:cs="宋体"/>
          <w:b/>
          <w:sz w:val="24"/>
          <w:szCs w:val="24"/>
        </w:rPr>
        <w:t>9.重要说明</w:t>
      </w:r>
      <w:bookmarkEnd w:id="50"/>
      <w:bookmarkEnd w:id="51"/>
    </w:p>
    <w:p>
      <w:pPr>
        <w:numPr>
          <w:ilvl w:val="255"/>
          <w:numId w:val="0"/>
        </w:numPr>
        <w:rPr>
          <w:rFonts w:ascii="宋体" w:hAnsi="宋体" w:cs="宋体"/>
          <w:sz w:val="24"/>
          <w:szCs w:val="24"/>
        </w:rPr>
      </w:pPr>
      <w:r>
        <w:rPr>
          <w:rFonts w:hint="eastAsia" w:ascii="宋体" w:hAnsi="宋体" w:cs="宋体"/>
          <w:sz w:val="24"/>
          <w:szCs w:val="24"/>
        </w:rPr>
        <w:t>9.1.本采购文件有打“★”号的条款是重要条款，投标人必须响应，否则当作无效投标处理。</w:t>
      </w:r>
    </w:p>
    <w:p>
      <w:pPr>
        <w:rPr>
          <w:rFonts w:ascii="宋体" w:hAnsi="宋体" w:cs="宋体"/>
          <w:sz w:val="24"/>
          <w:szCs w:val="24"/>
        </w:rPr>
      </w:pPr>
    </w:p>
    <w:p>
      <w:pPr>
        <w:pStyle w:val="8"/>
        <w:numPr>
          <w:ilvl w:val="0"/>
          <w:numId w:val="4"/>
        </w:numPr>
        <w:spacing w:before="0" w:after="0" w:line="480" w:lineRule="auto"/>
        <w:jc w:val="center"/>
        <w:rPr>
          <w:rFonts w:ascii="宋体" w:hAnsi="宋体" w:cs="宋体"/>
          <w:sz w:val="24"/>
          <w:szCs w:val="24"/>
        </w:rPr>
      </w:pPr>
      <w:bookmarkStart w:id="52" w:name="_Toc31395"/>
      <w:bookmarkStart w:id="53" w:name="_Toc12590"/>
      <w:r>
        <w:rPr>
          <w:rFonts w:hint="eastAsia" w:ascii="宋体" w:hAnsi="宋体" w:cs="宋体"/>
          <w:sz w:val="24"/>
          <w:szCs w:val="24"/>
        </w:rPr>
        <w:t>采购文件</w:t>
      </w:r>
      <w:bookmarkEnd w:id="52"/>
      <w:bookmarkEnd w:id="53"/>
    </w:p>
    <w:p>
      <w:pPr>
        <w:pStyle w:val="9"/>
        <w:widowControl w:val="0"/>
        <w:overflowPunct w:val="0"/>
        <w:spacing w:line="240" w:lineRule="auto"/>
        <w:rPr>
          <w:rFonts w:ascii="宋体" w:hAnsi="宋体" w:cs="宋体"/>
          <w:szCs w:val="24"/>
        </w:rPr>
      </w:pPr>
      <w:bookmarkStart w:id="54" w:name="_Toc12000"/>
      <w:bookmarkStart w:id="55" w:name="_Toc23781"/>
      <w:r>
        <w:rPr>
          <w:rFonts w:hint="eastAsia" w:ascii="宋体" w:hAnsi="宋体" w:cs="宋体"/>
          <w:szCs w:val="24"/>
        </w:rPr>
        <w:t>10.采购文件的组成</w:t>
      </w:r>
      <w:bookmarkEnd w:id="54"/>
      <w:bookmarkEnd w:id="55"/>
    </w:p>
    <w:p>
      <w:pPr>
        <w:pStyle w:val="40"/>
        <w:widowControl w:val="0"/>
        <w:numPr>
          <w:ilvl w:val="0"/>
          <w:numId w:val="5"/>
        </w:numPr>
        <w:adjustRightInd/>
        <w:snapToGrid/>
        <w:spacing w:line="360" w:lineRule="exact"/>
        <w:ind w:firstLineChars="0"/>
        <w:jc w:val="both"/>
        <w:rPr>
          <w:rFonts w:ascii="宋体" w:hAnsi="宋体" w:cs="宋体"/>
          <w:vanish/>
          <w:sz w:val="24"/>
          <w:szCs w:val="24"/>
        </w:rPr>
      </w:pPr>
    </w:p>
    <w:p>
      <w:pPr>
        <w:widowControl w:val="0"/>
        <w:adjustRightInd/>
        <w:snapToGrid/>
        <w:spacing w:line="360" w:lineRule="exact"/>
        <w:jc w:val="both"/>
        <w:rPr>
          <w:rFonts w:ascii="宋体" w:hAnsi="宋体" w:cs="宋体"/>
          <w:sz w:val="24"/>
          <w:szCs w:val="24"/>
        </w:rPr>
      </w:pPr>
      <w:r>
        <w:rPr>
          <w:rFonts w:hint="eastAsia" w:ascii="宋体" w:hAnsi="宋体" w:cs="宋体"/>
          <w:sz w:val="24"/>
          <w:szCs w:val="24"/>
        </w:rPr>
        <w:t>10.1采购文件包括：</w:t>
      </w:r>
    </w:p>
    <w:p>
      <w:pPr>
        <w:widowControl w:val="0"/>
        <w:adjustRightInd/>
        <w:snapToGrid/>
        <w:spacing w:line="360" w:lineRule="exact"/>
        <w:jc w:val="both"/>
        <w:rPr>
          <w:rFonts w:ascii="宋体" w:hAnsi="宋体" w:cs="宋体"/>
          <w:sz w:val="24"/>
          <w:szCs w:val="24"/>
        </w:rPr>
      </w:pPr>
      <w:r>
        <w:rPr>
          <w:rFonts w:hint="eastAsia" w:ascii="宋体" w:hAnsi="宋体" w:cs="宋体"/>
          <w:sz w:val="24"/>
          <w:szCs w:val="24"/>
        </w:rPr>
        <w:t>（1）投标邀请书；</w:t>
      </w:r>
    </w:p>
    <w:p>
      <w:pPr>
        <w:widowControl w:val="0"/>
        <w:adjustRightInd/>
        <w:snapToGrid/>
        <w:spacing w:line="360" w:lineRule="exact"/>
        <w:jc w:val="both"/>
        <w:rPr>
          <w:rFonts w:ascii="宋体" w:hAnsi="宋体" w:cs="宋体"/>
          <w:sz w:val="24"/>
          <w:szCs w:val="24"/>
        </w:rPr>
      </w:pPr>
      <w:r>
        <w:rPr>
          <w:rFonts w:hint="eastAsia" w:ascii="宋体" w:hAnsi="宋体" w:cs="宋体"/>
          <w:sz w:val="24"/>
          <w:szCs w:val="24"/>
        </w:rPr>
        <w:t>（2）投标资料表；</w:t>
      </w:r>
    </w:p>
    <w:p>
      <w:pPr>
        <w:widowControl w:val="0"/>
        <w:adjustRightInd/>
        <w:snapToGrid/>
        <w:spacing w:line="360" w:lineRule="exact"/>
        <w:jc w:val="both"/>
        <w:rPr>
          <w:rFonts w:ascii="宋体" w:hAnsi="宋体" w:cs="宋体"/>
          <w:sz w:val="24"/>
          <w:szCs w:val="24"/>
        </w:rPr>
      </w:pPr>
      <w:r>
        <w:rPr>
          <w:rFonts w:hint="eastAsia" w:ascii="宋体" w:hAnsi="宋体" w:cs="宋体"/>
          <w:sz w:val="24"/>
          <w:szCs w:val="24"/>
        </w:rPr>
        <w:t>（3）用户需求书；</w:t>
      </w:r>
    </w:p>
    <w:p>
      <w:pPr>
        <w:widowControl w:val="0"/>
        <w:adjustRightInd/>
        <w:snapToGrid/>
        <w:spacing w:line="360" w:lineRule="exact"/>
        <w:jc w:val="both"/>
        <w:rPr>
          <w:rFonts w:ascii="宋体" w:hAnsi="宋体" w:cs="宋体"/>
          <w:sz w:val="24"/>
          <w:szCs w:val="24"/>
        </w:rPr>
      </w:pPr>
      <w:r>
        <w:rPr>
          <w:rFonts w:hint="eastAsia" w:ascii="宋体" w:hAnsi="宋体" w:cs="宋体"/>
          <w:sz w:val="24"/>
          <w:szCs w:val="24"/>
        </w:rPr>
        <w:t>（4）投标人须知；</w:t>
      </w:r>
    </w:p>
    <w:p>
      <w:pPr>
        <w:widowControl w:val="0"/>
        <w:adjustRightInd/>
        <w:snapToGrid/>
        <w:spacing w:line="360" w:lineRule="exact"/>
        <w:jc w:val="both"/>
        <w:rPr>
          <w:rFonts w:ascii="宋体" w:hAnsi="宋体" w:cs="宋体"/>
          <w:sz w:val="24"/>
          <w:szCs w:val="24"/>
        </w:rPr>
      </w:pPr>
      <w:r>
        <w:rPr>
          <w:rFonts w:hint="eastAsia" w:ascii="宋体" w:hAnsi="宋体" w:cs="宋体"/>
          <w:sz w:val="24"/>
          <w:szCs w:val="24"/>
        </w:rPr>
        <w:t>（5）拟签订的合同文本；</w:t>
      </w:r>
    </w:p>
    <w:p>
      <w:pPr>
        <w:widowControl w:val="0"/>
        <w:adjustRightInd/>
        <w:snapToGrid/>
        <w:spacing w:line="360" w:lineRule="exact"/>
        <w:jc w:val="both"/>
        <w:rPr>
          <w:rFonts w:ascii="宋体" w:hAnsi="宋体" w:cs="宋体"/>
          <w:sz w:val="24"/>
          <w:szCs w:val="24"/>
        </w:rPr>
      </w:pPr>
      <w:r>
        <w:rPr>
          <w:rFonts w:hint="eastAsia" w:ascii="宋体" w:hAnsi="宋体" w:cs="宋体"/>
          <w:sz w:val="24"/>
          <w:szCs w:val="24"/>
        </w:rPr>
        <w:t>（6）投标文件格式；</w:t>
      </w:r>
    </w:p>
    <w:p>
      <w:pPr>
        <w:widowControl w:val="0"/>
        <w:adjustRightInd/>
        <w:snapToGrid/>
        <w:spacing w:line="360" w:lineRule="exact"/>
        <w:jc w:val="both"/>
        <w:rPr>
          <w:rFonts w:ascii="宋体" w:hAnsi="宋体" w:cs="宋体"/>
          <w:sz w:val="24"/>
          <w:szCs w:val="24"/>
        </w:rPr>
      </w:pPr>
      <w:r>
        <w:rPr>
          <w:rFonts w:hint="eastAsia" w:ascii="宋体" w:hAnsi="宋体" w:cs="宋体"/>
          <w:sz w:val="24"/>
          <w:szCs w:val="24"/>
        </w:rPr>
        <w:t>（7）在采购过程中由采购代理机构发出的澄清更正文件等。</w:t>
      </w:r>
    </w:p>
    <w:p>
      <w:pPr>
        <w:rPr>
          <w:rFonts w:ascii="宋体" w:hAnsi="宋体" w:cs="宋体"/>
          <w:sz w:val="24"/>
          <w:szCs w:val="24"/>
        </w:rPr>
      </w:pPr>
      <w:r>
        <w:rPr>
          <w:rFonts w:hint="eastAsia" w:ascii="宋体" w:hAnsi="宋体" w:cs="宋体"/>
          <w:sz w:val="24"/>
          <w:szCs w:val="24"/>
        </w:rPr>
        <w:t>10.2投标人应认真阅读采购文件中所有的事项、格式等要求。投标人没有按照采购文件要求提交全部资料，或者投标文件没有对采购文件各方面都做出实质性响应是投标人的风险。没有实质性响应采购文件要求的投标文件将被拒绝。</w:t>
      </w:r>
    </w:p>
    <w:p>
      <w:pPr>
        <w:rPr>
          <w:rFonts w:ascii="宋体" w:hAnsi="宋体" w:cs="宋体"/>
          <w:sz w:val="24"/>
          <w:szCs w:val="24"/>
        </w:rPr>
      </w:pPr>
    </w:p>
    <w:p>
      <w:pPr>
        <w:numPr>
          <w:ilvl w:val="255"/>
          <w:numId w:val="0"/>
        </w:numPr>
        <w:outlineLvl w:val="2"/>
        <w:rPr>
          <w:rFonts w:ascii="宋体" w:hAnsi="宋体" w:cs="宋体"/>
          <w:b/>
          <w:sz w:val="24"/>
          <w:szCs w:val="24"/>
        </w:rPr>
      </w:pPr>
      <w:bookmarkStart w:id="56" w:name="_Toc20051"/>
      <w:bookmarkStart w:id="57" w:name="_Toc31603"/>
      <w:r>
        <w:rPr>
          <w:rFonts w:hint="eastAsia" w:ascii="宋体" w:hAnsi="宋体" w:cs="宋体"/>
          <w:b/>
          <w:sz w:val="24"/>
          <w:szCs w:val="24"/>
        </w:rPr>
        <w:t>11.采购文件的询问（或质疑）及澄清</w:t>
      </w:r>
      <w:bookmarkEnd w:id="56"/>
      <w:bookmarkEnd w:id="57"/>
    </w:p>
    <w:p>
      <w:pPr>
        <w:numPr>
          <w:ilvl w:val="255"/>
          <w:numId w:val="0"/>
        </w:numPr>
        <w:rPr>
          <w:rFonts w:ascii="宋体" w:hAnsi="宋体" w:cs="宋体"/>
          <w:sz w:val="24"/>
          <w:szCs w:val="24"/>
        </w:rPr>
      </w:pPr>
      <w:r>
        <w:rPr>
          <w:rFonts w:hint="eastAsia" w:ascii="宋体" w:hAnsi="宋体" w:cs="宋体"/>
          <w:sz w:val="24"/>
          <w:szCs w:val="24"/>
        </w:rPr>
        <w:t>11.1.投标人如对本项目采购文件的所有内容（包括澄清，以及所有已提供的参考资料和有关附件）存在疑问，请在递交投标文件截止时间十日前一次性向采购人或采购代理机构提出，逾期则视为接受采购文件所有内容。逾期的疑问或澄清等要求，采购人和采购代理机构有权不予以答复。</w:t>
      </w:r>
    </w:p>
    <w:p>
      <w:pPr>
        <w:numPr>
          <w:ilvl w:val="255"/>
          <w:numId w:val="0"/>
        </w:numPr>
        <w:rPr>
          <w:rFonts w:ascii="宋体" w:hAnsi="宋体" w:cs="宋体"/>
          <w:sz w:val="24"/>
          <w:szCs w:val="24"/>
        </w:rPr>
      </w:pPr>
      <w:r>
        <w:rPr>
          <w:rFonts w:hint="eastAsia" w:ascii="宋体" w:hAnsi="宋体" w:cs="宋体"/>
          <w:sz w:val="24"/>
          <w:szCs w:val="24"/>
        </w:rPr>
        <w:t>11.2.如采购人和采购代理机构需对采购文件进行澄清，澄清内容将在中国招标投标公共服务平台(http://www.cebpubservice.com)、东莞市公共资源交易网（http://ggzy.dg.gov.cn）、东莞实业投资控股集团有限公司网站（http://dgsy.com.cn/www/index.jsp）、东莞市东实新能源有限公司网站（http://www.dshuanbao.com.cn/）及广东政通招标有限公司(http://www.zttendering.com）发布，请各投标人关注上述网站的信息，如因投标人的原因未能及时得知澄清内容，采购人及采购代理机构不承担任何责任。</w:t>
      </w:r>
    </w:p>
    <w:p>
      <w:pPr>
        <w:pStyle w:val="37"/>
        <w:ind w:firstLine="480"/>
        <w:rPr>
          <w:rFonts w:ascii="宋体" w:hAnsi="宋体" w:eastAsia="宋体" w:cs="宋体"/>
          <w:sz w:val="24"/>
          <w:szCs w:val="24"/>
        </w:rPr>
      </w:pPr>
    </w:p>
    <w:p>
      <w:pPr>
        <w:numPr>
          <w:ilvl w:val="255"/>
          <w:numId w:val="0"/>
        </w:numPr>
        <w:outlineLvl w:val="2"/>
        <w:rPr>
          <w:rFonts w:ascii="宋体" w:hAnsi="宋体" w:cs="宋体"/>
          <w:b/>
          <w:sz w:val="24"/>
          <w:szCs w:val="24"/>
        </w:rPr>
      </w:pPr>
      <w:bookmarkStart w:id="58" w:name="_Toc17361"/>
      <w:bookmarkStart w:id="59" w:name="_Toc21503"/>
      <w:r>
        <w:rPr>
          <w:rFonts w:hint="eastAsia" w:ascii="宋体" w:hAnsi="宋体" w:cs="宋体"/>
          <w:b/>
          <w:sz w:val="24"/>
          <w:szCs w:val="24"/>
        </w:rPr>
        <w:t>12.采购文件的更正和修改</w:t>
      </w:r>
      <w:bookmarkEnd w:id="58"/>
      <w:bookmarkEnd w:id="59"/>
    </w:p>
    <w:p>
      <w:pPr>
        <w:numPr>
          <w:ilvl w:val="255"/>
          <w:numId w:val="0"/>
        </w:numPr>
        <w:rPr>
          <w:rFonts w:ascii="宋体" w:hAnsi="宋体" w:cs="宋体"/>
          <w:sz w:val="24"/>
          <w:szCs w:val="24"/>
        </w:rPr>
      </w:pPr>
      <w:r>
        <w:rPr>
          <w:rFonts w:hint="eastAsia" w:ascii="宋体" w:hAnsi="宋体" w:cs="宋体"/>
          <w:sz w:val="24"/>
          <w:szCs w:val="24"/>
        </w:rPr>
        <w:t>12.1.在投标截止日期前任何时候，无论何故，采购代理机构在征得采购人同意后，方可修改采购文件或解答投标人提出的澄清问题时对采购文件进行修改。</w:t>
      </w:r>
    </w:p>
    <w:p>
      <w:pPr>
        <w:numPr>
          <w:ilvl w:val="255"/>
          <w:numId w:val="0"/>
        </w:numPr>
        <w:rPr>
          <w:rFonts w:ascii="宋体" w:hAnsi="宋体" w:cs="宋体"/>
          <w:sz w:val="24"/>
          <w:szCs w:val="24"/>
        </w:rPr>
      </w:pPr>
      <w:r>
        <w:rPr>
          <w:rFonts w:hint="eastAsia" w:ascii="宋体" w:hAnsi="宋体" w:cs="宋体"/>
          <w:sz w:val="24"/>
          <w:szCs w:val="24"/>
        </w:rPr>
        <w:t>12.2.采购文件的修改在中国招标投标公共服务平台(http://www.cebpubservice.com)、东莞市公共资源交易网（http://ggzy.dg.gov.cn）、东莞实业投资控股集团有限公司网站（http://dgsy.com.cn/www/index.jsp）、东莞市东实新能源有限公司网站（http://www.dshuanbao.com.cn/）及广东政通招标有限公司(http://www.zttendering.com）发布，请各投标人关注上述网站的信息，如因投标人的原因未能及时得知修改内容，采购人及采购代理机构不承担任何责任。</w:t>
      </w:r>
    </w:p>
    <w:p>
      <w:pPr>
        <w:rPr>
          <w:rFonts w:ascii="宋体" w:hAnsi="宋体" w:cs="宋体"/>
          <w:sz w:val="24"/>
          <w:szCs w:val="24"/>
        </w:rPr>
      </w:pPr>
      <w:r>
        <w:rPr>
          <w:rFonts w:hint="eastAsia" w:ascii="宋体" w:hAnsi="宋体" w:cs="宋体"/>
          <w:sz w:val="24"/>
          <w:szCs w:val="24"/>
        </w:rPr>
        <w:t>12.2采购文件的修改书将构成投标文件的一部分，对所有投标人均有约束力。</w:t>
      </w:r>
    </w:p>
    <w:p>
      <w:pPr>
        <w:pStyle w:val="74"/>
        <w:spacing w:before="0" w:after="0"/>
        <w:rPr>
          <w:rFonts w:ascii="宋体" w:hAnsi="宋体" w:cs="宋体"/>
          <w:spacing w:val="0"/>
          <w:kern w:val="2"/>
          <w:sz w:val="24"/>
          <w:szCs w:val="24"/>
        </w:rPr>
      </w:pPr>
    </w:p>
    <w:p>
      <w:pPr>
        <w:widowControl w:val="0"/>
        <w:numPr>
          <w:ilvl w:val="255"/>
          <w:numId w:val="0"/>
        </w:numPr>
        <w:adjustRightInd/>
        <w:snapToGrid/>
        <w:spacing w:line="360" w:lineRule="exact"/>
        <w:ind w:left="-567"/>
        <w:jc w:val="both"/>
        <w:rPr>
          <w:rFonts w:ascii="宋体" w:hAnsi="宋体" w:cs="宋体"/>
          <w:sz w:val="24"/>
          <w:szCs w:val="24"/>
        </w:rPr>
      </w:pPr>
    </w:p>
    <w:p>
      <w:pPr>
        <w:pStyle w:val="8"/>
        <w:numPr>
          <w:ilvl w:val="0"/>
          <w:numId w:val="4"/>
        </w:numPr>
        <w:spacing w:before="0" w:after="0" w:line="480" w:lineRule="auto"/>
        <w:jc w:val="center"/>
        <w:rPr>
          <w:rFonts w:ascii="宋体" w:hAnsi="宋体" w:cs="宋体"/>
          <w:sz w:val="24"/>
          <w:szCs w:val="24"/>
        </w:rPr>
      </w:pPr>
      <w:bookmarkStart w:id="60" w:name="_Toc24872"/>
      <w:bookmarkStart w:id="61" w:name="_Toc20357"/>
      <w:r>
        <w:rPr>
          <w:rFonts w:hint="eastAsia" w:ascii="宋体" w:hAnsi="宋体" w:cs="宋体"/>
          <w:sz w:val="24"/>
          <w:szCs w:val="24"/>
        </w:rPr>
        <w:t>投标文件的编制</w:t>
      </w:r>
      <w:bookmarkEnd w:id="60"/>
      <w:bookmarkEnd w:id="61"/>
    </w:p>
    <w:p>
      <w:pPr>
        <w:pStyle w:val="9"/>
        <w:widowControl w:val="0"/>
        <w:overflowPunct w:val="0"/>
        <w:spacing w:line="240" w:lineRule="auto"/>
        <w:rPr>
          <w:rFonts w:ascii="宋体" w:hAnsi="宋体" w:cs="宋体"/>
          <w:szCs w:val="24"/>
        </w:rPr>
      </w:pPr>
      <w:bookmarkStart w:id="62" w:name="_Toc28881"/>
      <w:bookmarkStart w:id="63" w:name="_Toc6899"/>
      <w:r>
        <w:rPr>
          <w:rFonts w:hint="eastAsia" w:ascii="宋体" w:hAnsi="宋体" w:cs="宋体"/>
          <w:szCs w:val="24"/>
        </w:rPr>
        <w:t>13.投标文件的语言及度量衡单位</w:t>
      </w:r>
      <w:bookmarkEnd w:id="62"/>
      <w:bookmarkEnd w:id="63"/>
    </w:p>
    <w:p>
      <w:pPr>
        <w:pStyle w:val="40"/>
        <w:widowControl w:val="0"/>
        <w:numPr>
          <w:ilvl w:val="0"/>
          <w:numId w:val="5"/>
        </w:numPr>
        <w:adjustRightInd/>
        <w:snapToGrid/>
        <w:spacing w:line="360" w:lineRule="exact"/>
        <w:ind w:firstLineChars="0"/>
        <w:jc w:val="both"/>
        <w:rPr>
          <w:rFonts w:ascii="宋体" w:hAnsi="宋体" w:cs="宋体"/>
          <w:vanish/>
          <w:sz w:val="24"/>
          <w:szCs w:val="24"/>
        </w:rPr>
      </w:pPr>
    </w:p>
    <w:p>
      <w:pPr>
        <w:widowControl w:val="0"/>
        <w:numPr>
          <w:ilvl w:val="255"/>
          <w:numId w:val="0"/>
        </w:numPr>
        <w:adjustRightInd/>
        <w:snapToGrid/>
        <w:spacing w:line="360" w:lineRule="exact"/>
        <w:jc w:val="both"/>
        <w:rPr>
          <w:rFonts w:ascii="宋体" w:hAnsi="宋体" w:cs="宋体"/>
          <w:sz w:val="24"/>
          <w:szCs w:val="24"/>
        </w:rPr>
      </w:pPr>
      <w:r>
        <w:rPr>
          <w:rFonts w:hint="eastAsia" w:ascii="宋体" w:hAnsi="宋体" w:cs="宋体"/>
          <w:sz w:val="24"/>
          <w:szCs w:val="24"/>
        </w:rPr>
        <w:t>13.1.投标人提交的投标文件以及投标人与采购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widowControl w:val="0"/>
        <w:numPr>
          <w:ilvl w:val="255"/>
          <w:numId w:val="0"/>
        </w:numPr>
        <w:adjustRightInd/>
        <w:snapToGrid/>
        <w:spacing w:line="360" w:lineRule="exact"/>
        <w:jc w:val="both"/>
        <w:rPr>
          <w:rFonts w:ascii="宋体" w:hAnsi="宋体" w:cs="宋体"/>
          <w:sz w:val="24"/>
          <w:szCs w:val="24"/>
        </w:rPr>
      </w:pPr>
      <w:r>
        <w:rPr>
          <w:rFonts w:hint="eastAsia" w:ascii="宋体" w:hAnsi="宋体" w:cs="宋体"/>
          <w:sz w:val="24"/>
          <w:szCs w:val="24"/>
        </w:rPr>
        <w:t>13.2.除非采购文件在技术规格中另有规定，投标人在投标文件中及其与采购代理机构和采购人所有往来文件中的所有计量单位均应采用中华人民共和国法定计量单位。</w:t>
      </w:r>
    </w:p>
    <w:p>
      <w:pPr>
        <w:widowControl w:val="0"/>
        <w:adjustRightInd/>
        <w:snapToGrid/>
        <w:spacing w:line="360" w:lineRule="exact"/>
        <w:ind w:left="567"/>
        <w:jc w:val="both"/>
        <w:rPr>
          <w:rFonts w:ascii="宋体" w:hAnsi="宋体" w:cs="宋体"/>
          <w:sz w:val="24"/>
          <w:szCs w:val="24"/>
        </w:rPr>
      </w:pPr>
    </w:p>
    <w:p>
      <w:pPr>
        <w:pStyle w:val="9"/>
        <w:widowControl w:val="0"/>
        <w:overflowPunct w:val="0"/>
        <w:spacing w:line="240" w:lineRule="auto"/>
        <w:rPr>
          <w:rFonts w:ascii="宋体" w:hAnsi="宋体" w:cs="宋体"/>
          <w:szCs w:val="24"/>
        </w:rPr>
      </w:pPr>
      <w:bookmarkStart w:id="64" w:name="_Toc307934854"/>
      <w:bookmarkStart w:id="65" w:name="_Toc28866"/>
      <w:bookmarkStart w:id="66" w:name="_Toc6317"/>
      <w:bookmarkStart w:id="67" w:name="_Toc382049103"/>
      <w:bookmarkStart w:id="68" w:name="_Toc25831"/>
      <w:bookmarkStart w:id="69" w:name="_Toc303084256"/>
      <w:r>
        <w:rPr>
          <w:rFonts w:hint="eastAsia" w:ascii="宋体" w:hAnsi="宋体" w:cs="宋体"/>
          <w:szCs w:val="24"/>
        </w:rPr>
        <w:t>14.投标文件的组成</w:t>
      </w:r>
      <w:bookmarkEnd w:id="64"/>
      <w:bookmarkEnd w:id="65"/>
      <w:bookmarkEnd w:id="66"/>
      <w:bookmarkEnd w:id="67"/>
      <w:bookmarkEnd w:id="68"/>
      <w:bookmarkEnd w:id="69"/>
    </w:p>
    <w:p>
      <w:pPr>
        <w:pStyle w:val="40"/>
        <w:widowControl w:val="0"/>
        <w:numPr>
          <w:ilvl w:val="0"/>
          <w:numId w:val="5"/>
        </w:numPr>
        <w:adjustRightInd/>
        <w:snapToGrid/>
        <w:spacing w:line="360" w:lineRule="exact"/>
        <w:ind w:firstLineChars="0"/>
        <w:jc w:val="both"/>
        <w:rPr>
          <w:rFonts w:ascii="宋体" w:hAnsi="宋体" w:cs="宋体"/>
          <w:vanish/>
          <w:sz w:val="24"/>
          <w:szCs w:val="24"/>
        </w:rPr>
      </w:pPr>
    </w:p>
    <w:p>
      <w:pPr>
        <w:widowControl w:val="0"/>
        <w:numPr>
          <w:ilvl w:val="255"/>
          <w:numId w:val="0"/>
        </w:numPr>
        <w:adjustRightInd/>
        <w:snapToGrid/>
        <w:spacing w:line="360" w:lineRule="exact"/>
        <w:jc w:val="both"/>
        <w:rPr>
          <w:rFonts w:ascii="宋体" w:hAnsi="宋体" w:cs="宋体"/>
          <w:sz w:val="24"/>
          <w:szCs w:val="24"/>
        </w:rPr>
      </w:pPr>
      <w:r>
        <w:rPr>
          <w:rFonts w:hint="eastAsia" w:ascii="宋体" w:hAnsi="宋体" w:cs="宋体"/>
          <w:sz w:val="24"/>
          <w:szCs w:val="24"/>
        </w:rPr>
        <w:t>14.1.包括但不限于采购文件附件格式中要求提供的表格。</w:t>
      </w:r>
    </w:p>
    <w:p>
      <w:pPr>
        <w:widowControl w:val="0"/>
        <w:numPr>
          <w:ilvl w:val="255"/>
          <w:numId w:val="0"/>
        </w:numPr>
        <w:adjustRightInd/>
        <w:snapToGrid/>
        <w:spacing w:line="360" w:lineRule="exact"/>
        <w:jc w:val="both"/>
        <w:rPr>
          <w:rFonts w:ascii="宋体" w:hAnsi="宋体" w:cs="宋体"/>
          <w:sz w:val="24"/>
          <w:szCs w:val="24"/>
        </w:rPr>
      </w:pPr>
      <w:r>
        <w:rPr>
          <w:rFonts w:hint="eastAsia" w:ascii="宋体" w:hAnsi="宋体" w:cs="宋体"/>
          <w:sz w:val="24"/>
          <w:szCs w:val="24"/>
        </w:rPr>
        <w:t>14.2.投标人编写的投标文件</w:t>
      </w:r>
      <w:bookmarkStart w:id="70" w:name="_Hlt107921808"/>
      <w:bookmarkEnd w:id="70"/>
      <w:r>
        <w:rPr>
          <w:rFonts w:hint="eastAsia" w:ascii="宋体" w:hAnsi="宋体" w:cs="宋体"/>
          <w:sz w:val="24"/>
          <w:szCs w:val="24"/>
        </w:rPr>
        <w:t>应包括但不限于下列部分：</w:t>
      </w:r>
    </w:p>
    <w:p>
      <w:pPr>
        <w:numPr>
          <w:ilvl w:val="0"/>
          <w:numId w:val="8"/>
        </w:numPr>
        <w:rPr>
          <w:rFonts w:ascii="宋体" w:hAnsi="宋体" w:cs="宋体"/>
          <w:sz w:val="24"/>
          <w:szCs w:val="24"/>
        </w:rPr>
      </w:pPr>
      <w:r>
        <w:rPr>
          <w:rFonts w:hint="eastAsia" w:ascii="宋体" w:hAnsi="宋体" w:cs="宋体"/>
          <w:sz w:val="24"/>
          <w:szCs w:val="24"/>
        </w:rPr>
        <w:t>按投标须知规定填写的投标书。</w:t>
      </w:r>
    </w:p>
    <w:p>
      <w:pPr>
        <w:numPr>
          <w:ilvl w:val="0"/>
          <w:numId w:val="8"/>
        </w:numPr>
        <w:rPr>
          <w:rFonts w:ascii="宋体" w:hAnsi="宋体" w:cs="宋体"/>
          <w:sz w:val="24"/>
          <w:szCs w:val="24"/>
        </w:rPr>
      </w:pPr>
      <w:r>
        <w:rPr>
          <w:rFonts w:hint="eastAsia" w:ascii="宋体" w:hAnsi="宋体" w:cs="宋体"/>
          <w:sz w:val="24"/>
          <w:szCs w:val="24"/>
        </w:rPr>
        <w:t>按投标须知要求出具的</w:t>
      </w:r>
      <w:bookmarkStart w:id="71" w:name="_Hlt109816602"/>
      <w:bookmarkStart w:id="72" w:name="_Hlt109816630"/>
      <w:r>
        <w:rPr>
          <w:rFonts w:hint="eastAsia" w:ascii="宋体" w:hAnsi="宋体" w:cs="宋体"/>
          <w:sz w:val="24"/>
          <w:szCs w:val="24"/>
        </w:rPr>
        <w:t>资格证明文件</w:t>
      </w:r>
      <w:bookmarkEnd w:id="71"/>
      <w:bookmarkEnd w:id="72"/>
      <w:r>
        <w:rPr>
          <w:rFonts w:hint="eastAsia" w:ascii="宋体" w:hAnsi="宋体" w:cs="宋体"/>
          <w:sz w:val="24"/>
          <w:szCs w:val="24"/>
        </w:rPr>
        <w:t>。</w:t>
      </w:r>
    </w:p>
    <w:p>
      <w:pPr>
        <w:numPr>
          <w:ilvl w:val="0"/>
          <w:numId w:val="8"/>
        </w:numPr>
        <w:rPr>
          <w:rFonts w:ascii="宋体" w:hAnsi="宋体" w:cs="宋体"/>
          <w:sz w:val="24"/>
          <w:szCs w:val="24"/>
        </w:rPr>
      </w:pPr>
      <w:r>
        <w:rPr>
          <w:rFonts w:hint="eastAsia" w:ascii="宋体" w:hAnsi="宋体" w:cs="宋体"/>
          <w:sz w:val="24"/>
          <w:szCs w:val="24"/>
        </w:rPr>
        <w:t>按投标须知规定提交的</w:t>
      </w:r>
      <w:bookmarkStart w:id="73" w:name="_Hlt107980166"/>
      <w:r>
        <w:rPr>
          <w:rFonts w:hint="eastAsia" w:ascii="宋体" w:hAnsi="宋体" w:cs="宋体"/>
          <w:sz w:val="24"/>
          <w:szCs w:val="24"/>
        </w:rPr>
        <w:t>投标保证金支付凭证（</w:t>
      </w:r>
      <w:bookmarkStart w:id="74" w:name="_Hlt107924409"/>
      <w:bookmarkEnd w:id="74"/>
      <w:r>
        <w:rPr>
          <w:rFonts w:hint="eastAsia" w:ascii="宋体" w:hAnsi="宋体" w:cs="宋体"/>
          <w:sz w:val="24"/>
          <w:szCs w:val="24"/>
        </w:rPr>
        <w:t>银行划款单复印件，加盖公章）的复印件。</w:t>
      </w:r>
      <w:bookmarkEnd w:id="73"/>
    </w:p>
    <w:p>
      <w:pPr>
        <w:numPr>
          <w:ilvl w:val="0"/>
          <w:numId w:val="8"/>
        </w:numPr>
        <w:rPr>
          <w:rFonts w:ascii="宋体" w:hAnsi="宋体" w:cs="宋体"/>
          <w:sz w:val="24"/>
          <w:szCs w:val="24"/>
        </w:rPr>
      </w:pPr>
      <w:bookmarkStart w:id="75" w:name="_Hlt91673365"/>
      <w:bookmarkEnd w:id="75"/>
      <w:bookmarkStart w:id="76" w:name="_Hlt91673331"/>
      <w:bookmarkEnd w:id="76"/>
      <w:bookmarkStart w:id="77" w:name="_Hlt91673414"/>
      <w:bookmarkEnd w:id="77"/>
      <w:r>
        <w:rPr>
          <w:rFonts w:hint="eastAsia" w:ascii="宋体" w:hAnsi="宋体" w:cs="宋体"/>
          <w:sz w:val="24"/>
          <w:szCs w:val="24"/>
        </w:rPr>
        <w:t>对采购文件出书面响应，包括但不限于提供本项目服务或货物的响应方案或内容及投标文件格式的响应内容填报与相应证明等。</w:t>
      </w:r>
    </w:p>
    <w:p>
      <w:pPr>
        <w:pStyle w:val="9"/>
        <w:widowControl w:val="0"/>
        <w:overflowPunct w:val="0"/>
        <w:spacing w:line="240" w:lineRule="auto"/>
        <w:rPr>
          <w:rFonts w:ascii="宋体" w:hAnsi="宋体" w:cs="宋体"/>
          <w:szCs w:val="24"/>
        </w:rPr>
      </w:pPr>
      <w:bookmarkStart w:id="78" w:name="_Toc29022"/>
      <w:bookmarkStart w:id="79" w:name="_Toc20775"/>
      <w:r>
        <w:rPr>
          <w:rFonts w:hint="eastAsia" w:ascii="宋体" w:hAnsi="宋体" w:cs="宋体"/>
          <w:szCs w:val="24"/>
        </w:rPr>
        <w:t>15.投标文件编制</w:t>
      </w:r>
      <w:bookmarkEnd w:id="78"/>
      <w:bookmarkEnd w:id="79"/>
    </w:p>
    <w:p>
      <w:pPr>
        <w:pStyle w:val="40"/>
        <w:widowControl w:val="0"/>
        <w:numPr>
          <w:ilvl w:val="0"/>
          <w:numId w:val="5"/>
        </w:numPr>
        <w:adjustRightInd/>
        <w:snapToGrid/>
        <w:spacing w:line="360" w:lineRule="exact"/>
        <w:ind w:firstLineChars="0"/>
        <w:jc w:val="both"/>
        <w:rPr>
          <w:rFonts w:ascii="宋体" w:hAnsi="宋体" w:cs="宋体"/>
          <w:vanish/>
          <w:sz w:val="24"/>
          <w:szCs w:val="24"/>
        </w:rPr>
      </w:pPr>
      <w:bookmarkStart w:id="80" w:name="_Toc303084258"/>
    </w:p>
    <w:p>
      <w:pPr>
        <w:widowControl w:val="0"/>
        <w:adjustRightInd/>
        <w:snapToGrid/>
        <w:spacing w:line="360" w:lineRule="exact"/>
        <w:jc w:val="both"/>
        <w:rPr>
          <w:rFonts w:ascii="宋体" w:hAnsi="宋体" w:cs="宋体"/>
          <w:sz w:val="24"/>
          <w:szCs w:val="24"/>
        </w:rPr>
      </w:pPr>
      <w:r>
        <w:rPr>
          <w:rFonts w:hint="eastAsia" w:ascii="宋体" w:hAnsi="宋体" w:cs="宋体"/>
          <w:sz w:val="24"/>
          <w:szCs w:val="24"/>
        </w:rPr>
        <w:t>15.1.投标人应按采购文件的规定以及附件要求的内容和格式完整地填写（表格可以按同样格式扩展）和提供资料，投标人必须对投标文件所提供的全部材料的真实性承担法律责任，并无条件接受采购人或采购代理机构对其中任何资料进行核实的要求。</w:t>
      </w:r>
    </w:p>
    <w:p>
      <w:pPr>
        <w:widowControl w:val="0"/>
        <w:adjustRightInd/>
        <w:snapToGrid/>
        <w:spacing w:line="360" w:lineRule="exact"/>
        <w:jc w:val="both"/>
        <w:rPr>
          <w:rFonts w:ascii="宋体" w:hAnsi="宋体" w:cs="宋体"/>
          <w:sz w:val="24"/>
          <w:szCs w:val="24"/>
        </w:rPr>
      </w:pPr>
      <w:r>
        <w:rPr>
          <w:rFonts w:hint="eastAsia" w:ascii="宋体" w:hAnsi="宋体" w:cs="宋体"/>
          <w:sz w:val="24"/>
          <w:szCs w:val="24"/>
        </w:rPr>
        <w:t>15.2.因投标文件编制存在歧义对投标人产生负面影响的，投标人自行承担后果。</w:t>
      </w:r>
    </w:p>
    <w:p>
      <w:pPr>
        <w:widowControl w:val="0"/>
        <w:adjustRightInd/>
        <w:snapToGrid/>
        <w:spacing w:line="360" w:lineRule="exact"/>
        <w:jc w:val="both"/>
        <w:rPr>
          <w:rFonts w:ascii="宋体" w:hAnsi="宋体" w:cs="宋体"/>
          <w:sz w:val="24"/>
          <w:szCs w:val="24"/>
        </w:rPr>
      </w:pPr>
      <w:r>
        <w:rPr>
          <w:rFonts w:hint="eastAsia" w:ascii="宋体" w:hAnsi="宋体" w:cs="宋体"/>
          <w:sz w:val="24"/>
          <w:szCs w:val="24"/>
        </w:rPr>
        <w:t>15.3.投标单位名称与投标人公章不一致，若投标单位名称已进行变更，应在投标文件中提供相应的证明材料并加盖公章，否则投标文件无效。</w:t>
      </w:r>
    </w:p>
    <w:p>
      <w:pPr>
        <w:widowControl w:val="0"/>
        <w:adjustRightInd/>
        <w:snapToGrid/>
        <w:spacing w:line="360" w:lineRule="exact"/>
        <w:jc w:val="both"/>
        <w:rPr>
          <w:rFonts w:ascii="宋体" w:hAnsi="宋体" w:cs="宋体"/>
          <w:sz w:val="24"/>
          <w:szCs w:val="24"/>
        </w:rPr>
      </w:pPr>
      <w:r>
        <w:rPr>
          <w:rFonts w:hint="eastAsia" w:ascii="宋体" w:hAnsi="宋体" w:cs="宋体"/>
          <w:sz w:val="24"/>
          <w:szCs w:val="24"/>
        </w:rPr>
        <w:t>15.4.投标文件密封、标记及内容与本项目采购信息不符，导致无法分辨所投项目为本项目的，投标文件无效。</w:t>
      </w:r>
    </w:p>
    <w:p>
      <w:pPr>
        <w:widowControl w:val="0"/>
        <w:adjustRightInd/>
        <w:snapToGrid/>
        <w:spacing w:line="360" w:lineRule="exact"/>
        <w:jc w:val="both"/>
        <w:rPr>
          <w:rFonts w:ascii="宋体" w:hAnsi="宋体" w:cs="宋体"/>
          <w:sz w:val="24"/>
          <w:szCs w:val="24"/>
        </w:rPr>
      </w:pPr>
      <w:r>
        <w:rPr>
          <w:rFonts w:hint="eastAsia" w:ascii="宋体" w:hAnsi="宋体" w:cs="宋体"/>
          <w:sz w:val="24"/>
          <w:szCs w:val="24"/>
        </w:rPr>
        <w:t>15.5.投标人须客观撰写投标人简介（格式自理，并提供相关证明）以及所投的产品或服务说明。</w:t>
      </w:r>
    </w:p>
    <w:p>
      <w:pPr>
        <w:widowControl w:val="0"/>
        <w:adjustRightInd/>
        <w:snapToGrid/>
        <w:spacing w:line="360" w:lineRule="exact"/>
        <w:jc w:val="both"/>
        <w:rPr>
          <w:rFonts w:ascii="宋体" w:hAnsi="宋体" w:cs="宋体"/>
          <w:sz w:val="24"/>
          <w:szCs w:val="24"/>
        </w:rPr>
      </w:pPr>
      <w:r>
        <w:rPr>
          <w:rFonts w:hint="eastAsia" w:ascii="宋体" w:hAnsi="宋体" w:cs="宋体"/>
          <w:sz w:val="24"/>
          <w:szCs w:val="24"/>
        </w:rPr>
        <w:t>15.6.投标文件若出现以下内容，经评标委员会认定有可能间接影响评审秩序，作废标处理。</w:t>
      </w:r>
    </w:p>
    <w:p>
      <w:pPr>
        <w:pStyle w:val="40"/>
        <w:widowControl w:val="0"/>
        <w:numPr>
          <w:ilvl w:val="0"/>
          <w:numId w:val="9"/>
        </w:numPr>
        <w:adjustRightInd/>
        <w:snapToGrid/>
        <w:spacing w:line="360" w:lineRule="exact"/>
        <w:ind w:firstLineChars="0"/>
        <w:jc w:val="both"/>
        <w:rPr>
          <w:rFonts w:ascii="宋体" w:hAnsi="宋体" w:cs="宋体"/>
          <w:sz w:val="24"/>
          <w:szCs w:val="24"/>
        </w:rPr>
      </w:pPr>
      <w:r>
        <w:rPr>
          <w:rFonts w:hint="eastAsia" w:ascii="宋体" w:hAnsi="宋体" w:cs="宋体"/>
          <w:sz w:val="24"/>
          <w:szCs w:val="24"/>
        </w:rPr>
        <w:t>投标文件内出现无官方证明文件的行业地域排名或使用“国家级”、“最高级”、“最佳”等用语字眼的。</w:t>
      </w:r>
    </w:p>
    <w:p>
      <w:pPr>
        <w:pStyle w:val="40"/>
        <w:widowControl w:val="0"/>
        <w:numPr>
          <w:ilvl w:val="0"/>
          <w:numId w:val="9"/>
        </w:numPr>
        <w:adjustRightInd/>
        <w:snapToGrid/>
        <w:spacing w:line="360" w:lineRule="exact"/>
        <w:ind w:firstLineChars="0"/>
        <w:jc w:val="both"/>
        <w:rPr>
          <w:rFonts w:ascii="宋体" w:hAnsi="宋体" w:cs="宋体"/>
          <w:sz w:val="24"/>
          <w:szCs w:val="24"/>
        </w:rPr>
      </w:pPr>
      <w:r>
        <w:rPr>
          <w:rFonts w:hint="eastAsia" w:ascii="宋体" w:hAnsi="宋体" w:cs="宋体"/>
          <w:sz w:val="24"/>
          <w:szCs w:val="24"/>
        </w:rPr>
        <w:t>投标文件内出现恶意诋毁、贬低其他生产经营者的商品或者服务的内容。</w:t>
      </w:r>
    </w:p>
    <w:bookmarkEnd w:id="80"/>
    <w:p>
      <w:pPr>
        <w:rPr>
          <w:rFonts w:ascii="宋体" w:hAnsi="宋体" w:cs="宋体"/>
          <w:sz w:val="24"/>
          <w:szCs w:val="24"/>
        </w:rPr>
      </w:pPr>
    </w:p>
    <w:p>
      <w:pPr>
        <w:numPr>
          <w:ilvl w:val="255"/>
          <w:numId w:val="0"/>
        </w:numPr>
        <w:snapToGrid/>
        <w:spacing w:line="240" w:lineRule="auto"/>
        <w:rPr>
          <w:rFonts w:ascii="宋体" w:hAnsi="宋体" w:cs="宋体"/>
          <w:b/>
          <w:bCs/>
          <w:sz w:val="24"/>
          <w:szCs w:val="24"/>
        </w:rPr>
      </w:pPr>
      <w:r>
        <w:rPr>
          <w:rFonts w:hint="eastAsia" w:ascii="宋体" w:hAnsi="宋体" w:cs="宋体"/>
          <w:b/>
          <w:bCs/>
          <w:sz w:val="24"/>
          <w:szCs w:val="24"/>
        </w:rPr>
        <w:t>16.证明投标人合格及履约能力的资料文件</w:t>
      </w:r>
    </w:p>
    <w:p>
      <w:pPr>
        <w:numPr>
          <w:ilvl w:val="255"/>
          <w:numId w:val="0"/>
        </w:numPr>
        <w:rPr>
          <w:rFonts w:ascii="宋体" w:hAnsi="宋体" w:cs="宋体"/>
          <w:sz w:val="24"/>
          <w:szCs w:val="24"/>
        </w:rPr>
      </w:pPr>
      <w:r>
        <w:rPr>
          <w:rFonts w:hint="eastAsia" w:ascii="宋体" w:hAnsi="宋体" w:cs="宋体"/>
          <w:sz w:val="24"/>
          <w:szCs w:val="24"/>
        </w:rPr>
        <w:t>16.1.投标人应提交证明其有资格参加投标和中标后有能力履行项目的合同的文件，以及证明其在项目合同项下拟提供的货物或服务均符合采购文件规定的文件，并作为其投标文件的一部分。</w:t>
      </w:r>
    </w:p>
    <w:p>
      <w:pPr>
        <w:numPr>
          <w:ilvl w:val="255"/>
          <w:numId w:val="0"/>
        </w:numPr>
        <w:rPr>
          <w:rFonts w:ascii="宋体" w:hAnsi="宋体" w:cs="宋体"/>
          <w:sz w:val="24"/>
          <w:szCs w:val="24"/>
        </w:rPr>
      </w:pPr>
      <w:r>
        <w:rPr>
          <w:rFonts w:hint="eastAsia" w:ascii="宋体" w:hAnsi="宋体" w:cs="宋体"/>
          <w:sz w:val="24"/>
          <w:szCs w:val="24"/>
        </w:rPr>
        <w:t>16.2.投标人提交的中标后履行项目合同的资格证明文件应满足采购文件的要求：</w:t>
      </w:r>
    </w:p>
    <w:p>
      <w:pPr>
        <w:numPr>
          <w:ilvl w:val="0"/>
          <w:numId w:val="10"/>
        </w:numPr>
        <w:rPr>
          <w:rFonts w:ascii="宋体" w:hAnsi="宋体" w:cs="宋体"/>
          <w:sz w:val="24"/>
          <w:szCs w:val="24"/>
        </w:rPr>
      </w:pPr>
      <w:r>
        <w:rPr>
          <w:rFonts w:hint="eastAsia" w:ascii="宋体" w:hAnsi="宋体" w:cs="宋体"/>
          <w:sz w:val="24"/>
          <w:szCs w:val="24"/>
        </w:rPr>
        <w:t>投标人的营业执照、税务登记证、组织机构代码证（如已三证合一，只需提供营业执照）复印件（加盖公章）。</w:t>
      </w:r>
    </w:p>
    <w:p>
      <w:pPr>
        <w:numPr>
          <w:ilvl w:val="0"/>
          <w:numId w:val="10"/>
        </w:numPr>
        <w:rPr>
          <w:rFonts w:ascii="宋体" w:hAnsi="宋体" w:cs="宋体"/>
          <w:sz w:val="24"/>
          <w:szCs w:val="24"/>
        </w:rPr>
      </w:pPr>
      <w:r>
        <w:rPr>
          <w:rFonts w:hint="eastAsia" w:ascii="宋体" w:hAnsi="宋体" w:cs="宋体"/>
          <w:sz w:val="24"/>
          <w:szCs w:val="24"/>
        </w:rPr>
        <w:t>合格投标人资格要求提到的资质证明证书（如有）复印件（加盖公章）。</w:t>
      </w:r>
    </w:p>
    <w:p>
      <w:pPr>
        <w:numPr>
          <w:ilvl w:val="0"/>
          <w:numId w:val="10"/>
        </w:numPr>
        <w:rPr>
          <w:rFonts w:ascii="宋体" w:hAnsi="宋体" w:cs="宋体"/>
          <w:sz w:val="24"/>
          <w:szCs w:val="24"/>
        </w:rPr>
      </w:pPr>
      <w:r>
        <w:rPr>
          <w:rFonts w:hint="eastAsia" w:ascii="宋体" w:hAnsi="宋体" w:cs="宋体"/>
          <w:sz w:val="24"/>
          <w:szCs w:val="24"/>
        </w:rPr>
        <w:t>法定代表人及其委托代理人身份证复印件（加盖公章）。</w:t>
      </w:r>
    </w:p>
    <w:p>
      <w:pPr>
        <w:numPr>
          <w:ilvl w:val="0"/>
          <w:numId w:val="10"/>
        </w:numPr>
        <w:rPr>
          <w:rFonts w:ascii="宋体" w:hAnsi="宋体" w:cs="宋体"/>
          <w:sz w:val="24"/>
          <w:szCs w:val="24"/>
        </w:rPr>
      </w:pPr>
      <w:r>
        <w:rPr>
          <w:rFonts w:hint="eastAsia" w:ascii="宋体" w:hAnsi="宋体" w:cs="宋体"/>
          <w:sz w:val="24"/>
          <w:szCs w:val="24"/>
        </w:rPr>
        <w:t>有委托代理人的，提供法定代表人授权书。</w:t>
      </w:r>
    </w:p>
    <w:p>
      <w:pPr>
        <w:numPr>
          <w:ilvl w:val="0"/>
          <w:numId w:val="10"/>
        </w:numPr>
        <w:rPr>
          <w:rFonts w:ascii="宋体" w:hAnsi="宋体" w:cs="宋体"/>
          <w:sz w:val="24"/>
          <w:szCs w:val="24"/>
        </w:rPr>
      </w:pPr>
      <w:r>
        <w:rPr>
          <w:rFonts w:hint="eastAsia" w:ascii="宋体" w:hAnsi="宋体" w:cs="宋体"/>
          <w:sz w:val="24"/>
          <w:szCs w:val="24"/>
        </w:rPr>
        <w:t>投标人应提供服务资源配置情况介绍（包括但不限于技术人员</w:t>
      </w:r>
      <w:bookmarkStart w:id="81" w:name="_Hlt125170891"/>
      <w:bookmarkEnd w:id="81"/>
      <w:r>
        <w:rPr>
          <w:rFonts w:hint="eastAsia" w:ascii="宋体" w:hAnsi="宋体" w:cs="宋体"/>
          <w:sz w:val="24"/>
          <w:szCs w:val="24"/>
        </w:rPr>
        <w:t>情况</w:t>
      </w:r>
      <w:bookmarkStart w:id="82" w:name="_Hlt125171025"/>
      <w:bookmarkEnd w:id="82"/>
      <w:r>
        <w:rPr>
          <w:rFonts w:hint="eastAsia" w:ascii="宋体" w:hAnsi="宋体" w:cs="宋体"/>
          <w:sz w:val="24"/>
          <w:szCs w:val="24"/>
        </w:rPr>
        <w:t>表）。</w:t>
      </w:r>
    </w:p>
    <w:p>
      <w:pPr>
        <w:numPr>
          <w:ilvl w:val="0"/>
          <w:numId w:val="10"/>
        </w:numPr>
        <w:rPr>
          <w:rFonts w:ascii="宋体" w:hAnsi="宋体" w:cs="宋体"/>
          <w:sz w:val="24"/>
          <w:szCs w:val="24"/>
        </w:rPr>
      </w:pPr>
      <w:r>
        <w:rPr>
          <w:rFonts w:hint="eastAsia" w:ascii="宋体" w:hAnsi="宋体" w:cs="宋体"/>
          <w:sz w:val="24"/>
          <w:szCs w:val="24"/>
        </w:rPr>
        <w:t>投标人应提供本项目负责人员或管理人员的资历、工作履历等文件。</w:t>
      </w:r>
    </w:p>
    <w:p>
      <w:pPr>
        <w:numPr>
          <w:ilvl w:val="0"/>
          <w:numId w:val="10"/>
        </w:numPr>
        <w:rPr>
          <w:rFonts w:ascii="宋体" w:hAnsi="宋体" w:cs="宋体"/>
          <w:sz w:val="24"/>
          <w:szCs w:val="24"/>
        </w:rPr>
      </w:pPr>
      <w:r>
        <w:rPr>
          <w:rFonts w:hint="eastAsia" w:ascii="宋体" w:hAnsi="宋体" w:cs="宋体"/>
          <w:sz w:val="24"/>
          <w:szCs w:val="24"/>
        </w:rPr>
        <w:t>投标人应提供本项目服务期或质保期的售后服务承诺（投标人提供售后服务内容细则）。</w:t>
      </w:r>
    </w:p>
    <w:p>
      <w:pPr>
        <w:pStyle w:val="9"/>
        <w:widowControl w:val="0"/>
        <w:overflowPunct w:val="0"/>
        <w:spacing w:line="240" w:lineRule="auto"/>
        <w:rPr>
          <w:rFonts w:ascii="宋体" w:hAnsi="宋体" w:cs="宋体"/>
          <w:szCs w:val="24"/>
        </w:rPr>
      </w:pPr>
      <w:bookmarkStart w:id="83" w:name="_Toc14366"/>
      <w:bookmarkStart w:id="84" w:name="_Toc395"/>
      <w:r>
        <w:rPr>
          <w:rFonts w:hint="eastAsia" w:ascii="宋体" w:hAnsi="宋体" w:cs="宋体"/>
          <w:szCs w:val="24"/>
        </w:rPr>
        <w:t>17.投标报价说明</w:t>
      </w:r>
      <w:bookmarkEnd w:id="83"/>
      <w:bookmarkEnd w:id="84"/>
    </w:p>
    <w:p>
      <w:pPr>
        <w:widowControl w:val="0"/>
        <w:numPr>
          <w:ilvl w:val="255"/>
          <w:numId w:val="0"/>
        </w:numPr>
        <w:adjustRightInd/>
        <w:snapToGrid/>
        <w:spacing w:line="360" w:lineRule="exact"/>
        <w:jc w:val="both"/>
        <w:rPr>
          <w:rFonts w:ascii="宋体" w:hAnsi="宋体" w:cs="宋体"/>
          <w:sz w:val="24"/>
          <w:szCs w:val="24"/>
        </w:rPr>
      </w:pPr>
      <w:r>
        <w:rPr>
          <w:rFonts w:hint="eastAsia" w:ascii="宋体" w:hAnsi="宋体" w:cs="宋体"/>
          <w:sz w:val="24"/>
          <w:szCs w:val="24"/>
        </w:rPr>
        <w:t>17.1本次采购，投标人应按用户需求中的要求进行投标报价，少报无效。</w:t>
      </w:r>
    </w:p>
    <w:p>
      <w:pPr>
        <w:widowControl w:val="0"/>
        <w:numPr>
          <w:ilvl w:val="255"/>
          <w:numId w:val="0"/>
        </w:numPr>
        <w:adjustRightInd/>
        <w:snapToGrid/>
        <w:spacing w:line="360" w:lineRule="exact"/>
        <w:jc w:val="both"/>
        <w:rPr>
          <w:rFonts w:ascii="宋体" w:hAnsi="宋体" w:cs="宋体"/>
          <w:sz w:val="24"/>
          <w:szCs w:val="24"/>
        </w:rPr>
      </w:pPr>
      <w:r>
        <w:rPr>
          <w:rFonts w:hint="eastAsia" w:ascii="宋体" w:hAnsi="宋体" w:cs="宋体"/>
          <w:sz w:val="24"/>
          <w:szCs w:val="24"/>
        </w:rPr>
        <w:t>17.2.投标人所提供的货物或服务均以人民币（或相关费率）报价。</w:t>
      </w:r>
    </w:p>
    <w:p>
      <w:pPr>
        <w:widowControl w:val="0"/>
        <w:numPr>
          <w:ilvl w:val="255"/>
          <w:numId w:val="0"/>
        </w:numPr>
        <w:adjustRightInd/>
        <w:snapToGrid/>
        <w:spacing w:line="360" w:lineRule="exact"/>
        <w:jc w:val="both"/>
        <w:rPr>
          <w:rFonts w:ascii="宋体" w:hAnsi="宋体" w:cs="宋体"/>
          <w:sz w:val="24"/>
          <w:szCs w:val="24"/>
        </w:rPr>
      </w:pPr>
      <w:r>
        <w:rPr>
          <w:rFonts w:hint="eastAsia" w:ascii="宋体" w:hAnsi="宋体" w:cs="宋体"/>
          <w:sz w:val="24"/>
          <w:szCs w:val="24"/>
        </w:rPr>
        <w:t>17.3.投标报价应包含完成本次采购所有服务内容的费用，包含各种税务费及合同实施过程中的全部费用和售后服务费等。</w:t>
      </w:r>
    </w:p>
    <w:p>
      <w:pPr>
        <w:widowControl w:val="0"/>
        <w:numPr>
          <w:ilvl w:val="255"/>
          <w:numId w:val="0"/>
        </w:numPr>
        <w:adjustRightInd/>
        <w:snapToGrid/>
        <w:spacing w:line="360" w:lineRule="exact"/>
        <w:jc w:val="both"/>
        <w:rPr>
          <w:rFonts w:ascii="宋体" w:hAnsi="宋体" w:cs="宋体"/>
          <w:sz w:val="24"/>
          <w:szCs w:val="24"/>
        </w:rPr>
      </w:pPr>
      <w:r>
        <w:rPr>
          <w:rFonts w:hint="eastAsia" w:ascii="宋体" w:hAnsi="宋体" w:cs="宋体"/>
          <w:sz w:val="24"/>
          <w:szCs w:val="24"/>
        </w:rPr>
        <w:t>17.4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numPr>
          <w:ilvl w:val="255"/>
          <w:numId w:val="0"/>
        </w:numPr>
        <w:adjustRightInd/>
        <w:snapToGrid/>
        <w:spacing w:line="360" w:lineRule="exact"/>
        <w:jc w:val="both"/>
        <w:rPr>
          <w:rFonts w:ascii="宋体" w:hAnsi="宋体" w:cs="宋体"/>
          <w:sz w:val="24"/>
          <w:szCs w:val="24"/>
        </w:rPr>
      </w:pPr>
      <w:r>
        <w:rPr>
          <w:rFonts w:hint="eastAsia" w:ascii="宋体" w:hAnsi="宋体" w:cs="宋体"/>
          <w:sz w:val="24"/>
          <w:szCs w:val="24"/>
        </w:rPr>
        <w:t>17.5.中标后开出的所有发票必须与中标人的名称一致。</w:t>
      </w:r>
    </w:p>
    <w:p>
      <w:pPr>
        <w:rPr>
          <w:rFonts w:ascii="宋体" w:hAnsi="宋体" w:cs="宋体"/>
          <w:sz w:val="24"/>
          <w:szCs w:val="24"/>
        </w:rPr>
      </w:pPr>
    </w:p>
    <w:p>
      <w:pPr>
        <w:pStyle w:val="9"/>
        <w:widowControl w:val="0"/>
        <w:overflowPunct w:val="0"/>
        <w:spacing w:line="240" w:lineRule="auto"/>
        <w:rPr>
          <w:rFonts w:ascii="宋体" w:hAnsi="宋体" w:cs="宋体"/>
          <w:szCs w:val="24"/>
        </w:rPr>
      </w:pPr>
      <w:bookmarkStart w:id="85" w:name="_Toc25827"/>
      <w:bookmarkStart w:id="86" w:name="_Toc24086"/>
      <w:r>
        <w:rPr>
          <w:rFonts w:hint="eastAsia" w:ascii="宋体" w:hAnsi="宋体" w:cs="宋体"/>
          <w:szCs w:val="24"/>
        </w:rPr>
        <w:t>18.投标人所提供的服务或货物的证明文件</w:t>
      </w:r>
      <w:bookmarkEnd w:id="85"/>
      <w:bookmarkEnd w:id="86"/>
    </w:p>
    <w:p>
      <w:pPr>
        <w:pStyle w:val="40"/>
        <w:widowControl w:val="0"/>
        <w:numPr>
          <w:ilvl w:val="0"/>
          <w:numId w:val="11"/>
        </w:numPr>
        <w:adjustRightInd/>
        <w:snapToGrid/>
        <w:spacing w:line="360" w:lineRule="exact"/>
        <w:ind w:firstLineChars="0"/>
        <w:jc w:val="both"/>
        <w:rPr>
          <w:rFonts w:ascii="宋体" w:hAnsi="宋体" w:cs="宋体"/>
          <w:vanish/>
          <w:sz w:val="24"/>
          <w:szCs w:val="24"/>
        </w:rPr>
      </w:pPr>
    </w:p>
    <w:p>
      <w:pPr>
        <w:widowControl w:val="0"/>
        <w:numPr>
          <w:ilvl w:val="255"/>
          <w:numId w:val="0"/>
        </w:numPr>
        <w:adjustRightInd/>
        <w:snapToGrid/>
        <w:spacing w:line="360" w:lineRule="exact"/>
        <w:jc w:val="both"/>
        <w:rPr>
          <w:rFonts w:ascii="宋体" w:hAnsi="宋体" w:cs="宋体"/>
          <w:sz w:val="24"/>
          <w:szCs w:val="24"/>
        </w:rPr>
      </w:pPr>
      <w:bookmarkStart w:id="87" w:name="_Hlt107925638"/>
      <w:bookmarkEnd w:id="87"/>
      <w:bookmarkStart w:id="88" w:name="_Hlt107925668"/>
      <w:bookmarkEnd w:id="88"/>
      <w:r>
        <w:rPr>
          <w:rFonts w:hint="eastAsia" w:ascii="宋体" w:hAnsi="宋体" w:cs="宋体"/>
          <w:sz w:val="24"/>
          <w:szCs w:val="24"/>
        </w:rPr>
        <w:t>18.1.证明服务或货物的文件，它可以是文字资料、图纸和数据包括但不限于：服务主要内容、标准、质量、人员资质、计划安排、报告审核等的详细说明；对采购文件第三部分《用户需求书》中规定的要求进行详细应答和说明。</w:t>
      </w:r>
    </w:p>
    <w:p>
      <w:pPr>
        <w:pStyle w:val="40"/>
        <w:widowControl w:val="0"/>
        <w:adjustRightInd/>
        <w:snapToGrid/>
        <w:spacing w:line="360" w:lineRule="exact"/>
        <w:ind w:left="425" w:firstLine="0" w:firstLineChars="0"/>
        <w:jc w:val="both"/>
        <w:rPr>
          <w:rFonts w:ascii="宋体" w:hAnsi="宋体" w:cs="宋体"/>
          <w:sz w:val="24"/>
          <w:szCs w:val="24"/>
        </w:rPr>
      </w:pPr>
    </w:p>
    <w:p>
      <w:pPr>
        <w:pStyle w:val="9"/>
        <w:widowControl w:val="0"/>
        <w:overflowPunct w:val="0"/>
        <w:spacing w:line="240" w:lineRule="auto"/>
        <w:rPr>
          <w:rFonts w:ascii="宋体" w:hAnsi="宋体" w:cs="宋体"/>
          <w:szCs w:val="24"/>
        </w:rPr>
      </w:pPr>
      <w:bookmarkStart w:id="89" w:name="_Toc30588"/>
      <w:bookmarkStart w:id="90" w:name="_Toc8578"/>
      <w:r>
        <w:rPr>
          <w:rFonts w:hint="eastAsia" w:ascii="宋体" w:hAnsi="宋体" w:cs="宋体"/>
          <w:szCs w:val="24"/>
        </w:rPr>
        <w:t>19.★投标有效期</w:t>
      </w:r>
      <w:bookmarkEnd w:id="89"/>
      <w:bookmarkEnd w:id="90"/>
    </w:p>
    <w:p>
      <w:pPr>
        <w:pStyle w:val="40"/>
        <w:widowControl w:val="0"/>
        <w:numPr>
          <w:ilvl w:val="0"/>
          <w:numId w:val="11"/>
        </w:numPr>
        <w:adjustRightInd/>
        <w:snapToGrid/>
        <w:spacing w:line="360" w:lineRule="exact"/>
        <w:ind w:firstLineChars="0"/>
        <w:jc w:val="both"/>
        <w:rPr>
          <w:rFonts w:ascii="宋体" w:hAnsi="宋体" w:cs="宋体"/>
          <w:vanish/>
          <w:sz w:val="24"/>
          <w:szCs w:val="24"/>
        </w:rPr>
      </w:pPr>
    </w:p>
    <w:p>
      <w:pPr>
        <w:numPr>
          <w:ilvl w:val="255"/>
          <w:numId w:val="0"/>
        </w:numPr>
        <w:rPr>
          <w:rFonts w:ascii="宋体" w:hAnsi="宋体" w:cs="宋体"/>
          <w:sz w:val="24"/>
          <w:szCs w:val="24"/>
        </w:rPr>
      </w:pPr>
      <w:r>
        <w:rPr>
          <w:rFonts w:hint="eastAsia" w:ascii="宋体" w:hAnsi="宋体" w:cs="宋体"/>
          <w:sz w:val="24"/>
          <w:szCs w:val="24"/>
        </w:rPr>
        <w:t>19.1.投标文件应根据投标人须知的规定在投标截止日后的90天内保持有效。投标文件应在投标有效期内保持有效。投标有效期比规定期限短的将被视为非响应标予以拒绝。</w:t>
      </w:r>
    </w:p>
    <w:p>
      <w:pPr>
        <w:numPr>
          <w:ilvl w:val="255"/>
          <w:numId w:val="0"/>
        </w:numPr>
        <w:rPr>
          <w:rFonts w:ascii="宋体" w:hAnsi="宋体" w:cs="宋体"/>
          <w:sz w:val="24"/>
          <w:szCs w:val="24"/>
        </w:rPr>
      </w:pPr>
      <w:r>
        <w:rPr>
          <w:rFonts w:hint="eastAsia" w:ascii="宋体" w:hAnsi="宋体" w:cs="宋体"/>
          <w:sz w:val="24"/>
          <w:szCs w:val="24"/>
        </w:rPr>
        <w:t>19.2.特殊情况下在原有投标有效期截止之前，采购代理机构可征求投标人同意延长投标有效期。这种要求与答复均应以书面形式提交。投标人可以拒绝采购代理机构的这种要求，其投标保证金将不被没收。接受投标有效期延长的投标人将不会被要求和允许修正其投标文件，而只会要求其相应地延长其投标保证金的有效期。在这种情况下，本须知有关投标保证金的退还和没收的规定将在延长了的有效期内继续有效。</w:t>
      </w:r>
    </w:p>
    <w:p>
      <w:pPr>
        <w:widowControl w:val="0"/>
        <w:adjustRightInd/>
        <w:snapToGrid/>
        <w:spacing w:line="360" w:lineRule="exact"/>
        <w:ind w:left="567"/>
        <w:jc w:val="both"/>
        <w:rPr>
          <w:rFonts w:ascii="宋体" w:hAnsi="宋体" w:cs="宋体"/>
          <w:sz w:val="24"/>
          <w:szCs w:val="24"/>
        </w:rPr>
      </w:pPr>
    </w:p>
    <w:p>
      <w:pPr>
        <w:numPr>
          <w:ilvl w:val="255"/>
          <w:numId w:val="0"/>
        </w:numPr>
        <w:outlineLvl w:val="2"/>
        <w:rPr>
          <w:rFonts w:ascii="宋体" w:hAnsi="宋体" w:cs="宋体"/>
          <w:b/>
          <w:sz w:val="24"/>
          <w:szCs w:val="24"/>
        </w:rPr>
      </w:pPr>
      <w:bookmarkStart w:id="91" w:name="_Toc23436"/>
      <w:bookmarkStart w:id="92" w:name="_Toc11044"/>
      <w:r>
        <w:rPr>
          <w:rFonts w:hint="eastAsia" w:ascii="宋体" w:hAnsi="宋体" w:cs="宋体"/>
          <w:b/>
          <w:sz w:val="24"/>
          <w:szCs w:val="24"/>
        </w:rPr>
        <w:t>20.投标保证金</w:t>
      </w:r>
      <w:bookmarkEnd w:id="91"/>
      <w:bookmarkEnd w:id="92"/>
    </w:p>
    <w:p>
      <w:pPr>
        <w:numPr>
          <w:ilvl w:val="255"/>
          <w:numId w:val="0"/>
        </w:numPr>
        <w:rPr>
          <w:rFonts w:ascii="宋体" w:hAnsi="宋体" w:cs="宋体"/>
          <w:sz w:val="24"/>
          <w:szCs w:val="24"/>
        </w:rPr>
      </w:pPr>
      <w:r>
        <w:rPr>
          <w:rFonts w:hint="eastAsia" w:ascii="宋体" w:hAnsi="宋体" w:cs="宋体"/>
          <w:sz w:val="24"/>
          <w:szCs w:val="24"/>
        </w:rPr>
        <w:t>20.1.★投标人</w:t>
      </w:r>
      <w:r>
        <w:rPr>
          <w:rFonts w:hint="eastAsia" w:ascii="宋体" w:hAnsi="宋体" w:cs="宋体"/>
          <w:sz w:val="24"/>
          <w:szCs w:val="24"/>
          <w:lang w:eastAsia="zh-TW"/>
        </w:rPr>
        <w:t>应</w:t>
      </w:r>
      <w:r>
        <w:rPr>
          <w:rFonts w:hint="eastAsia" w:ascii="宋体" w:hAnsi="宋体" w:cs="宋体"/>
          <w:sz w:val="24"/>
          <w:szCs w:val="24"/>
        </w:rPr>
        <w:t>按</w:t>
      </w:r>
      <w:r>
        <w:rPr>
          <w:rFonts w:hint="eastAsia" w:ascii="宋体" w:hAnsi="宋体" w:cs="宋体"/>
          <w:b/>
          <w:bCs/>
          <w:sz w:val="24"/>
          <w:szCs w:val="24"/>
        </w:rPr>
        <w:t>投标人须知前附表</w:t>
      </w:r>
      <w:r>
        <w:rPr>
          <w:rFonts w:hint="eastAsia" w:ascii="宋体" w:hAnsi="宋体" w:cs="宋体"/>
          <w:sz w:val="24"/>
          <w:szCs w:val="24"/>
          <w:lang w:eastAsia="zh-TW"/>
        </w:rPr>
        <w:t>中规定</w:t>
      </w:r>
      <w:r>
        <w:rPr>
          <w:rFonts w:hint="eastAsia" w:ascii="宋体" w:hAnsi="宋体" w:cs="宋体"/>
          <w:sz w:val="24"/>
          <w:szCs w:val="24"/>
        </w:rPr>
        <w:t>的金</w:t>
      </w:r>
      <w:r>
        <w:rPr>
          <w:rFonts w:hint="eastAsia" w:ascii="宋体" w:hAnsi="宋体" w:cs="宋体"/>
          <w:sz w:val="24"/>
          <w:szCs w:val="24"/>
          <w:lang w:eastAsia="zh-TW"/>
        </w:rPr>
        <w:t>额</w:t>
      </w:r>
      <w:r>
        <w:rPr>
          <w:rFonts w:hint="eastAsia" w:ascii="宋体" w:hAnsi="宋体" w:cs="宋体"/>
          <w:sz w:val="24"/>
          <w:szCs w:val="24"/>
        </w:rPr>
        <w:t>和期限缴纳</w:t>
      </w:r>
      <w:r>
        <w:rPr>
          <w:rFonts w:hint="eastAsia" w:ascii="宋体" w:hAnsi="宋体" w:cs="宋体"/>
          <w:sz w:val="24"/>
          <w:szCs w:val="24"/>
          <w:lang w:eastAsia="zh-TW"/>
        </w:rPr>
        <w:t>投标保证金</w:t>
      </w:r>
      <w:r>
        <w:rPr>
          <w:rFonts w:hint="eastAsia" w:ascii="宋体" w:hAnsi="宋体" w:cs="宋体"/>
          <w:sz w:val="24"/>
          <w:szCs w:val="24"/>
        </w:rPr>
        <w:t>，</w:t>
      </w:r>
      <w:r>
        <w:rPr>
          <w:rFonts w:hint="eastAsia" w:ascii="宋体" w:hAnsi="宋体" w:cs="宋体"/>
          <w:sz w:val="24"/>
          <w:szCs w:val="24"/>
          <w:lang w:eastAsia="zh-TW"/>
        </w:rPr>
        <w:t>并作为其投标</w:t>
      </w:r>
      <w:r>
        <w:rPr>
          <w:rFonts w:hint="eastAsia" w:ascii="宋体" w:hAnsi="宋体" w:cs="宋体"/>
          <w:sz w:val="24"/>
          <w:szCs w:val="24"/>
        </w:rPr>
        <w:t>文件的组成</w:t>
      </w:r>
      <w:r>
        <w:rPr>
          <w:rFonts w:hint="eastAsia" w:ascii="宋体" w:hAnsi="宋体" w:cs="宋体"/>
          <w:sz w:val="24"/>
          <w:szCs w:val="24"/>
          <w:lang w:eastAsia="zh-TW"/>
        </w:rPr>
        <w:t>部分</w:t>
      </w:r>
      <w:r>
        <w:rPr>
          <w:rFonts w:hint="eastAsia" w:ascii="宋体" w:hAnsi="宋体" w:cs="宋体"/>
          <w:sz w:val="24"/>
          <w:szCs w:val="24"/>
        </w:rPr>
        <w:t>。投标人应按照要求提交投标保证金，每个包的报价保证金须单独单笔转账，参与多个包的报价人不得以多个包报价保证金总价转账，否则视为报价保证金无效。投标人必须采用银行转账、电汇方式缴交，投标人与交款人名称必须一致，非投标人缴纳的投标保证金无效。划账时须在银行划款单用途栏上注明本次采购编号和投标人的简称。开标时,采购代理机构将确定投标人投标保证金是否到账。</w:t>
      </w:r>
    </w:p>
    <w:p>
      <w:pPr>
        <w:numPr>
          <w:ilvl w:val="255"/>
          <w:numId w:val="0"/>
        </w:numPr>
        <w:rPr>
          <w:rFonts w:ascii="宋体" w:hAnsi="宋体" w:cs="宋体"/>
          <w:sz w:val="24"/>
          <w:szCs w:val="24"/>
          <w:u w:val="single"/>
        </w:rPr>
      </w:pPr>
      <w:r>
        <w:rPr>
          <w:rFonts w:hint="eastAsia" w:ascii="宋体" w:hAnsi="宋体" w:cs="宋体"/>
          <w:sz w:val="24"/>
          <w:szCs w:val="24"/>
          <w:u w:val="single"/>
        </w:rPr>
        <w:t>20.2.★保证金必须以投标人名义汇入指定账户，保证金以分支机构名义汇入或个人名义汇入或现金存入视为无效，报价当天拒收以现金方式提交的保证金。</w:t>
      </w:r>
    </w:p>
    <w:p>
      <w:pPr>
        <w:numPr>
          <w:ilvl w:val="255"/>
          <w:numId w:val="0"/>
        </w:numPr>
        <w:rPr>
          <w:rFonts w:ascii="宋体" w:hAnsi="宋体" w:cs="宋体"/>
          <w:sz w:val="24"/>
          <w:szCs w:val="24"/>
          <w:u w:val="single"/>
        </w:rPr>
      </w:pPr>
      <w:r>
        <w:rPr>
          <w:rFonts w:hint="eastAsia" w:ascii="宋体" w:hAnsi="宋体" w:cs="宋体"/>
          <w:sz w:val="24"/>
          <w:szCs w:val="24"/>
        </w:rPr>
        <w:t>20.3.投标人保证金汇错账号的作无效投标处理。</w:t>
      </w:r>
    </w:p>
    <w:p>
      <w:pPr>
        <w:numPr>
          <w:ilvl w:val="255"/>
          <w:numId w:val="0"/>
        </w:numPr>
        <w:rPr>
          <w:rFonts w:ascii="宋体" w:hAnsi="宋体" w:cs="宋体"/>
          <w:sz w:val="24"/>
          <w:szCs w:val="24"/>
        </w:rPr>
      </w:pPr>
      <w:r>
        <w:rPr>
          <w:rFonts w:hint="eastAsia" w:ascii="宋体" w:hAnsi="宋体" w:cs="宋体"/>
          <w:sz w:val="24"/>
          <w:szCs w:val="24"/>
        </w:rPr>
        <w:t>20.4.提交保证金时应在开标前按投标人须知前附表规定汇入账户，（各投标人在转帐或电汇时须在用途栏上写明采购编号）</w:t>
      </w:r>
    </w:p>
    <w:p>
      <w:pPr>
        <w:pStyle w:val="16"/>
        <w:spacing w:before="156" w:after="156" w:line="400" w:lineRule="exact"/>
        <w:rPr>
          <w:rFonts w:hAnsi="宋体" w:cs="宋体"/>
          <w:bCs/>
          <w:sz w:val="24"/>
          <w:szCs w:val="24"/>
        </w:rPr>
      </w:pPr>
      <w:r>
        <w:rPr>
          <w:rFonts w:hint="eastAsia" w:hAnsi="宋体" w:cs="宋体"/>
          <w:bCs/>
          <w:sz w:val="24"/>
          <w:szCs w:val="24"/>
        </w:rPr>
        <w:t>投标保证金未按规定时间到达指定账户或提交金额不足的，将被视为无效投标文件。</w:t>
      </w:r>
    </w:p>
    <w:p>
      <w:pPr>
        <w:numPr>
          <w:ilvl w:val="255"/>
          <w:numId w:val="0"/>
        </w:numPr>
        <w:rPr>
          <w:rFonts w:ascii="宋体" w:hAnsi="宋体" w:cs="宋体"/>
          <w:sz w:val="24"/>
          <w:szCs w:val="24"/>
        </w:rPr>
      </w:pPr>
      <w:r>
        <w:rPr>
          <w:rFonts w:hint="eastAsia" w:ascii="宋体" w:hAnsi="宋体" w:cs="宋体"/>
          <w:sz w:val="24"/>
          <w:szCs w:val="24"/>
        </w:rPr>
        <w:t>20.5凡没有根据投标须知的规定随附投标保证金的投标文件，将按投标须知的规定视为非响应性投标予以拒绝。</w:t>
      </w:r>
      <w:bookmarkStart w:id="93" w:name="_Hlt107931505"/>
      <w:bookmarkEnd w:id="93"/>
    </w:p>
    <w:p>
      <w:pPr>
        <w:numPr>
          <w:ilvl w:val="255"/>
          <w:numId w:val="0"/>
        </w:numPr>
        <w:rPr>
          <w:rFonts w:ascii="宋体" w:hAnsi="宋体" w:cs="宋体"/>
          <w:sz w:val="24"/>
          <w:szCs w:val="24"/>
        </w:rPr>
      </w:pPr>
      <w:r>
        <w:rPr>
          <w:rFonts w:hint="eastAsia" w:ascii="宋体" w:hAnsi="宋体" w:cs="宋体"/>
          <w:sz w:val="24"/>
          <w:szCs w:val="24"/>
        </w:rPr>
        <w:t>20.6.不中标的投标人的投标保证金，将按投标须知的规定的投标有效期满后三十天内或在发出《中标通知书》日后十个工作日内原额无息退还。</w:t>
      </w:r>
    </w:p>
    <w:p>
      <w:pPr>
        <w:numPr>
          <w:ilvl w:val="255"/>
          <w:numId w:val="0"/>
        </w:numPr>
        <w:rPr>
          <w:rFonts w:ascii="宋体" w:hAnsi="宋体" w:cs="宋体"/>
          <w:sz w:val="24"/>
          <w:szCs w:val="24"/>
        </w:rPr>
      </w:pPr>
      <w:r>
        <w:rPr>
          <w:rFonts w:hint="eastAsia" w:ascii="宋体" w:hAnsi="宋体" w:cs="宋体"/>
          <w:sz w:val="24"/>
          <w:szCs w:val="24"/>
        </w:rPr>
        <w:t>20.7.中标人的投标保证金的退还必须同时满足以下要求：</w:t>
      </w:r>
    </w:p>
    <w:p>
      <w:pPr>
        <w:numPr>
          <w:ilvl w:val="0"/>
          <w:numId w:val="12"/>
        </w:numPr>
        <w:rPr>
          <w:rFonts w:ascii="宋体" w:hAnsi="宋体" w:cs="宋体"/>
          <w:sz w:val="24"/>
          <w:szCs w:val="24"/>
        </w:rPr>
      </w:pPr>
      <w:r>
        <w:rPr>
          <w:rFonts w:hint="eastAsia" w:ascii="宋体" w:hAnsi="宋体" w:cs="宋体"/>
          <w:sz w:val="24"/>
          <w:szCs w:val="24"/>
        </w:rPr>
        <w:t>中标的投标人，其投标保证金将保持全部的约束力，直至中标人与采购人签订采购合同并将合同原件交采购代理机构备案后，按《投标保证金退还说明》的要求在五个工作日内无息全额退回。</w:t>
      </w:r>
    </w:p>
    <w:p>
      <w:pPr>
        <w:numPr>
          <w:ilvl w:val="0"/>
          <w:numId w:val="12"/>
        </w:numPr>
        <w:rPr>
          <w:rFonts w:ascii="宋体" w:hAnsi="宋体" w:cs="宋体"/>
          <w:sz w:val="24"/>
          <w:szCs w:val="24"/>
        </w:rPr>
      </w:pPr>
      <w:r>
        <w:rPr>
          <w:rFonts w:hint="eastAsia" w:ascii="宋体" w:hAnsi="宋体" w:cs="宋体"/>
          <w:sz w:val="24"/>
          <w:szCs w:val="24"/>
        </w:rPr>
        <w:t>在投标有效期内因质疑和投诉等原因不能确定中标人的，采购人将在质疑和投诉处理完毕后或在投标有效期满后五个工作日内，不计利息原额退回所有投标人的投标保证金。</w:t>
      </w:r>
    </w:p>
    <w:p>
      <w:pPr>
        <w:numPr>
          <w:ilvl w:val="255"/>
          <w:numId w:val="0"/>
        </w:numPr>
        <w:rPr>
          <w:rFonts w:ascii="宋体" w:hAnsi="宋体" w:cs="宋体"/>
          <w:sz w:val="24"/>
          <w:szCs w:val="24"/>
        </w:rPr>
      </w:pPr>
      <w:r>
        <w:rPr>
          <w:rFonts w:hint="eastAsia" w:ascii="宋体" w:hAnsi="宋体" w:cs="宋体"/>
          <w:sz w:val="24"/>
          <w:szCs w:val="24"/>
        </w:rPr>
        <w:t>20.8.在下列情况下，投标保证金将被没收。</w:t>
      </w:r>
    </w:p>
    <w:p>
      <w:pPr>
        <w:numPr>
          <w:ilvl w:val="0"/>
          <w:numId w:val="13"/>
        </w:numPr>
        <w:rPr>
          <w:rFonts w:ascii="宋体" w:hAnsi="宋体" w:cs="宋体"/>
          <w:sz w:val="24"/>
          <w:szCs w:val="24"/>
        </w:rPr>
      </w:pPr>
      <w:r>
        <w:rPr>
          <w:rFonts w:hint="eastAsia" w:ascii="宋体" w:hAnsi="宋体" w:cs="宋体"/>
          <w:sz w:val="24"/>
          <w:szCs w:val="24"/>
        </w:rPr>
        <w:t>投标人已递交投标文件，并在投标截止时间之后，投标文件有效期满之前，撤回其投标文件；</w:t>
      </w:r>
    </w:p>
    <w:p>
      <w:pPr>
        <w:numPr>
          <w:ilvl w:val="0"/>
          <w:numId w:val="13"/>
        </w:numPr>
        <w:rPr>
          <w:rFonts w:ascii="宋体" w:hAnsi="宋体" w:cs="宋体"/>
          <w:sz w:val="24"/>
          <w:szCs w:val="24"/>
        </w:rPr>
      </w:pPr>
      <w:r>
        <w:rPr>
          <w:rFonts w:hint="eastAsia" w:ascii="宋体" w:hAnsi="宋体" w:cs="宋体"/>
          <w:sz w:val="24"/>
          <w:szCs w:val="24"/>
        </w:rPr>
        <w:t>中标人在未按规定期限领取中标通知书或未按规定期限签订合同；</w:t>
      </w:r>
    </w:p>
    <w:p>
      <w:pPr>
        <w:numPr>
          <w:ilvl w:val="0"/>
          <w:numId w:val="13"/>
        </w:numPr>
        <w:rPr>
          <w:rFonts w:ascii="宋体" w:hAnsi="宋体" w:cs="宋体"/>
          <w:sz w:val="24"/>
          <w:szCs w:val="24"/>
        </w:rPr>
      </w:pPr>
      <w:r>
        <w:rPr>
          <w:rFonts w:hint="eastAsia" w:ascii="宋体" w:hAnsi="宋体" w:cs="宋体"/>
          <w:sz w:val="24"/>
          <w:szCs w:val="24"/>
        </w:rPr>
        <w:t>中标人将本项目转让给他人，或者在投标文件中未说明，且未经采购人同意，将中标项目分包给他人的，采购人可依法没收其投标保证金；</w:t>
      </w:r>
    </w:p>
    <w:p>
      <w:pPr>
        <w:numPr>
          <w:ilvl w:val="0"/>
          <w:numId w:val="13"/>
        </w:numPr>
        <w:rPr>
          <w:rFonts w:ascii="宋体" w:hAnsi="宋体" w:cs="宋体"/>
          <w:sz w:val="24"/>
          <w:szCs w:val="24"/>
        </w:rPr>
      </w:pPr>
      <w:r>
        <w:rPr>
          <w:rFonts w:hint="eastAsia" w:ascii="宋体" w:hAnsi="宋体" w:cs="宋体"/>
          <w:sz w:val="24"/>
          <w:szCs w:val="24"/>
        </w:rPr>
        <w:t>投标人提供虚假投标文件或虚假补充文件的；</w:t>
      </w:r>
    </w:p>
    <w:p>
      <w:pPr>
        <w:numPr>
          <w:ilvl w:val="0"/>
          <w:numId w:val="13"/>
        </w:numPr>
        <w:rPr>
          <w:rFonts w:ascii="宋体" w:hAnsi="宋体" w:cs="宋体"/>
          <w:sz w:val="24"/>
          <w:szCs w:val="24"/>
        </w:rPr>
      </w:pPr>
      <w:r>
        <w:rPr>
          <w:rFonts w:hint="eastAsia" w:ascii="宋体" w:hAnsi="宋体" w:cs="宋体"/>
          <w:sz w:val="24"/>
          <w:szCs w:val="24"/>
        </w:rPr>
        <w:t>投标人虚假响应采购文件要求或中标后核实无法按采购文件或采购人要求实质性履行项目的。</w:t>
      </w:r>
    </w:p>
    <w:p>
      <w:pPr>
        <w:numPr>
          <w:ilvl w:val="255"/>
          <w:numId w:val="0"/>
        </w:numPr>
        <w:outlineLvl w:val="2"/>
        <w:rPr>
          <w:rFonts w:ascii="宋体" w:hAnsi="宋体" w:cs="宋体"/>
          <w:b/>
          <w:sz w:val="24"/>
          <w:szCs w:val="24"/>
        </w:rPr>
      </w:pPr>
      <w:bookmarkStart w:id="94" w:name="_Toc13684"/>
      <w:bookmarkStart w:id="95" w:name="_Toc26626"/>
      <w:r>
        <w:rPr>
          <w:rFonts w:hint="eastAsia" w:ascii="宋体" w:hAnsi="宋体" w:cs="宋体"/>
          <w:b/>
          <w:sz w:val="24"/>
          <w:szCs w:val="24"/>
        </w:rPr>
        <w:t>21.投标文件的式样和签署</w:t>
      </w:r>
      <w:bookmarkEnd w:id="94"/>
      <w:bookmarkEnd w:id="95"/>
    </w:p>
    <w:p>
      <w:pPr>
        <w:numPr>
          <w:ilvl w:val="255"/>
          <w:numId w:val="0"/>
        </w:numPr>
        <w:rPr>
          <w:rFonts w:ascii="宋体" w:hAnsi="宋体" w:cs="宋体"/>
          <w:sz w:val="24"/>
          <w:szCs w:val="24"/>
        </w:rPr>
      </w:pPr>
      <w:r>
        <w:rPr>
          <w:rFonts w:hint="eastAsia" w:ascii="宋体" w:hAnsi="宋体" w:cs="宋体"/>
          <w:sz w:val="24"/>
          <w:szCs w:val="24"/>
        </w:rPr>
        <w:t>21.1.投标人编写的投标文件应包括下列部分（投标文件分商务技术文件、价格文件两部分进行独立封装装订）：</w:t>
      </w:r>
    </w:p>
    <w:p>
      <w:pPr>
        <w:numPr>
          <w:ilvl w:val="0"/>
          <w:numId w:val="14"/>
        </w:numPr>
        <w:rPr>
          <w:rFonts w:ascii="宋体" w:hAnsi="宋体" w:cs="宋体"/>
          <w:sz w:val="24"/>
          <w:szCs w:val="24"/>
        </w:rPr>
      </w:pPr>
      <w:r>
        <w:rPr>
          <w:rFonts w:hint="eastAsia" w:ascii="宋体" w:hAnsi="宋体" w:cs="宋体"/>
          <w:sz w:val="24"/>
          <w:szCs w:val="24"/>
        </w:rPr>
        <w:t>商务技术部分</w:t>
      </w:r>
    </w:p>
    <w:p>
      <w:pPr>
        <w:numPr>
          <w:ilvl w:val="0"/>
          <w:numId w:val="14"/>
        </w:numPr>
        <w:rPr>
          <w:rFonts w:ascii="宋体" w:hAnsi="宋体" w:cs="宋体"/>
          <w:sz w:val="24"/>
          <w:szCs w:val="24"/>
        </w:rPr>
      </w:pPr>
      <w:r>
        <w:rPr>
          <w:rFonts w:hint="eastAsia" w:ascii="宋体" w:hAnsi="宋体" w:cs="宋体"/>
          <w:sz w:val="24"/>
          <w:szCs w:val="24"/>
        </w:rPr>
        <w:t>价格部分</w:t>
      </w:r>
    </w:p>
    <w:p>
      <w:pPr>
        <w:numPr>
          <w:ilvl w:val="255"/>
          <w:numId w:val="0"/>
        </w:numPr>
        <w:rPr>
          <w:rFonts w:ascii="宋体" w:hAnsi="宋体" w:cs="宋体"/>
          <w:sz w:val="24"/>
          <w:szCs w:val="24"/>
        </w:rPr>
      </w:pPr>
      <w:r>
        <w:rPr>
          <w:rFonts w:hint="eastAsia" w:ascii="宋体" w:hAnsi="宋体" w:cs="宋体"/>
          <w:sz w:val="24"/>
          <w:szCs w:val="24"/>
        </w:rPr>
        <w:t>21.2.采用综合评分法的项目采购采购文件，须规范投标文件装订要求，</w:t>
      </w:r>
      <w:r>
        <w:rPr>
          <w:rFonts w:hint="eastAsia" w:ascii="宋体" w:hAnsi="宋体" w:cs="宋体"/>
          <w:b/>
          <w:bCs/>
          <w:sz w:val="24"/>
          <w:szCs w:val="24"/>
          <w:u w:val="single"/>
        </w:rPr>
        <w:t>价格部分、商务技术部分应分开两部分进行装订（均为正本一份，副本七份）</w:t>
      </w:r>
      <w:r>
        <w:rPr>
          <w:rFonts w:hint="eastAsia" w:ascii="宋体" w:hAnsi="宋体" w:cs="宋体"/>
          <w:sz w:val="24"/>
          <w:szCs w:val="24"/>
        </w:rPr>
        <w:t>，且商务技术部分不能出现有关投标报价的内容，避免评委提前获知价格分差，影响商务技术分的评定，保证评标的公平公正性。有影响公平评审的，评审有权视为投标无效。</w:t>
      </w:r>
    </w:p>
    <w:p>
      <w:pPr>
        <w:numPr>
          <w:ilvl w:val="255"/>
          <w:numId w:val="0"/>
        </w:numPr>
        <w:rPr>
          <w:rFonts w:ascii="宋体" w:hAnsi="宋体" w:cs="宋体"/>
          <w:sz w:val="24"/>
          <w:szCs w:val="24"/>
        </w:rPr>
      </w:pPr>
      <w:r>
        <w:rPr>
          <w:rFonts w:hint="eastAsia" w:ascii="宋体" w:hAnsi="宋体" w:cs="宋体"/>
          <w:b/>
          <w:sz w:val="24"/>
          <w:szCs w:val="24"/>
          <w:u w:val="single"/>
        </w:rPr>
        <w:t>21.3.电子文件用Office 2000或以上简体中文版（或相应兼容版本软件）制作一份，盖章扫描件以PDF格式保存一份提交，</w:t>
      </w:r>
      <w:r>
        <w:rPr>
          <w:rFonts w:hint="eastAsia" w:ascii="宋体" w:hAnsi="宋体" w:cs="宋体"/>
          <w:sz w:val="24"/>
          <w:szCs w:val="24"/>
        </w:rPr>
        <w:t>内容包括：由投标人自行制作的与正本文件一致的所有文件。电子文件用光盘或U盘储存，光盘或U盘上注明投标人名称及项目名称、编号。</w:t>
      </w:r>
    </w:p>
    <w:p>
      <w:pPr>
        <w:numPr>
          <w:ilvl w:val="255"/>
          <w:numId w:val="0"/>
        </w:numPr>
        <w:rPr>
          <w:rFonts w:ascii="宋体" w:hAnsi="宋体" w:cs="宋体"/>
          <w:sz w:val="24"/>
          <w:szCs w:val="24"/>
        </w:rPr>
      </w:pPr>
      <w:r>
        <w:rPr>
          <w:rFonts w:hint="eastAsia" w:ascii="宋体" w:hAnsi="宋体" w:cs="宋体"/>
          <w:sz w:val="24"/>
          <w:szCs w:val="24"/>
        </w:rPr>
        <w:t>21.4.投标文件除签字外必须是印刷形式，其中不许有加行、涂抹或改写。投标人的投标文件应按采购文件格式规定盖章，由法定代表人或其授权代表签字。</w:t>
      </w:r>
    </w:p>
    <w:p>
      <w:pPr>
        <w:numPr>
          <w:ilvl w:val="255"/>
          <w:numId w:val="0"/>
        </w:numPr>
        <w:rPr>
          <w:rFonts w:ascii="宋体" w:hAnsi="宋体" w:cs="宋体"/>
          <w:sz w:val="24"/>
          <w:szCs w:val="24"/>
        </w:rPr>
      </w:pPr>
      <w:r>
        <w:rPr>
          <w:rFonts w:hint="eastAsia" w:ascii="宋体" w:hAnsi="宋体" w:cs="宋体"/>
          <w:sz w:val="24"/>
          <w:szCs w:val="24"/>
        </w:rPr>
        <w:t>21.5.投标文件的任何行间插字、涂改和增删，必须由投标文件的签字人用姓氏或首字母在旁边签字才有效。（涉及报价的修改，须在修改处加盖投标人公章）</w:t>
      </w:r>
    </w:p>
    <w:p>
      <w:pPr>
        <w:numPr>
          <w:ilvl w:val="255"/>
          <w:numId w:val="0"/>
        </w:numPr>
        <w:rPr>
          <w:rFonts w:ascii="宋体" w:hAnsi="宋体" w:cs="宋体"/>
          <w:sz w:val="24"/>
          <w:szCs w:val="24"/>
        </w:rPr>
      </w:pPr>
      <w:r>
        <w:rPr>
          <w:rFonts w:hint="eastAsia" w:ascii="宋体" w:hAnsi="宋体" w:cs="宋体"/>
          <w:sz w:val="24"/>
          <w:szCs w:val="24"/>
        </w:rPr>
        <w:t>21.6.投标文件“副本”，所有资料都可以用投标文件的“正本”复印而成。</w:t>
      </w:r>
    </w:p>
    <w:p>
      <w:pPr>
        <w:numPr>
          <w:ilvl w:val="255"/>
          <w:numId w:val="0"/>
        </w:numPr>
        <w:rPr>
          <w:rFonts w:ascii="宋体" w:hAnsi="宋体" w:cs="宋体"/>
          <w:sz w:val="24"/>
          <w:szCs w:val="24"/>
        </w:rPr>
      </w:pPr>
      <w:r>
        <w:rPr>
          <w:rFonts w:hint="eastAsia" w:ascii="宋体" w:hAnsi="宋体" w:cs="宋体"/>
          <w:sz w:val="24"/>
          <w:szCs w:val="24"/>
        </w:rPr>
        <w:t>21.7.投标文件的“正本” 及所有“副本”的封面均须加盖投标人公章。</w:t>
      </w:r>
    </w:p>
    <w:p>
      <w:pPr>
        <w:numPr>
          <w:ilvl w:val="255"/>
          <w:numId w:val="0"/>
        </w:numPr>
        <w:rPr>
          <w:rFonts w:ascii="宋体" w:hAnsi="宋体" w:cs="宋体"/>
          <w:sz w:val="24"/>
          <w:szCs w:val="24"/>
        </w:rPr>
      </w:pPr>
      <w:r>
        <w:rPr>
          <w:rFonts w:hint="eastAsia" w:ascii="宋体" w:hAnsi="宋体" w:cs="宋体"/>
          <w:sz w:val="24"/>
          <w:szCs w:val="24"/>
        </w:rPr>
        <w:t>21.8.投标人同时投标多包的，必须按包分开编制、装订与封装，否则只视为投标其中一个包的项目。</w:t>
      </w:r>
    </w:p>
    <w:p>
      <w:pPr>
        <w:numPr>
          <w:ilvl w:val="255"/>
          <w:numId w:val="0"/>
        </w:numPr>
        <w:rPr>
          <w:rFonts w:ascii="宋体" w:hAnsi="宋体" w:cs="宋体"/>
          <w:sz w:val="24"/>
          <w:szCs w:val="24"/>
        </w:rPr>
      </w:pPr>
      <w:r>
        <w:rPr>
          <w:rFonts w:hint="eastAsia" w:ascii="宋体" w:hAnsi="宋体" w:cs="宋体"/>
          <w:sz w:val="24"/>
          <w:szCs w:val="24"/>
        </w:rPr>
        <w:t>21.9.电报、传真形式的投标文件概不接受。</w:t>
      </w:r>
    </w:p>
    <w:p>
      <w:pPr>
        <w:pStyle w:val="74"/>
        <w:spacing w:before="0" w:after="0"/>
        <w:rPr>
          <w:rFonts w:ascii="宋体" w:hAnsi="宋体" w:cs="宋体"/>
          <w:spacing w:val="0"/>
          <w:kern w:val="2"/>
          <w:sz w:val="24"/>
          <w:szCs w:val="24"/>
        </w:rPr>
      </w:pPr>
    </w:p>
    <w:p>
      <w:pPr>
        <w:numPr>
          <w:ilvl w:val="255"/>
          <w:numId w:val="0"/>
        </w:numPr>
        <w:outlineLvl w:val="2"/>
        <w:rPr>
          <w:rFonts w:ascii="宋体" w:hAnsi="宋体" w:cs="宋体"/>
          <w:b/>
          <w:sz w:val="24"/>
          <w:szCs w:val="24"/>
        </w:rPr>
      </w:pPr>
      <w:bookmarkStart w:id="96" w:name="_Toc12237"/>
      <w:bookmarkStart w:id="97" w:name="_Toc31840"/>
      <w:r>
        <w:rPr>
          <w:rFonts w:hint="eastAsia" w:ascii="宋体" w:hAnsi="宋体" w:cs="宋体"/>
          <w:b/>
          <w:sz w:val="24"/>
          <w:szCs w:val="24"/>
        </w:rPr>
        <w:t>22.关于报价</w:t>
      </w:r>
      <w:bookmarkEnd w:id="96"/>
      <w:bookmarkEnd w:id="97"/>
    </w:p>
    <w:p>
      <w:pPr>
        <w:numPr>
          <w:ilvl w:val="255"/>
          <w:numId w:val="0"/>
        </w:numPr>
        <w:rPr>
          <w:rFonts w:ascii="宋体" w:hAnsi="宋体" w:cs="宋体"/>
          <w:sz w:val="24"/>
          <w:szCs w:val="24"/>
        </w:rPr>
      </w:pPr>
      <w:r>
        <w:rPr>
          <w:rFonts w:hint="eastAsia" w:ascii="宋体" w:hAnsi="宋体" w:cs="宋体"/>
          <w:sz w:val="24"/>
          <w:szCs w:val="24"/>
        </w:rPr>
        <w:t>22.1.投标</w:t>
      </w:r>
      <w:bookmarkStart w:id="98" w:name="_Hlt109565201"/>
      <w:bookmarkEnd w:id="98"/>
      <w:r>
        <w:rPr>
          <w:rFonts w:hint="eastAsia" w:ascii="宋体" w:hAnsi="宋体" w:cs="宋体"/>
          <w:sz w:val="24"/>
          <w:szCs w:val="24"/>
        </w:rPr>
        <w:t>文件中的全部报价，必须用人民币。</w:t>
      </w:r>
    </w:p>
    <w:p>
      <w:pPr>
        <w:numPr>
          <w:ilvl w:val="255"/>
          <w:numId w:val="0"/>
        </w:numPr>
        <w:rPr>
          <w:rFonts w:ascii="宋体" w:hAnsi="宋体" w:cs="宋体"/>
          <w:sz w:val="24"/>
          <w:szCs w:val="24"/>
        </w:rPr>
      </w:pPr>
      <w:r>
        <w:rPr>
          <w:rFonts w:hint="eastAsia" w:ascii="宋体" w:hAnsi="宋体" w:cs="宋体"/>
          <w:sz w:val="24"/>
          <w:szCs w:val="24"/>
        </w:rPr>
        <w:t>22.2.投标人应根据采购文件的要求，参照投标报价表格式填报内容。</w:t>
      </w:r>
    </w:p>
    <w:p>
      <w:pPr>
        <w:numPr>
          <w:ilvl w:val="255"/>
          <w:numId w:val="0"/>
        </w:numPr>
        <w:rPr>
          <w:rFonts w:ascii="宋体" w:hAnsi="宋体" w:cs="宋体"/>
          <w:sz w:val="24"/>
          <w:szCs w:val="24"/>
        </w:rPr>
      </w:pPr>
      <w:r>
        <w:rPr>
          <w:rFonts w:hint="eastAsia" w:ascii="宋体" w:hAnsi="宋体" w:cs="宋体"/>
          <w:sz w:val="24"/>
          <w:szCs w:val="24"/>
        </w:rPr>
        <w:t>22.3.投标报价表上的报价必须包含履行合同应承担的所有工作及相关服务所需的费用及税费等。</w:t>
      </w:r>
    </w:p>
    <w:p>
      <w:pPr>
        <w:numPr>
          <w:ilvl w:val="255"/>
          <w:numId w:val="0"/>
        </w:numPr>
        <w:rPr>
          <w:rFonts w:ascii="宋体" w:hAnsi="宋体" w:cs="宋体"/>
          <w:sz w:val="24"/>
          <w:szCs w:val="24"/>
        </w:rPr>
      </w:pPr>
      <w:r>
        <w:rPr>
          <w:rFonts w:hint="eastAsia" w:ascii="宋体" w:hAnsi="宋体" w:cs="宋体"/>
          <w:sz w:val="24"/>
          <w:szCs w:val="24"/>
        </w:rPr>
        <w:t>22.4.投标人投标报价不能有应承担费用之外的其他费用出现。</w:t>
      </w:r>
    </w:p>
    <w:p>
      <w:pPr>
        <w:numPr>
          <w:ilvl w:val="255"/>
          <w:numId w:val="0"/>
        </w:numPr>
        <w:rPr>
          <w:rFonts w:ascii="宋体" w:hAnsi="宋体" w:cs="宋体"/>
          <w:sz w:val="24"/>
          <w:szCs w:val="24"/>
        </w:rPr>
      </w:pPr>
      <w:r>
        <w:rPr>
          <w:rFonts w:hint="eastAsia" w:ascii="宋体" w:hAnsi="宋体" w:cs="宋体"/>
          <w:sz w:val="24"/>
          <w:szCs w:val="24"/>
        </w:rPr>
        <w:t>22.5.投标人根据投标须知第22.3条的规定将报价分成几部分，只是为了方便采购代理机构、采购人对投标文件进行比较，并不限制采购人以上述任何条件订立合同的权力。</w:t>
      </w:r>
      <w:bookmarkStart w:id="99" w:name="_Hlt115516232"/>
      <w:bookmarkEnd w:id="99"/>
    </w:p>
    <w:p>
      <w:pPr>
        <w:numPr>
          <w:ilvl w:val="255"/>
          <w:numId w:val="0"/>
        </w:numPr>
        <w:rPr>
          <w:rFonts w:ascii="宋体" w:hAnsi="宋体" w:cs="宋体"/>
          <w:sz w:val="24"/>
          <w:szCs w:val="24"/>
        </w:rPr>
      </w:pPr>
      <w:r>
        <w:rPr>
          <w:rFonts w:hint="eastAsia" w:ascii="宋体" w:hAnsi="宋体" w:cs="宋体"/>
          <w:sz w:val="24"/>
          <w:szCs w:val="24"/>
        </w:rPr>
        <w:t>22.6.投标人不得低于企业自身成本竞投。</w:t>
      </w:r>
      <w:bookmarkStart w:id="100" w:name="_Hlt107977408"/>
      <w:bookmarkEnd w:id="100"/>
    </w:p>
    <w:p>
      <w:pPr>
        <w:rPr>
          <w:rFonts w:ascii="宋体" w:hAnsi="宋体" w:cs="宋体"/>
          <w:sz w:val="24"/>
          <w:szCs w:val="24"/>
        </w:rPr>
      </w:pPr>
    </w:p>
    <w:p>
      <w:pPr>
        <w:pStyle w:val="8"/>
        <w:numPr>
          <w:ilvl w:val="0"/>
          <w:numId w:val="4"/>
        </w:numPr>
        <w:spacing w:before="0" w:after="0" w:line="480" w:lineRule="auto"/>
        <w:jc w:val="center"/>
        <w:rPr>
          <w:rFonts w:ascii="宋体" w:hAnsi="宋体" w:cs="宋体"/>
          <w:sz w:val="24"/>
          <w:szCs w:val="24"/>
        </w:rPr>
      </w:pPr>
      <w:bookmarkStart w:id="101" w:name="_Toc2066"/>
      <w:bookmarkStart w:id="102" w:name="_Toc9972"/>
      <w:r>
        <w:rPr>
          <w:rFonts w:hint="eastAsia" w:ascii="宋体" w:hAnsi="宋体" w:cs="宋体"/>
          <w:sz w:val="24"/>
          <w:szCs w:val="24"/>
        </w:rPr>
        <w:t>投标文件的递交</w:t>
      </w:r>
      <w:bookmarkEnd w:id="101"/>
      <w:bookmarkEnd w:id="102"/>
    </w:p>
    <w:p>
      <w:pPr>
        <w:pStyle w:val="9"/>
        <w:widowControl w:val="0"/>
        <w:overflowPunct w:val="0"/>
        <w:spacing w:line="240" w:lineRule="auto"/>
        <w:rPr>
          <w:rFonts w:ascii="宋体" w:hAnsi="宋体" w:cs="宋体"/>
          <w:szCs w:val="24"/>
        </w:rPr>
      </w:pPr>
      <w:bookmarkStart w:id="103" w:name="_Toc382049111"/>
      <w:bookmarkStart w:id="104" w:name="_Toc303084264"/>
      <w:bookmarkStart w:id="105" w:name="_Toc12229"/>
      <w:bookmarkStart w:id="106" w:name="_Toc24997"/>
      <w:bookmarkStart w:id="107" w:name="_Toc29020"/>
      <w:r>
        <w:rPr>
          <w:rFonts w:hint="eastAsia" w:ascii="宋体" w:hAnsi="宋体" w:cs="宋体"/>
          <w:szCs w:val="24"/>
        </w:rPr>
        <w:t>23.投标文件的装订，签署，密封和标记</w:t>
      </w:r>
      <w:bookmarkEnd w:id="103"/>
      <w:bookmarkEnd w:id="104"/>
      <w:bookmarkEnd w:id="105"/>
      <w:bookmarkEnd w:id="106"/>
      <w:bookmarkEnd w:id="107"/>
    </w:p>
    <w:p>
      <w:pPr>
        <w:pStyle w:val="40"/>
        <w:widowControl w:val="0"/>
        <w:numPr>
          <w:ilvl w:val="0"/>
          <w:numId w:val="11"/>
        </w:numPr>
        <w:adjustRightInd/>
        <w:snapToGrid/>
        <w:spacing w:line="360" w:lineRule="exact"/>
        <w:ind w:firstLineChars="0"/>
        <w:jc w:val="both"/>
        <w:rPr>
          <w:rFonts w:ascii="宋体" w:hAnsi="宋体" w:cs="宋体"/>
          <w:vanish/>
          <w:sz w:val="24"/>
          <w:szCs w:val="24"/>
        </w:rPr>
      </w:pPr>
    </w:p>
    <w:p>
      <w:pPr>
        <w:widowControl w:val="0"/>
        <w:numPr>
          <w:ilvl w:val="255"/>
          <w:numId w:val="0"/>
        </w:numPr>
        <w:adjustRightInd/>
        <w:snapToGrid/>
        <w:spacing w:line="360" w:lineRule="exact"/>
        <w:jc w:val="both"/>
        <w:rPr>
          <w:rFonts w:ascii="宋体" w:hAnsi="宋体" w:cs="宋体"/>
          <w:sz w:val="24"/>
          <w:szCs w:val="24"/>
        </w:rPr>
      </w:pPr>
      <w:r>
        <w:rPr>
          <w:rFonts w:hint="eastAsia" w:ascii="宋体" w:hAnsi="宋体" w:cs="宋体"/>
          <w:sz w:val="24"/>
          <w:szCs w:val="24"/>
        </w:rPr>
        <w:t>23.1.投标人应当对投标文件进行装订（其中价格文件单独装订成册，商务技术文件单独装订成册），对未经装订的投标文件可能发生的文件缺损，由此产生的后果由投标人承担；投标文件未装订成册，投标文件无效。</w:t>
      </w:r>
    </w:p>
    <w:p>
      <w:pPr>
        <w:widowControl w:val="0"/>
        <w:numPr>
          <w:ilvl w:val="255"/>
          <w:numId w:val="0"/>
        </w:numPr>
        <w:adjustRightInd/>
        <w:snapToGrid/>
        <w:spacing w:line="360" w:lineRule="exact"/>
        <w:jc w:val="both"/>
        <w:rPr>
          <w:rFonts w:ascii="宋体" w:hAnsi="宋体" w:cs="宋体"/>
          <w:sz w:val="24"/>
          <w:szCs w:val="24"/>
        </w:rPr>
      </w:pPr>
      <w:r>
        <w:rPr>
          <w:rFonts w:hint="eastAsia" w:ascii="宋体" w:hAnsi="宋体" w:cs="宋体"/>
          <w:sz w:val="24"/>
          <w:szCs w:val="24"/>
        </w:rPr>
        <w:t>23.2.投标文件正本均须用不褪色墨水书写或打印。投标文件的副本可采用投标文件的正本复印件，每套投标文件应当标明“正本”、“副本”的字样。投标文件的【正本】及所有【副本】的封面及骑缝均须加盖投标人公章（文件每页盖章等同于盖骑缝章）。若正本与副本不符，以正本为准。</w:t>
      </w:r>
    </w:p>
    <w:p>
      <w:pPr>
        <w:widowControl w:val="0"/>
        <w:numPr>
          <w:ilvl w:val="255"/>
          <w:numId w:val="0"/>
        </w:numPr>
        <w:adjustRightInd/>
        <w:snapToGrid/>
        <w:spacing w:line="360" w:lineRule="exact"/>
        <w:jc w:val="both"/>
        <w:rPr>
          <w:rFonts w:ascii="宋体" w:hAnsi="宋体" w:cs="宋体"/>
          <w:sz w:val="24"/>
          <w:szCs w:val="24"/>
        </w:rPr>
      </w:pPr>
      <w:r>
        <w:rPr>
          <w:rFonts w:hint="eastAsia" w:ascii="宋体" w:hAnsi="宋体" w:cs="宋体"/>
          <w:sz w:val="24"/>
          <w:szCs w:val="24"/>
        </w:rPr>
        <w:t>23.3.联合体投标文件的【正本】及【副本】的封面及骑缝均须加盖所有联合体组成成员的公章。（文件每页盖章等同于盖骑缝章）</w:t>
      </w:r>
    </w:p>
    <w:p>
      <w:pPr>
        <w:widowControl w:val="0"/>
        <w:numPr>
          <w:ilvl w:val="255"/>
          <w:numId w:val="0"/>
        </w:numPr>
        <w:adjustRightInd/>
        <w:snapToGrid/>
        <w:spacing w:line="360" w:lineRule="exact"/>
        <w:jc w:val="both"/>
        <w:rPr>
          <w:rFonts w:ascii="宋体" w:hAnsi="宋体" w:cs="宋体"/>
          <w:sz w:val="24"/>
          <w:szCs w:val="24"/>
        </w:rPr>
      </w:pPr>
      <w:r>
        <w:rPr>
          <w:rFonts w:hint="eastAsia" w:ascii="宋体" w:hAnsi="宋体" w:cs="宋体"/>
          <w:sz w:val="24"/>
          <w:szCs w:val="24"/>
        </w:rPr>
        <w:t>23.4.电子文件内容包括：由投标人自行制作的与正本文件一致的所有文件。电子文件由光盘或U盘储存，并注明投标人名称及项目名称、采购项目编号，随投标文件一同密封提交。</w:t>
      </w:r>
    </w:p>
    <w:p>
      <w:pPr>
        <w:widowControl w:val="0"/>
        <w:numPr>
          <w:ilvl w:val="255"/>
          <w:numId w:val="0"/>
        </w:numPr>
        <w:adjustRightInd/>
        <w:snapToGrid/>
        <w:spacing w:line="360" w:lineRule="exact"/>
        <w:jc w:val="both"/>
        <w:rPr>
          <w:rFonts w:ascii="宋体" w:hAnsi="宋体" w:cs="宋体"/>
          <w:sz w:val="24"/>
          <w:szCs w:val="24"/>
        </w:rPr>
      </w:pPr>
      <w:r>
        <w:rPr>
          <w:rFonts w:hint="eastAsia" w:ascii="宋体" w:hAnsi="宋体" w:cs="宋体"/>
          <w:sz w:val="24"/>
          <w:szCs w:val="24"/>
        </w:rPr>
        <w:t>23.5.除投标人对错误处修改外，全套投标文件应无涂改或行间插字和增删。如有修改，修改处须由法定代表人或其正式授权代表在旁边签字及盖章。</w:t>
      </w:r>
    </w:p>
    <w:p>
      <w:pPr>
        <w:widowControl w:val="0"/>
        <w:numPr>
          <w:ilvl w:val="255"/>
          <w:numId w:val="0"/>
        </w:numPr>
        <w:adjustRightInd/>
        <w:snapToGrid/>
        <w:spacing w:line="360" w:lineRule="exact"/>
        <w:jc w:val="both"/>
        <w:rPr>
          <w:rFonts w:ascii="宋体" w:hAnsi="宋体" w:cs="宋体"/>
          <w:sz w:val="24"/>
          <w:szCs w:val="24"/>
        </w:rPr>
      </w:pPr>
      <w:r>
        <w:rPr>
          <w:rFonts w:hint="eastAsia" w:ascii="宋体" w:hAnsi="宋体" w:cs="宋体"/>
          <w:sz w:val="24"/>
          <w:szCs w:val="24"/>
        </w:rPr>
        <w:t>23.6.投标人应将投标文件进行非透明的封装，以防止投标文件内容的泄露。采购代理机构将拒绝接收采用透明包装进行密封的投标文件。</w:t>
      </w:r>
    </w:p>
    <w:p>
      <w:pPr>
        <w:widowControl w:val="0"/>
        <w:numPr>
          <w:ilvl w:val="255"/>
          <w:numId w:val="0"/>
        </w:numPr>
        <w:adjustRightInd/>
        <w:snapToGrid/>
        <w:spacing w:line="360" w:lineRule="exact"/>
        <w:jc w:val="both"/>
        <w:rPr>
          <w:rFonts w:ascii="宋体" w:hAnsi="宋体" w:cs="宋体"/>
          <w:sz w:val="24"/>
          <w:szCs w:val="24"/>
        </w:rPr>
      </w:pPr>
      <w:r>
        <w:rPr>
          <w:rFonts w:hint="eastAsia" w:ascii="宋体" w:hAnsi="宋体" w:cs="宋体"/>
          <w:sz w:val="24"/>
          <w:szCs w:val="24"/>
        </w:rPr>
        <w:t>23.7.密封破损导致投标文件内容直接或间接泄露的投标文件，采购代理机构将拒绝接收。</w:t>
      </w:r>
    </w:p>
    <w:p>
      <w:pPr>
        <w:widowControl w:val="0"/>
        <w:numPr>
          <w:ilvl w:val="255"/>
          <w:numId w:val="0"/>
        </w:numPr>
        <w:adjustRightInd/>
        <w:snapToGrid/>
        <w:spacing w:line="360" w:lineRule="exact"/>
        <w:jc w:val="both"/>
        <w:rPr>
          <w:rFonts w:ascii="宋体" w:hAnsi="宋体" w:cs="宋体"/>
          <w:sz w:val="24"/>
          <w:szCs w:val="24"/>
        </w:rPr>
      </w:pPr>
      <w:r>
        <w:rPr>
          <w:rFonts w:hint="eastAsia" w:ascii="宋体" w:hAnsi="宋体" w:cs="宋体"/>
          <w:sz w:val="24"/>
          <w:szCs w:val="24"/>
        </w:rPr>
        <w:t>23.8.为方便开标唱标，投标人应将开标一览表和授权委托书单独密封提交，并在信封上标明“开标文件”字样。开标文件内还须包括并不限于：投标保证金支付凭证银行汇款底单（复印件加盖公章，原件随身携带，以备查核）和投标保证金汇入情况说明（加盖公章）。投标人的法定代表人参加投标时，须开具法定代表人证明书，按上述要求与开标一览表一并密封提交。“开标文件”份数及签章等要求与投标文件正本相同（1份）。</w:t>
      </w:r>
    </w:p>
    <w:p>
      <w:pPr>
        <w:widowControl w:val="0"/>
        <w:numPr>
          <w:ilvl w:val="255"/>
          <w:numId w:val="0"/>
        </w:numPr>
        <w:adjustRightInd/>
        <w:snapToGrid/>
        <w:spacing w:line="360" w:lineRule="exact"/>
        <w:jc w:val="both"/>
        <w:rPr>
          <w:rFonts w:ascii="宋体" w:hAnsi="宋体" w:cs="宋体"/>
          <w:b/>
          <w:bCs/>
          <w:sz w:val="24"/>
          <w:szCs w:val="24"/>
        </w:rPr>
      </w:pPr>
      <w:r>
        <w:rPr>
          <w:rFonts w:hint="eastAsia" w:ascii="宋体" w:hAnsi="宋体" w:cs="宋体"/>
          <w:b/>
          <w:bCs/>
          <w:sz w:val="24"/>
          <w:szCs w:val="24"/>
        </w:rPr>
        <w:t>23.9.未单独提交开标文件的投标人投标文件不进行唱标，投标文件作无效处理。</w:t>
      </w:r>
    </w:p>
    <w:p>
      <w:pPr>
        <w:widowControl w:val="0"/>
        <w:numPr>
          <w:ilvl w:val="255"/>
          <w:numId w:val="0"/>
        </w:numPr>
        <w:adjustRightInd/>
        <w:snapToGrid/>
        <w:spacing w:line="360" w:lineRule="exact"/>
        <w:jc w:val="both"/>
        <w:rPr>
          <w:rFonts w:ascii="宋体" w:hAnsi="宋体" w:cs="宋体"/>
          <w:sz w:val="24"/>
          <w:szCs w:val="24"/>
        </w:rPr>
      </w:pPr>
      <w:r>
        <w:rPr>
          <w:rFonts w:hint="eastAsia" w:ascii="宋体" w:hAnsi="宋体" w:cs="宋体"/>
          <w:b/>
          <w:bCs/>
          <w:sz w:val="24"/>
          <w:szCs w:val="24"/>
        </w:rPr>
        <w:t>23.10.</w:t>
      </w:r>
      <w:r>
        <w:rPr>
          <w:rFonts w:hint="eastAsia" w:ascii="宋体" w:hAnsi="宋体" w:cs="宋体"/>
          <w:sz w:val="24"/>
          <w:szCs w:val="24"/>
        </w:rPr>
        <w:t xml:space="preserve">所有的信封均应注明： </w:t>
      </w:r>
    </w:p>
    <w:p>
      <w:pPr>
        <w:widowControl w:val="0"/>
        <w:numPr>
          <w:ilvl w:val="0"/>
          <w:numId w:val="15"/>
        </w:numPr>
        <w:adjustRightInd/>
        <w:snapToGrid/>
        <w:spacing w:line="360" w:lineRule="exact"/>
        <w:ind w:left="567"/>
        <w:jc w:val="both"/>
        <w:rPr>
          <w:rFonts w:ascii="宋体" w:hAnsi="宋体" w:cs="宋体"/>
          <w:sz w:val="24"/>
          <w:szCs w:val="24"/>
        </w:rPr>
      </w:pPr>
      <w:r>
        <w:rPr>
          <w:rFonts w:hint="eastAsia" w:ascii="宋体" w:hAnsi="宋体" w:cs="宋体"/>
          <w:sz w:val="24"/>
          <w:szCs w:val="24"/>
        </w:rPr>
        <w:t>收件人：广东政通招标有限公司</w:t>
      </w:r>
    </w:p>
    <w:p>
      <w:pPr>
        <w:widowControl w:val="0"/>
        <w:numPr>
          <w:ilvl w:val="0"/>
          <w:numId w:val="15"/>
        </w:numPr>
        <w:adjustRightInd/>
        <w:snapToGrid/>
        <w:spacing w:line="360" w:lineRule="exact"/>
        <w:ind w:left="567"/>
        <w:jc w:val="both"/>
        <w:rPr>
          <w:rFonts w:ascii="宋体" w:hAnsi="宋体" w:cs="宋体"/>
          <w:sz w:val="24"/>
          <w:szCs w:val="24"/>
        </w:rPr>
      </w:pPr>
      <w:r>
        <w:rPr>
          <w:rFonts w:hint="eastAsia" w:ascii="宋体" w:hAnsi="宋体" w:cs="宋体"/>
          <w:sz w:val="24"/>
          <w:szCs w:val="24"/>
        </w:rPr>
        <w:t>投标单位名称：</w:t>
      </w:r>
    </w:p>
    <w:p>
      <w:pPr>
        <w:widowControl w:val="0"/>
        <w:numPr>
          <w:ilvl w:val="0"/>
          <w:numId w:val="15"/>
        </w:numPr>
        <w:adjustRightInd/>
        <w:snapToGrid/>
        <w:spacing w:line="360" w:lineRule="exact"/>
        <w:ind w:left="567"/>
        <w:jc w:val="both"/>
        <w:rPr>
          <w:rFonts w:ascii="宋体" w:hAnsi="宋体" w:cs="宋体"/>
          <w:sz w:val="24"/>
          <w:szCs w:val="24"/>
        </w:rPr>
      </w:pPr>
      <w:r>
        <w:rPr>
          <w:rFonts w:hint="eastAsia" w:ascii="宋体" w:hAnsi="宋体" w:cs="宋体"/>
          <w:sz w:val="24"/>
          <w:szCs w:val="24"/>
        </w:rPr>
        <w:t>项目名称：</w:t>
      </w:r>
      <w:r>
        <w:rPr>
          <w:rFonts w:hint="eastAsia" w:ascii="宋体" w:hAnsi="宋体" w:cs="宋体"/>
          <w:bCs/>
          <w:sz w:val="24"/>
          <w:szCs w:val="24"/>
        </w:rPr>
        <w:t>城服公司环卫车辆设备采购项目</w:t>
      </w:r>
    </w:p>
    <w:p>
      <w:pPr>
        <w:widowControl w:val="0"/>
        <w:numPr>
          <w:ilvl w:val="0"/>
          <w:numId w:val="15"/>
        </w:numPr>
        <w:adjustRightInd/>
        <w:snapToGrid/>
        <w:spacing w:line="360" w:lineRule="exact"/>
        <w:ind w:left="567"/>
        <w:jc w:val="both"/>
        <w:rPr>
          <w:rFonts w:ascii="宋体" w:hAnsi="宋体" w:cs="宋体"/>
          <w:sz w:val="24"/>
          <w:szCs w:val="24"/>
        </w:rPr>
      </w:pPr>
      <w:r>
        <w:rPr>
          <w:rFonts w:hint="eastAsia" w:ascii="宋体" w:hAnsi="宋体" w:cs="宋体"/>
          <w:sz w:val="24"/>
          <w:szCs w:val="24"/>
        </w:rPr>
        <w:t>项目采购项目编号：</w:t>
      </w:r>
      <w:r>
        <w:rPr>
          <w:rFonts w:hint="eastAsia" w:ascii="宋体" w:hAnsi="宋体" w:cs="宋体"/>
          <w:bCs/>
          <w:sz w:val="24"/>
          <w:szCs w:val="24"/>
        </w:rPr>
        <w:t>DSCF–SL-02－02-002(2022)</w:t>
      </w:r>
    </w:p>
    <w:p>
      <w:pPr>
        <w:widowControl w:val="0"/>
        <w:numPr>
          <w:ilvl w:val="255"/>
          <w:numId w:val="0"/>
        </w:numPr>
        <w:adjustRightInd/>
        <w:snapToGrid/>
        <w:spacing w:line="360" w:lineRule="exact"/>
        <w:jc w:val="both"/>
        <w:rPr>
          <w:rFonts w:ascii="宋体" w:hAnsi="宋体" w:cs="宋体"/>
          <w:sz w:val="24"/>
          <w:szCs w:val="24"/>
        </w:rPr>
      </w:pPr>
      <w:r>
        <w:rPr>
          <w:rFonts w:hint="eastAsia" w:ascii="宋体" w:hAnsi="宋体" w:cs="宋体"/>
          <w:sz w:val="24"/>
          <w:szCs w:val="24"/>
        </w:rPr>
        <w:t>23.11.密封信封上的项目编号错误或项目名称出现严重歧义的（包括采购内容不符），采购代理机构将拒绝接收。</w:t>
      </w:r>
    </w:p>
    <w:p>
      <w:pPr>
        <w:widowControl w:val="0"/>
        <w:numPr>
          <w:ilvl w:val="255"/>
          <w:numId w:val="0"/>
        </w:numPr>
        <w:adjustRightInd/>
        <w:snapToGrid/>
        <w:spacing w:line="360" w:lineRule="exact"/>
        <w:jc w:val="both"/>
        <w:rPr>
          <w:rFonts w:ascii="宋体" w:hAnsi="宋体" w:cs="宋体"/>
          <w:sz w:val="24"/>
          <w:szCs w:val="24"/>
        </w:rPr>
      </w:pPr>
      <w:r>
        <w:rPr>
          <w:rFonts w:hint="eastAsia" w:ascii="宋体" w:hAnsi="宋体" w:cs="宋体"/>
          <w:sz w:val="24"/>
          <w:szCs w:val="24"/>
        </w:rPr>
        <w:t>23.12.采购代理机构对所有投标文件的误投或提前启封概不负责。</w:t>
      </w:r>
    </w:p>
    <w:p>
      <w:pPr>
        <w:widowControl w:val="0"/>
        <w:numPr>
          <w:ilvl w:val="255"/>
          <w:numId w:val="0"/>
        </w:numPr>
        <w:adjustRightInd/>
        <w:snapToGrid/>
        <w:spacing w:line="360" w:lineRule="exact"/>
        <w:jc w:val="both"/>
        <w:rPr>
          <w:rFonts w:ascii="宋体" w:hAnsi="宋体" w:cs="宋体"/>
          <w:sz w:val="24"/>
          <w:szCs w:val="24"/>
        </w:rPr>
      </w:pPr>
      <w:r>
        <w:rPr>
          <w:rFonts w:hint="eastAsia" w:ascii="宋体" w:hAnsi="宋体" w:cs="宋体"/>
          <w:sz w:val="24"/>
          <w:szCs w:val="24"/>
        </w:rPr>
        <w:t>23.13.投标人同时参加几个包投标时必须按采购文件要求按包号分别制作投标文件，分别密封递交。</w:t>
      </w:r>
    </w:p>
    <w:p>
      <w:pPr>
        <w:widowControl w:val="0"/>
        <w:numPr>
          <w:ilvl w:val="255"/>
          <w:numId w:val="0"/>
        </w:numPr>
        <w:adjustRightInd/>
        <w:snapToGrid/>
        <w:spacing w:line="360" w:lineRule="exact"/>
        <w:jc w:val="both"/>
        <w:rPr>
          <w:rFonts w:ascii="宋体" w:hAnsi="宋体" w:cs="宋体"/>
          <w:sz w:val="24"/>
          <w:szCs w:val="24"/>
        </w:rPr>
      </w:pPr>
      <w:r>
        <w:rPr>
          <w:rFonts w:hint="eastAsia" w:ascii="宋体" w:hAnsi="宋体" w:cs="宋体"/>
          <w:sz w:val="24"/>
          <w:szCs w:val="24"/>
        </w:rPr>
        <w:t>23.14.传真、电传的投标文件将被拒绝。</w:t>
      </w:r>
    </w:p>
    <w:p>
      <w:pPr>
        <w:widowControl w:val="0"/>
        <w:numPr>
          <w:ilvl w:val="255"/>
          <w:numId w:val="0"/>
        </w:numPr>
        <w:adjustRightInd/>
        <w:snapToGrid/>
        <w:spacing w:line="360" w:lineRule="exact"/>
        <w:jc w:val="both"/>
        <w:rPr>
          <w:rFonts w:ascii="宋体" w:hAnsi="宋体" w:cs="宋体"/>
          <w:sz w:val="24"/>
          <w:szCs w:val="24"/>
        </w:rPr>
      </w:pPr>
      <w:r>
        <w:rPr>
          <w:rFonts w:hint="eastAsia" w:ascii="宋体" w:hAnsi="宋体" w:cs="宋体"/>
          <w:sz w:val="24"/>
          <w:szCs w:val="24"/>
        </w:rPr>
        <w:t>23.15.递交的投标文件中所提供的通讯方式应保持联络畅通，因联系不上而导致的所有后果由投标人自行承担。</w:t>
      </w:r>
    </w:p>
    <w:p>
      <w:pPr>
        <w:rPr>
          <w:rFonts w:ascii="宋体" w:hAnsi="宋体" w:cs="宋体"/>
          <w:sz w:val="24"/>
          <w:szCs w:val="24"/>
        </w:rPr>
      </w:pPr>
    </w:p>
    <w:p>
      <w:pPr>
        <w:pStyle w:val="9"/>
        <w:widowControl w:val="0"/>
        <w:overflowPunct w:val="0"/>
        <w:spacing w:line="240" w:lineRule="auto"/>
        <w:rPr>
          <w:rFonts w:ascii="宋体" w:hAnsi="宋体" w:cs="宋体"/>
          <w:szCs w:val="24"/>
        </w:rPr>
      </w:pPr>
      <w:bookmarkStart w:id="108" w:name="_Toc21459"/>
      <w:bookmarkStart w:id="109" w:name="_Toc28711"/>
      <w:r>
        <w:rPr>
          <w:rFonts w:hint="eastAsia" w:ascii="宋体" w:hAnsi="宋体" w:cs="宋体"/>
          <w:szCs w:val="24"/>
        </w:rPr>
        <w:t>24.迟交的投标文件</w:t>
      </w:r>
      <w:bookmarkEnd w:id="108"/>
      <w:bookmarkEnd w:id="109"/>
    </w:p>
    <w:p>
      <w:pPr>
        <w:pStyle w:val="40"/>
        <w:widowControl w:val="0"/>
        <w:numPr>
          <w:ilvl w:val="0"/>
          <w:numId w:val="11"/>
        </w:numPr>
        <w:adjustRightInd/>
        <w:snapToGrid/>
        <w:spacing w:line="360" w:lineRule="exact"/>
        <w:ind w:firstLineChars="0"/>
        <w:jc w:val="both"/>
        <w:rPr>
          <w:rFonts w:ascii="宋体" w:hAnsi="宋体" w:cs="宋体"/>
          <w:vanish/>
          <w:sz w:val="24"/>
          <w:szCs w:val="24"/>
        </w:rPr>
      </w:pPr>
    </w:p>
    <w:p>
      <w:pPr>
        <w:widowControl w:val="0"/>
        <w:numPr>
          <w:ilvl w:val="255"/>
          <w:numId w:val="0"/>
        </w:numPr>
        <w:adjustRightInd/>
        <w:snapToGrid/>
        <w:spacing w:line="360" w:lineRule="exact"/>
        <w:jc w:val="both"/>
        <w:rPr>
          <w:rFonts w:ascii="宋体" w:hAnsi="宋体" w:cs="宋体"/>
          <w:sz w:val="24"/>
          <w:szCs w:val="24"/>
        </w:rPr>
      </w:pPr>
      <w:r>
        <w:rPr>
          <w:rFonts w:hint="eastAsia" w:ascii="宋体" w:hAnsi="宋体" w:cs="宋体"/>
          <w:sz w:val="24"/>
          <w:szCs w:val="24"/>
        </w:rPr>
        <w:t>24.1投标人在投标截止时间之后提交的投标文件，采购代理机构将拒绝接收。</w:t>
      </w:r>
    </w:p>
    <w:p>
      <w:pPr>
        <w:widowControl w:val="0"/>
        <w:numPr>
          <w:ilvl w:val="255"/>
          <w:numId w:val="0"/>
        </w:numPr>
        <w:adjustRightInd/>
        <w:snapToGrid/>
        <w:spacing w:line="360" w:lineRule="exact"/>
        <w:jc w:val="both"/>
        <w:rPr>
          <w:rFonts w:ascii="宋体" w:hAnsi="宋体" w:cs="宋体"/>
          <w:sz w:val="24"/>
          <w:szCs w:val="24"/>
        </w:rPr>
      </w:pPr>
      <w:r>
        <w:rPr>
          <w:rFonts w:hint="eastAsia" w:ascii="宋体" w:hAnsi="宋体" w:cs="宋体"/>
          <w:sz w:val="24"/>
          <w:szCs w:val="24"/>
        </w:rPr>
        <w:t>24.2有违反其他法律规定情形的，采购代理机构将拒绝接收。</w:t>
      </w:r>
    </w:p>
    <w:p>
      <w:pPr>
        <w:rPr>
          <w:rFonts w:ascii="宋体" w:hAnsi="宋体" w:cs="宋体"/>
          <w:sz w:val="24"/>
          <w:szCs w:val="24"/>
        </w:rPr>
      </w:pPr>
    </w:p>
    <w:p>
      <w:pPr>
        <w:pStyle w:val="9"/>
        <w:widowControl w:val="0"/>
        <w:overflowPunct w:val="0"/>
        <w:spacing w:line="240" w:lineRule="auto"/>
        <w:rPr>
          <w:rFonts w:ascii="宋体" w:hAnsi="宋体" w:cs="宋体"/>
          <w:szCs w:val="24"/>
        </w:rPr>
      </w:pPr>
      <w:bookmarkStart w:id="110" w:name="_Toc303084265"/>
      <w:bookmarkStart w:id="111" w:name="_Toc382049112"/>
      <w:bookmarkStart w:id="112" w:name="_Toc9777"/>
      <w:bookmarkStart w:id="113" w:name="_Toc25709"/>
      <w:bookmarkStart w:id="114" w:name="_Toc20521"/>
      <w:r>
        <w:rPr>
          <w:rFonts w:hint="eastAsia" w:ascii="宋体" w:hAnsi="宋体" w:cs="宋体"/>
          <w:szCs w:val="24"/>
        </w:rPr>
        <w:t>25.投标截止期</w:t>
      </w:r>
      <w:bookmarkEnd w:id="110"/>
      <w:bookmarkEnd w:id="111"/>
      <w:bookmarkEnd w:id="112"/>
      <w:bookmarkEnd w:id="113"/>
      <w:bookmarkEnd w:id="114"/>
    </w:p>
    <w:p>
      <w:pPr>
        <w:pStyle w:val="40"/>
        <w:widowControl w:val="0"/>
        <w:numPr>
          <w:ilvl w:val="0"/>
          <w:numId w:val="11"/>
        </w:numPr>
        <w:adjustRightInd/>
        <w:snapToGrid/>
        <w:spacing w:line="360" w:lineRule="exact"/>
        <w:ind w:firstLineChars="0"/>
        <w:jc w:val="both"/>
        <w:rPr>
          <w:rFonts w:ascii="宋体" w:hAnsi="宋体" w:cs="宋体"/>
          <w:vanish/>
          <w:sz w:val="24"/>
          <w:szCs w:val="24"/>
        </w:rPr>
      </w:pPr>
    </w:p>
    <w:p>
      <w:pPr>
        <w:widowControl w:val="0"/>
        <w:numPr>
          <w:ilvl w:val="255"/>
          <w:numId w:val="0"/>
        </w:numPr>
        <w:adjustRightInd/>
        <w:snapToGrid/>
        <w:spacing w:line="360" w:lineRule="exact"/>
        <w:jc w:val="both"/>
        <w:rPr>
          <w:rFonts w:ascii="宋体" w:hAnsi="宋体" w:cs="宋体"/>
          <w:sz w:val="24"/>
          <w:szCs w:val="24"/>
        </w:rPr>
      </w:pPr>
      <w:r>
        <w:rPr>
          <w:rFonts w:hint="eastAsia" w:ascii="宋体" w:hAnsi="宋体" w:cs="宋体"/>
          <w:sz w:val="24"/>
          <w:szCs w:val="24"/>
        </w:rPr>
        <w:t>25.1.投标人应在采购文件规定的截止日期和时间内，将投标文件送达到指定地点。</w:t>
      </w:r>
    </w:p>
    <w:p>
      <w:pPr>
        <w:widowControl w:val="0"/>
        <w:numPr>
          <w:ilvl w:val="255"/>
          <w:numId w:val="0"/>
        </w:numPr>
        <w:adjustRightInd/>
        <w:snapToGrid/>
        <w:spacing w:line="360" w:lineRule="exact"/>
        <w:jc w:val="both"/>
        <w:rPr>
          <w:rFonts w:ascii="宋体" w:hAnsi="宋体" w:cs="宋体"/>
          <w:sz w:val="24"/>
          <w:szCs w:val="24"/>
        </w:rPr>
      </w:pPr>
      <w:r>
        <w:rPr>
          <w:rFonts w:hint="eastAsia" w:ascii="宋体" w:hAnsi="宋体" w:cs="宋体"/>
          <w:sz w:val="24"/>
          <w:szCs w:val="24"/>
        </w:rPr>
        <w:t>25.2.采购代理机构可按本须知规定以澄清或修改通知的方式，酌情延长递交投标文件的截止时间。在此情况下，投标人的所有权利和义务以及投标人受制约的截止时间，均以延长后新的投标截止时间为准。</w:t>
      </w:r>
    </w:p>
    <w:p>
      <w:pPr>
        <w:rPr>
          <w:rFonts w:ascii="宋体" w:hAnsi="宋体" w:cs="宋体"/>
          <w:sz w:val="24"/>
          <w:szCs w:val="24"/>
        </w:rPr>
      </w:pPr>
    </w:p>
    <w:p>
      <w:pPr>
        <w:pStyle w:val="9"/>
        <w:widowControl w:val="0"/>
        <w:overflowPunct w:val="0"/>
        <w:spacing w:line="240" w:lineRule="auto"/>
        <w:rPr>
          <w:rFonts w:ascii="宋体" w:hAnsi="宋体" w:cs="宋体"/>
          <w:szCs w:val="24"/>
        </w:rPr>
      </w:pPr>
      <w:bookmarkStart w:id="115" w:name="_Toc13274"/>
      <w:bookmarkStart w:id="116" w:name="_Toc21910"/>
      <w:r>
        <w:rPr>
          <w:rFonts w:hint="eastAsia" w:ascii="宋体" w:hAnsi="宋体" w:cs="宋体"/>
          <w:szCs w:val="24"/>
        </w:rPr>
        <w:t>26.投标文件的补充、修改与撤回</w:t>
      </w:r>
      <w:bookmarkEnd w:id="115"/>
      <w:bookmarkEnd w:id="116"/>
    </w:p>
    <w:p>
      <w:pPr>
        <w:pStyle w:val="40"/>
        <w:widowControl w:val="0"/>
        <w:numPr>
          <w:ilvl w:val="0"/>
          <w:numId w:val="11"/>
        </w:numPr>
        <w:adjustRightInd/>
        <w:snapToGrid/>
        <w:spacing w:line="360" w:lineRule="exact"/>
        <w:ind w:firstLineChars="0"/>
        <w:jc w:val="both"/>
        <w:rPr>
          <w:rFonts w:ascii="宋体" w:hAnsi="宋体" w:cs="宋体"/>
          <w:vanish/>
          <w:sz w:val="24"/>
          <w:szCs w:val="24"/>
        </w:rPr>
      </w:pPr>
    </w:p>
    <w:p>
      <w:pPr>
        <w:widowControl w:val="0"/>
        <w:numPr>
          <w:ilvl w:val="255"/>
          <w:numId w:val="0"/>
        </w:numPr>
        <w:adjustRightInd/>
        <w:snapToGrid/>
        <w:spacing w:line="360" w:lineRule="exact"/>
        <w:jc w:val="both"/>
        <w:rPr>
          <w:rFonts w:ascii="宋体" w:hAnsi="宋体" w:cs="宋体"/>
          <w:sz w:val="24"/>
          <w:szCs w:val="24"/>
        </w:rPr>
      </w:pPr>
      <w:r>
        <w:rPr>
          <w:rFonts w:hint="eastAsia" w:ascii="宋体" w:hAnsi="宋体" w:cs="宋体"/>
          <w:sz w:val="24"/>
          <w:szCs w:val="24"/>
        </w:rPr>
        <w:t>26.1.投标人在提交投标文件截止时间前，可以对所提交的投标文件进行补充、修改或撤回，并以纸质版形式通知采购代理机构。在提交投标文件截止时间之后，投标人不得对其投标文件做出任何的补充和修改。</w:t>
      </w:r>
    </w:p>
    <w:p>
      <w:pPr>
        <w:widowControl w:val="0"/>
        <w:numPr>
          <w:ilvl w:val="255"/>
          <w:numId w:val="0"/>
        </w:numPr>
        <w:adjustRightInd/>
        <w:snapToGrid/>
        <w:spacing w:line="360" w:lineRule="exact"/>
        <w:jc w:val="both"/>
        <w:rPr>
          <w:rFonts w:ascii="宋体" w:hAnsi="宋体" w:cs="宋体"/>
          <w:sz w:val="24"/>
          <w:szCs w:val="24"/>
        </w:rPr>
      </w:pPr>
      <w:r>
        <w:rPr>
          <w:rFonts w:hint="eastAsia" w:ascii="宋体" w:hAnsi="宋体" w:cs="宋体"/>
          <w:sz w:val="24"/>
          <w:szCs w:val="24"/>
        </w:rPr>
        <w:t>26.2.投标人对投标文件的补充、修改的内容应当按采购文件要求的签署、盖章、密封后，作为投标文件的组成部分。并按照采购文件规定密封和标记的要求提交，并在投标文件密封袋上标明“补充、修改”字样。</w:t>
      </w:r>
    </w:p>
    <w:p>
      <w:pPr>
        <w:widowControl w:val="0"/>
        <w:numPr>
          <w:ilvl w:val="255"/>
          <w:numId w:val="0"/>
        </w:numPr>
        <w:adjustRightInd/>
        <w:snapToGrid/>
        <w:spacing w:line="360" w:lineRule="exact"/>
        <w:jc w:val="both"/>
        <w:rPr>
          <w:rFonts w:ascii="宋体" w:hAnsi="宋体" w:cs="宋体"/>
          <w:sz w:val="24"/>
          <w:szCs w:val="24"/>
        </w:rPr>
      </w:pPr>
      <w:r>
        <w:rPr>
          <w:rFonts w:hint="eastAsia" w:ascii="宋体" w:hAnsi="宋体" w:cs="宋体"/>
          <w:sz w:val="24"/>
          <w:szCs w:val="24"/>
        </w:rPr>
        <w:t>26.3.投标文件一经递交不予退还。</w:t>
      </w:r>
    </w:p>
    <w:p>
      <w:pPr>
        <w:widowControl w:val="0"/>
        <w:adjustRightInd/>
        <w:snapToGrid/>
        <w:spacing w:line="360" w:lineRule="exact"/>
        <w:jc w:val="both"/>
        <w:rPr>
          <w:rFonts w:ascii="宋体" w:hAnsi="宋体" w:cs="宋体"/>
          <w:sz w:val="24"/>
          <w:szCs w:val="24"/>
        </w:rPr>
      </w:pPr>
      <w:r>
        <w:rPr>
          <w:rFonts w:hint="eastAsia" w:ascii="宋体" w:hAnsi="宋体" w:cs="宋体"/>
          <w:sz w:val="24"/>
          <w:szCs w:val="24"/>
        </w:rPr>
        <w:t>26.4.在提交投标文件截止时间至投标有效期满之前，投标人不得撤回其投标，否则其投标保证金将不予退还。</w:t>
      </w:r>
    </w:p>
    <w:p>
      <w:pPr>
        <w:pStyle w:val="2"/>
      </w:pPr>
    </w:p>
    <w:p>
      <w:pPr>
        <w:pStyle w:val="9"/>
        <w:widowControl w:val="0"/>
        <w:numPr>
          <w:ilvl w:val="255"/>
          <w:numId w:val="0"/>
        </w:numPr>
        <w:overflowPunct w:val="0"/>
        <w:spacing w:line="240" w:lineRule="auto"/>
        <w:rPr>
          <w:rFonts w:ascii="宋体" w:hAnsi="宋体" w:cs="宋体"/>
          <w:szCs w:val="24"/>
        </w:rPr>
      </w:pPr>
      <w:bookmarkStart w:id="117" w:name="_Toc28357"/>
      <w:bookmarkStart w:id="118" w:name="_Toc2075"/>
      <w:bookmarkStart w:id="119" w:name="_Toc561"/>
      <w:bookmarkStart w:id="120" w:name="_Toc30716"/>
      <w:bookmarkStart w:id="121" w:name="_Toc35351944"/>
      <w:bookmarkStart w:id="122" w:name="_Toc30812"/>
      <w:bookmarkStart w:id="123" w:name="_Toc19712"/>
      <w:r>
        <w:rPr>
          <w:rFonts w:hint="eastAsia" w:ascii="宋体" w:hAnsi="宋体" w:cs="宋体"/>
          <w:szCs w:val="24"/>
        </w:rPr>
        <w:t>27.评标委员会</w:t>
      </w:r>
      <w:bookmarkEnd w:id="117"/>
      <w:bookmarkEnd w:id="118"/>
      <w:bookmarkEnd w:id="119"/>
      <w:bookmarkEnd w:id="120"/>
      <w:bookmarkEnd w:id="121"/>
      <w:bookmarkEnd w:id="122"/>
      <w:bookmarkEnd w:id="123"/>
    </w:p>
    <w:p>
      <w:pPr>
        <w:numPr>
          <w:ilvl w:val="255"/>
          <w:numId w:val="0"/>
        </w:numPr>
        <w:rPr>
          <w:rFonts w:ascii="宋体" w:hAnsi="宋体" w:cs="宋体"/>
          <w:sz w:val="24"/>
          <w:szCs w:val="24"/>
        </w:rPr>
      </w:pPr>
      <w:r>
        <w:rPr>
          <w:rFonts w:hint="eastAsia" w:ascii="宋体" w:hAnsi="宋体" w:cs="宋体"/>
          <w:bCs/>
          <w:kern w:val="28"/>
          <w:sz w:val="24"/>
          <w:szCs w:val="24"/>
        </w:rPr>
        <w:t>27.1.依法组成评标委员会，评标委员会由采购人和有关技术、经济等方面的专家组成，成员人数为五人或以上单数，其中技术、经济等方面的专家不少于成员总数的三分之二。</w:t>
      </w:r>
    </w:p>
    <w:p>
      <w:pPr>
        <w:pStyle w:val="2"/>
        <w:rPr>
          <w:szCs w:val="24"/>
        </w:rPr>
      </w:pPr>
    </w:p>
    <w:p>
      <w:pPr>
        <w:pStyle w:val="8"/>
        <w:numPr>
          <w:ilvl w:val="0"/>
          <w:numId w:val="4"/>
        </w:numPr>
        <w:spacing w:line="480" w:lineRule="auto"/>
        <w:jc w:val="center"/>
        <w:rPr>
          <w:rFonts w:ascii="宋体" w:hAnsi="宋体" w:cs="宋体"/>
          <w:sz w:val="24"/>
          <w:szCs w:val="24"/>
          <w:lang w:eastAsia="zh-TW"/>
        </w:rPr>
      </w:pPr>
      <w:bookmarkStart w:id="124" w:name="_Hlt87773422"/>
      <w:bookmarkEnd w:id="124"/>
      <w:bookmarkStart w:id="125" w:name="_Hlt92097807"/>
      <w:bookmarkEnd w:id="125"/>
      <w:bookmarkStart w:id="126" w:name="_Hlt92477987"/>
      <w:bookmarkEnd w:id="126"/>
      <w:bookmarkStart w:id="127" w:name="_Hlt92100255"/>
      <w:bookmarkEnd w:id="127"/>
      <w:bookmarkStart w:id="128" w:name="_Toc491744402"/>
      <w:bookmarkStart w:id="129" w:name="_Toc512481003"/>
      <w:bookmarkStart w:id="130" w:name="_Toc16453"/>
      <w:bookmarkStart w:id="131" w:name="_Toc469491167"/>
      <w:bookmarkStart w:id="132" w:name="_Toc11300"/>
      <w:bookmarkStart w:id="133" w:name="_Toc24147"/>
      <w:bookmarkStart w:id="134" w:name="_Toc3458"/>
      <w:bookmarkStart w:id="135" w:name="_Toc28183"/>
      <w:bookmarkStart w:id="136" w:name="_Toc11219"/>
      <w:bookmarkStart w:id="137" w:name="_Toc28400"/>
      <w:bookmarkStart w:id="138" w:name="_Toc1225"/>
      <w:bookmarkStart w:id="139" w:name="_Toc456883667"/>
      <w:bookmarkStart w:id="140" w:name="_Toc32334"/>
      <w:bookmarkStart w:id="141" w:name="_Toc10528"/>
      <w:bookmarkStart w:id="142" w:name="_Toc19639"/>
      <w:bookmarkStart w:id="143" w:name="_Toc12554"/>
      <w:bookmarkStart w:id="144" w:name="_Toc1233"/>
      <w:bookmarkStart w:id="145" w:name="_Toc23905"/>
      <w:bookmarkStart w:id="146" w:name="_Toc28145"/>
      <w:r>
        <w:rPr>
          <w:rFonts w:hint="eastAsia" w:ascii="宋体" w:hAnsi="宋体" w:cs="宋体"/>
          <w:sz w:val="24"/>
          <w:szCs w:val="24"/>
          <w:lang w:eastAsia="zh-TW"/>
        </w:rPr>
        <w:t>评标</w:t>
      </w:r>
      <w:bookmarkEnd w:id="128"/>
      <w:bookmarkEnd w:id="129"/>
      <w:r>
        <w:rPr>
          <w:rFonts w:hint="eastAsia" w:ascii="宋体" w:hAnsi="宋体" w:cs="宋体"/>
          <w:sz w:val="24"/>
          <w:szCs w:val="24"/>
          <w:lang w:eastAsia="zh-TW"/>
        </w:rPr>
        <w:t>程序</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pPr>
        <w:numPr>
          <w:ilvl w:val="255"/>
          <w:numId w:val="0"/>
        </w:numPr>
        <w:outlineLvl w:val="2"/>
        <w:rPr>
          <w:rFonts w:ascii="宋体" w:hAnsi="宋体" w:cs="宋体"/>
          <w:b/>
          <w:sz w:val="24"/>
          <w:szCs w:val="24"/>
        </w:rPr>
      </w:pPr>
      <w:bookmarkStart w:id="147" w:name="_Hlt92097792"/>
      <w:bookmarkEnd w:id="147"/>
      <w:bookmarkStart w:id="148" w:name="_Toc31569"/>
      <w:bookmarkStart w:id="149" w:name="_Toc6682"/>
      <w:r>
        <w:rPr>
          <w:rFonts w:hint="eastAsia" w:ascii="宋体" w:hAnsi="宋体" w:cs="宋体"/>
          <w:b/>
          <w:sz w:val="24"/>
          <w:szCs w:val="24"/>
        </w:rPr>
        <w:t>28.开标</w:t>
      </w:r>
      <w:bookmarkEnd w:id="148"/>
      <w:bookmarkEnd w:id="149"/>
    </w:p>
    <w:p>
      <w:pPr>
        <w:widowControl w:val="0"/>
        <w:numPr>
          <w:ilvl w:val="255"/>
          <w:numId w:val="0"/>
        </w:numPr>
        <w:adjustRightInd/>
        <w:snapToGrid/>
        <w:spacing w:line="360" w:lineRule="exact"/>
        <w:jc w:val="both"/>
        <w:rPr>
          <w:rFonts w:ascii="宋体" w:hAnsi="宋体" w:cs="宋体"/>
          <w:sz w:val="24"/>
          <w:szCs w:val="24"/>
        </w:rPr>
      </w:pPr>
      <w:bookmarkStart w:id="150" w:name="_Toc11095"/>
      <w:bookmarkStart w:id="151" w:name="_Toc35351947"/>
      <w:bookmarkStart w:id="152" w:name="_Toc24894"/>
      <w:bookmarkStart w:id="153" w:name="_Toc31566"/>
      <w:bookmarkStart w:id="154" w:name="_Toc11203"/>
      <w:r>
        <w:rPr>
          <w:rFonts w:hint="eastAsia" w:ascii="宋体" w:hAnsi="宋体" w:cs="宋体"/>
          <w:sz w:val="24"/>
          <w:szCs w:val="24"/>
        </w:rPr>
        <w:t>28.1.采购代理机构按本采购文件所规定的时间和地点公开开标，并邀请所有投标人代表参加。</w:t>
      </w:r>
    </w:p>
    <w:p>
      <w:pPr>
        <w:widowControl w:val="0"/>
        <w:numPr>
          <w:ilvl w:val="255"/>
          <w:numId w:val="0"/>
        </w:numPr>
        <w:adjustRightInd/>
        <w:snapToGrid/>
        <w:spacing w:line="360" w:lineRule="exact"/>
        <w:jc w:val="both"/>
        <w:rPr>
          <w:rFonts w:ascii="宋体" w:hAnsi="宋体" w:cs="宋体"/>
          <w:sz w:val="24"/>
          <w:szCs w:val="24"/>
        </w:rPr>
      </w:pPr>
      <w:r>
        <w:rPr>
          <w:rFonts w:hint="eastAsia" w:ascii="宋体" w:hAnsi="宋体" w:cs="宋体"/>
          <w:sz w:val="24"/>
          <w:szCs w:val="24"/>
        </w:rPr>
        <w:t>28.2.开标程序：</w:t>
      </w:r>
    </w:p>
    <w:p>
      <w:pPr>
        <w:widowControl w:val="0"/>
        <w:numPr>
          <w:ilvl w:val="255"/>
          <w:numId w:val="0"/>
        </w:numPr>
        <w:adjustRightInd/>
        <w:snapToGrid/>
        <w:spacing w:line="360" w:lineRule="exact"/>
        <w:jc w:val="both"/>
        <w:rPr>
          <w:rFonts w:ascii="宋体" w:hAnsi="宋体" w:cs="宋体"/>
          <w:sz w:val="24"/>
          <w:szCs w:val="24"/>
        </w:rPr>
      </w:pPr>
      <w:r>
        <w:rPr>
          <w:rFonts w:hint="eastAsia" w:ascii="宋体" w:hAnsi="宋体" w:cs="宋体"/>
          <w:sz w:val="24"/>
          <w:szCs w:val="24"/>
        </w:rPr>
        <w:t>28.2.1开标会由采购代理机构主持，投标人的法定代表人或其授权代表携带有效身份证明准时参加开标会并签名报到。</w:t>
      </w:r>
    </w:p>
    <w:p>
      <w:pPr>
        <w:widowControl w:val="0"/>
        <w:numPr>
          <w:ilvl w:val="255"/>
          <w:numId w:val="0"/>
        </w:numPr>
        <w:adjustRightInd/>
        <w:snapToGrid/>
        <w:spacing w:line="360" w:lineRule="exact"/>
        <w:jc w:val="both"/>
        <w:rPr>
          <w:rFonts w:ascii="宋体" w:hAnsi="宋体" w:cs="宋体"/>
          <w:sz w:val="24"/>
          <w:szCs w:val="24"/>
        </w:rPr>
      </w:pPr>
      <w:r>
        <w:rPr>
          <w:rFonts w:hint="eastAsia" w:ascii="宋体" w:hAnsi="宋体" w:cs="宋体"/>
          <w:sz w:val="24"/>
          <w:szCs w:val="24"/>
        </w:rPr>
        <w:t>28.2.2.开标时，由投标人或者其推选的代表检查投标文件的密封情况；经确认无误后，由采购人或者采购代理机构工作人员当众拆封，宣布投标人名称、投标价格和采购文件规定的需要宣布的其他内容；</w:t>
      </w:r>
    </w:p>
    <w:p>
      <w:pPr>
        <w:widowControl w:val="0"/>
        <w:numPr>
          <w:ilvl w:val="255"/>
          <w:numId w:val="0"/>
        </w:numPr>
        <w:adjustRightInd/>
        <w:snapToGrid/>
        <w:spacing w:line="360" w:lineRule="exact"/>
        <w:jc w:val="both"/>
        <w:rPr>
          <w:rFonts w:ascii="宋体" w:hAnsi="宋体" w:cs="宋体"/>
          <w:sz w:val="24"/>
          <w:szCs w:val="24"/>
        </w:rPr>
      </w:pPr>
      <w:r>
        <w:rPr>
          <w:rFonts w:hint="eastAsia" w:ascii="宋体" w:hAnsi="宋体" w:cs="宋体"/>
          <w:sz w:val="24"/>
          <w:szCs w:val="24"/>
        </w:rPr>
        <w:t>28.2.3.投标人代表对开标过程和开标记录有异议，以及认为采购人、采购代理机构相关工作人员有需要回避的情形的，应当场提出询问或者回避申请。开标现场未提出异议的视为认同开标结果。开标结束后，投标人对开标过程和开标记录不得再提出异议。</w:t>
      </w:r>
    </w:p>
    <w:p>
      <w:pPr>
        <w:widowControl w:val="0"/>
        <w:numPr>
          <w:ilvl w:val="255"/>
          <w:numId w:val="0"/>
        </w:numPr>
        <w:adjustRightInd/>
        <w:snapToGrid/>
        <w:spacing w:line="360" w:lineRule="exact"/>
        <w:jc w:val="both"/>
        <w:rPr>
          <w:rFonts w:ascii="宋体" w:hAnsi="宋体" w:cs="宋体"/>
          <w:sz w:val="24"/>
          <w:szCs w:val="24"/>
        </w:rPr>
      </w:pPr>
      <w:r>
        <w:rPr>
          <w:rFonts w:hint="eastAsia" w:ascii="宋体" w:hAnsi="宋体" w:cs="宋体"/>
          <w:sz w:val="24"/>
          <w:szCs w:val="24"/>
        </w:rPr>
        <w:t>28.3.投标人未参加开标的，视同认可开标结果。</w:t>
      </w:r>
    </w:p>
    <w:p>
      <w:pPr>
        <w:widowControl w:val="0"/>
        <w:numPr>
          <w:ilvl w:val="255"/>
          <w:numId w:val="0"/>
        </w:numPr>
        <w:adjustRightInd/>
        <w:snapToGrid/>
        <w:spacing w:line="360" w:lineRule="exact"/>
        <w:jc w:val="both"/>
        <w:rPr>
          <w:rFonts w:ascii="宋体" w:hAnsi="宋体" w:cs="宋体"/>
          <w:sz w:val="24"/>
          <w:szCs w:val="24"/>
        </w:rPr>
      </w:pPr>
      <w:r>
        <w:rPr>
          <w:rFonts w:hint="eastAsia" w:ascii="宋体" w:hAnsi="宋体" w:cs="宋体"/>
          <w:sz w:val="24"/>
          <w:szCs w:val="24"/>
        </w:rPr>
        <w:t>28.4.合格投标人不足3家的，不得开标；</w:t>
      </w:r>
    </w:p>
    <w:p>
      <w:pPr>
        <w:widowControl w:val="0"/>
        <w:numPr>
          <w:ilvl w:val="255"/>
          <w:numId w:val="0"/>
        </w:numPr>
        <w:adjustRightInd/>
        <w:snapToGrid/>
        <w:spacing w:line="360" w:lineRule="exact"/>
        <w:jc w:val="both"/>
        <w:rPr>
          <w:rFonts w:ascii="宋体" w:hAnsi="宋体" w:cs="宋体"/>
          <w:sz w:val="24"/>
          <w:szCs w:val="24"/>
        </w:rPr>
      </w:pPr>
      <w:r>
        <w:rPr>
          <w:rFonts w:hint="eastAsia" w:ascii="宋体" w:hAnsi="宋体" w:cs="宋体"/>
          <w:sz w:val="24"/>
          <w:szCs w:val="24"/>
        </w:rPr>
        <w:t>28.5.开标过程应当由采购人或者采购代理机构负责记录，由参加开标的各投标人代表和相关工作人员签字确认。</w:t>
      </w:r>
    </w:p>
    <w:p>
      <w:pPr>
        <w:pStyle w:val="2"/>
      </w:pPr>
    </w:p>
    <w:p>
      <w:pPr>
        <w:numPr>
          <w:ilvl w:val="255"/>
          <w:numId w:val="0"/>
        </w:numPr>
        <w:outlineLvl w:val="2"/>
        <w:rPr>
          <w:rFonts w:ascii="宋体" w:hAnsi="宋体" w:cs="宋体"/>
          <w:b/>
          <w:sz w:val="24"/>
          <w:szCs w:val="24"/>
        </w:rPr>
      </w:pPr>
      <w:bookmarkStart w:id="155" w:name="_Toc1908"/>
      <w:bookmarkStart w:id="156" w:name="_Toc29822"/>
      <w:r>
        <w:rPr>
          <w:rFonts w:hint="eastAsia" w:ascii="宋体" w:hAnsi="宋体" w:cs="宋体"/>
          <w:b/>
          <w:sz w:val="24"/>
          <w:szCs w:val="24"/>
        </w:rPr>
        <w:t>29.投标文件的澄清</w:t>
      </w:r>
      <w:bookmarkEnd w:id="150"/>
      <w:bookmarkEnd w:id="151"/>
      <w:bookmarkEnd w:id="152"/>
      <w:bookmarkEnd w:id="153"/>
      <w:bookmarkEnd w:id="154"/>
      <w:bookmarkEnd w:id="155"/>
      <w:bookmarkEnd w:id="156"/>
    </w:p>
    <w:p>
      <w:pPr>
        <w:numPr>
          <w:ilvl w:val="255"/>
          <w:numId w:val="0"/>
        </w:numPr>
        <w:rPr>
          <w:rFonts w:ascii="宋体" w:hAnsi="宋体" w:cs="宋体"/>
          <w:sz w:val="24"/>
          <w:szCs w:val="24"/>
        </w:rPr>
      </w:pPr>
      <w:r>
        <w:rPr>
          <w:rFonts w:hint="eastAsia" w:ascii="宋体" w:hAnsi="宋体" w:cs="宋体"/>
          <w:sz w:val="24"/>
          <w:szCs w:val="24"/>
        </w:rPr>
        <w:t>29.1.在评标期间，评标委员会可要求投标人对其投标文件进行澄清，但不得寻求、提供或允许对投标价格等实质性内容做任何更改。有关澄清的要求和答复均应以书面形式提交。</w:t>
      </w:r>
    </w:p>
    <w:p>
      <w:pPr>
        <w:numPr>
          <w:ilvl w:val="255"/>
          <w:numId w:val="0"/>
        </w:numPr>
        <w:outlineLvl w:val="2"/>
        <w:rPr>
          <w:rFonts w:ascii="宋体" w:hAnsi="宋体" w:cs="宋体"/>
          <w:b/>
          <w:sz w:val="24"/>
          <w:szCs w:val="24"/>
        </w:rPr>
      </w:pPr>
      <w:bookmarkStart w:id="157" w:name="_Toc35351948"/>
      <w:bookmarkStart w:id="158" w:name="_Toc16810"/>
      <w:bookmarkStart w:id="159" w:name="_Toc3098"/>
      <w:bookmarkStart w:id="160" w:name="_Toc2661"/>
      <w:bookmarkStart w:id="161" w:name="_Toc8454"/>
      <w:bookmarkStart w:id="162" w:name="_Toc11257"/>
      <w:bookmarkStart w:id="163" w:name="_Toc15565"/>
      <w:r>
        <w:rPr>
          <w:rFonts w:hint="eastAsia" w:ascii="宋体" w:hAnsi="宋体" w:cs="宋体"/>
          <w:b/>
          <w:sz w:val="24"/>
          <w:szCs w:val="24"/>
        </w:rPr>
        <w:t>30.评标</w:t>
      </w:r>
      <w:bookmarkEnd w:id="157"/>
      <w:bookmarkEnd w:id="158"/>
      <w:bookmarkEnd w:id="159"/>
      <w:bookmarkEnd w:id="160"/>
      <w:bookmarkEnd w:id="161"/>
      <w:bookmarkEnd w:id="162"/>
      <w:bookmarkEnd w:id="163"/>
    </w:p>
    <w:p>
      <w:pPr>
        <w:numPr>
          <w:ilvl w:val="255"/>
          <w:numId w:val="0"/>
        </w:numPr>
        <w:rPr>
          <w:rFonts w:ascii="宋体" w:hAnsi="宋体" w:cs="宋体"/>
          <w:sz w:val="24"/>
          <w:szCs w:val="24"/>
        </w:rPr>
      </w:pPr>
      <w:r>
        <w:rPr>
          <w:rFonts w:hint="eastAsia" w:ascii="宋体" w:hAnsi="宋体" w:cs="宋体"/>
          <w:b/>
          <w:sz w:val="24"/>
          <w:szCs w:val="24"/>
        </w:rPr>
        <w:t>30.1.定标原则：</w:t>
      </w:r>
      <w:r>
        <w:rPr>
          <w:rFonts w:hint="eastAsia" w:ascii="宋体" w:hAnsi="宋体" w:cs="宋体"/>
          <w:sz w:val="24"/>
          <w:szCs w:val="24"/>
        </w:rPr>
        <w:t>评标工作将严格按照采购文件的要求和条件，对投标文件进行评审，评审分为符合性检查、综合评审两部分。通过评审，根据评审得分高低向采购人推荐3名中标候选人，经过采购人审查通过后最终确定中标人。</w:t>
      </w:r>
    </w:p>
    <w:p>
      <w:pPr>
        <w:numPr>
          <w:ilvl w:val="255"/>
          <w:numId w:val="0"/>
        </w:numPr>
        <w:rPr>
          <w:rFonts w:ascii="宋体" w:hAnsi="宋体" w:cs="宋体"/>
          <w:sz w:val="24"/>
          <w:szCs w:val="24"/>
        </w:rPr>
      </w:pPr>
      <w:r>
        <w:rPr>
          <w:rFonts w:hint="eastAsia" w:ascii="宋体" w:hAnsi="宋体" w:cs="宋体"/>
          <w:b/>
          <w:sz w:val="24"/>
          <w:szCs w:val="24"/>
        </w:rPr>
        <w:t>30.2.评标程序：</w:t>
      </w:r>
      <w:r>
        <w:rPr>
          <w:rFonts w:hint="eastAsia" w:ascii="宋体" w:hAnsi="宋体" w:cs="宋体"/>
          <w:sz w:val="24"/>
          <w:szCs w:val="24"/>
        </w:rPr>
        <w:t>首先对每个投标人进行符合性检查，对通过符合性检查的投标人进行商务、技术及价格综合评议。</w:t>
      </w:r>
    </w:p>
    <w:p>
      <w:pPr>
        <w:numPr>
          <w:ilvl w:val="255"/>
          <w:numId w:val="0"/>
        </w:numPr>
        <w:rPr>
          <w:rFonts w:ascii="宋体" w:hAnsi="宋体" w:cs="宋体"/>
          <w:b/>
          <w:sz w:val="24"/>
          <w:szCs w:val="24"/>
        </w:rPr>
      </w:pPr>
      <w:r>
        <w:rPr>
          <w:rFonts w:hint="eastAsia" w:ascii="宋体" w:hAnsi="宋体" w:cs="宋体"/>
          <w:b/>
          <w:sz w:val="24"/>
          <w:szCs w:val="24"/>
        </w:rPr>
        <w:t>30.3.评审内容</w:t>
      </w:r>
    </w:p>
    <w:p>
      <w:pPr>
        <w:tabs>
          <w:tab w:val="left" w:pos="900"/>
        </w:tabs>
        <w:rPr>
          <w:rFonts w:ascii="宋体" w:hAnsi="宋体" w:cs="宋体"/>
          <w:sz w:val="24"/>
          <w:szCs w:val="24"/>
        </w:rPr>
      </w:pPr>
      <w:r>
        <w:rPr>
          <w:rFonts w:hint="eastAsia" w:ascii="宋体" w:hAnsi="宋体" w:cs="宋体"/>
          <w:sz w:val="24"/>
          <w:szCs w:val="24"/>
        </w:rPr>
        <w:t>30.3.1.符合性检查</w:t>
      </w:r>
      <w:r>
        <w:rPr>
          <w:rFonts w:hint="eastAsia" w:ascii="宋体" w:hAnsi="宋体" w:cs="宋体"/>
          <w:b/>
          <w:sz w:val="24"/>
          <w:szCs w:val="24"/>
        </w:rPr>
        <w:t>（投标人对以下任意一条不满足都将导致废标）</w:t>
      </w:r>
      <w:r>
        <w:rPr>
          <w:rFonts w:hint="eastAsia" w:ascii="宋体" w:hAnsi="宋体" w:cs="宋体"/>
          <w:sz w:val="24"/>
          <w:szCs w:val="24"/>
        </w:rPr>
        <w:t>：</w:t>
      </w:r>
    </w:p>
    <w:tbl>
      <w:tblPr>
        <w:tblStyle w:val="28"/>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8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43" w:type="dxa"/>
            <w:gridSpan w:val="2"/>
            <w:tcBorders>
              <w:top w:val="single" w:color="auto" w:sz="4" w:space="0"/>
              <w:left w:val="single" w:color="auto" w:sz="4" w:space="0"/>
              <w:right w:val="single" w:color="auto" w:sz="4" w:space="0"/>
            </w:tcBorders>
            <w:vAlign w:val="center"/>
          </w:tcPr>
          <w:p>
            <w:pPr>
              <w:rPr>
                <w:rFonts w:ascii="宋体" w:hAnsi="宋体" w:cs="宋体"/>
                <w:b/>
                <w:kern w:val="2"/>
                <w:sz w:val="24"/>
                <w:szCs w:val="24"/>
              </w:rPr>
            </w:pPr>
            <w:r>
              <w:rPr>
                <w:rFonts w:hint="eastAsia" w:ascii="宋体" w:hAnsi="宋体" w:cs="宋体"/>
                <w:b/>
                <w:kern w:val="2"/>
                <w:sz w:val="24"/>
                <w:szCs w:val="24"/>
              </w:rPr>
              <w:t>检查项目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00" w:type="dxa"/>
            <w:vMerge w:val="restart"/>
            <w:tcBorders>
              <w:right w:val="single" w:color="auto" w:sz="4" w:space="0"/>
            </w:tcBorders>
            <w:vAlign w:val="center"/>
          </w:tcPr>
          <w:p>
            <w:pPr>
              <w:jc w:val="center"/>
              <w:rPr>
                <w:rFonts w:ascii="宋体" w:hAnsi="宋体" w:cs="宋体"/>
                <w:b/>
                <w:kern w:val="2"/>
                <w:sz w:val="24"/>
                <w:szCs w:val="24"/>
              </w:rPr>
            </w:pPr>
            <w:r>
              <w:rPr>
                <w:rFonts w:hint="eastAsia" w:ascii="宋体" w:hAnsi="宋体" w:cs="宋体"/>
                <w:b/>
                <w:kern w:val="2"/>
                <w:sz w:val="24"/>
                <w:szCs w:val="24"/>
              </w:rPr>
              <w:t>商务符合性</w:t>
            </w:r>
          </w:p>
          <w:p>
            <w:pPr>
              <w:jc w:val="center"/>
              <w:rPr>
                <w:rFonts w:ascii="宋体" w:hAnsi="宋体" w:cs="宋体"/>
                <w:b/>
                <w:kern w:val="2"/>
                <w:sz w:val="24"/>
                <w:szCs w:val="24"/>
              </w:rPr>
            </w:pPr>
          </w:p>
        </w:tc>
        <w:tc>
          <w:tcPr>
            <w:tcW w:w="8243"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kern w:val="2"/>
                <w:sz w:val="24"/>
                <w:szCs w:val="24"/>
              </w:rPr>
            </w:pPr>
            <w:r>
              <w:rPr>
                <w:rFonts w:hint="eastAsia" w:ascii="宋体" w:hAnsi="宋体" w:cs="宋体"/>
                <w:sz w:val="24"/>
                <w:szCs w:val="24"/>
              </w:rPr>
              <w:t>投标人具备独立承担民事责任能力且在中华人民共和国境内注册的法人或其他组织（提供在中华人民共和国境内注册的法人或其他组织的营业执照或事业单位法人证书或社会团体法人登记证书或其他证明文件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00" w:type="dxa"/>
            <w:vMerge w:val="continue"/>
            <w:tcBorders>
              <w:right w:val="single" w:color="auto" w:sz="4" w:space="0"/>
            </w:tcBorders>
            <w:vAlign w:val="center"/>
          </w:tcPr>
          <w:p>
            <w:pPr>
              <w:jc w:val="center"/>
              <w:rPr>
                <w:rFonts w:ascii="宋体" w:hAnsi="宋体" w:cs="宋体"/>
                <w:b/>
                <w:kern w:val="2"/>
                <w:sz w:val="24"/>
                <w:szCs w:val="24"/>
              </w:rPr>
            </w:pPr>
          </w:p>
        </w:tc>
        <w:tc>
          <w:tcPr>
            <w:tcW w:w="824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参加采购活动前三年内，在经营活动中没有重大违法记录（须提供书面声明）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00" w:type="dxa"/>
            <w:vMerge w:val="continue"/>
            <w:tcBorders>
              <w:right w:val="single" w:color="auto" w:sz="4" w:space="0"/>
            </w:tcBorders>
            <w:vAlign w:val="center"/>
          </w:tcPr>
          <w:p>
            <w:pPr>
              <w:jc w:val="center"/>
              <w:rPr>
                <w:rFonts w:ascii="宋体" w:hAnsi="宋体" w:cs="宋体"/>
                <w:b/>
                <w:kern w:val="2"/>
                <w:sz w:val="24"/>
                <w:szCs w:val="24"/>
              </w:rPr>
            </w:pPr>
          </w:p>
        </w:tc>
        <w:tc>
          <w:tcPr>
            <w:tcW w:w="824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2"/>
                <w:sz w:val="24"/>
                <w:szCs w:val="24"/>
              </w:rPr>
            </w:pPr>
            <w:r>
              <w:rPr>
                <w:rFonts w:hint="eastAsia" w:ascii="宋体" w:hAnsi="宋体" w:cs="宋体"/>
                <w:sz w:val="24"/>
                <w:szCs w:val="24"/>
              </w:rPr>
              <w:t>未被列入“信用中国”网站(www.creditchina.gov.cn )“记录失信被执行人或税收违法黑名单”记录名单。以采购代理机构于投标截止日当天在“信用中国”网站查询结果为准，如相关失信记录已失效，投标人需提供相关证明资料。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00" w:type="dxa"/>
            <w:vMerge w:val="continue"/>
            <w:tcBorders>
              <w:right w:val="single" w:color="auto" w:sz="4" w:space="0"/>
            </w:tcBorders>
            <w:vAlign w:val="center"/>
          </w:tcPr>
          <w:p>
            <w:pPr>
              <w:jc w:val="center"/>
              <w:rPr>
                <w:rFonts w:ascii="宋体" w:hAnsi="宋体" w:cs="宋体"/>
                <w:b/>
                <w:kern w:val="2"/>
                <w:sz w:val="24"/>
                <w:szCs w:val="24"/>
              </w:rPr>
            </w:pPr>
          </w:p>
        </w:tc>
        <w:tc>
          <w:tcPr>
            <w:tcW w:w="824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2"/>
                <w:sz w:val="24"/>
                <w:szCs w:val="24"/>
              </w:rPr>
            </w:pPr>
            <w:r>
              <w:rPr>
                <w:rFonts w:hint="eastAsia" w:ascii="宋体" w:hAnsi="宋体" w:cs="宋体"/>
                <w:kern w:val="2"/>
                <w:sz w:val="24"/>
                <w:szCs w:val="24"/>
              </w:rPr>
              <w:t>凡两家或以上投标人参加同一项目的投标，有如下情况之一的，一经发现将视同串标处理：A、为同一法定代表人的；B、为同一股东控股的；C、其中一家公司为其他公司最大股东的。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00" w:type="dxa"/>
            <w:vMerge w:val="continue"/>
            <w:tcBorders>
              <w:right w:val="single" w:color="auto" w:sz="4" w:space="0"/>
            </w:tcBorders>
            <w:vAlign w:val="center"/>
          </w:tcPr>
          <w:p>
            <w:pPr>
              <w:jc w:val="center"/>
              <w:rPr>
                <w:rFonts w:ascii="宋体" w:hAnsi="宋体" w:cs="宋体"/>
                <w:b/>
                <w:kern w:val="2"/>
                <w:sz w:val="24"/>
                <w:szCs w:val="24"/>
              </w:rPr>
            </w:pPr>
          </w:p>
        </w:tc>
        <w:tc>
          <w:tcPr>
            <w:tcW w:w="824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2"/>
                <w:sz w:val="24"/>
                <w:szCs w:val="24"/>
              </w:rPr>
            </w:pPr>
            <w:r>
              <w:rPr>
                <w:rFonts w:hint="eastAsia" w:ascii="宋体" w:hAnsi="宋体" w:cs="宋体"/>
                <w:kern w:val="2"/>
                <w:sz w:val="24"/>
                <w:szCs w:val="24"/>
              </w:rPr>
              <w:t>投标人必须提交规定金额的投标保证金，投标保证金形式符合采购文件要求（必须提供汇款至采购文件指定账户的投标保证金有效证明文件复印件）；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00" w:type="dxa"/>
            <w:vMerge w:val="restart"/>
            <w:tcBorders>
              <w:right w:val="single" w:color="auto" w:sz="4" w:space="0"/>
            </w:tcBorders>
            <w:vAlign w:val="center"/>
          </w:tcPr>
          <w:p>
            <w:pPr>
              <w:jc w:val="center"/>
              <w:rPr>
                <w:rFonts w:ascii="宋体" w:hAnsi="宋体" w:cs="宋体"/>
                <w:b/>
                <w:bCs/>
                <w:kern w:val="2"/>
                <w:sz w:val="24"/>
                <w:szCs w:val="24"/>
              </w:rPr>
            </w:pPr>
            <w:r>
              <w:rPr>
                <w:rFonts w:hint="eastAsia" w:ascii="宋体" w:hAnsi="宋体" w:cs="宋体"/>
                <w:b/>
                <w:kern w:val="2"/>
                <w:sz w:val="24"/>
                <w:szCs w:val="24"/>
              </w:rPr>
              <w:t>技术符合性</w:t>
            </w:r>
          </w:p>
        </w:tc>
        <w:tc>
          <w:tcPr>
            <w:tcW w:w="824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2"/>
                <w:sz w:val="24"/>
                <w:szCs w:val="24"/>
              </w:rPr>
            </w:pPr>
            <w:r>
              <w:rPr>
                <w:rFonts w:hint="eastAsia" w:ascii="宋体" w:hAnsi="宋体" w:cs="宋体"/>
                <w:kern w:val="2"/>
                <w:sz w:val="24"/>
                <w:szCs w:val="24"/>
              </w:rPr>
              <w:t>满足采购文件质保期要求；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00" w:type="dxa"/>
            <w:vMerge w:val="continue"/>
            <w:textDirection w:val="tbRlV"/>
            <w:vAlign w:val="center"/>
          </w:tcPr>
          <w:p>
            <w:pPr>
              <w:jc w:val="center"/>
              <w:rPr>
                <w:rFonts w:ascii="宋体" w:hAnsi="宋体" w:cs="宋体"/>
                <w:b/>
                <w:bCs/>
                <w:kern w:val="2"/>
                <w:sz w:val="24"/>
                <w:szCs w:val="24"/>
              </w:rPr>
            </w:pPr>
          </w:p>
        </w:tc>
        <w:tc>
          <w:tcPr>
            <w:tcW w:w="8243" w:type="dxa"/>
            <w:tcBorders>
              <w:bottom w:val="single" w:color="auto" w:sz="4" w:space="0"/>
            </w:tcBorders>
            <w:vAlign w:val="center"/>
          </w:tcPr>
          <w:p>
            <w:pPr>
              <w:rPr>
                <w:rFonts w:ascii="宋体" w:hAnsi="宋体" w:cs="宋体"/>
                <w:kern w:val="2"/>
                <w:sz w:val="24"/>
                <w:szCs w:val="24"/>
              </w:rPr>
            </w:pPr>
            <w:r>
              <w:rPr>
                <w:rFonts w:hint="eastAsia" w:ascii="宋体" w:hAnsi="宋体" w:cs="宋体"/>
                <w:kern w:val="2"/>
                <w:sz w:val="24"/>
                <w:szCs w:val="24"/>
              </w:rPr>
              <w:t>满足采购文件的投标有效期的要求；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00" w:type="dxa"/>
            <w:vMerge w:val="continue"/>
            <w:vAlign w:val="center"/>
          </w:tcPr>
          <w:p>
            <w:pPr>
              <w:rPr>
                <w:rFonts w:ascii="宋体" w:hAnsi="宋体" w:cs="宋体"/>
                <w:kern w:val="2"/>
                <w:sz w:val="24"/>
                <w:szCs w:val="24"/>
              </w:rPr>
            </w:pPr>
          </w:p>
        </w:tc>
        <w:tc>
          <w:tcPr>
            <w:tcW w:w="8243" w:type="dxa"/>
            <w:tcBorders>
              <w:bottom w:val="single" w:color="auto" w:sz="4" w:space="0"/>
            </w:tcBorders>
            <w:vAlign w:val="center"/>
          </w:tcPr>
          <w:p>
            <w:pPr>
              <w:rPr>
                <w:rFonts w:ascii="宋体" w:hAnsi="宋体" w:cs="宋体"/>
                <w:bCs/>
                <w:kern w:val="2"/>
                <w:sz w:val="24"/>
                <w:szCs w:val="24"/>
              </w:rPr>
            </w:pPr>
            <w:r>
              <w:rPr>
                <w:rFonts w:hint="eastAsia" w:ascii="宋体" w:hAnsi="宋体" w:cs="宋体"/>
                <w:bCs/>
                <w:kern w:val="2"/>
                <w:sz w:val="24"/>
                <w:szCs w:val="24"/>
              </w:rPr>
              <w:t>采购文件中带“★”号为重要和关键性的要求或参数，无对其不满足的；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00" w:type="dxa"/>
            <w:vMerge w:val="restart"/>
            <w:vAlign w:val="center"/>
          </w:tcPr>
          <w:p>
            <w:pPr>
              <w:jc w:val="center"/>
              <w:rPr>
                <w:rFonts w:ascii="宋体" w:hAnsi="宋体" w:cs="宋体"/>
                <w:b/>
                <w:bCs/>
                <w:kern w:val="2"/>
                <w:sz w:val="24"/>
                <w:szCs w:val="24"/>
              </w:rPr>
            </w:pPr>
            <w:r>
              <w:rPr>
                <w:rFonts w:hint="eastAsia" w:ascii="宋体" w:hAnsi="宋体" w:cs="宋体"/>
                <w:b/>
                <w:bCs/>
                <w:kern w:val="2"/>
                <w:sz w:val="24"/>
                <w:szCs w:val="24"/>
              </w:rPr>
              <w:t>价格符合性</w:t>
            </w:r>
          </w:p>
        </w:tc>
        <w:tc>
          <w:tcPr>
            <w:tcW w:w="8243" w:type="dxa"/>
            <w:vAlign w:val="center"/>
          </w:tcPr>
          <w:p>
            <w:pPr>
              <w:pStyle w:val="18"/>
              <w:rPr>
                <w:rFonts w:ascii="宋体" w:hAnsi="宋体" w:cs="宋体"/>
                <w:sz w:val="24"/>
                <w:szCs w:val="24"/>
              </w:rPr>
            </w:pPr>
            <w:r>
              <w:rPr>
                <w:rFonts w:hint="eastAsia" w:ascii="宋体" w:hAnsi="宋体" w:cs="宋体"/>
                <w:bCs/>
                <w:sz w:val="24"/>
                <w:szCs w:val="24"/>
              </w:rPr>
              <w:t>投标报价未超过本项目最高限价。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00" w:type="dxa"/>
            <w:vMerge w:val="continue"/>
            <w:vAlign w:val="center"/>
          </w:tcPr>
          <w:p>
            <w:pPr>
              <w:jc w:val="center"/>
              <w:rPr>
                <w:rFonts w:ascii="宋体" w:hAnsi="宋体" w:cs="宋体"/>
                <w:b/>
                <w:bCs/>
                <w:kern w:val="2"/>
                <w:sz w:val="24"/>
                <w:szCs w:val="24"/>
              </w:rPr>
            </w:pPr>
          </w:p>
        </w:tc>
        <w:tc>
          <w:tcPr>
            <w:tcW w:w="8243" w:type="dxa"/>
            <w:vAlign w:val="center"/>
          </w:tcPr>
          <w:p>
            <w:pPr>
              <w:pStyle w:val="18"/>
              <w:rPr>
                <w:rFonts w:ascii="宋体" w:hAnsi="宋体" w:cs="宋体"/>
                <w:bCs/>
                <w:sz w:val="24"/>
                <w:szCs w:val="24"/>
              </w:rPr>
            </w:pPr>
            <w:r>
              <w:rPr>
                <w:rFonts w:hint="eastAsia" w:ascii="宋体" w:hAnsi="宋体" w:cs="宋体"/>
                <w:sz w:val="24"/>
                <w:szCs w:val="24"/>
              </w:rPr>
              <w:t>报价格式正确，必须含有设备费报价表和分项报价表。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00" w:type="dxa"/>
            <w:vMerge w:val="continue"/>
            <w:vAlign w:val="center"/>
          </w:tcPr>
          <w:p>
            <w:pPr>
              <w:jc w:val="center"/>
              <w:rPr>
                <w:rFonts w:ascii="宋体" w:hAnsi="宋体" w:cs="宋体"/>
                <w:b/>
                <w:bCs/>
                <w:kern w:val="2"/>
                <w:sz w:val="24"/>
                <w:szCs w:val="24"/>
              </w:rPr>
            </w:pPr>
          </w:p>
        </w:tc>
        <w:tc>
          <w:tcPr>
            <w:tcW w:w="8243" w:type="dxa"/>
            <w:vAlign w:val="center"/>
          </w:tcPr>
          <w:p>
            <w:pPr>
              <w:pStyle w:val="18"/>
              <w:rPr>
                <w:rFonts w:ascii="宋体" w:hAnsi="宋体" w:cs="宋体"/>
                <w:sz w:val="24"/>
                <w:szCs w:val="24"/>
              </w:rPr>
            </w:pPr>
            <w:r>
              <w:rPr>
                <w:rFonts w:hint="eastAsia" w:ascii="宋体" w:hAnsi="宋体" w:cs="宋体"/>
                <w:sz w:val="24"/>
                <w:szCs w:val="24"/>
              </w:rPr>
              <w:t>投标报价合理、经济、完整，无重大缺漏项。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00" w:type="dxa"/>
            <w:vMerge w:val="continue"/>
            <w:vAlign w:val="center"/>
          </w:tcPr>
          <w:p>
            <w:pPr>
              <w:jc w:val="center"/>
              <w:rPr>
                <w:rFonts w:ascii="宋体" w:hAnsi="宋体" w:cs="宋体"/>
                <w:b/>
                <w:bCs/>
                <w:kern w:val="2"/>
                <w:sz w:val="24"/>
                <w:szCs w:val="24"/>
              </w:rPr>
            </w:pPr>
          </w:p>
        </w:tc>
        <w:tc>
          <w:tcPr>
            <w:tcW w:w="8243" w:type="dxa"/>
            <w:vAlign w:val="center"/>
          </w:tcPr>
          <w:p>
            <w:pPr>
              <w:pStyle w:val="18"/>
              <w:rPr>
                <w:rFonts w:ascii="宋体" w:hAnsi="宋体" w:cs="宋体"/>
                <w:sz w:val="24"/>
                <w:szCs w:val="24"/>
              </w:rPr>
            </w:pPr>
            <w:r>
              <w:rPr>
                <w:rFonts w:hint="eastAsia" w:ascii="宋体" w:hAnsi="宋体" w:cs="宋体"/>
                <w:sz w:val="24"/>
                <w:szCs w:val="24"/>
              </w:rPr>
              <w:t>投标报价未低于企业自身成本价。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00" w:type="dxa"/>
            <w:vMerge w:val="continue"/>
            <w:vAlign w:val="center"/>
          </w:tcPr>
          <w:p>
            <w:pPr>
              <w:jc w:val="center"/>
              <w:rPr>
                <w:rFonts w:ascii="宋体" w:hAnsi="宋体" w:cs="宋体"/>
                <w:b/>
                <w:bCs/>
                <w:kern w:val="2"/>
                <w:sz w:val="24"/>
                <w:szCs w:val="24"/>
              </w:rPr>
            </w:pPr>
          </w:p>
        </w:tc>
        <w:tc>
          <w:tcPr>
            <w:tcW w:w="8243" w:type="dxa"/>
            <w:vAlign w:val="center"/>
          </w:tcPr>
          <w:p>
            <w:pPr>
              <w:pStyle w:val="18"/>
              <w:rPr>
                <w:rFonts w:ascii="宋体" w:hAnsi="宋体" w:cs="宋体"/>
                <w:sz w:val="24"/>
                <w:szCs w:val="24"/>
              </w:rPr>
            </w:pPr>
            <w:r>
              <w:rPr>
                <w:rFonts w:hint="eastAsia" w:ascii="宋体" w:hAnsi="宋体" w:cs="宋体"/>
                <w:sz w:val="24"/>
                <w:szCs w:val="24"/>
              </w:rPr>
              <w:t>投标报价和投标文件必须是准确唯一的。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43" w:type="dxa"/>
            <w:gridSpan w:val="2"/>
            <w:vAlign w:val="center"/>
          </w:tcPr>
          <w:p>
            <w:pPr>
              <w:jc w:val="center"/>
              <w:rPr>
                <w:rFonts w:ascii="宋体" w:hAnsi="宋体" w:cs="宋体"/>
                <w:kern w:val="2"/>
                <w:sz w:val="24"/>
                <w:szCs w:val="24"/>
              </w:rPr>
            </w:pPr>
            <w:r>
              <w:rPr>
                <w:rFonts w:hint="eastAsia" w:ascii="宋体" w:hAnsi="宋体" w:cs="宋体"/>
                <w:kern w:val="2"/>
                <w:sz w:val="24"/>
                <w:szCs w:val="24"/>
              </w:rPr>
              <w:t>投标文件没有其他导致废标的因素</w:t>
            </w:r>
          </w:p>
        </w:tc>
      </w:tr>
    </w:tbl>
    <w:p>
      <w:pPr>
        <w:tabs>
          <w:tab w:val="left" w:pos="900"/>
        </w:tabs>
        <w:rPr>
          <w:rFonts w:ascii="宋体" w:hAnsi="宋体" w:cs="宋体"/>
          <w:sz w:val="24"/>
          <w:szCs w:val="24"/>
        </w:rPr>
      </w:pPr>
      <w:r>
        <w:rPr>
          <w:rFonts w:hint="eastAsia" w:ascii="宋体" w:hAnsi="宋体" w:cs="宋体"/>
          <w:sz w:val="24"/>
          <w:szCs w:val="24"/>
        </w:rPr>
        <w:t>30.3.1.1.商务符合性检查</w:t>
      </w:r>
    </w:p>
    <w:p>
      <w:pPr>
        <w:rPr>
          <w:rFonts w:ascii="宋体" w:hAnsi="宋体" w:cs="宋体"/>
          <w:b/>
          <w:bCs/>
          <w:sz w:val="24"/>
          <w:szCs w:val="24"/>
        </w:rPr>
      </w:pPr>
      <w:r>
        <w:rPr>
          <w:rFonts w:hint="eastAsia" w:ascii="宋体" w:hAnsi="宋体" w:cs="宋体"/>
          <w:b/>
          <w:bCs/>
          <w:sz w:val="24"/>
          <w:szCs w:val="24"/>
        </w:rPr>
        <w:t>商务符合性检查包括以下内容：</w:t>
      </w:r>
    </w:p>
    <w:p>
      <w:pPr>
        <w:tabs>
          <w:tab w:val="left" w:pos="640"/>
        </w:tabs>
        <w:rPr>
          <w:rFonts w:ascii="宋体" w:hAnsi="宋体" w:cs="宋体"/>
          <w:sz w:val="24"/>
          <w:szCs w:val="24"/>
        </w:rPr>
      </w:pPr>
      <w:r>
        <w:rPr>
          <w:rFonts w:hint="eastAsia" w:ascii="宋体" w:hAnsi="宋体" w:cs="宋体"/>
          <w:sz w:val="24"/>
          <w:szCs w:val="24"/>
        </w:rPr>
        <w:t>（1）投标人具备独立承担民事责任能力且在中华人民共和国境内注册的法人或其他组织。</w:t>
      </w:r>
    </w:p>
    <w:p>
      <w:pPr>
        <w:tabs>
          <w:tab w:val="left" w:pos="640"/>
        </w:tabs>
        <w:rPr>
          <w:rFonts w:ascii="宋体" w:hAnsi="宋体" w:cs="宋体"/>
          <w:sz w:val="24"/>
          <w:szCs w:val="24"/>
        </w:rPr>
      </w:pPr>
      <w:r>
        <w:rPr>
          <w:rFonts w:hint="eastAsia" w:ascii="宋体" w:hAnsi="宋体" w:cs="宋体"/>
          <w:sz w:val="24"/>
          <w:szCs w:val="24"/>
        </w:rPr>
        <w:t>（2）参加采购活动前三年内，在经营活动中没有重大违法记录</w:t>
      </w:r>
    </w:p>
    <w:p>
      <w:pPr>
        <w:tabs>
          <w:tab w:val="left" w:pos="640"/>
        </w:tabs>
        <w:rPr>
          <w:rFonts w:ascii="宋体" w:hAnsi="宋体" w:cs="宋体"/>
          <w:sz w:val="24"/>
          <w:szCs w:val="24"/>
        </w:rPr>
      </w:pPr>
      <w:r>
        <w:rPr>
          <w:rFonts w:hint="eastAsia" w:ascii="宋体" w:hAnsi="宋体" w:cs="宋体"/>
          <w:sz w:val="24"/>
          <w:szCs w:val="24"/>
        </w:rPr>
        <w:t>（3）未被列入“信用中国”网站(www.creditchina.gov.cn )“记录失信被执行人或税收违法黑名单”记录名单。以采购代理机构于投标截止日当天在“信用中国”网站查询结果为准，如相关失信记录已失效，投标人需提供相关证明资料。</w:t>
      </w:r>
    </w:p>
    <w:p>
      <w:pPr>
        <w:tabs>
          <w:tab w:val="left" w:pos="640"/>
        </w:tabs>
        <w:rPr>
          <w:rFonts w:ascii="宋体" w:hAnsi="宋体" w:cs="宋体"/>
          <w:sz w:val="24"/>
          <w:szCs w:val="24"/>
        </w:rPr>
      </w:pPr>
      <w:r>
        <w:rPr>
          <w:rFonts w:hint="eastAsia" w:ascii="宋体" w:hAnsi="宋体" w:cs="宋体"/>
          <w:sz w:val="24"/>
          <w:szCs w:val="24"/>
        </w:rPr>
        <w:t>（4）凡两家或以上投标人参加同一项目的投标，有如下情况之一的，一经发现将视同串标处理：A、为同一法定代表人的；B、为同一股东控股的；C、其中一家公司为其他公司最大股东的。</w:t>
      </w:r>
    </w:p>
    <w:p>
      <w:pPr>
        <w:ind w:left="168" w:hanging="168" w:hangingChars="70"/>
        <w:rPr>
          <w:rFonts w:ascii="宋体" w:hAnsi="宋体" w:cs="宋体"/>
          <w:sz w:val="24"/>
          <w:szCs w:val="24"/>
        </w:rPr>
      </w:pPr>
      <w:r>
        <w:rPr>
          <w:rFonts w:hint="eastAsia" w:ascii="宋体" w:hAnsi="宋体" w:cs="宋体"/>
          <w:sz w:val="24"/>
          <w:szCs w:val="24"/>
        </w:rPr>
        <w:t>（5）投标人必须提交规定金额的投标保证金，投标保证金形式符合采购文件要求（必须提供汇款至采购文件指定账户的投标保证金有效证明文件复印件）；</w:t>
      </w:r>
    </w:p>
    <w:p>
      <w:pPr>
        <w:tabs>
          <w:tab w:val="left" w:pos="900"/>
        </w:tabs>
        <w:rPr>
          <w:rFonts w:ascii="宋体" w:hAnsi="宋体" w:cs="宋体"/>
          <w:sz w:val="24"/>
          <w:szCs w:val="24"/>
        </w:rPr>
      </w:pPr>
      <w:r>
        <w:rPr>
          <w:rFonts w:hint="eastAsia" w:ascii="宋体" w:hAnsi="宋体" w:cs="宋体"/>
          <w:sz w:val="24"/>
          <w:szCs w:val="24"/>
        </w:rPr>
        <w:t>30.3.1.2.技术符合性检查</w:t>
      </w:r>
    </w:p>
    <w:p>
      <w:pPr>
        <w:rPr>
          <w:rFonts w:ascii="宋体" w:hAnsi="宋体" w:cs="宋体"/>
          <w:b/>
          <w:bCs/>
          <w:sz w:val="24"/>
          <w:szCs w:val="24"/>
        </w:rPr>
      </w:pPr>
      <w:r>
        <w:rPr>
          <w:rFonts w:hint="eastAsia" w:ascii="宋体" w:hAnsi="宋体" w:cs="宋体"/>
          <w:b/>
          <w:bCs/>
          <w:sz w:val="24"/>
          <w:szCs w:val="24"/>
        </w:rPr>
        <w:t>技术符合性检查包括以下内容：</w:t>
      </w:r>
    </w:p>
    <w:p>
      <w:pPr>
        <w:ind w:left="648" w:hanging="648" w:hangingChars="270"/>
        <w:rPr>
          <w:rFonts w:ascii="宋体" w:hAnsi="宋体" w:cs="宋体"/>
          <w:sz w:val="24"/>
          <w:szCs w:val="24"/>
        </w:rPr>
      </w:pPr>
      <w:r>
        <w:rPr>
          <w:rFonts w:hint="eastAsia" w:ascii="宋体" w:hAnsi="宋体" w:cs="宋体"/>
          <w:sz w:val="24"/>
          <w:szCs w:val="24"/>
        </w:rPr>
        <w:t>（1）满足采购文件的投标有效期要求。</w:t>
      </w:r>
    </w:p>
    <w:p>
      <w:pPr>
        <w:ind w:left="648" w:hanging="648" w:hangingChars="270"/>
        <w:rPr>
          <w:rFonts w:ascii="宋体" w:hAnsi="宋体" w:cs="宋体"/>
          <w:bCs/>
          <w:sz w:val="24"/>
          <w:szCs w:val="24"/>
        </w:rPr>
      </w:pPr>
      <w:r>
        <w:rPr>
          <w:rFonts w:hint="eastAsia" w:ascii="宋体" w:hAnsi="宋体" w:cs="宋体"/>
          <w:sz w:val="24"/>
          <w:szCs w:val="24"/>
        </w:rPr>
        <w:t>（2）</w:t>
      </w:r>
      <w:r>
        <w:rPr>
          <w:rFonts w:hint="eastAsia" w:ascii="宋体" w:hAnsi="宋体" w:cs="宋体"/>
          <w:bCs/>
          <w:sz w:val="24"/>
          <w:szCs w:val="24"/>
        </w:rPr>
        <w:t>投标文件分商务技术文件、价格文件两册独立装订；在商务技术文件中，不能出现有关投标报价的内容，如在商务技术文件的附件格式中需要填写投标总价或货物报价的，必须空置不填，投标报价和货物分项报价只能出现在价格文件中，否则作废标处理。</w:t>
      </w:r>
    </w:p>
    <w:p>
      <w:pPr>
        <w:tabs>
          <w:tab w:val="left" w:pos="900"/>
        </w:tabs>
        <w:rPr>
          <w:rFonts w:ascii="宋体" w:hAnsi="宋体" w:cs="宋体"/>
          <w:sz w:val="24"/>
          <w:szCs w:val="24"/>
        </w:rPr>
      </w:pPr>
      <w:r>
        <w:rPr>
          <w:rFonts w:hint="eastAsia" w:ascii="宋体" w:hAnsi="宋体" w:cs="宋体"/>
          <w:sz w:val="24"/>
          <w:szCs w:val="24"/>
        </w:rPr>
        <w:t>30.3.1.3.价格符合性检查</w:t>
      </w:r>
    </w:p>
    <w:p>
      <w:pPr>
        <w:ind w:firstLine="720" w:firstLineChars="300"/>
        <w:rPr>
          <w:rFonts w:ascii="宋体" w:hAnsi="宋体" w:cs="宋体"/>
          <w:sz w:val="24"/>
          <w:szCs w:val="24"/>
        </w:rPr>
      </w:pPr>
      <w:r>
        <w:rPr>
          <w:rFonts w:hint="eastAsia" w:ascii="宋体" w:hAnsi="宋体" w:cs="宋体"/>
          <w:sz w:val="24"/>
          <w:szCs w:val="24"/>
        </w:rPr>
        <w:t>价格符合性检查包括以下内容</w:t>
      </w:r>
      <w:r>
        <w:rPr>
          <w:rFonts w:hint="eastAsia" w:ascii="宋体" w:hAnsi="宋体" w:cs="宋体"/>
          <w:b/>
          <w:sz w:val="24"/>
          <w:szCs w:val="24"/>
        </w:rPr>
        <w:t>：</w:t>
      </w:r>
    </w:p>
    <w:p>
      <w:pPr>
        <w:ind w:left="648" w:hanging="648" w:hangingChars="270"/>
        <w:rPr>
          <w:rFonts w:ascii="宋体" w:hAnsi="宋体" w:cs="宋体"/>
          <w:bCs/>
          <w:sz w:val="24"/>
          <w:szCs w:val="24"/>
        </w:rPr>
      </w:pPr>
      <w:r>
        <w:rPr>
          <w:rFonts w:hint="eastAsia" w:ascii="宋体" w:hAnsi="宋体" w:cs="宋体"/>
          <w:bCs/>
          <w:sz w:val="24"/>
          <w:szCs w:val="24"/>
        </w:rPr>
        <w:t>（1）投标总价未超过本项目最高限价总价。</w:t>
      </w:r>
    </w:p>
    <w:p>
      <w:pPr>
        <w:ind w:left="648" w:hanging="648" w:hangingChars="270"/>
        <w:rPr>
          <w:rFonts w:ascii="宋体" w:hAnsi="宋体" w:cs="宋体"/>
          <w:sz w:val="24"/>
          <w:szCs w:val="24"/>
        </w:rPr>
      </w:pPr>
      <w:r>
        <w:rPr>
          <w:rFonts w:hint="eastAsia" w:ascii="宋体" w:hAnsi="宋体" w:cs="宋体"/>
          <w:sz w:val="24"/>
          <w:szCs w:val="24"/>
        </w:rPr>
        <w:t>（2）报价格式应正确，必须含有设备费报价表和分项报价表。</w:t>
      </w:r>
    </w:p>
    <w:p>
      <w:pPr>
        <w:ind w:left="648" w:hanging="648" w:hangingChars="270"/>
        <w:rPr>
          <w:rFonts w:ascii="宋体" w:hAnsi="宋体" w:cs="宋体"/>
          <w:sz w:val="24"/>
          <w:szCs w:val="24"/>
        </w:rPr>
      </w:pPr>
      <w:r>
        <w:rPr>
          <w:rFonts w:hint="eastAsia" w:ascii="宋体" w:hAnsi="宋体" w:cs="宋体"/>
          <w:sz w:val="24"/>
          <w:szCs w:val="24"/>
        </w:rPr>
        <w:t>（3）投标报价应合理、经济、完整，无重大缺漏项。</w:t>
      </w:r>
    </w:p>
    <w:p>
      <w:pPr>
        <w:ind w:left="648" w:hanging="648" w:hangingChars="270"/>
        <w:rPr>
          <w:rFonts w:ascii="宋体" w:hAnsi="宋体" w:cs="宋体"/>
          <w:sz w:val="24"/>
          <w:szCs w:val="24"/>
        </w:rPr>
      </w:pPr>
      <w:r>
        <w:rPr>
          <w:rFonts w:hint="eastAsia" w:ascii="宋体" w:hAnsi="宋体" w:cs="宋体"/>
          <w:sz w:val="24"/>
          <w:szCs w:val="24"/>
        </w:rPr>
        <w:t>（4）投标报价不能低于企业自身成本价。</w:t>
      </w:r>
    </w:p>
    <w:p>
      <w:pPr>
        <w:ind w:left="648" w:hanging="648" w:hangingChars="270"/>
        <w:rPr>
          <w:rFonts w:ascii="宋体" w:hAnsi="宋体" w:cs="宋体"/>
          <w:sz w:val="24"/>
          <w:szCs w:val="24"/>
        </w:rPr>
      </w:pPr>
      <w:r>
        <w:rPr>
          <w:rFonts w:hint="eastAsia" w:ascii="宋体" w:hAnsi="宋体" w:cs="宋体"/>
          <w:sz w:val="24"/>
          <w:szCs w:val="24"/>
        </w:rPr>
        <w:t>（5）投标报价和投标方案必须是准确唯一的。</w:t>
      </w:r>
    </w:p>
    <w:p>
      <w:pPr>
        <w:ind w:left="648" w:hanging="648" w:hangingChars="270"/>
        <w:rPr>
          <w:rFonts w:ascii="宋体" w:hAnsi="宋体" w:cs="宋体"/>
          <w:sz w:val="24"/>
          <w:szCs w:val="24"/>
        </w:rPr>
      </w:pPr>
      <w:r>
        <w:rPr>
          <w:rFonts w:hint="eastAsia" w:ascii="宋体" w:hAnsi="宋体" w:cs="宋体"/>
          <w:sz w:val="24"/>
          <w:szCs w:val="24"/>
        </w:rPr>
        <w:t>30.3.1.4.投标人的下列行为视为相互串通投标：</w:t>
      </w:r>
    </w:p>
    <w:p>
      <w:pPr>
        <w:ind w:left="648" w:hanging="648" w:hangingChars="270"/>
        <w:rPr>
          <w:rFonts w:ascii="宋体" w:hAnsi="宋体" w:cs="宋体"/>
          <w:sz w:val="24"/>
          <w:szCs w:val="24"/>
        </w:rPr>
      </w:pPr>
      <w:r>
        <w:rPr>
          <w:rFonts w:hint="eastAsia" w:ascii="宋体" w:hAnsi="宋体" w:cs="宋体"/>
          <w:sz w:val="24"/>
          <w:szCs w:val="24"/>
        </w:rPr>
        <w:t>（一）不同投标人的投标文件由同一单位或者个人编制；</w:t>
      </w:r>
    </w:p>
    <w:p>
      <w:pPr>
        <w:ind w:left="648" w:hanging="648" w:hangingChars="270"/>
        <w:rPr>
          <w:rFonts w:ascii="宋体" w:hAnsi="宋体" w:cs="宋体"/>
          <w:sz w:val="24"/>
          <w:szCs w:val="24"/>
        </w:rPr>
      </w:pPr>
      <w:r>
        <w:rPr>
          <w:rFonts w:hint="eastAsia" w:ascii="宋体" w:hAnsi="宋体" w:cs="宋体"/>
          <w:sz w:val="24"/>
          <w:szCs w:val="24"/>
        </w:rPr>
        <w:t>（二）不同投标人委托同一单位或者个人办理投标事宜；</w:t>
      </w:r>
    </w:p>
    <w:p>
      <w:pPr>
        <w:ind w:left="648" w:hanging="648" w:hangingChars="270"/>
        <w:rPr>
          <w:rFonts w:ascii="宋体" w:hAnsi="宋体" w:cs="宋体"/>
          <w:sz w:val="24"/>
          <w:szCs w:val="24"/>
        </w:rPr>
      </w:pPr>
      <w:r>
        <w:rPr>
          <w:rFonts w:hint="eastAsia" w:ascii="宋体" w:hAnsi="宋体" w:cs="宋体"/>
          <w:sz w:val="24"/>
          <w:szCs w:val="24"/>
        </w:rPr>
        <w:t>（三）不同投标人的投标文件载明的项目管理成员为同一人；</w:t>
      </w:r>
    </w:p>
    <w:p>
      <w:pPr>
        <w:ind w:left="648" w:hanging="648" w:hangingChars="270"/>
        <w:rPr>
          <w:rFonts w:ascii="宋体" w:hAnsi="宋体" w:cs="宋体"/>
          <w:sz w:val="24"/>
          <w:szCs w:val="24"/>
        </w:rPr>
      </w:pPr>
      <w:r>
        <w:rPr>
          <w:rFonts w:hint="eastAsia" w:ascii="宋体" w:hAnsi="宋体" w:cs="宋体"/>
          <w:sz w:val="24"/>
          <w:szCs w:val="24"/>
        </w:rPr>
        <w:t>（四）不同投标人的投标文件异常一致或者投标报价呈规律性差异；</w:t>
      </w:r>
    </w:p>
    <w:p>
      <w:pPr>
        <w:ind w:left="648" w:hanging="648" w:hangingChars="270"/>
        <w:rPr>
          <w:rFonts w:ascii="宋体" w:hAnsi="宋体" w:cs="宋体"/>
          <w:sz w:val="24"/>
          <w:szCs w:val="24"/>
        </w:rPr>
      </w:pPr>
      <w:r>
        <w:rPr>
          <w:rFonts w:hint="eastAsia" w:ascii="宋体" w:hAnsi="宋体" w:cs="宋体"/>
          <w:sz w:val="24"/>
          <w:szCs w:val="24"/>
        </w:rPr>
        <w:t>（五）不同投标人的投标文件相互混装；</w:t>
      </w:r>
    </w:p>
    <w:p>
      <w:pPr>
        <w:ind w:left="648" w:hanging="648" w:hangingChars="270"/>
        <w:rPr>
          <w:rFonts w:ascii="宋体" w:hAnsi="宋体" w:cs="宋体"/>
          <w:sz w:val="24"/>
          <w:szCs w:val="24"/>
        </w:rPr>
      </w:pPr>
      <w:r>
        <w:rPr>
          <w:rFonts w:hint="eastAsia" w:ascii="宋体" w:hAnsi="宋体" w:cs="宋体"/>
          <w:sz w:val="24"/>
          <w:szCs w:val="24"/>
        </w:rPr>
        <w:t>（六）不同投标人的投标保证金从同一单位或者个人的账户转出。</w:t>
      </w:r>
    </w:p>
    <w:p>
      <w:pPr>
        <w:ind w:firstLine="480" w:firstLineChars="200"/>
        <w:rPr>
          <w:rFonts w:ascii="宋体" w:hAnsi="宋体" w:cs="宋体"/>
          <w:sz w:val="24"/>
          <w:szCs w:val="24"/>
        </w:rPr>
      </w:pPr>
      <w:r>
        <w:rPr>
          <w:rFonts w:hint="eastAsia" w:ascii="宋体" w:hAnsi="宋体" w:cs="宋体"/>
          <w:sz w:val="24"/>
          <w:szCs w:val="24"/>
        </w:rPr>
        <w:t>投标人相互串通投标或者与采购人串通投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采购的项目的投标资格并予以公告，直至由工商行政管理机关吊销营业执照；构成犯罪的，依法追究刑事责任。给他人造成损失的，依法承担赔偿责任。</w:t>
      </w:r>
    </w:p>
    <w:p>
      <w:pPr>
        <w:pStyle w:val="2"/>
        <w:rPr>
          <w:szCs w:val="24"/>
        </w:rPr>
      </w:pPr>
    </w:p>
    <w:p>
      <w:pPr>
        <w:numPr>
          <w:ilvl w:val="255"/>
          <w:numId w:val="0"/>
        </w:numPr>
        <w:spacing w:line="240" w:lineRule="auto"/>
        <w:outlineLvl w:val="2"/>
        <w:rPr>
          <w:rFonts w:ascii="宋体" w:hAnsi="宋体" w:cs="宋体"/>
          <w:b/>
          <w:sz w:val="24"/>
          <w:szCs w:val="24"/>
        </w:rPr>
      </w:pPr>
      <w:bookmarkStart w:id="164" w:name="_Toc32244"/>
      <w:bookmarkStart w:id="165" w:name="_Toc13061"/>
      <w:r>
        <w:rPr>
          <w:rFonts w:hint="eastAsia" w:ascii="宋体" w:hAnsi="宋体" w:cs="宋体"/>
          <w:b/>
          <w:sz w:val="24"/>
          <w:szCs w:val="24"/>
        </w:rPr>
        <w:t>31.综合评审：</w:t>
      </w:r>
      <w:bookmarkEnd w:id="164"/>
      <w:bookmarkEnd w:id="165"/>
    </w:p>
    <w:p>
      <w:pPr>
        <w:snapToGrid/>
        <w:ind w:firstLine="480" w:firstLineChars="200"/>
        <w:rPr>
          <w:rFonts w:ascii="宋体" w:hAnsi="宋体" w:cs="宋体"/>
          <w:sz w:val="24"/>
          <w:szCs w:val="24"/>
        </w:rPr>
      </w:pPr>
      <w:r>
        <w:rPr>
          <w:rFonts w:hint="eastAsia" w:ascii="宋体" w:hAnsi="宋体" w:cs="宋体"/>
          <w:sz w:val="24"/>
          <w:szCs w:val="24"/>
        </w:rPr>
        <w:t>本次评标采用综合评分法（满分100分），其中价格部分占</w:t>
      </w:r>
      <w:r>
        <w:rPr>
          <w:rFonts w:ascii="宋体" w:hAnsi="宋体" w:cs="宋体"/>
          <w:sz w:val="24"/>
          <w:szCs w:val="24"/>
        </w:rPr>
        <w:t>3</w:t>
      </w:r>
      <w:r>
        <w:rPr>
          <w:rFonts w:hint="eastAsia" w:ascii="宋体" w:hAnsi="宋体" w:cs="宋体"/>
          <w:sz w:val="24"/>
          <w:szCs w:val="24"/>
        </w:rPr>
        <w:t>0分，商务技术部分占</w:t>
      </w:r>
      <w:r>
        <w:rPr>
          <w:rFonts w:ascii="宋体" w:hAnsi="宋体" w:cs="宋体"/>
          <w:sz w:val="24"/>
          <w:szCs w:val="24"/>
        </w:rPr>
        <w:t>7</w:t>
      </w:r>
      <w:r>
        <w:rPr>
          <w:rFonts w:hint="eastAsia" w:ascii="宋体" w:hAnsi="宋体" w:cs="宋体"/>
          <w:sz w:val="24"/>
          <w:szCs w:val="24"/>
        </w:rPr>
        <w:t>0分。</w:t>
      </w:r>
    </w:p>
    <w:p>
      <w:pPr>
        <w:numPr>
          <w:ilvl w:val="255"/>
          <w:numId w:val="0"/>
        </w:numPr>
        <w:rPr>
          <w:rFonts w:ascii="宋体" w:hAnsi="宋体" w:cs="宋体"/>
          <w:b/>
          <w:bCs/>
          <w:sz w:val="24"/>
          <w:szCs w:val="24"/>
        </w:rPr>
      </w:pPr>
      <w:r>
        <w:rPr>
          <w:rFonts w:hint="eastAsia" w:ascii="宋体" w:hAnsi="宋体" w:cs="宋体"/>
          <w:b/>
          <w:bCs/>
          <w:sz w:val="24"/>
          <w:szCs w:val="24"/>
        </w:rPr>
        <w:t>31.1.商务技术评分细则</w:t>
      </w:r>
    </w:p>
    <w:tbl>
      <w:tblPr>
        <w:tblStyle w:val="28"/>
        <w:tblW w:w="8330" w:type="dxa"/>
        <w:tblInd w:w="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190"/>
        <w:gridCol w:w="930"/>
        <w:gridCol w:w="5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8330"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4"/>
                <w:szCs w:val="24"/>
                <w:lang w:val="en-GB"/>
              </w:rPr>
            </w:pPr>
            <w:r>
              <w:rPr>
                <w:rFonts w:hint="eastAsia" w:ascii="宋体" w:hAnsi="宋体" w:cs="宋体"/>
                <w:b/>
                <w:bCs/>
                <w:sz w:val="24"/>
                <w:szCs w:val="24"/>
                <w:lang w:val="en-GB"/>
              </w:rPr>
              <w:t>商务</w:t>
            </w:r>
            <w:r>
              <w:rPr>
                <w:rFonts w:hint="eastAsia" w:ascii="宋体" w:hAnsi="宋体" w:cs="宋体"/>
                <w:b/>
                <w:bCs/>
                <w:sz w:val="24"/>
                <w:szCs w:val="24"/>
              </w:rPr>
              <w:t>技术</w:t>
            </w:r>
            <w:r>
              <w:rPr>
                <w:rFonts w:hint="eastAsia" w:ascii="宋体" w:hAnsi="宋体" w:cs="宋体"/>
                <w:b/>
                <w:bCs/>
                <w:sz w:val="24"/>
                <w:szCs w:val="24"/>
                <w:lang w:val="en-GB"/>
              </w:rPr>
              <w:t>评分细则（合计</w:t>
            </w:r>
            <w:r>
              <w:rPr>
                <w:rFonts w:ascii="宋体" w:hAnsi="宋体" w:cs="宋体"/>
                <w:b/>
                <w:bCs/>
                <w:sz w:val="24"/>
                <w:szCs w:val="24"/>
              </w:rPr>
              <w:t>7</w:t>
            </w:r>
            <w:r>
              <w:rPr>
                <w:rFonts w:hint="eastAsia" w:ascii="宋体" w:hAnsi="宋体" w:cs="宋体"/>
                <w:b/>
                <w:bCs/>
                <w:sz w:val="24"/>
                <w:szCs w:val="24"/>
              </w:rPr>
              <w:t>0</w:t>
            </w:r>
            <w:r>
              <w:rPr>
                <w:rFonts w:hint="eastAsia" w:ascii="宋体" w:hAnsi="宋体" w:cs="宋体"/>
                <w:b/>
                <w:bCs/>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7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4"/>
                <w:szCs w:val="24"/>
                <w:lang w:val="en-GB"/>
              </w:rPr>
            </w:pPr>
            <w:r>
              <w:rPr>
                <w:rFonts w:hint="eastAsia" w:ascii="宋体" w:hAnsi="宋体" w:cs="宋体"/>
                <w:sz w:val="24"/>
                <w:szCs w:val="24"/>
                <w:lang w:val="en-GB"/>
              </w:rPr>
              <w:t>序号</w:t>
            </w:r>
          </w:p>
        </w:tc>
        <w:tc>
          <w:tcPr>
            <w:tcW w:w="119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4"/>
                <w:szCs w:val="24"/>
                <w:lang w:val="en-GB"/>
              </w:rPr>
            </w:pPr>
            <w:r>
              <w:rPr>
                <w:rFonts w:hint="eastAsia" w:ascii="宋体" w:hAnsi="宋体" w:cs="宋体"/>
                <w:sz w:val="24"/>
                <w:szCs w:val="24"/>
                <w:lang w:val="en-GB"/>
              </w:rPr>
              <w:t>评分内容</w:t>
            </w:r>
          </w:p>
        </w:tc>
        <w:tc>
          <w:tcPr>
            <w:tcW w:w="93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4"/>
                <w:szCs w:val="24"/>
                <w:lang w:val="en-GB"/>
              </w:rPr>
            </w:pPr>
            <w:r>
              <w:rPr>
                <w:rFonts w:hint="eastAsia" w:ascii="宋体" w:hAnsi="宋体" w:cs="宋体"/>
                <w:sz w:val="24"/>
                <w:szCs w:val="24"/>
                <w:lang w:val="en-GB"/>
              </w:rPr>
              <w:t>分值</w:t>
            </w:r>
          </w:p>
        </w:tc>
        <w:tc>
          <w:tcPr>
            <w:tcW w:w="56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4"/>
                <w:szCs w:val="24"/>
                <w:lang w:val="en-GB"/>
              </w:rPr>
            </w:pPr>
            <w:r>
              <w:rPr>
                <w:rFonts w:hint="eastAsia" w:ascii="宋体" w:hAnsi="宋体" w:cs="宋体"/>
                <w:sz w:val="24"/>
                <w:szCs w:val="24"/>
                <w:lang w:val="en-GB"/>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4"/>
                <w:szCs w:val="24"/>
                <w:lang w:val="en-GB"/>
              </w:rPr>
            </w:pPr>
            <w:r>
              <w:rPr>
                <w:rFonts w:hint="eastAsia" w:ascii="宋体" w:hAnsi="宋体" w:cs="宋体"/>
                <w:sz w:val="24"/>
                <w:szCs w:val="24"/>
              </w:rPr>
              <w:t>1</w:t>
            </w:r>
          </w:p>
        </w:tc>
        <w:tc>
          <w:tcPr>
            <w:tcW w:w="1190" w:type="dxa"/>
            <w:tcBorders>
              <w:top w:val="single" w:color="auto" w:sz="4" w:space="0"/>
              <w:left w:val="single" w:color="auto" w:sz="4" w:space="0"/>
              <w:bottom w:val="single" w:color="auto" w:sz="4" w:space="0"/>
              <w:right w:val="single" w:color="auto" w:sz="4" w:space="0"/>
            </w:tcBorders>
            <w:vAlign w:val="center"/>
          </w:tcPr>
          <w:p>
            <w:pPr>
              <w:pStyle w:val="43"/>
              <w:spacing w:line="240" w:lineRule="auto"/>
              <w:ind w:firstLine="0" w:firstLineChars="0"/>
              <w:jc w:val="center"/>
              <w:rPr>
                <w:rFonts w:ascii="宋体" w:eastAsia="宋体" w:cs="宋体"/>
                <w:sz w:val="24"/>
                <w:szCs w:val="24"/>
                <w:lang w:val="en-GB"/>
              </w:rPr>
            </w:pPr>
            <w:r>
              <w:rPr>
                <w:rFonts w:hint="eastAsia" w:ascii="宋体" w:eastAsia="宋体" w:cs="宋体"/>
                <w:sz w:val="24"/>
                <w:szCs w:val="24"/>
              </w:rPr>
              <w:t>管理体系认证情况</w:t>
            </w:r>
          </w:p>
        </w:tc>
        <w:tc>
          <w:tcPr>
            <w:tcW w:w="93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4"/>
                <w:szCs w:val="24"/>
              </w:rPr>
            </w:pPr>
            <w:r>
              <w:rPr>
                <w:rFonts w:hint="eastAsia" w:ascii="宋体" w:hAnsi="宋体" w:cs="宋体"/>
                <w:bCs/>
                <w:sz w:val="24"/>
                <w:szCs w:val="24"/>
              </w:rPr>
              <w:t>3分</w:t>
            </w:r>
          </w:p>
        </w:tc>
        <w:tc>
          <w:tcPr>
            <w:tcW w:w="56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 xml:space="preserve">投标人具有的由国家认证认可监督管理部门批准设立的认证机构颁发并在有效期内的证书： </w:t>
            </w:r>
          </w:p>
          <w:p>
            <w:pPr>
              <w:spacing w:line="240" w:lineRule="auto"/>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①质量管理体系认证证书的，得1分；</w:t>
            </w:r>
          </w:p>
          <w:p>
            <w:pPr>
              <w:spacing w:line="240" w:lineRule="auto"/>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②环境管理体系认证证书的，得1分；</w:t>
            </w:r>
          </w:p>
          <w:p>
            <w:pPr>
              <w:spacing w:line="240" w:lineRule="auto"/>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③职业健康安全管理体系认证证书的，得1分；</w:t>
            </w:r>
          </w:p>
          <w:p>
            <w:pPr>
              <w:spacing w:line="240" w:lineRule="auto"/>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本项最高得3分。</w:t>
            </w:r>
          </w:p>
          <w:p>
            <w:pPr>
              <w:spacing w:line="240" w:lineRule="auto"/>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注：须提供有效证书复印件加盖投标人公章，否则不得分。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4"/>
                <w:szCs w:val="24"/>
                <w:lang w:val="en-GB"/>
              </w:rPr>
            </w:pPr>
            <w:r>
              <w:rPr>
                <w:rFonts w:hint="eastAsia" w:ascii="宋体" w:hAnsi="宋体" w:cs="宋体"/>
                <w:sz w:val="24"/>
                <w:szCs w:val="24"/>
              </w:rPr>
              <w:t>2</w:t>
            </w:r>
          </w:p>
        </w:tc>
        <w:tc>
          <w:tcPr>
            <w:tcW w:w="1190" w:type="dxa"/>
            <w:tcBorders>
              <w:top w:val="single" w:color="auto" w:sz="4" w:space="0"/>
              <w:left w:val="single" w:color="auto" w:sz="4" w:space="0"/>
              <w:bottom w:val="single" w:color="auto" w:sz="4" w:space="0"/>
              <w:right w:val="single" w:color="auto" w:sz="4" w:space="0"/>
            </w:tcBorders>
            <w:vAlign w:val="center"/>
          </w:tcPr>
          <w:p>
            <w:pPr>
              <w:pStyle w:val="43"/>
              <w:spacing w:line="240" w:lineRule="auto"/>
              <w:ind w:firstLine="0" w:firstLineChars="0"/>
              <w:jc w:val="center"/>
              <w:rPr>
                <w:rFonts w:ascii="宋体" w:eastAsia="宋体" w:cs="宋体"/>
                <w:sz w:val="24"/>
                <w:szCs w:val="24"/>
                <w:lang w:val="en-GB"/>
              </w:rPr>
            </w:pPr>
            <w:r>
              <w:rPr>
                <w:rFonts w:hint="eastAsia" w:ascii="宋体" w:eastAsia="宋体" w:cs="宋体"/>
                <w:sz w:val="24"/>
                <w:szCs w:val="24"/>
              </w:rPr>
              <w:t>业绩</w:t>
            </w:r>
          </w:p>
        </w:tc>
        <w:tc>
          <w:tcPr>
            <w:tcW w:w="93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 w:val="24"/>
                <w:szCs w:val="24"/>
              </w:rPr>
            </w:pPr>
            <w:r>
              <w:rPr>
                <w:rFonts w:hint="eastAsia" w:ascii="宋体" w:hAnsi="宋体" w:cs="宋体"/>
                <w:bCs/>
                <w:sz w:val="24"/>
                <w:szCs w:val="24"/>
              </w:rPr>
              <w:t>6分</w:t>
            </w:r>
          </w:p>
        </w:tc>
        <w:tc>
          <w:tcPr>
            <w:tcW w:w="56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根据投标人</w:t>
            </w:r>
            <w:r>
              <w:rPr>
                <w:rFonts w:hint="eastAsia" w:ascii="宋体" w:hAnsi="宋体" w:cs="宋体"/>
                <w:bCs/>
                <w:sz w:val="24"/>
                <w:szCs w:val="24"/>
                <w:lang w:val="zh-CN"/>
              </w:rPr>
              <w:t>2019年</w:t>
            </w:r>
            <w:r>
              <w:rPr>
                <w:rFonts w:hint="eastAsia" w:ascii="宋体" w:hAnsi="宋体" w:cs="宋体"/>
                <w:bCs/>
                <w:sz w:val="24"/>
                <w:szCs w:val="24"/>
              </w:rPr>
              <w:t>1月1日</w:t>
            </w:r>
            <w:r>
              <w:rPr>
                <w:rFonts w:hint="eastAsia" w:ascii="宋体" w:hAnsi="宋体" w:cs="宋体"/>
                <w:bCs/>
                <w:sz w:val="24"/>
                <w:szCs w:val="24"/>
                <w:lang w:val="zh-CN"/>
              </w:rPr>
              <w:t>至今</w:t>
            </w:r>
            <w:r>
              <w:rPr>
                <w:rFonts w:hint="eastAsia" w:ascii="宋体" w:hAnsi="宋体" w:cs="宋体"/>
                <w:sz w:val="24"/>
                <w:szCs w:val="24"/>
                <w:shd w:val="clear" w:color="auto" w:fill="FFFFFF"/>
              </w:rPr>
              <w:t>完成的环卫车辆类项目业绩情况进行评审：</w:t>
            </w:r>
          </w:p>
          <w:p>
            <w:pPr>
              <w:spacing w:line="240" w:lineRule="auto"/>
              <w:ind w:firstLine="480"/>
              <w:rPr>
                <w:rFonts w:ascii="宋体" w:hAnsi="宋体" w:cs="宋体"/>
                <w:sz w:val="24"/>
                <w:szCs w:val="24"/>
                <w:shd w:val="clear" w:color="auto" w:fill="FFFFFF"/>
              </w:rPr>
            </w:pPr>
            <w:r>
              <w:rPr>
                <w:rFonts w:hint="eastAsia" w:ascii="宋体" w:hAnsi="宋体" w:cs="宋体"/>
                <w:sz w:val="24"/>
                <w:szCs w:val="24"/>
                <w:shd w:val="clear" w:color="auto" w:fill="FFFFFF"/>
              </w:rPr>
              <w:t>①每提供一份合同金额≥500万元</w:t>
            </w:r>
            <w:r>
              <w:rPr>
                <w:rFonts w:ascii="宋体" w:hAnsi="宋体" w:cs="宋体"/>
                <w:sz w:val="24"/>
                <w:szCs w:val="24"/>
                <w:shd w:val="clear" w:color="auto" w:fill="FFFFFF"/>
              </w:rPr>
              <w:t>业绩</w:t>
            </w:r>
            <w:r>
              <w:rPr>
                <w:rFonts w:hint="eastAsia" w:ascii="宋体" w:hAnsi="宋体" w:cs="宋体"/>
                <w:sz w:val="24"/>
                <w:szCs w:val="24"/>
                <w:shd w:val="clear" w:color="auto" w:fill="FFFFFF"/>
              </w:rPr>
              <w:t>，每份得1分；</w:t>
            </w:r>
          </w:p>
          <w:p>
            <w:pPr>
              <w:spacing w:line="240" w:lineRule="auto"/>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②每提供一份合同金额≥1000万元</w:t>
            </w:r>
            <w:r>
              <w:rPr>
                <w:rFonts w:ascii="宋体" w:hAnsi="宋体" w:cs="宋体"/>
                <w:sz w:val="24"/>
                <w:szCs w:val="24"/>
                <w:shd w:val="clear" w:color="auto" w:fill="FFFFFF"/>
              </w:rPr>
              <w:t>业绩</w:t>
            </w:r>
            <w:r>
              <w:rPr>
                <w:rFonts w:hint="eastAsia" w:ascii="宋体" w:hAnsi="宋体" w:cs="宋体"/>
                <w:sz w:val="24"/>
                <w:szCs w:val="24"/>
                <w:shd w:val="clear" w:color="auto" w:fill="FFFFFF"/>
              </w:rPr>
              <w:t>，每份得2分；</w:t>
            </w:r>
          </w:p>
          <w:p>
            <w:pPr>
              <w:spacing w:line="240" w:lineRule="auto"/>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本项最高得6分。</w:t>
            </w:r>
          </w:p>
          <w:p>
            <w:pPr>
              <w:spacing w:line="240" w:lineRule="auto"/>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注：须提供合同复印件及该合同期内任意一期发票复印件并加盖投标人公章，否则不得分。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57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4"/>
                <w:szCs w:val="24"/>
              </w:rPr>
            </w:pPr>
            <w:r>
              <w:rPr>
                <w:rFonts w:hint="eastAsia" w:ascii="宋体" w:hAnsi="宋体" w:cs="宋体"/>
                <w:sz w:val="24"/>
                <w:szCs w:val="24"/>
              </w:rPr>
              <w:t>3</w:t>
            </w:r>
          </w:p>
        </w:tc>
        <w:tc>
          <w:tcPr>
            <w:tcW w:w="1190" w:type="dxa"/>
            <w:tcBorders>
              <w:top w:val="single" w:color="auto" w:sz="4" w:space="0"/>
              <w:left w:val="single" w:color="auto" w:sz="4" w:space="0"/>
              <w:bottom w:val="single" w:color="auto" w:sz="4" w:space="0"/>
              <w:right w:val="single" w:color="auto" w:sz="4" w:space="0"/>
            </w:tcBorders>
            <w:vAlign w:val="center"/>
          </w:tcPr>
          <w:p>
            <w:pPr>
              <w:pStyle w:val="43"/>
              <w:spacing w:line="240" w:lineRule="auto"/>
              <w:ind w:firstLine="0" w:firstLineChars="0"/>
              <w:jc w:val="center"/>
              <w:rPr>
                <w:rFonts w:ascii="宋体" w:eastAsia="宋体" w:cs="宋体"/>
                <w:sz w:val="24"/>
                <w:szCs w:val="24"/>
              </w:rPr>
            </w:pPr>
            <w:r>
              <w:rPr>
                <w:rFonts w:hint="eastAsia" w:ascii="宋体" w:eastAsia="宋体" w:cs="宋体"/>
                <w:sz w:val="24"/>
                <w:szCs w:val="24"/>
              </w:rPr>
              <w:t>产品专利</w:t>
            </w:r>
          </w:p>
        </w:tc>
        <w:tc>
          <w:tcPr>
            <w:tcW w:w="93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 w:val="24"/>
                <w:szCs w:val="24"/>
              </w:rPr>
            </w:pPr>
            <w:r>
              <w:rPr>
                <w:rFonts w:hint="eastAsia" w:ascii="宋体" w:hAnsi="宋体" w:cs="宋体"/>
                <w:bCs/>
                <w:sz w:val="24"/>
                <w:szCs w:val="24"/>
              </w:rPr>
              <w:t>5分</w:t>
            </w:r>
          </w:p>
        </w:tc>
        <w:tc>
          <w:tcPr>
            <w:tcW w:w="56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根据投标人或投标产品制造商所投设备（“洒水车”、“路面养护车”、“湿洗扫车”、“压缩式垃圾运输车”中的任意一类）获得国家知识产权局颁发并在有效期内的相关专利证书的:</w:t>
            </w:r>
          </w:p>
          <w:p>
            <w:pPr>
              <w:spacing w:line="240" w:lineRule="auto"/>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每获得一个发明专利证书得0.5分，本项最高得5分。</w:t>
            </w:r>
          </w:p>
          <w:p>
            <w:pPr>
              <w:spacing w:line="240" w:lineRule="auto"/>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注：须提供投标人或投标产品制造商产品所投设备的有效专利证书复印件并加盖投标人公章，否则不得分。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57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4"/>
                <w:szCs w:val="24"/>
              </w:rPr>
            </w:pPr>
            <w:r>
              <w:rPr>
                <w:rFonts w:hint="eastAsia" w:ascii="宋体" w:hAnsi="宋体" w:cs="宋体"/>
                <w:sz w:val="24"/>
                <w:szCs w:val="24"/>
              </w:rPr>
              <w:t>4</w:t>
            </w:r>
          </w:p>
        </w:tc>
        <w:tc>
          <w:tcPr>
            <w:tcW w:w="1190" w:type="dxa"/>
            <w:tcBorders>
              <w:top w:val="single" w:color="auto" w:sz="4" w:space="0"/>
              <w:left w:val="single" w:color="auto" w:sz="4" w:space="0"/>
              <w:bottom w:val="single" w:color="auto" w:sz="4" w:space="0"/>
              <w:right w:val="single" w:color="auto" w:sz="4" w:space="0"/>
            </w:tcBorders>
            <w:vAlign w:val="center"/>
          </w:tcPr>
          <w:p>
            <w:pPr>
              <w:pStyle w:val="43"/>
              <w:spacing w:line="240" w:lineRule="auto"/>
              <w:ind w:firstLine="0" w:firstLineChars="0"/>
              <w:jc w:val="center"/>
              <w:rPr>
                <w:rFonts w:ascii="宋体" w:eastAsia="宋体" w:cs="宋体"/>
                <w:sz w:val="24"/>
                <w:szCs w:val="24"/>
              </w:rPr>
            </w:pPr>
            <w:r>
              <w:rPr>
                <w:rFonts w:hint="eastAsia" w:ascii="宋体" w:eastAsia="宋体" w:cs="宋体"/>
                <w:sz w:val="24"/>
                <w:szCs w:val="24"/>
              </w:rPr>
              <w:t>公司实力</w:t>
            </w:r>
          </w:p>
        </w:tc>
        <w:tc>
          <w:tcPr>
            <w:tcW w:w="93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 w:val="24"/>
                <w:szCs w:val="24"/>
              </w:rPr>
            </w:pPr>
            <w:r>
              <w:rPr>
                <w:rFonts w:ascii="宋体" w:hAnsi="宋体" w:cs="宋体"/>
                <w:bCs/>
                <w:sz w:val="24"/>
                <w:szCs w:val="24"/>
              </w:rPr>
              <w:t>5</w:t>
            </w:r>
            <w:r>
              <w:rPr>
                <w:rFonts w:hint="eastAsia" w:ascii="宋体" w:hAnsi="宋体" w:cs="宋体"/>
                <w:bCs/>
                <w:sz w:val="24"/>
                <w:szCs w:val="24"/>
              </w:rPr>
              <w:t>分</w:t>
            </w:r>
          </w:p>
        </w:tc>
        <w:tc>
          <w:tcPr>
            <w:tcW w:w="56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投标人或投标产品制造商有参与主编或参编环卫设备的国家标准制定的得</w:t>
            </w:r>
            <w:r>
              <w:rPr>
                <w:rFonts w:ascii="宋体" w:hAnsi="宋体" w:cs="宋体"/>
                <w:sz w:val="24"/>
                <w:szCs w:val="24"/>
                <w:shd w:val="clear" w:color="auto" w:fill="FFFFFF"/>
              </w:rPr>
              <w:t>5</w:t>
            </w:r>
            <w:r>
              <w:rPr>
                <w:rFonts w:hint="eastAsia" w:ascii="宋体" w:hAnsi="宋体" w:cs="宋体"/>
                <w:sz w:val="24"/>
                <w:szCs w:val="24"/>
                <w:shd w:val="clear" w:color="auto" w:fill="FFFFFF"/>
              </w:rPr>
              <w:t>分；有参与主编或参编环卫设备行业标准制定的得</w:t>
            </w:r>
            <w:r>
              <w:rPr>
                <w:rFonts w:ascii="宋体" w:hAnsi="宋体" w:cs="宋体"/>
                <w:sz w:val="24"/>
                <w:szCs w:val="24"/>
                <w:shd w:val="clear" w:color="auto" w:fill="FFFFFF"/>
              </w:rPr>
              <w:t>3</w:t>
            </w:r>
            <w:r>
              <w:rPr>
                <w:rFonts w:hint="eastAsia" w:ascii="宋体" w:hAnsi="宋体" w:cs="宋体"/>
                <w:sz w:val="24"/>
                <w:szCs w:val="24"/>
                <w:shd w:val="clear" w:color="auto" w:fill="FFFFFF"/>
              </w:rPr>
              <w:t>分；有参与主编或参编环卫设备团体标准制定的得1分。</w:t>
            </w:r>
          </w:p>
          <w:p>
            <w:pPr>
              <w:spacing w:line="240" w:lineRule="auto"/>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本项最高得</w:t>
            </w:r>
            <w:r>
              <w:rPr>
                <w:rFonts w:ascii="宋体" w:hAnsi="宋体" w:cs="宋体"/>
                <w:sz w:val="24"/>
                <w:szCs w:val="24"/>
                <w:shd w:val="clear" w:color="auto" w:fill="FFFFFF"/>
              </w:rPr>
              <w:t>5</w:t>
            </w:r>
            <w:r>
              <w:rPr>
                <w:rFonts w:hint="eastAsia" w:ascii="宋体" w:hAnsi="宋体" w:cs="宋体"/>
                <w:sz w:val="24"/>
                <w:szCs w:val="24"/>
                <w:shd w:val="clear" w:color="auto" w:fill="FFFFFF"/>
              </w:rPr>
              <w:t>分。</w:t>
            </w:r>
          </w:p>
          <w:p>
            <w:pPr>
              <w:spacing w:line="240" w:lineRule="auto"/>
              <w:ind w:firstLine="480" w:firstLineChars="200"/>
            </w:pPr>
            <w:r>
              <w:rPr>
                <w:rFonts w:hint="eastAsia" w:ascii="宋体" w:hAnsi="宋体" w:cs="宋体"/>
                <w:sz w:val="24"/>
                <w:szCs w:val="24"/>
                <w:shd w:val="clear" w:color="auto" w:fill="FFFFFF"/>
              </w:rPr>
              <w:t>注：须提供相关证明文件，并加盖公章，否则不得分。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7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 w:val="24"/>
                <w:szCs w:val="24"/>
              </w:rPr>
            </w:pPr>
            <w:r>
              <w:rPr>
                <w:rFonts w:hint="eastAsia" w:ascii="宋体" w:hAnsi="宋体" w:cs="宋体"/>
                <w:bCs/>
                <w:sz w:val="24"/>
                <w:szCs w:val="24"/>
              </w:rPr>
              <w:t>5</w:t>
            </w:r>
          </w:p>
        </w:tc>
        <w:tc>
          <w:tcPr>
            <w:tcW w:w="11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uto"/>
              <w:jc w:val="center"/>
              <w:rPr>
                <w:rFonts w:ascii="宋体" w:hAnsi="宋体" w:cs="宋体"/>
                <w:sz w:val="24"/>
                <w:szCs w:val="24"/>
              </w:rPr>
            </w:pPr>
            <w:r>
              <w:rPr>
                <w:rFonts w:hint="eastAsia" w:ascii="宋体" w:hAnsi="宋体" w:cs="宋体"/>
                <w:kern w:val="2"/>
                <w:sz w:val="24"/>
                <w:szCs w:val="24"/>
              </w:rPr>
              <w:t>技术参数响应情况</w:t>
            </w:r>
          </w:p>
        </w:tc>
        <w:tc>
          <w:tcPr>
            <w:tcW w:w="930" w:type="dxa"/>
            <w:tcBorders>
              <w:top w:val="single" w:color="auto" w:sz="4" w:space="0"/>
              <w:left w:val="single" w:color="auto" w:sz="4" w:space="0"/>
              <w:bottom w:val="single" w:color="auto" w:sz="4" w:space="0"/>
              <w:right w:val="single" w:color="auto" w:sz="4" w:space="0"/>
            </w:tcBorders>
            <w:vAlign w:val="center"/>
          </w:tcPr>
          <w:p>
            <w:pPr>
              <w:pStyle w:val="43"/>
              <w:spacing w:line="240" w:lineRule="auto"/>
              <w:ind w:firstLine="0" w:firstLineChars="0"/>
              <w:jc w:val="center"/>
              <w:rPr>
                <w:rFonts w:ascii="宋体" w:eastAsia="宋体" w:cs="宋体"/>
                <w:sz w:val="24"/>
                <w:szCs w:val="24"/>
              </w:rPr>
            </w:pPr>
            <w:r>
              <w:rPr>
                <w:rFonts w:hint="eastAsia" w:ascii="宋体" w:eastAsia="宋体" w:cs="宋体"/>
                <w:sz w:val="24"/>
                <w:szCs w:val="24"/>
              </w:rPr>
              <w:t>10分</w:t>
            </w:r>
          </w:p>
        </w:tc>
        <w:tc>
          <w:tcPr>
            <w:tcW w:w="56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480" w:firstLineChars="200"/>
              <w:rPr>
                <w:rFonts w:ascii="宋体" w:hAnsi="宋体" w:cs="宋体"/>
                <w:sz w:val="24"/>
                <w:szCs w:val="24"/>
                <w:shd w:val="clear" w:color="auto" w:fill="FFFFFF"/>
                <w:lang w:val="zh-CN"/>
              </w:rPr>
            </w:pPr>
            <w:r>
              <w:rPr>
                <w:rFonts w:hint="eastAsia" w:ascii="宋体" w:hAnsi="宋体" w:cs="宋体"/>
                <w:sz w:val="24"/>
                <w:szCs w:val="24"/>
                <w:shd w:val="clear" w:color="auto" w:fill="FFFFFF"/>
                <w:lang w:val="zh-CN"/>
              </w:rPr>
              <w:t>对用户需求书中带“▲”技术要求条款的技术指标进行响应，若全部响应为满足或优于的得</w:t>
            </w:r>
            <w:r>
              <w:rPr>
                <w:rFonts w:hint="eastAsia" w:ascii="宋体" w:hAnsi="宋体" w:cs="宋体"/>
                <w:sz w:val="24"/>
                <w:szCs w:val="24"/>
                <w:shd w:val="clear" w:color="auto" w:fill="FFFFFF"/>
              </w:rPr>
              <w:t>10</w:t>
            </w:r>
            <w:r>
              <w:rPr>
                <w:rFonts w:hint="eastAsia" w:ascii="宋体" w:hAnsi="宋体" w:cs="宋体"/>
                <w:sz w:val="24"/>
                <w:szCs w:val="24"/>
                <w:shd w:val="clear" w:color="auto" w:fill="FFFFFF"/>
                <w:lang w:val="zh-CN"/>
              </w:rPr>
              <w:t>分，不满足或者不响应的每一个扣</w:t>
            </w:r>
            <w:r>
              <w:rPr>
                <w:rFonts w:hint="eastAsia" w:ascii="宋体" w:hAnsi="宋体" w:cs="宋体"/>
                <w:sz w:val="24"/>
                <w:szCs w:val="24"/>
                <w:shd w:val="clear" w:color="auto" w:fill="FFFFFF"/>
              </w:rPr>
              <w:t>0.5</w:t>
            </w:r>
            <w:r>
              <w:rPr>
                <w:rFonts w:hint="eastAsia" w:ascii="宋体" w:hAnsi="宋体" w:cs="宋体"/>
                <w:sz w:val="24"/>
                <w:szCs w:val="24"/>
                <w:shd w:val="clear" w:color="auto" w:fill="FFFFFF"/>
                <w:lang w:val="zh-CN"/>
              </w:rPr>
              <w:t>分，扣完为止，本项最低得0分。</w:t>
            </w:r>
          </w:p>
          <w:p>
            <w:pPr>
              <w:spacing w:line="240" w:lineRule="auto"/>
              <w:ind w:firstLine="480" w:firstLineChars="200"/>
              <w:rPr>
                <w:rFonts w:ascii="宋体" w:hAnsi="宋体" w:cs="宋体"/>
                <w:sz w:val="24"/>
                <w:szCs w:val="24"/>
                <w:shd w:val="clear" w:color="auto" w:fill="FFFFFF"/>
                <w:lang w:val="zh-CN"/>
              </w:rPr>
            </w:pPr>
            <w:r>
              <w:rPr>
                <w:rFonts w:hint="eastAsia" w:ascii="宋体" w:hAnsi="宋体" w:cs="宋体"/>
                <w:sz w:val="24"/>
                <w:szCs w:val="24"/>
                <w:shd w:val="clear" w:color="auto" w:fill="FFFFFF"/>
                <w:lang w:val="zh-CN"/>
              </w:rPr>
              <w:t>①对用户需求中的带“▲”技术指标条款，用户需求书要求提供证明资料的，则投标文件中须提供对应产品参数的证明资料并加盖投标人公章；</w:t>
            </w:r>
          </w:p>
          <w:p>
            <w:pPr>
              <w:spacing w:line="240" w:lineRule="auto"/>
              <w:ind w:firstLine="480" w:firstLineChars="200"/>
              <w:rPr>
                <w:rFonts w:ascii="宋体" w:hAnsi="宋体" w:cs="宋体"/>
                <w:sz w:val="24"/>
                <w:szCs w:val="24"/>
                <w:shd w:val="clear" w:color="auto" w:fill="FFFFFF"/>
                <w:lang w:val="zh-CN"/>
              </w:rPr>
            </w:pPr>
            <w:r>
              <w:rPr>
                <w:rFonts w:hint="eastAsia" w:ascii="宋体" w:hAnsi="宋体" w:cs="宋体"/>
                <w:sz w:val="24"/>
                <w:szCs w:val="24"/>
                <w:shd w:val="clear" w:color="auto" w:fill="FFFFFF"/>
                <w:lang w:val="zh-CN"/>
              </w:rPr>
              <w:t>②对用户需求书中带“▲”技术指标条款，用户需求书未要求提供证明资料的，则投标文件中须提供所投产品彩页原件或原厂商的官方技术白皮书或原厂商所作的技术参数说明等详细技术资料并加盖投标人公章。</w:t>
            </w:r>
          </w:p>
          <w:p>
            <w:pPr>
              <w:spacing w:line="240" w:lineRule="auto"/>
              <w:ind w:firstLine="480" w:firstLineChars="200"/>
              <w:rPr>
                <w:rFonts w:ascii="宋体" w:hAnsi="宋体" w:cs="宋体"/>
                <w:sz w:val="24"/>
                <w:szCs w:val="24"/>
                <w:shd w:val="clear" w:color="auto" w:fill="FFFFFF"/>
                <w:lang w:val="zh-CN"/>
              </w:rPr>
            </w:pPr>
            <w:r>
              <w:rPr>
                <w:rFonts w:hint="eastAsia" w:ascii="宋体" w:hAnsi="宋体" w:cs="宋体"/>
                <w:sz w:val="24"/>
                <w:szCs w:val="24"/>
                <w:shd w:val="clear" w:color="auto" w:fill="FFFFFF"/>
                <w:lang w:val="zh-CN"/>
              </w:rPr>
              <w:t>（投标人必须按所投产品实际参数进行响应，否则视为提供虚假材料谋取中标资格。）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70" w:type="dxa"/>
            <w:vMerge w:val="restart"/>
            <w:tcBorders>
              <w:top w:val="single" w:color="auto" w:sz="4" w:space="0"/>
              <w:left w:val="single" w:color="auto" w:sz="4" w:space="0"/>
              <w:right w:val="single" w:color="auto" w:sz="4" w:space="0"/>
            </w:tcBorders>
            <w:vAlign w:val="center"/>
          </w:tcPr>
          <w:p>
            <w:pPr>
              <w:spacing w:line="240" w:lineRule="auto"/>
              <w:jc w:val="center"/>
              <w:rPr>
                <w:rFonts w:ascii="宋体" w:hAnsi="宋体" w:cs="宋体"/>
                <w:bCs/>
                <w:sz w:val="24"/>
                <w:szCs w:val="24"/>
              </w:rPr>
            </w:pPr>
          </w:p>
          <w:p>
            <w:pPr>
              <w:jc w:val="center"/>
              <w:rPr>
                <w:rFonts w:ascii="宋体" w:hAnsi="宋体" w:cs="宋体"/>
                <w:sz w:val="24"/>
                <w:szCs w:val="24"/>
              </w:rPr>
            </w:pPr>
            <w:r>
              <w:rPr>
                <w:rFonts w:hint="eastAsia" w:ascii="宋体" w:hAnsi="宋体" w:cs="宋体"/>
                <w:sz w:val="24"/>
                <w:szCs w:val="24"/>
              </w:rPr>
              <w:t>6</w:t>
            </w:r>
          </w:p>
        </w:tc>
        <w:tc>
          <w:tcPr>
            <w:tcW w:w="1190" w:type="dxa"/>
            <w:vMerge w:val="restart"/>
            <w:tcBorders>
              <w:top w:val="single" w:color="auto" w:sz="4" w:space="0"/>
              <w:left w:val="single" w:color="auto" w:sz="4" w:space="0"/>
              <w:right w:val="single" w:color="auto" w:sz="4" w:space="0"/>
            </w:tcBorders>
            <w:vAlign w:val="center"/>
          </w:tcPr>
          <w:p>
            <w:pPr>
              <w:autoSpaceDE w:val="0"/>
              <w:autoSpaceDN w:val="0"/>
              <w:spacing w:line="240" w:lineRule="auto"/>
              <w:jc w:val="center"/>
              <w:rPr>
                <w:rFonts w:ascii="宋体" w:hAnsi="宋体" w:cs="宋体"/>
                <w:kern w:val="2"/>
                <w:sz w:val="24"/>
                <w:szCs w:val="24"/>
              </w:rPr>
            </w:pPr>
            <w:r>
              <w:rPr>
                <w:rFonts w:hint="eastAsia" w:ascii="宋体" w:hAnsi="宋体" w:cs="宋体"/>
                <w:sz w:val="24"/>
                <w:szCs w:val="24"/>
                <w:shd w:val="clear" w:color="auto" w:fill="FFFFFF"/>
                <w:lang w:val="zh-CN"/>
              </w:rPr>
              <w:t>环卫车辆主要性能及特点</w:t>
            </w:r>
          </w:p>
        </w:tc>
        <w:tc>
          <w:tcPr>
            <w:tcW w:w="930" w:type="dxa"/>
            <w:tcBorders>
              <w:top w:val="single" w:color="auto" w:sz="4" w:space="0"/>
              <w:left w:val="single" w:color="auto" w:sz="4" w:space="0"/>
              <w:bottom w:val="single" w:color="auto" w:sz="4" w:space="0"/>
              <w:right w:val="single" w:color="auto" w:sz="4" w:space="0"/>
            </w:tcBorders>
            <w:vAlign w:val="center"/>
          </w:tcPr>
          <w:p>
            <w:pPr>
              <w:pStyle w:val="43"/>
              <w:spacing w:line="240" w:lineRule="auto"/>
              <w:ind w:firstLine="0" w:firstLineChars="0"/>
              <w:jc w:val="center"/>
              <w:rPr>
                <w:rFonts w:ascii="宋体" w:eastAsia="宋体" w:cs="宋体"/>
                <w:sz w:val="24"/>
                <w:szCs w:val="24"/>
              </w:rPr>
            </w:pPr>
            <w:r>
              <w:rPr>
                <w:rFonts w:ascii="宋体" w:eastAsia="宋体" w:cs="宋体"/>
                <w:sz w:val="24"/>
                <w:szCs w:val="24"/>
              </w:rPr>
              <w:t>6</w:t>
            </w:r>
            <w:r>
              <w:rPr>
                <w:rFonts w:hint="eastAsia" w:ascii="宋体" w:eastAsia="宋体" w:cs="宋体"/>
                <w:sz w:val="24"/>
                <w:szCs w:val="24"/>
              </w:rPr>
              <w:t>分</w:t>
            </w:r>
          </w:p>
        </w:tc>
        <w:tc>
          <w:tcPr>
            <w:tcW w:w="56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480" w:firstLineChars="200"/>
              <w:rPr>
                <w:rFonts w:ascii="宋体" w:hAnsi="宋体" w:cs="宋体"/>
                <w:sz w:val="24"/>
                <w:szCs w:val="24"/>
                <w:shd w:val="clear" w:color="auto" w:fill="FFFFFF"/>
                <w:lang w:val="zh-CN"/>
              </w:rPr>
            </w:pPr>
            <w:r>
              <w:rPr>
                <w:rFonts w:hint="eastAsia" w:ascii="宋体" w:hAnsi="宋体" w:cs="宋体"/>
                <w:sz w:val="24"/>
                <w:szCs w:val="24"/>
                <w:shd w:val="clear" w:color="auto" w:fill="FFFFFF"/>
              </w:rPr>
              <w:t>根据</w:t>
            </w:r>
            <w:r>
              <w:rPr>
                <w:rFonts w:hint="eastAsia" w:ascii="宋体" w:hAnsi="宋体" w:cs="宋体"/>
                <w:sz w:val="24"/>
                <w:szCs w:val="24"/>
                <w:shd w:val="clear" w:color="auto" w:fill="FFFFFF"/>
                <w:lang w:val="zh-CN"/>
              </w:rPr>
              <w:t>各</w:t>
            </w:r>
            <w:r>
              <w:rPr>
                <w:rFonts w:hint="eastAsia" w:ascii="宋体" w:hAnsi="宋体" w:cs="宋体"/>
                <w:sz w:val="24"/>
                <w:szCs w:val="24"/>
                <w:shd w:val="clear" w:color="auto" w:fill="FFFFFF"/>
              </w:rPr>
              <w:t>投标人</w:t>
            </w:r>
            <w:r>
              <w:rPr>
                <w:rFonts w:hint="eastAsia" w:ascii="宋体" w:hAnsi="宋体" w:cs="宋体"/>
                <w:sz w:val="24"/>
                <w:szCs w:val="24"/>
                <w:shd w:val="clear" w:color="auto" w:fill="FFFFFF"/>
                <w:lang w:val="zh-CN"/>
              </w:rPr>
              <w:t>提供的</w:t>
            </w:r>
            <w:r>
              <w:rPr>
                <w:rFonts w:hint="eastAsia" w:ascii="宋体" w:hAnsi="宋体" w:cs="宋体"/>
                <w:kern w:val="2"/>
                <w:sz w:val="24"/>
                <w:szCs w:val="24"/>
              </w:rPr>
              <w:t>10吨电动湿式扫路车、5</w:t>
            </w:r>
            <w:r>
              <w:rPr>
                <w:rFonts w:ascii="宋体" w:hAnsi="宋体" w:cs="宋体"/>
                <w:kern w:val="2"/>
                <w:sz w:val="24"/>
                <w:szCs w:val="24"/>
              </w:rPr>
              <w:t>T/18T</w:t>
            </w:r>
            <w:r>
              <w:rPr>
                <w:rFonts w:hint="eastAsia" w:ascii="宋体" w:hAnsi="宋体" w:cs="宋体"/>
                <w:kern w:val="2"/>
                <w:sz w:val="24"/>
                <w:szCs w:val="24"/>
              </w:rPr>
              <w:t>高压洒水车（纯电）、18吨抑尘车（电动）、4吨纯电动洗扫车的</w:t>
            </w:r>
            <w:r>
              <w:rPr>
                <w:rFonts w:hint="eastAsia" w:ascii="宋体" w:hAnsi="宋体" w:cs="宋体"/>
                <w:sz w:val="24"/>
                <w:szCs w:val="24"/>
                <w:shd w:val="clear" w:color="auto" w:fill="FFFFFF"/>
                <w:lang w:val="zh-CN"/>
              </w:rPr>
              <w:t>动力电池的冷却系统、综合续航能力的先进性和可靠性</w:t>
            </w:r>
            <w:r>
              <w:rPr>
                <w:rFonts w:hint="eastAsia" w:ascii="宋体" w:hAnsi="宋体" w:cs="宋体"/>
                <w:sz w:val="24"/>
                <w:szCs w:val="24"/>
                <w:shd w:val="clear" w:color="auto" w:fill="FFFFFF"/>
              </w:rPr>
              <w:t>进行横向对比：</w:t>
            </w:r>
            <w:r>
              <w:rPr>
                <w:rFonts w:hint="eastAsia" w:ascii="宋体" w:hAnsi="宋体" w:cs="宋体"/>
                <w:sz w:val="24"/>
                <w:szCs w:val="24"/>
                <w:shd w:val="clear" w:color="auto" w:fill="FFFFFF"/>
                <w:lang w:val="zh-CN"/>
              </w:rPr>
              <w:t>优得</w:t>
            </w:r>
            <w:r>
              <w:rPr>
                <w:rFonts w:hint="eastAsia" w:ascii="宋体" w:hAnsi="宋体" w:cs="宋体"/>
                <w:sz w:val="24"/>
                <w:szCs w:val="24"/>
                <w:shd w:val="clear" w:color="auto" w:fill="FFFFFF"/>
              </w:rPr>
              <w:t>6</w:t>
            </w:r>
            <w:r>
              <w:rPr>
                <w:rFonts w:hint="eastAsia" w:ascii="宋体" w:hAnsi="宋体" w:cs="宋体"/>
                <w:sz w:val="24"/>
                <w:szCs w:val="24"/>
                <w:shd w:val="clear" w:color="auto" w:fill="FFFFFF"/>
                <w:lang w:val="zh-CN"/>
              </w:rPr>
              <w:t>分，良得3分，中得1分，差不得分。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70" w:type="dxa"/>
            <w:vMerge w:val="continue"/>
            <w:tcBorders>
              <w:left w:val="single" w:color="auto" w:sz="4" w:space="0"/>
              <w:right w:val="single" w:color="auto" w:sz="4" w:space="0"/>
            </w:tcBorders>
            <w:vAlign w:val="center"/>
          </w:tcPr>
          <w:p>
            <w:pPr>
              <w:spacing w:line="240" w:lineRule="auto"/>
              <w:jc w:val="center"/>
              <w:rPr>
                <w:rFonts w:ascii="宋体" w:hAnsi="宋体" w:cs="宋体"/>
                <w:bCs/>
                <w:sz w:val="24"/>
                <w:szCs w:val="24"/>
              </w:rPr>
            </w:pPr>
          </w:p>
        </w:tc>
        <w:tc>
          <w:tcPr>
            <w:tcW w:w="1190" w:type="dxa"/>
            <w:vMerge w:val="continue"/>
            <w:tcBorders>
              <w:left w:val="single" w:color="auto" w:sz="4" w:space="0"/>
              <w:right w:val="single" w:color="auto" w:sz="4" w:space="0"/>
            </w:tcBorders>
            <w:vAlign w:val="center"/>
          </w:tcPr>
          <w:p>
            <w:pPr>
              <w:autoSpaceDE w:val="0"/>
              <w:autoSpaceDN w:val="0"/>
              <w:spacing w:line="240" w:lineRule="auto"/>
              <w:jc w:val="center"/>
              <w:rPr>
                <w:rFonts w:ascii="宋体" w:hAnsi="宋体" w:cs="宋体"/>
                <w:sz w:val="24"/>
                <w:szCs w:val="24"/>
                <w:shd w:val="clear" w:color="auto" w:fill="FFFFFF"/>
                <w:lang w:val="zh-CN"/>
              </w:rPr>
            </w:pPr>
          </w:p>
        </w:tc>
        <w:tc>
          <w:tcPr>
            <w:tcW w:w="930" w:type="dxa"/>
            <w:tcBorders>
              <w:top w:val="single" w:color="auto" w:sz="4" w:space="0"/>
              <w:left w:val="single" w:color="auto" w:sz="4" w:space="0"/>
              <w:bottom w:val="single" w:color="auto" w:sz="4" w:space="0"/>
              <w:right w:val="single" w:color="auto" w:sz="4" w:space="0"/>
            </w:tcBorders>
            <w:vAlign w:val="center"/>
          </w:tcPr>
          <w:p>
            <w:pPr>
              <w:pStyle w:val="43"/>
              <w:spacing w:line="240" w:lineRule="auto"/>
              <w:ind w:firstLine="0" w:firstLineChars="0"/>
              <w:jc w:val="center"/>
              <w:rPr>
                <w:rFonts w:ascii="宋体" w:eastAsia="宋体" w:cs="宋体"/>
                <w:sz w:val="24"/>
                <w:szCs w:val="24"/>
              </w:rPr>
            </w:pPr>
            <w:r>
              <w:rPr>
                <w:rFonts w:ascii="宋体" w:eastAsia="宋体" w:cs="宋体"/>
                <w:sz w:val="24"/>
                <w:szCs w:val="24"/>
              </w:rPr>
              <w:t>6</w:t>
            </w:r>
            <w:r>
              <w:rPr>
                <w:rFonts w:hint="eastAsia" w:ascii="宋体" w:eastAsia="宋体" w:cs="宋体"/>
                <w:sz w:val="24"/>
                <w:szCs w:val="24"/>
              </w:rPr>
              <w:t>分</w:t>
            </w:r>
          </w:p>
        </w:tc>
        <w:tc>
          <w:tcPr>
            <w:tcW w:w="56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480" w:firstLineChars="200"/>
              <w:rPr>
                <w:rFonts w:ascii="宋体" w:hAnsi="宋体" w:cs="宋体"/>
                <w:sz w:val="24"/>
                <w:szCs w:val="24"/>
                <w:shd w:val="clear" w:color="auto" w:fill="FFFFFF"/>
                <w:lang w:val="zh-CN"/>
              </w:rPr>
            </w:pPr>
            <w:r>
              <w:rPr>
                <w:rFonts w:hint="eastAsia" w:ascii="宋体" w:hAnsi="宋体" w:cs="宋体"/>
                <w:sz w:val="24"/>
                <w:szCs w:val="24"/>
                <w:shd w:val="clear" w:color="auto" w:fill="FFFFFF"/>
              </w:rPr>
              <w:t>根据</w:t>
            </w:r>
            <w:r>
              <w:rPr>
                <w:rFonts w:hint="eastAsia" w:ascii="宋体" w:hAnsi="宋体" w:cs="宋体"/>
                <w:sz w:val="24"/>
                <w:szCs w:val="24"/>
                <w:shd w:val="clear" w:color="auto" w:fill="FFFFFF"/>
                <w:lang w:val="zh-CN"/>
              </w:rPr>
              <w:t>各</w:t>
            </w:r>
            <w:r>
              <w:rPr>
                <w:rFonts w:hint="eastAsia" w:ascii="宋体" w:hAnsi="宋体" w:cs="宋体"/>
                <w:sz w:val="24"/>
                <w:szCs w:val="24"/>
                <w:shd w:val="clear" w:color="auto" w:fill="FFFFFF"/>
              </w:rPr>
              <w:t>投标人</w:t>
            </w:r>
            <w:r>
              <w:rPr>
                <w:rFonts w:hint="eastAsia" w:ascii="宋体" w:hAnsi="宋体" w:cs="宋体"/>
                <w:sz w:val="24"/>
                <w:szCs w:val="24"/>
                <w:shd w:val="clear" w:color="auto" w:fill="FFFFFF"/>
                <w:lang w:val="zh-CN"/>
              </w:rPr>
              <w:t>提供</w:t>
            </w:r>
            <w:r>
              <w:rPr>
                <w:rFonts w:hint="eastAsia" w:ascii="宋体" w:hAnsi="宋体" w:cs="宋体"/>
                <w:kern w:val="2"/>
                <w:sz w:val="24"/>
                <w:szCs w:val="24"/>
              </w:rPr>
              <w:t>10吨电动湿式扫路车、5T/18T高压洒水车（纯电）、18吨抑尘车（电动）、4吨纯电动洗扫车、18吨密闭压缩式垃圾运输车、7.5吨密闭压缩式垃圾压缩车、路面养护车等车辆的纯电动车辆的底盘驱动发电机和电控系统及上装控制系统、燃油车辆的底盘发动机和波箱及上装控制系统的</w:t>
            </w:r>
            <w:r>
              <w:rPr>
                <w:rFonts w:hint="eastAsia" w:ascii="宋体" w:hAnsi="宋体" w:cs="宋体"/>
                <w:sz w:val="24"/>
                <w:szCs w:val="24"/>
                <w:shd w:val="clear" w:color="auto" w:fill="FFFFFF"/>
                <w:lang w:val="zh-CN"/>
              </w:rPr>
              <w:t>先进性和可靠性</w:t>
            </w:r>
            <w:r>
              <w:rPr>
                <w:rFonts w:hint="eastAsia" w:ascii="宋体" w:hAnsi="宋体" w:cs="宋体"/>
                <w:sz w:val="24"/>
                <w:szCs w:val="24"/>
                <w:shd w:val="clear" w:color="auto" w:fill="FFFFFF"/>
              </w:rPr>
              <w:t>进行横向对比：</w:t>
            </w:r>
            <w:r>
              <w:rPr>
                <w:rFonts w:hint="eastAsia" w:ascii="宋体" w:hAnsi="宋体" w:cs="宋体"/>
                <w:sz w:val="24"/>
                <w:szCs w:val="24"/>
                <w:shd w:val="clear" w:color="auto" w:fill="FFFFFF"/>
                <w:lang w:val="zh-CN"/>
              </w:rPr>
              <w:t>优得</w:t>
            </w:r>
            <w:r>
              <w:rPr>
                <w:rFonts w:hint="eastAsia" w:ascii="宋体" w:hAnsi="宋体" w:cs="宋体"/>
                <w:sz w:val="24"/>
                <w:szCs w:val="24"/>
                <w:shd w:val="clear" w:color="auto" w:fill="FFFFFF"/>
              </w:rPr>
              <w:t>6</w:t>
            </w:r>
            <w:r>
              <w:rPr>
                <w:rFonts w:hint="eastAsia" w:ascii="宋体" w:hAnsi="宋体" w:cs="宋体"/>
                <w:sz w:val="24"/>
                <w:szCs w:val="24"/>
                <w:shd w:val="clear" w:color="auto" w:fill="FFFFFF"/>
                <w:lang w:val="zh-CN"/>
              </w:rPr>
              <w:t>分，良得3分，中得1分，差不得分。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70" w:type="dxa"/>
            <w:vMerge w:val="continue"/>
            <w:tcBorders>
              <w:left w:val="single" w:color="auto" w:sz="4" w:space="0"/>
              <w:right w:val="single" w:color="auto" w:sz="4" w:space="0"/>
            </w:tcBorders>
            <w:vAlign w:val="center"/>
          </w:tcPr>
          <w:p>
            <w:pPr>
              <w:spacing w:line="240" w:lineRule="auto"/>
              <w:jc w:val="center"/>
              <w:rPr>
                <w:rFonts w:ascii="宋体" w:hAnsi="宋体" w:cs="宋体"/>
                <w:bCs/>
                <w:sz w:val="24"/>
                <w:szCs w:val="24"/>
              </w:rPr>
            </w:pPr>
          </w:p>
        </w:tc>
        <w:tc>
          <w:tcPr>
            <w:tcW w:w="1190" w:type="dxa"/>
            <w:vMerge w:val="continue"/>
            <w:tcBorders>
              <w:left w:val="single" w:color="auto" w:sz="4" w:space="0"/>
              <w:right w:val="single" w:color="auto" w:sz="4" w:space="0"/>
            </w:tcBorders>
            <w:vAlign w:val="center"/>
          </w:tcPr>
          <w:p>
            <w:pPr>
              <w:autoSpaceDE w:val="0"/>
              <w:autoSpaceDN w:val="0"/>
              <w:spacing w:line="240" w:lineRule="auto"/>
              <w:jc w:val="center"/>
              <w:rPr>
                <w:rFonts w:ascii="宋体" w:hAnsi="宋体" w:cs="宋体"/>
                <w:sz w:val="24"/>
                <w:szCs w:val="24"/>
                <w:shd w:val="clear" w:color="auto" w:fill="FFFFFF"/>
                <w:lang w:val="zh-CN"/>
              </w:rPr>
            </w:pPr>
          </w:p>
        </w:tc>
        <w:tc>
          <w:tcPr>
            <w:tcW w:w="930" w:type="dxa"/>
            <w:tcBorders>
              <w:top w:val="single" w:color="auto" w:sz="4" w:space="0"/>
              <w:left w:val="single" w:color="auto" w:sz="4" w:space="0"/>
              <w:bottom w:val="single" w:color="auto" w:sz="4" w:space="0"/>
              <w:right w:val="single" w:color="auto" w:sz="4" w:space="0"/>
            </w:tcBorders>
            <w:vAlign w:val="center"/>
          </w:tcPr>
          <w:p>
            <w:pPr>
              <w:pStyle w:val="43"/>
              <w:spacing w:line="240" w:lineRule="auto"/>
              <w:ind w:firstLine="0" w:firstLineChars="0"/>
              <w:jc w:val="center"/>
              <w:rPr>
                <w:rFonts w:ascii="宋体" w:eastAsia="宋体" w:cs="宋体"/>
                <w:sz w:val="24"/>
                <w:szCs w:val="24"/>
              </w:rPr>
            </w:pPr>
            <w:r>
              <w:rPr>
                <w:rFonts w:ascii="宋体" w:eastAsia="宋体" w:cs="宋体"/>
                <w:sz w:val="24"/>
                <w:szCs w:val="24"/>
              </w:rPr>
              <w:t>6</w:t>
            </w:r>
            <w:r>
              <w:rPr>
                <w:rFonts w:hint="eastAsia" w:ascii="宋体" w:eastAsia="宋体" w:cs="宋体"/>
                <w:sz w:val="24"/>
                <w:szCs w:val="24"/>
              </w:rPr>
              <w:t>分</w:t>
            </w:r>
          </w:p>
        </w:tc>
        <w:tc>
          <w:tcPr>
            <w:tcW w:w="56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480" w:firstLineChars="200"/>
              <w:rPr>
                <w:rFonts w:ascii="宋体" w:hAnsi="宋体" w:cs="宋体"/>
                <w:sz w:val="24"/>
                <w:szCs w:val="24"/>
                <w:shd w:val="clear" w:color="auto" w:fill="FFFFFF"/>
                <w:lang w:val="zh-CN"/>
              </w:rPr>
            </w:pPr>
            <w:r>
              <w:rPr>
                <w:rFonts w:hint="eastAsia" w:ascii="宋体" w:hAnsi="宋体" w:cs="宋体"/>
                <w:sz w:val="24"/>
                <w:szCs w:val="24"/>
                <w:shd w:val="clear" w:color="auto" w:fill="FFFFFF"/>
              </w:rPr>
              <w:t>根据</w:t>
            </w:r>
            <w:r>
              <w:rPr>
                <w:rFonts w:hint="eastAsia" w:ascii="宋体" w:hAnsi="宋体" w:cs="宋体"/>
                <w:sz w:val="24"/>
                <w:szCs w:val="24"/>
                <w:shd w:val="clear" w:color="auto" w:fill="FFFFFF"/>
                <w:lang w:val="zh-CN"/>
              </w:rPr>
              <w:t>各</w:t>
            </w:r>
            <w:r>
              <w:rPr>
                <w:rFonts w:hint="eastAsia" w:ascii="宋体" w:hAnsi="宋体" w:cs="宋体"/>
                <w:sz w:val="24"/>
                <w:szCs w:val="24"/>
                <w:shd w:val="clear" w:color="auto" w:fill="FFFFFF"/>
              </w:rPr>
              <w:t>投标人</w:t>
            </w:r>
            <w:r>
              <w:rPr>
                <w:rFonts w:hint="eastAsia" w:ascii="宋体" w:hAnsi="宋体" w:cs="宋体"/>
                <w:sz w:val="24"/>
                <w:szCs w:val="24"/>
                <w:shd w:val="clear" w:color="auto" w:fill="FFFFFF"/>
                <w:lang w:val="zh-CN"/>
              </w:rPr>
              <w:t>提供</w:t>
            </w:r>
            <w:r>
              <w:rPr>
                <w:rFonts w:hint="eastAsia" w:ascii="宋体" w:hAnsi="宋体" w:cs="宋体"/>
                <w:kern w:val="2"/>
                <w:sz w:val="24"/>
                <w:szCs w:val="24"/>
              </w:rPr>
              <w:t>10吨电动湿式扫路车、5</w:t>
            </w:r>
            <w:r>
              <w:rPr>
                <w:rFonts w:ascii="宋体" w:hAnsi="宋体" w:cs="宋体"/>
                <w:kern w:val="2"/>
                <w:sz w:val="24"/>
                <w:szCs w:val="24"/>
              </w:rPr>
              <w:t>T/18T</w:t>
            </w:r>
            <w:r>
              <w:rPr>
                <w:rFonts w:hint="eastAsia" w:ascii="宋体" w:hAnsi="宋体" w:cs="宋体"/>
                <w:kern w:val="2"/>
                <w:sz w:val="24"/>
                <w:szCs w:val="24"/>
              </w:rPr>
              <w:t>高压洒水车（纯电）、18吨抑尘车（电动）、4吨纯电动洗扫车、18吨密闭压缩式垃圾运输车、7.5吨密闭压缩式垃圾压缩车、路面养护车等</w:t>
            </w:r>
            <w:r>
              <w:rPr>
                <w:rFonts w:ascii="宋体" w:hAnsi="宋体" w:cs="宋体"/>
                <w:kern w:val="2"/>
                <w:sz w:val="24"/>
                <w:szCs w:val="24"/>
              </w:rPr>
              <w:t>车辆</w:t>
            </w:r>
            <w:r>
              <w:rPr>
                <w:rFonts w:hint="eastAsia" w:ascii="宋体" w:hAnsi="宋体" w:cs="宋体"/>
                <w:sz w:val="24"/>
                <w:szCs w:val="24"/>
                <w:shd w:val="clear" w:color="auto" w:fill="FFFFFF"/>
                <w:lang w:val="zh-CN"/>
              </w:rPr>
              <w:t>的罐体或垃圾箱的结构、材质、容积、油漆和制作工艺的先进性和可靠性</w:t>
            </w:r>
            <w:r>
              <w:rPr>
                <w:rFonts w:hint="eastAsia" w:ascii="宋体" w:hAnsi="宋体" w:cs="宋体"/>
                <w:sz w:val="24"/>
                <w:szCs w:val="24"/>
                <w:shd w:val="clear" w:color="auto" w:fill="FFFFFF"/>
              </w:rPr>
              <w:t>进行横向对比：</w:t>
            </w:r>
            <w:r>
              <w:rPr>
                <w:rFonts w:hint="eastAsia" w:ascii="宋体" w:hAnsi="宋体" w:cs="宋体"/>
                <w:sz w:val="24"/>
                <w:szCs w:val="24"/>
                <w:shd w:val="clear" w:color="auto" w:fill="FFFFFF"/>
                <w:lang w:val="zh-CN"/>
              </w:rPr>
              <w:t>优得</w:t>
            </w:r>
            <w:r>
              <w:rPr>
                <w:rFonts w:hint="eastAsia" w:ascii="宋体" w:hAnsi="宋体" w:cs="宋体"/>
                <w:sz w:val="24"/>
                <w:szCs w:val="24"/>
                <w:shd w:val="clear" w:color="auto" w:fill="FFFFFF"/>
              </w:rPr>
              <w:t>6</w:t>
            </w:r>
            <w:r>
              <w:rPr>
                <w:rFonts w:hint="eastAsia" w:ascii="宋体" w:hAnsi="宋体" w:cs="宋体"/>
                <w:sz w:val="24"/>
                <w:szCs w:val="24"/>
                <w:shd w:val="clear" w:color="auto" w:fill="FFFFFF"/>
                <w:lang w:val="zh-CN"/>
              </w:rPr>
              <w:t>分，良得3分，中得1分，差不得分。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70" w:type="dxa"/>
            <w:vMerge w:val="continue"/>
            <w:tcBorders>
              <w:left w:val="single" w:color="auto" w:sz="4" w:space="0"/>
              <w:right w:val="single" w:color="auto" w:sz="4" w:space="0"/>
            </w:tcBorders>
            <w:vAlign w:val="center"/>
          </w:tcPr>
          <w:p>
            <w:pPr>
              <w:spacing w:line="240" w:lineRule="auto"/>
              <w:jc w:val="center"/>
              <w:rPr>
                <w:rFonts w:ascii="宋体" w:hAnsi="宋体" w:cs="宋体"/>
                <w:bCs/>
                <w:sz w:val="24"/>
                <w:szCs w:val="24"/>
              </w:rPr>
            </w:pPr>
          </w:p>
        </w:tc>
        <w:tc>
          <w:tcPr>
            <w:tcW w:w="1190" w:type="dxa"/>
            <w:vMerge w:val="continue"/>
            <w:tcBorders>
              <w:left w:val="single" w:color="auto" w:sz="4" w:space="0"/>
              <w:right w:val="single" w:color="auto" w:sz="4" w:space="0"/>
            </w:tcBorders>
            <w:vAlign w:val="center"/>
          </w:tcPr>
          <w:p>
            <w:pPr>
              <w:autoSpaceDE w:val="0"/>
              <w:autoSpaceDN w:val="0"/>
              <w:spacing w:line="240" w:lineRule="auto"/>
              <w:jc w:val="center"/>
              <w:rPr>
                <w:rFonts w:ascii="宋体" w:hAnsi="宋体" w:cs="宋体"/>
                <w:sz w:val="24"/>
                <w:szCs w:val="24"/>
                <w:shd w:val="clear" w:color="auto" w:fill="FFFFFF"/>
                <w:lang w:val="zh-CN"/>
              </w:rPr>
            </w:pPr>
          </w:p>
        </w:tc>
        <w:tc>
          <w:tcPr>
            <w:tcW w:w="930" w:type="dxa"/>
            <w:tcBorders>
              <w:top w:val="single" w:color="auto" w:sz="4" w:space="0"/>
              <w:left w:val="single" w:color="auto" w:sz="4" w:space="0"/>
              <w:bottom w:val="single" w:color="auto" w:sz="4" w:space="0"/>
              <w:right w:val="single" w:color="auto" w:sz="4" w:space="0"/>
            </w:tcBorders>
            <w:vAlign w:val="center"/>
          </w:tcPr>
          <w:p>
            <w:pPr>
              <w:pStyle w:val="43"/>
              <w:spacing w:line="240" w:lineRule="auto"/>
              <w:ind w:firstLine="0" w:firstLineChars="0"/>
              <w:jc w:val="center"/>
              <w:rPr>
                <w:rFonts w:ascii="宋体" w:eastAsia="宋体" w:cs="宋体"/>
                <w:sz w:val="24"/>
                <w:szCs w:val="24"/>
              </w:rPr>
            </w:pPr>
            <w:r>
              <w:rPr>
                <w:rFonts w:ascii="宋体" w:eastAsia="宋体" w:cs="宋体"/>
                <w:sz w:val="24"/>
                <w:szCs w:val="24"/>
              </w:rPr>
              <w:t>3</w:t>
            </w:r>
            <w:r>
              <w:rPr>
                <w:rFonts w:hint="eastAsia" w:ascii="宋体" w:eastAsia="宋体" w:cs="宋体"/>
                <w:sz w:val="24"/>
                <w:szCs w:val="24"/>
              </w:rPr>
              <w:t>分</w:t>
            </w:r>
          </w:p>
        </w:tc>
        <w:tc>
          <w:tcPr>
            <w:tcW w:w="56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480" w:firstLineChars="200"/>
              <w:rPr>
                <w:rFonts w:ascii="宋体" w:hAnsi="宋体" w:cs="宋体"/>
                <w:sz w:val="24"/>
                <w:szCs w:val="24"/>
                <w:shd w:val="clear" w:color="auto" w:fill="FFFFFF"/>
                <w:lang w:val="zh-CN"/>
              </w:rPr>
            </w:pPr>
            <w:r>
              <w:rPr>
                <w:rFonts w:hint="eastAsia" w:ascii="宋体" w:hAnsi="宋体" w:cs="宋体"/>
                <w:sz w:val="24"/>
                <w:szCs w:val="24"/>
                <w:shd w:val="clear" w:color="auto" w:fill="FFFFFF"/>
                <w:lang w:val="zh-CN"/>
              </w:rPr>
              <w:t>根据</w:t>
            </w:r>
            <w:r>
              <w:rPr>
                <w:rFonts w:hint="eastAsia" w:ascii="宋体" w:hAnsi="宋体" w:cs="宋体"/>
                <w:sz w:val="24"/>
                <w:szCs w:val="24"/>
                <w:shd w:val="clear" w:color="auto" w:fill="FFFFFF"/>
              </w:rPr>
              <w:t>各投标人</w:t>
            </w:r>
            <w:r>
              <w:rPr>
                <w:rFonts w:hint="eastAsia" w:ascii="宋体" w:hAnsi="宋体" w:cs="宋体"/>
                <w:sz w:val="24"/>
                <w:szCs w:val="24"/>
                <w:shd w:val="clear" w:color="auto" w:fill="FFFFFF"/>
                <w:lang w:val="zh-CN"/>
              </w:rPr>
              <w:t>提供的18吨抑尘车（电动）车辆喷雾系统设计、作业操作方式的先进性和可靠性</w:t>
            </w:r>
            <w:r>
              <w:rPr>
                <w:rFonts w:hint="eastAsia" w:ascii="宋体" w:hAnsi="宋体" w:cs="宋体"/>
                <w:sz w:val="24"/>
                <w:szCs w:val="24"/>
                <w:shd w:val="clear" w:color="auto" w:fill="FFFFFF"/>
              </w:rPr>
              <w:t>进行横向对比：</w:t>
            </w:r>
            <w:r>
              <w:rPr>
                <w:rFonts w:hint="eastAsia" w:ascii="宋体" w:hAnsi="宋体" w:cs="宋体"/>
                <w:sz w:val="24"/>
                <w:szCs w:val="24"/>
                <w:shd w:val="clear" w:color="auto" w:fill="FFFFFF"/>
                <w:lang w:val="zh-CN"/>
              </w:rPr>
              <w:t>优得</w:t>
            </w:r>
            <w:r>
              <w:rPr>
                <w:rFonts w:hint="eastAsia" w:ascii="宋体" w:hAnsi="宋体" w:cs="宋体"/>
                <w:sz w:val="24"/>
                <w:szCs w:val="24"/>
                <w:shd w:val="clear" w:color="auto" w:fill="FFFFFF"/>
              </w:rPr>
              <w:t>3</w:t>
            </w:r>
            <w:r>
              <w:rPr>
                <w:rFonts w:hint="eastAsia" w:ascii="宋体" w:hAnsi="宋体" w:cs="宋体"/>
                <w:sz w:val="24"/>
                <w:szCs w:val="24"/>
                <w:shd w:val="clear" w:color="auto" w:fill="FFFFFF"/>
                <w:lang w:val="zh-CN"/>
              </w:rPr>
              <w:t>分，良得</w:t>
            </w:r>
            <w:r>
              <w:rPr>
                <w:rFonts w:ascii="宋体" w:hAnsi="宋体" w:cs="宋体"/>
                <w:sz w:val="24"/>
                <w:szCs w:val="24"/>
                <w:shd w:val="clear" w:color="auto" w:fill="FFFFFF"/>
                <w:lang w:val="zh-CN"/>
              </w:rPr>
              <w:t>2</w:t>
            </w:r>
            <w:r>
              <w:rPr>
                <w:rFonts w:hint="eastAsia" w:ascii="宋体" w:hAnsi="宋体" w:cs="宋体"/>
                <w:sz w:val="24"/>
                <w:szCs w:val="24"/>
                <w:shd w:val="clear" w:color="auto" w:fill="FFFFFF"/>
                <w:lang w:val="zh-CN"/>
              </w:rPr>
              <w:t>分，中得1分，差不得分。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70" w:type="dxa"/>
            <w:vMerge w:val="continue"/>
            <w:tcBorders>
              <w:left w:val="single" w:color="auto" w:sz="4" w:space="0"/>
              <w:right w:val="single" w:color="auto" w:sz="4" w:space="0"/>
            </w:tcBorders>
            <w:vAlign w:val="center"/>
          </w:tcPr>
          <w:p>
            <w:pPr>
              <w:spacing w:line="240" w:lineRule="auto"/>
              <w:jc w:val="center"/>
              <w:rPr>
                <w:rFonts w:ascii="宋体" w:hAnsi="宋体" w:cs="宋体"/>
                <w:bCs/>
                <w:sz w:val="24"/>
                <w:szCs w:val="24"/>
              </w:rPr>
            </w:pPr>
          </w:p>
        </w:tc>
        <w:tc>
          <w:tcPr>
            <w:tcW w:w="1190" w:type="dxa"/>
            <w:vMerge w:val="continue"/>
            <w:tcBorders>
              <w:left w:val="single" w:color="auto" w:sz="4" w:space="0"/>
              <w:right w:val="single" w:color="auto" w:sz="4" w:space="0"/>
            </w:tcBorders>
            <w:vAlign w:val="center"/>
          </w:tcPr>
          <w:p>
            <w:pPr>
              <w:autoSpaceDE w:val="0"/>
              <w:autoSpaceDN w:val="0"/>
              <w:spacing w:line="240" w:lineRule="auto"/>
              <w:jc w:val="center"/>
              <w:rPr>
                <w:rFonts w:ascii="宋体" w:hAnsi="宋体" w:cs="宋体"/>
                <w:sz w:val="24"/>
                <w:szCs w:val="24"/>
                <w:shd w:val="clear" w:color="auto" w:fill="FFFFFF"/>
                <w:lang w:val="zh-CN"/>
              </w:rPr>
            </w:pPr>
          </w:p>
        </w:tc>
        <w:tc>
          <w:tcPr>
            <w:tcW w:w="930" w:type="dxa"/>
            <w:tcBorders>
              <w:top w:val="single" w:color="auto" w:sz="4" w:space="0"/>
              <w:left w:val="single" w:color="auto" w:sz="4" w:space="0"/>
              <w:bottom w:val="single" w:color="auto" w:sz="4" w:space="0"/>
              <w:right w:val="single" w:color="auto" w:sz="4" w:space="0"/>
            </w:tcBorders>
            <w:vAlign w:val="center"/>
          </w:tcPr>
          <w:p>
            <w:pPr>
              <w:pStyle w:val="43"/>
              <w:spacing w:line="240" w:lineRule="auto"/>
              <w:ind w:firstLine="0" w:firstLineChars="0"/>
              <w:jc w:val="center"/>
              <w:rPr>
                <w:rFonts w:ascii="宋体" w:eastAsia="宋体" w:cs="宋体"/>
                <w:sz w:val="24"/>
                <w:szCs w:val="24"/>
              </w:rPr>
            </w:pPr>
            <w:r>
              <w:rPr>
                <w:rFonts w:ascii="宋体" w:eastAsia="宋体" w:cs="宋体"/>
                <w:sz w:val="24"/>
                <w:szCs w:val="24"/>
              </w:rPr>
              <w:t>3</w:t>
            </w:r>
            <w:r>
              <w:rPr>
                <w:rFonts w:hint="eastAsia" w:ascii="宋体" w:eastAsia="宋体" w:cs="宋体"/>
                <w:sz w:val="24"/>
                <w:szCs w:val="24"/>
              </w:rPr>
              <w:t>分</w:t>
            </w:r>
          </w:p>
        </w:tc>
        <w:tc>
          <w:tcPr>
            <w:tcW w:w="56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480" w:firstLineChars="200"/>
              <w:rPr>
                <w:rFonts w:ascii="宋体" w:hAnsi="宋体" w:cs="宋体"/>
                <w:sz w:val="24"/>
                <w:szCs w:val="24"/>
                <w:shd w:val="clear" w:color="auto" w:fill="FFFFFF"/>
                <w:lang w:val="zh-CN"/>
              </w:rPr>
            </w:pPr>
            <w:r>
              <w:rPr>
                <w:rFonts w:hint="eastAsia" w:ascii="宋体" w:hAnsi="宋体" w:cs="宋体"/>
                <w:sz w:val="24"/>
                <w:szCs w:val="24"/>
                <w:shd w:val="clear" w:color="auto" w:fill="FFFFFF"/>
                <w:lang w:val="zh-CN"/>
              </w:rPr>
              <w:t>根据</w:t>
            </w:r>
            <w:r>
              <w:rPr>
                <w:rFonts w:hint="eastAsia" w:ascii="宋体" w:hAnsi="宋体" w:cs="宋体"/>
                <w:sz w:val="24"/>
                <w:szCs w:val="24"/>
                <w:shd w:val="clear" w:color="auto" w:fill="FFFFFF"/>
              </w:rPr>
              <w:t>各投标人</w:t>
            </w:r>
            <w:r>
              <w:rPr>
                <w:rFonts w:hint="eastAsia" w:ascii="宋体" w:hAnsi="宋体" w:cs="宋体"/>
                <w:sz w:val="24"/>
                <w:szCs w:val="24"/>
                <w:shd w:val="clear" w:color="auto" w:fill="FFFFFF"/>
                <w:lang w:val="zh-CN"/>
              </w:rPr>
              <w:t>提供的</w:t>
            </w:r>
            <w:r>
              <w:rPr>
                <w:rFonts w:hint="eastAsia" w:ascii="宋体" w:hAnsi="宋体" w:cs="宋体"/>
                <w:kern w:val="2"/>
                <w:sz w:val="24"/>
                <w:szCs w:val="24"/>
              </w:rPr>
              <w:t>18吨密闭压缩式垃圾运输车、</w:t>
            </w:r>
            <w:r>
              <w:rPr>
                <w:rFonts w:hint="eastAsia" w:ascii="宋体" w:hAnsi="宋体" w:cs="宋体"/>
                <w:sz w:val="24"/>
                <w:szCs w:val="24"/>
                <w:shd w:val="clear" w:color="auto" w:fill="FFFFFF"/>
                <w:lang w:val="zh-CN"/>
              </w:rPr>
              <w:t>7.5吨密闭压缩式垃圾压缩车垃圾箱的的密封性、作业操作方式的先进性和可靠性</w:t>
            </w:r>
            <w:r>
              <w:rPr>
                <w:rFonts w:hint="eastAsia" w:ascii="宋体" w:hAnsi="宋体" w:cs="宋体"/>
                <w:sz w:val="24"/>
                <w:szCs w:val="24"/>
                <w:shd w:val="clear" w:color="auto" w:fill="FFFFFF"/>
              </w:rPr>
              <w:t>进行横向对比：</w:t>
            </w:r>
            <w:r>
              <w:rPr>
                <w:rFonts w:hint="eastAsia" w:ascii="宋体" w:hAnsi="宋体" w:cs="宋体"/>
                <w:sz w:val="24"/>
                <w:szCs w:val="24"/>
                <w:shd w:val="clear" w:color="auto" w:fill="FFFFFF"/>
                <w:lang w:val="zh-CN"/>
              </w:rPr>
              <w:t>优得</w:t>
            </w:r>
            <w:r>
              <w:rPr>
                <w:rFonts w:hint="eastAsia" w:ascii="宋体" w:hAnsi="宋体" w:cs="宋体"/>
                <w:sz w:val="24"/>
                <w:szCs w:val="24"/>
                <w:shd w:val="clear" w:color="auto" w:fill="FFFFFF"/>
              </w:rPr>
              <w:t>3</w:t>
            </w:r>
            <w:r>
              <w:rPr>
                <w:rFonts w:hint="eastAsia" w:ascii="宋体" w:hAnsi="宋体" w:cs="宋体"/>
                <w:sz w:val="24"/>
                <w:szCs w:val="24"/>
                <w:shd w:val="clear" w:color="auto" w:fill="FFFFFF"/>
                <w:lang w:val="zh-CN"/>
              </w:rPr>
              <w:t>分，良得</w:t>
            </w:r>
            <w:r>
              <w:rPr>
                <w:rFonts w:ascii="宋体" w:hAnsi="宋体" w:cs="宋体"/>
                <w:sz w:val="24"/>
                <w:szCs w:val="24"/>
                <w:shd w:val="clear" w:color="auto" w:fill="FFFFFF"/>
                <w:lang w:val="zh-CN"/>
              </w:rPr>
              <w:t>2</w:t>
            </w:r>
            <w:r>
              <w:rPr>
                <w:rFonts w:hint="eastAsia" w:ascii="宋体" w:hAnsi="宋体" w:cs="宋体"/>
                <w:sz w:val="24"/>
                <w:szCs w:val="24"/>
                <w:shd w:val="clear" w:color="auto" w:fill="FFFFFF"/>
                <w:lang w:val="zh-CN"/>
              </w:rPr>
              <w:t>分，中得1分，差不得分。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70" w:type="dxa"/>
            <w:vMerge w:val="continue"/>
            <w:tcBorders>
              <w:left w:val="single" w:color="auto" w:sz="4" w:space="0"/>
              <w:bottom w:val="single" w:color="auto" w:sz="4" w:space="0"/>
              <w:right w:val="single" w:color="auto" w:sz="4" w:space="0"/>
            </w:tcBorders>
            <w:vAlign w:val="center"/>
          </w:tcPr>
          <w:p>
            <w:pPr>
              <w:spacing w:line="240" w:lineRule="auto"/>
              <w:jc w:val="center"/>
              <w:rPr>
                <w:rFonts w:ascii="宋体" w:hAnsi="宋体" w:cs="宋体"/>
                <w:bCs/>
                <w:sz w:val="24"/>
                <w:szCs w:val="24"/>
              </w:rPr>
            </w:pPr>
          </w:p>
        </w:tc>
        <w:tc>
          <w:tcPr>
            <w:tcW w:w="1190" w:type="dxa"/>
            <w:vMerge w:val="continue"/>
            <w:tcBorders>
              <w:left w:val="single" w:color="auto" w:sz="4" w:space="0"/>
              <w:bottom w:val="single" w:color="auto" w:sz="4" w:space="0"/>
              <w:right w:val="single" w:color="auto" w:sz="4" w:space="0"/>
            </w:tcBorders>
            <w:vAlign w:val="center"/>
          </w:tcPr>
          <w:p>
            <w:pPr>
              <w:autoSpaceDE w:val="0"/>
              <w:autoSpaceDN w:val="0"/>
              <w:spacing w:line="240" w:lineRule="auto"/>
              <w:jc w:val="center"/>
              <w:rPr>
                <w:rFonts w:ascii="宋体" w:hAnsi="宋体" w:cs="宋体"/>
                <w:sz w:val="24"/>
                <w:szCs w:val="24"/>
                <w:shd w:val="clear" w:color="auto" w:fill="FFFFFF"/>
                <w:lang w:val="zh-CN"/>
              </w:rPr>
            </w:pPr>
          </w:p>
        </w:tc>
        <w:tc>
          <w:tcPr>
            <w:tcW w:w="930" w:type="dxa"/>
            <w:tcBorders>
              <w:top w:val="single" w:color="auto" w:sz="4" w:space="0"/>
              <w:left w:val="single" w:color="auto" w:sz="4" w:space="0"/>
              <w:bottom w:val="single" w:color="auto" w:sz="4" w:space="0"/>
              <w:right w:val="single" w:color="auto" w:sz="4" w:space="0"/>
            </w:tcBorders>
            <w:vAlign w:val="center"/>
          </w:tcPr>
          <w:p>
            <w:pPr>
              <w:pStyle w:val="43"/>
              <w:spacing w:line="240" w:lineRule="auto"/>
              <w:ind w:firstLine="0" w:firstLineChars="0"/>
              <w:jc w:val="center"/>
              <w:rPr>
                <w:rFonts w:ascii="宋体" w:eastAsia="宋体" w:cs="宋体"/>
                <w:sz w:val="24"/>
                <w:szCs w:val="24"/>
              </w:rPr>
            </w:pPr>
            <w:r>
              <w:rPr>
                <w:rFonts w:ascii="宋体" w:eastAsia="宋体" w:cs="宋体"/>
                <w:sz w:val="24"/>
                <w:szCs w:val="24"/>
              </w:rPr>
              <w:t>3</w:t>
            </w:r>
            <w:r>
              <w:rPr>
                <w:rFonts w:hint="eastAsia" w:ascii="宋体" w:eastAsia="宋体" w:cs="宋体"/>
                <w:sz w:val="24"/>
                <w:szCs w:val="24"/>
              </w:rPr>
              <w:t>分</w:t>
            </w:r>
          </w:p>
        </w:tc>
        <w:tc>
          <w:tcPr>
            <w:tcW w:w="56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480" w:firstLineChars="200"/>
              <w:rPr>
                <w:rFonts w:ascii="宋体" w:hAnsi="宋体" w:cs="宋体"/>
                <w:sz w:val="24"/>
                <w:szCs w:val="24"/>
                <w:shd w:val="clear" w:color="auto" w:fill="FFFFFF"/>
                <w:lang w:val="zh-CN"/>
              </w:rPr>
            </w:pPr>
            <w:r>
              <w:rPr>
                <w:rFonts w:hint="eastAsia" w:ascii="宋体" w:hAnsi="宋体" w:cs="宋体"/>
                <w:sz w:val="24"/>
                <w:szCs w:val="24"/>
                <w:shd w:val="clear" w:color="auto" w:fill="FFFFFF"/>
                <w:lang w:val="zh-CN"/>
              </w:rPr>
              <w:t>根据</w:t>
            </w:r>
            <w:r>
              <w:rPr>
                <w:rFonts w:hint="eastAsia" w:ascii="宋体" w:hAnsi="宋体" w:cs="宋体"/>
                <w:sz w:val="24"/>
                <w:szCs w:val="24"/>
                <w:shd w:val="clear" w:color="auto" w:fill="FFFFFF"/>
              </w:rPr>
              <w:t>各投标人</w:t>
            </w:r>
            <w:r>
              <w:rPr>
                <w:rFonts w:hint="eastAsia" w:ascii="宋体" w:hAnsi="宋体" w:cs="宋体"/>
                <w:sz w:val="24"/>
                <w:szCs w:val="24"/>
                <w:shd w:val="clear" w:color="auto" w:fill="FFFFFF"/>
                <w:lang w:val="zh-CN"/>
              </w:rPr>
              <w:t>提供的路面养护车的车辆路沿冲洗功能的先进性和可靠性</w:t>
            </w:r>
            <w:r>
              <w:rPr>
                <w:rFonts w:hint="eastAsia" w:ascii="宋体" w:hAnsi="宋体" w:cs="宋体"/>
                <w:sz w:val="24"/>
                <w:szCs w:val="24"/>
                <w:shd w:val="clear" w:color="auto" w:fill="FFFFFF"/>
              </w:rPr>
              <w:t>进行横向对比：</w:t>
            </w:r>
            <w:r>
              <w:rPr>
                <w:rFonts w:hint="eastAsia" w:ascii="宋体" w:hAnsi="宋体" w:cs="宋体"/>
                <w:sz w:val="24"/>
                <w:szCs w:val="24"/>
                <w:shd w:val="clear" w:color="auto" w:fill="FFFFFF"/>
                <w:lang w:val="zh-CN"/>
              </w:rPr>
              <w:t>优得</w:t>
            </w:r>
            <w:r>
              <w:rPr>
                <w:rFonts w:hint="eastAsia" w:ascii="宋体" w:hAnsi="宋体" w:cs="宋体"/>
                <w:sz w:val="24"/>
                <w:szCs w:val="24"/>
                <w:shd w:val="clear" w:color="auto" w:fill="FFFFFF"/>
              </w:rPr>
              <w:t>3</w:t>
            </w:r>
            <w:r>
              <w:rPr>
                <w:rFonts w:hint="eastAsia" w:ascii="宋体" w:hAnsi="宋体" w:cs="宋体"/>
                <w:sz w:val="24"/>
                <w:szCs w:val="24"/>
                <w:shd w:val="clear" w:color="auto" w:fill="FFFFFF"/>
                <w:lang w:val="zh-CN"/>
              </w:rPr>
              <w:t>分，良得</w:t>
            </w:r>
            <w:r>
              <w:rPr>
                <w:rFonts w:hint="eastAsia" w:ascii="宋体" w:hAnsi="宋体" w:cs="宋体"/>
                <w:sz w:val="24"/>
                <w:szCs w:val="24"/>
                <w:shd w:val="clear" w:color="auto" w:fill="FFFFFF"/>
              </w:rPr>
              <w:t>2</w:t>
            </w:r>
            <w:r>
              <w:rPr>
                <w:rFonts w:hint="eastAsia" w:ascii="宋体" w:hAnsi="宋体" w:cs="宋体"/>
                <w:sz w:val="24"/>
                <w:szCs w:val="24"/>
                <w:shd w:val="clear" w:color="auto" w:fill="FFFFFF"/>
                <w:lang w:val="zh-CN"/>
              </w:rPr>
              <w:t>分，中得1分，差不得分。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7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kern w:val="2"/>
                <w:sz w:val="24"/>
                <w:szCs w:val="24"/>
              </w:rPr>
            </w:pPr>
            <w:r>
              <w:rPr>
                <w:rFonts w:hint="eastAsia" w:ascii="宋体" w:hAnsi="宋体" w:cs="宋体"/>
                <w:bCs/>
                <w:sz w:val="24"/>
                <w:szCs w:val="24"/>
              </w:rPr>
              <w:t>7</w:t>
            </w:r>
          </w:p>
        </w:tc>
        <w:tc>
          <w:tcPr>
            <w:tcW w:w="11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uto"/>
              <w:jc w:val="center"/>
              <w:rPr>
                <w:rFonts w:ascii="宋体" w:hAnsi="宋体" w:cs="宋体"/>
                <w:bCs/>
                <w:kern w:val="2"/>
                <w:sz w:val="24"/>
                <w:szCs w:val="24"/>
              </w:rPr>
            </w:pPr>
            <w:r>
              <w:rPr>
                <w:rFonts w:hint="eastAsia" w:ascii="宋体" w:hAnsi="宋体" w:cs="宋体"/>
                <w:sz w:val="24"/>
                <w:szCs w:val="24"/>
              </w:rPr>
              <w:t>项目实施方案</w:t>
            </w:r>
          </w:p>
        </w:tc>
        <w:tc>
          <w:tcPr>
            <w:tcW w:w="930" w:type="dxa"/>
            <w:tcBorders>
              <w:top w:val="single" w:color="auto" w:sz="4" w:space="0"/>
              <w:left w:val="single" w:color="auto" w:sz="4" w:space="0"/>
              <w:bottom w:val="single" w:color="auto" w:sz="4" w:space="0"/>
              <w:right w:val="single" w:color="auto" w:sz="4" w:space="0"/>
            </w:tcBorders>
            <w:vAlign w:val="center"/>
          </w:tcPr>
          <w:p>
            <w:pPr>
              <w:pStyle w:val="43"/>
              <w:spacing w:line="240" w:lineRule="auto"/>
              <w:ind w:firstLine="0" w:firstLineChars="0"/>
              <w:jc w:val="center"/>
              <w:rPr>
                <w:rFonts w:ascii="宋体" w:eastAsia="宋体" w:cs="宋体"/>
                <w:bCs/>
                <w:sz w:val="24"/>
                <w:szCs w:val="24"/>
              </w:rPr>
            </w:pPr>
            <w:r>
              <w:rPr>
                <w:rFonts w:ascii="宋体" w:eastAsia="宋体" w:cs="宋体"/>
                <w:sz w:val="24"/>
                <w:szCs w:val="24"/>
              </w:rPr>
              <w:t>3</w:t>
            </w:r>
            <w:r>
              <w:rPr>
                <w:rFonts w:hint="eastAsia" w:ascii="宋体" w:eastAsia="宋体" w:cs="宋体"/>
                <w:sz w:val="24"/>
                <w:szCs w:val="24"/>
              </w:rPr>
              <w:t>分</w:t>
            </w:r>
          </w:p>
        </w:tc>
        <w:tc>
          <w:tcPr>
            <w:tcW w:w="56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480" w:firstLineChars="200"/>
              <w:rPr>
                <w:rFonts w:ascii="宋体" w:hAnsi="宋体" w:cs="宋体"/>
                <w:sz w:val="24"/>
                <w:szCs w:val="24"/>
                <w:shd w:val="clear" w:color="auto" w:fill="FFFFFF"/>
                <w:lang w:val="zh-CN"/>
              </w:rPr>
            </w:pPr>
            <w:r>
              <w:rPr>
                <w:rFonts w:hint="eastAsia" w:ascii="宋体" w:hAnsi="宋体" w:cs="宋体"/>
                <w:sz w:val="24"/>
                <w:szCs w:val="24"/>
                <w:shd w:val="clear" w:color="auto" w:fill="FFFFFF"/>
                <w:lang w:val="zh-CN"/>
              </w:rPr>
              <w:t>根据</w:t>
            </w:r>
            <w:r>
              <w:rPr>
                <w:rFonts w:hint="eastAsia" w:ascii="宋体" w:hAnsi="宋体" w:cs="宋体"/>
                <w:sz w:val="24"/>
                <w:szCs w:val="24"/>
                <w:shd w:val="clear" w:color="auto" w:fill="FFFFFF"/>
              </w:rPr>
              <w:t>投标人</w:t>
            </w:r>
            <w:r>
              <w:rPr>
                <w:rFonts w:hint="eastAsia" w:ascii="宋体" w:hAnsi="宋体" w:cs="宋体"/>
                <w:sz w:val="24"/>
                <w:szCs w:val="24"/>
                <w:shd w:val="clear" w:color="auto" w:fill="FFFFFF"/>
                <w:lang w:val="zh-CN"/>
              </w:rPr>
              <w:t>提供的项目实施方案【包括</w:t>
            </w:r>
            <w:r>
              <w:rPr>
                <w:rFonts w:hint="eastAsia" w:ascii="宋体" w:hAnsi="宋体" w:cs="宋体"/>
                <w:sz w:val="24"/>
                <w:szCs w:val="24"/>
                <w:shd w:val="clear" w:color="auto" w:fill="FFFFFF"/>
              </w:rPr>
              <w:t>但不限于：</w:t>
            </w:r>
            <w:r>
              <w:rPr>
                <w:rFonts w:hint="eastAsia" w:ascii="宋体" w:hAnsi="宋体" w:cs="宋体"/>
                <w:sz w:val="24"/>
                <w:szCs w:val="24"/>
                <w:shd w:val="clear" w:color="auto" w:fill="FFFFFF"/>
                <w:lang w:val="zh-CN"/>
              </w:rPr>
              <w:t>1.质量保证措施、</w:t>
            </w:r>
            <w:r>
              <w:rPr>
                <w:rFonts w:hint="eastAsia" w:ascii="宋体" w:hAnsi="宋体" w:cs="宋体"/>
                <w:sz w:val="24"/>
                <w:szCs w:val="24"/>
                <w:shd w:val="clear" w:color="auto" w:fill="FFFFFF"/>
              </w:rPr>
              <w:t>2</w:t>
            </w:r>
            <w:r>
              <w:rPr>
                <w:rFonts w:hint="eastAsia" w:ascii="宋体" w:hAnsi="宋体" w:cs="宋体"/>
                <w:sz w:val="24"/>
                <w:szCs w:val="24"/>
                <w:shd w:val="clear" w:color="auto" w:fill="FFFFFF"/>
                <w:lang w:val="zh-CN"/>
              </w:rPr>
              <w:t>.履约进度控制</w:t>
            </w:r>
            <w:r>
              <w:rPr>
                <w:rFonts w:hint="eastAsia" w:ascii="宋体" w:hAnsi="宋体" w:cs="宋体"/>
                <w:sz w:val="24"/>
                <w:szCs w:val="24"/>
                <w:shd w:val="clear" w:color="auto" w:fill="FFFFFF"/>
              </w:rPr>
              <w:t>(包括但不限于</w:t>
            </w:r>
            <w:r>
              <w:rPr>
                <w:rFonts w:hint="eastAsia" w:ascii="宋体" w:hAnsi="宋体" w:cs="宋体"/>
                <w:sz w:val="24"/>
                <w:szCs w:val="24"/>
                <w:shd w:val="clear" w:color="auto" w:fill="FFFFFF"/>
                <w:lang w:val="zh-CN"/>
              </w:rPr>
              <w:t>交货、调试、验收</w:t>
            </w:r>
            <w:r>
              <w:rPr>
                <w:rFonts w:hint="eastAsia" w:ascii="宋体" w:hAnsi="宋体" w:cs="宋体"/>
                <w:sz w:val="24"/>
                <w:szCs w:val="24"/>
                <w:shd w:val="clear" w:color="auto" w:fill="FFFFFF"/>
              </w:rPr>
              <w:t>方案</w:t>
            </w:r>
            <w:r>
              <w:rPr>
                <w:rFonts w:hint="eastAsia" w:ascii="宋体" w:hAnsi="宋体" w:cs="宋体"/>
                <w:sz w:val="24"/>
                <w:szCs w:val="24"/>
                <w:shd w:val="clear" w:color="auto" w:fill="FFFFFF"/>
                <w:lang w:val="zh-CN"/>
              </w:rPr>
              <w:t>）等</w:t>
            </w:r>
            <w:r>
              <w:rPr>
                <w:rFonts w:hint="eastAsia" w:ascii="宋体" w:hAnsi="宋体" w:cs="宋体"/>
                <w:sz w:val="24"/>
                <w:szCs w:val="24"/>
                <w:shd w:val="clear" w:color="auto" w:fill="FFFFFF"/>
              </w:rPr>
              <w:t>内容</w:t>
            </w:r>
            <w:r>
              <w:rPr>
                <w:rFonts w:hint="eastAsia" w:ascii="宋体" w:hAnsi="宋体" w:cs="宋体"/>
                <w:sz w:val="24"/>
                <w:szCs w:val="24"/>
                <w:shd w:val="clear" w:color="auto" w:fill="FFFFFF"/>
                <w:lang w:val="zh-CN"/>
              </w:rPr>
              <w:t>】进行综合评审：</w:t>
            </w:r>
          </w:p>
          <w:p>
            <w:pPr>
              <w:spacing w:line="240" w:lineRule="auto"/>
              <w:ind w:firstLine="480" w:firstLineChars="200"/>
              <w:rPr>
                <w:rFonts w:ascii="宋体" w:hAnsi="宋体" w:cs="宋体"/>
                <w:sz w:val="24"/>
                <w:szCs w:val="24"/>
                <w:shd w:val="clear" w:color="auto" w:fill="FFFFFF"/>
                <w:lang w:val="zh-CN"/>
              </w:rPr>
            </w:pPr>
            <w:r>
              <w:rPr>
                <w:rFonts w:hint="eastAsia" w:ascii="宋体" w:hAnsi="宋体" w:cs="宋体"/>
                <w:sz w:val="24"/>
                <w:szCs w:val="24"/>
                <w:shd w:val="clear" w:color="auto" w:fill="FFFFFF"/>
              </w:rPr>
              <w:t>投标人</w:t>
            </w:r>
            <w:r>
              <w:rPr>
                <w:rFonts w:hint="eastAsia" w:ascii="宋体" w:hAnsi="宋体" w:cs="宋体"/>
                <w:sz w:val="24"/>
                <w:szCs w:val="24"/>
                <w:shd w:val="clear" w:color="auto" w:fill="FFFFFF"/>
                <w:lang w:val="zh-CN"/>
              </w:rPr>
              <w:t>提供的项目实施方案内容全面完整、质量保证措施全面科学、履约进度控制方案详细合理、交货、调试、验收方案科学完整的，得</w:t>
            </w:r>
            <w:r>
              <w:rPr>
                <w:rFonts w:ascii="宋体" w:hAnsi="宋体" w:cs="宋体"/>
                <w:sz w:val="24"/>
                <w:szCs w:val="24"/>
                <w:shd w:val="clear" w:color="auto" w:fill="FFFFFF"/>
              </w:rPr>
              <w:t>3</w:t>
            </w:r>
            <w:r>
              <w:rPr>
                <w:rFonts w:hint="eastAsia" w:ascii="宋体" w:hAnsi="宋体" w:cs="宋体"/>
                <w:sz w:val="24"/>
                <w:szCs w:val="24"/>
                <w:shd w:val="clear" w:color="auto" w:fill="FFFFFF"/>
                <w:lang w:val="zh-CN"/>
              </w:rPr>
              <w:t>分；</w:t>
            </w:r>
          </w:p>
          <w:p>
            <w:pPr>
              <w:spacing w:line="240" w:lineRule="auto"/>
              <w:ind w:firstLine="480" w:firstLineChars="200"/>
              <w:rPr>
                <w:rFonts w:ascii="宋体" w:hAnsi="宋体" w:cs="宋体"/>
                <w:sz w:val="24"/>
                <w:szCs w:val="24"/>
                <w:shd w:val="clear" w:color="auto" w:fill="FFFFFF"/>
                <w:lang w:val="zh-CN"/>
              </w:rPr>
            </w:pPr>
            <w:r>
              <w:rPr>
                <w:rFonts w:hint="eastAsia" w:ascii="宋体" w:hAnsi="宋体" w:cs="宋体"/>
                <w:sz w:val="24"/>
                <w:szCs w:val="24"/>
                <w:shd w:val="clear" w:color="auto" w:fill="FFFFFF"/>
              </w:rPr>
              <w:t>投标人</w:t>
            </w:r>
            <w:r>
              <w:rPr>
                <w:rFonts w:hint="eastAsia" w:ascii="宋体" w:hAnsi="宋体" w:cs="宋体"/>
                <w:sz w:val="24"/>
                <w:szCs w:val="24"/>
                <w:shd w:val="clear" w:color="auto" w:fill="FFFFFF"/>
                <w:lang w:val="zh-CN"/>
              </w:rPr>
              <w:t>提供的项目实施方案内容</w:t>
            </w:r>
            <w:r>
              <w:rPr>
                <w:rFonts w:hint="eastAsia" w:ascii="宋体" w:hAnsi="宋体" w:cs="宋体"/>
                <w:sz w:val="24"/>
                <w:szCs w:val="24"/>
                <w:shd w:val="clear" w:color="auto" w:fill="FFFFFF"/>
              </w:rPr>
              <w:t>较</w:t>
            </w:r>
            <w:r>
              <w:rPr>
                <w:rFonts w:hint="eastAsia" w:ascii="宋体" w:hAnsi="宋体" w:cs="宋体"/>
                <w:sz w:val="24"/>
                <w:szCs w:val="24"/>
                <w:shd w:val="clear" w:color="auto" w:fill="FFFFFF"/>
                <w:lang w:val="zh-CN"/>
              </w:rPr>
              <w:t>完整、质量保证措施</w:t>
            </w:r>
            <w:r>
              <w:rPr>
                <w:rFonts w:hint="eastAsia" w:ascii="宋体" w:hAnsi="宋体" w:cs="宋体"/>
                <w:sz w:val="24"/>
                <w:szCs w:val="24"/>
                <w:shd w:val="clear" w:color="auto" w:fill="FFFFFF"/>
              </w:rPr>
              <w:t>较</w:t>
            </w:r>
            <w:r>
              <w:rPr>
                <w:rFonts w:hint="eastAsia" w:ascii="宋体" w:hAnsi="宋体" w:cs="宋体"/>
                <w:sz w:val="24"/>
                <w:szCs w:val="24"/>
                <w:shd w:val="clear" w:color="auto" w:fill="FFFFFF"/>
                <w:lang w:val="zh-CN"/>
              </w:rPr>
              <w:t>全面、履约进度控制方案详细</w:t>
            </w:r>
            <w:r>
              <w:rPr>
                <w:rFonts w:hint="eastAsia" w:ascii="宋体" w:hAnsi="宋体" w:cs="宋体"/>
                <w:sz w:val="24"/>
                <w:szCs w:val="24"/>
                <w:shd w:val="clear" w:color="auto" w:fill="FFFFFF"/>
              </w:rPr>
              <w:t>较</w:t>
            </w:r>
            <w:r>
              <w:rPr>
                <w:rFonts w:hint="eastAsia" w:ascii="宋体" w:hAnsi="宋体" w:cs="宋体"/>
                <w:sz w:val="24"/>
                <w:szCs w:val="24"/>
                <w:shd w:val="clear" w:color="auto" w:fill="FFFFFF"/>
                <w:lang w:val="zh-CN"/>
              </w:rPr>
              <w:t>合理、交货、调试、验收方案</w:t>
            </w:r>
            <w:r>
              <w:rPr>
                <w:rFonts w:hint="eastAsia" w:ascii="宋体" w:hAnsi="宋体" w:cs="宋体"/>
                <w:sz w:val="24"/>
                <w:szCs w:val="24"/>
                <w:shd w:val="clear" w:color="auto" w:fill="FFFFFF"/>
              </w:rPr>
              <w:t>较</w:t>
            </w:r>
            <w:r>
              <w:rPr>
                <w:rFonts w:hint="eastAsia" w:ascii="宋体" w:hAnsi="宋体" w:cs="宋体"/>
                <w:sz w:val="24"/>
                <w:szCs w:val="24"/>
                <w:shd w:val="clear" w:color="auto" w:fill="FFFFFF"/>
                <w:lang w:val="zh-CN"/>
              </w:rPr>
              <w:t>完整的，得</w:t>
            </w:r>
            <w:r>
              <w:rPr>
                <w:rFonts w:ascii="宋体" w:hAnsi="宋体" w:cs="宋体"/>
                <w:sz w:val="24"/>
                <w:szCs w:val="24"/>
                <w:shd w:val="clear" w:color="auto" w:fill="FFFFFF"/>
              </w:rPr>
              <w:t>2</w:t>
            </w:r>
            <w:r>
              <w:rPr>
                <w:rFonts w:hint="eastAsia" w:ascii="宋体" w:hAnsi="宋体" w:cs="宋体"/>
                <w:sz w:val="24"/>
                <w:szCs w:val="24"/>
                <w:shd w:val="clear" w:color="auto" w:fill="FFFFFF"/>
                <w:lang w:val="zh-CN"/>
              </w:rPr>
              <w:t>分；</w:t>
            </w:r>
          </w:p>
          <w:p>
            <w:pPr>
              <w:spacing w:line="240" w:lineRule="auto"/>
              <w:ind w:firstLine="480" w:firstLineChars="200"/>
              <w:rPr>
                <w:rFonts w:ascii="宋体" w:hAnsi="宋体" w:cs="宋体"/>
                <w:sz w:val="24"/>
                <w:szCs w:val="24"/>
                <w:shd w:val="clear" w:color="auto" w:fill="FFFFFF"/>
                <w:lang w:val="zh-CN"/>
              </w:rPr>
            </w:pPr>
            <w:r>
              <w:rPr>
                <w:rFonts w:hint="eastAsia" w:ascii="宋体" w:hAnsi="宋体" w:cs="宋体"/>
                <w:sz w:val="24"/>
                <w:szCs w:val="24"/>
                <w:shd w:val="clear" w:color="auto" w:fill="FFFFFF"/>
              </w:rPr>
              <w:t>投标人</w:t>
            </w:r>
            <w:r>
              <w:rPr>
                <w:rFonts w:hint="eastAsia" w:ascii="宋体" w:hAnsi="宋体" w:cs="宋体"/>
                <w:sz w:val="24"/>
                <w:szCs w:val="24"/>
                <w:shd w:val="clear" w:color="auto" w:fill="FFFFFF"/>
                <w:lang w:val="zh-CN"/>
              </w:rPr>
              <w:t>提供的项目实施方案内容基本完整、质量保证措施一般、履约进度控制方案一般、交货、调试、验收方案一般</w:t>
            </w:r>
            <w:r>
              <w:rPr>
                <w:rFonts w:hint="eastAsia" w:ascii="宋体" w:hAnsi="宋体" w:cs="宋体"/>
                <w:sz w:val="24"/>
                <w:szCs w:val="24"/>
                <w:shd w:val="clear" w:color="auto" w:fill="FFFFFF"/>
              </w:rPr>
              <w:t>的</w:t>
            </w:r>
            <w:r>
              <w:rPr>
                <w:rFonts w:hint="eastAsia" w:ascii="宋体" w:hAnsi="宋体" w:cs="宋体"/>
                <w:sz w:val="24"/>
                <w:szCs w:val="24"/>
                <w:shd w:val="clear" w:color="auto" w:fill="FFFFFF"/>
                <w:lang w:val="zh-CN"/>
              </w:rPr>
              <w:t>，得</w:t>
            </w:r>
            <w:r>
              <w:rPr>
                <w:rFonts w:hint="eastAsia" w:ascii="宋体" w:hAnsi="宋体" w:cs="宋体"/>
                <w:sz w:val="24"/>
                <w:szCs w:val="24"/>
                <w:shd w:val="clear" w:color="auto" w:fill="FFFFFF"/>
              </w:rPr>
              <w:t>1</w:t>
            </w:r>
            <w:r>
              <w:rPr>
                <w:rFonts w:hint="eastAsia" w:ascii="宋体" w:hAnsi="宋体" w:cs="宋体"/>
                <w:sz w:val="24"/>
                <w:szCs w:val="24"/>
                <w:shd w:val="clear" w:color="auto" w:fill="FFFFFF"/>
                <w:lang w:val="zh-CN"/>
              </w:rPr>
              <w:t>分；</w:t>
            </w:r>
          </w:p>
          <w:p>
            <w:pPr>
              <w:spacing w:line="240" w:lineRule="auto"/>
              <w:ind w:firstLine="480" w:firstLineChars="200"/>
              <w:rPr>
                <w:rFonts w:ascii="宋体" w:hAnsi="宋体" w:cs="宋体"/>
                <w:sz w:val="24"/>
                <w:szCs w:val="24"/>
                <w:shd w:val="clear" w:color="auto" w:fill="FFFFFF"/>
                <w:lang w:val="zh-CN"/>
              </w:rPr>
            </w:pPr>
            <w:r>
              <w:rPr>
                <w:rFonts w:hint="eastAsia" w:ascii="宋体" w:hAnsi="宋体" w:cs="宋体"/>
                <w:sz w:val="24"/>
                <w:szCs w:val="24"/>
                <w:shd w:val="clear" w:color="auto" w:fill="FFFFFF"/>
              </w:rPr>
              <w:t>投标人</w:t>
            </w:r>
            <w:r>
              <w:rPr>
                <w:rFonts w:hint="eastAsia" w:ascii="宋体" w:hAnsi="宋体" w:cs="宋体"/>
                <w:sz w:val="24"/>
                <w:szCs w:val="24"/>
                <w:shd w:val="clear" w:color="auto" w:fill="FFFFFF"/>
                <w:lang w:val="zh-CN"/>
              </w:rPr>
              <w:t>提供的项目实施方案内容不完整</w:t>
            </w:r>
            <w:r>
              <w:rPr>
                <w:rFonts w:hint="eastAsia" w:ascii="宋体" w:hAnsi="宋体" w:cs="宋体"/>
                <w:sz w:val="24"/>
                <w:szCs w:val="24"/>
                <w:shd w:val="clear" w:color="auto" w:fill="FFFFFF"/>
              </w:rPr>
              <w:t>或缺漏的</w:t>
            </w:r>
            <w:r>
              <w:rPr>
                <w:rFonts w:hint="eastAsia" w:ascii="宋体" w:hAnsi="宋体" w:cs="宋体"/>
                <w:sz w:val="24"/>
                <w:szCs w:val="24"/>
                <w:shd w:val="clear" w:color="auto" w:fill="FFFFFF"/>
                <w:lang w:val="zh-CN"/>
              </w:rPr>
              <w:t>、质量保证措施</w:t>
            </w:r>
            <w:r>
              <w:rPr>
                <w:rFonts w:hint="eastAsia" w:ascii="宋体" w:hAnsi="宋体" w:cs="宋体"/>
                <w:sz w:val="24"/>
                <w:szCs w:val="24"/>
                <w:shd w:val="clear" w:color="auto" w:fill="FFFFFF"/>
              </w:rPr>
              <w:t>差</w:t>
            </w:r>
            <w:r>
              <w:rPr>
                <w:rFonts w:hint="eastAsia" w:ascii="宋体" w:hAnsi="宋体" w:cs="宋体"/>
                <w:sz w:val="24"/>
                <w:szCs w:val="24"/>
                <w:shd w:val="clear" w:color="auto" w:fill="FFFFFF"/>
                <w:lang w:val="zh-CN"/>
              </w:rPr>
              <w:t>、履约进度控制方案</w:t>
            </w:r>
            <w:r>
              <w:rPr>
                <w:rFonts w:hint="eastAsia" w:ascii="宋体" w:hAnsi="宋体" w:cs="宋体"/>
                <w:sz w:val="24"/>
                <w:szCs w:val="24"/>
                <w:shd w:val="clear" w:color="auto" w:fill="FFFFFF"/>
              </w:rPr>
              <w:t>差</w:t>
            </w:r>
            <w:r>
              <w:rPr>
                <w:rFonts w:hint="eastAsia" w:ascii="宋体" w:hAnsi="宋体" w:cs="宋体"/>
                <w:sz w:val="24"/>
                <w:szCs w:val="24"/>
                <w:shd w:val="clear" w:color="auto" w:fill="FFFFFF"/>
                <w:lang w:val="zh-CN"/>
              </w:rPr>
              <w:t>、交货、调试、验收方案</w:t>
            </w:r>
            <w:r>
              <w:rPr>
                <w:rFonts w:hint="eastAsia" w:ascii="宋体" w:hAnsi="宋体" w:cs="宋体"/>
                <w:sz w:val="24"/>
                <w:szCs w:val="24"/>
                <w:shd w:val="clear" w:color="auto" w:fill="FFFFFF"/>
              </w:rPr>
              <w:t>差的</w:t>
            </w:r>
            <w:r>
              <w:rPr>
                <w:rFonts w:hint="eastAsia" w:ascii="宋体" w:hAnsi="宋体" w:cs="宋体"/>
                <w:sz w:val="24"/>
                <w:szCs w:val="24"/>
                <w:shd w:val="clear" w:color="auto" w:fill="FFFFFF"/>
                <w:lang w:val="zh-CN"/>
              </w:rPr>
              <w:t>，得</w:t>
            </w:r>
            <w:r>
              <w:rPr>
                <w:rFonts w:hint="eastAsia" w:ascii="宋体" w:hAnsi="宋体" w:cs="宋体"/>
                <w:sz w:val="24"/>
                <w:szCs w:val="24"/>
                <w:shd w:val="clear" w:color="auto" w:fill="FFFFFF"/>
              </w:rPr>
              <w:t>0.5</w:t>
            </w:r>
            <w:r>
              <w:rPr>
                <w:rFonts w:hint="eastAsia" w:ascii="宋体" w:hAnsi="宋体" w:cs="宋体"/>
                <w:sz w:val="24"/>
                <w:szCs w:val="24"/>
                <w:shd w:val="clear" w:color="auto" w:fill="FFFFFF"/>
                <w:lang w:val="zh-CN"/>
              </w:rPr>
              <w:t>分；</w:t>
            </w:r>
          </w:p>
          <w:p>
            <w:pPr>
              <w:spacing w:line="240" w:lineRule="auto"/>
              <w:ind w:firstLine="480" w:firstLineChars="200"/>
              <w:rPr>
                <w:rFonts w:ascii="宋体" w:hAnsi="宋体" w:cs="宋体"/>
                <w:kern w:val="2"/>
                <w:sz w:val="24"/>
                <w:szCs w:val="24"/>
                <w:shd w:val="clear" w:color="auto" w:fill="FFFFFF"/>
                <w:lang w:val="zh-CN"/>
              </w:rPr>
            </w:pPr>
            <w:r>
              <w:rPr>
                <w:rFonts w:hint="eastAsia" w:ascii="宋体" w:hAnsi="宋体" w:cs="宋体"/>
                <w:sz w:val="24"/>
                <w:szCs w:val="24"/>
                <w:shd w:val="clear" w:color="auto" w:fill="FFFFFF"/>
                <w:lang w:val="zh-CN"/>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70" w:type="dxa"/>
            <w:vMerge w:val="restart"/>
            <w:tcBorders>
              <w:top w:val="single" w:color="auto" w:sz="4" w:space="0"/>
              <w:left w:val="single" w:color="auto" w:sz="4" w:space="0"/>
              <w:right w:val="single" w:color="auto" w:sz="4" w:space="0"/>
            </w:tcBorders>
            <w:vAlign w:val="center"/>
          </w:tcPr>
          <w:p>
            <w:pPr>
              <w:spacing w:line="240" w:lineRule="auto"/>
              <w:jc w:val="center"/>
              <w:rPr>
                <w:rFonts w:ascii="宋体" w:hAnsi="宋体" w:cs="宋体"/>
                <w:bCs/>
                <w:kern w:val="2"/>
                <w:sz w:val="24"/>
                <w:szCs w:val="24"/>
              </w:rPr>
            </w:pPr>
            <w:r>
              <w:rPr>
                <w:rFonts w:hint="eastAsia" w:ascii="宋体" w:hAnsi="宋体" w:cs="宋体"/>
                <w:bCs/>
                <w:sz w:val="24"/>
                <w:szCs w:val="24"/>
              </w:rPr>
              <w:t>8</w:t>
            </w:r>
          </w:p>
        </w:tc>
        <w:tc>
          <w:tcPr>
            <w:tcW w:w="1190" w:type="dxa"/>
            <w:vMerge w:val="restart"/>
            <w:tcBorders>
              <w:top w:val="single" w:color="auto" w:sz="4" w:space="0"/>
              <w:left w:val="single" w:color="auto" w:sz="4" w:space="0"/>
              <w:right w:val="single" w:color="auto" w:sz="4" w:space="0"/>
            </w:tcBorders>
            <w:vAlign w:val="center"/>
          </w:tcPr>
          <w:p>
            <w:pPr>
              <w:pStyle w:val="43"/>
              <w:spacing w:line="240" w:lineRule="auto"/>
              <w:ind w:firstLine="0" w:firstLineChars="0"/>
              <w:jc w:val="center"/>
              <w:rPr>
                <w:rFonts w:ascii="宋体" w:eastAsia="宋体" w:cs="宋体"/>
                <w:bCs/>
                <w:sz w:val="24"/>
                <w:szCs w:val="24"/>
              </w:rPr>
            </w:pPr>
            <w:r>
              <w:rPr>
                <w:rFonts w:hint="eastAsia" w:ascii="宋体" w:eastAsia="宋体" w:cs="宋体"/>
                <w:sz w:val="24"/>
                <w:szCs w:val="24"/>
              </w:rPr>
              <w:t>售后服务方案</w:t>
            </w:r>
          </w:p>
        </w:tc>
        <w:tc>
          <w:tcPr>
            <w:tcW w:w="930" w:type="dxa"/>
            <w:tcBorders>
              <w:top w:val="single" w:color="auto" w:sz="4" w:space="0"/>
              <w:left w:val="single" w:color="auto" w:sz="4" w:space="0"/>
              <w:bottom w:val="single" w:color="auto" w:sz="4" w:space="0"/>
              <w:right w:val="single" w:color="auto" w:sz="4" w:space="0"/>
            </w:tcBorders>
            <w:vAlign w:val="center"/>
          </w:tcPr>
          <w:p>
            <w:pPr>
              <w:pStyle w:val="43"/>
              <w:spacing w:line="240" w:lineRule="auto"/>
              <w:ind w:firstLine="0" w:firstLineChars="0"/>
              <w:jc w:val="center"/>
              <w:rPr>
                <w:rFonts w:ascii="宋体" w:eastAsia="宋体" w:cs="宋体"/>
                <w:bCs/>
                <w:sz w:val="24"/>
                <w:szCs w:val="24"/>
              </w:rPr>
            </w:pPr>
            <w:r>
              <w:rPr>
                <w:rFonts w:ascii="宋体" w:eastAsia="宋体" w:cs="宋体"/>
                <w:kern w:val="0"/>
                <w:sz w:val="24"/>
                <w:szCs w:val="24"/>
              </w:rPr>
              <w:t>3</w:t>
            </w:r>
            <w:r>
              <w:rPr>
                <w:rFonts w:hint="eastAsia" w:ascii="宋体" w:eastAsia="宋体" w:cs="宋体"/>
                <w:kern w:val="0"/>
                <w:sz w:val="24"/>
                <w:szCs w:val="24"/>
              </w:rPr>
              <w:t>分</w:t>
            </w:r>
          </w:p>
        </w:tc>
        <w:tc>
          <w:tcPr>
            <w:tcW w:w="56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480" w:firstLineChars="200"/>
              <w:rPr>
                <w:rFonts w:ascii="宋体" w:hAnsi="宋体" w:cs="宋体"/>
                <w:sz w:val="24"/>
                <w:szCs w:val="24"/>
                <w:shd w:val="clear" w:color="auto" w:fill="FFFFFF"/>
                <w:lang w:val="zh-CN"/>
              </w:rPr>
            </w:pPr>
            <w:r>
              <w:rPr>
                <w:rFonts w:hint="eastAsia" w:ascii="宋体" w:hAnsi="宋体" w:cs="宋体"/>
                <w:sz w:val="24"/>
                <w:szCs w:val="24"/>
                <w:shd w:val="clear" w:color="auto" w:fill="FFFFFF"/>
                <w:lang w:val="zh-CN"/>
              </w:rPr>
              <w:t>根据</w:t>
            </w:r>
            <w:r>
              <w:rPr>
                <w:rFonts w:hint="eastAsia" w:ascii="宋体" w:hAnsi="宋体" w:cs="宋体"/>
                <w:sz w:val="24"/>
                <w:szCs w:val="24"/>
                <w:shd w:val="clear" w:color="auto" w:fill="FFFFFF"/>
              </w:rPr>
              <w:t>投标人提供的</w:t>
            </w:r>
            <w:r>
              <w:rPr>
                <w:rFonts w:hint="eastAsia" w:ascii="宋体" w:hAnsi="宋体" w:cs="宋体"/>
                <w:sz w:val="24"/>
                <w:szCs w:val="24"/>
                <w:shd w:val="clear" w:color="auto" w:fill="FFFFFF"/>
                <w:lang w:val="zh-CN"/>
              </w:rPr>
              <w:t>售后服务</w:t>
            </w:r>
            <w:r>
              <w:rPr>
                <w:rFonts w:hint="eastAsia" w:ascii="宋体" w:hAnsi="宋体" w:cs="宋体"/>
                <w:sz w:val="24"/>
                <w:szCs w:val="24"/>
                <w:shd w:val="clear" w:color="auto" w:fill="FFFFFF"/>
              </w:rPr>
              <w:t>方案</w:t>
            </w:r>
            <w:r>
              <w:rPr>
                <w:rFonts w:hint="eastAsia" w:ascii="宋体" w:hAnsi="宋体" w:cs="宋体"/>
                <w:sz w:val="24"/>
                <w:szCs w:val="24"/>
                <w:shd w:val="clear" w:color="auto" w:fill="FFFFFF"/>
                <w:lang w:val="zh-CN"/>
              </w:rPr>
              <w:t>（包括</w:t>
            </w:r>
            <w:r>
              <w:rPr>
                <w:rFonts w:hint="eastAsia" w:ascii="宋体" w:hAnsi="宋体" w:cs="宋体"/>
                <w:sz w:val="24"/>
                <w:szCs w:val="24"/>
                <w:shd w:val="clear" w:color="auto" w:fill="FFFFFF"/>
              </w:rPr>
              <w:t>但不限于：</w:t>
            </w:r>
            <w:r>
              <w:rPr>
                <w:rFonts w:hint="eastAsia" w:ascii="宋体" w:hAnsi="宋体" w:cs="宋体"/>
                <w:sz w:val="24"/>
                <w:szCs w:val="24"/>
                <w:shd w:val="clear" w:color="auto" w:fill="FFFFFF"/>
                <w:lang w:val="zh-CN"/>
              </w:rPr>
              <w:t>1.制造商为该项目提供的技术支持、2.维护服务、3.培训计划等</w:t>
            </w:r>
            <w:r>
              <w:rPr>
                <w:rFonts w:hint="eastAsia" w:ascii="宋体" w:hAnsi="宋体" w:cs="宋体"/>
                <w:sz w:val="24"/>
                <w:szCs w:val="24"/>
                <w:shd w:val="clear" w:color="auto" w:fill="FFFFFF"/>
              </w:rPr>
              <w:t>内容</w:t>
            </w:r>
            <w:r>
              <w:rPr>
                <w:rFonts w:hint="eastAsia" w:ascii="宋体" w:hAnsi="宋体" w:cs="宋体"/>
                <w:sz w:val="24"/>
                <w:szCs w:val="24"/>
                <w:shd w:val="clear" w:color="auto" w:fill="FFFFFF"/>
                <w:lang w:val="zh-CN"/>
              </w:rPr>
              <w:t>）进行综合评审：</w:t>
            </w:r>
          </w:p>
          <w:p>
            <w:pPr>
              <w:spacing w:line="240" w:lineRule="auto"/>
              <w:ind w:firstLine="480" w:firstLineChars="200"/>
              <w:rPr>
                <w:rFonts w:ascii="宋体" w:hAnsi="宋体" w:cs="宋体"/>
                <w:sz w:val="24"/>
                <w:szCs w:val="24"/>
                <w:shd w:val="clear" w:color="auto" w:fill="FFFFFF"/>
                <w:lang w:val="zh-CN"/>
              </w:rPr>
            </w:pPr>
            <w:r>
              <w:rPr>
                <w:rFonts w:hint="eastAsia" w:ascii="宋体" w:hAnsi="宋体" w:cs="宋体"/>
                <w:sz w:val="24"/>
                <w:szCs w:val="24"/>
                <w:shd w:val="clear" w:color="auto" w:fill="FFFFFF"/>
              </w:rPr>
              <w:t>投标人</w:t>
            </w:r>
            <w:r>
              <w:rPr>
                <w:rFonts w:hint="eastAsia" w:ascii="宋体" w:hAnsi="宋体" w:cs="宋体"/>
                <w:sz w:val="24"/>
                <w:szCs w:val="24"/>
                <w:shd w:val="clear" w:color="auto" w:fill="FFFFFF"/>
                <w:lang w:val="zh-CN"/>
              </w:rPr>
              <w:t>提供的售后服务方案内容全面完整、制造商的技术支持全面合理、维护服务详细全面、培训计划详细合理</w:t>
            </w:r>
            <w:r>
              <w:rPr>
                <w:rFonts w:hint="eastAsia" w:ascii="宋体" w:hAnsi="宋体" w:cs="宋体"/>
                <w:sz w:val="24"/>
                <w:szCs w:val="24"/>
                <w:shd w:val="clear" w:color="auto" w:fill="FFFFFF"/>
              </w:rPr>
              <w:t>的</w:t>
            </w:r>
            <w:r>
              <w:rPr>
                <w:rFonts w:hint="eastAsia" w:ascii="宋体" w:hAnsi="宋体" w:cs="宋体"/>
                <w:sz w:val="24"/>
                <w:szCs w:val="24"/>
                <w:shd w:val="clear" w:color="auto" w:fill="FFFFFF"/>
                <w:lang w:val="zh-CN"/>
              </w:rPr>
              <w:t>，得</w:t>
            </w:r>
            <w:r>
              <w:rPr>
                <w:rFonts w:ascii="宋体" w:hAnsi="宋体" w:cs="宋体"/>
                <w:sz w:val="24"/>
                <w:szCs w:val="24"/>
                <w:shd w:val="clear" w:color="auto" w:fill="FFFFFF"/>
              </w:rPr>
              <w:t>3</w:t>
            </w:r>
            <w:r>
              <w:rPr>
                <w:rFonts w:hint="eastAsia" w:ascii="宋体" w:hAnsi="宋体" w:cs="宋体"/>
                <w:sz w:val="24"/>
                <w:szCs w:val="24"/>
                <w:shd w:val="clear" w:color="auto" w:fill="FFFFFF"/>
                <w:lang w:val="zh-CN"/>
              </w:rPr>
              <w:t>分；</w:t>
            </w:r>
          </w:p>
          <w:p>
            <w:pPr>
              <w:spacing w:line="240" w:lineRule="auto"/>
              <w:ind w:firstLine="480" w:firstLineChars="200"/>
              <w:rPr>
                <w:rFonts w:ascii="宋体" w:hAnsi="宋体" w:cs="宋体"/>
                <w:sz w:val="24"/>
                <w:szCs w:val="24"/>
                <w:shd w:val="clear" w:color="auto" w:fill="FFFFFF"/>
                <w:lang w:val="zh-CN"/>
              </w:rPr>
            </w:pPr>
            <w:r>
              <w:rPr>
                <w:rFonts w:hint="eastAsia" w:ascii="宋体" w:hAnsi="宋体" w:cs="宋体"/>
                <w:sz w:val="24"/>
                <w:szCs w:val="24"/>
                <w:shd w:val="clear" w:color="auto" w:fill="FFFFFF"/>
              </w:rPr>
              <w:t>投标人</w:t>
            </w:r>
            <w:r>
              <w:rPr>
                <w:rFonts w:hint="eastAsia" w:ascii="宋体" w:hAnsi="宋体" w:cs="宋体"/>
                <w:sz w:val="24"/>
                <w:szCs w:val="24"/>
                <w:shd w:val="clear" w:color="auto" w:fill="FFFFFF"/>
                <w:lang w:val="zh-CN"/>
              </w:rPr>
              <w:t>提供的售后服务方案内容</w:t>
            </w:r>
            <w:r>
              <w:rPr>
                <w:rFonts w:hint="eastAsia" w:ascii="宋体" w:hAnsi="宋体" w:cs="宋体"/>
                <w:sz w:val="24"/>
                <w:szCs w:val="24"/>
                <w:shd w:val="clear" w:color="auto" w:fill="FFFFFF"/>
              </w:rPr>
              <w:t>较</w:t>
            </w:r>
            <w:r>
              <w:rPr>
                <w:rFonts w:hint="eastAsia" w:ascii="宋体" w:hAnsi="宋体" w:cs="宋体"/>
                <w:sz w:val="24"/>
                <w:szCs w:val="24"/>
                <w:shd w:val="clear" w:color="auto" w:fill="FFFFFF"/>
                <w:lang w:val="zh-CN"/>
              </w:rPr>
              <w:t>完整、制造商的技术支持</w:t>
            </w:r>
            <w:r>
              <w:rPr>
                <w:rFonts w:hint="eastAsia" w:ascii="宋体" w:hAnsi="宋体" w:cs="宋体"/>
                <w:sz w:val="24"/>
                <w:szCs w:val="24"/>
                <w:shd w:val="clear" w:color="auto" w:fill="FFFFFF"/>
              </w:rPr>
              <w:t>较</w:t>
            </w:r>
            <w:r>
              <w:rPr>
                <w:rFonts w:hint="eastAsia" w:ascii="宋体" w:hAnsi="宋体" w:cs="宋体"/>
                <w:sz w:val="24"/>
                <w:szCs w:val="24"/>
                <w:shd w:val="clear" w:color="auto" w:fill="FFFFFF"/>
                <w:lang w:val="zh-CN"/>
              </w:rPr>
              <w:t>合理、维护服务</w:t>
            </w:r>
            <w:r>
              <w:rPr>
                <w:rFonts w:hint="eastAsia" w:ascii="宋体" w:hAnsi="宋体" w:cs="宋体"/>
                <w:sz w:val="24"/>
                <w:szCs w:val="24"/>
                <w:shd w:val="clear" w:color="auto" w:fill="FFFFFF"/>
              </w:rPr>
              <w:t>较</w:t>
            </w:r>
            <w:r>
              <w:rPr>
                <w:rFonts w:hint="eastAsia" w:ascii="宋体" w:hAnsi="宋体" w:cs="宋体"/>
                <w:sz w:val="24"/>
                <w:szCs w:val="24"/>
                <w:shd w:val="clear" w:color="auto" w:fill="FFFFFF"/>
                <w:lang w:val="zh-CN"/>
              </w:rPr>
              <w:t>全面、培训计划</w:t>
            </w:r>
            <w:r>
              <w:rPr>
                <w:rFonts w:hint="eastAsia" w:ascii="宋体" w:hAnsi="宋体" w:cs="宋体"/>
                <w:sz w:val="24"/>
                <w:szCs w:val="24"/>
                <w:shd w:val="clear" w:color="auto" w:fill="FFFFFF"/>
              </w:rPr>
              <w:t>较</w:t>
            </w:r>
            <w:r>
              <w:rPr>
                <w:rFonts w:hint="eastAsia" w:ascii="宋体" w:hAnsi="宋体" w:cs="宋体"/>
                <w:sz w:val="24"/>
                <w:szCs w:val="24"/>
                <w:shd w:val="clear" w:color="auto" w:fill="FFFFFF"/>
                <w:lang w:val="zh-CN"/>
              </w:rPr>
              <w:t>合理</w:t>
            </w:r>
            <w:r>
              <w:rPr>
                <w:rFonts w:hint="eastAsia" w:ascii="宋体" w:hAnsi="宋体" w:cs="宋体"/>
                <w:sz w:val="24"/>
                <w:szCs w:val="24"/>
                <w:shd w:val="clear" w:color="auto" w:fill="FFFFFF"/>
              </w:rPr>
              <w:t>的</w:t>
            </w:r>
            <w:r>
              <w:rPr>
                <w:rFonts w:hint="eastAsia" w:ascii="宋体" w:hAnsi="宋体" w:cs="宋体"/>
                <w:sz w:val="24"/>
                <w:szCs w:val="24"/>
                <w:shd w:val="clear" w:color="auto" w:fill="FFFFFF"/>
                <w:lang w:val="zh-CN"/>
              </w:rPr>
              <w:t>，得</w:t>
            </w:r>
            <w:r>
              <w:rPr>
                <w:rFonts w:ascii="宋体" w:hAnsi="宋体" w:cs="宋体"/>
                <w:sz w:val="24"/>
                <w:szCs w:val="24"/>
                <w:shd w:val="clear" w:color="auto" w:fill="FFFFFF"/>
              </w:rPr>
              <w:t>2</w:t>
            </w:r>
            <w:r>
              <w:rPr>
                <w:rFonts w:hint="eastAsia" w:ascii="宋体" w:hAnsi="宋体" w:cs="宋体"/>
                <w:sz w:val="24"/>
                <w:szCs w:val="24"/>
                <w:shd w:val="clear" w:color="auto" w:fill="FFFFFF"/>
                <w:lang w:val="zh-CN"/>
              </w:rPr>
              <w:t>分；</w:t>
            </w:r>
          </w:p>
          <w:p>
            <w:pPr>
              <w:spacing w:line="240" w:lineRule="auto"/>
              <w:ind w:firstLine="480" w:firstLineChars="200"/>
              <w:rPr>
                <w:rFonts w:ascii="宋体" w:hAnsi="宋体" w:cs="宋体"/>
                <w:sz w:val="24"/>
                <w:szCs w:val="24"/>
                <w:shd w:val="clear" w:color="auto" w:fill="FFFFFF"/>
                <w:lang w:val="zh-CN"/>
              </w:rPr>
            </w:pPr>
            <w:r>
              <w:rPr>
                <w:rFonts w:hint="eastAsia" w:ascii="宋体" w:hAnsi="宋体" w:cs="宋体"/>
                <w:sz w:val="24"/>
                <w:szCs w:val="24"/>
                <w:shd w:val="clear" w:color="auto" w:fill="FFFFFF"/>
              </w:rPr>
              <w:t>投标人</w:t>
            </w:r>
            <w:r>
              <w:rPr>
                <w:rFonts w:hint="eastAsia" w:ascii="宋体" w:hAnsi="宋体" w:cs="宋体"/>
                <w:sz w:val="24"/>
                <w:szCs w:val="24"/>
                <w:shd w:val="clear" w:color="auto" w:fill="FFFFFF"/>
                <w:lang w:val="zh-CN"/>
              </w:rPr>
              <w:t>提供的售后服务方案内容</w:t>
            </w:r>
            <w:r>
              <w:rPr>
                <w:rFonts w:hint="eastAsia" w:ascii="宋体" w:hAnsi="宋体" w:cs="宋体"/>
                <w:sz w:val="24"/>
                <w:szCs w:val="24"/>
                <w:shd w:val="clear" w:color="auto" w:fill="FFFFFF"/>
              </w:rPr>
              <w:t>一般</w:t>
            </w:r>
            <w:r>
              <w:rPr>
                <w:rFonts w:hint="eastAsia" w:ascii="宋体" w:hAnsi="宋体" w:cs="宋体"/>
                <w:sz w:val="24"/>
                <w:szCs w:val="24"/>
                <w:shd w:val="clear" w:color="auto" w:fill="FFFFFF"/>
                <w:lang w:val="zh-CN"/>
              </w:rPr>
              <w:t>、制造商的技术支持</w:t>
            </w:r>
            <w:r>
              <w:rPr>
                <w:rFonts w:hint="eastAsia" w:ascii="宋体" w:hAnsi="宋体" w:cs="宋体"/>
                <w:sz w:val="24"/>
                <w:szCs w:val="24"/>
                <w:shd w:val="clear" w:color="auto" w:fill="FFFFFF"/>
              </w:rPr>
              <w:t>一般</w:t>
            </w:r>
            <w:r>
              <w:rPr>
                <w:rFonts w:hint="eastAsia" w:ascii="宋体" w:hAnsi="宋体" w:cs="宋体"/>
                <w:sz w:val="24"/>
                <w:szCs w:val="24"/>
                <w:shd w:val="clear" w:color="auto" w:fill="FFFFFF"/>
                <w:lang w:val="zh-CN"/>
              </w:rPr>
              <w:t>、维护服务</w:t>
            </w:r>
            <w:r>
              <w:rPr>
                <w:rFonts w:hint="eastAsia" w:ascii="宋体" w:hAnsi="宋体" w:cs="宋体"/>
                <w:sz w:val="24"/>
                <w:szCs w:val="24"/>
                <w:shd w:val="clear" w:color="auto" w:fill="FFFFFF"/>
              </w:rPr>
              <w:t>一般</w:t>
            </w:r>
            <w:r>
              <w:rPr>
                <w:rFonts w:hint="eastAsia" w:ascii="宋体" w:hAnsi="宋体" w:cs="宋体"/>
                <w:sz w:val="24"/>
                <w:szCs w:val="24"/>
                <w:shd w:val="clear" w:color="auto" w:fill="FFFFFF"/>
                <w:lang w:val="zh-CN"/>
              </w:rPr>
              <w:t>、培训计划</w:t>
            </w:r>
            <w:r>
              <w:rPr>
                <w:rFonts w:hint="eastAsia" w:ascii="宋体" w:hAnsi="宋体" w:cs="宋体"/>
                <w:sz w:val="24"/>
                <w:szCs w:val="24"/>
                <w:shd w:val="clear" w:color="auto" w:fill="FFFFFF"/>
              </w:rPr>
              <w:t>一般的</w:t>
            </w:r>
            <w:r>
              <w:rPr>
                <w:rFonts w:hint="eastAsia" w:ascii="宋体" w:hAnsi="宋体" w:cs="宋体"/>
                <w:sz w:val="24"/>
                <w:szCs w:val="24"/>
                <w:shd w:val="clear" w:color="auto" w:fill="FFFFFF"/>
                <w:lang w:val="zh-CN"/>
              </w:rPr>
              <w:t>，得</w:t>
            </w:r>
            <w:r>
              <w:rPr>
                <w:rFonts w:ascii="宋体" w:hAnsi="宋体" w:cs="宋体"/>
                <w:sz w:val="24"/>
                <w:szCs w:val="24"/>
                <w:shd w:val="clear" w:color="auto" w:fill="FFFFFF"/>
              </w:rPr>
              <w:t>1</w:t>
            </w:r>
            <w:r>
              <w:rPr>
                <w:rFonts w:hint="eastAsia" w:ascii="宋体" w:hAnsi="宋体" w:cs="宋体"/>
                <w:sz w:val="24"/>
                <w:szCs w:val="24"/>
                <w:shd w:val="clear" w:color="auto" w:fill="FFFFFF"/>
                <w:lang w:val="zh-CN"/>
              </w:rPr>
              <w:t>分；</w:t>
            </w:r>
          </w:p>
          <w:p>
            <w:pPr>
              <w:spacing w:line="240" w:lineRule="auto"/>
              <w:ind w:firstLine="480" w:firstLineChars="200"/>
              <w:rPr>
                <w:rFonts w:ascii="宋体" w:hAnsi="宋体" w:cs="宋体"/>
                <w:sz w:val="24"/>
                <w:szCs w:val="24"/>
                <w:shd w:val="clear" w:color="auto" w:fill="FFFFFF"/>
                <w:lang w:val="zh-CN"/>
              </w:rPr>
            </w:pPr>
            <w:r>
              <w:rPr>
                <w:rFonts w:hint="eastAsia" w:ascii="宋体" w:hAnsi="宋体" w:cs="宋体"/>
                <w:sz w:val="24"/>
                <w:szCs w:val="24"/>
                <w:shd w:val="clear" w:color="auto" w:fill="FFFFFF"/>
              </w:rPr>
              <w:t>投标人</w:t>
            </w:r>
            <w:r>
              <w:rPr>
                <w:rFonts w:hint="eastAsia" w:ascii="宋体" w:hAnsi="宋体" w:cs="宋体"/>
                <w:sz w:val="24"/>
                <w:szCs w:val="24"/>
                <w:shd w:val="clear" w:color="auto" w:fill="FFFFFF"/>
                <w:lang w:val="zh-CN"/>
              </w:rPr>
              <w:t>提供的售后服务方案</w:t>
            </w:r>
            <w:bookmarkStart w:id="304" w:name="_GoBack"/>
            <w:bookmarkEnd w:id="304"/>
            <w:r>
              <w:rPr>
                <w:rFonts w:hint="eastAsia" w:ascii="宋体" w:hAnsi="宋体" w:cs="宋体"/>
                <w:sz w:val="24"/>
                <w:szCs w:val="24"/>
                <w:shd w:val="clear" w:color="auto" w:fill="FFFFFF"/>
                <w:lang w:val="zh-CN"/>
              </w:rPr>
              <w:t>内容不完整</w:t>
            </w:r>
            <w:r>
              <w:rPr>
                <w:rFonts w:hint="eastAsia" w:ascii="宋体" w:hAnsi="宋体" w:cs="宋体"/>
                <w:sz w:val="24"/>
                <w:szCs w:val="24"/>
                <w:shd w:val="clear" w:color="auto" w:fill="FFFFFF"/>
              </w:rPr>
              <w:t>或缺漏</w:t>
            </w:r>
            <w:r>
              <w:rPr>
                <w:rFonts w:hint="eastAsia" w:ascii="宋体" w:hAnsi="宋体" w:cs="宋体"/>
                <w:sz w:val="24"/>
                <w:szCs w:val="24"/>
                <w:shd w:val="clear" w:color="auto" w:fill="FFFFFF"/>
                <w:lang w:val="zh-CN"/>
              </w:rPr>
              <w:t>、制造商的技术支持</w:t>
            </w:r>
            <w:r>
              <w:rPr>
                <w:rFonts w:hint="eastAsia" w:ascii="宋体" w:hAnsi="宋体" w:cs="宋体"/>
                <w:sz w:val="24"/>
                <w:szCs w:val="24"/>
                <w:shd w:val="clear" w:color="auto" w:fill="FFFFFF"/>
              </w:rPr>
              <w:t>差</w:t>
            </w:r>
            <w:r>
              <w:rPr>
                <w:rFonts w:hint="eastAsia" w:ascii="宋体" w:hAnsi="宋体" w:cs="宋体"/>
                <w:sz w:val="24"/>
                <w:szCs w:val="24"/>
                <w:shd w:val="clear" w:color="auto" w:fill="FFFFFF"/>
                <w:lang w:val="zh-CN"/>
              </w:rPr>
              <w:t>、维护服务</w:t>
            </w:r>
            <w:r>
              <w:rPr>
                <w:rFonts w:hint="eastAsia" w:ascii="宋体" w:hAnsi="宋体" w:cs="宋体"/>
                <w:sz w:val="24"/>
                <w:szCs w:val="24"/>
                <w:shd w:val="clear" w:color="auto" w:fill="FFFFFF"/>
              </w:rPr>
              <w:t>差</w:t>
            </w:r>
            <w:r>
              <w:rPr>
                <w:rFonts w:hint="eastAsia" w:ascii="宋体" w:hAnsi="宋体" w:cs="宋体"/>
                <w:sz w:val="24"/>
                <w:szCs w:val="24"/>
                <w:shd w:val="clear" w:color="auto" w:fill="FFFFFF"/>
                <w:lang w:val="zh-CN"/>
              </w:rPr>
              <w:t>、培训计划差，得</w:t>
            </w:r>
            <w:r>
              <w:rPr>
                <w:rFonts w:hint="eastAsia" w:ascii="宋体" w:hAnsi="宋体" w:cs="宋体"/>
                <w:sz w:val="24"/>
                <w:szCs w:val="24"/>
                <w:shd w:val="clear" w:color="auto" w:fill="FFFFFF"/>
              </w:rPr>
              <w:t>0.5</w:t>
            </w:r>
            <w:r>
              <w:rPr>
                <w:rFonts w:hint="eastAsia" w:ascii="宋体" w:hAnsi="宋体" w:cs="宋体"/>
                <w:sz w:val="24"/>
                <w:szCs w:val="24"/>
                <w:shd w:val="clear" w:color="auto" w:fill="FFFFFF"/>
                <w:lang w:val="zh-CN"/>
              </w:rPr>
              <w:t>分；</w:t>
            </w:r>
          </w:p>
          <w:p>
            <w:pPr>
              <w:spacing w:line="240" w:lineRule="auto"/>
              <w:ind w:firstLine="480" w:firstLineChars="200"/>
              <w:rPr>
                <w:rFonts w:ascii="宋体" w:hAnsi="宋体" w:cs="宋体"/>
                <w:kern w:val="2"/>
                <w:sz w:val="24"/>
                <w:szCs w:val="24"/>
                <w:shd w:val="clear" w:color="auto" w:fill="FFFFFF"/>
                <w:lang w:val="zh-CN"/>
              </w:rPr>
            </w:pPr>
            <w:r>
              <w:rPr>
                <w:rFonts w:hint="eastAsia" w:ascii="宋体" w:hAnsi="宋体" w:cs="宋体"/>
                <w:sz w:val="24"/>
                <w:szCs w:val="24"/>
                <w:shd w:val="clear" w:color="auto" w:fill="FFFFFF"/>
                <w:lang w:val="zh-CN"/>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570" w:type="dxa"/>
            <w:vMerge w:val="continue"/>
            <w:tcBorders>
              <w:left w:val="single" w:color="auto" w:sz="4" w:space="0"/>
              <w:bottom w:val="single" w:color="auto" w:sz="4" w:space="0"/>
              <w:right w:val="single" w:color="auto" w:sz="4" w:space="0"/>
            </w:tcBorders>
            <w:vAlign w:val="center"/>
          </w:tcPr>
          <w:p>
            <w:pPr>
              <w:spacing w:line="240" w:lineRule="auto"/>
              <w:jc w:val="center"/>
              <w:rPr>
                <w:rFonts w:ascii="宋体" w:hAnsi="宋体" w:cs="宋体"/>
                <w:bCs/>
                <w:sz w:val="24"/>
                <w:szCs w:val="24"/>
              </w:rPr>
            </w:pPr>
          </w:p>
        </w:tc>
        <w:tc>
          <w:tcPr>
            <w:tcW w:w="1190" w:type="dxa"/>
            <w:vMerge w:val="continue"/>
            <w:tcBorders>
              <w:left w:val="single" w:color="auto" w:sz="4" w:space="0"/>
              <w:bottom w:val="single" w:color="auto" w:sz="4" w:space="0"/>
              <w:right w:val="single" w:color="auto" w:sz="4" w:space="0"/>
            </w:tcBorders>
            <w:vAlign w:val="center"/>
          </w:tcPr>
          <w:p>
            <w:pPr>
              <w:pStyle w:val="43"/>
              <w:spacing w:line="240" w:lineRule="auto"/>
              <w:ind w:firstLine="0" w:firstLineChars="0"/>
              <w:jc w:val="center"/>
              <w:rPr>
                <w:rFonts w:ascii="宋体" w:eastAsia="宋体" w:cs="宋体"/>
                <w:sz w:val="24"/>
                <w:szCs w:val="24"/>
              </w:rPr>
            </w:pPr>
          </w:p>
        </w:tc>
        <w:tc>
          <w:tcPr>
            <w:tcW w:w="930" w:type="dxa"/>
            <w:tcBorders>
              <w:top w:val="single" w:color="auto" w:sz="4" w:space="0"/>
              <w:left w:val="single" w:color="auto" w:sz="4" w:space="0"/>
              <w:bottom w:val="single" w:color="auto" w:sz="4" w:space="0"/>
              <w:right w:val="single" w:color="auto" w:sz="4" w:space="0"/>
            </w:tcBorders>
            <w:vAlign w:val="center"/>
          </w:tcPr>
          <w:p>
            <w:pPr>
              <w:pStyle w:val="43"/>
              <w:spacing w:line="240" w:lineRule="auto"/>
              <w:ind w:firstLine="0" w:firstLineChars="0"/>
              <w:jc w:val="center"/>
              <w:rPr>
                <w:rFonts w:ascii="宋体" w:eastAsia="宋体" w:cs="宋体"/>
                <w:kern w:val="0"/>
                <w:sz w:val="24"/>
                <w:szCs w:val="24"/>
              </w:rPr>
            </w:pPr>
            <w:r>
              <w:rPr>
                <w:rFonts w:ascii="宋体" w:eastAsia="宋体" w:cs="宋体"/>
                <w:kern w:val="0"/>
                <w:sz w:val="24"/>
                <w:szCs w:val="24"/>
              </w:rPr>
              <w:t>3</w:t>
            </w:r>
            <w:r>
              <w:rPr>
                <w:rFonts w:hint="eastAsia" w:ascii="宋体" w:eastAsia="宋体" w:cs="宋体"/>
                <w:kern w:val="0"/>
                <w:sz w:val="24"/>
                <w:szCs w:val="24"/>
              </w:rPr>
              <w:t>分</w:t>
            </w:r>
          </w:p>
        </w:tc>
        <w:tc>
          <w:tcPr>
            <w:tcW w:w="5640" w:type="dxa"/>
            <w:tcBorders>
              <w:top w:val="single" w:color="auto" w:sz="4" w:space="0"/>
              <w:left w:val="single" w:color="auto" w:sz="4" w:space="0"/>
              <w:bottom w:val="single" w:color="auto" w:sz="4" w:space="0"/>
              <w:right w:val="single" w:color="auto" w:sz="4" w:space="0"/>
            </w:tcBorders>
            <w:vAlign w:val="center"/>
          </w:tcPr>
          <w:p>
            <w:pPr>
              <w:pStyle w:val="43"/>
              <w:adjustRightInd w:val="0"/>
              <w:snapToGrid w:val="0"/>
              <w:spacing w:line="240" w:lineRule="auto"/>
              <w:ind w:firstLine="480" w:firstLineChars="200"/>
              <w:rPr>
                <w:rFonts w:ascii="宋体" w:eastAsia="宋体" w:cs="宋体"/>
                <w:kern w:val="0"/>
                <w:sz w:val="24"/>
                <w:szCs w:val="24"/>
                <w:shd w:val="clear" w:color="auto" w:fill="FFFFFF"/>
              </w:rPr>
            </w:pPr>
            <w:r>
              <w:rPr>
                <w:rFonts w:hint="eastAsia" w:ascii="宋体" w:eastAsia="宋体" w:cs="宋体"/>
                <w:kern w:val="0"/>
                <w:sz w:val="24"/>
                <w:szCs w:val="24"/>
                <w:shd w:val="clear" w:color="auto" w:fill="FFFFFF"/>
              </w:rPr>
              <w:t xml:space="preserve">根据投标人针对本项目出现设备故障问题的紧急服务响应时间进行评分： </w:t>
            </w:r>
          </w:p>
          <w:p>
            <w:pPr>
              <w:pStyle w:val="43"/>
              <w:adjustRightInd w:val="0"/>
              <w:snapToGrid w:val="0"/>
              <w:spacing w:line="240" w:lineRule="auto"/>
              <w:ind w:firstLine="480" w:firstLineChars="200"/>
              <w:rPr>
                <w:rFonts w:ascii="宋体" w:eastAsia="宋体" w:cs="宋体"/>
                <w:kern w:val="0"/>
                <w:sz w:val="24"/>
                <w:szCs w:val="24"/>
                <w:shd w:val="clear" w:color="auto" w:fill="FFFFFF"/>
              </w:rPr>
            </w:pPr>
            <w:r>
              <w:rPr>
                <w:rFonts w:hint="eastAsia" w:ascii="宋体" w:eastAsia="宋体" w:cs="宋体"/>
                <w:kern w:val="0"/>
                <w:sz w:val="24"/>
                <w:szCs w:val="24"/>
                <w:shd w:val="clear" w:color="auto" w:fill="FFFFFF"/>
              </w:rPr>
              <w:t>①投标人承诺接到采购人通知后0.5小时（含）内到达采购人指定地点的，得</w:t>
            </w:r>
            <w:r>
              <w:rPr>
                <w:rFonts w:ascii="宋体" w:eastAsia="宋体" w:cs="宋体"/>
                <w:kern w:val="0"/>
                <w:sz w:val="24"/>
                <w:szCs w:val="24"/>
                <w:shd w:val="clear" w:color="auto" w:fill="FFFFFF"/>
              </w:rPr>
              <w:t>3</w:t>
            </w:r>
            <w:r>
              <w:rPr>
                <w:rFonts w:hint="eastAsia" w:ascii="宋体" w:eastAsia="宋体" w:cs="宋体"/>
                <w:kern w:val="0"/>
                <w:sz w:val="24"/>
                <w:szCs w:val="24"/>
                <w:shd w:val="clear" w:color="auto" w:fill="FFFFFF"/>
              </w:rPr>
              <w:t>分。</w:t>
            </w:r>
          </w:p>
          <w:p>
            <w:pPr>
              <w:pStyle w:val="43"/>
              <w:adjustRightInd w:val="0"/>
              <w:snapToGrid w:val="0"/>
              <w:spacing w:line="240" w:lineRule="auto"/>
              <w:ind w:firstLine="480" w:firstLineChars="200"/>
              <w:rPr>
                <w:rFonts w:ascii="宋体" w:eastAsia="宋体" w:cs="宋体"/>
                <w:kern w:val="0"/>
                <w:sz w:val="24"/>
                <w:szCs w:val="24"/>
                <w:shd w:val="clear" w:color="auto" w:fill="FFFFFF"/>
              </w:rPr>
            </w:pPr>
            <w:r>
              <w:rPr>
                <w:rFonts w:hint="eastAsia" w:ascii="宋体" w:eastAsia="宋体" w:cs="宋体"/>
                <w:kern w:val="0"/>
                <w:sz w:val="24"/>
                <w:szCs w:val="24"/>
                <w:shd w:val="clear" w:color="auto" w:fill="FFFFFF"/>
              </w:rPr>
              <w:t>②投标人承诺接到采购人通知后0.5小时（不含）以上至1小时（含）内到达采购人指定地点的，得</w:t>
            </w:r>
            <w:r>
              <w:rPr>
                <w:rFonts w:ascii="宋体" w:eastAsia="宋体" w:cs="宋体"/>
                <w:kern w:val="0"/>
                <w:sz w:val="24"/>
                <w:szCs w:val="24"/>
                <w:shd w:val="clear" w:color="auto" w:fill="FFFFFF"/>
              </w:rPr>
              <w:t>2</w:t>
            </w:r>
            <w:r>
              <w:rPr>
                <w:rFonts w:hint="eastAsia" w:ascii="宋体" w:eastAsia="宋体" w:cs="宋体"/>
                <w:kern w:val="0"/>
                <w:sz w:val="24"/>
                <w:szCs w:val="24"/>
                <w:shd w:val="clear" w:color="auto" w:fill="FFFFFF"/>
              </w:rPr>
              <w:t xml:space="preserve">分。 </w:t>
            </w:r>
          </w:p>
          <w:p>
            <w:pPr>
              <w:pStyle w:val="43"/>
              <w:adjustRightInd w:val="0"/>
              <w:snapToGrid w:val="0"/>
              <w:spacing w:line="240" w:lineRule="auto"/>
              <w:ind w:firstLine="480" w:firstLineChars="200"/>
              <w:rPr>
                <w:rFonts w:ascii="宋体" w:eastAsia="宋体" w:cs="宋体"/>
                <w:kern w:val="0"/>
                <w:sz w:val="24"/>
                <w:szCs w:val="24"/>
                <w:shd w:val="clear" w:color="auto" w:fill="FFFFFF"/>
              </w:rPr>
            </w:pPr>
            <w:r>
              <w:rPr>
                <w:rFonts w:hint="eastAsia" w:ascii="宋体" w:eastAsia="宋体" w:cs="宋体"/>
                <w:kern w:val="0"/>
                <w:sz w:val="24"/>
                <w:szCs w:val="24"/>
                <w:shd w:val="clear" w:color="auto" w:fill="FFFFFF"/>
              </w:rPr>
              <w:t xml:space="preserve">③投标人承诺接到采购人通知后1小时（不含）以上至2小时（含）内到达采购人指定地点的，得1分。 </w:t>
            </w:r>
          </w:p>
          <w:p>
            <w:pPr>
              <w:pStyle w:val="43"/>
              <w:adjustRightInd w:val="0"/>
              <w:snapToGrid w:val="0"/>
              <w:spacing w:line="240" w:lineRule="auto"/>
              <w:ind w:firstLine="480" w:firstLineChars="200"/>
              <w:rPr>
                <w:rFonts w:ascii="宋体" w:eastAsia="宋体" w:cs="宋体"/>
                <w:kern w:val="0"/>
                <w:sz w:val="24"/>
                <w:szCs w:val="24"/>
                <w:shd w:val="clear" w:color="auto" w:fill="FFFFFF"/>
              </w:rPr>
            </w:pPr>
            <w:r>
              <w:rPr>
                <w:rFonts w:hint="eastAsia" w:ascii="宋体" w:eastAsia="宋体" w:cs="宋体"/>
                <w:kern w:val="0"/>
                <w:sz w:val="24"/>
                <w:szCs w:val="24"/>
                <w:shd w:val="clear" w:color="auto" w:fill="FFFFFF"/>
              </w:rPr>
              <w:t>④投标人承诺接到采购人通知后2小时（不含）以上到达采购人指定地点的，得0分。</w:t>
            </w:r>
          </w:p>
          <w:p>
            <w:pPr>
              <w:pStyle w:val="43"/>
              <w:adjustRightInd w:val="0"/>
              <w:snapToGrid w:val="0"/>
              <w:spacing w:line="240" w:lineRule="auto"/>
              <w:ind w:firstLine="480" w:firstLineChars="200"/>
              <w:rPr>
                <w:rFonts w:ascii="宋体" w:eastAsia="宋体" w:cs="宋体"/>
                <w:kern w:val="0"/>
                <w:sz w:val="24"/>
                <w:szCs w:val="24"/>
                <w:shd w:val="clear" w:color="auto" w:fill="FFFFFF"/>
              </w:rPr>
            </w:pPr>
            <w:r>
              <w:rPr>
                <w:rFonts w:hint="eastAsia" w:ascii="宋体" w:eastAsia="宋体" w:cs="宋体"/>
                <w:kern w:val="0"/>
                <w:sz w:val="24"/>
                <w:szCs w:val="24"/>
                <w:shd w:val="clear" w:color="auto" w:fill="FFFFFF"/>
              </w:rPr>
              <w:t>投标人必须提供单独的紧急服务响应时间承诺文件，格式自拟，并加盖投标人公章，否则不得分。</w:t>
            </w:r>
          </w:p>
          <w:p>
            <w:pPr>
              <w:spacing w:line="240" w:lineRule="auto"/>
              <w:ind w:firstLine="480" w:firstLineChars="200"/>
              <w:rPr>
                <w:rFonts w:ascii="宋体" w:hAnsi="宋体" w:cs="宋体"/>
                <w:sz w:val="24"/>
                <w:szCs w:val="24"/>
                <w:shd w:val="clear" w:color="auto" w:fill="FFFFFF"/>
                <w:lang w:val="zh-CN"/>
              </w:rPr>
            </w:pPr>
            <w:r>
              <w:rPr>
                <w:rFonts w:hint="eastAsia" w:ascii="宋体" w:hAnsi="宋体" w:cs="宋体"/>
                <w:sz w:val="24"/>
                <w:szCs w:val="24"/>
                <w:shd w:val="clear" w:color="auto" w:fill="FFFFFF"/>
              </w:rPr>
              <w:t>（备注：所承诺的内容将视为重点响应条款，如无法实现，采购人有权针对承诺后未满足条款，要求中标人承担赔偿因此造成的一切损失等法律责任。如未在响应时间内到达采购人指定地点的，按第一次扣款</w:t>
            </w:r>
            <w:r>
              <w:rPr>
                <w:rFonts w:ascii="宋体" w:hAnsi="宋体" w:cs="宋体"/>
                <w:sz w:val="24"/>
                <w:szCs w:val="24"/>
                <w:shd w:val="clear" w:color="auto" w:fill="FFFFFF"/>
              </w:rPr>
              <w:t>2000</w:t>
            </w:r>
            <w:r>
              <w:rPr>
                <w:rFonts w:hint="eastAsia" w:ascii="宋体" w:hAnsi="宋体" w:cs="宋体"/>
                <w:sz w:val="24"/>
                <w:szCs w:val="24"/>
                <w:shd w:val="clear" w:color="auto" w:fill="FFFFFF"/>
              </w:rPr>
              <w:t>元，第二次扣款</w:t>
            </w:r>
            <w:r>
              <w:rPr>
                <w:rFonts w:ascii="宋体" w:hAnsi="宋体" w:cs="宋体"/>
                <w:sz w:val="24"/>
                <w:szCs w:val="24"/>
                <w:shd w:val="clear" w:color="auto" w:fill="FFFFFF"/>
              </w:rPr>
              <w:t>4000</w:t>
            </w:r>
            <w:r>
              <w:rPr>
                <w:rFonts w:hint="eastAsia" w:ascii="宋体" w:hAnsi="宋体" w:cs="宋体"/>
                <w:sz w:val="24"/>
                <w:szCs w:val="24"/>
                <w:shd w:val="clear" w:color="auto" w:fill="FFFFFF"/>
              </w:rPr>
              <w:t>元，第三次扣款</w:t>
            </w:r>
            <w:r>
              <w:rPr>
                <w:rFonts w:ascii="宋体" w:hAnsi="宋体" w:cs="宋体"/>
                <w:sz w:val="24"/>
                <w:szCs w:val="24"/>
                <w:shd w:val="clear" w:color="auto" w:fill="FFFFFF"/>
              </w:rPr>
              <w:t>6000</w:t>
            </w:r>
            <w:r>
              <w:rPr>
                <w:rFonts w:hint="eastAsia" w:ascii="宋体" w:hAnsi="宋体" w:cs="宋体"/>
                <w:sz w:val="24"/>
                <w:szCs w:val="24"/>
                <w:shd w:val="clear" w:color="auto" w:fill="FFFFFF"/>
              </w:rPr>
              <w:t>元，以此累计扣款金额，造成的相关损失另行计算。）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57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kern w:val="2"/>
                <w:sz w:val="24"/>
                <w:szCs w:val="24"/>
              </w:rPr>
            </w:pPr>
            <w:r>
              <w:rPr>
                <w:rFonts w:hint="eastAsia" w:ascii="宋体" w:hAnsi="宋体" w:cs="宋体"/>
                <w:bCs/>
                <w:sz w:val="24"/>
                <w:szCs w:val="24"/>
              </w:rPr>
              <w:t>9</w:t>
            </w:r>
          </w:p>
        </w:tc>
        <w:tc>
          <w:tcPr>
            <w:tcW w:w="1190" w:type="dxa"/>
            <w:tcBorders>
              <w:top w:val="single" w:color="auto" w:sz="4" w:space="0"/>
              <w:left w:val="single" w:color="auto" w:sz="4" w:space="0"/>
              <w:bottom w:val="single" w:color="auto" w:sz="4" w:space="0"/>
              <w:right w:val="single" w:color="auto" w:sz="4" w:space="0"/>
            </w:tcBorders>
            <w:vAlign w:val="center"/>
          </w:tcPr>
          <w:p>
            <w:pPr>
              <w:pStyle w:val="43"/>
              <w:spacing w:line="240" w:lineRule="auto"/>
              <w:ind w:firstLine="0" w:firstLineChars="0"/>
              <w:jc w:val="center"/>
              <w:rPr>
                <w:rFonts w:ascii="宋体" w:eastAsia="宋体" w:cs="宋体"/>
                <w:sz w:val="24"/>
                <w:szCs w:val="24"/>
              </w:rPr>
            </w:pPr>
            <w:r>
              <w:rPr>
                <w:rFonts w:hint="eastAsia" w:ascii="宋体" w:eastAsia="宋体" w:cs="宋体"/>
                <w:sz w:val="24"/>
                <w:szCs w:val="24"/>
                <w:shd w:val="clear" w:color="auto" w:fill="FFFFFF"/>
              </w:rPr>
              <w:t>设备安全性能</w:t>
            </w:r>
          </w:p>
        </w:tc>
        <w:tc>
          <w:tcPr>
            <w:tcW w:w="930" w:type="dxa"/>
            <w:tcBorders>
              <w:top w:val="single" w:color="auto" w:sz="4" w:space="0"/>
              <w:left w:val="single" w:color="auto" w:sz="4" w:space="0"/>
              <w:bottom w:val="single" w:color="auto" w:sz="4" w:space="0"/>
              <w:right w:val="single" w:color="auto" w:sz="4" w:space="0"/>
            </w:tcBorders>
            <w:vAlign w:val="center"/>
          </w:tcPr>
          <w:p>
            <w:pPr>
              <w:pStyle w:val="43"/>
              <w:spacing w:line="240" w:lineRule="auto"/>
              <w:ind w:firstLine="0" w:firstLineChars="0"/>
              <w:jc w:val="center"/>
              <w:rPr>
                <w:rFonts w:ascii="宋体" w:eastAsia="宋体" w:cs="宋体"/>
                <w:kern w:val="0"/>
                <w:sz w:val="24"/>
                <w:szCs w:val="24"/>
              </w:rPr>
            </w:pPr>
            <w:r>
              <w:rPr>
                <w:rFonts w:ascii="宋体" w:eastAsia="宋体" w:cs="宋体"/>
                <w:kern w:val="0"/>
                <w:sz w:val="24"/>
                <w:szCs w:val="24"/>
              </w:rPr>
              <w:t>3</w:t>
            </w:r>
            <w:r>
              <w:rPr>
                <w:rFonts w:hint="eastAsia" w:ascii="宋体" w:eastAsia="宋体" w:cs="宋体"/>
                <w:kern w:val="0"/>
                <w:sz w:val="24"/>
                <w:szCs w:val="24"/>
              </w:rPr>
              <w:t>分</w:t>
            </w:r>
          </w:p>
        </w:tc>
        <w:tc>
          <w:tcPr>
            <w:tcW w:w="56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根据投标人所投设备安全性能（包括但不限于：1.安全防护设计、2.安全措施、3.电控、电池防护措施、4.安全配置、5.保养措施等内容）进行综合评审：</w:t>
            </w:r>
          </w:p>
          <w:p>
            <w:pPr>
              <w:spacing w:line="240" w:lineRule="auto"/>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投标人提供的设备安全性能内容全面完整、安全防护设计详细合理、安全措施详细合理、电控、电池防护措施详细合理、安全配置全面合理、保养措施详细合理的，得</w:t>
            </w:r>
            <w:r>
              <w:rPr>
                <w:rFonts w:ascii="宋体" w:hAnsi="宋体" w:cs="宋体"/>
                <w:sz w:val="24"/>
                <w:szCs w:val="24"/>
                <w:shd w:val="clear" w:color="auto" w:fill="FFFFFF"/>
              </w:rPr>
              <w:t>3</w:t>
            </w:r>
            <w:r>
              <w:rPr>
                <w:rFonts w:hint="eastAsia" w:ascii="宋体" w:hAnsi="宋体" w:cs="宋体"/>
                <w:sz w:val="24"/>
                <w:szCs w:val="24"/>
                <w:shd w:val="clear" w:color="auto" w:fill="FFFFFF"/>
              </w:rPr>
              <w:t>分；</w:t>
            </w:r>
          </w:p>
          <w:p>
            <w:pPr>
              <w:spacing w:line="240" w:lineRule="auto"/>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投标人提供的设备安全性能内容较完整、安全防护设计较合理、安全措施较合理、电控、电池防护措施较合理、安全配置较合理、保养措施较合理的，得</w:t>
            </w:r>
            <w:r>
              <w:rPr>
                <w:rFonts w:ascii="宋体" w:hAnsi="宋体" w:cs="宋体"/>
                <w:sz w:val="24"/>
                <w:szCs w:val="24"/>
                <w:shd w:val="clear" w:color="auto" w:fill="FFFFFF"/>
              </w:rPr>
              <w:t>2</w:t>
            </w:r>
            <w:r>
              <w:rPr>
                <w:rFonts w:hint="eastAsia" w:ascii="宋体" w:hAnsi="宋体" w:cs="宋体"/>
                <w:sz w:val="24"/>
                <w:szCs w:val="24"/>
                <w:shd w:val="clear" w:color="auto" w:fill="FFFFFF"/>
              </w:rPr>
              <w:t>分；</w:t>
            </w:r>
          </w:p>
          <w:p>
            <w:pPr>
              <w:spacing w:line="240" w:lineRule="auto"/>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投标人提供的设备安全性能内容一般、安全防护设计一般、安全措施一般、电控、电池防护措施一般、安全配置一般、保养措施一般的，得1分；</w:t>
            </w:r>
          </w:p>
          <w:p>
            <w:pPr>
              <w:spacing w:line="240" w:lineRule="auto"/>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投标人或投标产品制造商提供的设备安全性能内容不完整或缺漏、安全防护设计差、安全措施差、电控、电池防护措施差、安全配置差、保养措施差，得0.5分；</w:t>
            </w:r>
          </w:p>
          <w:p>
            <w:pPr>
              <w:spacing w:line="240" w:lineRule="auto"/>
              <w:ind w:firstLine="480" w:firstLineChars="200"/>
              <w:rPr>
                <w:rFonts w:ascii="宋体" w:hAnsi="宋体" w:cs="宋体"/>
                <w:kern w:val="2"/>
                <w:sz w:val="24"/>
                <w:szCs w:val="24"/>
                <w:shd w:val="clear" w:color="auto" w:fill="FFFFFF"/>
                <w:lang w:val="zh-CN"/>
              </w:rPr>
            </w:pPr>
            <w:r>
              <w:rPr>
                <w:rFonts w:hint="eastAsia" w:ascii="宋体" w:hAnsi="宋体" w:cs="宋体"/>
                <w:sz w:val="24"/>
                <w:szCs w:val="24"/>
                <w:shd w:val="clear" w:color="auto" w:fill="FFFFFF"/>
              </w:rPr>
              <w:t>未提供对应措施不得分。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57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kern w:val="2"/>
                <w:sz w:val="24"/>
                <w:szCs w:val="24"/>
              </w:rPr>
            </w:pPr>
            <w:r>
              <w:rPr>
                <w:rFonts w:hint="eastAsia" w:ascii="宋体" w:hAnsi="宋体" w:cs="宋体"/>
                <w:bCs/>
                <w:sz w:val="24"/>
                <w:szCs w:val="24"/>
              </w:rPr>
              <w:t>10</w:t>
            </w:r>
          </w:p>
        </w:tc>
        <w:tc>
          <w:tcPr>
            <w:tcW w:w="1190" w:type="dxa"/>
            <w:tcBorders>
              <w:top w:val="single" w:color="auto" w:sz="4" w:space="0"/>
              <w:left w:val="single" w:color="auto" w:sz="4" w:space="0"/>
              <w:bottom w:val="single" w:color="auto" w:sz="4" w:space="0"/>
              <w:right w:val="single" w:color="auto" w:sz="4" w:space="0"/>
            </w:tcBorders>
            <w:vAlign w:val="center"/>
          </w:tcPr>
          <w:p>
            <w:pPr>
              <w:pStyle w:val="43"/>
              <w:spacing w:line="240" w:lineRule="auto"/>
              <w:ind w:firstLine="0" w:firstLineChars="0"/>
              <w:jc w:val="center"/>
              <w:rPr>
                <w:rFonts w:ascii="宋体" w:eastAsia="宋体" w:cs="宋体"/>
                <w:sz w:val="24"/>
                <w:szCs w:val="24"/>
                <w:shd w:val="clear" w:color="auto" w:fill="FFFFFF"/>
              </w:rPr>
            </w:pPr>
            <w:r>
              <w:rPr>
                <w:rFonts w:hint="eastAsia" w:ascii="宋体" w:eastAsia="宋体" w:cs="宋体"/>
                <w:sz w:val="24"/>
                <w:szCs w:val="24"/>
                <w:shd w:val="clear" w:color="auto" w:fill="FFFFFF"/>
              </w:rPr>
              <w:t>质保期</w:t>
            </w:r>
          </w:p>
        </w:tc>
        <w:tc>
          <w:tcPr>
            <w:tcW w:w="930" w:type="dxa"/>
            <w:tcBorders>
              <w:top w:val="single" w:color="auto" w:sz="4" w:space="0"/>
              <w:left w:val="single" w:color="auto" w:sz="4" w:space="0"/>
              <w:bottom w:val="single" w:color="auto" w:sz="4" w:space="0"/>
              <w:right w:val="single" w:color="auto" w:sz="4" w:space="0"/>
            </w:tcBorders>
            <w:vAlign w:val="center"/>
          </w:tcPr>
          <w:p>
            <w:pPr>
              <w:pStyle w:val="43"/>
              <w:spacing w:line="240" w:lineRule="auto"/>
              <w:ind w:firstLine="0" w:firstLineChars="0"/>
              <w:jc w:val="center"/>
              <w:rPr>
                <w:rFonts w:ascii="宋体" w:eastAsia="宋体" w:cs="宋体"/>
                <w:kern w:val="0"/>
                <w:sz w:val="24"/>
                <w:szCs w:val="24"/>
              </w:rPr>
            </w:pPr>
            <w:r>
              <w:rPr>
                <w:rFonts w:hint="eastAsia" w:ascii="宋体" w:eastAsia="宋体" w:cs="宋体"/>
                <w:kern w:val="0"/>
                <w:sz w:val="24"/>
                <w:szCs w:val="24"/>
              </w:rPr>
              <w:t>2分</w:t>
            </w:r>
          </w:p>
        </w:tc>
        <w:tc>
          <w:tcPr>
            <w:tcW w:w="56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投标人在响应用户需求规定不少于1年整体项目设备的免费质保期的基础上，每增加半年（6个月）的得0.5分，最高得2分。</w:t>
            </w:r>
          </w:p>
          <w:p>
            <w:pPr>
              <w:spacing w:line="240" w:lineRule="auto"/>
              <w:ind w:firstLine="480" w:firstLineChars="200"/>
              <w:rPr>
                <w:rFonts w:ascii="宋体" w:hAnsi="宋体" w:cs="宋体"/>
                <w:kern w:val="2"/>
                <w:sz w:val="24"/>
                <w:szCs w:val="24"/>
                <w:shd w:val="clear" w:color="auto" w:fill="FFFFFF"/>
              </w:rPr>
            </w:pPr>
            <w:r>
              <w:rPr>
                <w:rFonts w:hint="eastAsia" w:ascii="宋体" w:hAnsi="宋体" w:cs="宋体"/>
                <w:sz w:val="24"/>
                <w:szCs w:val="24"/>
                <w:shd w:val="clear" w:color="auto" w:fill="FFFFFF"/>
              </w:rPr>
              <w:t>注：须提供单独承诺函加盖投标人公章进行响应，不提供或不响应增加的均不得分。</w:t>
            </w:r>
          </w:p>
        </w:tc>
      </w:tr>
    </w:tbl>
    <w:p>
      <w:pPr>
        <w:ind w:firstLine="482" w:firstLineChars="200"/>
        <w:rPr>
          <w:rFonts w:ascii="宋体" w:hAnsi="宋体" w:cs="宋体"/>
          <w:b/>
          <w:bCs/>
          <w:sz w:val="24"/>
          <w:szCs w:val="24"/>
        </w:rPr>
      </w:pPr>
      <w:r>
        <w:rPr>
          <w:rFonts w:hint="eastAsia" w:ascii="宋体" w:hAnsi="宋体" w:cs="宋体"/>
          <w:b/>
          <w:bCs/>
          <w:sz w:val="24"/>
          <w:szCs w:val="24"/>
        </w:rPr>
        <w:t>注：评标委员会评委按评标标准独立对技术标进行评审，得出技术标评分。当评标委员会为五人时，在所有评委对同一份投标文件技术标评审的总评分中，去掉一个最高分和一个最低分，计算剩余总评分的算术平均值即为该投标人技术标的最终综合得分；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标评审的总评分中，去掉一个最高分和一个最低分，计算剩余总评分的算术平均值即为该投标人技术标的最终综合得分。</w:t>
      </w:r>
    </w:p>
    <w:p>
      <w:pPr>
        <w:numPr>
          <w:ilvl w:val="255"/>
          <w:numId w:val="0"/>
        </w:numPr>
        <w:rPr>
          <w:rFonts w:ascii="宋体" w:hAnsi="宋体" w:cs="宋体"/>
          <w:sz w:val="24"/>
          <w:szCs w:val="24"/>
        </w:rPr>
      </w:pPr>
      <w:r>
        <w:rPr>
          <w:rFonts w:hint="eastAsia" w:ascii="宋体" w:hAnsi="宋体" w:cs="宋体"/>
          <w:sz w:val="24"/>
          <w:szCs w:val="24"/>
        </w:rPr>
        <w:t>31.2.价格评分说明：</w:t>
      </w:r>
    </w:p>
    <w:p>
      <w:pPr>
        <w:tabs>
          <w:tab w:val="left" w:pos="720"/>
        </w:tabs>
        <w:rPr>
          <w:rFonts w:ascii="宋体" w:hAnsi="宋体" w:cs="宋体"/>
          <w:snapToGrid w:val="0"/>
          <w:sz w:val="24"/>
          <w:szCs w:val="24"/>
        </w:rPr>
      </w:pPr>
      <w:r>
        <w:rPr>
          <w:rFonts w:hint="eastAsia" w:ascii="宋体" w:hAnsi="宋体" w:cs="宋体"/>
          <w:sz w:val="24"/>
          <w:szCs w:val="24"/>
        </w:rPr>
        <w:t>31.2.1.确定基准价：</w:t>
      </w:r>
      <w:r>
        <w:rPr>
          <w:rFonts w:hint="eastAsia" w:ascii="宋体" w:hAnsi="宋体" w:cs="宋体"/>
          <w:snapToGrid w:val="0"/>
          <w:sz w:val="24"/>
          <w:szCs w:val="24"/>
        </w:rPr>
        <w:t>满足采购文件要求且投标价格最低的投标报价为基准评标价，其价格分为满分。</w:t>
      </w:r>
    </w:p>
    <w:p>
      <w:pPr>
        <w:numPr>
          <w:ilvl w:val="0"/>
          <w:numId w:val="16"/>
        </w:numPr>
        <w:ind w:left="0" w:firstLine="0"/>
        <w:rPr>
          <w:rFonts w:ascii="宋体" w:hAnsi="宋体" w:cs="宋体"/>
          <w:sz w:val="24"/>
          <w:szCs w:val="24"/>
        </w:rPr>
      </w:pPr>
      <w:r>
        <w:rPr>
          <w:rFonts w:hint="eastAsia" w:ascii="宋体" w:hAnsi="宋体" w:cs="宋体"/>
          <w:snapToGrid w:val="0"/>
          <w:sz w:val="24"/>
          <w:szCs w:val="24"/>
        </w:rPr>
        <w:t>其他投标人的价格分统一按照下列公式计算：投标报价的分=（评标基准价/投标报价）×价格权重（30%）×100。</w:t>
      </w:r>
    </w:p>
    <w:p>
      <w:pPr>
        <w:numPr>
          <w:ilvl w:val="0"/>
          <w:numId w:val="16"/>
        </w:numPr>
        <w:ind w:left="0" w:firstLine="0"/>
        <w:rPr>
          <w:rFonts w:ascii="宋体" w:hAnsi="宋体" w:cs="宋体"/>
          <w:sz w:val="24"/>
          <w:szCs w:val="24"/>
        </w:rPr>
      </w:pPr>
      <w:r>
        <w:rPr>
          <w:rFonts w:hint="eastAsia" w:ascii="宋体" w:hAnsi="宋体" w:cs="宋体"/>
          <w:snapToGrid w:val="0"/>
          <w:sz w:val="24"/>
          <w:szCs w:val="24"/>
        </w:rPr>
        <w:t>投标报价中有设备缺项，将全部有效投标报价中此设备的最高报价计入缺漏设备投标人总价，然后进行价格评分，若此投标人中标，投标人必须将此设备补齐，并且中标总价为投标人原始报价，不予调整。</w:t>
      </w:r>
      <w:r>
        <w:rPr>
          <w:rFonts w:hint="eastAsia" w:ascii="宋体" w:hAnsi="宋体" w:cs="宋体"/>
          <w:b/>
          <w:bCs/>
          <w:snapToGrid w:val="0"/>
          <w:sz w:val="24"/>
          <w:szCs w:val="24"/>
        </w:rPr>
        <w:t>若投标人拒绝接受上述办法，其投标将被拒绝。</w:t>
      </w:r>
    </w:p>
    <w:p>
      <w:pPr>
        <w:tabs>
          <w:tab w:val="left" w:pos="720"/>
        </w:tabs>
        <w:snapToGrid/>
        <w:rPr>
          <w:rFonts w:ascii="宋体" w:hAnsi="宋体" w:cs="宋体"/>
          <w:sz w:val="24"/>
          <w:szCs w:val="24"/>
        </w:rPr>
      </w:pPr>
      <w:r>
        <w:rPr>
          <w:rFonts w:hint="eastAsia" w:ascii="宋体" w:hAnsi="宋体" w:cs="宋体"/>
          <w:sz w:val="24"/>
          <w:szCs w:val="24"/>
        </w:rPr>
        <w:t>31.2.2.</w:t>
      </w:r>
      <w:r>
        <w:rPr>
          <w:rFonts w:hint="eastAsia" w:ascii="宋体" w:hAnsi="宋体" w:cs="宋体"/>
          <w:b/>
          <w:bCs/>
          <w:sz w:val="24"/>
          <w:szCs w:val="24"/>
        </w:rPr>
        <w:t>投标人的最终评标得分＝商务、技术综合得分＋价格得分</w:t>
      </w:r>
    </w:p>
    <w:p>
      <w:pPr>
        <w:spacing w:line="348" w:lineRule="auto"/>
        <w:ind w:left="720" w:hanging="720" w:hangingChars="300"/>
        <w:rPr>
          <w:rFonts w:ascii="宋体" w:hAnsi="宋体" w:cs="宋体"/>
          <w:sz w:val="24"/>
          <w:szCs w:val="24"/>
        </w:rPr>
      </w:pPr>
      <w:r>
        <w:rPr>
          <w:rFonts w:hint="eastAsia" w:ascii="宋体" w:hAnsi="宋体" w:cs="宋体"/>
          <w:sz w:val="24"/>
          <w:szCs w:val="24"/>
        </w:rPr>
        <w:t>31.2.3.根据有效投标人的评标总得分由高到低顺序列出投标人的名次，报评标委员会确认后，推荐综合得分高的前三名为中标候选人。</w:t>
      </w:r>
    </w:p>
    <w:p>
      <w:pPr>
        <w:ind w:left="720" w:hanging="720" w:hangingChars="300"/>
        <w:rPr>
          <w:rFonts w:ascii="宋体" w:hAnsi="宋体" w:cs="宋体"/>
          <w:sz w:val="24"/>
          <w:szCs w:val="24"/>
        </w:rPr>
      </w:pPr>
      <w:r>
        <w:rPr>
          <w:rFonts w:hint="eastAsia" w:ascii="宋体" w:hAnsi="宋体" w:cs="宋体"/>
          <w:sz w:val="24"/>
          <w:szCs w:val="24"/>
        </w:rPr>
        <w:t>31.2.4.评标委员会将依据委托采购金额作为授予合同价格的上限。</w:t>
      </w:r>
    </w:p>
    <w:p>
      <w:pPr>
        <w:spacing w:line="348" w:lineRule="auto"/>
        <w:ind w:left="720" w:hanging="720" w:hangingChars="300"/>
        <w:rPr>
          <w:rFonts w:ascii="宋体" w:hAnsi="宋体" w:cs="宋体"/>
          <w:sz w:val="24"/>
          <w:szCs w:val="24"/>
        </w:rPr>
      </w:pPr>
      <w:r>
        <w:rPr>
          <w:rFonts w:hint="eastAsia" w:ascii="宋体" w:hAnsi="宋体" w:cs="宋体"/>
          <w:sz w:val="24"/>
          <w:szCs w:val="24"/>
        </w:rPr>
        <w:t>31.2.5.评标委员会同时将参照本须知规定，只对确定为实质上响应采购文件要求的投标进行下一步评定。</w:t>
      </w:r>
    </w:p>
    <w:p>
      <w:pPr>
        <w:spacing w:line="348" w:lineRule="auto"/>
        <w:ind w:left="720" w:hanging="720" w:hangingChars="300"/>
        <w:rPr>
          <w:rFonts w:ascii="宋体" w:hAnsi="宋体" w:cs="宋体"/>
          <w:sz w:val="24"/>
          <w:szCs w:val="24"/>
        </w:rPr>
      </w:pPr>
      <w:r>
        <w:rPr>
          <w:rFonts w:hint="eastAsia" w:ascii="宋体" w:hAnsi="宋体" w:cs="宋体"/>
          <w:sz w:val="24"/>
          <w:szCs w:val="24"/>
        </w:rPr>
        <w:t>31.2.6.评标总得分相同的，按投标报价由低到高顺序排列；评标总得分且投标报价相同的，按技术指标优劣顺序排列。评标委员会认为，排在前面的供应商的最低投标报价或者某些分项报价明显不合理或者低于成本，有可能影响服务质量和不能诚信履约的，评标委员会应当要求其在规定的期限内提供书面文件予以解释说明，并提交相关证明材料；否则，评标委员会可以取消该投标供应商的中标资格，按顺序由排在后面的供应商递补，以此类推。</w:t>
      </w:r>
    </w:p>
    <w:p>
      <w:pPr>
        <w:tabs>
          <w:tab w:val="left" w:pos="0"/>
        </w:tabs>
        <w:rPr>
          <w:rFonts w:ascii="宋体" w:hAnsi="宋体" w:cs="宋体"/>
          <w:sz w:val="24"/>
          <w:szCs w:val="24"/>
        </w:rPr>
      </w:pPr>
    </w:p>
    <w:p>
      <w:pPr>
        <w:numPr>
          <w:ilvl w:val="255"/>
          <w:numId w:val="0"/>
        </w:numPr>
        <w:outlineLvl w:val="2"/>
        <w:rPr>
          <w:rFonts w:ascii="宋体" w:hAnsi="宋体" w:cs="宋体"/>
          <w:b/>
          <w:bCs/>
          <w:sz w:val="24"/>
          <w:szCs w:val="24"/>
        </w:rPr>
      </w:pPr>
      <w:bookmarkStart w:id="166" w:name="_Toc5683"/>
      <w:bookmarkStart w:id="167" w:name="_Toc5839"/>
      <w:r>
        <w:rPr>
          <w:rFonts w:hint="eastAsia" w:ascii="宋体" w:hAnsi="宋体" w:cs="宋体"/>
          <w:b/>
          <w:sz w:val="24"/>
          <w:szCs w:val="24"/>
        </w:rPr>
        <w:t>32.投标文件的修正和澄清</w:t>
      </w:r>
      <w:bookmarkEnd w:id="166"/>
      <w:bookmarkEnd w:id="167"/>
    </w:p>
    <w:p>
      <w:pPr>
        <w:numPr>
          <w:ilvl w:val="255"/>
          <w:numId w:val="0"/>
        </w:numPr>
        <w:rPr>
          <w:rFonts w:ascii="宋体" w:hAnsi="宋体" w:cs="宋体"/>
          <w:sz w:val="24"/>
          <w:szCs w:val="24"/>
        </w:rPr>
      </w:pPr>
      <w:r>
        <w:rPr>
          <w:rFonts w:hint="eastAsia" w:ascii="宋体" w:hAnsi="宋体" w:cs="宋体"/>
          <w:sz w:val="24"/>
          <w:szCs w:val="24"/>
        </w:rPr>
        <w:t>32.1.为有助于对投标文件的审核、评价和比较，评标委员会可分别要求投标人对其投标文件进行澄清，有关澄清的要求和答复先以口头形式进行，最终要以书面形式确认，但不得寻求、提供或允许对投标价格或实质性内容做任何更改。</w:t>
      </w:r>
    </w:p>
    <w:p>
      <w:pPr>
        <w:numPr>
          <w:ilvl w:val="255"/>
          <w:numId w:val="0"/>
        </w:numPr>
        <w:rPr>
          <w:rFonts w:ascii="宋体" w:hAnsi="宋体" w:cs="宋体"/>
          <w:sz w:val="24"/>
          <w:szCs w:val="24"/>
        </w:rPr>
      </w:pPr>
      <w:r>
        <w:rPr>
          <w:rFonts w:hint="eastAsia" w:ascii="宋体" w:hAnsi="宋体" w:cs="宋体"/>
          <w:sz w:val="24"/>
          <w:szCs w:val="24"/>
        </w:rPr>
        <w:t>32.2.评标委员会和采购人在评审过程中认为有必要将对投标人进行实地核查，并在必要时核对投标文件中相关材料的原件。</w:t>
      </w:r>
    </w:p>
    <w:p>
      <w:pPr>
        <w:rPr>
          <w:rFonts w:ascii="宋体" w:hAnsi="宋体" w:cs="宋体"/>
          <w:b/>
          <w:bCs/>
          <w:sz w:val="24"/>
          <w:szCs w:val="24"/>
        </w:rPr>
      </w:pPr>
    </w:p>
    <w:p>
      <w:pPr>
        <w:numPr>
          <w:ilvl w:val="255"/>
          <w:numId w:val="0"/>
        </w:numPr>
        <w:outlineLvl w:val="2"/>
        <w:rPr>
          <w:rFonts w:ascii="宋体" w:hAnsi="宋体" w:cs="宋体"/>
          <w:b/>
          <w:sz w:val="24"/>
          <w:szCs w:val="24"/>
        </w:rPr>
      </w:pPr>
      <w:bookmarkStart w:id="168" w:name="_Toc8513"/>
      <w:bookmarkStart w:id="169" w:name="_Toc30614"/>
      <w:r>
        <w:rPr>
          <w:rFonts w:hint="eastAsia" w:ascii="宋体" w:hAnsi="宋体" w:cs="宋体"/>
          <w:b/>
          <w:sz w:val="24"/>
          <w:szCs w:val="24"/>
        </w:rPr>
        <w:t>33.资格后审</w:t>
      </w:r>
      <w:bookmarkEnd w:id="168"/>
      <w:bookmarkEnd w:id="169"/>
    </w:p>
    <w:p>
      <w:pPr>
        <w:numPr>
          <w:ilvl w:val="255"/>
          <w:numId w:val="0"/>
        </w:numPr>
        <w:rPr>
          <w:rFonts w:ascii="宋体" w:hAnsi="宋体" w:cs="宋体"/>
          <w:sz w:val="24"/>
          <w:szCs w:val="24"/>
        </w:rPr>
      </w:pPr>
      <w:r>
        <w:rPr>
          <w:rFonts w:hint="eastAsia" w:ascii="宋体" w:hAnsi="宋体" w:cs="宋体"/>
          <w:sz w:val="24"/>
          <w:szCs w:val="24"/>
        </w:rPr>
        <w:t>33.1.采购人将根据采购文件中的要求，对评标委员会推荐的中标候选人进行资格后审。</w:t>
      </w:r>
    </w:p>
    <w:p>
      <w:pPr>
        <w:numPr>
          <w:ilvl w:val="255"/>
          <w:numId w:val="0"/>
        </w:numPr>
        <w:rPr>
          <w:rFonts w:ascii="宋体" w:hAnsi="宋体" w:cs="宋体"/>
          <w:sz w:val="24"/>
          <w:szCs w:val="24"/>
        </w:rPr>
      </w:pPr>
      <w:r>
        <w:rPr>
          <w:rFonts w:hint="eastAsia" w:ascii="宋体" w:hAnsi="宋体" w:cs="宋体"/>
          <w:sz w:val="24"/>
          <w:szCs w:val="24"/>
        </w:rPr>
        <w:t>33.2.中标候选人须无条件配合资格后审，否则采购人有权取消其中标资格，且投标保证金可不予退还。</w:t>
      </w:r>
    </w:p>
    <w:p>
      <w:pPr>
        <w:numPr>
          <w:ilvl w:val="255"/>
          <w:numId w:val="0"/>
        </w:numPr>
        <w:adjustRightInd/>
        <w:rPr>
          <w:rFonts w:ascii="宋体" w:hAnsi="宋体" w:cs="宋体"/>
          <w:sz w:val="24"/>
          <w:szCs w:val="24"/>
        </w:rPr>
      </w:pPr>
      <w:r>
        <w:rPr>
          <w:rFonts w:hint="eastAsia" w:ascii="宋体" w:hAnsi="宋体" w:cs="宋体"/>
          <w:sz w:val="24"/>
          <w:szCs w:val="24"/>
        </w:rPr>
        <w:t>33.3.资格后审须提供包括但不限于营业执照、税务登记证和在投标文件中提供的资质证明文件、业绩等重要证明文件的原件进行核对，综合考察中标人的履约能力。如采购人要求还须提供业绩证明的其他材料，中标候选人须配合提供。如授权其分支机构进行项目实施或提供售后服务的，亦应提供其与分支机构关系的法律证明材料。</w:t>
      </w:r>
    </w:p>
    <w:p>
      <w:pPr>
        <w:numPr>
          <w:ilvl w:val="255"/>
          <w:numId w:val="0"/>
        </w:numPr>
        <w:rPr>
          <w:rFonts w:ascii="宋体" w:hAnsi="宋体" w:cs="宋体"/>
          <w:sz w:val="24"/>
          <w:szCs w:val="24"/>
        </w:rPr>
      </w:pPr>
      <w:r>
        <w:rPr>
          <w:rFonts w:hint="eastAsia" w:ascii="宋体" w:hAnsi="宋体" w:cs="宋体"/>
          <w:sz w:val="24"/>
          <w:szCs w:val="24"/>
        </w:rPr>
        <w:t>33.4.如发现中标候选人以他人名义投标或者其他方式弄虚作假，骗取中标的，采购人有权取消其中标资格，投标保证金可不予退还；并保留追究其赔偿采购人由此而造成一切损失的责任。</w:t>
      </w:r>
    </w:p>
    <w:p>
      <w:pPr>
        <w:numPr>
          <w:ilvl w:val="255"/>
          <w:numId w:val="0"/>
        </w:numPr>
        <w:rPr>
          <w:rFonts w:ascii="宋体" w:hAnsi="宋体" w:cs="宋体"/>
          <w:sz w:val="24"/>
          <w:szCs w:val="24"/>
        </w:rPr>
      </w:pPr>
      <w:r>
        <w:rPr>
          <w:rFonts w:hint="eastAsia" w:ascii="宋体" w:hAnsi="宋体" w:cs="宋体"/>
          <w:sz w:val="24"/>
          <w:szCs w:val="24"/>
        </w:rPr>
        <w:t>33.5.采购人有权审查中标候选人是否具备履行合同的能力，包括但不限于对其规模、人员、场地、生产能力、供货能力等方面的核实或现场考察。如果审查通过，采购人将把合同授予该中标人；如果审查没有通过，采购人有权取消其中标资格，且投标保证金可不予退还，并依次审查下一名中标候选人是否具备履行合同的能力或重新采购。</w:t>
      </w:r>
    </w:p>
    <w:p>
      <w:pPr>
        <w:pStyle w:val="2"/>
        <w:rPr>
          <w:szCs w:val="24"/>
        </w:rPr>
      </w:pPr>
    </w:p>
    <w:p>
      <w:pPr>
        <w:numPr>
          <w:ilvl w:val="255"/>
          <w:numId w:val="0"/>
        </w:numPr>
        <w:outlineLvl w:val="2"/>
        <w:rPr>
          <w:rFonts w:ascii="宋体" w:hAnsi="宋体" w:cs="宋体"/>
          <w:b/>
          <w:sz w:val="24"/>
          <w:szCs w:val="24"/>
        </w:rPr>
      </w:pPr>
      <w:bookmarkStart w:id="170" w:name="_Toc368"/>
      <w:bookmarkStart w:id="171" w:name="_Toc32552"/>
      <w:bookmarkStart w:id="172" w:name="_Toc14834"/>
      <w:r>
        <w:rPr>
          <w:rFonts w:hint="eastAsia" w:ascii="宋体" w:hAnsi="宋体" w:cs="宋体"/>
          <w:b/>
          <w:sz w:val="24"/>
          <w:szCs w:val="24"/>
        </w:rPr>
        <w:t>34.评标结果公示</w:t>
      </w:r>
      <w:bookmarkEnd w:id="170"/>
      <w:bookmarkEnd w:id="171"/>
      <w:bookmarkEnd w:id="172"/>
    </w:p>
    <w:p>
      <w:pPr>
        <w:numPr>
          <w:ilvl w:val="255"/>
          <w:numId w:val="0"/>
        </w:numPr>
        <w:adjustRightInd/>
        <w:rPr>
          <w:rFonts w:ascii="宋体" w:hAnsi="宋体" w:cs="宋体"/>
          <w:sz w:val="24"/>
          <w:szCs w:val="24"/>
        </w:rPr>
      </w:pPr>
      <w:r>
        <w:rPr>
          <w:rFonts w:hint="eastAsia" w:ascii="宋体" w:hAnsi="宋体" w:cs="宋体"/>
          <w:sz w:val="24"/>
          <w:szCs w:val="24"/>
        </w:rPr>
        <w:t>34.1.评标结束后将本次评审结果在中国招标投标公共服务平台(http://www.cebpubservice.com)、东莞市公共资源交易网（http://ggzy.dg.gov.cn）</w:t>
      </w:r>
      <w:r>
        <w:rPr>
          <w:rFonts w:hint="eastAsia" w:ascii="宋体" w:hAnsi="宋体" w:cs="宋体"/>
          <w:sz w:val="24"/>
          <w:szCs w:val="24"/>
          <w:lang w:eastAsia="zh-CN"/>
        </w:rPr>
        <w:t>、</w:t>
      </w:r>
      <w:r>
        <w:rPr>
          <w:rFonts w:hint="eastAsia" w:ascii="宋体" w:hAnsi="宋体" w:cs="宋体"/>
          <w:sz w:val="24"/>
          <w:szCs w:val="24"/>
        </w:rPr>
        <w:t>东莞实业投资控股集团有限公司-招标采购栏目（http://www.dgsy.com.cn/）、东莞市东实新能源有限公司（http://www.dshuanbao.com.cn/）、广东政通招标有限公司(http://www.zttendering.com）发布公示采购结果。</w:t>
      </w:r>
    </w:p>
    <w:p>
      <w:pPr>
        <w:rPr>
          <w:rFonts w:ascii="宋体" w:hAnsi="宋体" w:cs="宋体"/>
          <w:sz w:val="24"/>
          <w:szCs w:val="24"/>
        </w:rPr>
      </w:pPr>
    </w:p>
    <w:p>
      <w:pPr>
        <w:pStyle w:val="8"/>
        <w:numPr>
          <w:ilvl w:val="0"/>
          <w:numId w:val="4"/>
        </w:numPr>
        <w:spacing w:before="0" w:after="0" w:line="480" w:lineRule="auto"/>
        <w:jc w:val="center"/>
        <w:rPr>
          <w:rFonts w:ascii="宋体" w:hAnsi="宋体" w:cs="宋体"/>
          <w:sz w:val="24"/>
          <w:szCs w:val="24"/>
        </w:rPr>
      </w:pPr>
      <w:bookmarkStart w:id="173" w:name="_Toc5316"/>
      <w:bookmarkStart w:id="174" w:name="_Toc18324"/>
      <w:r>
        <w:rPr>
          <w:rFonts w:hint="eastAsia" w:ascii="宋体" w:hAnsi="宋体" w:cs="宋体"/>
          <w:sz w:val="24"/>
          <w:szCs w:val="24"/>
        </w:rPr>
        <w:t>授予合同</w:t>
      </w:r>
      <w:bookmarkEnd w:id="173"/>
      <w:bookmarkEnd w:id="174"/>
    </w:p>
    <w:p>
      <w:pPr>
        <w:pStyle w:val="9"/>
        <w:widowControl w:val="0"/>
        <w:overflowPunct w:val="0"/>
        <w:spacing w:line="240" w:lineRule="auto"/>
        <w:rPr>
          <w:rFonts w:ascii="宋体" w:hAnsi="宋体" w:cs="宋体"/>
          <w:szCs w:val="24"/>
        </w:rPr>
      </w:pPr>
      <w:bookmarkStart w:id="175" w:name="_Toc26572"/>
      <w:bookmarkStart w:id="176" w:name="_Toc508284011"/>
      <w:bookmarkStart w:id="177" w:name="_Toc30488"/>
      <w:r>
        <w:rPr>
          <w:rFonts w:hint="eastAsia" w:ascii="宋体" w:hAnsi="宋体" w:cs="宋体"/>
          <w:szCs w:val="24"/>
        </w:rPr>
        <w:t>35.合同授予标准</w:t>
      </w:r>
      <w:bookmarkEnd w:id="175"/>
      <w:bookmarkEnd w:id="176"/>
      <w:bookmarkEnd w:id="177"/>
    </w:p>
    <w:p>
      <w:pPr>
        <w:pStyle w:val="40"/>
        <w:widowControl w:val="0"/>
        <w:numPr>
          <w:ilvl w:val="0"/>
          <w:numId w:val="11"/>
        </w:numPr>
        <w:tabs>
          <w:tab w:val="left" w:pos="907"/>
        </w:tabs>
        <w:adjustRightInd/>
        <w:snapToGrid/>
        <w:spacing w:line="360" w:lineRule="exact"/>
        <w:ind w:firstLineChars="0"/>
        <w:jc w:val="both"/>
        <w:rPr>
          <w:rFonts w:ascii="宋体" w:hAnsi="宋体" w:cs="宋体"/>
          <w:vanish/>
          <w:sz w:val="24"/>
          <w:szCs w:val="24"/>
        </w:rPr>
      </w:pPr>
    </w:p>
    <w:p>
      <w:pPr>
        <w:widowControl w:val="0"/>
        <w:numPr>
          <w:ilvl w:val="255"/>
          <w:numId w:val="0"/>
        </w:numPr>
        <w:tabs>
          <w:tab w:val="left" w:pos="907"/>
        </w:tabs>
        <w:adjustRightInd/>
        <w:snapToGrid/>
        <w:spacing w:line="360" w:lineRule="exact"/>
        <w:jc w:val="both"/>
        <w:rPr>
          <w:rFonts w:ascii="宋体" w:hAnsi="宋体" w:cs="宋体"/>
          <w:sz w:val="24"/>
          <w:szCs w:val="24"/>
        </w:rPr>
      </w:pPr>
      <w:r>
        <w:rPr>
          <w:rFonts w:hint="eastAsia" w:ascii="宋体" w:hAnsi="宋体" w:cs="宋体"/>
          <w:sz w:val="24"/>
          <w:szCs w:val="24"/>
        </w:rPr>
        <w:t>35.1.根据评标委员会的评审结果，采购人按照评审报告推荐的中标候选人中按顺序依法确定中标人。</w:t>
      </w:r>
    </w:p>
    <w:p>
      <w:pPr>
        <w:rPr>
          <w:rFonts w:ascii="宋体" w:hAnsi="宋体" w:cs="宋体"/>
          <w:sz w:val="24"/>
          <w:szCs w:val="24"/>
        </w:rPr>
      </w:pPr>
    </w:p>
    <w:p>
      <w:pPr>
        <w:numPr>
          <w:ilvl w:val="255"/>
          <w:numId w:val="0"/>
        </w:numPr>
        <w:outlineLvl w:val="2"/>
        <w:rPr>
          <w:rFonts w:ascii="宋体" w:hAnsi="宋体" w:cs="宋体"/>
          <w:b/>
          <w:bCs/>
          <w:sz w:val="24"/>
        </w:rPr>
      </w:pPr>
      <w:bookmarkStart w:id="178" w:name="_Toc10395"/>
      <w:bookmarkStart w:id="179" w:name="_Toc158"/>
      <w:bookmarkStart w:id="180" w:name="_Toc508284013"/>
      <w:r>
        <w:rPr>
          <w:rFonts w:hint="eastAsia" w:ascii="宋体" w:hAnsi="宋体" w:cs="宋体"/>
          <w:sz w:val="24"/>
          <w:szCs w:val="24"/>
        </w:rPr>
        <w:t>36.</w:t>
      </w:r>
      <w:r>
        <w:rPr>
          <w:rFonts w:hint="eastAsia" w:ascii="宋体" w:hAnsi="宋体" w:cs="宋体"/>
          <w:b/>
          <w:bCs/>
          <w:sz w:val="24"/>
        </w:rPr>
        <w:t>中标通知书</w:t>
      </w:r>
      <w:bookmarkEnd w:id="178"/>
      <w:bookmarkEnd w:id="179"/>
    </w:p>
    <w:p>
      <w:pPr>
        <w:numPr>
          <w:ilvl w:val="255"/>
          <w:numId w:val="0"/>
        </w:numPr>
        <w:rPr>
          <w:rFonts w:ascii="宋体" w:hAnsi="宋体" w:cs="宋体"/>
          <w:sz w:val="24"/>
          <w:szCs w:val="28"/>
          <w:u w:val="single"/>
        </w:rPr>
      </w:pPr>
      <w:r>
        <w:rPr>
          <w:rFonts w:hint="eastAsia" w:ascii="宋体" w:hAnsi="宋体" w:cs="宋体"/>
          <w:sz w:val="24"/>
          <w:szCs w:val="28"/>
          <w:u w:val="single"/>
        </w:rPr>
        <w:t>36.1.中标结果公示结束后3个工作日内，中标单位必须提交营业执照、税务登记证、组织机构代码证（如已三证合一，只需提供营业执照）、</w:t>
      </w:r>
      <w:bookmarkStart w:id="181" w:name="_Hlt129420123"/>
      <w:r>
        <w:rPr>
          <w:rFonts w:hint="eastAsia" w:ascii="宋体" w:hAnsi="宋体" w:cs="宋体"/>
          <w:sz w:val="24"/>
          <w:szCs w:val="28"/>
          <w:u w:val="single"/>
        </w:rPr>
        <w:t>法定代表人（及其委托代理人）身份证</w:t>
      </w:r>
      <w:bookmarkEnd w:id="181"/>
      <w:r>
        <w:rPr>
          <w:rFonts w:hint="eastAsia" w:ascii="宋体" w:hAnsi="宋体" w:cs="宋体"/>
          <w:sz w:val="24"/>
          <w:szCs w:val="28"/>
          <w:u w:val="single"/>
        </w:rPr>
        <w:t>及相关资质证明文件、业绩合同等主要证明文件原件到采购代理机构进行核对（如投标人授权其分支机构进行项目实施或提供售后服务的，需提供投标人与分支机构关系的法律证明材料），经核对无误后才能发出中标通知书。</w:t>
      </w:r>
    </w:p>
    <w:p>
      <w:pPr>
        <w:numPr>
          <w:ilvl w:val="255"/>
          <w:numId w:val="0"/>
        </w:numPr>
        <w:rPr>
          <w:rFonts w:ascii="宋体" w:hAnsi="宋体" w:cs="宋体"/>
          <w:sz w:val="24"/>
        </w:rPr>
      </w:pPr>
      <w:r>
        <w:rPr>
          <w:rFonts w:hint="eastAsia" w:ascii="宋体" w:hAnsi="宋体" w:cs="宋体"/>
          <w:sz w:val="24"/>
        </w:rPr>
        <w:t>36.2.评标结束后，采购代理机构将向中标人以书面形式发出</w:t>
      </w:r>
      <w:bookmarkStart w:id="182" w:name="_Hlt87777149"/>
      <w:bookmarkEnd w:id="182"/>
      <w:r>
        <w:rPr>
          <w:rFonts w:hint="eastAsia" w:ascii="宋体" w:hAnsi="宋体" w:cs="宋体"/>
          <w:sz w:val="24"/>
        </w:rPr>
        <w:t>《中标通知书》；中标人收到《中标通知书》后书面向采购代理机构确认。</w:t>
      </w:r>
    </w:p>
    <w:p>
      <w:pPr>
        <w:numPr>
          <w:ilvl w:val="255"/>
          <w:numId w:val="0"/>
        </w:numPr>
        <w:rPr>
          <w:rFonts w:ascii="宋体" w:hAnsi="宋体" w:cs="宋体"/>
          <w:sz w:val="24"/>
        </w:rPr>
      </w:pPr>
      <w:r>
        <w:rPr>
          <w:rFonts w:hint="eastAsia" w:ascii="宋体" w:hAnsi="宋体" w:cs="宋体"/>
          <w:sz w:val="24"/>
        </w:rPr>
        <w:t>36.3.《中标通知书》将作为签订合同的依据。</w:t>
      </w:r>
    </w:p>
    <w:p>
      <w:pPr>
        <w:numPr>
          <w:ilvl w:val="255"/>
          <w:numId w:val="0"/>
        </w:numPr>
        <w:adjustRightInd/>
        <w:rPr>
          <w:rFonts w:ascii="宋体" w:hAnsi="宋体" w:cs="宋体"/>
          <w:sz w:val="24"/>
          <w:szCs w:val="24"/>
        </w:rPr>
      </w:pPr>
      <w:r>
        <w:rPr>
          <w:rFonts w:hint="eastAsia" w:ascii="宋体" w:hAnsi="宋体" w:cs="宋体"/>
          <w:sz w:val="24"/>
          <w:u w:val="single"/>
        </w:rPr>
        <w:t>36.4.中标人如在中标结果公示结束后15天内不按规定领取《中标通知书》的，则作自动放弃中标资格处理。</w:t>
      </w:r>
      <w:bookmarkEnd w:id="180"/>
    </w:p>
    <w:p>
      <w:pPr>
        <w:rPr>
          <w:rFonts w:ascii="宋体" w:hAnsi="宋体" w:cs="宋体"/>
          <w:sz w:val="24"/>
          <w:szCs w:val="24"/>
        </w:rPr>
      </w:pPr>
    </w:p>
    <w:p>
      <w:pPr>
        <w:numPr>
          <w:ilvl w:val="255"/>
          <w:numId w:val="0"/>
        </w:numPr>
        <w:outlineLvl w:val="2"/>
        <w:rPr>
          <w:rFonts w:ascii="宋体" w:hAnsi="宋体" w:cs="宋体"/>
          <w:b/>
          <w:bCs/>
          <w:sz w:val="24"/>
        </w:rPr>
      </w:pPr>
      <w:bookmarkStart w:id="183" w:name="_Toc17541"/>
      <w:bookmarkStart w:id="184" w:name="_Toc21931"/>
      <w:r>
        <w:rPr>
          <w:rFonts w:hint="eastAsia" w:ascii="宋体" w:hAnsi="宋体" w:cs="宋体"/>
          <w:b/>
          <w:bCs/>
          <w:sz w:val="24"/>
        </w:rPr>
        <w:t>37.履约保证金</w:t>
      </w:r>
      <w:bookmarkEnd w:id="183"/>
      <w:bookmarkEnd w:id="184"/>
    </w:p>
    <w:p>
      <w:pPr>
        <w:numPr>
          <w:ilvl w:val="255"/>
          <w:numId w:val="0"/>
        </w:numPr>
        <w:rPr>
          <w:rFonts w:ascii="宋体" w:hAnsi="宋体"/>
          <w:sz w:val="24"/>
        </w:rPr>
      </w:pPr>
      <w:r>
        <w:rPr>
          <w:rFonts w:hint="eastAsia" w:ascii="宋体" w:hAnsi="宋体"/>
          <w:sz w:val="24"/>
        </w:rPr>
        <w:t>37.1.中标人领取中标通知书后十个工作日内须递交履约保证金（如提交履约保函的，时间延至合同签订之前），履约保证金为各包</w:t>
      </w:r>
      <w:r>
        <w:rPr>
          <w:rFonts w:hint="eastAsia" w:ascii="宋体" w:hAnsi="宋体" w:cs="Times New Roman"/>
          <w:kern w:val="2"/>
          <w:sz w:val="24"/>
          <w:szCs w:val="24"/>
        </w:rPr>
        <w:t>中标合同金额的10%</w:t>
      </w:r>
      <w:r>
        <w:rPr>
          <w:rFonts w:hint="eastAsia" w:ascii="宋体" w:hAnsi="宋体" w:cs="Times New Roman"/>
          <w:sz w:val="24"/>
        </w:rPr>
        <w:t>,</w:t>
      </w:r>
      <w:r>
        <w:rPr>
          <w:rFonts w:hint="eastAsia" w:ascii="宋体" w:hAnsi="宋体"/>
          <w:sz w:val="24"/>
        </w:rPr>
        <w:t>否则采购人可拒签合同，并没收其投标保证金。给采购人造成的损失超过投标担保数额的，还应当由中标人对超过部分予以赔偿，并依法追究中标人责任。中标人如在汇履约证保金时汇错账号或未按要求办理的作废标处理。</w:t>
      </w:r>
    </w:p>
    <w:p>
      <w:pPr>
        <w:numPr>
          <w:ilvl w:val="255"/>
          <w:numId w:val="0"/>
        </w:numPr>
        <w:rPr>
          <w:rFonts w:ascii="宋体" w:hAnsi="宋体"/>
          <w:sz w:val="24"/>
        </w:rPr>
      </w:pPr>
      <w:r>
        <w:rPr>
          <w:rFonts w:hint="eastAsia" w:ascii="宋体" w:hAnsi="宋体"/>
          <w:sz w:val="24"/>
        </w:rPr>
        <w:t>37.2.履约保证金可以采用下列任何一种形式：</w:t>
      </w:r>
    </w:p>
    <w:p>
      <w:pPr>
        <w:rPr>
          <w:rFonts w:ascii="宋体" w:hAnsi="宋体" w:cs="宋体"/>
          <w:bCs/>
          <w:sz w:val="24"/>
          <w:szCs w:val="24"/>
        </w:rPr>
      </w:pPr>
      <w:r>
        <w:rPr>
          <w:rFonts w:hint="eastAsia" w:ascii="宋体" w:hAnsi="宋体" w:cs="宋体"/>
          <w:bCs/>
          <w:szCs w:val="21"/>
        </w:rPr>
        <w:t xml:space="preserve"> </w:t>
      </w:r>
      <w:r>
        <w:rPr>
          <w:rFonts w:hint="eastAsia" w:ascii="宋体" w:hAnsi="宋体" w:cs="宋体"/>
          <w:bCs/>
          <w:sz w:val="24"/>
          <w:szCs w:val="24"/>
        </w:rPr>
        <w:t xml:space="preserve"> (1)履约保函。如果报价人的履约担保是以银行保函形式提供的，则该银行保函应：</w:t>
      </w:r>
    </w:p>
    <w:p>
      <w:pPr>
        <w:ind w:firstLine="504" w:firstLineChars="210"/>
        <w:rPr>
          <w:rFonts w:ascii="宋体" w:hAnsi="宋体" w:cs="宋体"/>
          <w:bCs/>
          <w:sz w:val="24"/>
          <w:szCs w:val="24"/>
        </w:rPr>
      </w:pPr>
      <w:r>
        <w:rPr>
          <w:rFonts w:hint="eastAsia" w:ascii="宋体" w:hAnsi="宋体" w:cs="宋体"/>
          <w:bCs/>
          <w:sz w:val="24"/>
          <w:szCs w:val="24"/>
        </w:rPr>
        <w:t>①保函应由银行支行或以上银行机构开具，非东莞市行政区内的银行开具的保函要由银行所在地公证部门出具的公证书。</w:t>
      </w:r>
    </w:p>
    <w:p>
      <w:pPr>
        <w:ind w:firstLine="504" w:firstLineChars="210"/>
        <w:rPr>
          <w:rFonts w:ascii="宋体" w:hAnsi="宋体" w:cs="宋体"/>
          <w:bCs/>
          <w:sz w:val="24"/>
          <w:szCs w:val="24"/>
        </w:rPr>
      </w:pPr>
      <w:r>
        <w:rPr>
          <w:rFonts w:hint="eastAsia" w:ascii="宋体" w:hAnsi="宋体" w:cs="宋体"/>
          <w:bCs/>
          <w:sz w:val="24"/>
          <w:szCs w:val="24"/>
        </w:rPr>
        <w:t>②保函的格式参考报价文件附件中提供的无条件不可撤销履约保函格式，保函担保期内若项目未能按期竣工，保函必须延期，办理延期手续时在银行方面所产生费用由中标人负责。</w:t>
      </w:r>
    </w:p>
    <w:p>
      <w:pPr>
        <w:ind w:firstLine="504" w:firstLineChars="210"/>
        <w:rPr>
          <w:rFonts w:ascii="宋体" w:hAnsi="宋体" w:cs="宋体"/>
          <w:bCs/>
          <w:sz w:val="24"/>
          <w:szCs w:val="24"/>
        </w:rPr>
      </w:pPr>
      <w:r>
        <w:rPr>
          <w:rFonts w:hint="eastAsia" w:ascii="宋体" w:hAnsi="宋体" w:cs="宋体"/>
          <w:bCs/>
          <w:sz w:val="24"/>
          <w:szCs w:val="24"/>
        </w:rPr>
        <w:t>③必须打印，手写、涂改无效。</w:t>
      </w:r>
    </w:p>
    <w:p>
      <w:pPr>
        <w:ind w:firstLine="504" w:firstLineChars="210"/>
        <w:rPr>
          <w:rFonts w:ascii="宋体" w:hAnsi="宋体" w:cs="宋体"/>
          <w:bCs/>
          <w:sz w:val="24"/>
          <w:szCs w:val="24"/>
        </w:rPr>
      </w:pPr>
      <w:r>
        <w:rPr>
          <w:rFonts w:hint="eastAsia" w:ascii="宋体" w:hAnsi="宋体" w:cs="宋体"/>
          <w:bCs/>
          <w:sz w:val="24"/>
          <w:szCs w:val="24"/>
        </w:rPr>
        <w:t>(2)履约保证金。可采用电汇、银行汇票等银行转帐方式提交，但不可以采用现金方式提交。履约保证金金额为中标价的10%。报价人必须保证资金以报价人的名称在合同约定的日期前到帐。</w:t>
      </w:r>
    </w:p>
    <w:p>
      <w:pPr>
        <w:autoSpaceDE w:val="0"/>
        <w:autoSpaceDN w:val="0"/>
        <w:ind w:left="720" w:hanging="720" w:hangingChars="300"/>
        <w:rPr>
          <w:rFonts w:ascii="宋体" w:hAnsi="宋体" w:cs="宋体"/>
          <w:sz w:val="24"/>
          <w:szCs w:val="24"/>
        </w:rPr>
      </w:pPr>
      <w:r>
        <w:rPr>
          <w:rFonts w:hint="eastAsia" w:ascii="宋体" w:hAnsi="宋体" w:cs="宋体"/>
          <w:sz w:val="24"/>
          <w:szCs w:val="24"/>
        </w:rPr>
        <w:t>37.3.</w:t>
      </w:r>
      <w:r>
        <w:rPr>
          <w:rFonts w:hint="eastAsia" w:ascii="宋体" w:hAnsi="宋体" w:cs="宋体"/>
          <w:bCs/>
          <w:sz w:val="24"/>
          <w:szCs w:val="24"/>
        </w:rPr>
        <w:t>若中标人不能按本项第（1）（2）款的规定执行，采购人将有权取消中标人的中标资格，并没收其谈判担保，给采购人造成的损失如果超过投标担保数额的，还应当对超过部分予以赔偿。</w:t>
      </w:r>
    </w:p>
    <w:p>
      <w:pPr>
        <w:autoSpaceDE w:val="0"/>
        <w:autoSpaceDN w:val="0"/>
        <w:ind w:left="720" w:hanging="720" w:hangingChars="300"/>
        <w:rPr>
          <w:rFonts w:ascii="宋体" w:hAnsi="宋体" w:cs="宋体"/>
          <w:sz w:val="24"/>
          <w:szCs w:val="24"/>
        </w:rPr>
      </w:pPr>
      <w:r>
        <w:rPr>
          <w:rFonts w:hint="eastAsia" w:ascii="宋体" w:hAnsi="宋体" w:cs="宋体"/>
          <w:sz w:val="24"/>
          <w:szCs w:val="24"/>
        </w:rPr>
        <w:t>37.4. 为取得履约担保所需的费用，由中标人承担；若工期延误，履约担保时间延长，延长费用由中标人承担。</w:t>
      </w:r>
    </w:p>
    <w:p>
      <w:pPr>
        <w:autoSpaceDE w:val="0"/>
        <w:autoSpaceDN w:val="0"/>
        <w:ind w:left="720" w:hanging="720" w:hangingChars="300"/>
        <w:rPr>
          <w:rFonts w:ascii="宋体" w:hAnsi="宋体" w:cs="宋体"/>
          <w:sz w:val="24"/>
          <w:szCs w:val="24"/>
        </w:rPr>
      </w:pPr>
      <w:r>
        <w:rPr>
          <w:rFonts w:hint="eastAsia" w:ascii="宋体" w:hAnsi="宋体" w:cs="宋体"/>
          <w:sz w:val="24"/>
          <w:szCs w:val="24"/>
        </w:rPr>
        <w:t>37.5. 若中标人在合同履行过程中出现项目质量事故、工期拖延、欠付工人工资、欠付材料款等情况，采购人在经核查属实后，有权将履约保函金额转为现金存入履约保证金账户；中标人造成采购人损失的，采购人有权立即没收其履约担保，若造成损失超过履约担保的，还应当对超过部分予以赔偿。</w:t>
      </w:r>
    </w:p>
    <w:p>
      <w:pPr>
        <w:autoSpaceDE w:val="0"/>
        <w:autoSpaceDN w:val="0"/>
        <w:ind w:left="720" w:hanging="720" w:hangingChars="300"/>
        <w:rPr>
          <w:rFonts w:ascii="宋体" w:hAnsi="宋体" w:cs="宋体"/>
          <w:sz w:val="24"/>
          <w:szCs w:val="24"/>
        </w:rPr>
      </w:pPr>
      <w:r>
        <w:rPr>
          <w:rFonts w:hint="eastAsia" w:ascii="宋体" w:hAnsi="宋体" w:cs="宋体"/>
          <w:sz w:val="24"/>
          <w:szCs w:val="24"/>
        </w:rPr>
        <w:t>37.6. 下列任何情况发生时，采购人有权行使享有的担保权利：</w:t>
      </w:r>
    </w:p>
    <w:p>
      <w:pPr>
        <w:ind w:firstLine="504" w:firstLineChars="210"/>
        <w:rPr>
          <w:rFonts w:ascii="宋体" w:hAnsi="宋体" w:cs="宋体"/>
          <w:bCs/>
          <w:sz w:val="24"/>
          <w:szCs w:val="24"/>
        </w:rPr>
      </w:pPr>
      <w:r>
        <w:rPr>
          <w:rFonts w:hint="eastAsia" w:ascii="宋体" w:hAnsi="宋体" w:cs="宋体"/>
          <w:bCs/>
          <w:sz w:val="24"/>
          <w:szCs w:val="24"/>
        </w:rPr>
        <w:t>（1）中标人将本项目转让给他人，或者在报价文件中未说明，且未经采购人同意，将中标项目分包给他人的；</w:t>
      </w:r>
    </w:p>
    <w:p>
      <w:pPr>
        <w:ind w:firstLine="504" w:firstLineChars="210"/>
        <w:rPr>
          <w:rFonts w:ascii="宋体" w:hAnsi="宋体" w:cs="宋体"/>
          <w:bCs/>
          <w:sz w:val="24"/>
          <w:szCs w:val="24"/>
        </w:rPr>
      </w:pPr>
      <w:r>
        <w:rPr>
          <w:rFonts w:hint="eastAsia" w:ascii="宋体" w:hAnsi="宋体" w:cs="宋体"/>
          <w:bCs/>
          <w:sz w:val="24"/>
          <w:szCs w:val="24"/>
        </w:rPr>
        <w:t>（2）中标人在履行采购合同期间，违反有关法律法规的规定及合同约定的条款，损害了采购人的利益。</w:t>
      </w:r>
    </w:p>
    <w:p>
      <w:pPr>
        <w:autoSpaceDE w:val="0"/>
        <w:autoSpaceDN w:val="0"/>
        <w:ind w:left="720" w:hanging="720" w:hangingChars="300"/>
        <w:rPr>
          <w:rFonts w:ascii="宋体" w:hAnsi="宋体" w:cs="宋体"/>
          <w:sz w:val="24"/>
          <w:szCs w:val="24"/>
        </w:rPr>
      </w:pPr>
      <w:r>
        <w:rPr>
          <w:rFonts w:hint="eastAsia" w:ascii="宋体" w:hAnsi="宋体" w:cs="宋体"/>
          <w:sz w:val="24"/>
          <w:szCs w:val="24"/>
        </w:rPr>
        <w:t>37.7. 在整个项目验收合格后，中标人向采购人提交退回履约担保的申请，采购人办理履约担保退还手续。</w:t>
      </w:r>
    </w:p>
    <w:p>
      <w:pPr>
        <w:tabs>
          <w:tab w:val="left" w:pos="0"/>
        </w:tabs>
        <w:rPr>
          <w:rFonts w:ascii="宋体" w:hAnsi="宋体" w:cs="宋体"/>
          <w:b/>
          <w:bCs/>
          <w:sz w:val="24"/>
        </w:rPr>
      </w:pPr>
      <w:bookmarkStart w:id="185" w:name="_Hlt133293154"/>
      <w:bookmarkEnd w:id="185"/>
    </w:p>
    <w:p>
      <w:pPr>
        <w:numPr>
          <w:ilvl w:val="255"/>
          <w:numId w:val="0"/>
        </w:numPr>
        <w:outlineLvl w:val="2"/>
        <w:rPr>
          <w:rFonts w:ascii="宋体" w:hAnsi="宋体" w:cs="宋体"/>
          <w:b/>
          <w:bCs/>
          <w:sz w:val="24"/>
        </w:rPr>
      </w:pPr>
      <w:bookmarkStart w:id="186" w:name="_Toc26733"/>
      <w:bookmarkStart w:id="187" w:name="_Toc7510"/>
      <w:r>
        <w:rPr>
          <w:rFonts w:hint="eastAsia" w:ascii="宋体" w:hAnsi="宋体" w:cs="宋体"/>
          <w:b/>
          <w:bCs/>
          <w:sz w:val="24"/>
        </w:rPr>
        <w:t>38.签订合同</w:t>
      </w:r>
      <w:bookmarkEnd w:id="186"/>
      <w:bookmarkEnd w:id="187"/>
    </w:p>
    <w:p>
      <w:pPr>
        <w:numPr>
          <w:ilvl w:val="255"/>
          <w:numId w:val="0"/>
        </w:numPr>
        <w:rPr>
          <w:rFonts w:ascii="宋体" w:hAnsi="宋体" w:cs="宋体"/>
          <w:sz w:val="24"/>
        </w:rPr>
      </w:pPr>
      <w:r>
        <w:rPr>
          <w:rFonts w:hint="eastAsia" w:ascii="宋体" w:hAnsi="宋体" w:cs="宋体"/>
          <w:sz w:val="24"/>
        </w:rPr>
        <w:t>38.1.中标人在收到《中标通知书》后，应按照《中标通知书》的要求，派遣其授权代表与采购人签署合同。</w:t>
      </w:r>
    </w:p>
    <w:p>
      <w:pPr>
        <w:numPr>
          <w:ilvl w:val="255"/>
          <w:numId w:val="0"/>
        </w:numPr>
        <w:rPr>
          <w:rFonts w:ascii="宋体" w:hAnsi="宋体" w:cs="宋体"/>
          <w:sz w:val="24"/>
        </w:rPr>
      </w:pPr>
      <w:r>
        <w:rPr>
          <w:rFonts w:hint="eastAsia" w:ascii="宋体" w:hAnsi="宋体" w:cs="宋体"/>
          <w:sz w:val="24"/>
          <w:u w:val="single"/>
        </w:rPr>
        <w:t>38.2.中标人在收到中标通知书后，30天内必须与采购人签订合同，否则采购人有权取消其中标资格并没收其投标保证金。</w:t>
      </w:r>
    </w:p>
    <w:p>
      <w:pPr>
        <w:pStyle w:val="2"/>
        <w:rPr>
          <w:szCs w:val="24"/>
        </w:rPr>
      </w:pPr>
    </w:p>
    <w:p>
      <w:pPr>
        <w:numPr>
          <w:ilvl w:val="255"/>
          <w:numId w:val="0"/>
        </w:numPr>
        <w:outlineLvl w:val="2"/>
        <w:rPr>
          <w:rFonts w:ascii="宋体" w:hAnsi="宋体" w:cs="宋体"/>
          <w:b/>
          <w:bCs/>
          <w:sz w:val="24"/>
          <w:szCs w:val="24"/>
        </w:rPr>
      </w:pPr>
      <w:bookmarkStart w:id="188" w:name="_Toc4994"/>
      <w:bookmarkStart w:id="189" w:name="_Toc26882"/>
      <w:r>
        <w:rPr>
          <w:rFonts w:hint="eastAsia" w:ascii="宋体" w:hAnsi="宋体" w:cs="宋体"/>
          <w:b/>
          <w:bCs/>
          <w:sz w:val="24"/>
          <w:szCs w:val="24"/>
        </w:rPr>
        <w:t>39.中标人结算时须开具与其名称一致的正规发票。</w:t>
      </w:r>
      <w:bookmarkEnd w:id="188"/>
      <w:bookmarkEnd w:id="189"/>
    </w:p>
    <w:p>
      <w:pPr>
        <w:rPr>
          <w:rFonts w:ascii="宋体" w:hAnsi="宋体" w:cs="宋体"/>
          <w:b/>
          <w:bCs/>
          <w:sz w:val="24"/>
          <w:szCs w:val="24"/>
        </w:rPr>
      </w:pPr>
    </w:p>
    <w:p>
      <w:pPr>
        <w:numPr>
          <w:ilvl w:val="255"/>
          <w:numId w:val="0"/>
        </w:numPr>
        <w:outlineLvl w:val="2"/>
        <w:rPr>
          <w:rFonts w:ascii="宋体" w:hAnsi="宋体" w:cs="宋体"/>
          <w:b/>
          <w:bCs/>
          <w:sz w:val="24"/>
          <w:szCs w:val="24"/>
        </w:rPr>
      </w:pPr>
      <w:bookmarkStart w:id="190" w:name="_Toc26787"/>
      <w:bookmarkStart w:id="191" w:name="_Toc10070"/>
      <w:bookmarkStart w:id="192" w:name="_Toc9363"/>
      <w:r>
        <w:rPr>
          <w:rFonts w:hint="eastAsia" w:ascii="宋体" w:hAnsi="宋体" w:cs="宋体"/>
          <w:b/>
          <w:bCs/>
          <w:sz w:val="24"/>
          <w:szCs w:val="24"/>
        </w:rPr>
        <w:t>40.接受和拒绝任何或所有投标的权利</w:t>
      </w:r>
      <w:bookmarkEnd w:id="190"/>
      <w:bookmarkEnd w:id="191"/>
      <w:bookmarkEnd w:id="192"/>
    </w:p>
    <w:p>
      <w:pPr>
        <w:numPr>
          <w:ilvl w:val="255"/>
          <w:numId w:val="0"/>
        </w:numPr>
        <w:rPr>
          <w:rFonts w:ascii="宋体" w:hAnsi="宋体" w:cs="宋体"/>
          <w:sz w:val="24"/>
          <w:szCs w:val="24"/>
        </w:rPr>
      </w:pPr>
      <w:r>
        <w:rPr>
          <w:rFonts w:hint="eastAsia" w:ascii="宋体" w:hAnsi="宋体" w:cs="宋体"/>
          <w:sz w:val="24"/>
          <w:szCs w:val="24"/>
        </w:rPr>
        <w:t>40.1.采购代理机构和采购人保留在授标之前任何时候接受或拒绝任何投标，以及宣布采购程序无效或拒绝所有投标的权利，对受影响的投标人不承担任何责任。</w:t>
      </w:r>
    </w:p>
    <w:p>
      <w:pPr>
        <w:numPr>
          <w:ilvl w:val="255"/>
          <w:numId w:val="0"/>
        </w:numPr>
        <w:rPr>
          <w:rFonts w:ascii="宋体" w:hAnsi="宋体" w:cs="宋体"/>
          <w:sz w:val="24"/>
          <w:szCs w:val="24"/>
        </w:rPr>
      </w:pPr>
    </w:p>
    <w:p>
      <w:pPr>
        <w:numPr>
          <w:ilvl w:val="255"/>
          <w:numId w:val="0"/>
        </w:numPr>
        <w:outlineLvl w:val="2"/>
        <w:rPr>
          <w:rFonts w:ascii="宋体" w:hAnsi="宋体" w:cs="宋体"/>
          <w:b/>
          <w:bCs/>
          <w:sz w:val="24"/>
        </w:rPr>
      </w:pPr>
      <w:bookmarkStart w:id="193" w:name="_Toc30291"/>
      <w:bookmarkStart w:id="194" w:name="_Toc8653"/>
      <w:r>
        <w:rPr>
          <w:rFonts w:hint="eastAsia" w:ascii="宋体" w:hAnsi="宋体" w:cs="宋体"/>
          <w:b/>
          <w:bCs/>
          <w:sz w:val="24"/>
        </w:rPr>
        <w:t>41.质疑与投诉</w:t>
      </w:r>
      <w:bookmarkEnd w:id="193"/>
      <w:bookmarkEnd w:id="194"/>
    </w:p>
    <w:p>
      <w:pPr>
        <w:numPr>
          <w:ilvl w:val="255"/>
          <w:numId w:val="0"/>
        </w:numPr>
        <w:rPr>
          <w:rFonts w:ascii="宋体" w:hAnsi="宋体" w:cs="宋体"/>
          <w:sz w:val="24"/>
        </w:rPr>
      </w:pPr>
      <w:r>
        <w:rPr>
          <w:rFonts w:hint="eastAsia" w:ascii="宋体" w:hAnsi="宋体" w:cs="宋体"/>
          <w:sz w:val="24"/>
        </w:rPr>
        <w:t>41.1.投标人对采购文件有质疑时，应当在采购文件公示期限届满之日或收到采购文件之日起10日内向采购代理机构提交纸质质疑书原件，逾期质疑无效。投标人以电话、传真或电邮形式提交的质疑属于无效质疑。</w:t>
      </w:r>
    </w:p>
    <w:p>
      <w:pPr>
        <w:numPr>
          <w:ilvl w:val="255"/>
          <w:numId w:val="0"/>
        </w:numPr>
        <w:rPr>
          <w:rFonts w:ascii="宋体" w:hAnsi="宋体" w:cs="宋体"/>
          <w:sz w:val="24"/>
        </w:rPr>
      </w:pPr>
      <w:r>
        <w:rPr>
          <w:rFonts w:hint="eastAsia" w:ascii="宋体" w:hAnsi="宋体" w:cs="宋体"/>
          <w:sz w:val="24"/>
        </w:rPr>
        <w:t>41.2.投标人对采购结果有质疑时，应当在中标结果公示期内或中标结果公示期结束之日起10日内向采购代理机构提交纸质质疑书原件，逾期质疑无效。投标人以电话、传真或电邮形式提交的质疑属于无效质疑。</w:t>
      </w:r>
    </w:p>
    <w:p>
      <w:pPr>
        <w:numPr>
          <w:ilvl w:val="255"/>
          <w:numId w:val="0"/>
        </w:numPr>
        <w:rPr>
          <w:rFonts w:ascii="宋体" w:hAnsi="宋体" w:cs="宋体"/>
          <w:sz w:val="24"/>
        </w:rPr>
      </w:pPr>
      <w:r>
        <w:rPr>
          <w:rFonts w:hint="eastAsia" w:ascii="宋体" w:hAnsi="宋体" w:cs="宋体"/>
          <w:sz w:val="24"/>
        </w:rPr>
        <w:t>41.3.质疑内容不得含有虚假、恶意成分。依据“谁主张谁举证”的原则，质疑者提供的质疑书应当包括下列主要内容：具体的质疑事项、事实依据及相关确凿的证明材料和注明事实的确切来源、投标人名称、联系人与联系电话、质疑时间，质疑书应当署名并由法定代表人或其授权代表签字并加盖公章。采购代理机构受理书面质疑书原件之日起，在规定的期限内做出答复。对于捏造事实、滥用维权扰乱采购秩序的恶意投诉者或举证不全查无实据被驳回次数在一年内达三次以上，将纳入不良行为记录名单并承担相应的法律责任。</w:t>
      </w:r>
    </w:p>
    <w:p>
      <w:pPr>
        <w:numPr>
          <w:ilvl w:val="255"/>
          <w:numId w:val="0"/>
        </w:numPr>
        <w:rPr>
          <w:rFonts w:ascii="宋体" w:hAnsi="宋体" w:cs="宋体"/>
          <w:sz w:val="24"/>
        </w:rPr>
      </w:pPr>
      <w:r>
        <w:rPr>
          <w:rFonts w:hint="eastAsia" w:ascii="宋体" w:hAnsi="宋体" w:cs="宋体"/>
          <w:sz w:val="24"/>
        </w:rPr>
        <w:t>41.4.质疑联系方式：</w:t>
      </w:r>
    </w:p>
    <w:p>
      <w:pPr>
        <w:rPr>
          <w:rFonts w:ascii="宋体" w:hAnsi="宋体"/>
          <w:szCs w:val="21"/>
        </w:rPr>
      </w:pPr>
      <w:r>
        <w:rPr>
          <w:rFonts w:hint="eastAsia" w:ascii="宋体" w:hAnsi="宋体" w:cs="宋体"/>
          <w:sz w:val="24"/>
        </w:rPr>
        <w:t>质疑受理机构名称：</w:t>
      </w:r>
      <w:r>
        <w:rPr>
          <w:rFonts w:hint="eastAsia" w:ascii="宋体" w:hAnsi="宋体"/>
          <w:szCs w:val="21"/>
        </w:rPr>
        <w:t>广东政通招标有限公司</w:t>
      </w:r>
    </w:p>
    <w:p>
      <w:pPr>
        <w:rPr>
          <w:rFonts w:ascii="宋体" w:hAnsi="宋体" w:cs="宋体"/>
          <w:sz w:val="24"/>
          <w:szCs w:val="24"/>
        </w:rPr>
      </w:pPr>
      <w:r>
        <w:rPr>
          <w:rFonts w:hint="eastAsia" w:ascii="宋体" w:hAnsi="宋体" w:cs="宋体"/>
          <w:sz w:val="24"/>
          <w:szCs w:val="24"/>
        </w:rPr>
        <w:t>质疑受理机构地址：</w:t>
      </w:r>
      <w:r>
        <w:rPr>
          <w:rFonts w:hint="eastAsia" w:ascii="宋体" w:hAnsi="宋体"/>
          <w:sz w:val="24"/>
          <w:szCs w:val="24"/>
        </w:rPr>
        <w:t>东莞市南城街道鸿福路199号（市民服务中心）411室</w:t>
      </w:r>
    </w:p>
    <w:p>
      <w:pPr>
        <w:rPr>
          <w:rFonts w:ascii="宋体" w:hAnsi="宋体" w:cs="宋体"/>
          <w:sz w:val="24"/>
          <w:szCs w:val="24"/>
        </w:rPr>
      </w:pPr>
      <w:r>
        <w:rPr>
          <w:rFonts w:hint="eastAsia" w:ascii="宋体" w:hAnsi="宋体" w:cs="宋体"/>
          <w:sz w:val="24"/>
          <w:szCs w:val="24"/>
        </w:rPr>
        <w:t>质疑受理机构联系人: 杨先生</w:t>
      </w:r>
    </w:p>
    <w:p>
      <w:pPr>
        <w:rPr>
          <w:rFonts w:ascii="宋体" w:hAnsi="宋体" w:cs="宋体"/>
          <w:sz w:val="24"/>
          <w:szCs w:val="24"/>
        </w:rPr>
      </w:pPr>
      <w:r>
        <w:rPr>
          <w:rFonts w:hint="eastAsia" w:ascii="宋体" w:hAnsi="宋体" w:cs="宋体"/>
          <w:sz w:val="24"/>
          <w:szCs w:val="24"/>
        </w:rPr>
        <w:t>质疑受理机构电话：</w:t>
      </w:r>
      <w:r>
        <w:rPr>
          <w:rFonts w:hint="eastAsia" w:ascii="宋体" w:hAnsi="宋体"/>
          <w:sz w:val="24"/>
          <w:szCs w:val="24"/>
        </w:rPr>
        <w:t>0769-22881803</w:t>
      </w:r>
      <w:r>
        <w:rPr>
          <w:rFonts w:hint="eastAsia" w:ascii="宋体" w:hAnsi="宋体" w:cs="宋体"/>
          <w:sz w:val="24"/>
          <w:szCs w:val="24"/>
        </w:rPr>
        <w:t xml:space="preserve"> </w:t>
      </w:r>
    </w:p>
    <w:p>
      <w:pPr>
        <w:rPr>
          <w:rFonts w:ascii="宋体" w:hAnsi="宋体" w:cs="宋体"/>
          <w:sz w:val="24"/>
        </w:rPr>
      </w:pPr>
      <w:r>
        <w:rPr>
          <w:rFonts w:hint="eastAsia" w:ascii="宋体" w:hAnsi="宋体" w:cs="宋体"/>
          <w:sz w:val="24"/>
          <w:szCs w:val="24"/>
        </w:rPr>
        <w:t>质疑受理机构传真：</w:t>
      </w:r>
      <w:r>
        <w:rPr>
          <w:rFonts w:hint="eastAsia" w:ascii="宋体" w:hAnsi="宋体"/>
          <w:sz w:val="24"/>
          <w:szCs w:val="24"/>
        </w:rPr>
        <w:t>0769-22881803</w:t>
      </w:r>
      <w:r>
        <w:rPr>
          <w:rFonts w:hint="eastAsia" w:ascii="宋体" w:hAnsi="宋体" w:cs="宋体"/>
          <w:sz w:val="24"/>
          <w:szCs w:val="24"/>
        </w:rPr>
        <w:t xml:space="preserve">  </w:t>
      </w:r>
      <w:r>
        <w:rPr>
          <w:rFonts w:hint="eastAsia" w:ascii="宋体" w:hAnsi="宋体" w:cs="宋体"/>
          <w:sz w:val="24"/>
        </w:rPr>
        <w:t xml:space="preserve"> </w:t>
      </w:r>
    </w:p>
    <w:p>
      <w:pPr>
        <w:numPr>
          <w:ilvl w:val="1"/>
          <w:numId w:val="0"/>
        </w:numPr>
        <w:rPr>
          <w:rFonts w:ascii="宋体" w:hAnsi="宋体" w:cs="宋体"/>
          <w:sz w:val="24"/>
          <w:szCs w:val="24"/>
        </w:rPr>
      </w:pPr>
    </w:p>
    <w:p>
      <w:pPr>
        <w:pStyle w:val="9"/>
        <w:widowControl w:val="0"/>
        <w:overflowPunct w:val="0"/>
        <w:spacing w:line="240" w:lineRule="auto"/>
        <w:rPr>
          <w:rFonts w:ascii="宋体" w:hAnsi="宋体" w:cs="宋体"/>
          <w:szCs w:val="24"/>
        </w:rPr>
      </w:pPr>
      <w:bookmarkStart w:id="195" w:name="_Toc4906"/>
      <w:bookmarkStart w:id="196" w:name="_Toc22941"/>
      <w:r>
        <w:rPr>
          <w:rFonts w:hint="eastAsia" w:ascii="宋体" w:hAnsi="宋体" w:cs="宋体"/>
          <w:szCs w:val="24"/>
        </w:rPr>
        <w:t>42.采购文件的解释权</w:t>
      </w:r>
      <w:bookmarkEnd w:id="195"/>
      <w:bookmarkEnd w:id="196"/>
    </w:p>
    <w:p>
      <w:pPr>
        <w:pStyle w:val="40"/>
        <w:widowControl w:val="0"/>
        <w:numPr>
          <w:ilvl w:val="0"/>
          <w:numId w:val="11"/>
        </w:numPr>
        <w:tabs>
          <w:tab w:val="left" w:pos="907"/>
        </w:tabs>
        <w:adjustRightInd/>
        <w:snapToGrid/>
        <w:spacing w:line="360" w:lineRule="exact"/>
        <w:ind w:firstLineChars="0"/>
        <w:jc w:val="both"/>
        <w:rPr>
          <w:rFonts w:ascii="宋体" w:hAnsi="宋体" w:cs="宋体"/>
          <w:vanish/>
          <w:sz w:val="24"/>
          <w:szCs w:val="24"/>
        </w:rPr>
      </w:pPr>
    </w:p>
    <w:p>
      <w:pPr>
        <w:widowControl w:val="0"/>
        <w:numPr>
          <w:ilvl w:val="255"/>
          <w:numId w:val="0"/>
        </w:numPr>
        <w:tabs>
          <w:tab w:val="left" w:pos="907"/>
        </w:tabs>
        <w:adjustRightInd/>
        <w:snapToGrid/>
        <w:spacing w:line="360" w:lineRule="exact"/>
        <w:jc w:val="both"/>
        <w:rPr>
          <w:rFonts w:ascii="宋体" w:hAnsi="宋体" w:cs="宋体"/>
          <w:sz w:val="24"/>
          <w:szCs w:val="24"/>
        </w:rPr>
      </w:pPr>
      <w:r>
        <w:rPr>
          <w:rFonts w:hint="eastAsia" w:ascii="宋体" w:hAnsi="宋体" w:cs="宋体"/>
          <w:sz w:val="24"/>
          <w:szCs w:val="24"/>
        </w:rPr>
        <w:t>42.1.本采购文件是根据国家有关法律、法规以及采购管理有关规定和参照国际惯例编制，解释权属本采购代理机构。</w:t>
      </w:r>
    </w:p>
    <w:p>
      <w:pPr>
        <w:widowControl w:val="0"/>
        <w:numPr>
          <w:ilvl w:val="1"/>
          <w:numId w:val="11"/>
        </w:numPr>
        <w:tabs>
          <w:tab w:val="left" w:pos="907"/>
        </w:tabs>
        <w:adjustRightInd/>
        <w:snapToGrid/>
        <w:spacing w:line="360" w:lineRule="exact"/>
        <w:jc w:val="both"/>
        <w:rPr>
          <w:rFonts w:ascii="宋体" w:hAnsi="宋体" w:cs="宋体"/>
          <w:sz w:val="24"/>
          <w:szCs w:val="24"/>
        </w:rPr>
      </w:pPr>
      <w:r>
        <w:rPr>
          <w:rFonts w:hint="eastAsia" w:ascii="宋体" w:hAnsi="宋体" w:cs="宋体"/>
          <w:sz w:val="24"/>
          <w:szCs w:val="24"/>
        </w:rPr>
        <w:br w:type="page"/>
      </w:r>
    </w:p>
    <w:p>
      <w:pPr>
        <w:pStyle w:val="6"/>
        <w:spacing w:before="0" w:after="0" w:line="240" w:lineRule="auto"/>
        <w:rPr>
          <w:rFonts w:ascii="宋体" w:hAnsi="宋体" w:eastAsia="宋体" w:cs="宋体"/>
          <w:sz w:val="24"/>
          <w:szCs w:val="24"/>
        </w:rPr>
      </w:pPr>
      <w:bookmarkStart w:id="197" w:name="_Toc25492"/>
      <w:bookmarkStart w:id="198" w:name="_Toc9721"/>
      <w:r>
        <w:rPr>
          <w:rFonts w:hint="eastAsia" w:ascii="宋体" w:hAnsi="宋体" w:eastAsia="宋体" w:cs="宋体"/>
          <w:sz w:val="24"/>
          <w:szCs w:val="24"/>
        </w:rPr>
        <w:t>第五部分合同格式（仅供参考）</w:t>
      </w:r>
      <w:bookmarkEnd w:id="197"/>
      <w:bookmarkEnd w:id="198"/>
      <w:bookmarkStart w:id="199" w:name="_Toc15636"/>
    </w:p>
    <w:bookmarkEnd w:id="199"/>
    <w:p>
      <w:pPr>
        <w:pStyle w:val="6"/>
        <w:numPr>
          <w:ilvl w:val="0"/>
          <w:numId w:val="17"/>
        </w:numPr>
        <w:rPr>
          <w:rFonts w:ascii="宋体" w:hAnsi="宋体" w:eastAsia="宋体" w:cs="宋体"/>
          <w:sz w:val="24"/>
          <w:szCs w:val="24"/>
        </w:rPr>
      </w:pPr>
      <w:bookmarkStart w:id="200" w:name="_Toc469491170"/>
      <w:bookmarkStart w:id="201" w:name="_Toc456883670"/>
      <w:bookmarkStart w:id="202" w:name="_Toc19575"/>
      <w:bookmarkStart w:id="203" w:name="_Toc16730"/>
      <w:bookmarkStart w:id="204" w:name="_Toc8880"/>
      <w:r>
        <w:rPr>
          <w:rFonts w:hint="eastAsia" w:ascii="宋体" w:hAnsi="宋体" w:eastAsia="宋体" w:cs="宋体"/>
          <w:sz w:val="24"/>
          <w:szCs w:val="24"/>
        </w:rPr>
        <w:t xml:space="preserve"> </w:t>
      </w:r>
      <w:bookmarkStart w:id="205" w:name="_Toc15894"/>
      <w:bookmarkStart w:id="206" w:name="_Toc9718"/>
      <w:bookmarkStart w:id="207" w:name="_Toc19565"/>
      <w:r>
        <w:rPr>
          <w:rFonts w:hint="eastAsia" w:ascii="宋体" w:hAnsi="宋体" w:eastAsia="宋体" w:cs="宋体"/>
          <w:sz w:val="24"/>
          <w:szCs w:val="24"/>
        </w:rPr>
        <w:t>合同模板</w:t>
      </w:r>
      <w:bookmarkEnd w:id="205"/>
      <w:bookmarkEnd w:id="206"/>
      <w:bookmarkEnd w:id="207"/>
      <w:r>
        <w:rPr>
          <w:rFonts w:hint="eastAsia" w:ascii="宋体" w:hAnsi="宋体" w:eastAsia="宋体" w:cs="宋体"/>
          <w:sz w:val="24"/>
          <w:szCs w:val="24"/>
        </w:rPr>
        <w:t xml:space="preserve"> </w:t>
      </w:r>
      <w:bookmarkEnd w:id="200"/>
      <w:bookmarkEnd w:id="201"/>
    </w:p>
    <w:p>
      <w:pPr>
        <w:rPr>
          <w:rFonts w:ascii="宋体" w:hAnsi="宋体" w:cs="宋体"/>
          <w:sz w:val="24"/>
          <w:szCs w:val="24"/>
        </w:rPr>
      </w:pPr>
      <w:r>
        <w:rPr>
          <w:rFonts w:hint="eastAsia" w:ascii="宋体" w:hAnsi="宋体" w:cs="宋体"/>
          <w:sz w:val="24"/>
          <w:szCs w:val="24"/>
        </w:rPr>
        <w:t>甲方合同编号：</w:t>
      </w:r>
    </w:p>
    <w:p>
      <w:pPr>
        <w:rPr>
          <w:rFonts w:ascii="宋体" w:hAnsi="宋体" w:cs="宋体"/>
          <w:sz w:val="24"/>
          <w:szCs w:val="24"/>
        </w:rPr>
      </w:pPr>
      <w:r>
        <w:rPr>
          <w:rFonts w:hint="eastAsia" w:ascii="宋体" w:hAnsi="宋体" w:cs="宋体"/>
          <w:sz w:val="24"/>
          <w:szCs w:val="24"/>
        </w:rPr>
        <w:t>乙方合同编号：</w:t>
      </w:r>
    </w:p>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jc w:val="center"/>
        <w:outlineLvl w:val="1"/>
        <w:rPr>
          <w:rFonts w:ascii="宋体" w:hAnsi="宋体" w:cs="宋体"/>
          <w:b/>
          <w:bCs/>
          <w:sz w:val="44"/>
          <w:szCs w:val="44"/>
        </w:rPr>
      </w:pPr>
      <w:bookmarkStart w:id="208" w:name="_Toc16806"/>
      <w:bookmarkStart w:id="209" w:name="_Toc2715"/>
      <w:r>
        <w:rPr>
          <w:rFonts w:hint="eastAsia" w:ascii="宋体" w:hAnsi="宋体" w:cs="宋体"/>
          <w:b/>
          <w:bCs/>
          <w:sz w:val="44"/>
          <w:szCs w:val="44"/>
        </w:rPr>
        <w:t>城服公司环卫车辆设备采购项目</w:t>
      </w:r>
      <w:bookmarkEnd w:id="208"/>
      <w:bookmarkEnd w:id="209"/>
    </w:p>
    <w:p>
      <w:pPr>
        <w:pStyle w:val="2"/>
        <w:rPr>
          <w:szCs w:val="24"/>
        </w:rPr>
      </w:pPr>
    </w:p>
    <w:p>
      <w:pPr>
        <w:pStyle w:val="2"/>
        <w:rPr>
          <w:szCs w:val="24"/>
        </w:rPr>
      </w:pPr>
    </w:p>
    <w:p>
      <w:pPr>
        <w:pStyle w:val="2"/>
        <w:rPr>
          <w:szCs w:val="24"/>
        </w:rPr>
      </w:pPr>
    </w:p>
    <w:p>
      <w:pPr>
        <w:pStyle w:val="2"/>
        <w:rPr>
          <w:szCs w:val="24"/>
        </w:rPr>
      </w:pPr>
    </w:p>
    <w:p>
      <w:pPr>
        <w:rPr>
          <w:rFonts w:ascii="宋体" w:hAnsi="宋体" w:cs="宋体"/>
          <w:sz w:val="24"/>
          <w:szCs w:val="24"/>
        </w:rPr>
      </w:pPr>
    </w:p>
    <w:p>
      <w:pPr>
        <w:pStyle w:val="2"/>
        <w:rPr>
          <w:szCs w:val="24"/>
        </w:rPr>
      </w:pPr>
    </w:p>
    <w:p>
      <w:pPr>
        <w:ind w:firstLine="1264" w:firstLineChars="527"/>
        <w:rPr>
          <w:rFonts w:ascii="宋体" w:hAnsi="宋体" w:cs="宋体"/>
          <w:sz w:val="24"/>
          <w:szCs w:val="24"/>
          <w:u w:val="single"/>
        </w:rPr>
      </w:pPr>
      <w:r>
        <w:rPr>
          <w:rFonts w:hint="eastAsia" w:ascii="宋体" w:hAnsi="宋体" w:cs="宋体"/>
          <w:sz w:val="24"/>
          <w:szCs w:val="24"/>
        </w:rPr>
        <w:t>甲方：</w:t>
      </w:r>
      <w:r>
        <w:rPr>
          <w:rFonts w:hint="eastAsia" w:ascii="宋体" w:hAnsi="宋体" w:cs="宋体"/>
          <w:sz w:val="24"/>
          <w:szCs w:val="24"/>
          <w:u w:val="single"/>
        </w:rPr>
        <w:t xml:space="preserve">                             </w:t>
      </w:r>
    </w:p>
    <w:p>
      <w:pPr>
        <w:ind w:firstLine="1264" w:firstLineChars="527"/>
        <w:rPr>
          <w:rFonts w:ascii="宋体" w:hAnsi="宋体" w:cs="宋体"/>
          <w:sz w:val="24"/>
          <w:szCs w:val="24"/>
          <w:u w:val="single"/>
        </w:rPr>
      </w:pPr>
      <w:r>
        <w:rPr>
          <w:rFonts w:hint="eastAsia" w:ascii="宋体" w:hAnsi="宋体" w:cs="宋体"/>
          <w:sz w:val="24"/>
          <w:szCs w:val="24"/>
        </w:rPr>
        <w:t>乙方：</w:t>
      </w:r>
      <w:r>
        <w:rPr>
          <w:rFonts w:hint="eastAsia" w:ascii="宋体" w:hAnsi="宋体" w:cs="宋体"/>
          <w:sz w:val="24"/>
          <w:szCs w:val="24"/>
          <w:u w:val="single"/>
        </w:rPr>
        <w:t xml:space="preserve">                             </w:t>
      </w:r>
    </w:p>
    <w:p>
      <w:pPr>
        <w:pStyle w:val="2"/>
        <w:rPr>
          <w:szCs w:val="24"/>
        </w:rPr>
      </w:pPr>
    </w:p>
    <w:p>
      <w:pPr>
        <w:pStyle w:val="2"/>
        <w:rPr>
          <w:szCs w:val="24"/>
        </w:rPr>
      </w:pPr>
    </w:p>
    <w:p>
      <w:pPr>
        <w:pStyle w:val="2"/>
        <w:rPr>
          <w:szCs w:val="24"/>
        </w:rPr>
      </w:pPr>
    </w:p>
    <w:p>
      <w:pPr>
        <w:pStyle w:val="2"/>
        <w:jc w:val="center"/>
        <w:outlineLvl w:val="1"/>
        <w:rPr>
          <w:szCs w:val="24"/>
        </w:rPr>
      </w:pPr>
      <w:bookmarkStart w:id="210" w:name="_Toc18093"/>
      <w:bookmarkStart w:id="211" w:name="_Toc17724"/>
      <w:r>
        <w:rPr>
          <w:rFonts w:hint="eastAsia"/>
          <w:szCs w:val="24"/>
        </w:rPr>
        <w:t>年    月    日</w:t>
      </w:r>
      <w:bookmarkEnd w:id="210"/>
      <w:bookmarkEnd w:id="211"/>
    </w:p>
    <w:p>
      <w:pPr>
        <w:pStyle w:val="2"/>
        <w:rPr>
          <w:szCs w:val="24"/>
        </w:rPr>
      </w:pPr>
    </w:p>
    <w:p>
      <w:pPr>
        <w:pStyle w:val="2"/>
        <w:rPr>
          <w:szCs w:val="24"/>
        </w:rPr>
      </w:pPr>
    </w:p>
    <w:p>
      <w:pPr>
        <w:pStyle w:val="2"/>
        <w:rPr>
          <w:szCs w:val="24"/>
        </w:rPr>
      </w:pPr>
    </w:p>
    <w:p>
      <w:pPr>
        <w:rPr>
          <w:rFonts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 xml:space="preserve">      合同签字时间及地点：</w:t>
      </w:r>
    </w:p>
    <w:p>
      <w:pPr>
        <w:rPr>
          <w:rFonts w:ascii="宋体" w:hAnsi="宋体" w:cs="宋体"/>
          <w:sz w:val="24"/>
          <w:szCs w:val="24"/>
        </w:rPr>
      </w:pPr>
      <w:r>
        <w:rPr>
          <w:rFonts w:hint="eastAsia" w:ascii="宋体" w:hAnsi="宋体" w:cs="宋体"/>
          <w:sz w:val="24"/>
          <w:szCs w:val="24"/>
        </w:rPr>
        <w:t xml:space="preserve">    合同生效日期：</w:t>
      </w:r>
    </w:p>
    <w:p>
      <w:pPr>
        <w:rPr>
          <w:rFonts w:ascii="宋体" w:hAnsi="宋体" w:cs="宋体"/>
          <w:sz w:val="24"/>
          <w:szCs w:val="24"/>
        </w:rPr>
      </w:pPr>
      <w:r>
        <w:rPr>
          <w:rFonts w:hint="eastAsia" w:ascii="宋体" w:hAnsi="宋体" w:cs="宋体"/>
          <w:sz w:val="24"/>
          <w:szCs w:val="24"/>
        </w:rPr>
        <w:t xml:space="preserve">    合同双方：</w:t>
      </w:r>
      <w:r>
        <w:rPr>
          <w:rFonts w:hint="eastAsia" w:ascii="宋体" w:hAnsi="宋体" w:cs="宋体"/>
          <w:sz w:val="24"/>
          <w:szCs w:val="24"/>
          <w:u w:val="single"/>
        </w:rPr>
        <w:t>（采购人名称）             （以下简称甲方）</w:t>
      </w:r>
    </w:p>
    <w:p>
      <w:pPr>
        <w:rPr>
          <w:rFonts w:ascii="宋体" w:hAnsi="宋体" w:cs="宋体"/>
          <w:sz w:val="24"/>
          <w:szCs w:val="24"/>
          <w:u w:val="single"/>
        </w:rPr>
      </w:pPr>
      <w:r>
        <w:rPr>
          <w:rFonts w:hint="eastAsia" w:ascii="宋体" w:hAnsi="宋体" w:cs="宋体"/>
          <w:sz w:val="24"/>
          <w:szCs w:val="24"/>
        </w:rPr>
        <w:t xml:space="preserve">              </w:t>
      </w:r>
      <w:r>
        <w:rPr>
          <w:rFonts w:hint="eastAsia" w:ascii="宋体" w:hAnsi="宋体" w:cs="宋体"/>
          <w:sz w:val="24"/>
          <w:szCs w:val="24"/>
          <w:u w:val="single"/>
        </w:rPr>
        <w:t>（投标人名称）             （以下简称乙方）</w:t>
      </w:r>
    </w:p>
    <w:p>
      <w:pPr>
        <w:ind w:firstLine="480" w:firstLineChars="200"/>
        <w:rPr>
          <w:rFonts w:ascii="宋体" w:hAnsi="宋体" w:cs="宋体"/>
          <w:sz w:val="24"/>
          <w:szCs w:val="24"/>
        </w:rPr>
      </w:pPr>
      <w:r>
        <w:rPr>
          <w:rFonts w:hint="eastAsia" w:ascii="宋体" w:hAnsi="宋体" w:cs="宋体"/>
          <w:sz w:val="24"/>
          <w:szCs w:val="24"/>
        </w:rPr>
        <w:t>供需双方达成协议，并同意按如下条款签订本合同。</w:t>
      </w:r>
    </w:p>
    <w:p>
      <w:pPr>
        <w:ind w:firstLine="480" w:firstLineChars="200"/>
        <w:outlineLvl w:val="1"/>
        <w:rPr>
          <w:rFonts w:ascii="宋体" w:hAnsi="宋体" w:cs="宋体"/>
          <w:sz w:val="24"/>
          <w:szCs w:val="24"/>
        </w:rPr>
      </w:pPr>
      <w:r>
        <w:rPr>
          <w:rFonts w:hint="eastAsia" w:ascii="宋体" w:hAnsi="宋体" w:cs="宋体"/>
          <w:sz w:val="24"/>
          <w:szCs w:val="24"/>
        </w:rPr>
        <w:t>1</w:t>
      </w:r>
      <w:r>
        <w:rPr>
          <w:rFonts w:hint="eastAsia" w:ascii="宋体" w:hAnsi="宋体" w:cs="宋体"/>
          <w:b/>
          <w:sz w:val="24"/>
          <w:szCs w:val="24"/>
        </w:rPr>
        <w:t>、定义</w:t>
      </w:r>
    </w:p>
    <w:p>
      <w:pPr>
        <w:ind w:firstLine="480" w:firstLineChars="200"/>
        <w:rPr>
          <w:rFonts w:ascii="宋体" w:hAnsi="宋体" w:cs="宋体"/>
          <w:sz w:val="24"/>
          <w:szCs w:val="24"/>
        </w:rPr>
      </w:pPr>
      <w:r>
        <w:rPr>
          <w:rFonts w:hint="eastAsia" w:ascii="宋体" w:hAnsi="宋体" w:cs="宋体"/>
          <w:sz w:val="24"/>
          <w:szCs w:val="24"/>
        </w:rPr>
        <w:t>本文件和附件中所用下列名词的含义在此予以确定。</w:t>
      </w:r>
    </w:p>
    <w:p>
      <w:pPr>
        <w:tabs>
          <w:tab w:val="left" w:pos="360"/>
        </w:tabs>
        <w:ind w:firstLine="480" w:firstLineChars="200"/>
        <w:rPr>
          <w:rFonts w:ascii="宋体" w:hAnsi="宋体" w:cs="宋体"/>
          <w:sz w:val="24"/>
          <w:szCs w:val="24"/>
        </w:rPr>
      </w:pPr>
      <w:r>
        <w:rPr>
          <w:rFonts w:hint="eastAsia" w:ascii="宋体" w:hAnsi="宋体" w:cs="宋体"/>
          <w:sz w:val="24"/>
          <w:szCs w:val="24"/>
        </w:rPr>
        <w:t>1.1“甲方”是指……，包括该法人的继任方和法人的受让方。</w:t>
      </w:r>
    </w:p>
    <w:p>
      <w:pPr>
        <w:tabs>
          <w:tab w:val="left" w:pos="360"/>
        </w:tabs>
        <w:ind w:left="420" w:leftChars="200"/>
        <w:rPr>
          <w:rFonts w:ascii="宋体" w:hAnsi="宋体" w:cs="宋体"/>
          <w:sz w:val="24"/>
          <w:szCs w:val="24"/>
        </w:rPr>
      </w:pPr>
      <w:r>
        <w:rPr>
          <w:rFonts w:hint="eastAsia" w:ascii="宋体" w:hAnsi="宋体" w:cs="宋体"/>
          <w:sz w:val="24"/>
          <w:szCs w:val="24"/>
        </w:rPr>
        <w:t>1.2“乙方”是指</w:t>
      </w:r>
      <w:r>
        <w:rPr>
          <w:rFonts w:hint="eastAsia" w:ascii="宋体" w:hAnsi="宋体" w:cs="宋体"/>
          <w:sz w:val="24"/>
          <w:szCs w:val="24"/>
          <w:u w:val="single"/>
        </w:rPr>
        <w:t>（乙方法定名称）</w:t>
      </w:r>
      <w:r>
        <w:rPr>
          <w:rFonts w:hint="eastAsia" w:ascii="宋体" w:hAnsi="宋体" w:cs="宋体"/>
          <w:sz w:val="24"/>
          <w:szCs w:val="24"/>
        </w:rPr>
        <w:t>，包括该法人的继任方和法人的受让方。</w:t>
      </w:r>
    </w:p>
    <w:p>
      <w:pPr>
        <w:tabs>
          <w:tab w:val="left" w:pos="360"/>
        </w:tabs>
        <w:ind w:left="420" w:leftChars="200"/>
        <w:rPr>
          <w:rFonts w:ascii="宋体" w:hAnsi="宋体" w:cs="宋体"/>
          <w:sz w:val="24"/>
          <w:szCs w:val="24"/>
        </w:rPr>
      </w:pPr>
      <w:r>
        <w:rPr>
          <w:rFonts w:hint="eastAsia" w:ascii="宋体" w:hAnsi="宋体" w:cs="宋体"/>
          <w:sz w:val="24"/>
          <w:szCs w:val="24"/>
        </w:rPr>
        <w:t>1.3“合同”是指本文件及其附件中的所有部分。</w:t>
      </w:r>
    </w:p>
    <w:p>
      <w:pPr>
        <w:tabs>
          <w:tab w:val="left" w:pos="360"/>
        </w:tabs>
        <w:ind w:left="420" w:leftChars="200"/>
        <w:rPr>
          <w:rFonts w:ascii="宋体" w:hAnsi="宋体" w:cs="宋体"/>
          <w:sz w:val="24"/>
          <w:szCs w:val="24"/>
        </w:rPr>
      </w:pPr>
      <w:r>
        <w:rPr>
          <w:rFonts w:hint="eastAsia" w:ascii="宋体" w:hAnsi="宋体" w:cs="宋体"/>
          <w:sz w:val="24"/>
          <w:szCs w:val="24"/>
        </w:rPr>
        <w:t>1.4“合同价格”是指在本合同相关规定的部分。</w:t>
      </w:r>
    </w:p>
    <w:p>
      <w:pPr>
        <w:tabs>
          <w:tab w:val="left" w:pos="360"/>
        </w:tabs>
        <w:ind w:left="420" w:leftChars="200"/>
        <w:rPr>
          <w:rFonts w:ascii="宋体" w:hAnsi="宋体" w:cs="宋体"/>
          <w:sz w:val="24"/>
          <w:szCs w:val="24"/>
        </w:rPr>
      </w:pPr>
      <w:r>
        <w:rPr>
          <w:rFonts w:hint="eastAsia" w:ascii="宋体" w:hAnsi="宋体" w:cs="宋体"/>
          <w:sz w:val="24"/>
          <w:szCs w:val="24"/>
        </w:rPr>
        <w:t>1.5“生效日期”是指本合同相关规定的合同的生效日期。</w:t>
      </w:r>
    </w:p>
    <w:p>
      <w:pPr>
        <w:outlineLvl w:val="1"/>
        <w:rPr>
          <w:rFonts w:ascii="宋体" w:hAnsi="宋体" w:cs="宋体"/>
          <w:sz w:val="24"/>
          <w:szCs w:val="24"/>
        </w:rPr>
      </w:pPr>
      <w:r>
        <w:rPr>
          <w:rFonts w:hint="eastAsia" w:ascii="宋体" w:hAnsi="宋体" w:cs="宋体"/>
          <w:sz w:val="24"/>
          <w:szCs w:val="24"/>
        </w:rPr>
        <w:t xml:space="preserve">   1.6“技术资料”是指合同设备及其与城服公司环卫车辆设备采购项目相关的货物、制造、监造检验、安装、验收、性能验收试验、控制和技术指导等文件（包括图纸各种文字说明、标准、各种软件），和本合同及附件中规定的用于本合同设备正确运行和维护的文件。</w:t>
      </w:r>
    </w:p>
    <w:p>
      <w:pPr>
        <w:tabs>
          <w:tab w:val="left" w:pos="360"/>
        </w:tabs>
        <w:ind w:left="420" w:leftChars="200"/>
        <w:rPr>
          <w:rFonts w:ascii="宋体" w:hAnsi="宋体" w:cs="宋体"/>
          <w:sz w:val="24"/>
          <w:szCs w:val="24"/>
        </w:rPr>
      </w:pPr>
      <w:r>
        <w:rPr>
          <w:rFonts w:hint="eastAsia" w:ascii="宋体" w:hAnsi="宋体" w:cs="宋体"/>
          <w:sz w:val="24"/>
          <w:szCs w:val="24"/>
        </w:rPr>
        <w:t>1.7“合同设备”是指乙方根据合同所要供应的机器、装置、材料、物品、专用工具、仪器仪表、备品备件和所有各种物品，如本合同及附件所列示和规定。</w:t>
      </w:r>
    </w:p>
    <w:p>
      <w:pPr>
        <w:ind w:firstLine="480" w:firstLineChars="200"/>
        <w:rPr>
          <w:rFonts w:ascii="宋体" w:hAnsi="宋体" w:cs="宋体"/>
          <w:sz w:val="24"/>
          <w:szCs w:val="24"/>
        </w:rPr>
      </w:pPr>
      <w:r>
        <w:rPr>
          <w:rFonts w:hint="eastAsia" w:ascii="宋体" w:hAnsi="宋体" w:cs="宋体"/>
          <w:sz w:val="24"/>
          <w:szCs w:val="24"/>
        </w:rPr>
        <w:t>1.8“监造”是指在合同设备的制造过程中，由甲方派出代表对乙方提供的合同设备的关键部位进行质量监督，实行文件见证和现场见证。此种监造不构成乙方对合同设备所负的质量责任的任何减免。</w:t>
      </w:r>
    </w:p>
    <w:p>
      <w:pPr>
        <w:ind w:firstLine="480" w:firstLineChars="200"/>
        <w:rPr>
          <w:rFonts w:ascii="宋体" w:hAnsi="宋体" w:cs="宋体"/>
          <w:sz w:val="24"/>
          <w:szCs w:val="24"/>
        </w:rPr>
      </w:pPr>
      <w:r>
        <w:rPr>
          <w:rFonts w:hint="eastAsia" w:ascii="宋体" w:hAnsi="宋体" w:cs="宋体"/>
          <w:sz w:val="24"/>
          <w:szCs w:val="24"/>
        </w:rPr>
        <w:t>1.9“日、月、年”是指公历的日、月、年；“天”是指24小时；“周”是指7天。</w:t>
      </w:r>
    </w:p>
    <w:p>
      <w:pPr>
        <w:ind w:firstLine="480" w:firstLineChars="200"/>
        <w:rPr>
          <w:rFonts w:ascii="宋体" w:hAnsi="宋体" w:cs="宋体"/>
          <w:sz w:val="24"/>
          <w:szCs w:val="24"/>
        </w:rPr>
      </w:pPr>
      <w:r>
        <w:rPr>
          <w:rFonts w:hint="eastAsia" w:ascii="宋体" w:hAnsi="宋体" w:cs="宋体"/>
          <w:sz w:val="24"/>
          <w:szCs w:val="24"/>
        </w:rPr>
        <w:t>1.10“技术服务”是指由乙方提供的与本合同设备有关的工程设计、设备监造、检验、土建、安装、调试、验收、性能验收试验、运行、检修时相应的技术指导、技术配合、技术培训等全过程的服务。</w:t>
      </w:r>
    </w:p>
    <w:p>
      <w:pPr>
        <w:ind w:firstLine="480" w:firstLineChars="200"/>
        <w:rPr>
          <w:rFonts w:ascii="宋体" w:hAnsi="宋体" w:cs="宋体"/>
          <w:sz w:val="24"/>
          <w:szCs w:val="24"/>
        </w:rPr>
      </w:pPr>
      <w:r>
        <w:rPr>
          <w:rFonts w:hint="eastAsia" w:ascii="宋体" w:hAnsi="宋体" w:cs="宋体"/>
          <w:sz w:val="24"/>
          <w:szCs w:val="24"/>
        </w:rPr>
        <w:t>1.11“现场”是指甲方指定项目所在城服公司环卫车辆设备采购项目地石龙镇，为甲方提供合同设备所在地。</w:t>
      </w:r>
    </w:p>
    <w:p>
      <w:pPr>
        <w:ind w:firstLine="480" w:firstLineChars="200"/>
        <w:rPr>
          <w:rFonts w:ascii="宋体" w:hAnsi="宋体" w:cs="宋体"/>
          <w:sz w:val="24"/>
          <w:szCs w:val="24"/>
        </w:rPr>
      </w:pPr>
      <w:r>
        <w:rPr>
          <w:rFonts w:hint="eastAsia" w:ascii="宋体" w:hAnsi="宋体" w:cs="宋体"/>
          <w:sz w:val="24"/>
          <w:szCs w:val="24"/>
        </w:rPr>
        <w:t>1.12“备品备件”是指根据本合同提供的备用部件，包括随机备品备件。</w:t>
      </w:r>
    </w:p>
    <w:p>
      <w:pPr>
        <w:ind w:firstLine="480" w:firstLineChars="200"/>
        <w:rPr>
          <w:rFonts w:ascii="宋体" w:hAnsi="宋体" w:cs="宋体"/>
          <w:sz w:val="24"/>
          <w:szCs w:val="24"/>
        </w:rPr>
      </w:pPr>
      <w:r>
        <w:rPr>
          <w:rFonts w:hint="eastAsia" w:ascii="宋体" w:hAnsi="宋体" w:cs="宋体"/>
          <w:sz w:val="24"/>
          <w:szCs w:val="24"/>
        </w:rPr>
        <w:t>1.13“试运行”是指设备在调试和到货后的运行。</w:t>
      </w:r>
    </w:p>
    <w:p>
      <w:pPr>
        <w:ind w:firstLine="480" w:firstLineChars="200"/>
        <w:rPr>
          <w:rFonts w:ascii="宋体" w:hAnsi="宋体" w:cs="宋体"/>
          <w:sz w:val="24"/>
          <w:szCs w:val="24"/>
        </w:rPr>
      </w:pPr>
      <w:r>
        <w:rPr>
          <w:rFonts w:hint="eastAsia" w:ascii="宋体" w:hAnsi="宋体" w:cs="宋体"/>
          <w:sz w:val="24"/>
          <w:szCs w:val="24"/>
        </w:rPr>
        <w:t>1.14“机组”是指一套完整的设备。</w:t>
      </w:r>
    </w:p>
    <w:p>
      <w:pPr>
        <w:ind w:firstLine="480" w:firstLineChars="200"/>
        <w:rPr>
          <w:rFonts w:ascii="宋体" w:hAnsi="宋体" w:cs="宋体"/>
          <w:sz w:val="24"/>
          <w:szCs w:val="24"/>
        </w:rPr>
      </w:pPr>
      <w:r>
        <w:rPr>
          <w:rFonts w:hint="eastAsia" w:ascii="宋体" w:hAnsi="宋体" w:cs="宋体"/>
          <w:sz w:val="24"/>
          <w:szCs w:val="24"/>
        </w:rPr>
        <w:t>1.15“书面文件”是指任何手稿、打字或印刷的有印章和／或签名的文件。</w:t>
      </w:r>
    </w:p>
    <w:p>
      <w:pPr>
        <w:ind w:firstLine="480" w:firstLineChars="200"/>
        <w:rPr>
          <w:rFonts w:ascii="宋体" w:hAnsi="宋体" w:cs="宋体"/>
          <w:sz w:val="24"/>
          <w:szCs w:val="24"/>
        </w:rPr>
      </w:pPr>
      <w:r>
        <w:rPr>
          <w:rFonts w:hint="eastAsia" w:ascii="宋体" w:hAnsi="宋体" w:cs="宋体"/>
          <w:sz w:val="24"/>
          <w:szCs w:val="24"/>
        </w:rPr>
        <w:t>1.16“分包商”或“分供货商”是指由乙方将合同供货范围内任何部分的供货分包给其他的法人及该法人的继任方和该法人允许的受让方。</w:t>
      </w:r>
    </w:p>
    <w:p>
      <w:pPr>
        <w:ind w:firstLine="480" w:firstLineChars="200"/>
        <w:outlineLvl w:val="1"/>
        <w:rPr>
          <w:rFonts w:ascii="宋体" w:hAnsi="宋体" w:cs="宋体"/>
          <w:b/>
          <w:sz w:val="24"/>
          <w:szCs w:val="24"/>
        </w:rPr>
      </w:pPr>
      <w:r>
        <w:rPr>
          <w:rFonts w:hint="eastAsia" w:ascii="宋体" w:hAnsi="宋体" w:cs="宋体"/>
          <w:sz w:val="24"/>
          <w:szCs w:val="24"/>
        </w:rPr>
        <w:t>2、</w:t>
      </w:r>
      <w:r>
        <w:rPr>
          <w:rFonts w:hint="eastAsia" w:ascii="宋体" w:hAnsi="宋体" w:cs="宋体"/>
          <w:b/>
          <w:sz w:val="24"/>
          <w:szCs w:val="24"/>
        </w:rPr>
        <w:t>合同标的</w:t>
      </w:r>
    </w:p>
    <w:p>
      <w:pPr>
        <w:ind w:firstLine="480" w:firstLineChars="200"/>
        <w:rPr>
          <w:rFonts w:ascii="宋体" w:hAnsi="宋体" w:cs="宋体"/>
          <w:sz w:val="24"/>
          <w:szCs w:val="24"/>
        </w:rPr>
      </w:pPr>
      <w:r>
        <w:rPr>
          <w:rFonts w:hint="eastAsia" w:ascii="宋体" w:hAnsi="宋体" w:cs="宋体"/>
          <w:sz w:val="24"/>
          <w:szCs w:val="24"/>
        </w:rPr>
        <w:t>本合同所订设备将用于城服公司环卫车辆设备采购项目</w:t>
      </w:r>
    </w:p>
    <w:p>
      <w:pPr>
        <w:ind w:firstLine="480" w:firstLineChars="200"/>
        <w:rPr>
          <w:rFonts w:ascii="宋体" w:hAnsi="宋体" w:cs="宋体"/>
          <w:sz w:val="24"/>
          <w:szCs w:val="24"/>
        </w:rPr>
      </w:pPr>
      <w:r>
        <w:rPr>
          <w:rFonts w:hint="eastAsia" w:ascii="宋体" w:hAnsi="宋体" w:cs="宋体"/>
          <w:sz w:val="24"/>
          <w:szCs w:val="24"/>
        </w:rPr>
        <w:t>2.1设备名称、规格（型号）、数量</w:t>
      </w:r>
    </w:p>
    <w:p>
      <w:pPr>
        <w:ind w:firstLine="480" w:firstLineChars="200"/>
        <w:rPr>
          <w:rFonts w:ascii="宋体" w:hAnsi="宋体" w:cs="宋体"/>
          <w:sz w:val="24"/>
          <w:szCs w:val="24"/>
        </w:rPr>
      </w:pPr>
      <w:r>
        <w:rPr>
          <w:rFonts w:hint="eastAsia" w:ascii="宋体" w:hAnsi="宋体" w:cs="宋体"/>
          <w:sz w:val="24"/>
          <w:szCs w:val="24"/>
        </w:rPr>
        <w:t xml:space="preserve">    设备名称： </w:t>
      </w:r>
    </w:p>
    <w:p>
      <w:pPr>
        <w:ind w:firstLine="480" w:firstLineChars="200"/>
        <w:rPr>
          <w:rFonts w:ascii="宋体" w:hAnsi="宋体" w:cs="宋体"/>
          <w:sz w:val="24"/>
          <w:szCs w:val="24"/>
        </w:rPr>
      </w:pPr>
      <w:r>
        <w:rPr>
          <w:rFonts w:hint="eastAsia" w:ascii="宋体" w:hAnsi="宋体" w:cs="宋体"/>
          <w:sz w:val="24"/>
          <w:szCs w:val="24"/>
        </w:rPr>
        <w:t xml:space="preserve">    设备规格型号：（厂家填写）</w:t>
      </w:r>
    </w:p>
    <w:p>
      <w:pPr>
        <w:ind w:firstLine="480" w:firstLineChars="200"/>
        <w:rPr>
          <w:rFonts w:ascii="宋体" w:hAnsi="宋体" w:cs="宋体"/>
          <w:sz w:val="24"/>
          <w:szCs w:val="24"/>
        </w:rPr>
      </w:pPr>
      <w:r>
        <w:rPr>
          <w:rFonts w:hint="eastAsia" w:ascii="宋体" w:hAnsi="宋体" w:cs="宋体"/>
          <w:sz w:val="24"/>
          <w:szCs w:val="24"/>
        </w:rPr>
        <w:t xml:space="preserve">    数量：</w:t>
      </w:r>
    </w:p>
    <w:p>
      <w:pPr>
        <w:ind w:firstLine="480" w:firstLineChars="200"/>
        <w:rPr>
          <w:rFonts w:ascii="宋体" w:hAnsi="宋体" w:cs="宋体"/>
          <w:sz w:val="24"/>
          <w:szCs w:val="24"/>
        </w:rPr>
      </w:pPr>
      <w:r>
        <w:rPr>
          <w:rFonts w:hint="eastAsia" w:ascii="宋体" w:hAnsi="宋体" w:cs="宋体"/>
          <w:sz w:val="24"/>
          <w:szCs w:val="24"/>
        </w:rPr>
        <w:t>2.2设备的技术规范、技术经济指标和性能按本合同附件（采购文件及投标文件）。</w:t>
      </w:r>
    </w:p>
    <w:p>
      <w:pPr>
        <w:ind w:firstLine="480" w:firstLineChars="200"/>
        <w:rPr>
          <w:rFonts w:ascii="宋体" w:hAnsi="宋体" w:cs="宋体"/>
          <w:sz w:val="24"/>
          <w:szCs w:val="24"/>
        </w:rPr>
      </w:pPr>
      <w:r>
        <w:rPr>
          <w:rFonts w:hint="eastAsia" w:ascii="宋体" w:hAnsi="宋体" w:cs="宋体"/>
          <w:sz w:val="24"/>
          <w:szCs w:val="24"/>
        </w:rPr>
        <w:t>2.3乙方提供合同设备的供货范围按合同附件（采购文件及投标文件）。</w:t>
      </w:r>
    </w:p>
    <w:p>
      <w:pPr>
        <w:ind w:firstLine="480" w:firstLineChars="200"/>
        <w:rPr>
          <w:rFonts w:ascii="宋体" w:hAnsi="宋体" w:cs="宋体"/>
          <w:sz w:val="24"/>
          <w:szCs w:val="24"/>
        </w:rPr>
      </w:pPr>
      <w:r>
        <w:rPr>
          <w:rFonts w:hint="eastAsia" w:ascii="宋体" w:hAnsi="宋体" w:cs="宋体"/>
          <w:sz w:val="24"/>
          <w:szCs w:val="24"/>
        </w:rPr>
        <w:t>2.4乙方提供的技术资料按合同附件（采购文件及投标文件）。</w:t>
      </w:r>
    </w:p>
    <w:p>
      <w:pPr>
        <w:ind w:firstLine="480" w:firstLineChars="200"/>
        <w:rPr>
          <w:rFonts w:ascii="宋体" w:hAnsi="宋体" w:cs="宋体"/>
          <w:sz w:val="24"/>
          <w:szCs w:val="24"/>
        </w:rPr>
      </w:pPr>
      <w:r>
        <w:rPr>
          <w:rFonts w:hint="eastAsia" w:ascii="宋体" w:hAnsi="宋体" w:cs="宋体"/>
          <w:sz w:val="24"/>
          <w:szCs w:val="24"/>
        </w:rPr>
        <w:t>2.5乙方提供的技术服务按合同附件（采购文件及投标文件）。</w:t>
      </w:r>
    </w:p>
    <w:p>
      <w:pPr>
        <w:ind w:firstLine="480" w:firstLineChars="200"/>
        <w:rPr>
          <w:rFonts w:ascii="宋体" w:hAnsi="宋体" w:cs="宋体"/>
          <w:sz w:val="24"/>
          <w:szCs w:val="24"/>
        </w:rPr>
      </w:pPr>
      <w:r>
        <w:rPr>
          <w:rFonts w:hint="eastAsia" w:ascii="宋体" w:hAnsi="宋体" w:cs="宋体"/>
          <w:sz w:val="24"/>
          <w:szCs w:val="24"/>
        </w:rPr>
        <w:t>2.6乙方提供设备的运输及保险。</w:t>
      </w:r>
    </w:p>
    <w:p>
      <w:pPr>
        <w:ind w:firstLine="480" w:firstLineChars="200"/>
        <w:outlineLvl w:val="1"/>
        <w:rPr>
          <w:rFonts w:ascii="宋体" w:hAnsi="宋体" w:cs="宋体"/>
          <w:sz w:val="24"/>
          <w:szCs w:val="24"/>
        </w:rPr>
      </w:pPr>
      <w:r>
        <w:rPr>
          <w:rFonts w:hint="eastAsia" w:ascii="宋体" w:hAnsi="宋体" w:cs="宋体"/>
          <w:sz w:val="24"/>
          <w:szCs w:val="24"/>
        </w:rPr>
        <w:t>3、</w:t>
      </w:r>
      <w:r>
        <w:rPr>
          <w:rFonts w:hint="eastAsia" w:ascii="宋体" w:hAnsi="宋体" w:cs="宋体"/>
          <w:b/>
          <w:sz w:val="24"/>
          <w:szCs w:val="24"/>
        </w:rPr>
        <w:t>供货范围</w:t>
      </w:r>
    </w:p>
    <w:p>
      <w:pPr>
        <w:ind w:firstLine="480" w:firstLineChars="200"/>
        <w:rPr>
          <w:rFonts w:ascii="宋体" w:hAnsi="宋体" w:cs="宋体"/>
          <w:sz w:val="24"/>
          <w:szCs w:val="24"/>
        </w:rPr>
      </w:pPr>
      <w:r>
        <w:rPr>
          <w:rFonts w:hint="eastAsia" w:ascii="宋体" w:hAnsi="宋体" w:cs="宋体"/>
          <w:sz w:val="24"/>
          <w:szCs w:val="24"/>
        </w:rPr>
        <w:t>3.1合同供货范围详见合同附件。</w:t>
      </w:r>
    </w:p>
    <w:p>
      <w:pPr>
        <w:ind w:firstLine="480" w:firstLineChars="200"/>
        <w:rPr>
          <w:rFonts w:ascii="宋体" w:hAnsi="宋体" w:cs="宋体"/>
          <w:sz w:val="24"/>
          <w:szCs w:val="24"/>
        </w:rPr>
      </w:pPr>
      <w:r>
        <w:rPr>
          <w:rFonts w:hint="eastAsia" w:ascii="宋体" w:hAnsi="宋体" w:cs="宋体"/>
          <w:sz w:val="24"/>
          <w:szCs w:val="24"/>
        </w:rPr>
        <w:t>3.2合同供货范围包括了所有设备、技术资料、专用工具、备品备件；但在执行合同过程中如发现有任何漏项和短缺，在发货清单中并未列入而且确实是乙方供货范围中应该有的，并且是满足合同附件（采购文件及投标文件）对合同设备的性能保证值要求所必须的，均应由乙方负责将所缺的设备、技术资料、专用工具、备品备件等补齐，甲方无需另行支付费用。</w:t>
      </w:r>
    </w:p>
    <w:p>
      <w:pPr>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3交付时</w:t>
      </w:r>
      <w:r>
        <w:rPr>
          <w:rFonts w:ascii="宋体" w:hAnsi="宋体" w:cs="宋体"/>
          <w:sz w:val="24"/>
          <w:szCs w:val="24"/>
        </w:rPr>
        <w:t>所有设备需在显眼的展示区域包括但不限于车身周围、车尾处标注“东实环境”及logo（以甲方具体要求为准）。</w:t>
      </w:r>
    </w:p>
    <w:p>
      <w:pPr>
        <w:ind w:firstLine="480" w:firstLineChars="200"/>
        <w:rPr>
          <w:rFonts w:ascii="宋体" w:hAnsi="宋体" w:cs="宋体"/>
          <w:sz w:val="24"/>
          <w:szCs w:val="24"/>
        </w:rPr>
      </w:pPr>
      <w:r>
        <w:rPr>
          <w:rFonts w:hint="eastAsia" w:ascii="宋体" w:hAnsi="宋体" w:cs="宋体"/>
          <w:sz w:val="24"/>
          <w:szCs w:val="24"/>
        </w:rPr>
        <w:t>3.</w:t>
      </w:r>
      <w:r>
        <w:rPr>
          <w:rFonts w:ascii="宋体" w:hAnsi="宋体" w:cs="宋体"/>
          <w:sz w:val="24"/>
          <w:szCs w:val="24"/>
        </w:rPr>
        <w:t>4.本合同项下按照国家有关法律的规定，需要到车管所上牌的作业车辆，在完成上牌后，乙方应对该部分车辆配备GPS车载卫星定位终端、右侧盲区雷达监测及倒车后视系统。甲方不需为此额外支付费用。（注：右侧盲区雷达监测系统必须通过GB4943.1-2011《信息技术设备安全第1部份：通用要求》）</w:t>
      </w:r>
    </w:p>
    <w:p>
      <w:pPr>
        <w:ind w:firstLine="480" w:firstLineChars="200"/>
        <w:rPr>
          <w:rFonts w:ascii="宋体" w:hAnsi="宋体" w:cs="宋体"/>
          <w:sz w:val="24"/>
          <w:szCs w:val="24"/>
        </w:rPr>
      </w:pPr>
      <w:r>
        <w:rPr>
          <w:rFonts w:hint="eastAsia" w:ascii="宋体" w:hAnsi="宋体" w:cs="宋体"/>
          <w:sz w:val="24"/>
          <w:szCs w:val="24"/>
        </w:rPr>
        <w:t>3.5</w:t>
      </w:r>
      <w:r>
        <w:rPr>
          <w:rFonts w:ascii="宋体" w:hAnsi="宋体" w:cs="宋体"/>
          <w:sz w:val="24"/>
          <w:szCs w:val="24"/>
        </w:rPr>
        <w:t>根据东莞市城市管理和综合执法局关于垃圾分类的最新要求，乙方应保证车辆交付时车身需有垃圾分类的相应标识，具体标识内容以东莞市城市管理和综合执法局规定及与甲方商议确定为准。</w:t>
      </w:r>
    </w:p>
    <w:p>
      <w:pPr>
        <w:ind w:firstLine="482" w:firstLineChars="200"/>
        <w:rPr>
          <w:rFonts w:ascii="宋体" w:hAnsi="宋体" w:cs="宋体"/>
          <w:b/>
          <w:sz w:val="24"/>
          <w:szCs w:val="24"/>
        </w:rPr>
      </w:pPr>
      <w:r>
        <w:rPr>
          <w:rFonts w:hint="eastAsia" w:ascii="宋体" w:hAnsi="宋体" w:cs="宋体"/>
          <w:b/>
          <w:sz w:val="24"/>
          <w:szCs w:val="24"/>
        </w:rPr>
        <w:t>4、合同价格</w:t>
      </w:r>
    </w:p>
    <w:p>
      <w:pPr>
        <w:ind w:firstLine="480" w:firstLineChars="200"/>
        <w:rPr>
          <w:rFonts w:ascii="宋体" w:hAnsi="宋体" w:cs="宋体"/>
          <w:sz w:val="24"/>
          <w:szCs w:val="24"/>
        </w:rPr>
      </w:pPr>
      <w:r>
        <w:rPr>
          <w:rFonts w:ascii="宋体" w:hAnsi="宋体" w:cs="宋体"/>
          <w:sz w:val="24"/>
          <w:szCs w:val="24"/>
        </w:rPr>
        <w:t xml:space="preserve">4.l本合同价格即合同总价为 </w:t>
      </w:r>
      <w:r>
        <w:rPr>
          <w:rFonts w:ascii="宋体" w:hAnsi="宋体" w:cs="宋体"/>
          <w:sz w:val="24"/>
          <w:szCs w:val="24"/>
          <w:u w:val="single"/>
        </w:rPr>
        <w:t xml:space="preserve">         </w:t>
      </w:r>
      <w:r>
        <w:rPr>
          <w:rFonts w:ascii="宋体" w:hAnsi="宋体" w:cs="宋体"/>
          <w:sz w:val="24"/>
          <w:szCs w:val="24"/>
        </w:rPr>
        <w:t>元（大写</w:t>
      </w:r>
      <w:r>
        <w:rPr>
          <w:rFonts w:ascii="宋体" w:hAnsi="宋体" w:cs="宋体"/>
          <w:sz w:val="24"/>
          <w:szCs w:val="24"/>
          <w:u w:val="single"/>
        </w:rPr>
        <w:t xml:space="preserve">：             </w:t>
      </w:r>
      <w:r>
        <w:rPr>
          <w:rFonts w:ascii="宋体" w:hAnsi="宋体" w:cs="宋体"/>
          <w:sz w:val="24"/>
          <w:szCs w:val="24"/>
        </w:rPr>
        <w:t>）。</w:t>
      </w:r>
    </w:p>
    <w:p>
      <w:pPr>
        <w:pStyle w:val="2"/>
        <w:ind w:firstLine="480" w:firstLineChars="200"/>
        <w:rPr>
          <w:rFonts w:hint="eastAsia" w:ascii="宋体" w:hAnsi="宋体" w:cs="宋体"/>
          <w:sz w:val="24"/>
          <w:szCs w:val="24"/>
          <w:lang w:val="en-US" w:bidi="ar-SA"/>
        </w:rPr>
      </w:pPr>
      <w:r>
        <w:rPr>
          <w:rFonts w:hint="eastAsia"/>
          <w:lang w:val="en-US" w:bidi="ar-SA"/>
        </w:rPr>
        <w:t>其中：增值税税率为</w:t>
      </w:r>
      <w:r>
        <w:rPr>
          <w:u w:val="single"/>
          <w:lang w:val="en-US" w:bidi="ar-SA"/>
        </w:rPr>
        <w:t xml:space="preserve">   </w:t>
      </w:r>
      <w:r>
        <w:rPr>
          <w:rFonts w:hint="eastAsia"/>
          <w:u w:val="single"/>
          <w:lang w:val="en-US" w:bidi="ar-SA"/>
        </w:rPr>
        <w:t>%</w:t>
      </w:r>
      <w:r>
        <w:rPr>
          <w:rFonts w:hint="eastAsia"/>
          <w:lang w:val="en-US" w:bidi="ar-SA"/>
        </w:rPr>
        <w:t>，税金金额</w:t>
      </w:r>
      <w:r>
        <w:rPr>
          <w:rFonts w:hint="eastAsia"/>
          <w:u w:val="single"/>
          <w:lang w:val="en-US" w:bidi="ar-SA"/>
        </w:rPr>
        <w:t xml:space="preserve"> ¥         元</w:t>
      </w:r>
      <w:r>
        <w:rPr>
          <w:rFonts w:hint="eastAsia"/>
          <w:lang w:val="en-US" w:bidi="ar-SA"/>
        </w:rPr>
        <w:t>，不含税合同总价款为</w:t>
      </w:r>
      <w:r>
        <w:rPr>
          <w:rFonts w:hint="eastAsia"/>
          <w:u w:val="single"/>
          <w:lang w:val="en-US" w:bidi="ar-SA"/>
        </w:rPr>
        <w:t xml:space="preserve"> ¥         元</w:t>
      </w:r>
      <w:r>
        <w:rPr>
          <w:rFonts w:hint="eastAsia"/>
          <w:lang w:val="en-US" w:bidi="ar-SA"/>
        </w:rPr>
        <w:t>。</w:t>
      </w:r>
    </w:p>
    <w:p>
      <w:pPr>
        <w:ind w:firstLine="480" w:firstLineChars="200"/>
        <w:rPr>
          <w:rFonts w:ascii="宋体" w:hAnsi="宋体" w:cs="宋体"/>
          <w:sz w:val="24"/>
          <w:szCs w:val="24"/>
        </w:rPr>
      </w:pPr>
      <w:r>
        <w:rPr>
          <w:rFonts w:ascii="宋体" w:hAnsi="宋体" w:cs="宋体"/>
          <w:sz w:val="24"/>
          <w:szCs w:val="24"/>
        </w:rPr>
        <w:t>本合同为固定总价包干，合同价格包括但不限于货物及所需附件设备费、车身价、保险费（包括但不限于车辆交强险、第三者100万加不计免赔）、税金及所有的上牌费用、运输费（含运输至甲方指定交货地点的运输费）、安装、调试、检验、技术服务、培训以及为所有机动车辆（本项目所采购的运输设备）配备安装GPS定位跟踪动态监控系统和行车记录仪等费用，即采用大包干形式交付甲方使用。</w:t>
      </w:r>
      <w:r>
        <w:rPr>
          <w:rFonts w:hint="eastAsia" w:ascii="宋体" w:hAnsi="宋体" w:cs="宋体"/>
          <w:sz w:val="24"/>
          <w:szCs w:val="24"/>
        </w:rPr>
        <w:t>如遇国家调整税率，不含税合同款不予调整，税金按调整后税率及相关细则执行。</w:t>
      </w:r>
    </w:p>
    <w:p>
      <w:pPr>
        <w:ind w:firstLine="480" w:firstLineChars="200"/>
        <w:rPr>
          <w:rFonts w:ascii="宋体" w:hAnsi="宋体" w:cs="宋体"/>
          <w:sz w:val="24"/>
          <w:szCs w:val="24"/>
        </w:rPr>
      </w:pPr>
      <w:r>
        <w:rPr>
          <w:rFonts w:ascii="宋体" w:hAnsi="宋体" w:cs="宋体"/>
          <w:sz w:val="24"/>
          <w:szCs w:val="24"/>
        </w:rPr>
        <w:t>4.2合同的分项价格见合同附件（采购文件及投标文件）。</w:t>
      </w:r>
    </w:p>
    <w:p>
      <w:pPr>
        <w:ind w:firstLine="480" w:firstLineChars="200"/>
        <w:rPr>
          <w:rFonts w:ascii="宋体" w:hAnsi="宋体" w:cs="宋体"/>
          <w:sz w:val="24"/>
          <w:szCs w:val="24"/>
        </w:rPr>
      </w:pPr>
      <w:r>
        <w:rPr>
          <w:rFonts w:ascii="宋体" w:hAnsi="宋体" w:cs="宋体"/>
          <w:sz w:val="24"/>
          <w:szCs w:val="24"/>
        </w:rPr>
        <w:t>4.3本合同总价在合同</w:t>
      </w:r>
      <w:r>
        <w:rPr>
          <w:rFonts w:hint="eastAsia" w:ascii="宋体" w:hAnsi="宋体" w:cs="宋体"/>
          <w:sz w:val="24"/>
          <w:szCs w:val="24"/>
        </w:rPr>
        <w:t>履行期</w:t>
      </w:r>
      <w:r>
        <w:rPr>
          <w:rFonts w:ascii="宋体" w:hAnsi="宋体" w:cs="宋体"/>
          <w:sz w:val="24"/>
          <w:szCs w:val="24"/>
        </w:rPr>
        <w:t>内为不变价。</w:t>
      </w:r>
    </w:p>
    <w:p>
      <w:pPr>
        <w:ind w:firstLine="482" w:firstLineChars="200"/>
        <w:rPr>
          <w:rFonts w:ascii="宋体" w:hAnsi="宋体" w:cs="宋体"/>
          <w:b/>
          <w:sz w:val="24"/>
          <w:szCs w:val="24"/>
        </w:rPr>
      </w:pPr>
      <w:r>
        <w:rPr>
          <w:rFonts w:hint="eastAsia" w:ascii="宋体" w:hAnsi="宋体" w:cs="宋体"/>
          <w:b/>
          <w:sz w:val="24"/>
          <w:szCs w:val="24"/>
        </w:rPr>
        <w:t>5、付  款</w:t>
      </w:r>
    </w:p>
    <w:p>
      <w:pPr>
        <w:ind w:firstLine="480" w:firstLineChars="200"/>
        <w:rPr>
          <w:rFonts w:ascii="宋体" w:hAnsi="宋体" w:cs="宋体"/>
          <w:sz w:val="24"/>
          <w:szCs w:val="24"/>
        </w:rPr>
      </w:pPr>
      <w:r>
        <w:rPr>
          <w:rFonts w:ascii="宋体" w:hAnsi="宋体" w:cs="宋体"/>
          <w:sz w:val="24"/>
          <w:szCs w:val="24"/>
        </w:rPr>
        <w:t>5.1本合同使用货币种类为人民币。</w:t>
      </w:r>
    </w:p>
    <w:p>
      <w:pPr>
        <w:ind w:firstLine="480" w:firstLineChars="200"/>
        <w:rPr>
          <w:rFonts w:ascii="宋体" w:hAnsi="宋体" w:cs="宋体"/>
          <w:sz w:val="24"/>
          <w:szCs w:val="24"/>
        </w:rPr>
      </w:pPr>
      <w:r>
        <w:rPr>
          <w:rFonts w:ascii="宋体" w:hAnsi="宋体" w:cs="宋体"/>
          <w:sz w:val="24"/>
          <w:szCs w:val="24"/>
        </w:rPr>
        <w:t>5.2付款方式：银行转账。甲方将本合同有关款项转至乙方以下账户：</w:t>
      </w:r>
    </w:p>
    <w:p>
      <w:pPr>
        <w:ind w:firstLine="480"/>
        <w:rPr>
          <w:rFonts w:hAnsi="宋体" w:cs="宋体"/>
          <w:szCs w:val="24"/>
        </w:rPr>
      </w:pPr>
      <w:r>
        <w:rPr>
          <w:rFonts w:hAnsi="宋体" w:cs="宋体"/>
          <w:szCs w:val="24"/>
        </w:rPr>
        <w:t>账户名称：</w:t>
      </w:r>
      <w:r>
        <w:rPr>
          <w:rFonts w:hint="eastAsia" w:hAnsi="宋体" w:cs="宋体"/>
          <w:szCs w:val="24"/>
        </w:rPr>
        <w:t xml:space="preserve">              </w:t>
      </w:r>
    </w:p>
    <w:p>
      <w:pPr>
        <w:ind w:firstLine="480"/>
        <w:rPr>
          <w:rFonts w:hAnsi="宋体" w:cs="宋体"/>
          <w:szCs w:val="24"/>
        </w:rPr>
      </w:pPr>
      <w:r>
        <w:rPr>
          <w:rFonts w:hAnsi="宋体" w:cs="宋体"/>
          <w:szCs w:val="24"/>
        </w:rPr>
        <w:t>银行账号：</w:t>
      </w:r>
      <w:r>
        <w:rPr>
          <w:rFonts w:hint="eastAsia" w:hAnsi="宋体" w:cs="宋体"/>
          <w:szCs w:val="24"/>
        </w:rPr>
        <w:t xml:space="preserve">            </w:t>
      </w:r>
    </w:p>
    <w:p>
      <w:pPr>
        <w:ind w:firstLine="480"/>
        <w:rPr>
          <w:rFonts w:ascii="宋体" w:hAnsi="宋体" w:cs="宋体"/>
          <w:sz w:val="24"/>
          <w:szCs w:val="24"/>
        </w:rPr>
      </w:pPr>
      <w:r>
        <w:rPr>
          <w:rFonts w:hAnsi="宋体" w:cs="宋体"/>
          <w:szCs w:val="24"/>
        </w:rPr>
        <w:t>开户银行：</w:t>
      </w:r>
    </w:p>
    <w:p>
      <w:pPr>
        <w:ind w:firstLine="480" w:firstLineChars="200"/>
        <w:rPr>
          <w:rFonts w:ascii="宋体" w:hAnsi="宋体" w:cs="宋体"/>
          <w:sz w:val="24"/>
          <w:szCs w:val="24"/>
        </w:rPr>
      </w:pPr>
      <w:r>
        <w:rPr>
          <w:rFonts w:ascii="宋体" w:hAnsi="宋体" w:cs="宋体"/>
          <w:sz w:val="24"/>
          <w:szCs w:val="24"/>
        </w:rPr>
        <w:t>5.3合同价款的支付：</w:t>
      </w:r>
    </w:p>
    <w:p>
      <w:pPr>
        <w:ind w:firstLine="480" w:firstLineChars="200"/>
        <w:rPr>
          <w:rFonts w:ascii="宋体" w:hAnsi="宋体" w:cs="宋体"/>
          <w:sz w:val="24"/>
          <w:szCs w:val="24"/>
          <w:lang w:val="zh-CN" w:bidi="zh-CN"/>
        </w:rPr>
      </w:pPr>
      <w:r>
        <w:rPr>
          <w:rFonts w:ascii="宋体" w:hAnsi="宋体" w:cs="宋体"/>
          <w:sz w:val="24"/>
          <w:szCs w:val="24"/>
          <w:lang w:val="zh-CN" w:bidi="zh-CN"/>
        </w:rPr>
        <w:t>5.3.1.合同签订完后，乙方向甲方提交请款报告及等额增</w:t>
      </w:r>
      <w:r>
        <w:rPr>
          <w:rFonts w:hint="eastAsia" w:ascii="宋体" w:hAnsi="宋体" w:cs="宋体"/>
          <w:sz w:val="24"/>
          <w:szCs w:val="24"/>
          <w:lang w:bidi="zh-CN"/>
        </w:rPr>
        <w:t>值</w:t>
      </w:r>
      <w:r>
        <w:rPr>
          <w:rFonts w:ascii="宋体" w:hAnsi="宋体" w:cs="宋体"/>
          <w:sz w:val="24"/>
          <w:szCs w:val="24"/>
          <w:lang w:val="zh-CN" w:bidi="zh-CN"/>
        </w:rPr>
        <w:t>税专用发票，甲方收到前述材料之日起三十个日历日内向乙方支付至合同总价的20%作为定金；</w:t>
      </w:r>
    </w:p>
    <w:p>
      <w:pPr>
        <w:ind w:firstLine="480" w:firstLineChars="200"/>
        <w:rPr>
          <w:rFonts w:ascii="宋体" w:hAnsi="宋体" w:cs="宋体"/>
          <w:sz w:val="24"/>
          <w:szCs w:val="24"/>
          <w:lang w:val="zh-CN" w:bidi="zh-CN"/>
        </w:rPr>
      </w:pPr>
      <w:r>
        <w:rPr>
          <w:rFonts w:ascii="宋体" w:hAnsi="宋体" w:cs="宋体"/>
          <w:sz w:val="24"/>
          <w:szCs w:val="24"/>
          <w:lang w:val="zh-CN" w:bidi="zh-CN"/>
        </w:rPr>
        <w:t>5.3.2.整体项目设备完成供货后</w:t>
      </w:r>
      <w:r>
        <w:rPr>
          <w:rFonts w:hint="eastAsia" w:ascii="宋体" w:hAnsi="宋体" w:cs="宋体"/>
          <w:sz w:val="24"/>
          <w:szCs w:val="24"/>
          <w:lang w:val="zh-CN" w:bidi="zh-CN"/>
        </w:rPr>
        <w:t>（</w:t>
      </w:r>
      <w:r>
        <w:rPr>
          <w:rFonts w:hint="eastAsia" w:ascii="宋体" w:hAnsi="宋体" w:cs="宋体"/>
          <w:sz w:val="24"/>
          <w:szCs w:val="24"/>
          <w:lang w:bidi="zh-CN"/>
        </w:rPr>
        <w:t>以招标文件验收确认书为准</w:t>
      </w:r>
      <w:r>
        <w:rPr>
          <w:rFonts w:hint="eastAsia" w:ascii="宋体" w:hAnsi="宋体" w:cs="宋体"/>
          <w:sz w:val="24"/>
          <w:szCs w:val="24"/>
          <w:lang w:val="zh-CN" w:bidi="zh-CN"/>
        </w:rPr>
        <w:t>）</w:t>
      </w:r>
      <w:r>
        <w:rPr>
          <w:rFonts w:ascii="宋体" w:hAnsi="宋体" w:cs="宋体"/>
          <w:sz w:val="24"/>
          <w:szCs w:val="24"/>
          <w:lang w:val="zh-CN" w:bidi="zh-CN"/>
        </w:rPr>
        <w:t>，</w:t>
      </w:r>
      <w:r>
        <w:rPr>
          <w:rFonts w:ascii="宋体" w:hAnsi="宋体" w:cs="宋体"/>
          <w:sz w:val="24"/>
          <w:szCs w:val="24"/>
          <w:lang w:bidi="zh-CN"/>
        </w:rPr>
        <w:t>乙方</w:t>
      </w:r>
      <w:r>
        <w:rPr>
          <w:rFonts w:ascii="宋体" w:hAnsi="宋体" w:cs="宋体"/>
          <w:sz w:val="24"/>
          <w:szCs w:val="24"/>
          <w:lang w:val="zh-CN" w:bidi="zh-CN"/>
        </w:rPr>
        <w:t>向</w:t>
      </w:r>
      <w:r>
        <w:rPr>
          <w:rFonts w:ascii="宋体" w:hAnsi="宋体" w:cs="宋体"/>
          <w:sz w:val="24"/>
          <w:szCs w:val="24"/>
          <w:lang w:bidi="zh-CN"/>
        </w:rPr>
        <w:t>甲方</w:t>
      </w:r>
      <w:r>
        <w:rPr>
          <w:rFonts w:ascii="宋体" w:hAnsi="宋体" w:cs="宋体"/>
          <w:sz w:val="24"/>
          <w:szCs w:val="24"/>
          <w:lang w:val="zh-CN" w:bidi="zh-CN"/>
        </w:rPr>
        <w:t>提交请款报告及等额增税专用发票，</w:t>
      </w:r>
      <w:r>
        <w:rPr>
          <w:rFonts w:ascii="宋体" w:hAnsi="宋体" w:cs="宋体"/>
          <w:sz w:val="24"/>
          <w:szCs w:val="24"/>
          <w:lang w:bidi="zh-CN"/>
        </w:rPr>
        <w:t>甲方</w:t>
      </w:r>
      <w:r>
        <w:rPr>
          <w:rFonts w:ascii="宋体" w:hAnsi="宋体" w:cs="宋体"/>
          <w:sz w:val="24"/>
          <w:szCs w:val="24"/>
          <w:lang w:val="zh-CN" w:bidi="zh-CN"/>
        </w:rPr>
        <w:t>收到前述材料之日起三十个日历日内向</w:t>
      </w:r>
      <w:r>
        <w:rPr>
          <w:rFonts w:ascii="宋体" w:hAnsi="宋体" w:cs="宋体"/>
          <w:sz w:val="24"/>
          <w:szCs w:val="24"/>
          <w:lang w:bidi="zh-CN"/>
        </w:rPr>
        <w:t>乙方</w:t>
      </w:r>
      <w:r>
        <w:rPr>
          <w:rFonts w:ascii="宋体" w:hAnsi="宋体" w:cs="宋体"/>
          <w:sz w:val="24"/>
          <w:szCs w:val="24"/>
          <w:lang w:val="zh-CN" w:bidi="zh-CN"/>
        </w:rPr>
        <w:t>支付至合同总价的70%；</w:t>
      </w:r>
    </w:p>
    <w:p>
      <w:pPr>
        <w:ind w:firstLine="480" w:firstLineChars="200"/>
        <w:rPr>
          <w:rFonts w:ascii="宋体" w:hAnsi="宋体" w:cs="宋体"/>
          <w:sz w:val="24"/>
          <w:szCs w:val="24"/>
          <w:lang w:val="zh-CN" w:bidi="zh-CN"/>
        </w:rPr>
      </w:pPr>
      <w:r>
        <w:rPr>
          <w:rFonts w:ascii="宋体" w:hAnsi="宋体" w:cs="宋体"/>
          <w:sz w:val="24"/>
          <w:szCs w:val="24"/>
          <w:lang w:val="zh-CN" w:bidi="zh-CN"/>
        </w:rPr>
        <w:t>5.3.3.</w:t>
      </w:r>
      <w:r>
        <w:rPr>
          <w:rFonts w:hAnsi="宋体" w:cs="宋体"/>
        </w:rPr>
        <w:t xml:space="preserve"> </w:t>
      </w:r>
      <w:r>
        <w:rPr>
          <w:rFonts w:ascii="宋体" w:hAnsi="宋体" w:cs="宋体"/>
          <w:sz w:val="24"/>
          <w:szCs w:val="24"/>
          <w:lang w:bidi="zh-CN"/>
        </w:rPr>
        <w:t>本合同项下按照国家有关法律的规定，需要到车管所上牌的作业车辆，在完成上牌后，且乙方已对该部分车辆完成GPS车载卫星定位终端、右侧盲区雷达监测及倒车后视系统的配备后，</w:t>
      </w:r>
      <w:r>
        <w:rPr>
          <w:rFonts w:hint="eastAsia" w:ascii="宋体" w:hAnsi="宋体" w:cs="宋体"/>
          <w:sz w:val="24"/>
          <w:szCs w:val="24"/>
          <w:lang w:bidi="zh-CN"/>
        </w:rPr>
        <w:t>乙方向甲方提交请款报告及等额增值税专用发票，</w:t>
      </w:r>
      <w:r>
        <w:rPr>
          <w:rFonts w:ascii="宋体" w:hAnsi="宋体" w:cs="宋体"/>
          <w:sz w:val="24"/>
          <w:szCs w:val="24"/>
          <w:lang w:bidi="zh-CN"/>
        </w:rPr>
        <w:t>甲方</w:t>
      </w:r>
      <w:r>
        <w:rPr>
          <w:rFonts w:ascii="宋体" w:hAnsi="宋体" w:cs="宋体"/>
          <w:sz w:val="24"/>
          <w:szCs w:val="24"/>
          <w:lang w:val="zh-CN" w:bidi="zh-CN"/>
        </w:rPr>
        <w:t>收到前述材料之日起三十个日历日内向</w:t>
      </w:r>
      <w:r>
        <w:rPr>
          <w:rFonts w:ascii="宋体" w:hAnsi="宋体" w:cs="宋体"/>
          <w:sz w:val="24"/>
          <w:szCs w:val="24"/>
          <w:lang w:bidi="zh-CN"/>
        </w:rPr>
        <w:t>乙方</w:t>
      </w:r>
      <w:r>
        <w:rPr>
          <w:rFonts w:ascii="宋体" w:hAnsi="宋体" w:cs="宋体"/>
          <w:sz w:val="24"/>
          <w:szCs w:val="24"/>
          <w:lang w:val="zh-CN" w:bidi="zh-CN"/>
        </w:rPr>
        <w:t>支付至结算总价的95%；</w:t>
      </w:r>
    </w:p>
    <w:p>
      <w:pPr>
        <w:ind w:firstLine="480" w:firstLineChars="200"/>
        <w:outlineLvl w:val="1"/>
        <w:rPr>
          <w:rFonts w:ascii="宋体" w:hAnsi="宋体" w:cs="宋体"/>
          <w:sz w:val="24"/>
          <w:szCs w:val="24"/>
          <w:lang w:val="zh-CN" w:bidi="zh-CN"/>
        </w:rPr>
      </w:pPr>
      <w:r>
        <w:rPr>
          <w:rFonts w:ascii="宋体" w:hAnsi="宋体" w:cs="宋体"/>
          <w:sz w:val="24"/>
          <w:szCs w:val="24"/>
          <w:lang w:val="zh-CN" w:bidi="zh-CN"/>
        </w:rPr>
        <w:t>5.3.4.剩余结算总价的5%为质保金，质保期满后，若</w:t>
      </w:r>
      <w:r>
        <w:rPr>
          <w:rFonts w:ascii="宋体" w:hAnsi="宋体" w:cs="宋体"/>
          <w:sz w:val="24"/>
          <w:szCs w:val="24"/>
          <w:lang w:bidi="zh-CN"/>
        </w:rPr>
        <w:t>乙方</w:t>
      </w:r>
      <w:r>
        <w:rPr>
          <w:rFonts w:ascii="宋体" w:hAnsi="宋体" w:cs="宋体"/>
          <w:sz w:val="24"/>
          <w:szCs w:val="24"/>
          <w:lang w:val="zh-CN" w:bidi="zh-CN"/>
        </w:rPr>
        <w:t>不存在任何违约情形的，则由</w:t>
      </w:r>
      <w:r>
        <w:rPr>
          <w:rFonts w:ascii="宋体" w:hAnsi="宋体" w:cs="宋体"/>
          <w:sz w:val="24"/>
          <w:szCs w:val="24"/>
          <w:lang w:bidi="zh-CN"/>
        </w:rPr>
        <w:t>乙方</w:t>
      </w:r>
      <w:r>
        <w:rPr>
          <w:rFonts w:ascii="宋体" w:hAnsi="宋体" w:cs="宋体"/>
          <w:sz w:val="24"/>
          <w:szCs w:val="24"/>
          <w:lang w:val="zh-CN" w:bidi="zh-CN"/>
        </w:rPr>
        <w:t>提交请款资料，</w:t>
      </w:r>
      <w:r>
        <w:rPr>
          <w:rFonts w:ascii="宋体" w:hAnsi="宋体" w:cs="宋体"/>
          <w:sz w:val="24"/>
          <w:szCs w:val="24"/>
          <w:lang w:bidi="zh-CN"/>
        </w:rPr>
        <w:t>甲方</w:t>
      </w:r>
      <w:r>
        <w:rPr>
          <w:rFonts w:ascii="宋体" w:hAnsi="宋体" w:cs="宋体"/>
          <w:sz w:val="24"/>
          <w:szCs w:val="24"/>
          <w:lang w:val="zh-CN" w:bidi="zh-CN"/>
        </w:rPr>
        <w:t>在收到请款资料核验无误之日起三十个日历日内一次性无息支付；质保期间，若</w:t>
      </w:r>
      <w:r>
        <w:rPr>
          <w:rFonts w:ascii="宋体" w:hAnsi="宋体" w:cs="宋体"/>
          <w:sz w:val="24"/>
          <w:szCs w:val="24"/>
          <w:lang w:bidi="zh-CN"/>
        </w:rPr>
        <w:t>乙方</w:t>
      </w:r>
      <w:r>
        <w:rPr>
          <w:rFonts w:ascii="宋体" w:hAnsi="宋体" w:cs="宋体"/>
          <w:sz w:val="24"/>
          <w:szCs w:val="24"/>
          <w:lang w:val="zh-CN" w:bidi="zh-CN"/>
        </w:rPr>
        <w:t>存在任何违约情形的，质保金</w:t>
      </w:r>
      <w:r>
        <w:rPr>
          <w:rFonts w:ascii="宋体" w:hAnsi="宋体" w:cs="宋体"/>
          <w:sz w:val="24"/>
          <w:szCs w:val="24"/>
          <w:lang w:bidi="zh-CN"/>
        </w:rPr>
        <w:t>甲方</w:t>
      </w:r>
      <w:r>
        <w:rPr>
          <w:rFonts w:ascii="宋体" w:hAnsi="宋体" w:cs="宋体"/>
          <w:sz w:val="24"/>
          <w:szCs w:val="24"/>
          <w:lang w:val="zh-CN" w:bidi="zh-CN"/>
        </w:rPr>
        <w:t>不予退还；</w:t>
      </w:r>
    </w:p>
    <w:p>
      <w:pPr>
        <w:ind w:firstLine="480"/>
        <w:rPr>
          <w:rFonts w:hAnsi="宋体" w:cs="宋体"/>
          <w:szCs w:val="24"/>
        </w:rPr>
      </w:pPr>
      <w:r>
        <w:rPr>
          <w:rFonts w:hAnsi="宋体" w:cs="宋体"/>
          <w:szCs w:val="24"/>
        </w:rPr>
        <w:t>5.3.5.</w:t>
      </w:r>
      <w:r>
        <w:rPr>
          <w:rFonts w:ascii="宋体" w:hAnsi="宋体" w:cs="宋体"/>
          <w:sz w:val="24"/>
          <w:szCs w:val="24"/>
          <w:lang w:val="zh-CN" w:bidi="zh-CN"/>
        </w:rPr>
        <w:t>乙方请款前需向甲方提供请款材料和开具合法有效等额的增值税专用发票，否则甲方有权拒绝付款。</w:t>
      </w:r>
    </w:p>
    <w:p>
      <w:pPr>
        <w:ind w:firstLine="482" w:firstLineChars="200"/>
        <w:rPr>
          <w:rFonts w:ascii="宋体" w:hAnsi="宋体" w:cs="宋体"/>
          <w:b/>
          <w:sz w:val="24"/>
          <w:szCs w:val="24"/>
        </w:rPr>
      </w:pPr>
      <w:r>
        <w:rPr>
          <w:rFonts w:hint="eastAsia" w:ascii="宋体" w:hAnsi="宋体" w:cs="宋体"/>
          <w:b/>
          <w:sz w:val="24"/>
          <w:szCs w:val="24"/>
        </w:rPr>
        <w:t>6、交货和运输</w:t>
      </w:r>
    </w:p>
    <w:p>
      <w:pPr>
        <w:ind w:firstLine="480" w:firstLineChars="200"/>
        <w:rPr>
          <w:rFonts w:ascii="宋体" w:hAnsi="宋体" w:cs="宋体"/>
          <w:sz w:val="24"/>
          <w:szCs w:val="24"/>
        </w:rPr>
      </w:pPr>
      <w:r>
        <w:rPr>
          <w:rFonts w:hint="eastAsia" w:ascii="宋体" w:hAnsi="宋体" w:cs="宋体"/>
          <w:sz w:val="24"/>
          <w:szCs w:val="24"/>
        </w:rPr>
        <w:t>6.1本合同设备的交货期应满足6.1.1的要求，应保证供货及时性。</w:t>
      </w:r>
    </w:p>
    <w:p>
      <w:pPr>
        <w:ind w:firstLine="480" w:firstLineChars="200"/>
        <w:rPr>
          <w:rFonts w:ascii="宋体" w:hAnsi="宋体" w:cs="宋体"/>
          <w:sz w:val="24"/>
          <w:szCs w:val="24"/>
        </w:rPr>
      </w:pPr>
      <w:r>
        <w:rPr>
          <w:rFonts w:hint="eastAsia" w:ascii="宋体" w:hAnsi="宋体" w:cs="宋体"/>
          <w:sz w:val="24"/>
          <w:szCs w:val="24"/>
        </w:rPr>
        <w:t>6.1.1交货期限：收到中标通知书后10天内完成供货并由甲方检查验收，包括但不限于随车配套工具、用车说明书、备胎等，甲方验收无误后双方签订验收确认书。</w:t>
      </w:r>
    </w:p>
    <w:p>
      <w:pPr>
        <w:ind w:firstLine="480" w:firstLineChars="200"/>
        <w:rPr>
          <w:rFonts w:ascii="宋体" w:hAnsi="宋体" w:cs="宋体"/>
          <w:sz w:val="24"/>
          <w:szCs w:val="24"/>
        </w:rPr>
      </w:pPr>
      <w:r>
        <w:rPr>
          <w:rFonts w:hint="eastAsia" w:ascii="宋体" w:hAnsi="宋体" w:cs="宋体"/>
          <w:sz w:val="24"/>
          <w:szCs w:val="24"/>
        </w:rPr>
        <w:t>6.1.2确保供货进度</w:t>
      </w:r>
    </w:p>
    <w:p>
      <w:pPr>
        <w:ind w:firstLine="480" w:firstLineChars="200"/>
        <w:rPr>
          <w:rFonts w:ascii="宋体" w:hAnsi="宋体" w:cs="宋体"/>
          <w:sz w:val="24"/>
          <w:szCs w:val="24"/>
        </w:rPr>
      </w:pPr>
      <w:r>
        <w:rPr>
          <w:rFonts w:hint="eastAsia" w:ascii="宋体" w:hAnsi="宋体" w:cs="宋体"/>
          <w:sz w:val="24"/>
          <w:szCs w:val="24"/>
        </w:rPr>
        <w:t>在乙方无任何理由要求延长供货的情况下，经甲方评估，按照当时的供货进度，大概率不能按合同预定的供货期限完工时，则甲方可将此情况通知乙方，而乙方应据此采取甲方同意的必要措施，以加快供货进度，使设备能在预定的供货期内完成。乙方无权就采取这些步骤要求甲方支付任何费用。</w:t>
      </w:r>
    </w:p>
    <w:p>
      <w:pPr>
        <w:ind w:firstLine="480" w:firstLineChars="200"/>
        <w:rPr>
          <w:rFonts w:ascii="宋体" w:hAnsi="宋体" w:cs="宋体"/>
          <w:sz w:val="24"/>
          <w:szCs w:val="24"/>
        </w:rPr>
      </w:pPr>
      <w:r>
        <w:rPr>
          <w:rFonts w:hint="eastAsia" w:ascii="宋体" w:hAnsi="宋体" w:cs="宋体"/>
          <w:sz w:val="24"/>
          <w:szCs w:val="24"/>
        </w:rPr>
        <w:t>6.2</w:t>
      </w:r>
      <w:r>
        <w:rPr>
          <w:rFonts w:hint="eastAsia" w:ascii="宋体" w:hAnsi="宋体" w:cs="宋体"/>
          <w:sz w:val="24"/>
          <w:szCs w:val="24"/>
          <w:highlight w:val="none"/>
        </w:rPr>
        <w:t>交货地点：甲方指定地址：</w:t>
      </w:r>
      <w:r>
        <w:rPr>
          <w:rFonts w:ascii="宋体" w:hAnsi="宋体" w:cs="宋体"/>
          <w:sz w:val="24"/>
          <w:szCs w:val="24"/>
          <w:highlight w:val="none"/>
          <w:u w:val="single"/>
        </w:rPr>
        <w:t xml:space="preserve">               </w:t>
      </w:r>
      <w:r>
        <w:rPr>
          <w:rFonts w:ascii="宋体" w:hAnsi="宋体" w:cs="宋体"/>
          <w:sz w:val="24"/>
          <w:szCs w:val="24"/>
        </w:rPr>
        <w:t xml:space="preserve"> </w:t>
      </w:r>
      <w:r>
        <w:rPr>
          <w:rFonts w:hint="eastAsia" w:ascii="宋体" w:hAnsi="宋体" w:cs="宋体"/>
          <w:sz w:val="24"/>
          <w:szCs w:val="24"/>
        </w:rPr>
        <w:t>。</w:t>
      </w:r>
    </w:p>
    <w:p>
      <w:pPr>
        <w:ind w:firstLine="480" w:firstLineChars="200"/>
        <w:rPr>
          <w:rFonts w:ascii="宋体" w:hAnsi="宋体" w:cs="宋体"/>
          <w:sz w:val="24"/>
          <w:szCs w:val="24"/>
        </w:rPr>
      </w:pPr>
      <w:r>
        <w:rPr>
          <w:rFonts w:hint="eastAsia" w:ascii="宋体" w:hAnsi="宋体" w:cs="宋体"/>
          <w:sz w:val="24"/>
          <w:szCs w:val="24"/>
        </w:rPr>
        <w:t>6.3在中标通知书发出</w:t>
      </w:r>
      <w:r>
        <w:rPr>
          <w:rFonts w:ascii="宋体" w:hAnsi="宋体" w:cs="宋体"/>
          <w:sz w:val="24"/>
          <w:szCs w:val="24"/>
        </w:rPr>
        <w:t>2</w:t>
      </w:r>
      <w:r>
        <w:rPr>
          <w:rFonts w:hint="eastAsia" w:ascii="宋体" w:hAnsi="宋体" w:cs="宋体"/>
          <w:sz w:val="24"/>
          <w:szCs w:val="24"/>
        </w:rPr>
        <w:t>天内乙方应按照本合同附件的规定向甲方提供每批货物名称、总重量、总体积和交货日期的初步交货计划及本合同项下的货物总清单和装箱总清单，甲方有权根据招投标文件和项目实际情况予以确认或要求乙方调整，甲方确认后作为合同履行依据。在每批货物预计启运</w:t>
      </w:r>
      <w:r>
        <w:rPr>
          <w:rFonts w:ascii="宋体" w:hAnsi="宋体" w:cs="宋体"/>
          <w:sz w:val="24"/>
          <w:szCs w:val="24"/>
        </w:rPr>
        <w:t>1</w:t>
      </w:r>
      <w:r>
        <w:rPr>
          <w:rFonts w:hint="eastAsia" w:ascii="宋体" w:hAnsi="宋体" w:cs="宋体"/>
          <w:sz w:val="24"/>
          <w:szCs w:val="24"/>
        </w:rPr>
        <w:t>天前，乙方应以邮件或传真将合同约定的各项内容通知甲方。</w:t>
      </w:r>
    </w:p>
    <w:p>
      <w:pPr>
        <w:ind w:firstLine="480" w:firstLineChars="200"/>
        <w:rPr>
          <w:rFonts w:ascii="宋体" w:hAnsi="宋体" w:cs="宋体"/>
          <w:sz w:val="24"/>
          <w:szCs w:val="24"/>
        </w:rPr>
      </w:pPr>
      <w:r>
        <w:rPr>
          <w:rFonts w:hint="eastAsia" w:ascii="宋体" w:hAnsi="宋体" w:cs="宋体"/>
          <w:sz w:val="24"/>
          <w:szCs w:val="24"/>
        </w:rPr>
        <w:t>6.4每批合同设备交货日期以甲方签收单（</w:t>
      </w:r>
      <w:r>
        <w:rPr>
          <w:rFonts w:hint="eastAsia" w:hAnsi="宋体" w:cs="宋体"/>
          <w:sz w:val="24"/>
          <w:szCs w:val="24"/>
        </w:rPr>
        <w:t>甲方技术主管</w:t>
      </w:r>
      <w:r>
        <w:rPr>
          <w:rFonts w:hint="eastAsia" w:ascii="宋体" w:hAnsi="宋体" w:cs="宋体"/>
          <w:sz w:val="24"/>
          <w:szCs w:val="24"/>
        </w:rPr>
        <w:t>及项目负责人签字）为准。此日期即本合同11.10款计算迟交货物违约金时的根据。</w:t>
      </w:r>
    </w:p>
    <w:p>
      <w:pPr>
        <w:ind w:firstLine="480" w:firstLineChars="200"/>
        <w:rPr>
          <w:rFonts w:ascii="宋体" w:hAnsi="宋体" w:cs="宋体"/>
          <w:sz w:val="24"/>
          <w:szCs w:val="24"/>
        </w:rPr>
      </w:pPr>
      <w:r>
        <w:rPr>
          <w:rFonts w:hint="eastAsia" w:ascii="宋体" w:hAnsi="宋体" w:cs="宋体"/>
          <w:sz w:val="24"/>
          <w:szCs w:val="24"/>
        </w:rPr>
        <w:t>6.5乙方负责合同设备从乙方到现场交货地点的运输。</w:t>
      </w:r>
    </w:p>
    <w:p>
      <w:pPr>
        <w:ind w:firstLine="480" w:firstLineChars="200"/>
        <w:rPr>
          <w:rFonts w:ascii="宋体" w:hAnsi="宋体" w:cs="宋体"/>
          <w:sz w:val="24"/>
          <w:szCs w:val="24"/>
        </w:rPr>
      </w:pPr>
      <w:r>
        <w:rPr>
          <w:rFonts w:hint="eastAsia" w:ascii="宋体" w:hAnsi="宋体" w:cs="宋体"/>
          <w:sz w:val="24"/>
          <w:szCs w:val="24"/>
        </w:rPr>
        <w:t>6.6在每批货物备妥及装运车辆／船发出24小时内，乙方应以邮件或传真将该批货物的如下内容通知甲方。</w:t>
      </w:r>
    </w:p>
    <w:p>
      <w:pPr>
        <w:ind w:firstLine="480" w:firstLineChars="200"/>
        <w:rPr>
          <w:rFonts w:ascii="宋体" w:hAnsi="宋体" w:cs="宋体"/>
          <w:sz w:val="24"/>
          <w:szCs w:val="24"/>
        </w:rPr>
      </w:pPr>
      <w:r>
        <w:rPr>
          <w:rFonts w:hint="eastAsia" w:ascii="宋体" w:hAnsi="宋体" w:cs="宋体"/>
          <w:sz w:val="24"/>
          <w:szCs w:val="24"/>
        </w:rPr>
        <w:t xml:space="preserve">    （l）合同号:</w:t>
      </w:r>
    </w:p>
    <w:p>
      <w:pPr>
        <w:ind w:firstLine="480" w:firstLineChars="200"/>
        <w:rPr>
          <w:rFonts w:ascii="宋体" w:hAnsi="宋体" w:cs="宋体"/>
          <w:sz w:val="24"/>
          <w:szCs w:val="24"/>
        </w:rPr>
      </w:pPr>
      <w:r>
        <w:rPr>
          <w:rFonts w:hint="eastAsia" w:ascii="宋体" w:hAnsi="宋体" w:cs="宋体"/>
          <w:sz w:val="24"/>
          <w:szCs w:val="24"/>
        </w:rPr>
        <w:t xml:space="preserve">    （2）设备号:</w:t>
      </w:r>
    </w:p>
    <w:p>
      <w:pPr>
        <w:ind w:firstLine="480" w:firstLineChars="200"/>
        <w:rPr>
          <w:rFonts w:ascii="宋体" w:hAnsi="宋体" w:cs="宋体"/>
          <w:sz w:val="24"/>
          <w:szCs w:val="24"/>
        </w:rPr>
      </w:pPr>
      <w:r>
        <w:rPr>
          <w:rFonts w:hint="eastAsia" w:ascii="宋体" w:hAnsi="宋体" w:cs="宋体"/>
          <w:sz w:val="24"/>
          <w:szCs w:val="24"/>
        </w:rPr>
        <w:t xml:space="preserve">    （3）货物备妥发运日:</w:t>
      </w:r>
    </w:p>
    <w:p>
      <w:pPr>
        <w:ind w:firstLine="480" w:firstLineChars="200"/>
        <w:rPr>
          <w:rFonts w:ascii="宋体" w:hAnsi="宋体" w:cs="宋体"/>
          <w:sz w:val="24"/>
          <w:szCs w:val="24"/>
        </w:rPr>
      </w:pPr>
      <w:r>
        <w:rPr>
          <w:rFonts w:hint="eastAsia" w:ascii="宋体" w:hAnsi="宋体" w:cs="宋体"/>
          <w:sz w:val="24"/>
          <w:szCs w:val="24"/>
        </w:rPr>
        <w:t xml:space="preserve">    （4）货物名称及编号和价格:</w:t>
      </w:r>
    </w:p>
    <w:p>
      <w:pPr>
        <w:ind w:firstLine="480" w:firstLineChars="200"/>
        <w:rPr>
          <w:rFonts w:ascii="宋体" w:hAnsi="宋体" w:cs="宋体"/>
          <w:sz w:val="24"/>
          <w:szCs w:val="24"/>
        </w:rPr>
      </w:pPr>
      <w:r>
        <w:rPr>
          <w:rFonts w:hint="eastAsia" w:ascii="宋体" w:hAnsi="宋体" w:cs="宋体"/>
          <w:sz w:val="24"/>
          <w:szCs w:val="24"/>
        </w:rPr>
        <w:t xml:space="preserve">    （5）货物总毛重:</w:t>
      </w:r>
    </w:p>
    <w:p>
      <w:pPr>
        <w:ind w:firstLine="480" w:firstLineChars="200"/>
        <w:rPr>
          <w:rFonts w:ascii="宋体" w:hAnsi="宋体" w:cs="宋体"/>
          <w:sz w:val="24"/>
          <w:szCs w:val="24"/>
        </w:rPr>
      </w:pPr>
      <w:r>
        <w:rPr>
          <w:rFonts w:hint="eastAsia" w:ascii="宋体" w:hAnsi="宋体" w:cs="宋体"/>
          <w:sz w:val="24"/>
          <w:szCs w:val="24"/>
        </w:rPr>
        <w:t xml:space="preserve">    （7）货物总体积:</w:t>
      </w:r>
    </w:p>
    <w:p>
      <w:pPr>
        <w:ind w:firstLine="480" w:firstLineChars="200"/>
        <w:rPr>
          <w:rFonts w:ascii="宋体" w:hAnsi="宋体" w:cs="宋体"/>
          <w:sz w:val="24"/>
          <w:szCs w:val="24"/>
        </w:rPr>
      </w:pPr>
      <w:r>
        <w:rPr>
          <w:rFonts w:hint="eastAsia" w:ascii="宋体" w:hAnsi="宋体" w:cs="宋体"/>
          <w:sz w:val="24"/>
          <w:szCs w:val="24"/>
        </w:rPr>
        <w:t xml:space="preserve">    （7）总包装件数:</w:t>
      </w:r>
    </w:p>
    <w:p>
      <w:pPr>
        <w:ind w:firstLine="480" w:firstLineChars="200"/>
        <w:rPr>
          <w:rFonts w:ascii="宋体" w:hAnsi="宋体" w:cs="宋体"/>
          <w:sz w:val="24"/>
          <w:szCs w:val="24"/>
        </w:rPr>
      </w:pPr>
      <w:r>
        <w:rPr>
          <w:rFonts w:hint="eastAsia" w:ascii="宋体" w:hAnsi="宋体" w:cs="宋体"/>
          <w:sz w:val="24"/>
          <w:szCs w:val="24"/>
        </w:rPr>
        <w:t xml:space="preserve">    （8）交运车站／码头名称、车号／船号和运单号:</w:t>
      </w:r>
    </w:p>
    <w:p>
      <w:pPr>
        <w:ind w:firstLine="480" w:firstLineChars="200"/>
        <w:rPr>
          <w:rFonts w:ascii="宋体" w:hAnsi="宋体" w:cs="宋体"/>
          <w:sz w:val="24"/>
          <w:szCs w:val="24"/>
        </w:rPr>
      </w:pPr>
      <w:r>
        <w:rPr>
          <w:rFonts w:hint="eastAsia" w:ascii="宋体" w:hAnsi="宋体" w:cs="宋体"/>
          <w:sz w:val="24"/>
          <w:szCs w:val="24"/>
        </w:rPr>
        <w:t xml:space="preserve">    （9）重量超过十吨或尺寸超过 9米× 3米× 3米的每件货物的名称、重量、体积和件数。对每件该类设备（部件）必须标明重心和吊点位置，并附有草图。</w:t>
      </w:r>
    </w:p>
    <w:p>
      <w:pPr>
        <w:ind w:firstLine="480" w:firstLineChars="200"/>
        <w:rPr>
          <w:rFonts w:ascii="宋体" w:hAnsi="宋体" w:cs="宋体"/>
          <w:sz w:val="24"/>
          <w:szCs w:val="24"/>
        </w:rPr>
      </w:pPr>
      <w:r>
        <w:rPr>
          <w:rFonts w:hint="eastAsia" w:ascii="宋体" w:hAnsi="宋体" w:cs="宋体"/>
          <w:sz w:val="24"/>
          <w:szCs w:val="24"/>
        </w:rPr>
        <w:t xml:space="preserve">    （10）对于特殊物品（易燃、易爆、有毒物品及其它危险品和运输过程中对温度等环境因素和震动有特殊要求的设备或物品）必须特别标明其品名、性质、特殊保护措施、保存方法以及处理意外情况的方法。</w:t>
      </w:r>
    </w:p>
    <w:p>
      <w:pPr>
        <w:ind w:firstLine="480" w:firstLineChars="200"/>
        <w:rPr>
          <w:rFonts w:ascii="宋体" w:hAnsi="宋体" w:cs="宋体"/>
          <w:sz w:val="24"/>
          <w:szCs w:val="24"/>
        </w:rPr>
      </w:pPr>
      <w:r>
        <w:rPr>
          <w:rFonts w:hint="eastAsia" w:ascii="宋体" w:hAnsi="宋体" w:cs="宋体"/>
          <w:sz w:val="24"/>
          <w:szCs w:val="24"/>
        </w:rPr>
        <w:t>6.7招投标文件中没有开列的货物应根据甲方的要求进度进行交货。</w:t>
      </w:r>
    </w:p>
    <w:p>
      <w:pPr>
        <w:ind w:firstLine="480" w:firstLineChars="200"/>
        <w:rPr>
          <w:rFonts w:ascii="宋体" w:hAnsi="宋体" w:cs="宋体"/>
          <w:sz w:val="24"/>
          <w:szCs w:val="24"/>
        </w:rPr>
      </w:pPr>
      <w:r>
        <w:rPr>
          <w:rFonts w:hint="eastAsia" w:ascii="宋体" w:hAnsi="宋体" w:cs="宋体"/>
          <w:sz w:val="24"/>
          <w:szCs w:val="24"/>
        </w:rPr>
        <w:t>6.8在质保期内和在质保期满后至第一次大修时由于乙方的原因造成的供应设备（或部件）的损坏或潜在缺陷，而动用了甲方库存中的备品备件以调换损坏的设备或部件，则乙方应负责免费将动用的备品备件补齐，最迟不得超过发生之日起15天，由乙方运到甲方指定地点，因此给甲方造成损失的，所产生的费用由乙方承担。</w:t>
      </w:r>
    </w:p>
    <w:p>
      <w:pPr>
        <w:ind w:firstLine="480" w:firstLineChars="200"/>
        <w:rPr>
          <w:rFonts w:ascii="宋体" w:hAnsi="宋体" w:cs="宋体"/>
          <w:sz w:val="24"/>
          <w:szCs w:val="24"/>
        </w:rPr>
      </w:pPr>
      <w:r>
        <w:rPr>
          <w:rFonts w:hint="eastAsia" w:ascii="宋体" w:hAnsi="宋体" w:cs="宋体"/>
          <w:sz w:val="24"/>
          <w:szCs w:val="24"/>
        </w:rPr>
        <w:t>6.9乙方应按本合同及附件中相关规定，向甲方提供满足甲方采购文件中包括配置安装、检验、培训、运行和维修保养所需的技术资料。乙方应分别列出上述技术资料的清单及符合合同及附件中相关规定的交付进度并经甲方同意。</w:t>
      </w:r>
    </w:p>
    <w:p>
      <w:pPr>
        <w:ind w:firstLine="480" w:firstLineChars="200"/>
        <w:rPr>
          <w:rFonts w:ascii="宋体" w:hAnsi="宋体" w:cs="宋体"/>
          <w:sz w:val="24"/>
          <w:szCs w:val="24"/>
        </w:rPr>
      </w:pPr>
      <w:r>
        <w:rPr>
          <w:rFonts w:hint="eastAsia" w:ascii="宋体" w:hAnsi="宋体" w:cs="宋体"/>
          <w:sz w:val="24"/>
          <w:szCs w:val="24"/>
        </w:rPr>
        <w:t>6.10技术资料一般以当面交付或邮寄方式递交，每批技术资料交邮后，乙方应在24小时内将技术资料的交邮日期、邮单号、技术资料的详细清单、件数及重量、合同号等以传真或邮件通知甲方。</w:t>
      </w:r>
    </w:p>
    <w:p>
      <w:pPr>
        <w:ind w:firstLine="480" w:firstLineChars="200"/>
        <w:rPr>
          <w:rFonts w:ascii="宋体" w:hAnsi="宋体" w:cs="宋体"/>
          <w:sz w:val="24"/>
          <w:szCs w:val="24"/>
        </w:rPr>
      </w:pPr>
      <w:r>
        <w:rPr>
          <w:rFonts w:hint="eastAsia" w:ascii="宋体" w:hAnsi="宋体" w:cs="宋体"/>
          <w:sz w:val="24"/>
          <w:szCs w:val="24"/>
        </w:rPr>
        <w:t>6.11技术资料以邮政部门提货通知单戳记时间或甲方有关人员签字时间为技术资料的实际交付日期。此日期将作为对任何延期交付资料进行延期违约金计算的依据。如果技术资料经甲方或甲方代表检查后发现有缺少、丢失或损坏，且非甲方原因，乙方应在收到甲方通知后三天内（对急用者应在一天内）免费向现场补充提供缺少、丢失或损坏的部分。如因甲方原因发生缺少、丢失或损坏，乙方应在接到甲方通知后五天内（对急用者应在两天内），向现场补充提供缺少、丢失或损坏部分，费用由甲方承担。</w:t>
      </w:r>
    </w:p>
    <w:p>
      <w:pPr>
        <w:ind w:firstLine="480" w:firstLineChars="200"/>
        <w:rPr>
          <w:rFonts w:ascii="宋体" w:hAnsi="宋体" w:cs="宋体"/>
          <w:sz w:val="24"/>
          <w:szCs w:val="24"/>
        </w:rPr>
      </w:pPr>
      <w:r>
        <w:rPr>
          <w:rFonts w:hint="eastAsia" w:ascii="宋体" w:hAnsi="宋体" w:cs="宋体"/>
          <w:sz w:val="24"/>
          <w:szCs w:val="24"/>
        </w:rPr>
        <w:t>6.12甲方可派遣代表到乙方工厂及装货车站检查包装质量和监督装车情况。乙方应在发货前提前五天通知甲方交运日期。如果甲方代表不参加或不能及时参加检验时，乙方有权发货。上述甲方代表的检查与监督不构成乙方对设备质量保证的任何减免。</w:t>
      </w:r>
    </w:p>
    <w:p>
      <w:pPr>
        <w:ind w:firstLine="480" w:firstLineChars="200"/>
        <w:rPr>
          <w:rFonts w:ascii="宋体" w:hAnsi="宋体" w:cs="宋体"/>
          <w:sz w:val="24"/>
          <w:szCs w:val="24"/>
        </w:rPr>
      </w:pPr>
      <w:r>
        <w:rPr>
          <w:rFonts w:hint="eastAsia" w:ascii="宋体" w:hAnsi="宋体" w:cs="宋体"/>
          <w:sz w:val="24"/>
          <w:szCs w:val="24"/>
        </w:rPr>
        <w:t>6.1</w:t>
      </w:r>
      <w:r>
        <w:rPr>
          <w:rFonts w:ascii="宋体" w:hAnsi="宋体" w:cs="宋体"/>
          <w:sz w:val="24"/>
          <w:szCs w:val="24"/>
        </w:rPr>
        <w:t>3</w:t>
      </w:r>
      <w:r>
        <w:rPr>
          <w:rFonts w:hint="eastAsia" w:ascii="宋体" w:hAnsi="宋体" w:cs="宋体"/>
          <w:sz w:val="24"/>
          <w:szCs w:val="24"/>
        </w:rPr>
        <w:t>收货单位：东莞市东实城市环境服务有限公司</w:t>
      </w:r>
    </w:p>
    <w:p>
      <w:pPr>
        <w:ind w:firstLine="480" w:firstLineChars="200"/>
        <w:rPr>
          <w:rFonts w:ascii="宋体" w:hAnsi="宋体" w:cs="宋体"/>
          <w:sz w:val="24"/>
          <w:szCs w:val="24"/>
        </w:rPr>
      </w:pPr>
      <w:r>
        <w:rPr>
          <w:rFonts w:hint="eastAsia" w:ascii="宋体" w:hAnsi="宋体" w:cs="宋体"/>
          <w:sz w:val="24"/>
          <w:szCs w:val="24"/>
        </w:rPr>
        <w:t>6.1</w:t>
      </w:r>
      <w:r>
        <w:rPr>
          <w:rFonts w:ascii="宋体" w:hAnsi="宋体" w:cs="宋体"/>
          <w:sz w:val="24"/>
          <w:szCs w:val="24"/>
        </w:rPr>
        <w:t>4</w:t>
      </w:r>
      <w:r>
        <w:rPr>
          <w:rFonts w:hint="eastAsia" w:ascii="宋体" w:hAnsi="宋体" w:cs="宋体"/>
          <w:sz w:val="24"/>
          <w:szCs w:val="24"/>
        </w:rPr>
        <w:t>技术资料邮寄地址：东莞市麻涌镇大步村海心沙</w:t>
      </w:r>
    </w:p>
    <w:p>
      <w:pPr>
        <w:ind w:firstLine="480" w:firstLineChars="200"/>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rPr>
        <w:tab/>
      </w:r>
      <w:r>
        <w:rPr>
          <w:rFonts w:hint="eastAsia" w:ascii="宋体" w:hAnsi="宋体" w:cs="宋体"/>
          <w:sz w:val="24"/>
          <w:szCs w:val="24"/>
        </w:rPr>
        <w:t xml:space="preserve"> 邮编：523000            </w:t>
      </w:r>
    </w:p>
    <w:p>
      <w:pPr>
        <w:ind w:firstLine="482" w:firstLineChars="200"/>
        <w:rPr>
          <w:rFonts w:ascii="宋体" w:hAnsi="宋体" w:cs="宋体"/>
          <w:b/>
          <w:sz w:val="24"/>
          <w:szCs w:val="24"/>
          <w:u w:val="single"/>
        </w:rPr>
      </w:pPr>
      <w:r>
        <w:rPr>
          <w:rFonts w:hint="eastAsia" w:ascii="宋体" w:hAnsi="宋体" w:cs="宋体"/>
          <w:b/>
          <w:sz w:val="24"/>
          <w:szCs w:val="24"/>
        </w:rPr>
        <w:t>7、包装与标记</w:t>
      </w:r>
    </w:p>
    <w:p>
      <w:pPr>
        <w:ind w:firstLine="480" w:firstLineChars="200"/>
        <w:rPr>
          <w:rFonts w:ascii="宋体" w:hAnsi="宋体" w:cs="宋体"/>
          <w:sz w:val="24"/>
          <w:szCs w:val="24"/>
        </w:rPr>
      </w:pPr>
      <w:r>
        <w:rPr>
          <w:rFonts w:hint="eastAsia" w:ascii="宋体" w:hAnsi="宋体" w:cs="宋体"/>
          <w:sz w:val="24"/>
          <w:szCs w:val="24"/>
        </w:rPr>
        <w:t>7.1乙方交付的所有货物要符合供货设备相关规范的包装、储运指示标志的规定及国家相关管理部门的规定。具有适合长途运输、多次搬运和装卸的坚固包装，包装应保证在运输、装卸过程中完好无损，并有减振、防冲击的措施。若包装无法防止运输、装卸过程中垂直、水平加速度等引起的设备损坏，乙方要在设备的设计结构上予以解决。包装应按设备特点，按需要分别加上防潮、防霉、防锈、防腐蚀的保护措施，以保证货物在没有任何损坏和腐蚀的情况下安全运抵合同设备安装现场。产品包装前，乙方负责按整车进行检查清理，不留异物，并保证零部件齐全。</w:t>
      </w:r>
    </w:p>
    <w:p>
      <w:pPr>
        <w:ind w:firstLine="480" w:firstLineChars="200"/>
        <w:rPr>
          <w:rFonts w:ascii="宋体" w:hAnsi="宋体" w:cs="宋体"/>
          <w:sz w:val="24"/>
          <w:szCs w:val="24"/>
        </w:rPr>
      </w:pPr>
      <w:r>
        <w:rPr>
          <w:rFonts w:hint="eastAsia" w:ascii="宋体" w:hAnsi="宋体" w:cs="宋体"/>
          <w:sz w:val="24"/>
          <w:szCs w:val="24"/>
        </w:rPr>
        <w:t>7.2乙方对包装箱内和捆内的各散装部件在装配图中的部件号、零件号应标记清楚。</w:t>
      </w:r>
    </w:p>
    <w:p>
      <w:pPr>
        <w:ind w:firstLine="480" w:firstLineChars="200"/>
        <w:rPr>
          <w:rFonts w:ascii="宋体" w:hAnsi="宋体" w:cs="宋体"/>
          <w:sz w:val="24"/>
          <w:szCs w:val="24"/>
        </w:rPr>
      </w:pPr>
      <w:r>
        <w:rPr>
          <w:rFonts w:hint="eastAsia" w:ascii="宋体" w:hAnsi="宋体" w:cs="宋体"/>
          <w:sz w:val="24"/>
          <w:szCs w:val="24"/>
        </w:rPr>
        <w:t>7.3乙方应在每件包装箱的两个侧面上，用不褪色的油漆以明显易见的中文字样印刷以下标记：</w:t>
      </w:r>
    </w:p>
    <w:p>
      <w:pPr>
        <w:numPr>
          <w:ilvl w:val="0"/>
          <w:numId w:val="18"/>
        </w:numPr>
        <w:tabs>
          <w:tab w:val="left" w:pos="1050"/>
          <w:tab w:val="clear" w:pos="2295"/>
        </w:tabs>
        <w:ind w:left="0" w:firstLine="480" w:firstLineChars="200"/>
        <w:rPr>
          <w:rFonts w:ascii="宋体" w:hAnsi="宋体" w:cs="宋体"/>
          <w:sz w:val="24"/>
          <w:szCs w:val="24"/>
        </w:rPr>
      </w:pPr>
      <w:r>
        <w:rPr>
          <w:rFonts w:hint="eastAsia" w:ascii="宋体" w:hAnsi="宋体" w:cs="宋体"/>
          <w:sz w:val="24"/>
          <w:szCs w:val="24"/>
        </w:rPr>
        <w:t>合同号:</w:t>
      </w:r>
    </w:p>
    <w:p>
      <w:pPr>
        <w:numPr>
          <w:ilvl w:val="0"/>
          <w:numId w:val="18"/>
        </w:numPr>
        <w:tabs>
          <w:tab w:val="left" w:pos="1050"/>
          <w:tab w:val="clear" w:pos="2295"/>
        </w:tabs>
        <w:ind w:left="0" w:firstLine="480" w:firstLineChars="200"/>
        <w:rPr>
          <w:rFonts w:ascii="宋体" w:hAnsi="宋体" w:cs="宋体"/>
          <w:sz w:val="24"/>
          <w:szCs w:val="24"/>
        </w:rPr>
      </w:pPr>
      <w:r>
        <w:rPr>
          <w:rFonts w:hint="eastAsia" w:ascii="宋体" w:hAnsi="宋体" w:cs="宋体"/>
          <w:sz w:val="24"/>
          <w:szCs w:val="24"/>
        </w:rPr>
        <w:t>目的地:</w:t>
      </w:r>
    </w:p>
    <w:p>
      <w:pPr>
        <w:numPr>
          <w:ilvl w:val="0"/>
          <w:numId w:val="18"/>
        </w:numPr>
        <w:tabs>
          <w:tab w:val="left" w:pos="1050"/>
          <w:tab w:val="clear" w:pos="2295"/>
        </w:tabs>
        <w:ind w:left="0" w:firstLine="480" w:firstLineChars="200"/>
        <w:rPr>
          <w:rFonts w:ascii="宋体" w:hAnsi="宋体" w:cs="宋体"/>
          <w:sz w:val="24"/>
          <w:szCs w:val="24"/>
        </w:rPr>
      </w:pPr>
      <w:r>
        <w:rPr>
          <w:rFonts w:hint="eastAsia" w:ascii="宋体" w:hAnsi="宋体" w:cs="宋体"/>
          <w:sz w:val="24"/>
          <w:szCs w:val="24"/>
        </w:rPr>
        <w:t>供货、收货单位名称:</w:t>
      </w:r>
    </w:p>
    <w:p>
      <w:pPr>
        <w:numPr>
          <w:ilvl w:val="0"/>
          <w:numId w:val="18"/>
        </w:numPr>
        <w:tabs>
          <w:tab w:val="left" w:pos="1050"/>
          <w:tab w:val="clear" w:pos="2295"/>
        </w:tabs>
        <w:ind w:left="0" w:firstLine="480" w:firstLineChars="200"/>
        <w:rPr>
          <w:rFonts w:ascii="宋体" w:hAnsi="宋体" w:cs="宋体"/>
          <w:sz w:val="24"/>
          <w:szCs w:val="24"/>
        </w:rPr>
      </w:pPr>
      <w:r>
        <w:rPr>
          <w:rFonts w:hint="eastAsia" w:ascii="宋体" w:hAnsi="宋体" w:cs="宋体"/>
          <w:sz w:val="24"/>
          <w:szCs w:val="24"/>
        </w:rPr>
        <w:t>设备名称、图号:</w:t>
      </w:r>
    </w:p>
    <w:p>
      <w:pPr>
        <w:numPr>
          <w:ilvl w:val="0"/>
          <w:numId w:val="18"/>
        </w:numPr>
        <w:tabs>
          <w:tab w:val="left" w:pos="1050"/>
          <w:tab w:val="clear" w:pos="2295"/>
        </w:tabs>
        <w:ind w:left="0" w:firstLine="480" w:firstLineChars="200"/>
        <w:rPr>
          <w:rFonts w:ascii="宋体" w:hAnsi="宋体" w:cs="宋体"/>
          <w:sz w:val="24"/>
          <w:szCs w:val="24"/>
        </w:rPr>
      </w:pPr>
      <w:r>
        <w:rPr>
          <w:rFonts w:hint="eastAsia" w:ascii="宋体" w:hAnsi="宋体" w:cs="宋体"/>
          <w:sz w:val="24"/>
          <w:szCs w:val="24"/>
        </w:rPr>
        <w:t>箱号／件号:</w:t>
      </w:r>
    </w:p>
    <w:p>
      <w:pPr>
        <w:numPr>
          <w:ilvl w:val="0"/>
          <w:numId w:val="18"/>
        </w:numPr>
        <w:tabs>
          <w:tab w:val="left" w:pos="1050"/>
          <w:tab w:val="clear" w:pos="2295"/>
        </w:tabs>
        <w:ind w:left="0" w:firstLine="480" w:firstLineChars="200"/>
        <w:rPr>
          <w:rFonts w:ascii="宋体" w:hAnsi="宋体" w:cs="宋体"/>
          <w:sz w:val="24"/>
          <w:szCs w:val="24"/>
        </w:rPr>
      </w:pPr>
      <w:r>
        <w:rPr>
          <w:rFonts w:hint="eastAsia" w:ascii="宋体" w:hAnsi="宋体" w:cs="宋体"/>
          <w:sz w:val="24"/>
          <w:szCs w:val="24"/>
        </w:rPr>
        <w:t>毛重／净重（公斤）；</w:t>
      </w:r>
    </w:p>
    <w:p>
      <w:pPr>
        <w:numPr>
          <w:ilvl w:val="0"/>
          <w:numId w:val="18"/>
        </w:numPr>
        <w:tabs>
          <w:tab w:val="left" w:pos="1050"/>
          <w:tab w:val="clear" w:pos="2295"/>
        </w:tabs>
        <w:ind w:left="0" w:firstLine="480" w:firstLineChars="200"/>
        <w:rPr>
          <w:rFonts w:ascii="宋体" w:hAnsi="宋体" w:cs="宋体"/>
          <w:sz w:val="24"/>
          <w:szCs w:val="24"/>
        </w:rPr>
      </w:pPr>
      <w:r>
        <w:rPr>
          <w:rFonts w:hint="eastAsia" w:ascii="宋体" w:hAnsi="宋体" w:cs="宋体"/>
          <w:sz w:val="24"/>
          <w:szCs w:val="24"/>
        </w:rPr>
        <w:t>体积（长×宽×高，以毫米表示）。</w:t>
      </w:r>
    </w:p>
    <w:p>
      <w:pPr>
        <w:numPr>
          <w:ilvl w:val="0"/>
          <w:numId w:val="18"/>
        </w:numPr>
        <w:tabs>
          <w:tab w:val="left" w:pos="1050"/>
          <w:tab w:val="clear" w:pos="2295"/>
        </w:tabs>
        <w:ind w:left="0" w:firstLine="480" w:firstLineChars="200"/>
        <w:rPr>
          <w:rFonts w:ascii="宋体" w:hAnsi="宋体" w:cs="宋体"/>
          <w:sz w:val="24"/>
          <w:szCs w:val="24"/>
        </w:rPr>
      </w:pPr>
      <w:r>
        <w:rPr>
          <w:rFonts w:hint="eastAsia" w:ascii="宋体" w:hAnsi="宋体" w:cs="宋体"/>
          <w:sz w:val="24"/>
          <w:szCs w:val="24"/>
        </w:rPr>
        <w:t>包装箱外部应有如下运输作业标志:包括防潮、防震、放置方向,重心位置、绳索固定部位等。</w:t>
      </w:r>
    </w:p>
    <w:p>
      <w:pPr>
        <w:numPr>
          <w:ilvl w:val="0"/>
          <w:numId w:val="18"/>
        </w:numPr>
        <w:tabs>
          <w:tab w:val="left" w:pos="1050"/>
          <w:tab w:val="clear" w:pos="2295"/>
        </w:tabs>
        <w:ind w:left="0" w:firstLine="480" w:firstLineChars="200"/>
        <w:rPr>
          <w:rFonts w:ascii="宋体" w:hAnsi="宋体" w:cs="宋体"/>
          <w:sz w:val="24"/>
          <w:szCs w:val="24"/>
        </w:rPr>
      </w:pPr>
      <w:r>
        <w:rPr>
          <w:rFonts w:hint="eastAsia" w:ascii="宋体" w:hAnsi="宋体" w:cs="宋体"/>
          <w:sz w:val="24"/>
          <w:szCs w:val="24"/>
        </w:rPr>
        <w:t>凡重量为二吨或超过二吨的货物，应在包装箱的侧面以运输常用的标记和图案标明重心位置及起吊点，以便于装卸搬运。按照货物的特点，装卸和运输上的不同要求，包装箱上应明显地印刷有“轻放”、“勿倒置”和“防雨”等字样。</w:t>
      </w:r>
    </w:p>
    <w:p>
      <w:pPr>
        <w:ind w:firstLine="480" w:firstLineChars="200"/>
        <w:rPr>
          <w:rFonts w:ascii="宋体" w:hAnsi="宋体" w:cs="宋体"/>
          <w:sz w:val="24"/>
          <w:szCs w:val="24"/>
        </w:rPr>
      </w:pPr>
      <w:r>
        <w:rPr>
          <w:rFonts w:hint="eastAsia" w:ascii="宋体" w:hAnsi="宋体" w:cs="宋体"/>
          <w:sz w:val="24"/>
          <w:szCs w:val="24"/>
        </w:rPr>
        <w:t>7.4对裸装货物应以金属标签或直接在设备本身上注明上述有关内容。大件货物应带有足够的货物支架或包装垫木。</w:t>
      </w:r>
    </w:p>
    <w:p>
      <w:pPr>
        <w:ind w:firstLine="480" w:firstLineChars="200"/>
        <w:rPr>
          <w:rFonts w:ascii="宋体" w:hAnsi="宋体" w:cs="宋体"/>
          <w:sz w:val="24"/>
          <w:szCs w:val="24"/>
        </w:rPr>
      </w:pPr>
      <w:r>
        <w:rPr>
          <w:rFonts w:hint="eastAsia" w:ascii="宋体" w:hAnsi="宋体" w:cs="宋体"/>
          <w:sz w:val="24"/>
          <w:szCs w:val="24"/>
        </w:rPr>
        <w:t>7.5每件包装箱内，应附有包括分件名称、规格型号、数量、价格、图号的详细装箱单、合格证。外购件包装箱内应有产品出厂质量合格证明书、技术说明各一份。另邮寄装箱清单各两份。</w:t>
      </w:r>
    </w:p>
    <w:p>
      <w:pPr>
        <w:ind w:firstLine="480" w:firstLineChars="200"/>
        <w:rPr>
          <w:rFonts w:ascii="宋体" w:hAnsi="宋体" w:cs="宋体"/>
          <w:sz w:val="24"/>
          <w:szCs w:val="24"/>
        </w:rPr>
      </w:pPr>
      <w:r>
        <w:rPr>
          <w:rFonts w:hint="eastAsia" w:ascii="宋体" w:hAnsi="宋体" w:cs="宋体"/>
          <w:sz w:val="24"/>
          <w:szCs w:val="24"/>
        </w:rPr>
        <w:t>7.6本合同及附件中列明的备品备件应按每套设备分别包装，并在包装箱外加以注明，一次性发货。</w:t>
      </w:r>
    </w:p>
    <w:p>
      <w:pPr>
        <w:ind w:firstLine="480" w:firstLineChars="200"/>
        <w:rPr>
          <w:rFonts w:ascii="宋体" w:hAnsi="宋体" w:cs="宋体"/>
          <w:sz w:val="24"/>
          <w:szCs w:val="24"/>
        </w:rPr>
      </w:pPr>
      <w:r>
        <w:rPr>
          <w:rFonts w:hint="eastAsia" w:ascii="宋体" w:hAnsi="宋体" w:cs="宋体"/>
          <w:sz w:val="24"/>
          <w:szCs w:val="24"/>
        </w:rPr>
        <w:t>7.7备品备件应分别包装并按7.2及7.3款注明上述内容，专用工具也应分别包装。</w:t>
      </w:r>
    </w:p>
    <w:p>
      <w:pPr>
        <w:ind w:firstLine="480" w:firstLineChars="200"/>
        <w:rPr>
          <w:rFonts w:ascii="宋体" w:hAnsi="宋体" w:cs="宋体"/>
          <w:sz w:val="24"/>
          <w:szCs w:val="24"/>
        </w:rPr>
      </w:pPr>
      <w:r>
        <w:rPr>
          <w:rFonts w:hint="eastAsia" w:ascii="宋体" w:hAnsi="宋体" w:cs="宋体"/>
          <w:sz w:val="24"/>
          <w:szCs w:val="24"/>
        </w:rPr>
        <w:t>7.8各种设备的松散零星部件应采用良好的包装方式，装入尺寸适当的箱内，并尽可能整车发运以减少运输费用。</w:t>
      </w:r>
    </w:p>
    <w:p>
      <w:pPr>
        <w:ind w:firstLine="480" w:firstLineChars="200"/>
        <w:rPr>
          <w:rFonts w:ascii="宋体" w:hAnsi="宋体" w:cs="宋体"/>
          <w:sz w:val="24"/>
          <w:szCs w:val="24"/>
        </w:rPr>
      </w:pPr>
      <w:r>
        <w:rPr>
          <w:rFonts w:hint="eastAsia" w:ascii="宋体" w:hAnsi="宋体" w:cs="宋体"/>
          <w:sz w:val="24"/>
          <w:szCs w:val="24"/>
        </w:rPr>
        <w:t>7.9栅格式箱子和／或类似的包装，应能用于盛装不至于被偷窃或被其他物品或雨水造成损坏的设备及零部件。</w:t>
      </w:r>
    </w:p>
    <w:p>
      <w:pPr>
        <w:ind w:firstLine="480" w:firstLineChars="200"/>
        <w:rPr>
          <w:rFonts w:ascii="宋体" w:hAnsi="宋体" w:cs="宋体"/>
          <w:sz w:val="24"/>
          <w:szCs w:val="24"/>
        </w:rPr>
      </w:pPr>
      <w:r>
        <w:rPr>
          <w:rFonts w:hint="eastAsia" w:ascii="宋体" w:hAnsi="宋体" w:cs="宋体"/>
          <w:sz w:val="24"/>
          <w:szCs w:val="24"/>
        </w:rPr>
        <w:t>7.10所有车辆及其它设备易损位置必须用保护盖或其它方式妥善防护。</w:t>
      </w:r>
    </w:p>
    <w:p>
      <w:pPr>
        <w:ind w:firstLine="480" w:firstLineChars="200"/>
        <w:rPr>
          <w:rFonts w:ascii="宋体" w:hAnsi="宋体" w:cs="宋体"/>
          <w:sz w:val="24"/>
          <w:szCs w:val="24"/>
        </w:rPr>
      </w:pPr>
      <w:r>
        <w:rPr>
          <w:rFonts w:hint="eastAsia" w:ascii="宋体" w:hAnsi="宋体" w:cs="宋体"/>
          <w:sz w:val="24"/>
          <w:szCs w:val="24"/>
        </w:rPr>
        <w:t>7.11乙方不得用同一箱号标明任何两个箱件。</w:t>
      </w:r>
    </w:p>
    <w:p>
      <w:pPr>
        <w:ind w:firstLine="480" w:firstLineChars="200"/>
        <w:rPr>
          <w:rFonts w:ascii="宋体" w:hAnsi="宋体" w:cs="宋体"/>
          <w:sz w:val="24"/>
          <w:szCs w:val="24"/>
        </w:rPr>
      </w:pPr>
      <w:r>
        <w:rPr>
          <w:rFonts w:hint="eastAsia" w:ascii="宋体" w:hAnsi="宋体" w:cs="宋体"/>
          <w:sz w:val="24"/>
          <w:szCs w:val="24"/>
        </w:rPr>
        <w:t>7.12对于需要精确装配的明亮洁净加工面的货物，加工面应采用优良，耐久的保护层（不得用油漆）以防止在安装前发生锈蚀和损坏。</w:t>
      </w:r>
    </w:p>
    <w:p>
      <w:pPr>
        <w:ind w:firstLine="480" w:firstLineChars="200"/>
        <w:rPr>
          <w:rFonts w:ascii="宋体" w:hAnsi="宋体" w:cs="宋体"/>
          <w:sz w:val="24"/>
          <w:szCs w:val="24"/>
        </w:rPr>
      </w:pPr>
      <w:r>
        <w:rPr>
          <w:rFonts w:hint="eastAsia" w:ascii="宋体" w:hAnsi="宋体" w:cs="宋体"/>
          <w:sz w:val="24"/>
          <w:szCs w:val="24"/>
        </w:rPr>
        <w:t>7.13乙方交付的技术资料应使用适合于各类长途运输、多次搬运、防雨和防潮的包装。每包技术资料的封面上应注明下述内容：</w:t>
      </w:r>
    </w:p>
    <w:p>
      <w:pPr>
        <w:ind w:firstLine="480" w:firstLineChars="200"/>
        <w:rPr>
          <w:rFonts w:ascii="宋体" w:hAnsi="宋体" w:cs="宋体"/>
          <w:sz w:val="24"/>
          <w:szCs w:val="24"/>
        </w:rPr>
      </w:pPr>
      <w:r>
        <w:rPr>
          <w:rFonts w:hint="eastAsia" w:ascii="宋体" w:hAnsi="宋体" w:cs="宋体"/>
          <w:sz w:val="24"/>
          <w:szCs w:val="24"/>
        </w:rPr>
        <w:t>（1）合同号:</w:t>
      </w:r>
    </w:p>
    <w:p>
      <w:pPr>
        <w:tabs>
          <w:tab w:val="left" w:pos="360"/>
        </w:tabs>
        <w:ind w:firstLine="480" w:firstLineChars="200"/>
        <w:rPr>
          <w:rFonts w:ascii="宋体" w:hAnsi="宋体" w:cs="宋体"/>
          <w:sz w:val="24"/>
          <w:szCs w:val="24"/>
        </w:rPr>
      </w:pPr>
      <w:r>
        <w:rPr>
          <w:rFonts w:hint="eastAsia" w:ascii="宋体" w:hAnsi="宋体" w:cs="宋体"/>
          <w:sz w:val="24"/>
          <w:szCs w:val="24"/>
        </w:rPr>
        <w:t>（2）供货、收货单位名称:</w:t>
      </w:r>
    </w:p>
    <w:p>
      <w:pPr>
        <w:tabs>
          <w:tab w:val="left" w:pos="360"/>
        </w:tabs>
        <w:ind w:firstLine="480" w:firstLineChars="200"/>
        <w:rPr>
          <w:rFonts w:ascii="宋体" w:hAnsi="宋体" w:cs="宋体"/>
          <w:sz w:val="24"/>
          <w:szCs w:val="24"/>
        </w:rPr>
      </w:pPr>
      <w:r>
        <w:rPr>
          <w:rFonts w:hint="eastAsia" w:ascii="宋体" w:hAnsi="宋体" w:cs="宋体"/>
          <w:sz w:val="24"/>
          <w:szCs w:val="24"/>
        </w:rPr>
        <w:t>（3）目的地:</w:t>
      </w:r>
    </w:p>
    <w:p>
      <w:pPr>
        <w:tabs>
          <w:tab w:val="left" w:pos="360"/>
        </w:tabs>
        <w:ind w:firstLine="480" w:firstLineChars="200"/>
        <w:rPr>
          <w:rFonts w:ascii="宋体" w:hAnsi="宋体" w:cs="宋体"/>
          <w:sz w:val="24"/>
          <w:szCs w:val="24"/>
        </w:rPr>
      </w:pPr>
      <w:r>
        <w:rPr>
          <w:rFonts w:hint="eastAsia" w:ascii="宋体" w:hAnsi="宋体" w:cs="宋体"/>
          <w:sz w:val="24"/>
          <w:szCs w:val="24"/>
        </w:rPr>
        <w:t>（4）毛重:</w:t>
      </w:r>
    </w:p>
    <w:p>
      <w:pPr>
        <w:tabs>
          <w:tab w:val="left" w:pos="360"/>
        </w:tabs>
        <w:ind w:firstLine="480" w:firstLineChars="200"/>
        <w:rPr>
          <w:rFonts w:ascii="宋体" w:hAnsi="宋体" w:cs="宋体"/>
          <w:sz w:val="24"/>
          <w:szCs w:val="24"/>
        </w:rPr>
      </w:pPr>
      <w:r>
        <w:rPr>
          <w:rFonts w:hint="eastAsia" w:ascii="宋体" w:hAnsi="宋体" w:cs="宋体"/>
          <w:sz w:val="24"/>
          <w:szCs w:val="24"/>
        </w:rPr>
        <w:t>（5）箱号／件号。</w:t>
      </w:r>
    </w:p>
    <w:p>
      <w:pPr>
        <w:ind w:firstLine="480" w:firstLineChars="200"/>
        <w:rPr>
          <w:rFonts w:ascii="宋体" w:hAnsi="宋体" w:cs="宋体"/>
          <w:sz w:val="24"/>
          <w:szCs w:val="24"/>
        </w:rPr>
      </w:pPr>
      <w:r>
        <w:rPr>
          <w:rFonts w:hint="eastAsia" w:ascii="宋体" w:hAnsi="宋体" w:cs="宋体"/>
          <w:sz w:val="24"/>
          <w:szCs w:val="24"/>
        </w:rPr>
        <w:t>每一包资料内应附有技术资料的详细清单一式二份，标明技术资料的序号、文件项号、名称和页数。</w:t>
      </w:r>
    </w:p>
    <w:p>
      <w:pPr>
        <w:ind w:firstLine="480" w:firstLineChars="200"/>
        <w:rPr>
          <w:rFonts w:ascii="宋体" w:hAnsi="宋体" w:cs="宋体"/>
          <w:sz w:val="24"/>
          <w:szCs w:val="24"/>
        </w:rPr>
      </w:pPr>
      <w:r>
        <w:rPr>
          <w:rFonts w:hint="eastAsia" w:ascii="宋体" w:hAnsi="宋体" w:cs="宋体"/>
          <w:sz w:val="24"/>
          <w:szCs w:val="24"/>
        </w:rPr>
        <w:t>7.14凡由于乙方包装或保管不善致使货物遭到损坏或丢失时，不论在何时何地发现，一经证实，乙方均应按本合同第11条款的规定负责及时修理、更换或赔偿。在运输中如发生货物损坏和丢失时，乙方负责与承运部门及保险公司交涉，同时乙方应在该事件发生之日起【三】日内向甲方补供货物以满足工期需要，因此造成甲方工期延误或任何损失的，应由乙方承担相应的后果。</w:t>
      </w:r>
    </w:p>
    <w:p>
      <w:pPr>
        <w:ind w:firstLine="482" w:firstLineChars="200"/>
        <w:rPr>
          <w:rFonts w:ascii="宋体" w:hAnsi="宋体" w:cs="宋体"/>
          <w:b/>
          <w:sz w:val="24"/>
          <w:szCs w:val="24"/>
        </w:rPr>
      </w:pPr>
      <w:r>
        <w:rPr>
          <w:rFonts w:hint="eastAsia" w:ascii="宋体" w:hAnsi="宋体" w:cs="宋体"/>
          <w:b/>
          <w:sz w:val="24"/>
          <w:szCs w:val="24"/>
        </w:rPr>
        <w:t>8、技术服务和联络</w:t>
      </w:r>
    </w:p>
    <w:p>
      <w:pPr>
        <w:ind w:firstLine="480" w:firstLineChars="200"/>
        <w:rPr>
          <w:rFonts w:ascii="宋体" w:hAnsi="宋体" w:cs="宋体"/>
          <w:sz w:val="24"/>
          <w:szCs w:val="24"/>
        </w:rPr>
      </w:pPr>
      <w:r>
        <w:rPr>
          <w:rFonts w:hint="eastAsia" w:ascii="宋体" w:hAnsi="宋体" w:cs="宋体"/>
          <w:sz w:val="24"/>
          <w:szCs w:val="24"/>
        </w:rPr>
        <w:t>8.l乙方应及时提供与本合同设备有关的调试、验收、性能验收试验、运行、检修等相应的技术指导、技术配合、技术培训等全过程的服务。</w:t>
      </w:r>
    </w:p>
    <w:p>
      <w:pPr>
        <w:ind w:firstLine="480" w:firstLineChars="200"/>
        <w:rPr>
          <w:rFonts w:ascii="宋体" w:hAnsi="宋体" w:cs="宋体"/>
          <w:sz w:val="24"/>
          <w:szCs w:val="24"/>
        </w:rPr>
      </w:pPr>
      <w:r>
        <w:rPr>
          <w:rFonts w:hint="eastAsia" w:ascii="宋体" w:hAnsi="宋体" w:cs="宋体"/>
          <w:sz w:val="24"/>
          <w:szCs w:val="24"/>
        </w:rPr>
        <w:t>8.2乙方必须具备长期售后服务点对甲方进行技术服务，指导甲方按乙方的技术资料进行安装、操作和启动，并负责解决合同设备在运行中发现的制造质量及性能等有关问题。</w:t>
      </w:r>
    </w:p>
    <w:p>
      <w:pPr>
        <w:ind w:firstLine="480" w:firstLineChars="200"/>
        <w:rPr>
          <w:rFonts w:ascii="宋体" w:hAnsi="宋体" w:cs="宋体"/>
          <w:sz w:val="24"/>
          <w:szCs w:val="24"/>
        </w:rPr>
      </w:pPr>
      <w:r>
        <w:rPr>
          <w:rFonts w:hint="eastAsia" w:ascii="宋体" w:hAnsi="宋体" w:cs="宋体"/>
          <w:sz w:val="24"/>
          <w:szCs w:val="24"/>
        </w:rPr>
        <w:t>8.3乙方应在合同生效后</w:t>
      </w:r>
      <w:r>
        <w:rPr>
          <w:rFonts w:hint="eastAsia" w:ascii="宋体" w:hAnsi="宋体" w:cs="宋体"/>
          <w:sz w:val="24"/>
          <w:szCs w:val="24"/>
          <w:u w:val="single"/>
        </w:rPr>
        <w:t>2天</w:t>
      </w:r>
      <w:r>
        <w:rPr>
          <w:rFonts w:hint="eastAsia" w:ascii="宋体" w:hAnsi="宋体" w:cs="宋体"/>
          <w:sz w:val="24"/>
          <w:szCs w:val="24"/>
        </w:rPr>
        <w:t>内向甲方提交执行8.l和8.2款中规定的服务工作的组织计划一式两份，并确保计划能满足本项目工期要求。</w:t>
      </w:r>
    </w:p>
    <w:p>
      <w:pPr>
        <w:ind w:firstLine="480" w:firstLineChars="200"/>
        <w:rPr>
          <w:rFonts w:ascii="宋体" w:hAnsi="宋体" w:cs="宋体"/>
          <w:sz w:val="24"/>
          <w:szCs w:val="24"/>
        </w:rPr>
      </w:pPr>
      <w:r>
        <w:rPr>
          <w:rFonts w:hint="eastAsia" w:ascii="宋体" w:hAnsi="宋体" w:cs="宋体"/>
          <w:sz w:val="24"/>
          <w:szCs w:val="24"/>
        </w:rPr>
        <w:t>8.4在合同生效后</w:t>
      </w:r>
      <w:r>
        <w:rPr>
          <w:rFonts w:ascii="宋体" w:hAnsi="宋体" w:cs="宋体"/>
          <w:sz w:val="24"/>
          <w:szCs w:val="24"/>
          <w:u w:val="single"/>
        </w:rPr>
        <w:t>2</w:t>
      </w:r>
      <w:r>
        <w:rPr>
          <w:rFonts w:hint="eastAsia" w:ascii="宋体" w:hAnsi="宋体" w:cs="宋体"/>
          <w:sz w:val="24"/>
          <w:szCs w:val="24"/>
          <w:u w:val="single"/>
        </w:rPr>
        <w:t>日</w:t>
      </w:r>
      <w:r>
        <w:rPr>
          <w:rFonts w:hint="eastAsia" w:ascii="宋体" w:hAnsi="宋体" w:cs="宋体"/>
          <w:sz w:val="24"/>
          <w:szCs w:val="24"/>
        </w:rPr>
        <w:t>内，双方确定技术联络会的次数、时间和地点。</w:t>
      </w:r>
    </w:p>
    <w:p>
      <w:pPr>
        <w:ind w:firstLine="480" w:firstLineChars="200"/>
        <w:rPr>
          <w:rFonts w:ascii="宋体" w:hAnsi="宋体" w:cs="宋体"/>
          <w:sz w:val="24"/>
          <w:szCs w:val="24"/>
        </w:rPr>
      </w:pPr>
      <w:r>
        <w:rPr>
          <w:rFonts w:hint="eastAsia" w:ascii="宋体" w:hAnsi="宋体" w:cs="宋体"/>
          <w:sz w:val="24"/>
          <w:szCs w:val="24"/>
        </w:rPr>
        <w:t>8.5乙方有义务在必要时邀请甲方参与乙方的技术设计，并向甲方解释技术设计。</w:t>
      </w:r>
    </w:p>
    <w:p>
      <w:pPr>
        <w:ind w:firstLine="480" w:firstLineChars="200"/>
        <w:rPr>
          <w:rFonts w:ascii="宋体" w:hAnsi="宋体" w:cs="宋体"/>
          <w:sz w:val="24"/>
          <w:szCs w:val="24"/>
        </w:rPr>
      </w:pPr>
      <w:r>
        <w:rPr>
          <w:rFonts w:hint="eastAsia" w:ascii="宋体" w:hAnsi="宋体" w:cs="宋体"/>
          <w:sz w:val="24"/>
          <w:szCs w:val="24"/>
        </w:rPr>
        <w:t>8.6如遇有重大问题需要双方立即研究协商时，任何一方均可建议召开会议，在一般情况下，另一方应同意参加。</w:t>
      </w:r>
    </w:p>
    <w:p>
      <w:pPr>
        <w:ind w:firstLine="480" w:firstLineChars="200"/>
        <w:rPr>
          <w:rFonts w:ascii="宋体" w:hAnsi="宋体" w:cs="宋体"/>
          <w:sz w:val="24"/>
          <w:szCs w:val="24"/>
        </w:rPr>
      </w:pPr>
      <w:r>
        <w:rPr>
          <w:rFonts w:hint="eastAsia" w:ascii="宋体" w:hAnsi="宋体" w:cs="宋体"/>
          <w:sz w:val="24"/>
          <w:szCs w:val="24"/>
        </w:rPr>
        <w:t>8.7各次会议及其他联络方式双方均应签订会议或联络纪要，所签纪要双方均应执行。在不对本合同及附件构成实质性背离的前提下，如涉及合同条款有修改时和有重大技术方案修正引起合同价格的修改，需经双方法定代表人批准或其授权代表批准，所有修改应形成文本，并签字、盖章确认。</w:t>
      </w:r>
    </w:p>
    <w:p>
      <w:pPr>
        <w:ind w:firstLine="480" w:firstLineChars="200"/>
        <w:rPr>
          <w:rFonts w:ascii="宋体" w:hAnsi="宋体" w:cs="宋体"/>
          <w:sz w:val="24"/>
          <w:szCs w:val="24"/>
        </w:rPr>
      </w:pPr>
      <w:r>
        <w:rPr>
          <w:rFonts w:hint="eastAsia" w:ascii="宋体" w:hAnsi="宋体" w:cs="宋体"/>
          <w:sz w:val="24"/>
          <w:szCs w:val="24"/>
        </w:rPr>
        <w:t>8.8乙方提出并经双方确定的安装、调试和运行技术服务方案，乙方如有修改，须以书面形式通知甲方，经甲方确认后方可进行。为适应现场条件的要求，甲方有权提出变更或修改意见，并书面通知乙方，乙方应给予充分考虑，应设法满足甲方要求。</w:t>
      </w:r>
    </w:p>
    <w:p>
      <w:pPr>
        <w:ind w:firstLine="480" w:firstLineChars="200"/>
        <w:rPr>
          <w:rFonts w:ascii="宋体" w:hAnsi="宋体" w:cs="宋体"/>
          <w:sz w:val="24"/>
          <w:szCs w:val="24"/>
        </w:rPr>
      </w:pPr>
      <w:r>
        <w:rPr>
          <w:rFonts w:hint="eastAsia" w:ascii="宋体" w:hAnsi="宋体" w:cs="宋体"/>
          <w:sz w:val="24"/>
          <w:szCs w:val="24"/>
        </w:rPr>
        <w:t>8.9乙方应确保甲方并不由此而构成任何侵权，但甲方不得向任何与本工程无关的第三方提供。</w:t>
      </w:r>
    </w:p>
    <w:p>
      <w:pPr>
        <w:ind w:firstLine="480" w:firstLineChars="200"/>
        <w:rPr>
          <w:rFonts w:ascii="宋体" w:hAnsi="宋体" w:cs="宋体"/>
          <w:sz w:val="24"/>
          <w:szCs w:val="24"/>
        </w:rPr>
      </w:pPr>
      <w:r>
        <w:rPr>
          <w:rFonts w:hint="eastAsia" w:ascii="宋体" w:hAnsi="宋体" w:cs="宋体"/>
          <w:sz w:val="24"/>
          <w:szCs w:val="24"/>
        </w:rPr>
        <w:t>8.10对盖有“密件”及相同性质印章的乙方提供给甲方的资料，双方都有为对方保密的义务。</w:t>
      </w:r>
    </w:p>
    <w:p>
      <w:pPr>
        <w:ind w:firstLine="480" w:firstLineChars="200"/>
        <w:rPr>
          <w:rFonts w:ascii="宋体" w:hAnsi="宋体" w:cs="宋体"/>
          <w:sz w:val="24"/>
          <w:szCs w:val="24"/>
        </w:rPr>
      </w:pPr>
      <w:r>
        <w:rPr>
          <w:rFonts w:hint="eastAsia" w:ascii="宋体" w:hAnsi="宋体" w:cs="宋体"/>
          <w:sz w:val="24"/>
          <w:szCs w:val="24"/>
        </w:rPr>
        <w:t>8.11乙方的分包商的技术服务或到甲方现场工作，应由乙方统一组织并征得甲方同意，费用由乙方或分包商自行负担。</w:t>
      </w:r>
    </w:p>
    <w:p>
      <w:pPr>
        <w:ind w:firstLine="480" w:firstLineChars="200"/>
        <w:rPr>
          <w:rFonts w:ascii="宋体" w:hAnsi="宋体" w:cs="宋体"/>
          <w:sz w:val="24"/>
          <w:szCs w:val="24"/>
        </w:rPr>
      </w:pPr>
      <w:r>
        <w:rPr>
          <w:rFonts w:hint="eastAsia" w:ascii="宋体" w:hAnsi="宋体" w:cs="宋体"/>
          <w:sz w:val="24"/>
          <w:szCs w:val="24"/>
        </w:rPr>
        <w:t>8.12乙方（包括分包与外购）须对一切与本合同有关的供货、设备及技术接口、技术服务等问题负全部责任。</w:t>
      </w:r>
    </w:p>
    <w:p>
      <w:pPr>
        <w:ind w:firstLine="480" w:firstLineChars="200"/>
        <w:rPr>
          <w:rFonts w:ascii="宋体" w:hAnsi="宋体" w:cs="宋体"/>
          <w:sz w:val="24"/>
          <w:szCs w:val="24"/>
        </w:rPr>
      </w:pPr>
      <w:r>
        <w:rPr>
          <w:rFonts w:hint="eastAsia" w:ascii="宋体" w:hAnsi="宋体" w:cs="宋体"/>
          <w:sz w:val="24"/>
          <w:szCs w:val="24"/>
        </w:rPr>
        <w:t>8.13凡与本合同设备相连接的其它设备装置，乙方有提供接口和技术配合的义务，并不由此而发生合同价格以外的任何费用，若产生任何费用的，由乙方承担。</w:t>
      </w:r>
    </w:p>
    <w:p>
      <w:pPr>
        <w:ind w:firstLine="480" w:firstLineChars="200"/>
        <w:rPr>
          <w:rFonts w:ascii="宋体" w:hAnsi="宋体" w:cs="宋体"/>
          <w:sz w:val="24"/>
          <w:szCs w:val="24"/>
        </w:rPr>
      </w:pPr>
      <w:r>
        <w:rPr>
          <w:rFonts w:hint="eastAsia" w:ascii="宋体" w:hAnsi="宋体" w:cs="宋体"/>
          <w:sz w:val="24"/>
          <w:szCs w:val="24"/>
        </w:rPr>
        <w:t>8.14乙方派到现场服务的技术人员应是有实践经验、可胜任此项工作的人员。乙方应在本合同生效后</w:t>
      </w:r>
      <w:r>
        <w:rPr>
          <w:rFonts w:ascii="宋体" w:hAnsi="宋体" w:cs="宋体"/>
          <w:sz w:val="24"/>
          <w:szCs w:val="24"/>
          <w:u w:val="single"/>
        </w:rPr>
        <w:t>5</w:t>
      </w:r>
      <w:r>
        <w:rPr>
          <w:rFonts w:hint="eastAsia" w:ascii="宋体" w:hAnsi="宋体" w:cs="宋体"/>
          <w:sz w:val="24"/>
          <w:szCs w:val="24"/>
          <w:u w:val="single"/>
        </w:rPr>
        <w:t>日</w:t>
      </w:r>
      <w:r>
        <w:rPr>
          <w:rFonts w:hint="eastAsia" w:ascii="宋体" w:hAnsi="宋体" w:cs="宋体"/>
          <w:sz w:val="24"/>
          <w:szCs w:val="24"/>
        </w:rPr>
        <w:t>内提交乙方派到现场服务的技术人员名单（名单中应包括技术人员的简历）给甲方予以确认。甲方有权提出更换不符合要求的乙方现场服务人员，乙方应根据现场需要，在甲方书面提出更换要求后</w:t>
      </w:r>
      <w:r>
        <w:rPr>
          <w:rFonts w:ascii="宋体" w:hAnsi="宋体" w:cs="宋体"/>
          <w:sz w:val="24"/>
          <w:szCs w:val="24"/>
        </w:rPr>
        <w:t>2</w:t>
      </w:r>
      <w:r>
        <w:rPr>
          <w:rFonts w:hint="eastAsia" w:ascii="宋体" w:hAnsi="宋体" w:cs="宋体"/>
          <w:sz w:val="24"/>
          <w:szCs w:val="24"/>
        </w:rPr>
        <w:t>日内重新选派甲方认可的服务人员，并保证不因此而导致延误工期。如果甲方书面提出该项要求后</w:t>
      </w:r>
      <w:r>
        <w:rPr>
          <w:rFonts w:ascii="宋体" w:hAnsi="宋体" w:cs="宋体"/>
          <w:sz w:val="24"/>
          <w:szCs w:val="24"/>
        </w:rPr>
        <w:t>5</w:t>
      </w:r>
      <w:r>
        <w:rPr>
          <w:rFonts w:hint="eastAsia" w:ascii="宋体" w:hAnsi="宋体" w:cs="宋体"/>
          <w:sz w:val="24"/>
          <w:szCs w:val="24"/>
        </w:rPr>
        <w:t>天内乙方没有重新选派甲方认可的人员，将按11.12款为延误工期等同处理。</w:t>
      </w:r>
    </w:p>
    <w:p>
      <w:pPr>
        <w:ind w:firstLine="480" w:firstLineChars="200"/>
        <w:rPr>
          <w:rFonts w:ascii="宋体" w:hAnsi="宋体" w:cs="宋体"/>
          <w:sz w:val="24"/>
          <w:szCs w:val="24"/>
        </w:rPr>
      </w:pPr>
      <w:r>
        <w:rPr>
          <w:rFonts w:hint="eastAsia" w:ascii="宋体" w:hAnsi="宋体" w:cs="宋体"/>
          <w:sz w:val="24"/>
          <w:szCs w:val="24"/>
        </w:rPr>
        <w:t>8.15由于乙方技术服务人员对安装、调试的技术指导的疏忽和错误以及乙方未按要求派人指导而造成的损失应由乙方负责。</w:t>
      </w:r>
    </w:p>
    <w:p>
      <w:pPr>
        <w:ind w:firstLine="480" w:firstLineChars="200"/>
        <w:rPr>
          <w:rFonts w:ascii="宋体" w:hAnsi="宋体" w:cs="宋体"/>
          <w:sz w:val="24"/>
          <w:szCs w:val="24"/>
        </w:rPr>
      </w:pPr>
      <w:r>
        <w:rPr>
          <w:rFonts w:hint="eastAsia" w:ascii="宋体" w:hAnsi="宋体" w:cs="宋体"/>
          <w:sz w:val="24"/>
          <w:szCs w:val="24"/>
        </w:rPr>
        <w:t>8.16技术服务和联络的具体要求见招投标文件。</w:t>
      </w:r>
    </w:p>
    <w:p>
      <w:pPr>
        <w:ind w:firstLine="482" w:firstLineChars="200"/>
        <w:rPr>
          <w:rFonts w:ascii="宋体" w:hAnsi="宋体" w:cs="宋体"/>
          <w:b/>
          <w:sz w:val="24"/>
          <w:szCs w:val="24"/>
        </w:rPr>
      </w:pPr>
      <w:r>
        <w:rPr>
          <w:rFonts w:hint="eastAsia" w:ascii="宋体" w:hAnsi="宋体" w:cs="宋体"/>
          <w:b/>
          <w:sz w:val="24"/>
          <w:szCs w:val="24"/>
        </w:rPr>
        <w:t>9、设备检验</w:t>
      </w:r>
    </w:p>
    <w:p>
      <w:pPr>
        <w:ind w:firstLine="480" w:firstLineChars="200"/>
        <w:outlineLvl w:val="2"/>
        <w:rPr>
          <w:rFonts w:ascii="宋体" w:hAnsi="宋体" w:cs="宋体"/>
          <w:sz w:val="24"/>
          <w:szCs w:val="24"/>
        </w:rPr>
      </w:pPr>
      <w:r>
        <w:rPr>
          <w:rFonts w:hint="eastAsia" w:ascii="宋体" w:hAnsi="宋体" w:cs="宋体"/>
          <w:sz w:val="24"/>
          <w:szCs w:val="24"/>
        </w:rPr>
        <w:t>9.</w:t>
      </w:r>
      <w:r>
        <w:rPr>
          <w:rFonts w:ascii="宋体" w:hAnsi="宋体" w:cs="宋体"/>
          <w:sz w:val="24"/>
          <w:szCs w:val="24"/>
        </w:rPr>
        <w:t>1</w:t>
      </w:r>
      <w:r>
        <w:rPr>
          <w:rFonts w:hint="eastAsia" w:ascii="宋体" w:hAnsi="宋体" w:cs="宋体"/>
          <w:sz w:val="24"/>
          <w:szCs w:val="24"/>
        </w:rPr>
        <w:t>工厂检验与现场开箱检验</w:t>
      </w:r>
    </w:p>
    <w:p>
      <w:pPr>
        <w:ind w:firstLine="480" w:firstLineChars="200"/>
        <w:rPr>
          <w:rFonts w:ascii="宋体" w:hAnsi="宋体" w:cs="宋体"/>
          <w:sz w:val="24"/>
          <w:szCs w:val="24"/>
        </w:rPr>
      </w:pPr>
      <w:r>
        <w:rPr>
          <w:rFonts w:hint="eastAsia" w:ascii="宋体" w:hAnsi="宋体" w:cs="宋体"/>
          <w:sz w:val="24"/>
          <w:szCs w:val="24"/>
        </w:rPr>
        <w:t>9.</w:t>
      </w:r>
      <w:r>
        <w:rPr>
          <w:rFonts w:ascii="宋体" w:hAnsi="宋体" w:cs="宋体"/>
          <w:sz w:val="24"/>
          <w:szCs w:val="24"/>
        </w:rPr>
        <w:t>1</w:t>
      </w:r>
      <w:r>
        <w:rPr>
          <w:rFonts w:hint="eastAsia" w:ascii="宋体" w:hAnsi="宋体" w:cs="宋体"/>
          <w:sz w:val="24"/>
          <w:szCs w:val="24"/>
        </w:rPr>
        <w:t>.1由乙方供应的所有合同设备／部件（包括分包与外购），在生产过程中都须进行严格的检验和试验，出厂前须进行部套和／或整机总装和试验。所有检验、试验和总装（装配）必须有正式的记录文件。以上工作完成之后，合格者才能出厂发运。所有这些正式的记录文件及合格证作为技术资料的一部分邮寄给甲方存档。此外，乙方还应在随机文件中提供合格证和质量证明文件。</w:t>
      </w:r>
    </w:p>
    <w:p>
      <w:pPr>
        <w:ind w:firstLine="480" w:firstLineChars="200"/>
        <w:rPr>
          <w:rFonts w:ascii="宋体" w:hAnsi="宋体" w:cs="宋体"/>
          <w:sz w:val="24"/>
          <w:szCs w:val="24"/>
        </w:rPr>
      </w:pPr>
      <w:r>
        <w:rPr>
          <w:rFonts w:hint="eastAsia" w:ascii="宋体" w:hAnsi="宋体" w:cs="宋体"/>
          <w:sz w:val="24"/>
          <w:szCs w:val="24"/>
        </w:rPr>
        <w:t>9.</w:t>
      </w:r>
      <w:r>
        <w:rPr>
          <w:rFonts w:ascii="宋体" w:hAnsi="宋体" w:cs="宋体"/>
          <w:sz w:val="24"/>
          <w:szCs w:val="24"/>
        </w:rPr>
        <w:t>1</w:t>
      </w:r>
      <w:r>
        <w:rPr>
          <w:rFonts w:hint="eastAsia" w:ascii="宋体" w:hAnsi="宋体" w:cs="宋体"/>
          <w:sz w:val="24"/>
          <w:szCs w:val="24"/>
        </w:rPr>
        <w:t>.2设备到达安装现场后,应按国家相关标准的规定存放和保管。如乙方有特殊要求,应向甲方及早提出，因乙方未提前告知致使设备损坏的，由乙方承担相应的后果。</w:t>
      </w:r>
    </w:p>
    <w:p>
      <w:pPr>
        <w:ind w:firstLine="480" w:firstLineChars="200"/>
        <w:rPr>
          <w:rFonts w:ascii="宋体" w:hAnsi="宋体" w:cs="宋体"/>
          <w:sz w:val="24"/>
          <w:szCs w:val="24"/>
        </w:rPr>
      </w:pPr>
      <w:r>
        <w:rPr>
          <w:rFonts w:hint="eastAsia" w:ascii="宋体" w:hAnsi="宋体" w:cs="宋体"/>
          <w:sz w:val="24"/>
          <w:szCs w:val="24"/>
        </w:rPr>
        <w:t>货物到达目的地后，乙方在接到甲方通知后应及时到现场，与甲方一起根据运单和装箱单对货物的包装、外观及件数进行清点检验。如发现有任何不符之处，应由乙方处理解决。当货物运到现场后，甲方应尽快开箱检验，检验货物的数量、规格和质量。甲方应在开箱检查前</w:t>
      </w:r>
      <w:r>
        <w:rPr>
          <w:rFonts w:ascii="宋体" w:hAnsi="宋体" w:cs="宋体"/>
          <w:sz w:val="24"/>
          <w:szCs w:val="24"/>
        </w:rPr>
        <w:t>2</w:t>
      </w:r>
      <w:r>
        <w:rPr>
          <w:rFonts w:hint="eastAsia" w:ascii="宋体" w:hAnsi="宋体" w:cs="宋体"/>
          <w:sz w:val="24"/>
          <w:szCs w:val="24"/>
        </w:rPr>
        <w:t>天通知乙方开箱检验日期，乙方应派遣检验人员参加现场检验工作，甲方应尽量为乙方检验人员提供工作和生活方便。如检验时，乙方人员未按时赴现场(甲方已通知乙方），甲方有权自行开箱检验，检验结果和记录对双方同样有效，并作为甲方向乙方提出索赔的有效证据。</w:t>
      </w:r>
    </w:p>
    <w:p>
      <w:pPr>
        <w:ind w:firstLine="480" w:firstLineChars="200"/>
        <w:rPr>
          <w:rFonts w:ascii="宋体" w:hAnsi="宋体" w:cs="宋体"/>
          <w:sz w:val="24"/>
          <w:szCs w:val="24"/>
        </w:rPr>
      </w:pPr>
      <w:r>
        <w:rPr>
          <w:rFonts w:hint="eastAsia" w:ascii="宋体" w:hAnsi="宋体" w:cs="宋体"/>
          <w:sz w:val="24"/>
          <w:szCs w:val="24"/>
        </w:rPr>
        <w:t>9.</w:t>
      </w:r>
      <w:r>
        <w:rPr>
          <w:rFonts w:ascii="宋体" w:hAnsi="宋体" w:cs="宋体"/>
          <w:sz w:val="24"/>
          <w:szCs w:val="24"/>
        </w:rPr>
        <w:t>1</w:t>
      </w:r>
      <w:r>
        <w:rPr>
          <w:rFonts w:hint="eastAsia" w:ascii="宋体" w:hAnsi="宋体" w:cs="宋体"/>
          <w:sz w:val="24"/>
          <w:szCs w:val="24"/>
        </w:rPr>
        <w:t>.3现场检验时，如发现设备由于乙方原因（包括运输）有任何损坏、缺陷、短少或不符合合同中规定的质量标准和规范时，应做好记录，并由双方代表签字，各执一份，作为甲方向乙方提出修理和／或更换和／或索赔的依据；如果乙方委托甲方修理损坏的设备，乙方提供技术指导，所有修理设备的费用和责任由乙方承担；如果由于甲方原因，造成设备损坏或发生丢失，乙方在接到甲方通知后，应尽快提供或替换相应的部件，但费用由甲方自负。</w:t>
      </w:r>
    </w:p>
    <w:p>
      <w:pPr>
        <w:ind w:firstLine="480" w:firstLineChars="200"/>
        <w:rPr>
          <w:rFonts w:ascii="宋体" w:hAnsi="宋体" w:cs="宋体"/>
          <w:sz w:val="24"/>
          <w:szCs w:val="24"/>
        </w:rPr>
      </w:pPr>
      <w:r>
        <w:rPr>
          <w:rFonts w:hint="eastAsia" w:ascii="宋体" w:hAnsi="宋体" w:cs="宋体"/>
          <w:sz w:val="24"/>
          <w:szCs w:val="24"/>
        </w:rPr>
        <w:t>9.</w:t>
      </w:r>
      <w:r>
        <w:rPr>
          <w:rFonts w:ascii="宋体" w:hAnsi="宋体" w:cs="宋体"/>
          <w:sz w:val="24"/>
          <w:szCs w:val="24"/>
        </w:rPr>
        <w:t>1</w:t>
      </w:r>
      <w:r>
        <w:rPr>
          <w:rFonts w:hint="eastAsia" w:ascii="宋体" w:hAnsi="宋体" w:cs="宋体"/>
          <w:sz w:val="24"/>
          <w:szCs w:val="24"/>
        </w:rPr>
        <w:t>.4乙方如对上述甲方提出的修理、更换、索赔的要求有异议，应在接到甲方书面通知后</w:t>
      </w:r>
      <w:r>
        <w:rPr>
          <w:rFonts w:hint="eastAsia" w:ascii="宋体" w:hAnsi="宋体" w:cs="宋体"/>
          <w:sz w:val="24"/>
          <w:szCs w:val="24"/>
          <w:u w:val="single"/>
        </w:rPr>
        <w:t xml:space="preserve">2 </w:t>
      </w:r>
      <w:r>
        <w:rPr>
          <w:rFonts w:hint="eastAsia" w:ascii="宋体" w:hAnsi="宋体" w:cs="宋体"/>
          <w:sz w:val="24"/>
          <w:szCs w:val="24"/>
        </w:rPr>
        <w:t>天内提出，否则视为乙方认可甲方要求。如有异议，乙方在接到通知后</w:t>
      </w:r>
      <w:r>
        <w:rPr>
          <w:rFonts w:hint="eastAsia" w:ascii="宋体" w:hAnsi="宋体" w:cs="宋体"/>
          <w:sz w:val="24"/>
          <w:szCs w:val="24"/>
          <w:u w:val="single"/>
        </w:rPr>
        <w:t xml:space="preserve"> 2   </w:t>
      </w:r>
      <w:r>
        <w:rPr>
          <w:rFonts w:hint="eastAsia" w:ascii="宋体" w:hAnsi="宋体" w:cs="宋体"/>
          <w:sz w:val="24"/>
          <w:szCs w:val="24"/>
        </w:rPr>
        <w:t>天内，自费派代表赴现场同甲方代表共同复验。</w:t>
      </w:r>
    </w:p>
    <w:p>
      <w:pPr>
        <w:ind w:firstLine="480" w:firstLineChars="200"/>
        <w:rPr>
          <w:rFonts w:ascii="宋体" w:hAnsi="宋体" w:cs="宋体"/>
          <w:sz w:val="24"/>
          <w:szCs w:val="24"/>
        </w:rPr>
      </w:pPr>
      <w:r>
        <w:rPr>
          <w:rFonts w:hint="eastAsia" w:ascii="宋体" w:hAnsi="宋体" w:cs="宋体"/>
          <w:sz w:val="24"/>
          <w:szCs w:val="24"/>
        </w:rPr>
        <w:t>9.</w:t>
      </w:r>
      <w:r>
        <w:rPr>
          <w:rFonts w:ascii="宋体" w:hAnsi="宋体" w:cs="宋体"/>
          <w:sz w:val="24"/>
          <w:szCs w:val="24"/>
        </w:rPr>
        <w:t>1</w:t>
      </w:r>
      <w:r>
        <w:rPr>
          <w:rFonts w:hint="eastAsia" w:ascii="宋体" w:hAnsi="宋体" w:cs="宋体"/>
          <w:sz w:val="24"/>
          <w:szCs w:val="24"/>
        </w:rPr>
        <w:t>.5如双方代表在会同检验中对检验记录不能取得一致意见时，可由双方委托共同认可的权威的第三方检验机构进行检验。检验结果对双方都有约束力，检验费用由责任方负担。</w:t>
      </w:r>
    </w:p>
    <w:p>
      <w:pPr>
        <w:ind w:firstLine="480" w:firstLineChars="200"/>
        <w:rPr>
          <w:rFonts w:ascii="宋体" w:hAnsi="宋体" w:cs="宋体"/>
          <w:sz w:val="24"/>
          <w:szCs w:val="24"/>
        </w:rPr>
      </w:pPr>
      <w:r>
        <w:rPr>
          <w:rFonts w:hint="eastAsia" w:ascii="宋体" w:hAnsi="宋体" w:cs="宋体"/>
          <w:sz w:val="24"/>
          <w:szCs w:val="24"/>
        </w:rPr>
        <w:t>9.</w:t>
      </w:r>
      <w:r>
        <w:rPr>
          <w:rFonts w:ascii="宋体" w:hAnsi="宋体" w:cs="宋体"/>
          <w:sz w:val="24"/>
          <w:szCs w:val="24"/>
        </w:rPr>
        <w:t>1</w:t>
      </w:r>
      <w:r>
        <w:rPr>
          <w:rFonts w:hint="eastAsia" w:ascii="宋体" w:hAnsi="宋体" w:cs="宋体"/>
          <w:sz w:val="24"/>
          <w:szCs w:val="24"/>
        </w:rPr>
        <w:t>.6乙方在接到甲方按本合同9.</w:t>
      </w:r>
      <w:r>
        <w:rPr>
          <w:rFonts w:ascii="宋体" w:hAnsi="宋体" w:cs="宋体"/>
          <w:sz w:val="24"/>
          <w:szCs w:val="24"/>
        </w:rPr>
        <w:t>1</w:t>
      </w:r>
      <w:r>
        <w:rPr>
          <w:rFonts w:hint="eastAsia" w:ascii="宋体" w:hAnsi="宋体" w:cs="宋体"/>
          <w:sz w:val="24"/>
          <w:szCs w:val="24"/>
        </w:rPr>
        <w:t>.2至9.</w:t>
      </w:r>
      <w:r>
        <w:rPr>
          <w:rFonts w:ascii="宋体" w:hAnsi="宋体" w:cs="宋体"/>
          <w:sz w:val="24"/>
          <w:szCs w:val="24"/>
        </w:rPr>
        <w:t>1</w:t>
      </w:r>
      <w:r>
        <w:rPr>
          <w:rFonts w:hint="eastAsia" w:ascii="宋体" w:hAnsi="宋体" w:cs="宋体"/>
          <w:sz w:val="24"/>
          <w:szCs w:val="24"/>
        </w:rPr>
        <w:t>.4款规定提出的索赔后，应按9.</w:t>
      </w:r>
      <w:r>
        <w:rPr>
          <w:rFonts w:ascii="宋体" w:hAnsi="宋体" w:cs="宋体"/>
          <w:sz w:val="24"/>
          <w:szCs w:val="24"/>
        </w:rPr>
        <w:t>1</w:t>
      </w:r>
      <w:r>
        <w:rPr>
          <w:rFonts w:hint="eastAsia" w:ascii="宋体" w:hAnsi="宋体" w:cs="宋体"/>
          <w:sz w:val="24"/>
          <w:szCs w:val="24"/>
        </w:rPr>
        <w:t>.7款的规定尽快修理、更换或补发短缺部分，由此产生的制造、修理和运费及保险费均应由责任方负担。对于上述索赔，由甲方从履约保函或下次付款中扣除。</w:t>
      </w:r>
    </w:p>
    <w:p>
      <w:pPr>
        <w:ind w:firstLine="480" w:firstLineChars="200"/>
        <w:rPr>
          <w:rFonts w:ascii="宋体" w:hAnsi="宋体" w:cs="宋体"/>
          <w:sz w:val="24"/>
          <w:szCs w:val="24"/>
        </w:rPr>
      </w:pPr>
      <w:r>
        <w:rPr>
          <w:rFonts w:hint="eastAsia" w:ascii="宋体" w:hAnsi="宋体" w:cs="宋体"/>
          <w:sz w:val="24"/>
          <w:szCs w:val="24"/>
        </w:rPr>
        <w:t>9.</w:t>
      </w:r>
      <w:r>
        <w:rPr>
          <w:rFonts w:ascii="宋体" w:hAnsi="宋体" w:cs="宋体"/>
          <w:sz w:val="24"/>
          <w:szCs w:val="24"/>
        </w:rPr>
        <w:t>1</w:t>
      </w:r>
      <w:r>
        <w:rPr>
          <w:rFonts w:hint="eastAsia" w:ascii="宋体" w:hAnsi="宋体" w:cs="宋体"/>
          <w:sz w:val="24"/>
          <w:szCs w:val="24"/>
        </w:rPr>
        <w:t>.7由于乙方原因而引起的设备或部件的修理或更换的时间，以不影响项目进度为原则，但最迟不得晚于发现缺陷、损坏或短缺等之后</w:t>
      </w:r>
      <w:r>
        <w:rPr>
          <w:rFonts w:hint="eastAsia" w:ascii="宋体" w:hAnsi="宋体" w:cs="宋体"/>
          <w:sz w:val="24"/>
          <w:szCs w:val="24"/>
          <w:u w:val="single"/>
        </w:rPr>
        <w:t xml:space="preserve"> </w:t>
      </w:r>
      <w:r>
        <w:rPr>
          <w:rFonts w:ascii="宋体" w:hAnsi="宋体" w:cs="宋体"/>
          <w:sz w:val="24"/>
          <w:szCs w:val="24"/>
          <w:u w:val="single"/>
        </w:rPr>
        <w:t>5</w:t>
      </w:r>
      <w:r>
        <w:rPr>
          <w:rFonts w:hint="eastAsia" w:ascii="宋体" w:hAnsi="宋体" w:cs="宋体"/>
          <w:sz w:val="24"/>
          <w:szCs w:val="24"/>
        </w:rPr>
        <w:t>日，否则按照11.10款处理。</w:t>
      </w:r>
    </w:p>
    <w:p>
      <w:pPr>
        <w:ind w:firstLine="480" w:firstLineChars="200"/>
        <w:rPr>
          <w:rFonts w:ascii="宋体" w:hAnsi="宋体" w:cs="宋体"/>
          <w:sz w:val="24"/>
          <w:szCs w:val="24"/>
        </w:rPr>
      </w:pPr>
      <w:r>
        <w:rPr>
          <w:rFonts w:hint="eastAsia" w:ascii="宋体" w:hAnsi="宋体" w:cs="宋体"/>
          <w:sz w:val="24"/>
          <w:szCs w:val="24"/>
        </w:rPr>
        <w:t>9.</w:t>
      </w:r>
      <w:r>
        <w:rPr>
          <w:rFonts w:ascii="宋体" w:hAnsi="宋体" w:cs="宋体"/>
          <w:sz w:val="24"/>
          <w:szCs w:val="24"/>
        </w:rPr>
        <w:t>1</w:t>
      </w:r>
      <w:r>
        <w:rPr>
          <w:rFonts w:hint="eastAsia" w:ascii="宋体" w:hAnsi="宋体" w:cs="宋体"/>
          <w:sz w:val="24"/>
          <w:szCs w:val="24"/>
        </w:rPr>
        <w:t>.8上述所述的各项检验仅是现场的到货检验，即使所发现问题已由乙方按索赔要求进行了更换或修理，但其均不能被视为乙方对合同11款及合同附件的规定应承担的质量保证责任的免除。</w:t>
      </w:r>
    </w:p>
    <w:p>
      <w:pPr>
        <w:ind w:firstLine="482" w:firstLineChars="200"/>
        <w:rPr>
          <w:rFonts w:ascii="宋体" w:hAnsi="宋体" w:cs="宋体"/>
          <w:b/>
          <w:sz w:val="24"/>
          <w:szCs w:val="24"/>
        </w:rPr>
      </w:pPr>
      <w:r>
        <w:rPr>
          <w:rFonts w:hint="eastAsia" w:ascii="宋体" w:hAnsi="宋体" w:cs="宋体"/>
          <w:b/>
          <w:sz w:val="24"/>
          <w:szCs w:val="24"/>
        </w:rPr>
        <w:t>10、安装、调试、试运和验收</w:t>
      </w:r>
    </w:p>
    <w:p>
      <w:pPr>
        <w:ind w:firstLine="480" w:firstLineChars="200"/>
        <w:rPr>
          <w:rFonts w:ascii="宋体" w:hAnsi="宋体" w:cs="宋体"/>
          <w:sz w:val="24"/>
          <w:szCs w:val="24"/>
        </w:rPr>
      </w:pPr>
      <w:r>
        <w:rPr>
          <w:rFonts w:hint="eastAsia" w:ascii="宋体" w:hAnsi="宋体" w:cs="宋体"/>
          <w:sz w:val="24"/>
          <w:szCs w:val="24"/>
        </w:rPr>
        <w:t>10.1本合同设备由乙方根据甲方提供的技术资料、检验标准、图纸（如有）及说明书进行安装、调试、运行和维修。重要工序须经乙方现场技术服务人员签字确认。重要工序由乙方提供（见合同附件）。安装、调试过程中，若甲方未按乙方的技术资料规定和现场技术服务人员指导、未经乙方现场技术服务人员签字确认而出现问题，甲方自行负责（设备问题除外）；若甲方按乙方技术资料规定和现场技术服务人员的指导、乙方现场技术服务人员签字确认而出现问题，乙方承担责任。</w:t>
      </w:r>
    </w:p>
    <w:p>
      <w:pPr>
        <w:ind w:firstLine="480" w:firstLineChars="200"/>
        <w:rPr>
          <w:rFonts w:ascii="宋体" w:hAnsi="宋体" w:cs="宋体"/>
          <w:sz w:val="24"/>
          <w:szCs w:val="24"/>
        </w:rPr>
      </w:pPr>
      <w:r>
        <w:rPr>
          <w:rFonts w:hint="eastAsia" w:ascii="宋体" w:hAnsi="宋体" w:cs="宋体"/>
          <w:sz w:val="24"/>
          <w:szCs w:val="24"/>
        </w:rPr>
        <w:t>10.2本合同设备供货及相应车辆上牌完毕后的验收工作按照本合同附件中的相关规定的要求进行。</w:t>
      </w:r>
    </w:p>
    <w:p>
      <w:pPr>
        <w:ind w:firstLine="480" w:firstLineChars="200"/>
        <w:rPr>
          <w:rFonts w:ascii="宋体" w:hAnsi="宋体" w:cs="宋体"/>
          <w:sz w:val="24"/>
          <w:szCs w:val="24"/>
        </w:rPr>
      </w:pPr>
      <w:r>
        <w:rPr>
          <w:rFonts w:hint="eastAsia" w:ascii="宋体" w:hAnsi="宋体" w:cs="宋体"/>
          <w:sz w:val="24"/>
          <w:szCs w:val="24"/>
        </w:rPr>
        <w:t>10.3合同设备供货完毕后，乙方应派人参加调试进行技术指导，并应尽快解决调试中出现的设备问题，其所需时间应不超过15日，否则将参照11.10款的延误工期进行处理。</w:t>
      </w:r>
    </w:p>
    <w:p>
      <w:pPr>
        <w:ind w:firstLine="480" w:firstLineChars="200"/>
        <w:rPr>
          <w:rFonts w:ascii="宋体" w:hAnsi="宋体" w:cs="宋体"/>
          <w:sz w:val="24"/>
          <w:szCs w:val="24"/>
        </w:rPr>
      </w:pPr>
      <w:r>
        <w:rPr>
          <w:rFonts w:hint="eastAsia" w:ascii="宋体" w:hAnsi="宋体" w:cs="宋体"/>
          <w:sz w:val="24"/>
          <w:szCs w:val="24"/>
        </w:rPr>
        <w:t>10.4乙方在车管所上牌后的大型专项作业车辆需配备GPS车载卫星定位终端，右侧盲区雷达监测及倒车后视系统，在显眼的展示区域包括但不限于车身周围、车尾处标注“东实环境”及logo。该项验收试验由甲方负责，乙方参加。</w:t>
      </w:r>
    </w:p>
    <w:p>
      <w:pPr>
        <w:ind w:firstLine="480" w:firstLineChars="200"/>
        <w:rPr>
          <w:rFonts w:ascii="宋体" w:hAnsi="宋体" w:cs="宋体"/>
          <w:sz w:val="24"/>
          <w:szCs w:val="24"/>
        </w:rPr>
      </w:pPr>
      <w:r>
        <w:rPr>
          <w:rFonts w:hint="eastAsia" w:ascii="宋体" w:hAnsi="宋体" w:cs="宋体"/>
          <w:sz w:val="24"/>
          <w:szCs w:val="24"/>
        </w:rPr>
        <w:t>10.5在不影响本合同设备安全、可靠运行的条件下，如设备有个别微小缺陷，乙方在双方商定的时间内免费修理上述的缺陷，甲方则可同意签署初步验收证书。</w:t>
      </w:r>
    </w:p>
    <w:p>
      <w:pPr>
        <w:ind w:firstLine="480" w:firstLineChars="200"/>
        <w:rPr>
          <w:rFonts w:ascii="宋体" w:hAnsi="宋体" w:cs="宋体"/>
          <w:sz w:val="24"/>
          <w:szCs w:val="24"/>
        </w:rPr>
      </w:pPr>
      <w:r>
        <w:rPr>
          <w:rFonts w:hint="eastAsia" w:ascii="宋体" w:hAnsi="宋体" w:cs="宋体"/>
          <w:sz w:val="24"/>
          <w:szCs w:val="24"/>
        </w:rPr>
        <w:t>10.6如果调试达不到本合同附件所规定的一项或多项性能保证值，则双方应共同分析原因，澄清责任，由责任一方采取措施，并在第一次验收试验结束后</w:t>
      </w:r>
      <w:r>
        <w:rPr>
          <w:rFonts w:hint="eastAsia" w:ascii="宋体" w:hAnsi="宋体" w:cs="宋体"/>
          <w:sz w:val="24"/>
          <w:szCs w:val="24"/>
          <w:u w:val="single"/>
        </w:rPr>
        <w:t xml:space="preserve"> 3日</w:t>
      </w:r>
      <w:r>
        <w:rPr>
          <w:rFonts w:hint="eastAsia" w:ascii="宋体" w:hAnsi="宋体" w:cs="宋体"/>
          <w:sz w:val="24"/>
          <w:szCs w:val="24"/>
        </w:rPr>
        <w:t>内进行第二次调试。</w:t>
      </w:r>
    </w:p>
    <w:p>
      <w:pPr>
        <w:ind w:firstLine="480" w:firstLineChars="200"/>
        <w:rPr>
          <w:rFonts w:ascii="宋体" w:hAnsi="宋体" w:cs="宋体"/>
          <w:sz w:val="24"/>
          <w:szCs w:val="24"/>
        </w:rPr>
      </w:pPr>
      <w:r>
        <w:rPr>
          <w:rFonts w:hint="eastAsia" w:ascii="宋体" w:hAnsi="宋体" w:cs="宋体"/>
          <w:sz w:val="24"/>
          <w:szCs w:val="24"/>
        </w:rPr>
        <w:t>10.7在第二次性调试后，如仍有一项或多项指标未能达到本合同附件所规定的性能保证值，双方应共同研究，分析原因，澄清责任：</w:t>
      </w:r>
    </w:p>
    <w:p>
      <w:pPr>
        <w:ind w:firstLine="480" w:firstLineChars="200"/>
        <w:rPr>
          <w:rFonts w:ascii="宋体" w:hAnsi="宋体" w:cs="宋体"/>
          <w:sz w:val="24"/>
          <w:szCs w:val="24"/>
        </w:rPr>
      </w:pPr>
      <w:r>
        <w:rPr>
          <w:rFonts w:hint="eastAsia" w:ascii="宋体" w:hAnsi="宋体" w:cs="宋体"/>
          <w:sz w:val="24"/>
          <w:szCs w:val="24"/>
        </w:rPr>
        <w:t>如属乙方原因，则应按本合同11款执行。</w:t>
      </w:r>
    </w:p>
    <w:p>
      <w:pPr>
        <w:ind w:firstLine="480" w:firstLineChars="200"/>
        <w:rPr>
          <w:rFonts w:ascii="宋体" w:hAnsi="宋体" w:cs="宋体"/>
          <w:sz w:val="24"/>
          <w:szCs w:val="24"/>
        </w:rPr>
      </w:pPr>
      <w:r>
        <w:rPr>
          <w:rFonts w:hint="eastAsia" w:ascii="宋体" w:hAnsi="宋体" w:cs="宋体"/>
          <w:sz w:val="24"/>
          <w:szCs w:val="24"/>
        </w:rPr>
        <w:t>如属甲方原因，本合同设备应被认为初步验收通过，此后</w:t>
      </w:r>
      <w:r>
        <w:rPr>
          <w:rFonts w:hint="eastAsia" w:ascii="宋体" w:hAnsi="宋体" w:cs="宋体"/>
          <w:sz w:val="24"/>
          <w:szCs w:val="24"/>
          <w:u w:val="single"/>
        </w:rPr>
        <w:t xml:space="preserve"> 三十</w:t>
      </w:r>
      <w:r>
        <w:rPr>
          <w:rFonts w:hint="eastAsia" w:ascii="宋体" w:hAnsi="宋体" w:cs="宋体"/>
          <w:sz w:val="24"/>
          <w:szCs w:val="24"/>
        </w:rPr>
        <w:t>天内由甲方代表签署由乙方代表会签的本合同设备初步验收证书一式二份，双方各执一份。此时乙方仍有义务与甲方一起采取措施，使合同设备性能达到保证值。</w:t>
      </w:r>
    </w:p>
    <w:p>
      <w:pPr>
        <w:ind w:firstLine="480" w:firstLineChars="200"/>
        <w:rPr>
          <w:rStyle w:val="35"/>
          <w:rFonts w:ascii="宋体" w:hAnsi="宋体" w:cs="宋体"/>
          <w:sz w:val="24"/>
          <w:szCs w:val="24"/>
        </w:rPr>
      </w:pPr>
      <w:r>
        <w:rPr>
          <w:rFonts w:hint="eastAsia" w:ascii="宋体" w:hAnsi="宋体" w:cs="宋体"/>
          <w:sz w:val="24"/>
          <w:szCs w:val="24"/>
        </w:rPr>
        <w:t>10.8自项目验收合格之日起计算质保期。</w:t>
      </w:r>
    </w:p>
    <w:p>
      <w:pPr>
        <w:ind w:firstLine="480" w:firstLineChars="200"/>
        <w:rPr>
          <w:rFonts w:ascii="宋体" w:hAnsi="宋体" w:cs="宋体"/>
          <w:sz w:val="24"/>
          <w:szCs w:val="24"/>
        </w:rPr>
      </w:pPr>
      <w:r>
        <w:rPr>
          <w:rFonts w:hint="eastAsia" w:ascii="宋体" w:hAnsi="宋体" w:cs="宋体"/>
          <w:sz w:val="24"/>
          <w:szCs w:val="24"/>
        </w:rPr>
        <w:t>10.9按合同条款出具的初步验收证书只是证明乙方所提供的合同设备性能和参数截至出具初步验收证明时可以按合同要求予以接受，但不能视为乙方对合同设备中潜在缺陷所应负的责任免除的证据，同样，竣工验收证书也不能被视为乙方对合同设备中潜在缺陷应负责任的免除的证据。当发现这类潜在缺陷时，乙方应按照本合同条款款的规定进行修理或调换，相关费用由乙方承担。</w:t>
      </w:r>
    </w:p>
    <w:p>
      <w:pPr>
        <w:ind w:firstLine="480" w:firstLineChars="200"/>
        <w:rPr>
          <w:rFonts w:ascii="宋体" w:hAnsi="宋体" w:cs="宋体"/>
          <w:strike/>
          <w:sz w:val="24"/>
          <w:szCs w:val="24"/>
        </w:rPr>
      </w:pPr>
      <w:r>
        <w:rPr>
          <w:rFonts w:ascii="宋体" w:hAnsi="宋体" w:cs="宋体"/>
          <w:sz w:val="24"/>
          <w:szCs w:val="24"/>
        </w:rPr>
        <w:t>10.10</w:t>
      </w:r>
      <w:r>
        <w:rPr>
          <w:rFonts w:hint="eastAsia" w:ascii="宋体" w:hAnsi="宋体" w:cs="宋体"/>
          <w:sz w:val="24"/>
          <w:szCs w:val="24"/>
          <w:lang w:val="en-US" w:eastAsia="zh-CN"/>
        </w:rPr>
        <w:t>本合同项下的售后服务按</w:t>
      </w:r>
      <w:r>
        <w:rPr>
          <w:rFonts w:hint="eastAsia" w:ascii="宋体" w:hAnsi="宋体" w:eastAsia="宋体" w:cs="宋体"/>
          <w:sz w:val="24"/>
          <w:szCs w:val="24"/>
        </w:rPr>
        <w:t>用户需求书</w:t>
      </w:r>
      <w:r>
        <w:rPr>
          <w:rFonts w:hint="eastAsia" w:ascii="宋体" w:hAnsi="宋体" w:cs="宋体"/>
          <w:strike w:val="0"/>
          <w:sz w:val="24"/>
          <w:szCs w:val="24"/>
          <w:lang w:val="en-US" w:eastAsia="zh-CN"/>
        </w:rPr>
        <w:t>中的</w:t>
      </w:r>
      <w:r>
        <w:rPr>
          <w:rFonts w:hint="eastAsia" w:ascii="宋体" w:hAnsi="宋体" w:cs="宋体"/>
          <w:strike w:val="0"/>
          <w:sz w:val="24"/>
          <w:szCs w:val="24"/>
        </w:rPr>
        <w:t>售后服务</w:t>
      </w:r>
      <w:r>
        <w:rPr>
          <w:rFonts w:hint="eastAsia" w:ascii="宋体" w:hAnsi="宋体" w:cs="宋体"/>
          <w:strike w:val="0"/>
          <w:sz w:val="24"/>
          <w:szCs w:val="24"/>
          <w:lang w:val="en-US" w:eastAsia="zh-CN"/>
        </w:rPr>
        <w:t>约定</w:t>
      </w:r>
      <w:r>
        <w:rPr>
          <w:rFonts w:hint="eastAsia" w:ascii="宋体" w:hAnsi="宋体" w:cs="宋体"/>
          <w:strike w:val="0"/>
          <w:sz w:val="24"/>
          <w:szCs w:val="24"/>
        </w:rPr>
        <w:t>执行。</w:t>
      </w:r>
    </w:p>
    <w:p>
      <w:pPr>
        <w:ind w:firstLine="482" w:firstLineChars="200"/>
        <w:rPr>
          <w:rFonts w:ascii="宋体" w:hAnsi="宋体" w:cs="宋体"/>
          <w:b/>
          <w:sz w:val="24"/>
          <w:szCs w:val="24"/>
        </w:rPr>
      </w:pPr>
      <w:r>
        <w:rPr>
          <w:rFonts w:hint="eastAsia" w:ascii="宋体" w:hAnsi="宋体" w:cs="宋体"/>
          <w:b/>
          <w:sz w:val="24"/>
          <w:szCs w:val="24"/>
        </w:rPr>
        <w:t>11、保证与索赔</w:t>
      </w:r>
    </w:p>
    <w:p>
      <w:pPr>
        <w:snapToGrid/>
        <w:spacing w:line="240" w:lineRule="auto"/>
        <w:ind w:firstLine="480" w:firstLineChars="200"/>
        <w:outlineLvl w:val="1"/>
        <w:rPr>
          <w:rFonts w:ascii="宋体" w:hAnsi="宋体" w:cs="宋体"/>
          <w:sz w:val="24"/>
          <w:szCs w:val="24"/>
        </w:rPr>
      </w:pPr>
      <w:r>
        <w:rPr>
          <w:rFonts w:hint="eastAsia" w:ascii="宋体" w:hAnsi="宋体" w:cs="宋体"/>
          <w:sz w:val="24"/>
          <w:szCs w:val="24"/>
        </w:rPr>
        <w:t>11.1设备质保期：自双方签订验收合格材料之日起1年。如个体设备有更高要求的，遵循更高要求。</w:t>
      </w:r>
    </w:p>
    <w:p>
      <w:pPr>
        <w:snapToGrid/>
        <w:spacing w:line="240" w:lineRule="auto"/>
        <w:ind w:firstLine="480" w:firstLineChars="200"/>
        <w:outlineLvl w:val="1"/>
        <w:rPr>
          <w:rFonts w:ascii="宋体" w:hAnsi="宋体" w:cs="宋体"/>
          <w:sz w:val="24"/>
          <w:szCs w:val="24"/>
        </w:rPr>
      </w:pPr>
      <w:r>
        <w:rPr>
          <w:rFonts w:hint="eastAsia" w:ascii="宋体" w:hAnsi="宋体" w:cs="宋体"/>
          <w:sz w:val="24"/>
          <w:szCs w:val="24"/>
        </w:rPr>
        <w:t>1</w:t>
      </w:r>
      <w:r>
        <w:rPr>
          <w:rFonts w:ascii="宋体" w:hAnsi="宋体" w:cs="宋体"/>
          <w:sz w:val="24"/>
          <w:szCs w:val="24"/>
        </w:rPr>
        <w:t>1.1.</w:t>
      </w:r>
      <w:r>
        <w:rPr>
          <w:rFonts w:hint="eastAsia" w:ascii="宋体" w:hAnsi="宋体" w:cs="宋体"/>
          <w:sz w:val="24"/>
          <w:szCs w:val="24"/>
        </w:rPr>
        <w:t>1. 按生产厂家（包括底盘厂家）的质保期执行标准超过一年的，按更高标准执行，但上装部分不得少于12个月（用户单位验收合格之日起计算）。质保期内，乙方负责对其提供的货物整体进行维修和系统维护，维修保养费用计入总价，不再收取任何费用。</w:t>
      </w:r>
    </w:p>
    <w:p>
      <w:pPr>
        <w:snapToGrid/>
        <w:spacing w:line="240" w:lineRule="auto"/>
        <w:ind w:firstLine="480" w:firstLineChars="200"/>
        <w:outlineLvl w:val="1"/>
        <w:rPr>
          <w:rFonts w:ascii="宋体" w:hAnsi="宋体" w:cs="宋体"/>
          <w:sz w:val="24"/>
          <w:szCs w:val="24"/>
        </w:rPr>
      </w:pPr>
      <w:r>
        <w:rPr>
          <w:rFonts w:ascii="宋体" w:hAnsi="宋体" w:cs="宋体"/>
          <w:sz w:val="24"/>
          <w:szCs w:val="24"/>
        </w:rPr>
        <w:t>11.1.</w:t>
      </w:r>
      <w:r>
        <w:rPr>
          <w:rFonts w:hint="eastAsia" w:ascii="宋体" w:hAnsi="宋体" w:cs="宋体"/>
          <w:sz w:val="24"/>
          <w:szCs w:val="24"/>
        </w:rPr>
        <w:t>2. 质保期内，因货物质量造成的货物损坏、失效或已达到报废标准的零部件除无偿更换外，对更换上的零部件的质保期从更换日起计。</w:t>
      </w:r>
    </w:p>
    <w:p>
      <w:pPr>
        <w:snapToGrid/>
        <w:spacing w:line="240" w:lineRule="auto"/>
        <w:ind w:firstLine="480" w:firstLineChars="200"/>
        <w:outlineLvl w:val="1"/>
        <w:rPr>
          <w:rFonts w:ascii="宋体" w:hAnsi="宋体" w:cs="宋体"/>
          <w:sz w:val="24"/>
          <w:szCs w:val="24"/>
        </w:rPr>
      </w:pPr>
      <w:r>
        <w:rPr>
          <w:rFonts w:ascii="宋体" w:hAnsi="宋体" w:cs="宋体"/>
          <w:sz w:val="24"/>
          <w:szCs w:val="24"/>
        </w:rPr>
        <w:t>11.1.</w:t>
      </w:r>
      <w:r>
        <w:rPr>
          <w:rFonts w:hint="eastAsia" w:ascii="宋体" w:hAnsi="宋体" w:cs="宋体"/>
          <w:sz w:val="24"/>
          <w:szCs w:val="24"/>
        </w:rPr>
        <w:t>3. 质保期内，乙方负责提供不低于原厂配置的维修保养服务，货物非人为原因造成质量问题，乙方应负责修理。</w:t>
      </w:r>
    </w:p>
    <w:p>
      <w:pPr>
        <w:snapToGrid/>
        <w:spacing w:line="240" w:lineRule="auto"/>
        <w:ind w:firstLine="480" w:firstLineChars="200"/>
        <w:outlineLvl w:val="1"/>
        <w:rPr>
          <w:rFonts w:ascii="宋体" w:hAnsi="宋体" w:cs="宋体"/>
          <w:sz w:val="24"/>
          <w:szCs w:val="24"/>
        </w:rPr>
      </w:pPr>
      <w:r>
        <w:rPr>
          <w:rFonts w:ascii="宋体" w:hAnsi="宋体" w:cs="宋体"/>
          <w:sz w:val="24"/>
          <w:szCs w:val="24"/>
        </w:rPr>
        <w:t>11.1.</w:t>
      </w:r>
      <w:r>
        <w:rPr>
          <w:rFonts w:hint="eastAsia" w:ascii="宋体" w:hAnsi="宋体" w:cs="宋体"/>
          <w:sz w:val="24"/>
          <w:szCs w:val="24"/>
        </w:rPr>
        <w:t>4. 所有货物质保服务方式均为乙方上门服务，即由乙方派员到货物使用现场维修，由此产生一切费用均由乙方承担。</w:t>
      </w:r>
    </w:p>
    <w:p>
      <w:pPr>
        <w:snapToGrid/>
        <w:spacing w:line="240" w:lineRule="auto"/>
        <w:ind w:firstLine="480" w:firstLineChars="200"/>
        <w:outlineLvl w:val="1"/>
        <w:rPr>
          <w:rFonts w:ascii="宋体" w:hAnsi="宋体" w:cs="宋体"/>
          <w:sz w:val="24"/>
          <w:szCs w:val="24"/>
        </w:rPr>
      </w:pPr>
      <w:r>
        <w:rPr>
          <w:rFonts w:ascii="宋体" w:hAnsi="宋体" w:cs="宋体"/>
          <w:sz w:val="24"/>
          <w:szCs w:val="24"/>
        </w:rPr>
        <w:t>11.1.</w:t>
      </w:r>
      <w:r>
        <w:rPr>
          <w:rFonts w:hint="eastAsia" w:ascii="宋体" w:hAnsi="宋体" w:cs="宋体"/>
          <w:sz w:val="24"/>
          <w:szCs w:val="24"/>
        </w:rPr>
        <w:t>5. 质保期过后，仍须提供终身维修，维修只收取配件成本费，免收工时费和差旅费。</w:t>
      </w:r>
    </w:p>
    <w:p>
      <w:pPr>
        <w:snapToGrid/>
        <w:spacing w:line="240" w:lineRule="auto"/>
        <w:ind w:firstLine="480" w:firstLineChars="200"/>
        <w:outlineLvl w:val="1"/>
        <w:rPr>
          <w:rFonts w:ascii="宋体" w:hAnsi="宋体" w:cs="宋体"/>
          <w:sz w:val="24"/>
          <w:szCs w:val="24"/>
        </w:rPr>
      </w:pPr>
      <w:r>
        <w:rPr>
          <w:rFonts w:ascii="宋体" w:hAnsi="宋体" w:cs="宋体"/>
          <w:sz w:val="24"/>
          <w:szCs w:val="24"/>
        </w:rPr>
        <w:t>11.1.</w:t>
      </w:r>
      <w:r>
        <w:rPr>
          <w:rFonts w:hint="eastAsia" w:ascii="宋体" w:hAnsi="宋体" w:cs="宋体"/>
          <w:sz w:val="24"/>
          <w:szCs w:val="24"/>
        </w:rPr>
        <w:t>6. 乙方在东莞市设有售后服务站，提供24小时电话服务热线，保证在接到故障电话（或书面通知） 1小时内响应（即能提供满足用户需要的解决方法），2小时内到达故障现场进行排障，并在 24 小时内修复（交通事故导致车辆损坏或损毁除外）。</w:t>
      </w:r>
    </w:p>
    <w:p>
      <w:pPr>
        <w:snapToGrid/>
        <w:spacing w:line="240" w:lineRule="auto"/>
        <w:ind w:firstLine="480" w:firstLineChars="200"/>
        <w:outlineLvl w:val="1"/>
        <w:rPr>
          <w:rFonts w:ascii="宋体" w:hAnsi="宋体" w:cs="宋体"/>
          <w:sz w:val="24"/>
          <w:szCs w:val="24"/>
        </w:rPr>
      </w:pPr>
      <w:r>
        <w:rPr>
          <w:rFonts w:ascii="宋体" w:hAnsi="宋体" w:cs="宋体"/>
          <w:sz w:val="24"/>
          <w:szCs w:val="24"/>
        </w:rPr>
        <w:t>11.1.</w:t>
      </w:r>
      <w:r>
        <w:rPr>
          <w:rFonts w:hint="eastAsia" w:ascii="宋体" w:hAnsi="宋体" w:cs="宋体"/>
          <w:sz w:val="24"/>
          <w:szCs w:val="24"/>
        </w:rPr>
        <w:t>7. 乙方应为甲方提供免费培训服务，出具培训方案，并指派专人负责与甲方联系售后服务事宜。主要培训内容为车辆设备的基本结构、主要部件的构造、日常使用操作、保养与管理、常见故障的排除、紧急情况的处理等，如甲方未使用过同类型货物，乙方还需就货物的功能对甲方进行相应的技术培训和安全操作规范培训，培训地点主要在车辆交付现场或由双方约定。</w:t>
      </w:r>
    </w:p>
    <w:p>
      <w:pPr>
        <w:snapToGrid/>
        <w:spacing w:line="240" w:lineRule="auto"/>
        <w:ind w:firstLine="480" w:firstLineChars="200"/>
        <w:outlineLvl w:val="1"/>
        <w:rPr>
          <w:rFonts w:ascii="宋体" w:hAnsi="宋体" w:cs="宋体"/>
          <w:sz w:val="24"/>
          <w:szCs w:val="24"/>
        </w:rPr>
      </w:pPr>
      <w:r>
        <w:rPr>
          <w:rFonts w:ascii="宋体" w:hAnsi="宋体" w:cs="宋体"/>
          <w:sz w:val="24"/>
          <w:szCs w:val="24"/>
        </w:rPr>
        <w:t>11.1.</w:t>
      </w:r>
      <w:r>
        <w:rPr>
          <w:rFonts w:hint="eastAsia" w:ascii="宋体" w:hAnsi="宋体" w:cs="宋体"/>
          <w:sz w:val="24"/>
          <w:szCs w:val="24"/>
        </w:rPr>
        <w:t>8.乙方应建立质量跟踪档案，对采购方进行每月一次的定期回访（电话或现场），以保证设备的正常高效运行。</w:t>
      </w:r>
    </w:p>
    <w:p>
      <w:pPr>
        <w:ind w:firstLine="480" w:firstLineChars="200"/>
        <w:rPr>
          <w:rFonts w:ascii="宋体" w:hAnsi="宋体" w:cs="宋体"/>
          <w:sz w:val="24"/>
          <w:szCs w:val="24"/>
        </w:rPr>
      </w:pPr>
      <w:r>
        <w:rPr>
          <w:rFonts w:hint="eastAsia" w:ascii="宋体" w:hAnsi="宋体" w:cs="宋体"/>
          <w:sz w:val="24"/>
          <w:szCs w:val="24"/>
        </w:rPr>
        <w:t>1</w:t>
      </w:r>
      <w:r>
        <w:rPr>
          <w:rFonts w:ascii="宋体" w:hAnsi="宋体" w:cs="宋体"/>
          <w:sz w:val="24"/>
          <w:szCs w:val="24"/>
        </w:rPr>
        <w:t>1.1.9</w:t>
      </w:r>
      <w:r>
        <w:rPr>
          <w:rFonts w:hint="eastAsia" w:ascii="宋体" w:hAnsi="宋体" w:cs="宋体"/>
          <w:sz w:val="24"/>
          <w:szCs w:val="24"/>
        </w:rPr>
        <w:t>质保期内由乙方提供质保服务期间所有产生涉及定期维修保养的费用（如人工费、交通费、食宿费、设备配件备件费、运输费等）由乙方自行承担。如在设备质保期间设备损坏导致无法维修或无法短时间内完成维修的，由乙方免费提供备件供甲方使用直至原设备维修完成。该质保期的具体内容按本合同的有关条款执行。</w:t>
      </w:r>
    </w:p>
    <w:p>
      <w:pPr>
        <w:ind w:firstLine="480" w:firstLineChars="200"/>
        <w:rPr>
          <w:rFonts w:ascii="宋体" w:hAnsi="宋体" w:cs="宋体"/>
          <w:sz w:val="24"/>
          <w:szCs w:val="24"/>
        </w:rPr>
      </w:pPr>
      <w:r>
        <w:rPr>
          <w:rFonts w:hint="eastAsia" w:ascii="宋体" w:hAnsi="宋体" w:cs="宋体"/>
          <w:sz w:val="24"/>
          <w:szCs w:val="24"/>
        </w:rPr>
        <w:t>11.2乙方保证其供应的本合同设备是全新的，技术水平是先进的、成熟的、质量优良的，设备的设计制造均符合安全可靠、经济运行和易于维护的要求。乙方保证根据本合同附件（招投标文件）所交付的技术资料完整统一和内容正确、准确的并能满足合同设备的设计、安装、调试、运行和维修的要求；因乙方设备原因造成的年强迫设备停止运行次数不大于两次。</w:t>
      </w:r>
    </w:p>
    <w:p>
      <w:pPr>
        <w:ind w:firstLine="480" w:firstLineChars="200"/>
        <w:rPr>
          <w:rFonts w:ascii="宋体" w:hAnsi="宋体" w:cs="宋体"/>
          <w:sz w:val="24"/>
          <w:szCs w:val="24"/>
        </w:rPr>
      </w:pPr>
      <w:r>
        <w:rPr>
          <w:rFonts w:hint="eastAsia" w:ascii="宋体" w:hAnsi="宋体" w:cs="宋体"/>
          <w:sz w:val="24"/>
          <w:szCs w:val="24"/>
        </w:rPr>
        <w:t>11.3如果乙方提供的设备有缺陷或技术资料有错误，或者由于乙方技术人员指导错误或疏忽，造成设备出现故障的，乙方应立即无偿更换和修理。如需更换或修理，乙方应负担由此产生的到安装现场更换或修理的一切费用，更换或修理期限应不迟于证实属乙方责任之日起的半个月（1</w:t>
      </w:r>
      <w:r>
        <w:rPr>
          <w:rFonts w:ascii="宋体" w:hAnsi="宋体" w:cs="宋体"/>
          <w:sz w:val="24"/>
          <w:szCs w:val="24"/>
        </w:rPr>
        <w:t>5</w:t>
      </w:r>
      <w:r>
        <w:rPr>
          <w:rFonts w:hint="eastAsia" w:ascii="宋体" w:hAnsi="宋体" w:cs="宋体"/>
          <w:sz w:val="24"/>
          <w:szCs w:val="24"/>
        </w:rPr>
        <w:t>天）内，否则，应按11.10款处理。</w:t>
      </w:r>
    </w:p>
    <w:p>
      <w:pPr>
        <w:ind w:firstLine="480" w:firstLineChars="200"/>
        <w:rPr>
          <w:rFonts w:ascii="宋体" w:hAnsi="宋体" w:cs="宋体"/>
          <w:sz w:val="24"/>
          <w:szCs w:val="24"/>
        </w:rPr>
      </w:pPr>
      <w:r>
        <w:rPr>
          <w:rFonts w:hint="eastAsia" w:ascii="宋体" w:hAnsi="宋体" w:cs="宋体"/>
          <w:sz w:val="24"/>
          <w:szCs w:val="24"/>
        </w:rPr>
        <w:t>11.4由于甲方未按乙方所提供的技术资料、图纸、说明书和乙方现场技术服务人员的指导而进行安装、调试造成的设备损坏，由甲方负责修理、更换，但乙方有义务尽快提供所需更换的部件，对于甲方要求的紧急部件，乙方应安排最快的方式运输到甲方施工工地，所有费用均由甲方负担。</w:t>
      </w:r>
    </w:p>
    <w:p>
      <w:pPr>
        <w:ind w:firstLine="480" w:firstLineChars="200"/>
        <w:rPr>
          <w:rFonts w:ascii="宋体" w:hAnsi="宋体" w:cs="宋体"/>
          <w:sz w:val="24"/>
          <w:szCs w:val="24"/>
        </w:rPr>
      </w:pPr>
      <w:r>
        <w:rPr>
          <w:rFonts w:hint="eastAsia" w:ascii="宋体" w:hAnsi="宋体" w:cs="宋体"/>
          <w:sz w:val="24"/>
          <w:szCs w:val="24"/>
        </w:rPr>
        <w:t>11.5合同规定的质保期满后，由甲方在15天内出具合同设备质保期满竣工验收证书交给乙方。条件是：在此期间乙方应完成甲方在质保期满前提出的索赔和赔偿。但乙方对甲方的非正常维修和误操作以及由于正常磨损造成的损失不负责任。</w:t>
      </w:r>
    </w:p>
    <w:p>
      <w:pPr>
        <w:ind w:firstLine="480" w:firstLineChars="200"/>
        <w:rPr>
          <w:rFonts w:ascii="宋体" w:hAnsi="宋体" w:cs="宋体"/>
          <w:sz w:val="24"/>
          <w:szCs w:val="24"/>
        </w:rPr>
      </w:pPr>
      <w:r>
        <w:rPr>
          <w:rFonts w:hint="eastAsia" w:ascii="宋体" w:hAnsi="宋体" w:cs="宋体"/>
          <w:sz w:val="24"/>
          <w:szCs w:val="24"/>
        </w:rPr>
        <w:t>11.6在质保期内，如发现设备有缺陷，不符合本合同规定时，如属乙方责任，则甲方有权向乙方以书面形式提出索赔。如乙方对索赔有异议按9.2.4条款办理。否则乙方在接到甲方索赔文件后【三】天内，应立即无偿修理、更换、赔款或委托甲方安排大型修理。包括由此产生的到安装现场的人员差旅费、更换费用、运费及保险费由乙方负担。</w:t>
      </w:r>
    </w:p>
    <w:p>
      <w:pPr>
        <w:ind w:firstLine="480" w:firstLineChars="200"/>
        <w:rPr>
          <w:rFonts w:ascii="宋体" w:hAnsi="宋体" w:cs="宋体"/>
          <w:sz w:val="24"/>
          <w:szCs w:val="24"/>
        </w:rPr>
      </w:pPr>
      <w:r>
        <w:rPr>
          <w:rFonts w:hint="eastAsia" w:ascii="宋体" w:hAnsi="宋体" w:cs="宋体"/>
          <w:sz w:val="24"/>
          <w:szCs w:val="24"/>
        </w:rPr>
        <w:t>11.7如由于乙方责任需要更换、修理有缺陷的设备，而使合同设备停运或推迟安装时，则质保期应按实际修理或更换所延误的时间做相应的延长。</w:t>
      </w:r>
    </w:p>
    <w:p>
      <w:pPr>
        <w:ind w:firstLine="480" w:firstLineChars="200"/>
        <w:rPr>
          <w:rFonts w:ascii="宋体" w:hAnsi="宋体" w:cs="宋体"/>
          <w:sz w:val="24"/>
          <w:szCs w:val="24"/>
        </w:rPr>
      </w:pPr>
      <w:r>
        <w:rPr>
          <w:rFonts w:hint="eastAsia" w:ascii="宋体" w:hAnsi="宋体" w:cs="宋体"/>
          <w:sz w:val="24"/>
          <w:szCs w:val="24"/>
        </w:rPr>
        <w:t>11.8由于乙方责任，在招投标文件规定的调试阶段，如经第二次调试仍不能达到本合同附件所规定的一项或多项保证指标时，乙方应采取各种措施以便设备达到各项指标。乙方提供的设备、技术服务、技术资料等存在严重的质量问题，足以导致所提供设备无法正常运作时，乙方应尽快采取办法解决，出现问题后48小时内乙方仍无法解决，乙方应提供同等设备给予甲方使用。如出现问题但乙方不予解决或经解决仍不能使设备正常运行，甲方有权解除合同并要求乙方承担赔偿责任。</w:t>
      </w:r>
    </w:p>
    <w:p>
      <w:pPr>
        <w:ind w:firstLine="480" w:firstLineChars="200"/>
        <w:rPr>
          <w:rFonts w:ascii="宋体" w:hAnsi="宋体" w:cs="宋体"/>
          <w:sz w:val="24"/>
          <w:szCs w:val="24"/>
        </w:rPr>
      </w:pPr>
      <w:r>
        <w:rPr>
          <w:rFonts w:hint="eastAsia" w:ascii="宋体" w:hAnsi="宋体" w:cs="宋体"/>
          <w:sz w:val="24"/>
          <w:szCs w:val="24"/>
        </w:rPr>
        <w:t>11.9如合同设备在质保期内发现属乙方责任的十分严重的缺陷（如设备性能达不到要求等）则质保期将自该缺陷得到修正的当天开始起算，质保期限按11.1条的规定执行。</w:t>
      </w:r>
    </w:p>
    <w:p>
      <w:pPr>
        <w:ind w:firstLine="480" w:firstLineChars="200"/>
        <w:rPr>
          <w:rFonts w:ascii="宋体" w:hAnsi="宋体" w:cs="宋体"/>
          <w:sz w:val="24"/>
          <w:szCs w:val="24"/>
        </w:rPr>
      </w:pPr>
      <w:r>
        <w:rPr>
          <w:rFonts w:hint="eastAsia" w:ascii="宋体" w:hAnsi="宋体" w:cs="宋体"/>
          <w:sz w:val="24"/>
          <w:szCs w:val="24"/>
        </w:rPr>
        <w:t>11.10如果不是由于甲方原因或甲方要求，乙方未能在本合同约定的时间内完成项目验收的，甲方有权按下列比例向乙方收取违约金：</w:t>
      </w:r>
    </w:p>
    <w:p>
      <w:pPr>
        <w:ind w:firstLine="480" w:firstLineChars="200"/>
        <w:rPr>
          <w:rFonts w:ascii="宋体" w:hAnsi="宋体" w:cs="宋体"/>
          <w:sz w:val="24"/>
          <w:szCs w:val="24"/>
        </w:rPr>
      </w:pPr>
      <w:r>
        <w:rPr>
          <w:rFonts w:hint="eastAsia" w:ascii="宋体" w:hAnsi="宋体" w:cs="宋体"/>
          <w:kern w:val="2"/>
          <w:sz w:val="24"/>
          <w:szCs w:val="24"/>
        </w:rPr>
        <w:t>逾期1~5日，违约金应按每延误一日扣除中标金额的0.4%计算；2.逾期6~10日，违约金应按每延误一日扣除中标金额的0.7%计算；3.逾期11~15日，违约金应按每延误一日扣除中标金额的0.9%计算。若延误累计超过15日（不含15日）的，违约金为中标金额的20％。</w:t>
      </w:r>
    </w:p>
    <w:p>
      <w:pPr>
        <w:ind w:firstLine="480" w:firstLineChars="200"/>
        <w:rPr>
          <w:rFonts w:ascii="宋体" w:hAnsi="宋体" w:cs="宋体"/>
          <w:sz w:val="24"/>
          <w:szCs w:val="24"/>
        </w:rPr>
      </w:pPr>
      <w:r>
        <w:rPr>
          <w:rFonts w:hint="eastAsia" w:ascii="宋体" w:hAnsi="宋体" w:cs="宋体"/>
          <w:sz w:val="24"/>
          <w:szCs w:val="24"/>
        </w:rPr>
        <w:t>乙方支付以上违约金并不能排除其完成本项目的义务，或合同约定的其他义务和责任。</w:t>
      </w:r>
    </w:p>
    <w:p>
      <w:pPr>
        <w:ind w:firstLine="480" w:firstLineChars="200"/>
        <w:rPr>
          <w:rFonts w:ascii="宋体" w:hAnsi="宋体" w:cs="宋体"/>
          <w:sz w:val="24"/>
          <w:szCs w:val="24"/>
        </w:rPr>
      </w:pPr>
      <w:r>
        <w:rPr>
          <w:rFonts w:hint="eastAsia" w:ascii="宋体" w:hAnsi="宋体" w:cs="宋体"/>
          <w:sz w:val="24"/>
          <w:szCs w:val="24"/>
        </w:rPr>
        <w:t>违约赔偿金不足以弥补因此给甲方造成的损失的，乙方还应补足；</w:t>
      </w:r>
    </w:p>
    <w:p>
      <w:pPr>
        <w:tabs>
          <w:tab w:val="left" w:pos="420"/>
        </w:tabs>
        <w:ind w:left="420"/>
        <w:rPr>
          <w:rFonts w:ascii="宋体" w:hAnsi="宋体" w:cs="宋体"/>
          <w:sz w:val="24"/>
          <w:szCs w:val="24"/>
        </w:rPr>
      </w:pPr>
      <w:r>
        <w:rPr>
          <w:rFonts w:hint="eastAsia" w:ascii="宋体" w:hAnsi="宋体" w:cs="宋体"/>
          <w:sz w:val="24"/>
          <w:szCs w:val="24"/>
        </w:rPr>
        <w:t>乙方支付逾期违约金，并不免除乙方按照合同继续交货的义务；</w:t>
      </w:r>
    </w:p>
    <w:p>
      <w:pPr>
        <w:ind w:firstLine="480" w:firstLineChars="200"/>
        <w:rPr>
          <w:rFonts w:ascii="宋体" w:hAnsi="宋体" w:cs="宋体"/>
          <w:sz w:val="24"/>
          <w:szCs w:val="24"/>
        </w:rPr>
      </w:pPr>
      <w:r>
        <w:rPr>
          <w:rFonts w:hint="eastAsia" w:ascii="宋体" w:hAnsi="宋体" w:cs="宋体"/>
          <w:sz w:val="24"/>
          <w:szCs w:val="24"/>
        </w:rPr>
        <w:t>若延误累计超出15日（不含1</w:t>
      </w:r>
      <w:r>
        <w:rPr>
          <w:rFonts w:ascii="宋体" w:hAnsi="宋体" w:cs="宋体"/>
          <w:sz w:val="24"/>
          <w:szCs w:val="24"/>
        </w:rPr>
        <w:t>5</w:t>
      </w:r>
      <w:r>
        <w:rPr>
          <w:rFonts w:hint="eastAsia" w:ascii="宋体" w:hAnsi="宋体" w:cs="宋体"/>
          <w:sz w:val="24"/>
          <w:szCs w:val="24"/>
        </w:rPr>
        <w:t>日）的，甲方有权单方面解除合同并没收项目履约保证金，并要求乙方支付逾期违约金，违约金不足以弥补甲方损失的，乙方还应补足。</w:t>
      </w:r>
    </w:p>
    <w:p>
      <w:pPr>
        <w:tabs>
          <w:tab w:val="left" w:pos="420"/>
        </w:tabs>
        <w:ind w:left="420" w:firstLine="420" w:firstLineChars="200"/>
        <w:rPr>
          <w:rFonts w:hAnsi="宋体" w:cs="宋体"/>
        </w:rPr>
      </w:pPr>
      <w:r>
        <w:rPr>
          <w:rFonts w:hint="eastAsia" w:hAnsi="宋体" w:cs="宋体"/>
          <w:szCs w:val="24"/>
        </w:rPr>
        <w:t>如果经甲方同意给予了延期的，根据本款应缴纳的赔偿金额从延期后的工期到期日开始计算。</w:t>
      </w:r>
    </w:p>
    <w:p>
      <w:pPr>
        <w:ind w:firstLine="480" w:firstLineChars="200"/>
        <w:rPr>
          <w:rFonts w:ascii="宋体" w:hAnsi="宋体" w:cs="宋体"/>
          <w:sz w:val="24"/>
          <w:szCs w:val="24"/>
        </w:rPr>
      </w:pPr>
      <w:r>
        <w:rPr>
          <w:rFonts w:hint="eastAsia" w:ascii="宋体" w:hAnsi="宋体" w:cs="宋体"/>
          <w:sz w:val="24"/>
          <w:szCs w:val="24"/>
        </w:rPr>
        <w:t>11.11如由于乙方责任未能按本合同附件（招投标文件）的规定按时交付影响施工的关键技术资料时，则每迟交一周（不足一周的以一周计），乙方支付违约金</w:t>
      </w:r>
      <w:r>
        <w:rPr>
          <w:rFonts w:ascii="宋体" w:hAnsi="宋体" w:cs="宋体"/>
          <w:sz w:val="24"/>
          <w:szCs w:val="24"/>
        </w:rPr>
        <w:t>1000</w:t>
      </w:r>
      <w:r>
        <w:rPr>
          <w:rFonts w:hint="eastAsia" w:ascii="宋体" w:hAnsi="宋体" w:cs="宋体"/>
          <w:sz w:val="24"/>
          <w:szCs w:val="24"/>
        </w:rPr>
        <w:t>元／件，迟交时间的计算以合同条款规定为准。违约赔偿金不足以弥补因此给甲方造成的损失的，乙方还应补足。</w:t>
      </w:r>
    </w:p>
    <w:p>
      <w:pPr>
        <w:ind w:firstLine="480" w:firstLineChars="200"/>
        <w:rPr>
          <w:rFonts w:ascii="宋体" w:hAnsi="宋体" w:cs="宋体"/>
          <w:sz w:val="24"/>
          <w:szCs w:val="24"/>
        </w:rPr>
      </w:pPr>
      <w:r>
        <w:rPr>
          <w:rFonts w:hint="eastAsia" w:ascii="宋体" w:hAnsi="宋体" w:cs="宋体"/>
          <w:sz w:val="24"/>
          <w:szCs w:val="24"/>
        </w:rPr>
        <w:t>11.12如果由于乙方技术服务的延误、疏忽和／或错误，在执行合同中造成延误，每延误工期一周（不足一周的以一周计）乙方将向甲方支付合同设备总价的0.5％违约赔偿金，违约赔偿金不足以弥补因此给甲方造成的损失的，乙方还应补足。</w:t>
      </w:r>
    </w:p>
    <w:p>
      <w:pPr>
        <w:ind w:firstLine="480" w:firstLineChars="200"/>
        <w:rPr>
          <w:rFonts w:ascii="宋体" w:hAnsi="宋体" w:cs="宋体"/>
          <w:sz w:val="24"/>
          <w:szCs w:val="24"/>
        </w:rPr>
      </w:pPr>
      <w:r>
        <w:rPr>
          <w:rFonts w:hint="eastAsia" w:ascii="宋体" w:hAnsi="宋体" w:cs="宋体"/>
          <w:sz w:val="24"/>
          <w:szCs w:val="24"/>
        </w:rPr>
        <w:t>11.13乙方支付迟交违约金并不免除按合同所规定的相应义务。</w:t>
      </w:r>
    </w:p>
    <w:p>
      <w:pPr>
        <w:ind w:firstLine="480" w:firstLineChars="200"/>
        <w:rPr>
          <w:rFonts w:ascii="宋体" w:hAnsi="宋体" w:cs="宋体"/>
          <w:sz w:val="24"/>
          <w:szCs w:val="24"/>
        </w:rPr>
      </w:pPr>
      <w:r>
        <w:rPr>
          <w:rFonts w:hint="eastAsia" w:ascii="宋体" w:hAnsi="宋体" w:cs="宋体"/>
          <w:sz w:val="24"/>
          <w:szCs w:val="24"/>
        </w:rPr>
        <w:t>11.14 合同签订后，因乙方原因导致乙方未按招投标文件和本合同约定进行供货、安装的，乙方应向甲方双倍返还定金；在乙方完成供货、安装后，甲方无正当原因解除合同的，乙方有权没收定金。</w:t>
      </w:r>
    </w:p>
    <w:p>
      <w:pPr>
        <w:ind w:firstLine="420" w:firstLineChars="200"/>
        <w:rPr>
          <w:rFonts w:hAnsi="宋体" w:cs="宋体"/>
        </w:rPr>
      </w:pPr>
      <w:r>
        <w:rPr>
          <w:rFonts w:hint="eastAsia" w:hAnsi="宋体" w:cs="宋体"/>
        </w:rPr>
        <w:t>11.15乙方投标时投标文件中的所有投标承诺的服务响应时间作为履约过程的考核及检验要求，如履约及验收过程中发生乙方无法达到投标承诺的服务响应时间，乙方应按壹万元/次承担违约金并承担赔偿因此造成的一切损失等法律责任。</w:t>
      </w:r>
    </w:p>
    <w:p>
      <w:pPr>
        <w:ind w:firstLine="420" w:firstLineChars="200"/>
        <w:rPr>
          <w:rFonts w:hAnsi="宋体" w:cs="宋体"/>
        </w:rPr>
      </w:pPr>
      <w:r>
        <w:rPr>
          <w:rFonts w:hint="eastAsia" w:hAnsi="宋体" w:cs="宋体"/>
        </w:rPr>
        <w:t>11.16乙方投标时投标文件中的所有投标承诺及响应情况均作为履约过程及验收的考核及检验要求，如履约及验收过程中发生乙方无法达到投标时承诺的条件的，甲方每次发现将向乙方收取</w:t>
      </w:r>
      <w:r>
        <w:rPr>
          <w:rFonts w:hint="eastAsia" w:hAnsi="宋体" w:cs="宋体"/>
          <w:u w:val="single"/>
        </w:rPr>
        <w:t>5万元</w:t>
      </w:r>
      <w:r>
        <w:rPr>
          <w:rFonts w:hint="eastAsia" w:hAnsi="宋体" w:cs="宋体"/>
        </w:rPr>
        <w:t>的违约金</w:t>
      </w:r>
      <w:r>
        <w:rPr>
          <w:rFonts w:hint="eastAsia" w:hAnsi="宋体" w:cs="宋体"/>
          <w:lang w:val="zh-CN"/>
        </w:rPr>
        <w:t>并要求乙方承担赔偿因此造成的一切损失等法律责任</w:t>
      </w:r>
      <w:r>
        <w:rPr>
          <w:rFonts w:hint="eastAsia" w:hAnsi="宋体" w:cs="宋体"/>
        </w:rPr>
        <w:t>，违约金不足以弥补因此给甲方造成的损失的，乙方还应补足。</w:t>
      </w:r>
    </w:p>
    <w:p>
      <w:pPr>
        <w:ind w:firstLine="420" w:firstLineChars="200"/>
        <w:rPr>
          <w:rFonts w:hAnsi="宋体" w:cs="宋体"/>
        </w:rPr>
      </w:pPr>
      <w:r>
        <w:rPr>
          <w:rFonts w:hint="eastAsia" w:hAnsi="宋体" w:cs="宋体"/>
        </w:rPr>
        <w:t>11.1</w:t>
      </w:r>
      <w:r>
        <w:rPr>
          <w:rFonts w:hAnsi="宋体" w:cs="宋体"/>
        </w:rPr>
        <w:t>7</w:t>
      </w:r>
      <w:r>
        <w:rPr>
          <w:rFonts w:hint="eastAsia" w:hAnsi="宋体" w:cs="宋体"/>
        </w:rPr>
        <w:t>乙方在投标文件中所承诺达到的标准将作为重点响应条款，如若在合同履行过程中无法实现，甲方有权要求乙方支付合同金额10%作为违约金，并要求乙方承担甲方因此造成的一切损失等法律责任。</w:t>
      </w:r>
    </w:p>
    <w:p>
      <w:pPr>
        <w:ind w:firstLine="420" w:firstLineChars="200"/>
        <w:rPr>
          <w:rFonts w:hAnsi="宋体" w:cs="宋体"/>
        </w:rPr>
      </w:pPr>
      <w:r>
        <w:rPr>
          <w:rFonts w:hint="eastAsia" w:hAnsi="宋体" w:cs="宋体"/>
        </w:rPr>
        <w:t>11.1</w:t>
      </w:r>
      <w:r>
        <w:rPr>
          <w:rFonts w:hAnsi="宋体" w:cs="宋体"/>
        </w:rPr>
        <w:t>8</w:t>
      </w:r>
      <w:r>
        <w:rPr>
          <w:rFonts w:hint="eastAsia" w:hAnsi="宋体" w:cs="宋体"/>
        </w:rPr>
        <w:t>本合同所称损失包括但不限于实际损失和合同履行后可以获得的利益、第三方索赔、诉讼费、保全费、鉴定费以及合理的调查费、律师费等相关法律费用。</w:t>
      </w:r>
    </w:p>
    <w:p>
      <w:pPr>
        <w:ind w:firstLine="420" w:firstLineChars="200"/>
        <w:rPr>
          <w:rFonts w:hAnsi="宋体" w:cs="宋体"/>
        </w:rPr>
      </w:pPr>
      <w:r>
        <w:rPr>
          <w:rFonts w:hint="eastAsia" w:hAnsi="宋体" w:cs="宋体"/>
        </w:rPr>
        <w:t>11.</w:t>
      </w:r>
      <w:r>
        <w:rPr>
          <w:rFonts w:hAnsi="宋体" w:cs="宋体"/>
        </w:rPr>
        <w:t>19</w:t>
      </w:r>
      <w:r>
        <w:rPr>
          <w:rFonts w:hint="eastAsia" w:hAnsi="宋体" w:cs="宋体"/>
        </w:rPr>
        <w:t>甲方可从应支付给乙方的任何款项中扣除乙方应承担的赔偿费、违约金等费用或向出具履约保函的银行索赔。缴纳或扣除了上述赔偿费、违约金，并不能免除乙方完成本工程的义务以及本合同对其规定的其他职责、义务或责任。</w:t>
      </w:r>
    </w:p>
    <w:p>
      <w:pPr>
        <w:numPr>
          <w:ilvl w:val="0"/>
          <w:numId w:val="19"/>
        </w:numPr>
        <w:ind w:firstLine="482" w:firstLineChars="200"/>
        <w:rPr>
          <w:rFonts w:ascii="宋体" w:hAnsi="宋体" w:cs="宋体"/>
          <w:b/>
          <w:sz w:val="24"/>
          <w:szCs w:val="24"/>
        </w:rPr>
      </w:pPr>
      <w:r>
        <w:rPr>
          <w:rFonts w:hint="eastAsia" w:ascii="宋体" w:hAnsi="宋体" w:cs="宋体"/>
          <w:b/>
          <w:sz w:val="24"/>
          <w:szCs w:val="24"/>
        </w:rPr>
        <w:t>保险及运输费</w:t>
      </w:r>
    </w:p>
    <w:p>
      <w:pPr>
        <w:ind w:firstLine="480" w:firstLineChars="200"/>
        <w:rPr>
          <w:rFonts w:ascii="宋体" w:hAnsi="宋体" w:cs="宋体"/>
          <w:sz w:val="24"/>
          <w:szCs w:val="24"/>
        </w:rPr>
      </w:pPr>
      <w:r>
        <w:rPr>
          <w:rFonts w:hint="eastAsia" w:ascii="宋体" w:hAnsi="宋体" w:cs="宋体"/>
          <w:sz w:val="24"/>
          <w:szCs w:val="24"/>
        </w:rPr>
        <w:t>12.1保险费（包括但不限于车辆交强险、第三者100万加不计免赔）。</w:t>
      </w:r>
    </w:p>
    <w:p>
      <w:pPr>
        <w:ind w:firstLine="480" w:firstLineChars="200"/>
        <w:rPr>
          <w:rFonts w:ascii="宋体" w:hAnsi="宋体" w:cs="宋体"/>
          <w:sz w:val="24"/>
          <w:szCs w:val="24"/>
        </w:rPr>
      </w:pPr>
      <w:r>
        <w:rPr>
          <w:rFonts w:hint="eastAsia" w:ascii="宋体" w:hAnsi="宋体" w:cs="宋体"/>
          <w:sz w:val="24"/>
          <w:szCs w:val="24"/>
        </w:rPr>
        <w:t>12.2乙方须对合同设备，根据水运、陆运和空运等运输方式，向保险公司以乙方为受益人投保发运合同设备价格110％的运输一切险，保险区段为乙方仓库到工地交货（包括卸货）后30天止。</w:t>
      </w:r>
    </w:p>
    <w:p>
      <w:pPr>
        <w:ind w:firstLine="480" w:firstLineChars="200"/>
        <w:rPr>
          <w:rFonts w:ascii="宋体" w:hAnsi="宋体" w:cs="宋体"/>
          <w:b/>
          <w:sz w:val="24"/>
          <w:szCs w:val="24"/>
        </w:rPr>
      </w:pPr>
      <w:r>
        <w:rPr>
          <w:rFonts w:hint="eastAsia" w:ascii="宋体" w:hAnsi="宋体" w:cs="宋体"/>
          <w:sz w:val="24"/>
          <w:szCs w:val="24"/>
        </w:rPr>
        <w:t>12.3乙方须对合同设备的关键部件的加工制造过程向保险公司投保合同设备关键部件价格110％的，以乙方为受益人的设备制造质量险，投保范围为制造过程中合同设备发生制造质量问题和／或车间内搬运等损坏和现场安装、调试、运行直至质保期满出现的设备质量问题。</w:t>
      </w:r>
    </w:p>
    <w:p>
      <w:pPr>
        <w:ind w:firstLine="482" w:firstLineChars="200"/>
        <w:rPr>
          <w:rFonts w:ascii="宋体" w:hAnsi="宋体" w:cs="宋体"/>
          <w:b/>
          <w:sz w:val="24"/>
          <w:szCs w:val="24"/>
        </w:rPr>
      </w:pPr>
      <w:r>
        <w:rPr>
          <w:rFonts w:hint="eastAsia" w:ascii="宋体" w:hAnsi="宋体" w:cs="宋体"/>
          <w:b/>
          <w:sz w:val="24"/>
          <w:szCs w:val="24"/>
        </w:rPr>
        <w:t>13、税 费</w:t>
      </w:r>
    </w:p>
    <w:p>
      <w:pPr>
        <w:ind w:firstLine="480" w:firstLineChars="200"/>
        <w:rPr>
          <w:rFonts w:ascii="宋体" w:hAnsi="宋体" w:cs="宋体"/>
          <w:sz w:val="24"/>
          <w:szCs w:val="24"/>
        </w:rPr>
      </w:pPr>
      <w:r>
        <w:rPr>
          <w:rFonts w:hint="eastAsia" w:ascii="宋体" w:hAnsi="宋体" w:cs="宋体"/>
          <w:sz w:val="24"/>
          <w:szCs w:val="24"/>
        </w:rPr>
        <w:t>13.1根据国家有关税务的法律、法规和规定，应该缴纳的与本合同有关的税费，由乙方承担。</w:t>
      </w:r>
    </w:p>
    <w:p>
      <w:pPr>
        <w:ind w:firstLine="480" w:firstLineChars="200"/>
        <w:rPr>
          <w:rFonts w:ascii="宋体" w:hAnsi="宋体" w:cs="宋体"/>
          <w:sz w:val="24"/>
          <w:szCs w:val="24"/>
        </w:rPr>
      </w:pPr>
      <w:r>
        <w:rPr>
          <w:rFonts w:hint="eastAsia" w:ascii="宋体" w:hAnsi="宋体" w:cs="宋体"/>
          <w:sz w:val="24"/>
          <w:szCs w:val="24"/>
        </w:rPr>
        <w:t>13.2本合同价格为含税价。乙方提供的设备、技术资料、服务（也包括运输）、进口设备／部件等所有税费（包括保险费）已全部包含在合同价格内，由乙方承担。</w:t>
      </w:r>
    </w:p>
    <w:p>
      <w:pPr>
        <w:ind w:firstLine="482" w:firstLineChars="200"/>
        <w:rPr>
          <w:rFonts w:ascii="宋体" w:hAnsi="宋体" w:cs="宋体"/>
          <w:b/>
          <w:sz w:val="24"/>
          <w:szCs w:val="24"/>
        </w:rPr>
      </w:pPr>
      <w:r>
        <w:rPr>
          <w:rFonts w:hint="eastAsia" w:ascii="宋体" w:hAnsi="宋体" w:cs="宋体"/>
          <w:b/>
          <w:sz w:val="24"/>
          <w:szCs w:val="24"/>
        </w:rPr>
        <w:t>14、分包</w:t>
      </w:r>
    </w:p>
    <w:p>
      <w:pPr>
        <w:ind w:firstLine="480" w:firstLineChars="200"/>
        <w:rPr>
          <w:rFonts w:ascii="宋体" w:hAnsi="宋体" w:cs="宋体"/>
          <w:sz w:val="24"/>
          <w:szCs w:val="24"/>
        </w:rPr>
      </w:pPr>
      <w:r>
        <w:rPr>
          <w:rFonts w:hint="eastAsia" w:ascii="宋体" w:hAnsi="宋体" w:cs="宋体"/>
          <w:sz w:val="24"/>
          <w:szCs w:val="24"/>
        </w:rPr>
        <w:t>本项目不得转包或分包。</w:t>
      </w:r>
    </w:p>
    <w:p>
      <w:pPr>
        <w:ind w:firstLine="482" w:firstLineChars="200"/>
        <w:rPr>
          <w:rFonts w:ascii="宋体" w:hAnsi="宋体" w:cs="宋体"/>
          <w:b/>
          <w:sz w:val="24"/>
          <w:szCs w:val="24"/>
        </w:rPr>
      </w:pPr>
      <w:r>
        <w:rPr>
          <w:rFonts w:hint="eastAsia" w:ascii="宋体" w:hAnsi="宋体" w:cs="宋体"/>
          <w:b/>
          <w:sz w:val="24"/>
          <w:szCs w:val="24"/>
        </w:rPr>
        <w:t>15、合同的变更、修改、中止和终止</w:t>
      </w:r>
    </w:p>
    <w:p>
      <w:pPr>
        <w:ind w:firstLine="480" w:firstLineChars="200"/>
        <w:rPr>
          <w:rFonts w:ascii="宋体" w:hAnsi="宋体" w:cs="宋体"/>
          <w:sz w:val="24"/>
          <w:szCs w:val="24"/>
        </w:rPr>
      </w:pPr>
      <w:r>
        <w:rPr>
          <w:rFonts w:hint="eastAsia" w:ascii="宋体" w:hAnsi="宋体" w:cs="宋体"/>
          <w:sz w:val="24"/>
          <w:szCs w:val="24"/>
        </w:rPr>
        <w:t>15.l本合同一经生效，合同双方均不得擅自对本合同的内容（包括招投标文件）作任何单方的修改。但任何一方均可以对合同内容以书面形式提出变更、修改、取消或补充的建议。该项建议应以书面形式通知对方。</w:t>
      </w:r>
    </w:p>
    <w:p>
      <w:pPr>
        <w:ind w:firstLine="480" w:firstLineChars="200"/>
        <w:rPr>
          <w:rFonts w:ascii="宋体" w:hAnsi="宋体" w:cs="宋体"/>
          <w:sz w:val="24"/>
          <w:szCs w:val="24"/>
        </w:rPr>
      </w:pPr>
      <w:r>
        <w:rPr>
          <w:rFonts w:hint="eastAsia" w:ascii="宋体" w:hAnsi="宋体" w:cs="宋体"/>
          <w:sz w:val="24"/>
          <w:szCs w:val="24"/>
        </w:rPr>
        <w:t>15.2如果乙方有违反或拒绝执行本合同规定的行为时，甲方将用书面通知乙方，乙方在接到通知后3天内确认无误后应对违反或拒绝的行为作出修正，如果认为在3天内来不及纠正，应提出修正计划。如果得不到纠正或提不出修正计划，甲方将保留中止本合同的一部分或全部份的权利。对于这种中止，甲方将不出具变更通知书，由此而发生的一切费用、损失和索赔将由乙方负担。如果乙方的违约行为在本合同其它条款有明确规定，则按有关条款处理。</w:t>
      </w:r>
    </w:p>
    <w:p>
      <w:pPr>
        <w:ind w:firstLine="480" w:firstLineChars="200"/>
        <w:rPr>
          <w:rFonts w:ascii="宋体" w:hAnsi="宋体" w:cs="宋体"/>
          <w:sz w:val="24"/>
          <w:szCs w:val="24"/>
        </w:rPr>
      </w:pPr>
      <w:r>
        <w:rPr>
          <w:rFonts w:hint="eastAsia" w:ascii="宋体" w:hAnsi="宋体" w:cs="宋体"/>
          <w:sz w:val="24"/>
          <w:szCs w:val="24"/>
        </w:rPr>
        <w:t>15.3如果甲方行使终止权利，甲方有权停付到期应向乙方支付的终止部分的款项，并有权将在执行合同中预付给乙方的中止部分款项索回。</w:t>
      </w:r>
    </w:p>
    <w:p>
      <w:pPr>
        <w:ind w:firstLine="480" w:firstLineChars="200"/>
        <w:rPr>
          <w:rFonts w:ascii="宋体" w:hAnsi="宋体" w:cs="宋体"/>
          <w:sz w:val="24"/>
          <w:szCs w:val="24"/>
        </w:rPr>
      </w:pPr>
      <w:r>
        <w:rPr>
          <w:rFonts w:hint="eastAsia" w:ascii="宋体" w:hAnsi="宋体" w:cs="宋体"/>
          <w:sz w:val="24"/>
          <w:szCs w:val="24"/>
        </w:rPr>
        <w:t>15.4在合同执行过程中，若因国家计划调整或其他不可抗拒的因素而引起本合同无法正常执行时，乙方和／或甲方可以向对方提出中止执行合同或修改合同有关条款的建议，与之有关的事宜双方协商办理。</w:t>
      </w:r>
    </w:p>
    <w:p>
      <w:pPr>
        <w:ind w:firstLine="480" w:firstLineChars="200"/>
        <w:rPr>
          <w:rFonts w:ascii="宋体" w:hAnsi="宋体" w:cs="宋体"/>
          <w:sz w:val="24"/>
          <w:szCs w:val="24"/>
        </w:rPr>
      </w:pPr>
      <w:r>
        <w:rPr>
          <w:rFonts w:hint="eastAsia" w:ascii="宋体" w:hAnsi="宋体" w:cs="宋体"/>
          <w:sz w:val="24"/>
          <w:szCs w:val="24"/>
        </w:rPr>
        <w:t>15.5因乙方原因而不能交货（不能在本合同约定的时间内交货的或逾期交货超过【1</w:t>
      </w:r>
      <w:r>
        <w:rPr>
          <w:rFonts w:ascii="宋体" w:hAnsi="宋体" w:cs="宋体"/>
          <w:sz w:val="24"/>
          <w:szCs w:val="24"/>
        </w:rPr>
        <w:t>5</w:t>
      </w:r>
      <w:r>
        <w:rPr>
          <w:rFonts w:hint="eastAsia" w:ascii="宋体" w:hAnsi="宋体" w:cs="宋体"/>
          <w:sz w:val="24"/>
          <w:szCs w:val="24"/>
        </w:rPr>
        <w:t>】日的，乙方应向甲方双倍返还定金，并赔偿甲方由此产生的经济损失。</w:t>
      </w:r>
    </w:p>
    <w:p>
      <w:pPr>
        <w:ind w:firstLine="480" w:firstLineChars="200"/>
        <w:rPr>
          <w:rFonts w:ascii="宋体" w:hAnsi="宋体" w:cs="宋体"/>
          <w:sz w:val="24"/>
          <w:szCs w:val="24"/>
        </w:rPr>
      </w:pPr>
      <w:r>
        <w:rPr>
          <w:rFonts w:hint="eastAsia" w:ascii="宋体" w:hAnsi="宋体" w:cs="宋体"/>
          <w:sz w:val="24"/>
          <w:szCs w:val="24"/>
        </w:rPr>
        <w:t>15.6如果乙方破产、产权变更（被兼并、合并、解体、注销）或无偿还能力，或为了债权人的利益在破产管理下经营其业务，甲方有权立即书面通知乙方或破产清算管理人或合同归属人终止合同，或向该破产管理人、清算人或该合同归属人提供选择，视其给出合理忠实履行合同的保证情况，执行经过甲方同意的一部分合同。</w:t>
      </w:r>
    </w:p>
    <w:p>
      <w:pPr>
        <w:ind w:firstLine="480" w:firstLineChars="200"/>
        <w:rPr>
          <w:rFonts w:ascii="宋体" w:hAnsi="宋体" w:cs="宋体"/>
          <w:sz w:val="24"/>
          <w:szCs w:val="24"/>
        </w:rPr>
      </w:pPr>
      <w:r>
        <w:rPr>
          <w:rFonts w:hint="eastAsia" w:ascii="宋体" w:hAnsi="宋体" w:cs="宋体"/>
          <w:sz w:val="24"/>
          <w:szCs w:val="24"/>
        </w:rPr>
        <w:t>15.7若15.6款考虑的情况确实发生，甲方有权从乙方手中将与本合同设备有关的工作接管并收归己有，并在合理期限内从乙方的现场房屋中迁出所有与本合同设备有关的设计、图纸、说明和材料，这些东西的所有权已属甲方，乙方应给甲方全权处理并提供一切合理的方便，使其能搬走上述这类设计、图纸、说明和材料，甲方对这种终止合同直接或间接引起的对乙方的任何索赔不承担责任。此外，双方应对乙方已经实际履行的合同部分评价达成协议，并处理合同提前结束的一切后果。</w:t>
      </w:r>
    </w:p>
    <w:p>
      <w:pPr>
        <w:ind w:firstLine="482" w:firstLineChars="200"/>
        <w:rPr>
          <w:rFonts w:ascii="宋体" w:hAnsi="宋体" w:cs="宋体"/>
          <w:b/>
          <w:sz w:val="24"/>
          <w:szCs w:val="24"/>
        </w:rPr>
      </w:pPr>
      <w:r>
        <w:rPr>
          <w:rFonts w:hint="eastAsia" w:ascii="宋体" w:hAnsi="宋体" w:cs="宋体"/>
          <w:b/>
          <w:sz w:val="24"/>
          <w:szCs w:val="24"/>
        </w:rPr>
        <w:t>16、不可抗力</w:t>
      </w:r>
    </w:p>
    <w:p>
      <w:pPr>
        <w:ind w:firstLine="480" w:firstLineChars="200"/>
        <w:rPr>
          <w:rFonts w:ascii="宋体" w:hAnsi="宋体" w:cs="宋体"/>
          <w:sz w:val="24"/>
          <w:szCs w:val="24"/>
        </w:rPr>
      </w:pPr>
      <w:r>
        <w:rPr>
          <w:rFonts w:hint="eastAsia" w:ascii="宋体" w:hAnsi="宋体" w:cs="宋体"/>
          <w:sz w:val="24"/>
          <w:szCs w:val="24"/>
        </w:rPr>
        <w:t>16.1不可抗力是指：严重的自然灾害和灾难（如台风、洪水、地震、火灾和爆炸等）、战争（不论是否宣战）、严重传染疾病（如新冠疫情）、叛乱、动乱等等。合同双方中的任何一方，由于不可抗力事件而影响合同义务的执行时，则延迟履行合同义务的期限相当于不可抗力事件影响的时间，但是不能因为不可抗力的延迟而调整合同价格。</w:t>
      </w:r>
    </w:p>
    <w:p>
      <w:pPr>
        <w:ind w:firstLine="480" w:firstLineChars="200"/>
        <w:rPr>
          <w:rFonts w:ascii="宋体" w:hAnsi="宋体" w:cs="宋体"/>
          <w:sz w:val="24"/>
          <w:szCs w:val="24"/>
        </w:rPr>
      </w:pPr>
      <w:r>
        <w:rPr>
          <w:rFonts w:hint="eastAsia" w:ascii="宋体" w:hAnsi="宋体" w:cs="宋体"/>
          <w:sz w:val="24"/>
          <w:szCs w:val="24"/>
        </w:rPr>
        <w:t>16.2受到不可抗力影响的一方应在不可抗力事故发生后，尽快将所发生的不可抗力事件的情况以传真通知另一方，并在15天内将有关当局出具的证明文件提交给另一方审阅确认，受影响的一方同时应尽量设法缩小这种影响和由此而引起的延误，一旦不可抗力的影响消除后，应将此情况立即通知对方。</w:t>
      </w:r>
    </w:p>
    <w:p>
      <w:pPr>
        <w:ind w:firstLine="480" w:firstLineChars="200"/>
        <w:rPr>
          <w:rFonts w:ascii="宋体" w:hAnsi="宋体" w:cs="宋体"/>
          <w:sz w:val="24"/>
          <w:szCs w:val="24"/>
        </w:rPr>
      </w:pPr>
      <w:r>
        <w:rPr>
          <w:rFonts w:hint="eastAsia" w:ascii="宋体" w:hAnsi="宋体" w:cs="宋体"/>
          <w:sz w:val="24"/>
          <w:szCs w:val="24"/>
        </w:rPr>
        <w:t>16.3如双方对不可抗力事件的影响估计将延续到120天以上时，双方应通过友好协商解决本合同的执行问题（包括交货、安装、试运行和验收等问题）。</w:t>
      </w:r>
    </w:p>
    <w:p>
      <w:pPr>
        <w:ind w:firstLine="482" w:firstLineChars="200"/>
        <w:rPr>
          <w:rFonts w:ascii="宋体" w:hAnsi="宋体" w:cs="宋体"/>
          <w:b/>
          <w:sz w:val="24"/>
          <w:szCs w:val="24"/>
        </w:rPr>
      </w:pPr>
      <w:r>
        <w:rPr>
          <w:rFonts w:hint="eastAsia" w:ascii="宋体" w:hAnsi="宋体" w:cs="宋体"/>
          <w:b/>
          <w:sz w:val="24"/>
          <w:szCs w:val="24"/>
        </w:rPr>
        <w:t>17、合同争议的解决</w:t>
      </w:r>
    </w:p>
    <w:p>
      <w:pPr>
        <w:ind w:firstLine="480" w:firstLineChars="200"/>
        <w:rPr>
          <w:rFonts w:ascii="宋体" w:hAnsi="宋体" w:cs="宋体"/>
          <w:sz w:val="24"/>
          <w:szCs w:val="24"/>
        </w:rPr>
      </w:pPr>
      <w:r>
        <w:rPr>
          <w:rFonts w:hint="eastAsia" w:ascii="宋体" w:hAnsi="宋体" w:cs="宋体"/>
          <w:sz w:val="24"/>
          <w:szCs w:val="24"/>
        </w:rPr>
        <w:t>17.l凡与本合同有关而引起的一切争议，双方应首先通过协商解决，如经协商后仍不能达成协议时，则任何一方可以向甲方住所地有管辖权的人民法院提出诉讼。</w:t>
      </w:r>
    </w:p>
    <w:p>
      <w:pPr>
        <w:ind w:firstLine="480" w:firstLineChars="200"/>
        <w:rPr>
          <w:rFonts w:ascii="宋体" w:hAnsi="宋体" w:cs="宋体"/>
          <w:sz w:val="24"/>
          <w:szCs w:val="24"/>
        </w:rPr>
      </w:pPr>
      <w:r>
        <w:rPr>
          <w:rFonts w:hint="eastAsia" w:ascii="宋体" w:hAnsi="宋体" w:cs="宋体"/>
          <w:sz w:val="24"/>
          <w:szCs w:val="24"/>
        </w:rPr>
        <w:t>17.2在诉讼进行期间，除提交法院审理的事项外，合同仍应继续履行。</w:t>
      </w:r>
    </w:p>
    <w:p>
      <w:pPr>
        <w:ind w:firstLine="482" w:firstLineChars="200"/>
        <w:rPr>
          <w:rFonts w:ascii="宋体" w:hAnsi="宋体" w:cs="宋体"/>
          <w:b/>
          <w:sz w:val="24"/>
          <w:szCs w:val="24"/>
        </w:rPr>
      </w:pPr>
      <w:r>
        <w:rPr>
          <w:rFonts w:hint="eastAsia" w:ascii="宋体" w:hAnsi="宋体" w:cs="宋体"/>
          <w:b/>
          <w:sz w:val="24"/>
          <w:szCs w:val="24"/>
        </w:rPr>
        <w:t>18、合同生效</w:t>
      </w:r>
    </w:p>
    <w:p>
      <w:pPr>
        <w:ind w:firstLine="480" w:firstLineChars="200"/>
        <w:rPr>
          <w:rFonts w:ascii="宋体" w:hAnsi="宋体" w:cs="宋体"/>
          <w:sz w:val="24"/>
          <w:szCs w:val="24"/>
        </w:rPr>
      </w:pPr>
      <w:r>
        <w:rPr>
          <w:rFonts w:hint="eastAsia" w:ascii="宋体" w:hAnsi="宋体" w:cs="宋体"/>
          <w:sz w:val="24"/>
          <w:szCs w:val="24"/>
        </w:rPr>
        <w:t>18.1本合同需经双方法定代表人或委托代理人（须经法定代表人书面授权委托）签字，加盖合同专用章或公章且乙方提交本项目的履约担保后方可生效。</w:t>
      </w:r>
    </w:p>
    <w:p>
      <w:pPr>
        <w:ind w:firstLine="480" w:firstLineChars="200"/>
        <w:rPr>
          <w:rFonts w:ascii="宋体" w:hAnsi="宋体" w:cs="宋体"/>
          <w:sz w:val="24"/>
          <w:szCs w:val="24"/>
        </w:rPr>
      </w:pPr>
      <w:r>
        <w:rPr>
          <w:rFonts w:hint="eastAsia" w:ascii="宋体" w:hAnsi="宋体" w:cs="宋体"/>
          <w:sz w:val="24"/>
          <w:szCs w:val="24"/>
        </w:rPr>
        <w:t>18.2本合同有效期：从合同生效之日起到质保期届满并结清全部款项之日止。</w:t>
      </w:r>
    </w:p>
    <w:p>
      <w:pPr>
        <w:ind w:firstLine="482" w:firstLineChars="200"/>
        <w:rPr>
          <w:rFonts w:ascii="宋体" w:hAnsi="宋体" w:cs="宋体"/>
          <w:b/>
          <w:sz w:val="24"/>
          <w:szCs w:val="24"/>
        </w:rPr>
      </w:pPr>
      <w:r>
        <w:rPr>
          <w:rFonts w:hint="eastAsia" w:ascii="宋体" w:hAnsi="宋体" w:cs="宋体"/>
          <w:b/>
          <w:sz w:val="24"/>
          <w:szCs w:val="24"/>
        </w:rPr>
        <w:t>19、其它</w:t>
      </w:r>
    </w:p>
    <w:p>
      <w:pPr>
        <w:ind w:firstLine="480" w:firstLineChars="200"/>
        <w:rPr>
          <w:rFonts w:ascii="宋体" w:hAnsi="宋体" w:cs="宋体"/>
          <w:sz w:val="24"/>
          <w:szCs w:val="24"/>
        </w:rPr>
      </w:pPr>
      <w:r>
        <w:rPr>
          <w:rFonts w:hint="eastAsia" w:ascii="宋体" w:hAnsi="宋体" w:cs="宋体"/>
          <w:sz w:val="24"/>
          <w:szCs w:val="24"/>
        </w:rPr>
        <w:t>19.1本合同适用法律为中华人民共和国法律。</w:t>
      </w:r>
    </w:p>
    <w:p>
      <w:pPr>
        <w:ind w:firstLine="480" w:firstLineChars="200"/>
        <w:rPr>
          <w:rFonts w:ascii="宋体" w:hAnsi="宋体" w:cs="宋体"/>
          <w:sz w:val="24"/>
          <w:szCs w:val="24"/>
        </w:rPr>
      </w:pPr>
      <w:r>
        <w:rPr>
          <w:rFonts w:hint="eastAsia" w:ascii="宋体" w:hAnsi="宋体" w:cs="宋体"/>
          <w:sz w:val="24"/>
          <w:szCs w:val="24"/>
        </w:rPr>
        <w:t>19.2本合同所包括的附件，是本合同不可分割的一部分，具有同等的法律效力，乙方应予遵守。若附件相关内容与本合同不一致的，应以本合同为准，如有违反，同样视为违约，乙方应按照本合同约定承担相关违约责任。</w:t>
      </w:r>
    </w:p>
    <w:p>
      <w:pPr>
        <w:ind w:firstLine="480" w:firstLineChars="200"/>
        <w:rPr>
          <w:rFonts w:ascii="宋体" w:hAnsi="宋体" w:cs="宋体"/>
          <w:sz w:val="24"/>
          <w:szCs w:val="24"/>
        </w:rPr>
      </w:pPr>
      <w:r>
        <w:rPr>
          <w:rFonts w:hint="eastAsia" w:ascii="宋体" w:hAnsi="宋体" w:cs="宋体"/>
          <w:sz w:val="24"/>
          <w:szCs w:val="24"/>
        </w:rPr>
        <w:t>19.3合同双方承担的合同义务都不得超过合同的规定，合同任何一方也不得对另一方作出有约束力的声明，陈述，许诺或行动。</w:t>
      </w:r>
    </w:p>
    <w:p>
      <w:pPr>
        <w:ind w:firstLine="480" w:firstLineChars="200"/>
        <w:rPr>
          <w:rFonts w:ascii="宋体" w:hAnsi="宋体" w:cs="宋体"/>
          <w:sz w:val="24"/>
          <w:szCs w:val="24"/>
        </w:rPr>
      </w:pPr>
      <w:r>
        <w:rPr>
          <w:rFonts w:hint="eastAsia" w:ascii="宋体" w:hAnsi="宋体" w:cs="宋体"/>
          <w:sz w:val="24"/>
          <w:szCs w:val="24"/>
        </w:rPr>
        <w:t>19.4本合同列明了双方的责任、义务、补偿和补救条款。任何一方不承担本合同规定以外的责任、义务、补偿和补救。</w:t>
      </w:r>
    </w:p>
    <w:p>
      <w:pPr>
        <w:ind w:firstLine="480" w:firstLineChars="200"/>
        <w:rPr>
          <w:rFonts w:ascii="宋体" w:hAnsi="宋体" w:cs="宋体"/>
          <w:sz w:val="24"/>
          <w:szCs w:val="24"/>
        </w:rPr>
      </w:pPr>
      <w:r>
        <w:rPr>
          <w:rFonts w:hint="eastAsia" w:ascii="宋体" w:hAnsi="宋体" w:cs="宋体"/>
          <w:sz w:val="24"/>
          <w:szCs w:val="24"/>
        </w:rPr>
        <w:t>19.5双方任何一方未取得另一方事先书面同意前，不得将本合同项下的部分或全部权利或义务转让给第三方。</w:t>
      </w:r>
    </w:p>
    <w:p>
      <w:pPr>
        <w:ind w:firstLine="480" w:firstLineChars="200"/>
        <w:rPr>
          <w:rFonts w:ascii="宋体" w:hAnsi="宋体" w:cs="宋体"/>
          <w:sz w:val="24"/>
          <w:szCs w:val="24"/>
        </w:rPr>
      </w:pPr>
      <w:r>
        <w:rPr>
          <w:rFonts w:hint="eastAsia" w:ascii="宋体" w:hAnsi="宋体" w:cs="宋体"/>
          <w:sz w:val="24"/>
          <w:szCs w:val="24"/>
        </w:rPr>
        <w:t>19.6本合同项下双方相互提供的文件、资料，双方除为履行合同的目的外，均不得提供给与“合同设备”和相关工程无关的第三方。</w:t>
      </w:r>
    </w:p>
    <w:p>
      <w:pPr>
        <w:ind w:firstLine="480" w:firstLineChars="200"/>
        <w:rPr>
          <w:rFonts w:ascii="宋体" w:hAnsi="宋体" w:cs="宋体"/>
          <w:sz w:val="24"/>
          <w:szCs w:val="24"/>
        </w:rPr>
      </w:pPr>
      <w:r>
        <w:rPr>
          <w:rFonts w:hint="eastAsia" w:ascii="宋体" w:hAnsi="宋体" w:cs="宋体"/>
          <w:sz w:val="24"/>
          <w:szCs w:val="24"/>
        </w:rPr>
        <w:t>19.7合同双方应指定二名授权代表，分别负责直接处理“本合同设备”的技术和商务问题。双方授权代表的名称和通讯地址在合同生效的同时通知对方。</w:t>
      </w:r>
    </w:p>
    <w:p>
      <w:pPr>
        <w:ind w:firstLine="480" w:firstLineChars="200"/>
        <w:rPr>
          <w:rFonts w:ascii="宋体" w:hAnsi="宋体" w:cs="宋体"/>
          <w:sz w:val="24"/>
          <w:szCs w:val="24"/>
        </w:rPr>
      </w:pPr>
      <w:r>
        <w:rPr>
          <w:rFonts w:hint="eastAsia" w:ascii="宋体" w:hAnsi="宋体" w:cs="宋体"/>
          <w:sz w:val="24"/>
          <w:szCs w:val="24"/>
        </w:rPr>
        <w:t>19.8任何一方向对方提出的函电通知或要求，如系正式书写并按对方下述地址派员递送或挂号、航空邮寄、传真或电传发送的，在取得对方人员和／或通讯设施接收确认后，即被认为已经被对方正式接收。</w:t>
      </w:r>
    </w:p>
    <w:p>
      <w:pPr>
        <w:ind w:firstLine="480" w:firstLineChars="200"/>
        <w:rPr>
          <w:rFonts w:ascii="宋体" w:hAnsi="宋体" w:cs="宋体"/>
          <w:sz w:val="24"/>
          <w:szCs w:val="24"/>
        </w:rPr>
      </w:pPr>
      <w:r>
        <w:rPr>
          <w:rFonts w:hint="eastAsia" w:ascii="宋体" w:hAnsi="宋体" w:cs="宋体"/>
          <w:sz w:val="24"/>
          <w:szCs w:val="24"/>
        </w:rPr>
        <w:t>19.9本合同一式壹拾伍份，甲方执壹拾贰份，乙方执叁份，具有同等法律效力。</w:t>
      </w:r>
    </w:p>
    <w:p>
      <w:pPr>
        <w:ind w:firstLine="480" w:firstLineChars="200"/>
        <w:rPr>
          <w:rFonts w:ascii="宋体" w:hAnsi="宋体" w:cs="宋体"/>
          <w:sz w:val="24"/>
          <w:szCs w:val="24"/>
        </w:rPr>
      </w:pPr>
      <w:r>
        <w:rPr>
          <w:rFonts w:hint="eastAsia" w:ascii="宋体" w:hAnsi="宋体" w:cs="宋体"/>
          <w:sz w:val="24"/>
          <w:szCs w:val="24"/>
        </w:rPr>
        <w:t>19.10本合同双方的地址如下：</w:t>
      </w:r>
    </w:p>
    <w:p>
      <w:pPr>
        <w:pStyle w:val="2"/>
        <w:rPr>
          <w:szCs w:val="24"/>
          <w:lang w:val="en-US"/>
        </w:rPr>
      </w:pPr>
      <w:r>
        <w:rPr>
          <w:rFonts w:hint="eastAsia"/>
          <w:szCs w:val="24"/>
          <w:lang w:val="en-US" w:bidi="ar-SA"/>
        </w:rPr>
        <w:t xml:space="preserve">   甲方地址：</w:t>
      </w:r>
    </w:p>
    <w:p>
      <w:pPr>
        <w:pStyle w:val="12"/>
        <w:ind w:left="0" w:leftChars="0" w:firstLine="420" w:firstLineChars="200"/>
        <w:rPr>
          <w:rFonts w:cs="宋体"/>
          <w:sz w:val="24"/>
          <w:szCs w:val="24"/>
        </w:rPr>
      </w:pPr>
      <w:r>
        <w:rPr>
          <w:rFonts w:hint="eastAsia"/>
          <w:b w:val="0"/>
        </w:rPr>
        <w:t>乙方地址：</w:t>
      </w:r>
    </w:p>
    <w:p>
      <w:pPr>
        <w:ind w:firstLine="480" w:firstLineChars="200"/>
        <w:rPr>
          <w:rFonts w:ascii="宋体" w:hAnsi="宋体" w:cs="宋体"/>
          <w:sz w:val="24"/>
          <w:szCs w:val="24"/>
        </w:rPr>
      </w:pPr>
      <w:r>
        <w:rPr>
          <w:rFonts w:hint="eastAsia" w:ascii="宋体" w:hAnsi="宋体" w:cs="宋体"/>
          <w:sz w:val="24"/>
          <w:szCs w:val="24"/>
        </w:rPr>
        <w:t>19.11本合同组成部分：</w:t>
      </w:r>
    </w:p>
    <w:p>
      <w:pPr>
        <w:ind w:firstLine="480" w:firstLineChars="200"/>
        <w:outlineLvl w:val="1"/>
        <w:rPr>
          <w:rFonts w:ascii="宋体" w:hAnsi="宋体" w:cs="宋体"/>
          <w:sz w:val="24"/>
          <w:szCs w:val="24"/>
        </w:rPr>
      </w:pPr>
      <w:r>
        <w:rPr>
          <w:rFonts w:hint="eastAsia" w:ascii="宋体" w:hAnsi="宋体" w:cs="宋体"/>
          <w:sz w:val="24"/>
          <w:szCs w:val="24"/>
        </w:rPr>
        <w:t>附件1.阳光合作协议</w:t>
      </w:r>
    </w:p>
    <w:p>
      <w:pPr>
        <w:ind w:firstLine="480" w:firstLineChars="200"/>
        <w:outlineLvl w:val="1"/>
        <w:rPr>
          <w:rFonts w:ascii="宋体" w:hAnsi="宋体" w:cs="宋体"/>
          <w:sz w:val="24"/>
          <w:szCs w:val="24"/>
        </w:rPr>
      </w:pPr>
      <w:r>
        <w:rPr>
          <w:rFonts w:hint="eastAsia" w:ascii="宋体" w:hAnsi="宋体" w:cs="宋体"/>
          <w:sz w:val="24"/>
          <w:szCs w:val="24"/>
        </w:rPr>
        <w:t>附件2.中标通知书</w:t>
      </w:r>
    </w:p>
    <w:p>
      <w:pPr>
        <w:ind w:firstLine="480" w:firstLineChars="200"/>
        <w:outlineLvl w:val="1"/>
        <w:rPr>
          <w:rFonts w:ascii="宋体" w:hAnsi="宋体" w:cs="宋体"/>
          <w:sz w:val="24"/>
          <w:szCs w:val="24"/>
        </w:rPr>
      </w:pPr>
      <w:r>
        <w:rPr>
          <w:rFonts w:hint="eastAsia" w:ascii="宋体" w:hAnsi="宋体" w:cs="宋体"/>
          <w:sz w:val="24"/>
          <w:szCs w:val="24"/>
        </w:rPr>
        <w:t>附件3.投标文件</w:t>
      </w:r>
    </w:p>
    <w:p>
      <w:pPr>
        <w:ind w:firstLine="480" w:firstLineChars="200"/>
        <w:outlineLvl w:val="1"/>
        <w:rPr>
          <w:rFonts w:ascii="宋体" w:hAnsi="宋体" w:cs="宋体"/>
          <w:sz w:val="24"/>
          <w:szCs w:val="24"/>
        </w:rPr>
      </w:pPr>
      <w:r>
        <w:rPr>
          <w:rFonts w:hint="eastAsia" w:ascii="宋体" w:hAnsi="宋体" w:cs="宋体"/>
          <w:sz w:val="24"/>
          <w:szCs w:val="24"/>
        </w:rPr>
        <w:t>附件4.本项目的采购文件及澄清文件</w:t>
      </w:r>
    </w:p>
    <w:p>
      <w:pPr>
        <w:ind w:firstLine="480" w:firstLineChars="200"/>
        <w:rPr>
          <w:rFonts w:ascii="宋体" w:hAnsi="宋体" w:cs="宋体"/>
          <w:sz w:val="24"/>
          <w:szCs w:val="24"/>
        </w:rPr>
      </w:pPr>
    </w:p>
    <w:p>
      <w:pPr>
        <w:pStyle w:val="2"/>
        <w:ind w:firstLine="420"/>
        <w:rPr>
          <w:szCs w:val="24"/>
        </w:rPr>
      </w:pPr>
    </w:p>
    <w:p>
      <w:pPr>
        <w:ind w:firstLine="480" w:firstLineChars="200"/>
        <w:rPr>
          <w:rFonts w:ascii="宋体" w:hAnsi="宋体" w:cs="宋体"/>
          <w:sz w:val="24"/>
          <w:szCs w:val="24"/>
        </w:rPr>
      </w:pPr>
      <w:r>
        <w:rPr>
          <w:rFonts w:hint="eastAsia" w:ascii="宋体" w:hAnsi="宋体" w:cs="宋体"/>
          <w:sz w:val="24"/>
          <w:szCs w:val="24"/>
        </w:rPr>
        <w:t>（本页以下无正文，为合同签署项）</w:t>
      </w:r>
    </w:p>
    <w:p>
      <w:pPr>
        <w:rPr>
          <w:rFonts w:ascii="宋体" w:hAnsi="宋体" w:cs="宋体"/>
          <w:sz w:val="24"/>
          <w:szCs w:val="24"/>
        </w:rPr>
      </w:pPr>
      <w:r>
        <w:rPr>
          <w:rFonts w:hint="eastAsia" w:ascii="宋体" w:hAnsi="宋体" w:cs="宋体"/>
          <w:sz w:val="24"/>
          <w:szCs w:val="24"/>
        </w:rPr>
        <w:t xml:space="preserve">甲方（盖章）：                          乙方（盖章）：       </w:t>
      </w:r>
    </w:p>
    <w:p>
      <w:pPr>
        <w:rPr>
          <w:rFonts w:ascii="宋体" w:hAnsi="宋体" w:cs="宋体"/>
          <w:sz w:val="24"/>
          <w:szCs w:val="24"/>
        </w:rPr>
      </w:pPr>
      <w:r>
        <w:rPr>
          <w:rFonts w:hint="eastAsia" w:ascii="宋体" w:hAnsi="宋体" w:cs="宋体"/>
          <w:sz w:val="24"/>
          <w:szCs w:val="24"/>
        </w:rPr>
        <w:t>单位名称：                              单位名称：</w:t>
      </w:r>
    </w:p>
    <w:p>
      <w:pPr>
        <w:rPr>
          <w:rFonts w:ascii="宋体" w:hAnsi="宋体" w:cs="宋体"/>
          <w:sz w:val="24"/>
          <w:szCs w:val="24"/>
        </w:rPr>
      </w:pPr>
      <w:r>
        <w:rPr>
          <w:rFonts w:hint="eastAsia" w:ascii="宋体" w:hAnsi="宋体" w:cs="宋体"/>
          <w:sz w:val="24"/>
          <w:szCs w:val="24"/>
        </w:rPr>
        <w:t xml:space="preserve">地址：                                  地址：   </w:t>
      </w:r>
    </w:p>
    <w:p>
      <w:pPr>
        <w:rPr>
          <w:rFonts w:ascii="宋体" w:hAnsi="宋体" w:cs="宋体"/>
          <w:sz w:val="24"/>
          <w:szCs w:val="24"/>
        </w:rPr>
      </w:pPr>
      <w:r>
        <w:rPr>
          <w:rFonts w:hint="eastAsia" w:ascii="宋体" w:hAnsi="宋体" w:cs="宋体"/>
          <w:sz w:val="24"/>
          <w:szCs w:val="24"/>
        </w:rPr>
        <w:t>邮编：                                  邮编：</w:t>
      </w:r>
    </w:p>
    <w:p>
      <w:pPr>
        <w:rPr>
          <w:rFonts w:ascii="宋体" w:hAnsi="宋体" w:cs="宋体"/>
          <w:sz w:val="24"/>
          <w:szCs w:val="24"/>
        </w:rPr>
      </w:pPr>
      <w:r>
        <w:rPr>
          <w:rFonts w:hint="eastAsia" w:ascii="宋体" w:hAnsi="宋体" w:cs="宋体"/>
          <w:sz w:val="24"/>
          <w:szCs w:val="24"/>
        </w:rPr>
        <w:t>电话：                                  电话：</w:t>
      </w:r>
    </w:p>
    <w:p>
      <w:pPr>
        <w:rPr>
          <w:rFonts w:ascii="宋体" w:hAnsi="宋体" w:cs="宋体"/>
          <w:sz w:val="24"/>
          <w:szCs w:val="24"/>
        </w:rPr>
      </w:pPr>
      <w:r>
        <w:rPr>
          <w:rFonts w:hint="eastAsia" w:ascii="宋体" w:hAnsi="宋体" w:cs="宋体"/>
          <w:sz w:val="24"/>
          <w:szCs w:val="24"/>
        </w:rPr>
        <w:t>传真：                                  传真：</w:t>
      </w:r>
    </w:p>
    <w:p>
      <w:pPr>
        <w:rPr>
          <w:rFonts w:ascii="宋体" w:hAnsi="宋体" w:cs="宋体"/>
          <w:sz w:val="24"/>
          <w:szCs w:val="24"/>
        </w:rPr>
      </w:pPr>
      <w:r>
        <w:rPr>
          <w:rFonts w:hint="eastAsia" w:ascii="宋体" w:hAnsi="宋体" w:cs="宋体"/>
          <w:sz w:val="24"/>
          <w:szCs w:val="24"/>
        </w:rPr>
        <w:t>开户银行：                              开户银行：</w:t>
      </w:r>
    </w:p>
    <w:p>
      <w:pPr>
        <w:rPr>
          <w:rFonts w:ascii="宋体" w:hAnsi="宋体" w:cs="宋体"/>
          <w:sz w:val="24"/>
          <w:szCs w:val="24"/>
        </w:rPr>
      </w:pPr>
      <w:r>
        <w:rPr>
          <w:rFonts w:hint="eastAsia" w:ascii="宋体" w:hAnsi="宋体" w:cs="宋体"/>
          <w:sz w:val="24"/>
          <w:szCs w:val="24"/>
        </w:rPr>
        <w:t>账号：                                  账号：</w:t>
      </w:r>
    </w:p>
    <w:p>
      <w:pPr>
        <w:rPr>
          <w:rFonts w:ascii="宋体" w:hAnsi="宋体" w:cs="宋体"/>
          <w:sz w:val="24"/>
          <w:szCs w:val="24"/>
        </w:rPr>
      </w:pPr>
      <w:r>
        <w:rPr>
          <w:rFonts w:hint="eastAsia" w:ascii="宋体" w:hAnsi="宋体" w:cs="宋体"/>
          <w:sz w:val="24"/>
          <w:szCs w:val="24"/>
        </w:rPr>
        <w:t>纳税人登记号：                          纳税人登记号：</w:t>
      </w:r>
    </w:p>
    <w:p>
      <w:pPr>
        <w:rPr>
          <w:rFonts w:ascii="宋体" w:hAnsi="宋体" w:cs="宋体"/>
          <w:sz w:val="24"/>
          <w:szCs w:val="24"/>
        </w:rPr>
      </w:pPr>
      <w:r>
        <w:rPr>
          <w:rFonts w:hint="eastAsia" w:ascii="宋体" w:hAnsi="宋体" w:cs="宋体"/>
          <w:sz w:val="24"/>
          <w:szCs w:val="24"/>
        </w:rPr>
        <w:t>签字人：                                签字人：</w:t>
      </w:r>
    </w:p>
    <w:p>
      <w:pPr>
        <w:rPr>
          <w:rFonts w:ascii="宋体" w:hAnsi="宋体" w:cs="宋体"/>
          <w:b/>
          <w:sz w:val="24"/>
          <w:szCs w:val="24"/>
        </w:rPr>
      </w:pPr>
      <w:r>
        <w:rPr>
          <w:rFonts w:hint="eastAsia" w:ascii="宋体" w:hAnsi="宋体" w:cs="宋体"/>
          <w:sz w:val="24"/>
          <w:szCs w:val="24"/>
        </w:rPr>
        <w:t>签字日期：                              签字日期：</w:t>
      </w:r>
    </w:p>
    <w:p>
      <w:pPr>
        <w:adjustRightInd/>
        <w:snapToGrid/>
        <w:spacing w:line="240" w:lineRule="auto"/>
        <w:rPr>
          <w:rFonts w:ascii="宋体" w:hAnsi="宋体" w:cs="宋体"/>
          <w:sz w:val="24"/>
          <w:szCs w:val="24"/>
        </w:rPr>
      </w:pPr>
      <w:r>
        <w:rPr>
          <w:rFonts w:ascii="宋体" w:hAnsi="宋体" w:cs="宋体"/>
          <w:sz w:val="24"/>
          <w:szCs w:val="24"/>
        </w:rPr>
        <w:br w:type="page"/>
      </w:r>
    </w:p>
    <w:p>
      <w:pPr>
        <w:spacing w:line="480" w:lineRule="exact"/>
        <w:outlineLvl w:val="1"/>
        <w:rPr>
          <w:rFonts w:ascii="宋体" w:hAnsi="宋体" w:cs="宋体"/>
          <w:b/>
          <w:sz w:val="24"/>
          <w:szCs w:val="24"/>
        </w:rPr>
      </w:pPr>
      <w:bookmarkStart w:id="212" w:name="_Toc1766"/>
      <w:bookmarkStart w:id="213" w:name="_Toc3356"/>
      <w:r>
        <w:rPr>
          <w:rFonts w:hint="eastAsia" w:ascii="宋体" w:hAnsi="宋体" w:cs="宋体"/>
          <w:b/>
          <w:sz w:val="24"/>
          <w:szCs w:val="24"/>
        </w:rPr>
        <w:t>附件1:</w:t>
      </w:r>
      <w:bookmarkEnd w:id="212"/>
      <w:bookmarkEnd w:id="213"/>
      <w:r>
        <w:rPr>
          <w:rFonts w:hint="eastAsia" w:ascii="宋体" w:hAnsi="宋体" w:cs="宋体"/>
          <w:b/>
          <w:sz w:val="24"/>
          <w:szCs w:val="24"/>
        </w:rPr>
        <w:t xml:space="preserve">                   </w:t>
      </w:r>
    </w:p>
    <w:p>
      <w:pPr>
        <w:spacing w:line="480" w:lineRule="exact"/>
        <w:jc w:val="center"/>
        <w:outlineLvl w:val="1"/>
        <w:rPr>
          <w:rFonts w:ascii="宋体" w:hAnsi="宋体" w:cs="宋体"/>
          <w:b/>
          <w:sz w:val="24"/>
          <w:szCs w:val="24"/>
        </w:rPr>
      </w:pPr>
      <w:bookmarkStart w:id="214" w:name="_Toc5880"/>
      <w:bookmarkStart w:id="215" w:name="_Toc22425"/>
      <w:r>
        <w:rPr>
          <w:rFonts w:hint="eastAsia" w:ascii="宋体" w:hAnsi="宋体" w:cs="宋体"/>
          <w:b/>
          <w:sz w:val="24"/>
          <w:szCs w:val="24"/>
        </w:rPr>
        <w:t>阳光合作协议</w:t>
      </w:r>
      <w:bookmarkEnd w:id="214"/>
      <w:bookmarkEnd w:id="215"/>
    </w:p>
    <w:p>
      <w:pPr>
        <w:spacing w:before="180" w:beforeLines="50" w:after="180" w:afterLines="50" w:line="480" w:lineRule="exact"/>
        <w:ind w:firstLine="480" w:firstLineChars="200"/>
        <w:contextualSpacing/>
        <w:rPr>
          <w:rFonts w:ascii="宋体" w:hAnsi="宋体" w:cs="宋体"/>
          <w:sz w:val="24"/>
          <w:szCs w:val="24"/>
        </w:rPr>
      </w:pPr>
      <w:r>
        <w:rPr>
          <w:rFonts w:hint="eastAsia" w:ascii="宋体" w:hAnsi="宋体" w:cs="宋体"/>
          <w:sz w:val="24"/>
          <w:szCs w:val="24"/>
        </w:rPr>
        <w:t>甲方（采购人全称）：</w:t>
      </w:r>
      <w:r>
        <w:rPr>
          <w:rFonts w:hint="eastAsia" w:ascii="宋体" w:hAnsi="宋体" w:cs="宋体"/>
          <w:sz w:val="24"/>
          <w:szCs w:val="24"/>
          <w:u w:val="single"/>
        </w:rPr>
        <w:t xml:space="preserve">                                                     </w:t>
      </w:r>
    </w:p>
    <w:p>
      <w:pPr>
        <w:pStyle w:val="68"/>
        <w:spacing w:line="480" w:lineRule="exact"/>
        <w:ind w:firstLine="480" w:firstLineChars="200"/>
        <w:rPr>
          <w:rFonts w:ascii="宋体" w:hAnsi="宋体" w:cs="宋体"/>
          <w:sz w:val="24"/>
          <w:szCs w:val="24"/>
        </w:rPr>
      </w:pPr>
      <w:r>
        <w:rPr>
          <w:rFonts w:hint="eastAsia" w:ascii="宋体" w:hAnsi="宋体" w:cs="宋体"/>
          <w:sz w:val="24"/>
          <w:szCs w:val="24"/>
        </w:rPr>
        <w:t>乙方（成交人全称）：</w:t>
      </w:r>
      <w:r>
        <w:rPr>
          <w:rFonts w:hint="eastAsia" w:ascii="宋体" w:hAnsi="宋体" w:cs="宋体"/>
          <w:sz w:val="24"/>
          <w:szCs w:val="24"/>
          <w:u w:val="single"/>
        </w:rPr>
        <w:t xml:space="preserve">                                          </w:t>
      </w:r>
    </w:p>
    <w:p>
      <w:pPr>
        <w:spacing w:before="180" w:beforeLines="50" w:after="180" w:afterLines="50" w:line="480" w:lineRule="exact"/>
        <w:contextualSpacing/>
        <w:rPr>
          <w:rFonts w:ascii="宋体" w:hAnsi="宋体" w:cs="宋体"/>
          <w:sz w:val="24"/>
          <w:szCs w:val="24"/>
        </w:rPr>
      </w:pPr>
      <w:r>
        <w:rPr>
          <w:rFonts w:hint="eastAsia" w:ascii="宋体" w:hAnsi="宋体" w:cs="宋体"/>
          <w:sz w:val="24"/>
          <w:szCs w:val="24"/>
        </w:rPr>
        <w:t xml:space="preserve">    甲乙双方于      年    月   日签署了城服公司环卫车辆设备采购项目合同（以下简称原合同），为加强双方阳光合作，保证职员职业安全，甲乙双方经协商签订本协议并作为双方共同遵守的阳光合作行为准则。</w:t>
      </w:r>
    </w:p>
    <w:p>
      <w:pPr>
        <w:numPr>
          <w:ilvl w:val="0"/>
          <w:numId w:val="20"/>
        </w:numPr>
        <w:spacing w:before="180" w:beforeLines="50" w:after="180" w:afterLines="50" w:line="480" w:lineRule="exact"/>
        <w:contextualSpacing/>
        <w:outlineLvl w:val="1"/>
        <w:rPr>
          <w:rFonts w:ascii="宋体" w:hAnsi="宋体" w:cs="宋体"/>
          <w:b/>
          <w:sz w:val="24"/>
          <w:szCs w:val="24"/>
        </w:rPr>
      </w:pPr>
      <w:bookmarkStart w:id="216" w:name="_Toc22569"/>
      <w:bookmarkStart w:id="217" w:name="_Toc23088"/>
      <w:r>
        <w:rPr>
          <w:rFonts w:hint="eastAsia" w:ascii="宋体" w:hAnsi="宋体" w:cs="宋体"/>
          <w:b/>
          <w:sz w:val="24"/>
          <w:szCs w:val="24"/>
        </w:rPr>
        <w:t>甲方责任</w:t>
      </w:r>
      <w:bookmarkEnd w:id="216"/>
      <w:bookmarkEnd w:id="217"/>
    </w:p>
    <w:p>
      <w:pPr>
        <w:spacing w:before="180" w:beforeLines="50" w:after="180" w:afterLines="50" w:line="480" w:lineRule="exact"/>
        <w:ind w:left="105" w:leftChars="50" w:firstLine="480" w:firstLineChars="200"/>
        <w:contextualSpacing/>
        <w:rPr>
          <w:rFonts w:ascii="宋体" w:hAnsi="宋体" w:cs="宋体"/>
          <w:sz w:val="24"/>
          <w:szCs w:val="24"/>
        </w:rPr>
      </w:pPr>
      <w:r>
        <w:rPr>
          <w:rFonts w:hint="eastAsia" w:ascii="宋体" w:hAnsi="宋体" w:cs="宋体"/>
          <w:sz w:val="24"/>
          <w:szCs w:val="24"/>
        </w:rPr>
        <w:t>1.甲方有责任向乙方介绍本单位有关采购管理通用原则和本协议的规定。</w:t>
      </w:r>
    </w:p>
    <w:p>
      <w:pPr>
        <w:spacing w:before="180" w:beforeLines="50" w:after="180" w:afterLines="50" w:line="480" w:lineRule="exact"/>
        <w:ind w:left="105" w:leftChars="50" w:firstLine="480" w:firstLineChars="200"/>
        <w:contextualSpacing/>
        <w:rPr>
          <w:rFonts w:ascii="宋体" w:hAnsi="宋体" w:cs="宋体"/>
          <w:sz w:val="24"/>
          <w:szCs w:val="24"/>
        </w:rPr>
      </w:pPr>
      <w:r>
        <w:rPr>
          <w:rFonts w:hint="eastAsia" w:ascii="宋体" w:hAnsi="宋体" w:cs="宋体"/>
          <w:sz w:val="24"/>
          <w:szCs w:val="24"/>
        </w:rPr>
        <w:t>2.甲方有责任对本单位相关人员进行阳光合作教育。</w:t>
      </w:r>
    </w:p>
    <w:p>
      <w:pPr>
        <w:spacing w:before="180" w:beforeLines="50" w:after="180" w:afterLines="50" w:line="480" w:lineRule="exact"/>
        <w:ind w:left="105" w:leftChars="50" w:firstLine="480" w:firstLineChars="200"/>
        <w:contextualSpacing/>
        <w:rPr>
          <w:rFonts w:ascii="宋体" w:hAnsi="宋体" w:cs="宋体"/>
          <w:sz w:val="24"/>
          <w:szCs w:val="24"/>
        </w:rPr>
      </w:pPr>
      <w:r>
        <w:rPr>
          <w:rFonts w:hint="eastAsia" w:ascii="宋体" w:hAnsi="宋体" w:cs="宋体"/>
          <w:sz w:val="24"/>
          <w:szCs w:val="24"/>
        </w:rPr>
        <w:t xml:space="preserve">3.甲方人员应严格遵守本单位有关阳光合作管理的规定，不得接受乙方任何形式的回扣、实物、现金、有价证券、礼券等有价物品，不得参加乙方提供的旅游或其他可能影响职务行为公正履行的活动。 </w:t>
      </w:r>
    </w:p>
    <w:p>
      <w:pPr>
        <w:spacing w:before="180" w:beforeLines="50" w:after="180" w:afterLines="50" w:line="480" w:lineRule="exact"/>
        <w:ind w:left="105" w:leftChars="50" w:firstLine="480" w:firstLineChars="200"/>
        <w:contextualSpacing/>
        <w:rPr>
          <w:rFonts w:ascii="宋体" w:hAnsi="宋体" w:cs="宋体"/>
          <w:sz w:val="24"/>
          <w:szCs w:val="24"/>
        </w:rPr>
      </w:pPr>
      <w:r>
        <w:rPr>
          <w:rFonts w:hint="eastAsia" w:ascii="宋体" w:hAnsi="宋体" w:cs="宋体"/>
          <w:sz w:val="24"/>
          <w:szCs w:val="24"/>
        </w:rPr>
        <w:t>4.甲方人员如违反阳光合作管理制度及本协议规定，甲方视情节轻重、影响大小给予行政及经济处罚。</w:t>
      </w:r>
    </w:p>
    <w:p>
      <w:pPr>
        <w:spacing w:before="180" w:beforeLines="50" w:after="180" w:afterLines="50" w:line="480" w:lineRule="exact"/>
        <w:ind w:left="105" w:leftChars="50" w:firstLine="480" w:firstLineChars="200"/>
        <w:contextualSpacing/>
        <w:rPr>
          <w:rFonts w:ascii="宋体" w:hAnsi="宋体" w:cs="宋体"/>
          <w:sz w:val="24"/>
          <w:szCs w:val="24"/>
        </w:rPr>
      </w:pPr>
      <w:r>
        <w:rPr>
          <w:rFonts w:hint="eastAsia" w:ascii="宋体" w:hAnsi="宋体" w:cs="宋体"/>
          <w:sz w:val="24"/>
          <w:szCs w:val="24"/>
        </w:rPr>
        <w:t>5．对于乙方举报甲方人员违反阳光合作规定的情况，甲方应及时进行调查，根据调查情况进行处理，并将调查结果向乙方反馈。</w:t>
      </w:r>
    </w:p>
    <w:p>
      <w:pPr>
        <w:spacing w:before="180" w:beforeLines="50" w:after="180" w:afterLines="50" w:line="480" w:lineRule="exact"/>
        <w:ind w:left="105" w:leftChars="50" w:firstLine="480" w:firstLineChars="200"/>
        <w:contextualSpacing/>
        <w:rPr>
          <w:rFonts w:ascii="宋体" w:hAnsi="宋体" w:cs="宋体"/>
          <w:sz w:val="24"/>
          <w:szCs w:val="24"/>
        </w:rPr>
      </w:pPr>
      <w:r>
        <w:rPr>
          <w:rFonts w:hint="eastAsia" w:ascii="宋体" w:hAnsi="宋体" w:cs="宋体"/>
          <w:sz w:val="24"/>
          <w:szCs w:val="24"/>
        </w:rPr>
        <w:t>6.接受举报的一方应为举报方保密，不得对举报方进行报复，对举报属实和严格遵守《阳光合作协议》的合作方，在同等条件下给予后续合作的优先权。</w:t>
      </w:r>
    </w:p>
    <w:p>
      <w:pPr>
        <w:numPr>
          <w:ilvl w:val="0"/>
          <w:numId w:val="20"/>
        </w:numPr>
        <w:spacing w:before="180" w:beforeLines="50" w:after="180" w:afterLines="50" w:line="480" w:lineRule="exact"/>
        <w:contextualSpacing/>
        <w:outlineLvl w:val="1"/>
        <w:rPr>
          <w:rFonts w:ascii="宋体" w:hAnsi="宋体" w:cs="宋体"/>
          <w:b/>
          <w:sz w:val="24"/>
          <w:szCs w:val="24"/>
        </w:rPr>
      </w:pPr>
      <w:bookmarkStart w:id="218" w:name="_Toc28114"/>
      <w:bookmarkStart w:id="219" w:name="_Toc21548"/>
      <w:r>
        <w:rPr>
          <w:rFonts w:hint="eastAsia" w:ascii="宋体" w:hAnsi="宋体" w:cs="宋体"/>
          <w:b/>
          <w:sz w:val="24"/>
          <w:szCs w:val="24"/>
        </w:rPr>
        <w:t>乙方责任</w:t>
      </w:r>
      <w:bookmarkEnd w:id="218"/>
      <w:bookmarkEnd w:id="219"/>
    </w:p>
    <w:p>
      <w:pPr>
        <w:spacing w:before="180" w:beforeLines="50" w:after="180" w:afterLines="50" w:line="480" w:lineRule="exact"/>
        <w:ind w:left="105" w:leftChars="50" w:firstLine="480" w:firstLineChars="200"/>
        <w:contextualSpacing/>
        <w:rPr>
          <w:rFonts w:ascii="宋体" w:hAnsi="宋体" w:cs="宋体"/>
          <w:sz w:val="24"/>
          <w:szCs w:val="24"/>
        </w:rPr>
      </w:pPr>
      <w:r>
        <w:rPr>
          <w:rFonts w:hint="eastAsia" w:ascii="宋体" w:hAnsi="宋体" w:cs="宋体"/>
          <w:sz w:val="24"/>
          <w:szCs w:val="24"/>
        </w:rPr>
        <w:t>1.乙方应保证乙方人员了解甲方有关采购管理通用原则和及本协议的规定，并遵照执行。</w:t>
      </w:r>
    </w:p>
    <w:p>
      <w:pPr>
        <w:spacing w:before="180" w:beforeLines="50" w:after="180" w:afterLines="50" w:line="480" w:lineRule="exact"/>
        <w:ind w:left="105" w:leftChars="50" w:firstLine="480" w:firstLineChars="200"/>
        <w:contextualSpacing/>
        <w:rPr>
          <w:rFonts w:ascii="宋体" w:hAnsi="宋体" w:cs="宋体"/>
          <w:sz w:val="24"/>
          <w:szCs w:val="24"/>
        </w:rPr>
      </w:pPr>
      <w:r>
        <w:rPr>
          <w:rFonts w:hint="eastAsia" w:ascii="宋体" w:hAnsi="宋体" w:cs="宋体"/>
          <w:sz w:val="24"/>
          <w:szCs w:val="24"/>
        </w:rPr>
        <w:t>2.乙方不得以任何形式给予甲方人员回扣、赠送实物、现金、有价证券、礼券等有价物品或提供旅游等其他可能影响职务行为公正履行的活动（以下统称“财物”）。</w:t>
      </w:r>
    </w:p>
    <w:p>
      <w:pPr>
        <w:spacing w:before="180" w:beforeLines="50" w:after="180" w:afterLines="50" w:line="480" w:lineRule="exact"/>
        <w:ind w:left="105" w:leftChars="50" w:firstLine="480" w:firstLineChars="200"/>
        <w:contextualSpacing/>
        <w:rPr>
          <w:rFonts w:ascii="宋体" w:hAnsi="宋体" w:cs="宋体"/>
          <w:sz w:val="24"/>
          <w:szCs w:val="24"/>
        </w:rPr>
      </w:pPr>
      <w:r>
        <w:rPr>
          <w:rFonts w:hint="eastAsia" w:ascii="宋体" w:hAnsi="宋体" w:cs="宋体"/>
          <w:sz w:val="24"/>
          <w:szCs w:val="24"/>
        </w:rPr>
        <w:t>3.乙方有责任接受甲方对乙方在合作期间阳光合作管理执行情况的监督，并对甲方相关调查工作主动配合。</w:t>
      </w:r>
    </w:p>
    <w:p>
      <w:pPr>
        <w:spacing w:before="180" w:beforeLines="50" w:after="180" w:afterLines="50" w:line="480" w:lineRule="exact"/>
        <w:ind w:left="105" w:leftChars="50" w:firstLine="480" w:firstLineChars="200"/>
        <w:contextualSpacing/>
        <w:rPr>
          <w:rFonts w:ascii="宋体" w:hAnsi="宋体" w:cs="宋体"/>
          <w:sz w:val="24"/>
          <w:szCs w:val="24"/>
        </w:rPr>
      </w:pPr>
      <w:r>
        <w:rPr>
          <w:rFonts w:hint="eastAsia" w:ascii="宋体" w:hAnsi="宋体" w:cs="宋体"/>
          <w:sz w:val="24"/>
          <w:szCs w:val="24"/>
        </w:rPr>
        <w:t>4.乙方有义务就甲方人员任何形式的索取或收受财物行为及时向甲方（直接联系人为东莞实业投资控股集团有限公司有限公司监察审计室）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10%的违约金，并对乙方知情不报人员进行相应处罚；连续出现2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东实集团（东莞实业投资控股集团有限公司有限公司及下属子公司）合格供应商。</w:t>
      </w:r>
    </w:p>
    <w:p>
      <w:pPr>
        <w:spacing w:before="180" w:beforeLines="50" w:after="180" w:afterLines="50" w:line="480" w:lineRule="exact"/>
        <w:ind w:left="105" w:leftChars="50" w:firstLine="480" w:firstLineChars="200"/>
        <w:contextualSpacing/>
        <w:rPr>
          <w:rFonts w:ascii="宋体" w:hAnsi="宋体" w:cs="宋体"/>
          <w:sz w:val="24"/>
          <w:szCs w:val="24"/>
        </w:rPr>
      </w:pPr>
      <w:r>
        <w:rPr>
          <w:rFonts w:hint="eastAsia" w:ascii="宋体" w:hAnsi="宋体" w:cs="宋体"/>
          <w:sz w:val="24"/>
          <w:szCs w:val="24"/>
        </w:rPr>
        <w:t xml:space="preserve">5．甲方接受乙方实名或匿名举报，保证为举报者的信息保密，常设举报部门及电话： </w:t>
      </w:r>
    </w:p>
    <w:p>
      <w:pPr>
        <w:spacing w:before="180" w:beforeLines="50" w:after="180" w:afterLines="50" w:line="480" w:lineRule="exact"/>
        <w:ind w:left="105" w:leftChars="50" w:firstLine="480" w:firstLineChars="200"/>
        <w:contextualSpacing/>
        <w:rPr>
          <w:rFonts w:ascii="宋体" w:hAnsi="宋体" w:cs="宋体"/>
          <w:sz w:val="24"/>
          <w:szCs w:val="24"/>
        </w:rPr>
      </w:pPr>
      <w:r>
        <w:rPr>
          <w:rFonts w:hint="eastAsia" w:ascii="宋体" w:hAnsi="宋体" w:cs="宋体"/>
          <w:sz w:val="24"/>
          <w:szCs w:val="24"/>
        </w:rPr>
        <w:t>举报受理部门：东莞实业投资控股集团有限公司有限公司监察审计室</w:t>
      </w:r>
    </w:p>
    <w:p>
      <w:pPr>
        <w:spacing w:before="180" w:beforeLines="50" w:after="180" w:afterLines="50" w:line="480" w:lineRule="exact"/>
        <w:ind w:left="105" w:leftChars="50" w:firstLine="480" w:firstLineChars="200"/>
        <w:contextualSpacing/>
        <w:rPr>
          <w:rFonts w:ascii="宋体" w:hAnsi="宋体" w:cs="宋体"/>
          <w:sz w:val="24"/>
          <w:szCs w:val="24"/>
        </w:rPr>
      </w:pPr>
      <w:bookmarkStart w:id="220" w:name="OLE_LINK1"/>
      <w:r>
        <w:rPr>
          <w:rFonts w:hint="eastAsia" w:ascii="宋体" w:hAnsi="宋体" w:cs="宋体"/>
          <w:sz w:val="24"/>
          <w:szCs w:val="24"/>
        </w:rPr>
        <w:t>东实集团举报邮箱：dgsyjjjc@163.com</w:t>
      </w:r>
    </w:p>
    <w:p>
      <w:pPr>
        <w:spacing w:before="180" w:beforeLines="50" w:after="180" w:afterLines="50" w:line="480" w:lineRule="exact"/>
        <w:ind w:left="105" w:leftChars="50" w:firstLine="480" w:firstLineChars="200"/>
        <w:contextualSpacing/>
        <w:rPr>
          <w:rFonts w:ascii="宋体" w:hAnsi="宋体" w:cs="宋体"/>
          <w:sz w:val="24"/>
          <w:szCs w:val="24"/>
        </w:rPr>
      </w:pPr>
      <w:r>
        <w:rPr>
          <w:rFonts w:hint="eastAsia" w:ascii="宋体" w:hAnsi="宋体" w:cs="宋体"/>
          <w:sz w:val="24"/>
          <w:szCs w:val="24"/>
        </w:rPr>
        <w:t>东实集团举报电话：0769-28822331（周一至周五9:00-12:00和14:00-18:00）</w:t>
      </w:r>
    </w:p>
    <w:p>
      <w:pPr>
        <w:spacing w:before="180" w:beforeLines="50" w:after="180" w:afterLines="50" w:line="480" w:lineRule="exact"/>
        <w:ind w:left="105" w:leftChars="50" w:firstLine="480" w:firstLineChars="200"/>
        <w:contextualSpacing/>
        <w:rPr>
          <w:rFonts w:ascii="宋体" w:hAnsi="宋体" w:cs="宋体"/>
          <w:sz w:val="24"/>
          <w:szCs w:val="24"/>
        </w:rPr>
      </w:pPr>
      <w:r>
        <w:rPr>
          <w:rFonts w:hint="eastAsia" w:ascii="宋体" w:hAnsi="宋体" w:cs="宋体"/>
          <w:sz w:val="24"/>
          <w:szCs w:val="24"/>
        </w:rPr>
        <w:t>邮寄地址：东莞市东城区八一路1号机关二号大院9号楼321室，东莞实业投资控股集团有限公司有限公司监察审计室收，邮编523000。</w:t>
      </w:r>
    </w:p>
    <w:bookmarkEnd w:id="220"/>
    <w:p>
      <w:pPr>
        <w:numPr>
          <w:ilvl w:val="0"/>
          <w:numId w:val="20"/>
        </w:numPr>
        <w:spacing w:before="180" w:beforeLines="50" w:after="180" w:afterLines="50" w:line="480" w:lineRule="exact"/>
        <w:contextualSpacing/>
        <w:outlineLvl w:val="1"/>
        <w:rPr>
          <w:rFonts w:ascii="宋体" w:hAnsi="宋体" w:cs="宋体"/>
          <w:b/>
          <w:sz w:val="24"/>
          <w:szCs w:val="24"/>
        </w:rPr>
      </w:pPr>
      <w:bookmarkStart w:id="221" w:name="_Toc121"/>
      <w:bookmarkStart w:id="222" w:name="_Toc382"/>
      <w:r>
        <w:rPr>
          <w:rFonts w:hint="eastAsia" w:ascii="宋体" w:hAnsi="宋体" w:cs="宋体"/>
          <w:b/>
          <w:sz w:val="24"/>
          <w:szCs w:val="24"/>
        </w:rPr>
        <w:t>其他</w:t>
      </w:r>
      <w:bookmarkEnd w:id="221"/>
      <w:bookmarkEnd w:id="222"/>
    </w:p>
    <w:p>
      <w:pPr>
        <w:spacing w:before="180" w:beforeLines="50" w:after="180" w:afterLines="50" w:line="480" w:lineRule="exact"/>
        <w:ind w:left="105" w:leftChars="50" w:firstLine="480" w:firstLineChars="200"/>
        <w:contextualSpacing/>
        <w:outlineLvl w:val="2"/>
        <w:rPr>
          <w:rFonts w:ascii="宋体" w:hAnsi="宋体" w:cs="宋体"/>
          <w:sz w:val="24"/>
          <w:szCs w:val="24"/>
        </w:rPr>
      </w:pPr>
      <w:bookmarkStart w:id="223" w:name="_Toc13609"/>
      <w:bookmarkStart w:id="224" w:name="_Toc16530"/>
      <w:r>
        <w:rPr>
          <w:rFonts w:hint="eastAsia" w:ascii="宋体" w:hAnsi="宋体" w:cs="宋体"/>
          <w:sz w:val="24"/>
          <w:szCs w:val="24"/>
        </w:rPr>
        <w:t>1.本协议是原合同的补充协议，与原合同有同等法律效力。</w:t>
      </w:r>
      <w:bookmarkEnd w:id="223"/>
      <w:bookmarkEnd w:id="224"/>
    </w:p>
    <w:p>
      <w:pPr>
        <w:spacing w:before="180" w:beforeLines="50" w:after="180" w:afterLines="50" w:line="480" w:lineRule="exact"/>
        <w:ind w:left="105" w:leftChars="50" w:firstLine="480" w:firstLineChars="200"/>
        <w:contextualSpacing/>
        <w:outlineLvl w:val="2"/>
        <w:rPr>
          <w:rFonts w:ascii="宋体" w:hAnsi="宋体" w:cs="宋体"/>
          <w:sz w:val="24"/>
          <w:szCs w:val="24"/>
        </w:rPr>
      </w:pPr>
      <w:bookmarkStart w:id="225" w:name="_Toc32497"/>
      <w:bookmarkStart w:id="226" w:name="_Toc32584"/>
      <w:r>
        <w:rPr>
          <w:rFonts w:hint="eastAsia" w:ascii="宋体" w:hAnsi="宋体" w:cs="宋体"/>
          <w:sz w:val="24"/>
          <w:szCs w:val="24"/>
        </w:rPr>
        <w:t>2.本协议一式  份，甲方  份，乙方  份, 具有同等法律效力。</w:t>
      </w:r>
      <w:bookmarkEnd w:id="225"/>
      <w:bookmarkEnd w:id="226"/>
    </w:p>
    <w:p>
      <w:pPr>
        <w:spacing w:before="180" w:beforeLines="50" w:after="180" w:afterLines="50" w:line="480" w:lineRule="exact"/>
        <w:ind w:left="105" w:leftChars="50" w:firstLine="480" w:firstLineChars="200"/>
        <w:contextualSpacing/>
        <w:outlineLvl w:val="2"/>
        <w:rPr>
          <w:rFonts w:ascii="宋体" w:hAnsi="宋体" w:cs="宋体"/>
          <w:sz w:val="24"/>
          <w:szCs w:val="24"/>
        </w:rPr>
      </w:pPr>
      <w:bookmarkStart w:id="227" w:name="_Toc20631"/>
      <w:bookmarkStart w:id="228" w:name="_Toc27694"/>
      <w:r>
        <w:rPr>
          <w:rFonts w:hint="eastAsia" w:ascii="宋体" w:hAnsi="宋体" w:cs="宋体"/>
          <w:sz w:val="24"/>
          <w:szCs w:val="24"/>
        </w:rPr>
        <w:t>3.本协议经双方签署后生效。</w:t>
      </w:r>
      <w:bookmarkEnd w:id="227"/>
      <w:bookmarkEnd w:id="228"/>
    </w:p>
    <w:p>
      <w:pPr>
        <w:spacing w:before="180" w:beforeLines="50" w:after="180" w:afterLines="50" w:line="480" w:lineRule="exact"/>
        <w:ind w:right="26" w:firstLine="360" w:firstLineChars="150"/>
        <w:contextualSpacing/>
        <w:rPr>
          <w:rFonts w:ascii="宋体" w:hAnsi="宋体" w:cs="宋体"/>
          <w:sz w:val="24"/>
          <w:szCs w:val="24"/>
        </w:rPr>
      </w:pPr>
    </w:p>
    <w:p>
      <w:pPr>
        <w:spacing w:before="180" w:beforeLines="50" w:after="180" w:afterLines="50" w:line="480" w:lineRule="exact"/>
        <w:ind w:right="26" w:firstLine="360" w:firstLineChars="150"/>
        <w:contextualSpacing/>
        <w:rPr>
          <w:rFonts w:ascii="宋体" w:hAnsi="宋体" w:cs="宋体"/>
          <w:sz w:val="24"/>
          <w:szCs w:val="24"/>
        </w:rPr>
      </w:pPr>
      <w:r>
        <w:rPr>
          <w:rFonts w:hint="eastAsia" w:ascii="宋体" w:hAnsi="宋体" w:cs="宋体"/>
          <w:sz w:val="24"/>
          <w:szCs w:val="24"/>
        </w:rPr>
        <w:t>甲方（盖章）：</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乙方（盖章）：</w:t>
      </w:r>
    </w:p>
    <w:p>
      <w:pPr>
        <w:spacing w:before="180" w:beforeLines="50" w:after="180" w:afterLines="50" w:line="480" w:lineRule="exact"/>
        <w:ind w:right="26" w:firstLine="480" w:firstLineChars="200"/>
        <w:contextualSpacing/>
        <w:rPr>
          <w:rFonts w:ascii="宋体" w:hAnsi="宋体" w:cs="宋体"/>
          <w:sz w:val="24"/>
          <w:szCs w:val="24"/>
        </w:rPr>
      </w:pPr>
      <w:r>
        <w:rPr>
          <w:rFonts w:hint="eastAsia" w:ascii="宋体" w:hAnsi="宋体" w:cs="宋体"/>
          <w:sz w:val="24"/>
          <w:szCs w:val="24"/>
        </w:rPr>
        <w:t>法定代表人（授权代表）：</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法定代表人（授权代表）：</w:t>
      </w:r>
    </w:p>
    <w:p>
      <w:pPr>
        <w:spacing w:before="180" w:beforeLines="50" w:after="180" w:afterLines="50" w:line="480" w:lineRule="exact"/>
        <w:ind w:right="26" w:firstLine="960" w:firstLineChars="400"/>
        <w:contextualSpacing/>
        <w:rPr>
          <w:rFonts w:ascii="宋体" w:hAnsi="宋体" w:cs="宋体"/>
          <w:sz w:val="24"/>
          <w:szCs w:val="24"/>
        </w:rPr>
      </w:pPr>
    </w:p>
    <w:p>
      <w:pPr>
        <w:spacing w:before="180" w:beforeLines="50" w:after="180" w:afterLines="50" w:line="480" w:lineRule="exact"/>
        <w:ind w:right="26" w:firstLine="360" w:firstLineChars="150"/>
        <w:contextualSpacing/>
        <w:rPr>
          <w:rFonts w:ascii="宋体" w:hAnsi="宋体" w:cs="宋体"/>
          <w:sz w:val="24"/>
          <w:szCs w:val="24"/>
        </w:rPr>
      </w:pPr>
      <w:r>
        <w:rPr>
          <w:rFonts w:hint="eastAsia" w:ascii="宋体" w:hAnsi="宋体" w:cs="宋体"/>
          <w:sz w:val="24"/>
          <w:szCs w:val="24"/>
        </w:rPr>
        <w:t>签约日期：   年   月   日</w:t>
      </w:r>
      <w:r>
        <w:rPr>
          <w:rFonts w:hint="eastAsia" w:ascii="宋体" w:hAnsi="宋体" w:cs="宋体"/>
          <w:sz w:val="24"/>
          <w:szCs w:val="24"/>
        </w:rPr>
        <w:tab/>
      </w:r>
      <w:r>
        <w:rPr>
          <w:rFonts w:hint="eastAsia" w:ascii="宋体" w:hAnsi="宋体" w:cs="宋体"/>
          <w:sz w:val="24"/>
          <w:szCs w:val="24"/>
        </w:rPr>
        <w:t xml:space="preserve">          签约日期：   年   月   日</w:t>
      </w:r>
    </w:p>
    <w:bookmarkEnd w:id="202"/>
    <w:bookmarkEnd w:id="203"/>
    <w:bookmarkEnd w:id="204"/>
    <w:p>
      <w:pPr>
        <w:pStyle w:val="6"/>
        <w:spacing w:before="0" w:after="0" w:line="240" w:lineRule="auto"/>
        <w:rPr>
          <w:rFonts w:ascii="宋体" w:hAnsi="宋体" w:eastAsia="宋体" w:cs="宋体"/>
          <w:sz w:val="24"/>
          <w:szCs w:val="24"/>
        </w:rPr>
      </w:pPr>
      <w:bookmarkStart w:id="229" w:name="_Toc6637"/>
      <w:bookmarkStart w:id="230" w:name="_Toc21769"/>
      <w:r>
        <w:rPr>
          <w:rFonts w:hint="eastAsia" w:ascii="宋体" w:hAnsi="宋体" w:eastAsia="宋体" w:cs="宋体"/>
          <w:sz w:val="24"/>
          <w:szCs w:val="24"/>
        </w:rPr>
        <w:t>第六部分附件－投标文件格式</w:t>
      </w:r>
      <w:bookmarkEnd w:id="229"/>
      <w:bookmarkEnd w:id="230"/>
    </w:p>
    <w:p>
      <w:pPr>
        <w:rPr>
          <w:rFonts w:ascii="宋体" w:hAnsi="宋体" w:cs="宋体"/>
          <w:sz w:val="24"/>
          <w:szCs w:val="24"/>
        </w:rPr>
      </w:pPr>
    </w:p>
    <w:p>
      <w:pPr>
        <w:pStyle w:val="9"/>
        <w:widowControl w:val="0"/>
        <w:overflowPunct w:val="0"/>
        <w:spacing w:line="240" w:lineRule="auto"/>
        <w:rPr>
          <w:rFonts w:ascii="宋体" w:hAnsi="宋体" w:cs="宋体"/>
          <w:szCs w:val="24"/>
        </w:rPr>
      </w:pPr>
      <w:bookmarkStart w:id="231" w:name="_Toc15493"/>
      <w:bookmarkStart w:id="232" w:name="_Toc28864"/>
      <w:r>
        <w:rPr>
          <w:rFonts w:hint="eastAsia" w:ascii="宋体" w:hAnsi="宋体" w:cs="宋体"/>
          <w:szCs w:val="24"/>
        </w:rPr>
        <w:t>投标文件目录</w:t>
      </w:r>
      <w:bookmarkEnd w:id="231"/>
      <w:bookmarkEnd w:id="232"/>
    </w:p>
    <w:p>
      <w:pPr>
        <w:jc w:val="center"/>
        <w:rPr>
          <w:rFonts w:ascii="宋体" w:hAnsi="宋体" w:cs="宋体"/>
          <w:sz w:val="24"/>
          <w:szCs w:val="24"/>
        </w:rPr>
      </w:pPr>
    </w:p>
    <w:p>
      <w:pPr>
        <w:jc w:val="center"/>
        <w:rPr>
          <w:rFonts w:ascii="宋体" w:hAnsi="宋体" w:cs="宋体"/>
          <w:sz w:val="24"/>
          <w:szCs w:val="24"/>
        </w:rPr>
      </w:pPr>
      <w:r>
        <w:rPr>
          <w:rFonts w:hint="eastAsia" w:ascii="宋体" w:hAnsi="宋体" w:cs="宋体"/>
          <w:sz w:val="24"/>
          <w:szCs w:val="24"/>
        </w:rPr>
        <w:t>目录</w:t>
      </w:r>
    </w:p>
    <w:p>
      <w:pPr>
        <w:adjustRightInd/>
        <w:snapToGrid/>
        <w:spacing w:line="276" w:lineRule="auto"/>
        <w:rPr>
          <w:rFonts w:ascii="宋体" w:hAnsi="宋体" w:cs="宋体"/>
          <w:sz w:val="24"/>
          <w:szCs w:val="24"/>
        </w:rPr>
      </w:pPr>
      <w:r>
        <w:rPr>
          <w:rFonts w:hint="eastAsia" w:ascii="宋体" w:hAnsi="宋体" w:cs="宋体"/>
          <w:sz w:val="24"/>
          <w:szCs w:val="24"/>
        </w:rPr>
        <w:t>格式自理。</w:t>
      </w:r>
    </w:p>
    <w:p>
      <w:pPr>
        <w:adjustRightInd/>
        <w:snapToGrid/>
        <w:spacing w:line="276" w:lineRule="auto"/>
        <w:rPr>
          <w:rFonts w:ascii="宋体" w:hAnsi="宋体" w:cs="宋体"/>
          <w:sz w:val="24"/>
          <w:szCs w:val="24"/>
        </w:rPr>
      </w:pPr>
    </w:p>
    <w:p>
      <w:pPr>
        <w:adjustRightInd/>
        <w:snapToGrid/>
        <w:spacing w:line="276" w:lineRule="auto"/>
        <w:rPr>
          <w:rFonts w:ascii="宋体" w:hAnsi="宋体" w:cs="宋体"/>
          <w:sz w:val="24"/>
          <w:szCs w:val="24"/>
        </w:rPr>
      </w:pPr>
    </w:p>
    <w:p>
      <w:pPr>
        <w:adjustRightInd/>
        <w:snapToGrid/>
        <w:spacing w:line="276" w:lineRule="auto"/>
        <w:rPr>
          <w:rFonts w:ascii="宋体" w:hAnsi="宋体" w:cs="宋体"/>
          <w:sz w:val="24"/>
          <w:szCs w:val="24"/>
        </w:rPr>
      </w:pPr>
      <w:r>
        <w:rPr>
          <w:rFonts w:hint="eastAsia" w:ascii="宋体" w:hAnsi="宋体" w:cs="宋体"/>
          <w:sz w:val="24"/>
          <w:szCs w:val="24"/>
        </w:rPr>
        <w:t>注：</w:t>
      </w:r>
    </w:p>
    <w:p>
      <w:pPr>
        <w:adjustRightInd/>
        <w:snapToGrid/>
        <w:spacing w:line="276" w:lineRule="auto"/>
        <w:rPr>
          <w:rFonts w:ascii="宋体" w:hAnsi="宋体" w:cs="宋体"/>
          <w:sz w:val="24"/>
          <w:szCs w:val="24"/>
        </w:rPr>
      </w:pPr>
      <w:r>
        <w:rPr>
          <w:rFonts w:hint="eastAsia" w:ascii="宋体" w:hAnsi="宋体" w:cs="宋体"/>
          <w:sz w:val="24"/>
          <w:szCs w:val="24"/>
        </w:rPr>
        <w:t>1、投标人制作的投标文件应当具备目录。</w:t>
      </w:r>
      <w:r>
        <w:rPr>
          <w:rFonts w:hint="eastAsia" w:ascii="宋体" w:hAnsi="宋体" w:cs="宋体"/>
          <w:sz w:val="24"/>
          <w:szCs w:val="24"/>
        </w:rPr>
        <w:br w:type="page"/>
      </w:r>
    </w:p>
    <w:p>
      <w:pPr>
        <w:pStyle w:val="9"/>
        <w:widowControl w:val="0"/>
        <w:overflowPunct w:val="0"/>
        <w:spacing w:line="240" w:lineRule="auto"/>
        <w:rPr>
          <w:rFonts w:ascii="宋体" w:hAnsi="宋体" w:cs="宋体"/>
          <w:szCs w:val="24"/>
        </w:rPr>
      </w:pPr>
      <w:bookmarkStart w:id="233" w:name="_Toc19143"/>
      <w:bookmarkStart w:id="234" w:name="_Toc19910"/>
      <w:r>
        <w:rPr>
          <w:rFonts w:hint="eastAsia" w:ascii="宋体" w:hAnsi="宋体" w:cs="宋体"/>
          <w:szCs w:val="24"/>
        </w:rPr>
        <w:t>评分标准索引表</w:t>
      </w:r>
      <w:bookmarkEnd w:id="233"/>
      <w:bookmarkEnd w:id="234"/>
    </w:p>
    <w:p>
      <w:pPr>
        <w:adjustRightInd/>
        <w:snapToGrid/>
        <w:spacing w:line="276" w:lineRule="auto"/>
        <w:rPr>
          <w:rFonts w:ascii="宋体" w:hAnsi="宋体" w:cs="宋体"/>
          <w:sz w:val="24"/>
          <w:szCs w:val="24"/>
        </w:rPr>
      </w:pPr>
    </w:p>
    <w:p>
      <w:pPr>
        <w:jc w:val="center"/>
        <w:rPr>
          <w:rFonts w:ascii="宋体" w:hAnsi="宋体" w:cs="宋体"/>
          <w:sz w:val="24"/>
          <w:szCs w:val="24"/>
        </w:rPr>
      </w:pPr>
      <w:r>
        <w:rPr>
          <w:rFonts w:hint="eastAsia" w:ascii="宋体" w:hAnsi="宋体" w:cs="宋体"/>
          <w:sz w:val="24"/>
          <w:szCs w:val="24"/>
        </w:rPr>
        <w:t>评分标准索引表</w:t>
      </w:r>
    </w:p>
    <w:tbl>
      <w:tblPr>
        <w:tblStyle w:val="2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04" w:type="dxa"/>
            <w:vAlign w:val="center"/>
          </w:tcPr>
          <w:p>
            <w:pPr>
              <w:jc w:val="center"/>
              <w:rPr>
                <w:rFonts w:ascii="宋体" w:hAnsi="宋体" w:cs="宋体"/>
                <w:sz w:val="24"/>
                <w:szCs w:val="24"/>
              </w:rPr>
            </w:pPr>
            <w:r>
              <w:rPr>
                <w:rFonts w:hint="eastAsia" w:ascii="宋体" w:hAnsi="宋体" w:cs="宋体"/>
                <w:sz w:val="24"/>
                <w:szCs w:val="24"/>
              </w:rPr>
              <w:t>序号</w:t>
            </w:r>
          </w:p>
        </w:tc>
        <w:tc>
          <w:tcPr>
            <w:tcW w:w="1704" w:type="dxa"/>
            <w:vAlign w:val="center"/>
          </w:tcPr>
          <w:p>
            <w:pPr>
              <w:jc w:val="center"/>
              <w:rPr>
                <w:rFonts w:ascii="宋体" w:hAnsi="宋体" w:cs="宋体"/>
                <w:sz w:val="24"/>
                <w:szCs w:val="24"/>
              </w:rPr>
            </w:pPr>
            <w:r>
              <w:rPr>
                <w:rFonts w:hint="eastAsia" w:ascii="宋体" w:hAnsi="宋体" w:cs="宋体"/>
                <w:sz w:val="24"/>
                <w:szCs w:val="24"/>
              </w:rPr>
              <w:t>评审项目</w:t>
            </w:r>
          </w:p>
        </w:tc>
        <w:tc>
          <w:tcPr>
            <w:tcW w:w="1704" w:type="dxa"/>
            <w:vAlign w:val="center"/>
          </w:tcPr>
          <w:p>
            <w:pPr>
              <w:jc w:val="center"/>
              <w:rPr>
                <w:rFonts w:ascii="宋体" w:hAnsi="宋体" w:cs="宋体"/>
                <w:sz w:val="24"/>
                <w:szCs w:val="24"/>
              </w:rPr>
            </w:pPr>
            <w:r>
              <w:rPr>
                <w:rFonts w:hint="eastAsia" w:ascii="宋体" w:hAnsi="宋体" w:cs="宋体"/>
                <w:sz w:val="24"/>
                <w:szCs w:val="24"/>
              </w:rPr>
              <w:t>评分细则</w:t>
            </w:r>
          </w:p>
        </w:tc>
        <w:tc>
          <w:tcPr>
            <w:tcW w:w="1705" w:type="dxa"/>
            <w:vAlign w:val="center"/>
          </w:tcPr>
          <w:p>
            <w:pPr>
              <w:jc w:val="center"/>
              <w:rPr>
                <w:rFonts w:ascii="宋体" w:hAnsi="宋体" w:cs="宋体"/>
                <w:sz w:val="24"/>
                <w:szCs w:val="24"/>
              </w:rPr>
            </w:pPr>
            <w:r>
              <w:rPr>
                <w:rFonts w:hint="eastAsia" w:ascii="宋体" w:hAnsi="宋体" w:cs="宋体"/>
                <w:sz w:val="24"/>
                <w:szCs w:val="24"/>
              </w:rPr>
              <w:t>分值</w:t>
            </w:r>
          </w:p>
        </w:tc>
        <w:tc>
          <w:tcPr>
            <w:tcW w:w="1705" w:type="dxa"/>
            <w:vAlign w:val="center"/>
          </w:tcPr>
          <w:p>
            <w:pPr>
              <w:jc w:val="center"/>
              <w:rPr>
                <w:rFonts w:ascii="宋体" w:hAnsi="宋体" w:cs="宋体"/>
                <w:sz w:val="24"/>
                <w:szCs w:val="24"/>
              </w:rPr>
            </w:pPr>
            <w:r>
              <w:rPr>
                <w:rFonts w:hint="eastAsia" w:ascii="宋体" w:hAnsi="宋体" w:cs="宋体"/>
                <w:sz w:val="24"/>
                <w:szCs w:val="24"/>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rPr>
                <w:rFonts w:ascii="宋体" w:hAnsi="宋体" w:cs="宋体"/>
                <w:sz w:val="24"/>
                <w:szCs w:val="24"/>
              </w:rPr>
            </w:pPr>
            <w:r>
              <w:rPr>
                <w:rFonts w:hint="eastAsia" w:ascii="宋体" w:hAnsi="宋体" w:cs="宋体"/>
                <w:sz w:val="24"/>
                <w:szCs w:val="24"/>
              </w:rPr>
              <w:t>商务评审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jc w:val="center"/>
              <w:rPr>
                <w:rFonts w:ascii="宋体" w:hAnsi="宋体" w:cs="宋体"/>
                <w:sz w:val="24"/>
                <w:szCs w:val="24"/>
              </w:rPr>
            </w:pPr>
          </w:p>
        </w:tc>
        <w:tc>
          <w:tcPr>
            <w:tcW w:w="1704" w:type="dxa"/>
            <w:vAlign w:val="center"/>
          </w:tcPr>
          <w:p>
            <w:pPr>
              <w:jc w:val="center"/>
              <w:rPr>
                <w:rFonts w:ascii="宋体" w:hAnsi="宋体" w:cs="宋体"/>
                <w:sz w:val="24"/>
                <w:szCs w:val="24"/>
              </w:rPr>
            </w:pPr>
          </w:p>
        </w:tc>
        <w:tc>
          <w:tcPr>
            <w:tcW w:w="1704" w:type="dxa"/>
            <w:vAlign w:val="center"/>
          </w:tcPr>
          <w:p>
            <w:pPr>
              <w:jc w:val="center"/>
              <w:rPr>
                <w:rFonts w:ascii="宋体" w:hAnsi="宋体" w:cs="宋体"/>
                <w:sz w:val="24"/>
                <w:szCs w:val="24"/>
              </w:rPr>
            </w:pPr>
          </w:p>
        </w:tc>
        <w:tc>
          <w:tcPr>
            <w:tcW w:w="1705" w:type="dxa"/>
            <w:vAlign w:val="center"/>
          </w:tcPr>
          <w:p>
            <w:pPr>
              <w:jc w:val="center"/>
              <w:rPr>
                <w:rFonts w:ascii="宋体" w:hAnsi="宋体" w:cs="宋体"/>
                <w:sz w:val="24"/>
                <w:szCs w:val="24"/>
              </w:rPr>
            </w:pPr>
          </w:p>
        </w:tc>
        <w:tc>
          <w:tcPr>
            <w:tcW w:w="1705"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jc w:val="center"/>
              <w:rPr>
                <w:rFonts w:ascii="宋体" w:hAnsi="宋体" w:cs="宋体"/>
                <w:sz w:val="24"/>
                <w:szCs w:val="24"/>
              </w:rPr>
            </w:pPr>
          </w:p>
        </w:tc>
        <w:tc>
          <w:tcPr>
            <w:tcW w:w="1704" w:type="dxa"/>
            <w:vAlign w:val="center"/>
          </w:tcPr>
          <w:p>
            <w:pPr>
              <w:jc w:val="center"/>
              <w:rPr>
                <w:rFonts w:ascii="宋体" w:hAnsi="宋体" w:cs="宋体"/>
                <w:sz w:val="24"/>
                <w:szCs w:val="24"/>
              </w:rPr>
            </w:pPr>
          </w:p>
        </w:tc>
        <w:tc>
          <w:tcPr>
            <w:tcW w:w="1704" w:type="dxa"/>
            <w:vAlign w:val="center"/>
          </w:tcPr>
          <w:p>
            <w:pPr>
              <w:jc w:val="center"/>
              <w:rPr>
                <w:rFonts w:ascii="宋体" w:hAnsi="宋体" w:cs="宋体"/>
                <w:sz w:val="24"/>
                <w:szCs w:val="24"/>
              </w:rPr>
            </w:pPr>
          </w:p>
        </w:tc>
        <w:tc>
          <w:tcPr>
            <w:tcW w:w="1705" w:type="dxa"/>
            <w:vAlign w:val="center"/>
          </w:tcPr>
          <w:p>
            <w:pPr>
              <w:jc w:val="center"/>
              <w:rPr>
                <w:rFonts w:ascii="宋体" w:hAnsi="宋体" w:cs="宋体"/>
                <w:sz w:val="24"/>
                <w:szCs w:val="24"/>
              </w:rPr>
            </w:pPr>
          </w:p>
        </w:tc>
        <w:tc>
          <w:tcPr>
            <w:tcW w:w="1705"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jc w:val="center"/>
              <w:rPr>
                <w:rFonts w:ascii="宋体" w:hAnsi="宋体" w:cs="宋体"/>
                <w:sz w:val="24"/>
                <w:szCs w:val="24"/>
              </w:rPr>
            </w:pPr>
          </w:p>
        </w:tc>
        <w:tc>
          <w:tcPr>
            <w:tcW w:w="1704" w:type="dxa"/>
            <w:vAlign w:val="center"/>
          </w:tcPr>
          <w:p>
            <w:pPr>
              <w:jc w:val="center"/>
              <w:rPr>
                <w:rFonts w:ascii="宋体" w:hAnsi="宋体" w:cs="宋体"/>
                <w:sz w:val="24"/>
                <w:szCs w:val="24"/>
              </w:rPr>
            </w:pPr>
          </w:p>
        </w:tc>
        <w:tc>
          <w:tcPr>
            <w:tcW w:w="1704" w:type="dxa"/>
            <w:vAlign w:val="center"/>
          </w:tcPr>
          <w:p>
            <w:pPr>
              <w:jc w:val="center"/>
              <w:rPr>
                <w:rFonts w:ascii="宋体" w:hAnsi="宋体" w:cs="宋体"/>
                <w:sz w:val="24"/>
                <w:szCs w:val="24"/>
              </w:rPr>
            </w:pPr>
          </w:p>
        </w:tc>
        <w:tc>
          <w:tcPr>
            <w:tcW w:w="1705" w:type="dxa"/>
            <w:vAlign w:val="center"/>
          </w:tcPr>
          <w:p>
            <w:pPr>
              <w:jc w:val="center"/>
              <w:rPr>
                <w:rFonts w:ascii="宋体" w:hAnsi="宋体" w:cs="宋体"/>
                <w:sz w:val="24"/>
                <w:szCs w:val="24"/>
              </w:rPr>
            </w:pPr>
          </w:p>
        </w:tc>
        <w:tc>
          <w:tcPr>
            <w:tcW w:w="1705"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rPr>
                <w:rFonts w:ascii="宋体" w:hAnsi="宋体" w:cs="宋体"/>
                <w:sz w:val="24"/>
                <w:szCs w:val="24"/>
              </w:rPr>
            </w:pPr>
            <w:r>
              <w:rPr>
                <w:rFonts w:hint="eastAsia" w:ascii="宋体" w:hAnsi="宋体" w:cs="宋体"/>
                <w:sz w:val="24"/>
                <w:szCs w:val="24"/>
              </w:rPr>
              <w:t>技术评审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jc w:val="center"/>
              <w:rPr>
                <w:rFonts w:ascii="宋体" w:hAnsi="宋体" w:cs="宋体"/>
                <w:sz w:val="24"/>
                <w:szCs w:val="24"/>
              </w:rPr>
            </w:pPr>
          </w:p>
        </w:tc>
        <w:tc>
          <w:tcPr>
            <w:tcW w:w="1704" w:type="dxa"/>
            <w:vAlign w:val="center"/>
          </w:tcPr>
          <w:p>
            <w:pPr>
              <w:jc w:val="center"/>
              <w:rPr>
                <w:rFonts w:ascii="宋体" w:hAnsi="宋体" w:cs="宋体"/>
                <w:sz w:val="24"/>
                <w:szCs w:val="24"/>
              </w:rPr>
            </w:pPr>
          </w:p>
        </w:tc>
        <w:tc>
          <w:tcPr>
            <w:tcW w:w="1704" w:type="dxa"/>
            <w:vAlign w:val="center"/>
          </w:tcPr>
          <w:p>
            <w:pPr>
              <w:jc w:val="center"/>
              <w:rPr>
                <w:rFonts w:ascii="宋体" w:hAnsi="宋体" w:cs="宋体"/>
                <w:sz w:val="24"/>
                <w:szCs w:val="24"/>
              </w:rPr>
            </w:pPr>
          </w:p>
        </w:tc>
        <w:tc>
          <w:tcPr>
            <w:tcW w:w="1705" w:type="dxa"/>
            <w:vAlign w:val="center"/>
          </w:tcPr>
          <w:p>
            <w:pPr>
              <w:jc w:val="center"/>
              <w:rPr>
                <w:rFonts w:ascii="宋体" w:hAnsi="宋体" w:cs="宋体"/>
                <w:sz w:val="24"/>
                <w:szCs w:val="24"/>
              </w:rPr>
            </w:pPr>
          </w:p>
        </w:tc>
        <w:tc>
          <w:tcPr>
            <w:tcW w:w="1705"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jc w:val="center"/>
              <w:rPr>
                <w:rFonts w:ascii="宋体" w:hAnsi="宋体" w:cs="宋体"/>
                <w:sz w:val="24"/>
                <w:szCs w:val="24"/>
              </w:rPr>
            </w:pPr>
          </w:p>
        </w:tc>
        <w:tc>
          <w:tcPr>
            <w:tcW w:w="1704" w:type="dxa"/>
            <w:vAlign w:val="center"/>
          </w:tcPr>
          <w:p>
            <w:pPr>
              <w:jc w:val="center"/>
              <w:rPr>
                <w:rFonts w:ascii="宋体" w:hAnsi="宋体" w:cs="宋体"/>
                <w:sz w:val="24"/>
                <w:szCs w:val="24"/>
              </w:rPr>
            </w:pPr>
          </w:p>
        </w:tc>
        <w:tc>
          <w:tcPr>
            <w:tcW w:w="1704" w:type="dxa"/>
            <w:vAlign w:val="center"/>
          </w:tcPr>
          <w:p>
            <w:pPr>
              <w:jc w:val="center"/>
              <w:rPr>
                <w:rFonts w:ascii="宋体" w:hAnsi="宋体" w:cs="宋体"/>
                <w:sz w:val="24"/>
                <w:szCs w:val="24"/>
              </w:rPr>
            </w:pPr>
          </w:p>
        </w:tc>
        <w:tc>
          <w:tcPr>
            <w:tcW w:w="1705" w:type="dxa"/>
            <w:vAlign w:val="center"/>
          </w:tcPr>
          <w:p>
            <w:pPr>
              <w:jc w:val="center"/>
              <w:rPr>
                <w:rFonts w:ascii="宋体" w:hAnsi="宋体" w:cs="宋体"/>
                <w:sz w:val="24"/>
                <w:szCs w:val="24"/>
              </w:rPr>
            </w:pPr>
          </w:p>
        </w:tc>
        <w:tc>
          <w:tcPr>
            <w:tcW w:w="1705"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jc w:val="center"/>
              <w:rPr>
                <w:rFonts w:ascii="宋体" w:hAnsi="宋体" w:cs="宋体"/>
                <w:sz w:val="24"/>
                <w:szCs w:val="24"/>
              </w:rPr>
            </w:pPr>
          </w:p>
        </w:tc>
        <w:tc>
          <w:tcPr>
            <w:tcW w:w="1704" w:type="dxa"/>
            <w:vAlign w:val="center"/>
          </w:tcPr>
          <w:p>
            <w:pPr>
              <w:jc w:val="center"/>
              <w:rPr>
                <w:rFonts w:ascii="宋体" w:hAnsi="宋体" w:cs="宋体"/>
                <w:sz w:val="24"/>
                <w:szCs w:val="24"/>
              </w:rPr>
            </w:pPr>
          </w:p>
        </w:tc>
        <w:tc>
          <w:tcPr>
            <w:tcW w:w="1704" w:type="dxa"/>
            <w:vAlign w:val="center"/>
          </w:tcPr>
          <w:p>
            <w:pPr>
              <w:jc w:val="center"/>
              <w:rPr>
                <w:rFonts w:ascii="宋体" w:hAnsi="宋体" w:cs="宋体"/>
                <w:sz w:val="24"/>
                <w:szCs w:val="24"/>
              </w:rPr>
            </w:pPr>
          </w:p>
        </w:tc>
        <w:tc>
          <w:tcPr>
            <w:tcW w:w="1705" w:type="dxa"/>
            <w:vAlign w:val="center"/>
          </w:tcPr>
          <w:p>
            <w:pPr>
              <w:jc w:val="center"/>
              <w:rPr>
                <w:rFonts w:ascii="宋体" w:hAnsi="宋体" w:cs="宋体"/>
                <w:sz w:val="24"/>
                <w:szCs w:val="24"/>
              </w:rPr>
            </w:pPr>
          </w:p>
        </w:tc>
        <w:tc>
          <w:tcPr>
            <w:tcW w:w="1705" w:type="dxa"/>
            <w:vAlign w:val="center"/>
          </w:tcPr>
          <w:p>
            <w:pPr>
              <w:jc w:val="center"/>
              <w:rPr>
                <w:rFonts w:ascii="宋体" w:hAnsi="宋体" w:cs="宋体"/>
                <w:sz w:val="24"/>
                <w:szCs w:val="24"/>
              </w:rPr>
            </w:pPr>
          </w:p>
        </w:tc>
      </w:tr>
    </w:tbl>
    <w:p>
      <w:pPr>
        <w:rPr>
          <w:rFonts w:ascii="宋体" w:hAnsi="宋体" w:cs="宋体"/>
          <w:sz w:val="24"/>
          <w:szCs w:val="24"/>
        </w:rPr>
      </w:pPr>
    </w:p>
    <w:p>
      <w:pPr>
        <w:rPr>
          <w:rFonts w:ascii="宋体" w:hAnsi="宋体" w:cs="宋体"/>
          <w:sz w:val="24"/>
          <w:szCs w:val="24"/>
        </w:rPr>
      </w:pPr>
      <w:r>
        <w:rPr>
          <w:rFonts w:hint="eastAsia" w:ascii="宋体" w:hAnsi="宋体" w:cs="宋体"/>
          <w:sz w:val="24"/>
          <w:szCs w:val="24"/>
        </w:rPr>
        <w:t>注：</w:t>
      </w:r>
    </w:p>
    <w:p>
      <w:pPr>
        <w:numPr>
          <w:ilvl w:val="0"/>
          <w:numId w:val="21"/>
        </w:numPr>
        <w:rPr>
          <w:rFonts w:ascii="宋体" w:hAnsi="宋体" w:cs="宋体"/>
          <w:sz w:val="24"/>
          <w:szCs w:val="24"/>
        </w:rPr>
      </w:pPr>
      <w:r>
        <w:rPr>
          <w:rFonts w:hint="eastAsia" w:ascii="宋体" w:hAnsi="宋体" w:cs="宋体"/>
          <w:sz w:val="24"/>
          <w:szCs w:val="24"/>
        </w:rPr>
        <w:t>该表格为参考格式，投标人可按实际情况自行制订评分标准索引表。</w:t>
      </w:r>
    </w:p>
    <w:p>
      <w:pPr>
        <w:pStyle w:val="2"/>
        <w:spacing w:before="0"/>
        <w:ind w:left="0"/>
        <w:rPr>
          <w:szCs w:val="24"/>
        </w:rPr>
      </w:pPr>
    </w:p>
    <w:p>
      <w:pPr>
        <w:adjustRightInd/>
        <w:snapToGrid/>
        <w:spacing w:line="276" w:lineRule="auto"/>
        <w:rPr>
          <w:rFonts w:ascii="宋体" w:hAnsi="宋体" w:cs="宋体"/>
          <w:sz w:val="24"/>
          <w:szCs w:val="24"/>
        </w:rPr>
      </w:pPr>
    </w:p>
    <w:p>
      <w:pPr>
        <w:adjustRightInd/>
        <w:snapToGrid/>
        <w:spacing w:line="276" w:lineRule="auto"/>
        <w:rPr>
          <w:rFonts w:ascii="宋体" w:hAnsi="宋体" w:cs="宋体"/>
          <w:sz w:val="24"/>
          <w:szCs w:val="24"/>
        </w:rPr>
      </w:pPr>
    </w:p>
    <w:p>
      <w:pPr>
        <w:adjustRightInd/>
        <w:snapToGrid/>
        <w:spacing w:line="276" w:lineRule="auto"/>
        <w:rPr>
          <w:rFonts w:ascii="宋体" w:hAnsi="宋体" w:cs="宋体"/>
          <w:sz w:val="24"/>
          <w:szCs w:val="24"/>
        </w:rPr>
      </w:pPr>
    </w:p>
    <w:p>
      <w:pPr>
        <w:adjustRightInd/>
        <w:snapToGrid/>
        <w:spacing w:line="276" w:lineRule="auto"/>
        <w:rPr>
          <w:rFonts w:ascii="宋体" w:hAnsi="宋体" w:cs="宋体"/>
          <w:sz w:val="24"/>
          <w:szCs w:val="24"/>
        </w:rPr>
      </w:pPr>
    </w:p>
    <w:p>
      <w:pPr>
        <w:adjustRightInd/>
        <w:snapToGrid/>
        <w:spacing w:line="276" w:lineRule="auto"/>
        <w:rPr>
          <w:rFonts w:ascii="宋体" w:hAnsi="宋体" w:cs="宋体"/>
          <w:sz w:val="24"/>
          <w:szCs w:val="24"/>
        </w:rPr>
      </w:pPr>
    </w:p>
    <w:p>
      <w:pPr>
        <w:adjustRightInd/>
        <w:snapToGrid/>
        <w:spacing w:line="276" w:lineRule="auto"/>
        <w:rPr>
          <w:rFonts w:ascii="宋体" w:hAnsi="宋体" w:cs="宋体"/>
          <w:sz w:val="24"/>
          <w:szCs w:val="24"/>
        </w:rPr>
      </w:pPr>
      <w:r>
        <w:rPr>
          <w:rFonts w:hint="eastAsia" w:ascii="宋体" w:hAnsi="宋体" w:cs="宋体"/>
          <w:sz w:val="24"/>
          <w:szCs w:val="24"/>
        </w:rPr>
        <w:br w:type="page"/>
      </w:r>
    </w:p>
    <w:p>
      <w:pPr>
        <w:jc w:val="center"/>
        <w:rPr>
          <w:rFonts w:ascii="宋体" w:hAnsi="宋体" w:cs="宋体"/>
          <w:sz w:val="24"/>
          <w:szCs w:val="24"/>
        </w:rPr>
      </w:pPr>
      <w:bookmarkStart w:id="235" w:name="_Toc30918"/>
      <w:bookmarkStart w:id="236" w:name="_Toc18450"/>
      <w:bookmarkStart w:id="237" w:name="_Toc20335"/>
      <w:bookmarkStart w:id="238" w:name="_Toc28154"/>
      <w:bookmarkStart w:id="239" w:name="_Toc21746"/>
    </w:p>
    <w:p>
      <w:pPr>
        <w:pStyle w:val="6"/>
        <w:spacing w:before="0" w:after="0" w:line="360" w:lineRule="auto"/>
        <w:jc w:val="center"/>
        <w:rPr>
          <w:rFonts w:ascii="宋体" w:hAnsi="宋体" w:eastAsia="宋体" w:cs="宋体"/>
          <w:sz w:val="24"/>
          <w:szCs w:val="24"/>
        </w:rPr>
      </w:pPr>
      <w:bookmarkStart w:id="240" w:name="_Toc4181"/>
      <w:bookmarkStart w:id="241" w:name="_Toc25887"/>
      <w:r>
        <w:rPr>
          <w:rFonts w:hint="eastAsia" w:ascii="宋体" w:hAnsi="宋体" w:eastAsia="宋体" w:cs="宋体"/>
          <w:sz w:val="24"/>
          <w:szCs w:val="24"/>
        </w:rPr>
        <w:t>价格文件</w:t>
      </w:r>
      <w:bookmarkEnd w:id="235"/>
      <w:bookmarkEnd w:id="236"/>
      <w:bookmarkEnd w:id="240"/>
      <w:bookmarkEnd w:id="241"/>
      <w:bookmarkStart w:id="242" w:name="_Hlt10456397"/>
      <w:bookmarkEnd w:id="242"/>
      <w:bookmarkStart w:id="243" w:name="_Hlt10519799"/>
      <w:bookmarkEnd w:id="243"/>
    </w:p>
    <w:p>
      <w:pPr>
        <w:jc w:val="center"/>
        <w:rPr>
          <w:rFonts w:ascii="宋体" w:hAnsi="宋体" w:cs="宋体"/>
          <w:sz w:val="24"/>
          <w:szCs w:val="24"/>
        </w:rPr>
      </w:pPr>
      <w:r>
        <w:rPr>
          <w:rFonts w:hint="eastAsia" w:ascii="宋体" w:hAnsi="宋体" w:cs="宋体"/>
          <w:sz w:val="24"/>
          <w:szCs w:val="24"/>
        </w:rPr>
        <w:t>（单独装订成册）</w:t>
      </w:r>
      <w:bookmarkEnd w:id="237"/>
      <w:bookmarkEnd w:id="238"/>
      <w:bookmarkEnd w:id="239"/>
    </w:p>
    <w:p>
      <w:pPr>
        <w:rPr>
          <w:rFonts w:ascii="宋体" w:hAnsi="宋体" w:cs="宋体"/>
          <w:sz w:val="24"/>
          <w:szCs w:val="24"/>
        </w:rPr>
      </w:pPr>
    </w:p>
    <w:p>
      <w:pPr>
        <w:pStyle w:val="2"/>
        <w:rPr>
          <w:szCs w:val="24"/>
        </w:rPr>
      </w:pPr>
    </w:p>
    <w:p>
      <w:pPr>
        <w:pStyle w:val="3"/>
        <w:ind w:firstLine="240"/>
        <w:rPr>
          <w:szCs w:val="24"/>
        </w:rPr>
      </w:pPr>
    </w:p>
    <w:p>
      <w:pPr>
        <w:ind w:firstLine="458" w:firstLineChars="200"/>
        <w:rPr>
          <w:rFonts w:ascii="宋体" w:hAnsi="宋体" w:cs="宋体"/>
          <w:b/>
          <w:bCs/>
          <w:spacing w:val="-6"/>
          <w:sz w:val="24"/>
          <w:szCs w:val="24"/>
        </w:rPr>
      </w:pPr>
      <w:r>
        <w:rPr>
          <w:rFonts w:hint="eastAsia" w:ascii="宋体" w:hAnsi="宋体" w:cs="宋体"/>
          <w:b/>
          <w:bCs/>
          <w:spacing w:val="-6"/>
          <w:sz w:val="24"/>
          <w:szCs w:val="24"/>
        </w:rPr>
        <w:t>项目名称:</w:t>
      </w:r>
    </w:p>
    <w:p>
      <w:pPr>
        <w:ind w:firstLine="482" w:firstLineChars="200"/>
        <w:rPr>
          <w:rFonts w:ascii="宋体" w:hAnsi="宋体" w:cs="宋体"/>
          <w:b/>
          <w:bCs/>
          <w:sz w:val="24"/>
          <w:szCs w:val="24"/>
        </w:rPr>
      </w:pPr>
      <w:r>
        <w:rPr>
          <w:rFonts w:hint="eastAsia" w:ascii="宋体" w:hAnsi="宋体" w:cs="宋体"/>
          <w:b/>
          <w:bCs/>
          <w:sz w:val="24"/>
          <w:szCs w:val="24"/>
        </w:rPr>
        <w:t>项目编号：</w:t>
      </w:r>
    </w:p>
    <w:p>
      <w:pPr>
        <w:ind w:firstLine="482" w:firstLineChars="200"/>
        <w:rPr>
          <w:rFonts w:ascii="宋体" w:hAnsi="宋体" w:cs="宋体"/>
          <w:b/>
          <w:sz w:val="24"/>
          <w:szCs w:val="24"/>
        </w:rPr>
      </w:pPr>
      <w:r>
        <w:rPr>
          <w:rFonts w:hint="eastAsia" w:ascii="宋体" w:hAnsi="宋体" w:cs="宋体"/>
          <w:b/>
          <w:sz w:val="24"/>
          <w:szCs w:val="24"/>
        </w:rPr>
        <w:t>投标人名称：</w:t>
      </w:r>
    </w:p>
    <w:p>
      <w:pPr>
        <w:ind w:left="359" w:leftChars="171" w:firstLine="482" w:firstLineChars="200"/>
        <w:rPr>
          <w:rFonts w:ascii="宋体" w:hAnsi="宋体" w:cs="宋体"/>
          <w:b/>
          <w:sz w:val="24"/>
          <w:szCs w:val="24"/>
        </w:rPr>
      </w:pPr>
    </w:p>
    <w:p>
      <w:pPr>
        <w:ind w:firstLine="482" w:firstLineChars="200"/>
        <w:rPr>
          <w:rFonts w:ascii="宋体" w:hAnsi="宋体" w:cs="宋体"/>
          <w:b/>
          <w:sz w:val="24"/>
          <w:szCs w:val="24"/>
        </w:rPr>
      </w:pPr>
      <w:r>
        <w:rPr>
          <w:rFonts w:hint="eastAsia" w:ascii="宋体" w:hAnsi="宋体" w:cs="宋体"/>
          <w:b/>
          <w:sz w:val="24"/>
          <w:szCs w:val="24"/>
        </w:rPr>
        <w:t xml:space="preserve"> </w:t>
      </w:r>
    </w:p>
    <w:p>
      <w:pPr>
        <w:ind w:firstLine="482" w:firstLineChars="200"/>
        <w:rPr>
          <w:rFonts w:ascii="宋体" w:hAnsi="宋体" w:cs="宋体"/>
          <w:b/>
          <w:bCs/>
          <w:sz w:val="24"/>
          <w:szCs w:val="24"/>
        </w:rPr>
      </w:pPr>
      <w:r>
        <w:rPr>
          <w:rFonts w:hint="eastAsia" w:ascii="宋体" w:hAnsi="宋体" w:cs="宋体"/>
          <w:b/>
          <w:sz w:val="24"/>
          <w:szCs w:val="24"/>
        </w:rPr>
        <w:t>日    期：</w:t>
      </w:r>
      <w:r>
        <w:rPr>
          <w:rFonts w:hint="eastAsia" w:ascii="宋体" w:hAnsi="宋体" w:cs="宋体"/>
          <w:b/>
          <w:sz w:val="24"/>
          <w:szCs w:val="24"/>
          <w:u w:val="single"/>
        </w:rPr>
        <w:t xml:space="preserve">                                   </w:t>
      </w:r>
    </w:p>
    <w:p>
      <w:pPr>
        <w:rPr>
          <w:rFonts w:ascii="宋体" w:hAnsi="宋体" w:cs="宋体"/>
          <w:sz w:val="24"/>
          <w:szCs w:val="24"/>
        </w:rPr>
      </w:pPr>
    </w:p>
    <w:p>
      <w:pPr>
        <w:pStyle w:val="2"/>
        <w:rPr>
          <w:szCs w:val="24"/>
        </w:rPr>
      </w:pPr>
    </w:p>
    <w:p>
      <w:pPr>
        <w:pStyle w:val="3"/>
        <w:ind w:firstLine="240"/>
        <w:rPr>
          <w:szCs w:val="24"/>
        </w:rPr>
      </w:pPr>
    </w:p>
    <w:p>
      <w:pPr>
        <w:pStyle w:val="4"/>
        <w:rPr>
          <w:rFonts w:ascii="宋体" w:hAnsi="宋体" w:cs="宋体"/>
          <w:sz w:val="24"/>
          <w:szCs w:val="24"/>
        </w:rPr>
      </w:pPr>
    </w:p>
    <w:p>
      <w:pPr>
        <w:rPr>
          <w:rFonts w:ascii="宋体" w:hAnsi="宋体" w:cs="宋体"/>
          <w:sz w:val="24"/>
          <w:szCs w:val="24"/>
        </w:rPr>
      </w:pPr>
    </w:p>
    <w:p>
      <w:pPr>
        <w:pStyle w:val="2"/>
        <w:rPr>
          <w:szCs w:val="24"/>
        </w:rPr>
      </w:pPr>
    </w:p>
    <w:p>
      <w:pPr>
        <w:pStyle w:val="3"/>
        <w:ind w:firstLine="240"/>
        <w:rPr>
          <w:szCs w:val="24"/>
        </w:rPr>
      </w:pPr>
    </w:p>
    <w:p>
      <w:pPr>
        <w:pStyle w:val="4"/>
        <w:rPr>
          <w:rFonts w:ascii="宋体" w:hAnsi="宋体" w:cs="宋体"/>
          <w:szCs w:val="24"/>
        </w:rPr>
      </w:pPr>
    </w:p>
    <w:p>
      <w:pPr>
        <w:rPr>
          <w:rFonts w:ascii="宋体" w:hAnsi="宋体" w:cs="宋体"/>
          <w:szCs w:val="24"/>
        </w:rPr>
      </w:pPr>
    </w:p>
    <w:p>
      <w:pPr>
        <w:pStyle w:val="2"/>
        <w:rPr>
          <w:szCs w:val="24"/>
        </w:rPr>
      </w:pPr>
    </w:p>
    <w:p>
      <w:pPr>
        <w:pStyle w:val="12"/>
        <w:rPr>
          <w:rFonts w:cs="宋体"/>
          <w:szCs w:val="24"/>
        </w:rPr>
      </w:pPr>
    </w:p>
    <w:p>
      <w:pPr>
        <w:pStyle w:val="13"/>
        <w:rPr>
          <w:rFonts w:ascii="宋体" w:hAnsi="宋体" w:cs="宋体"/>
          <w:szCs w:val="24"/>
        </w:rPr>
      </w:pPr>
    </w:p>
    <w:p>
      <w:pPr>
        <w:pStyle w:val="13"/>
        <w:rPr>
          <w:rFonts w:ascii="宋体" w:hAnsi="宋体" w:cs="宋体"/>
          <w:szCs w:val="24"/>
        </w:rPr>
      </w:pPr>
    </w:p>
    <w:p>
      <w:pPr>
        <w:pStyle w:val="4"/>
        <w:rPr>
          <w:rFonts w:ascii="宋体" w:hAnsi="宋体" w:cs="宋体"/>
          <w:sz w:val="24"/>
          <w:szCs w:val="24"/>
        </w:rPr>
      </w:pPr>
    </w:p>
    <w:p>
      <w:pPr>
        <w:pStyle w:val="4"/>
        <w:ind w:left="0"/>
        <w:rPr>
          <w:rFonts w:ascii="宋体" w:hAnsi="宋体" w:cs="宋体"/>
          <w:sz w:val="24"/>
          <w:szCs w:val="24"/>
        </w:rPr>
      </w:pPr>
    </w:p>
    <w:p>
      <w:pPr>
        <w:pStyle w:val="9"/>
        <w:widowControl w:val="0"/>
        <w:overflowPunct w:val="0"/>
        <w:spacing w:line="240" w:lineRule="auto"/>
        <w:rPr>
          <w:rFonts w:ascii="宋体" w:hAnsi="宋体" w:cs="宋体"/>
          <w:szCs w:val="24"/>
        </w:rPr>
      </w:pPr>
      <w:bookmarkStart w:id="244" w:name="_Toc15715"/>
      <w:bookmarkStart w:id="245" w:name="_Toc4346"/>
      <w:r>
        <w:rPr>
          <w:rFonts w:hint="eastAsia" w:ascii="宋体" w:hAnsi="宋体" w:cs="宋体"/>
          <w:szCs w:val="24"/>
        </w:rPr>
        <w:t>附件1.开标一览表格式</w:t>
      </w:r>
      <w:bookmarkEnd w:id="244"/>
      <w:bookmarkEnd w:id="245"/>
    </w:p>
    <w:p>
      <w:pPr>
        <w:jc w:val="center"/>
        <w:rPr>
          <w:rFonts w:ascii="宋体" w:hAnsi="宋体" w:cs="宋体"/>
          <w:sz w:val="24"/>
          <w:szCs w:val="24"/>
        </w:rPr>
      </w:pPr>
      <w:r>
        <w:rPr>
          <w:rFonts w:hint="eastAsia" w:ascii="宋体" w:hAnsi="宋体" w:cs="宋体"/>
          <w:sz w:val="24"/>
          <w:szCs w:val="24"/>
        </w:rPr>
        <w:t>开标一览表</w:t>
      </w:r>
    </w:p>
    <w:p>
      <w:pPr>
        <w:rPr>
          <w:rFonts w:ascii="宋体" w:hAnsi="宋体" w:cs="宋体"/>
          <w:sz w:val="24"/>
          <w:szCs w:val="24"/>
        </w:rPr>
      </w:pPr>
    </w:p>
    <w:p>
      <w:pPr>
        <w:rPr>
          <w:rFonts w:ascii="宋体" w:hAnsi="宋体" w:cs="宋体"/>
          <w:sz w:val="24"/>
          <w:szCs w:val="24"/>
        </w:rPr>
      </w:pPr>
      <w:r>
        <w:rPr>
          <w:rFonts w:hint="eastAsia" w:ascii="宋体" w:hAnsi="宋体" w:cs="宋体"/>
          <w:sz w:val="24"/>
          <w:szCs w:val="24"/>
        </w:rPr>
        <w:t>投标人名称：</w:t>
      </w:r>
    </w:p>
    <w:p>
      <w:pPr>
        <w:rPr>
          <w:rFonts w:ascii="宋体" w:hAnsi="宋体" w:cs="宋体"/>
          <w:sz w:val="24"/>
          <w:szCs w:val="24"/>
        </w:rPr>
      </w:pPr>
      <w:r>
        <w:rPr>
          <w:rFonts w:hint="eastAsia" w:ascii="宋体" w:hAnsi="宋体" w:cs="宋体"/>
          <w:sz w:val="24"/>
          <w:szCs w:val="24"/>
        </w:rPr>
        <w:t>采购项目编号：</w:t>
      </w:r>
    </w:p>
    <w:tbl>
      <w:tblPr>
        <w:tblStyle w:val="28"/>
        <w:tblW w:w="8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2917"/>
        <w:gridCol w:w="175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962" w:type="dxa"/>
            <w:vAlign w:val="center"/>
          </w:tcPr>
          <w:p>
            <w:pPr>
              <w:tabs>
                <w:tab w:val="left" w:pos="654"/>
                <w:tab w:val="left" w:pos="1734"/>
                <w:tab w:val="left" w:pos="2814"/>
                <w:tab w:val="left" w:pos="3894"/>
                <w:tab w:val="left" w:pos="5334"/>
                <w:tab w:val="left" w:pos="6414"/>
                <w:tab w:val="left" w:pos="7254"/>
                <w:tab w:val="left" w:pos="8574"/>
                <w:tab w:val="left" w:pos="9654"/>
              </w:tabs>
              <w:jc w:val="center"/>
              <w:rPr>
                <w:rFonts w:ascii="宋体" w:hAnsi="宋体" w:cs="宋体"/>
                <w:sz w:val="24"/>
                <w:szCs w:val="24"/>
              </w:rPr>
            </w:pPr>
            <w:r>
              <w:rPr>
                <w:rFonts w:hint="eastAsia" w:ascii="宋体" w:hAnsi="宋体" w:cs="宋体"/>
                <w:sz w:val="24"/>
                <w:szCs w:val="24"/>
              </w:rPr>
              <w:t>项目名称/包号</w:t>
            </w:r>
          </w:p>
        </w:tc>
        <w:tc>
          <w:tcPr>
            <w:tcW w:w="2917" w:type="dxa"/>
            <w:vAlign w:val="center"/>
          </w:tcPr>
          <w:p>
            <w:pPr>
              <w:tabs>
                <w:tab w:val="left" w:pos="654"/>
                <w:tab w:val="left" w:pos="1734"/>
                <w:tab w:val="left" w:pos="2814"/>
                <w:tab w:val="left" w:pos="3894"/>
                <w:tab w:val="left" w:pos="5334"/>
                <w:tab w:val="left" w:pos="6414"/>
                <w:tab w:val="left" w:pos="7254"/>
                <w:tab w:val="left" w:pos="8574"/>
                <w:tab w:val="left" w:pos="9654"/>
              </w:tabs>
              <w:jc w:val="center"/>
              <w:rPr>
                <w:rFonts w:ascii="宋体" w:hAnsi="宋体" w:cs="宋体"/>
                <w:sz w:val="24"/>
                <w:szCs w:val="24"/>
              </w:rPr>
            </w:pPr>
            <w:r>
              <w:rPr>
                <w:rFonts w:hint="eastAsia" w:ascii="宋体" w:hAnsi="宋体" w:cs="宋体"/>
                <w:sz w:val="24"/>
                <w:szCs w:val="24"/>
              </w:rPr>
              <w:t>投标报价</w:t>
            </w:r>
          </w:p>
        </w:tc>
        <w:tc>
          <w:tcPr>
            <w:tcW w:w="1755" w:type="dxa"/>
            <w:vAlign w:val="center"/>
          </w:tcPr>
          <w:p>
            <w:pPr>
              <w:tabs>
                <w:tab w:val="left" w:pos="654"/>
                <w:tab w:val="left" w:pos="1734"/>
                <w:tab w:val="left" w:pos="2814"/>
                <w:tab w:val="left" w:pos="3894"/>
                <w:tab w:val="left" w:pos="5334"/>
                <w:tab w:val="left" w:pos="6414"/>
                <w:tab w:val="left" w:pos="7254"/>
                <w:tab w:val="left" w:pos="8574"/>
                <w:tab w:val="left" w:pos="9654"/>
              </w:tabs>
              <w:jc w:val="center"/>
              <w:rPr>
                <w:rFonts w:ascii="宋体" w:hAnsi="宋体" w:cs="宋体"/>
                <w:sz w:val="24"/>
                <w:szCs w:val="24"/>
              </w:rPr>
            </w:pPr>
            <w:r>
              <w:rPr>
                <w:rFonts w:hint="eastAsia" w:ascii="宋体" w:hAnsi="宋体" w:cs="宋体"/>
                <w:sz w:val="24"/>
                <w:szCs w:val="24"/>
              </w:rPr>
              <w:t>交货期</w:t>
            </w:r>
          </w:p>
        </w:tc>
        <w:tc>
          <w:tcPr>
            <w:tcW w:w="1706" w:type="dxa"/>
            <w:vAlign w:val="center"/>
          </w:tcPr>
          <w:p>
            <w:pPr>
              <w:tabs>
                <w:tab w:val="left" w:pos="654"/>
                <w:tab w:val="left" w:pos="1734"/>
                <w:tab w:val="left" w:pos="2814"/>
                <w:tab w:val="left" w:pos="3894"/>
                <w:tab w:val="left" w:pos="5334"/>
                <w:tab w:val="left" w:pos="6414"/>
                <w:tab w:val="left" w:pos="7254"/>
                <w:tab w:val="left" w:pos="8574"/>
                <w:tab w:val="left" w:pos="9654"/>
              </w:tabs>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962" w:type="dxa"/>
          </w:tcPr>
          <w:p>
            <w:pPr>
              <w:tabs>
                <w:tab w:val="left" w:pos="654"/>
                <w:tab w:val="left" w:pos="1734"/>
                <w:tab w:val="left" w:pos="2814"/>
                <w:tab w:val="left" w:pos="3894"/>
                <w:tab w:val="left" w:pos="5334"/>
                <w:tab w:val="left" w:pos="6414"/>
                <w:tab w:val="left" w:pos="7254"/>
                <w:tab w:val="left" w:pos="8574"/>
                <w:tab w:val="left" w:pos="9654"/>
              </w:tabs>
              <w:jc w:val="center"/>
              <w:rPr>
                <w:rFonts w:ascii="宋体" w:hAnsi="宋体" w:cs="宋体"/>
                <w:sz w:val="24"/>
                <w:szCs w:val="24"/>
              </w:rPr>
            </w:pPr>
          </w:p>
        </w:tc>
        <w:tc>
          <w:tcPr>
            <w:tcW w:w="2917" w:type="dxa"/>
          </w:tcPr>
          <w:p>
            <w:pPr>
              <w:ind w:firstLine="480" w:firstLineChars="200"/>
              <w:rPr>
                <w:rFonts w:ascii="宋体" w:hAnsi="宋体" w:cs="宋体"/>
                <w:sz w:val="24"/>
                <w:szCs w:val="24"/>
              </w:rPr>
            </w:pPr>
          </w:p>
        </w:tc>
        <w:tc>
          <w:tcPr>
            <w:tcW w:w="1755" w:type="dxa"/>
            <w:vAlign w:val="center"/>
          </w:tcPr>
          <w:p>
            <w:pPr>
              <w:tabs>
                <w:tab w:val="left" w:pos="654"/>
                <w:tab w:val="left" w:pos="1734"/>
                <w:tab w:val="left" w:pos="2814"/>
                <w:tab w:val="left" w:pos="3894"/>
                <w:tab w:val="left" w:pos="5334"/>
                <w:tab w:val="left" w:pos="6414"/>
                <w:tab w:val="left" w:pos="7254"/>
                <w:tab w:val="left" w:pos="8574"/>
                <w:tab w:val="left" w:pos="9654"/>
              </w:tabs>
              <w:jc w:val="center"/>
              <w:rPr>
                <w:rFonts w:ascii="宋体" w:hAnsi="宋体" w:cs="宋体"/>
                <w:sz w:val="24"/>
                <w:szCs w:val="24"/>
              </w:rPr>
            </w:pPr>
          </w:p>
        </w:tc>
        <w:tc>
          <w:tcPr>
            <w:tcW w:w="1706" w:type="dxa"/>
          </w:tcPr>
          <w:p>
            <w:pPr>
              <w:tabs>
                <w:tab w:val="left" w:pos="654"/>
                <w:tab w:val="left" w:pos="1734"/>
                <w:tab w:val="left" w:pos="2814"/>
                <w:tab w:val="left" w:pos="3894"/>
                <w:tab w:val="left" w:pos="5334"/>
                <w:tab w:val="left" w:pos="6414"/>
                <w:tab w:val="left" w:pos="7254"/>
                <w:tab w:val="left" w:pos="8574"/>
                <w:tab w:val="left" w:pos="9654"/>
              </w:tabs>
              <w:rPr>
                <w:rFonts w:ascii="宋体" w:hAnsi="宋体" w:cs="宋体"/>
                <w:sz w:val="24"/>
                <w:szCs w:val="24"/>
              </w:rPr>
            </w:pPr>
          </w:p>
        </w:tc>
      </w:tr>
    </w:tbl>
    <w:p>
      <w:pPr>
        <w:rPr>
          <w:rFonts w:ascii="宋体" w:hAnsi="宋体" w:cs="宋体"/>
          <w:sz w:val="24"/>
          <w:szCs w:val="24"/>
        </w:rPr>
      </w:pPr>
    </w:p>
    <w:p>
      <w:pPr>
        <w:ind w:firstLine="410" w:firstLineChars="171"/>
        <w:rPr>
          <w:rFonts w:ascii="宋体" w:hAnsi="宋体" w:cs="宋体"/>
          <w:sz w:val="24"/>
          <w:szCs w:val="24"/>
        </w:rPr>
      </w:pPr>
    </w:p>
    <w:p>
      <w:pPr>
        <w:ind w:firstLine="410" w:firstLineChars="171"/>
        <w:rPr>
          <w:rFonts w:ascii="宋体" w:hAnsi="宋体" w:cs="宋体"/>
          <w:sz w:val="24"/>
          <w:szCs w:val="24"/>
        </w:rPr>
      </w:pPr>
      <w:r>
        <w:rPr>
          <w:rFonts w:hint="eastAsia" w:ascii="宋体" w:hAnsi="宋体" w:cs="宋体"/>
          <w:sz w:val="24"/>
          <w:szCs w:val="24"/>
        </w:rPr>
        <w:t>投标人代表签字：</w:t>
      </w:r>
    </w:p>
    <w:p>
      <w:pPr>
        <w:ind w:firstLine="410" w:firstLineChars="171"/>
        <w:rPr>
          <w:rFonts w:ascii="宋体" w:hAnsi="宋体" w:cs="宋体"/>
          <w:sz w:val="24"/>
          <w:szCs w:val="24"/>
        </w:rPr>
      </w:pPr>
      <w:r>
        <w:rPr>
          <w:rFonts w:hint="eastAsia" w:ascii="宋体" w:hAnsi="宋体" w:cs="宋体"/>
          <w:sz w:val="24"/>
          <w:szCs w:val="24"/>
        </w:rPr>
        <w:t>投标人盖章：</w:t>
      </w:r>
    </w:p>
    <w:p>
      <w:pPr>
        <w:ind w:firstLine="410" w:firstLineChars="171"/>
        <w:rPr>
          <w:rFonts w:ascii="宋体" w:hAnsi="宋体" w:cs="宋体"/>
          <w:sz w:val="24"/>
          <w:szCs w:val="24"/>
        </w:rPr>
      </w:pPr>
      <w:r>
        <w:rPr>
          <w:rFonts w:hint="eastAsia" w:ascii="宋体" w:hAnsi="宋体" w:cs="宋体"/>
          <w:sz w:val="24"/>
          <w:szCs w:val="24"/>
        </w:rPr>
        <w:t>日期：</w:t>
      </w:r>
    </w:p>
    <w:p>
      <w:pPr>
        <w:ind w:firstLine="410" w:firstLineChars="171"/>
        <w:rPr>
          <w:rFonts w:ascii="宋体" w:hAnsi="宋体" w:cs="宋体"/>
          <w:sz w:val="24"/>
          <w:szCs w:val="24"/>
        </w:rPr>
      </w:pPr>
    </w:p>
    <w:p>
      <w:pPr>
        <w:ind w:left="446" w:hanging="446" w:hangingChars="186"/>
        <w:rPr>
          <w:rFonts w:ascii="宋体" w:hAnsi="宋体" w:cs="宋体"/>
          <w:sz w:val="24"/>
          <w:szCs w:val="24"/>
        </w:rPr>
      </w:pPr>
      <w:r>
        <w:rPr>
          <w:rFonts w:hint="eastAsia" w:ascii="宋体" w:hAnsi="宋体" w:cs="宋体"/>
          <w:sz w:val="24"/>
          <w:szCs w:val="24"/>
        </w:rPr>
        <w:t xml:space="preserve">       注：</w:t>
      </w:r>
    </w:p>
    <w:p>
      <w:pPr>
        <w:ind w:firstLine="480" w:firstLineChars="200"/>
        <w:rPr>
          <w:rFonts w:ascii="宋体" w:hAnsi="宋体" w:cs="宋体"/>
          <w:sz w:val="24"/>
          <w:szCs w:val="24"/>
        </w:rPr>
      </w:pPr>
      <w:r>
        <w:rPr>
          <w:rFonts w:hint="eastAsia" w:ascii="宋体" w:hAnsi="宋体" w:cs="宋体"/>
          <w:sz w:val="24"/>
          <w:szCs w:val="24"/>
        </w:rPr>
        <w:t>1、投标总价栏须用大写金额和小写金额两种方式表示的投标总价，报价保留小数点后两位。投标总价大小写不一致，以大写为准。投标总价必须准确唯一且应包含采购文件要求的所有费用。</w:t>
      </w:r>
    </w:p>
    <w:p>
      <w:pPr>
        <w:ind w:firstLine="480" w:firstLineChars="200"/>
        <w:rPr>
          <w:rFonts w:ascii="宋体" w:hAnsi="宋体" w:cs="宋体"/>
          <w:sz w:val="24"/>
          <w:szCs w:val="24"/>
        </w:rPr>
      </w:pPr>
      <w:r>
        <w:rPr>
          <w:rFonts w:hint="eastAsia" w:ascii="宋体" w:hAnsi="宋体" w:cs="宋体"/>
          <w:sz w:val="24"/>
          <w:szCs w:val="24"/>
        </w:rPr>
        <w:t>2、温馨提示：未按采购文件要求报价、填写开标一览表是导致投标人废标的常见问题，请投标人仔细填写，认真核对。</w:t>
      </w:r>
    </w:p>
    <w:p>
      <w:pPr>
        <w:pStyle w:val="37"/>
        <w:ind w:firstLine="480"/>
        <w:rPr>
          <w:rFonts w:ascii="宋体" w:hAnsi="宋体" w:eastAsia="宋体" w:cs="宋体"/>
          <w:sz w:val="24"/>
          <w:szCs w:val="24"/>
        </w:rPr>
      </w:pPr>
    </w:p>
    <w:p>
      <w:pPr>
        <w:pStyle w:val="37"/>
        <w:ind w:firstLine="480"/>
        <w:rPr>
          <w:rFonts w:ascii="宋体" w:hAnsi="宋体" w:eastAsia="宋体" w:cs="宋体"/>
          <w:sz w:val="24"/>
          <w:szCs w:val="24"/>
        </w:rPr>
      </w:pPr>
    </w:p>
    <w:p>
      <w:pPr>
        <w:pStyle w:val="37"/>
        <w:ind w:firstLine="480"/>
        <w:rPr>
          <w:rFonts w:ascii="宋体" w:hAnsi="宋体" w:eastAsia="宋体" w:cs="宋体"/>
          <w:sz w:val="24"/>
          <w:szCs w:val="24"/>
        </w:rPr>
      </w:pPr>
    </w:p>
    <w:p>
      <w:pPr>
        <w:rPr>
          <w:rFonts w:ascii="宋体" w:hAnsi="宋体" w:cs="宋体"/>
          <w:sz w:val="24"/>
          <w:szCs w:val="24"/>
        </w:rPr>
      </w:pPr>
    </w:p>
    <w:p>
      <w:pPr>
        <w:pStyle w:val="2"/>
        <w:rPr>
          <w:szCs w:val="24"/>
        </w:rPr>
      </w:pPr>
    </w:p>
    <w:p>
      <w:pPr>
        <w:pStyle w:val="3"/>
        <w:ind w:firstLine="240"/>
        <w:rPr>
          <w:szCs w:val="24"/>
        </w:rPr>
      </w:pPr>
    </w:p>
    <w:p>
      <w:pPr>
        <w:pStyle w:val="4"/>
        <w:rPr>
          <w:rFonts w:ascii="宋体" w:hAnsi="宋体" w:cs="宋体"/>
          <w:sz w:val="24"/>
          <w:szCs w:val="24"/>
        </w:rPr>
      </w:pPr>
    </w:p>
    <w:p>
      <w:pPr>
        <w:rPr>
          <w:rFonts w:ascii="宋体" w:hAnsi="宋体" w:cs="宋体"/>
          <w:sz w:val="24"/>
          <w:szCs w:val="24"/>
        </w:rPr>
      </w:pPr>
    </w:p>
    <w:p>
      <w:pPr>
        <w:pStyle w:val="3"/>
        <w:ind w:left="0" w:firstLine="0" w:firstLineChars="0"/>
        <w:rPr>
          <w:szCs w:val="24"/>
        </w:rPr>
      </w:pPr>
    </w:p>
    <w:p>
      <w:pPr>
        <w:pStyle w:val="9"/>
        <w:widowControl w:val="0"/>
        <w:overflowPunct w:val="0"/>
        <w:spacing w:line="240" w:lineRule="auto"/>
        <w:rPr>
          <w:rFonts w:ascii="宋体" w:hAnsi="宋体" w:cs="宋体"/>
          <w:szCs w:val="24"/>
        </w:rPr>
      </w:pPr>
      <w:bookmarkStart w:id="246" w:name="_Toc4349"/>
      <w:bookmarkStart w:id="247" w:name="_Toc51"/>
      <w:r>
        <w:rPr>
          <w:rFonts w:hint="eastAsia" w:ascii="宋体" w:hAnsi="宋体" w:cs="宋体"/>
          <w:szCs w:val="24"/>
        </w:rPr>
        <w:t>附件2.报价明细表</w:t>
      </w:r>
      <w:bookmarkEnd w:id="246"/>
      <w:bookmarkEnd w:id="247"/>
    </w:p>
    <w:p>
      <w:pPr>
        <w:jc w:val="center"/>
        <w:rPr>
          <w:rFonts w:ascii="宋体" w:hAnsi="宋体" w:cs="宋体"/>
          <w:sz w:val="24"/>
          <w:szCs w:val="24"/>
        </w:rPr>
      </w:pPr>
      <w:r>
        <w:rPr>
          <w:rFonts w:hint="eastAsia" w:ascii="宋体" w:hAnsi="宋体" w:cs="宋体"/>
          <w:sz w:val="24"/>
          <w:szCs w:val="24"/>
        </w:rPr>
        <w:t>报价明细表</w:t>
      </w:r>
    </w:p>
    <w:p>
      <w:pPr>
        <w:pStyle w:val="74"/>
        <w:spacing w:before="0" w:after="0"/>
        <w:jc w:val="right"/>
        <w:rPr>
          <w:rFonts w:ascii="宋体" w:hAnsi="宋体" w:cs="宋体"/>
          <w:sz w:val="24"/>
          <w:szCs w:val="24"/>
        </w:rPr>
      </w:pPr>
      <w:r>
        <w:rPr>
          <w:rFonts w:hint="eastAsia" w:ascii="宋体" w:hAnsi="宋体" w:cs="宋体"/>
          <w:sz w:val="24"/>
          <w:szCs w:val="24"/>
        </w:rPr>
        <w:t>单位：元</w:t>
      </w:r>
    </w:p>
    <w:tbl>
      <w:tblPr>
        <w:tblStyle w:val="28"/>
        <w:tblW w:w="845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772"/>
        <w:gridCol w:w="1241"/>
        <w:gridCol w:w="710"/>
        <w:gridCol w:w="950"/>
        <w:gridCol w:w="1040"/>
        <w:gridCol w:w="1110"/>
        <w:gridCol w:w="9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82" w:type="dxa"/>
            <w:tcBorders>
              <w:tl2br w:val="nil"/>
              <w:tr2bl w:val="nil"/>
            </w:tcBorders>
            <w:vAlign w:val="center"/>
          </w:tcPr>
          <w:p>
            <w:pPr>
              <w:spacing w:before="100" w:beforeAutospacing="1" w:after="100" w:afterAutospacing="1"/>
              <w:jc w:val="center"/>
              <w:rPr>
                <w:rFonts w:ascii="宋体" w:hAnsi="宋体" w:cs="宋体"/>
                <w:sz w:val="24"/>
                <w:szCs w:val="24"/>
              </w:rPr>
            </w:pPr>
            <w:r>
              <w:rPr>
                <w:rFonts w:hint="eastAsia" w:ascii="宋体" w:hAnsi="宋体" w:cs="宋体"/>
                <w:sz w:val="24"/>
                <w:szCs w:val="24"/>
              </w:rPr>
              <w:t>序号</w:t>
            </w:r>
          </w:p>
        </w:tc>
        <w:tc>
          <w:tcPr>
            <w:tcW w:w="1772" w:type="dxa"/>
            <w:tcBorders>
              <w:tl2br w:val="nil"/>
              <w:tr2bl w:val="nil"/>
            </w:tcBorders>
            <w:vAlign w:val="center"/>
          </w:tcPr>
          <w:p>
            <w:pPr>
              <w:spacing w:before="100" w:beforeAutospacing="1" w:after="100" w:afterAutospacing="1"/>
              <w:jc w:val="center"/>
              <w:rPr>
                <w:rFonts w:ascii="宋体" w:hAnsi="宋体" w:cs="宋体"/>
                <w:sz w:val="24"/>
                <w:szCs w:val="24"/>
              </w:rPr>
            </w:pPr>
            <w:r>
              <w:rPr>
                <w:rFonts w:hint="eastAsia" w:ascii="宋体" w:hAnsi="宋体" w:cs="宋体"/>
                <w:sz w:val="24"/>
                <w:szCs w:val="24"/>
              </w:rPr>
              <w:t>货物/服务名称</w:t>
            </w:r>
          </w:p>
        </w:tc>
        <w:tc>
          <w:tcPr>
            <w:tcW w:w="1241" w:type="dxa"/>
            <w:tcBorders>
              <w:tl2br w:val="nil"/>
              <w:tr2bl w:val="nil"/>
            </w:tcBorders>
            <w:vAlign w:val="center"/>
          </w:tcPr>
          <w:p>
            <w:pPr>
              <w:spacing w:before="100" w:beforeAutospacing="1" w:after="100" w:afterAutospacing="1"/>
              <w:jc w:val="center"/>
              <w:rPr>
                <w:rFonts w:ascii="宋体" w:hAnsi="宋体" w:cs="宋体"/>
                <w:sz w:val="24"/>
                <w:szCs w:val="24"/>
              </w:rPr>
            </w:pPr>
            <w:r>
              <w:rPr>
                <w:rFonts w:hint="eastAsia" w:ascii="宋体" w:hAnsi="宋体" w:cs="宋体"/>
                <w:sz w:val="24"/>
                <w:szCs w:val="24"/>
              </w:rPr>
              <w:t>规格型号/服务内容</w:t>
            </w:r>
          </w:p>
        </w:tc>
        <w:tc>
          <w:tcPr>
            <w:tcW w:w="710" w:type="dxa"/>
            <w:tcBorders>
              <w:tl2br w:val="nil"/>
              <w:tr2bl w:val="nil"/>
            </w:tcBorders>
            <w:vAlign w:val="center"/>
          </w:tcPr>
          <w:p>
            <w:pPr>
              <w:spacing w:before="100" w:beforeAutospacing="1" w:after="100" w:afterAutospacing="1"/>
              <w:jc w:val="center"/>
              <w:rPr>
                <w:rFonts w:ascii="宋体" w:hAnsi="宋体" w:cs="宋体"/>
                <w:sz w:val="24"/>
                <w:szCs w:val="24"/>
              </w:rPr>
            </w:pPr>
            <w:r>
              <w:rPr>
                <w:rFonts w:hint="eastAsia" w:ascii="宋体" w:hAnsi="宋体" w:cs="宋体"/>
                <w:sz w:val="24"/>
                <w:szCs w:val="24"/>
              </w:rPr>
              <w:t>品牌</w:t>
            </w:r>
          </w:p>
        </w:tc>
        <w:tc>
          <w:tcPr>
            <w:tcW w:w="950" w:type="dxa"/>
            <w:tcBorders>
              <w:tl2br w:val="nil"/>
              <w:tr2bl w:val="nil"/>
            </w:tcBorders>
            <w:vAlign w:val="center"/>
          </w:tcPr>
          <w:p>
            <w:pPr>
              <w:spacing w:before="100" w:beforeAutospacing="1" w:after="100" w:afterAutospacing="1"/>
              <w:jc w:val="center"/>
              <w:rPr>
                <w:rFonts w:ascii="宋体" w:hAnsi="宋体" w:cs="宋体"/>
                <w:sz w:val="24"/>
                <w:szCs w:val="24"/>
              </w:rPr>
            </w:pPr>
            <w:r>
              <w:rPr>
                <w:rFonts w:hint="eastAsia" w:ascii="宋体" w:hAnsi="宋体" w:cs="宋体"/>
                <w:sz w:val="24"/>
                <w:szCs w:val="24"/>
              </w:rPr>
              <w:t>数量</w:t>
            </w:r>
          </w:p>
        </w:tc>
        <w:tc>
          <w:tcPr>
            <w:tcW w:w="1040" w:type="dxa"/>
            <w:tcBorders>
              <w:tl2br w:val="nil"/>
              <w:tr2bl w:val="nil"/>
            </w:tcBorders>
            <w:vAlign w:val="center"/>
          </w:tcPr>
          <w:p>
            <w:pPr>
              <w:spacing w:before="100" w:beforeAutospacing="1" w:after="100" w:afterAutospacing="1"/>
              <w:jc w:val="center"/>
              <w:rPr>
                <w:rFonts w:ascii="宋体" w:hAnsi="宋体" w:cs="宋体"/>
                <w:sz w:val="24"/>
                <w:szCs w:val="24"/>
              </w:rPr>
            </w:pPr>
            <w:r>
              <w:rPr>
                <w:rFonts w:hint="eastAsia" w:ascii="宋体" w:hAnsi="宋体" w:cs="宋体"/>
                <w:sz w:val="24"/>
                <w:szCs w:val="24"/>
              </w:rPr>
              <w:t>单价</w:t>
            </w:r>
          </w:p>
        </w:tc>
        <w:tc>
          <w:tcPr>
            <w:tcW w:w="1110" w:type="dxa"/>
            <w:tcBorders>
              <w:tl2br w:val="nil"/>
              <w:tr2bl w:val="nil"/>
            </w:tcBorders>
            <w:vAlign w:val="center"/>
          </w:tcPr>
          <w:p>
            <w:pPr>
              <w:spacing w:before="100" w:beforeAutospacing="1" w:after="100" w:afterAutospacing="1"/>
              <w:jc w:val="center"/>
              <w:rPr>
                <w:rFonts w:ascii="宋体" w:hAnsi="宋体" w:cs="宋体"/>
                <w:sz w:val="24"/>
                <w:szCs w:val="24"/>
              </w:rPr>
            </w:pPr>
            <w:r>
              <w:rPr>
                <w:rFonts w:hint="eastAsia" w:ascii="宋体" w:hAnsi="宋体" w:cs="宋体"/>
                <w:sz w:val="24"/>
                <w:szCs w:val="24"/>
              </w:rPr>
              <w:t>合计</w:t>
            </w:r>
          </w:p>
        </w:tc>
        <w:tc>
          <w:tcPr>
            <w:tcW w:w="950" w:type="dxa"/>
            <w:tcBorders>
              <w:tl2br w:val="nil"/>
              <w:tr2bl w:val="nil"/>
            </w:tcBorders>
            <w:vAlign w:val="center"/>
          </w:tcPr>
          <w:p>
            <w:pPr>
              <w:spacing w:before="100" w:beforeAutospacing="1" w:after="100" w:afterAutospacing="1"/>
              <w:jc w:val="center"/>
              <w:rPr>
                <w:rFonts w:ascii="宋体" w:hAnsi="宋体" w:cs="宋体"/>
                <w:sz w:val="24"/>
                <w:szCs w:val="24"/>
              </w:rPr>
            </w:pPr>
            <w:r>
              <w:rPr>
                <w:rFonts w:hint="eastAsia" w:ascii="宋体" w:hAnsi="宋体" w:cs="宋体"/>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ascii="宋体" w:hAnsi="宋体" w:cs="宋体"/>
                <w:sz w:val="24"/>
                <w:szCs w:val="24"/>
              </w:rPr>
            </w:pPr>
          </w:p>
        </w:tc>
        <w:tc>
          <w:tcPr>
            <w:tcW w:w="1772" w:type="dxa"/>
            <w:tcBorders>
              <w:tl2br w:val="nil"/>
              <w:tr2bl w:val="nil"/>
            </w:tcBorders>
            <w:vAlign w:val="center"/>
          </w:tcPr>
          <w:p>
            <w:pPr>
              <w:spacing w:before="100" w:beforeAutospacing="1" w:after="100" w:afterAutospacing="1"/>
              <w:rPr>
                <w:rFonts w:ascii="宋体" w:hAnsi="宋体" w:cs="宋体"/>
                <w:sz w:val="24"/>
                <w:szCs w:val="24"/>
              </w:rPr>
            </w:pPr>
          </w:p>
        </w:tc>
        <w:tc>
          <w:tcPr>
            <w:tcW w:w="1241" w:type="dxa"/>
            <w:tcBorders>
              <w:tl2br w:val="nil"/>
              <w:tr2bl w:val="nil"/>
            </w:tcBorders>
            <w:vAlign w:val="center"/>
          </w:tcPr>
          <w:p>
            <w:pPr>
              <w:spacing w:before="100" w:beforeAutospacing="1" w:after="100" w:afterAutospacing="1"/>
              <w:jc w:val="center"/>
              <w:rPr>
                <w:rFonts w:ascii="宋体" w:hAnsi="宋体" w:cs="宋体"/>
                <w:sz w:val="24"/>
                <w:szCs w:val="24"/>
              </w:rPr>
            </w:pPr>
          </w:p>
        </w:tc>
        <w:tc>
          <w:tcPr>
            <w:tcW w:w="710" w:type="dxa"/>
            <w:tcBorders>
              <w:tl2br w:val="nil"/>
              <w:tr2bl w:val="nil"/>
            </w:tcBorders>
            <w:vAlign w:val="center"/>
          </w:tcPr>
          <w:p>
            <w:pPr>
              <w:spacing w:before="100" w:beforeAutospacing="1" w:after="100" w:afterAutospacing="1"/>
              <w:jc w:val="center"/>
              <w:rPr>
                <w:rFonts w:ascii="宋体" w:hAnsi="宋体" w:cs="宋体"/>
                <w:sz w:val="24"/>
                <w:szCs w:val="24"/>
              </w:rPr>
            </w:pPr>
          </w:p>
        </w:tc>
        <w:tc>
          <w:tcPr>
            <w:tcW w:w="950" w:type="dxa"/>
            <w:tcBorders>
              <w:tl2br w:val="nil"/>
              <w:tr2bl w:val="nil"/>
            </w:tcBorders>
            <w:vAlign w:val="center"/>
          </w:tcPr>
          <w:p>
            <w:pPr>
              <w:spacing w:before="100" w:beforeAutospacing="1" w:after="100" w:afterAutospacing="1"/>
              <w:jc w:val="center"/>
              <w:rPr>
                <w:rFonts w:ascii="宋体" w:hAnsi="宋体" w:cs="宋体"/>
                <w:sz w:val="24"/>
                <w:szCs w:val="24"/>
              </w:rPr>
            </w:pPr>
          </w:p>
        </w:tc>
        <w:tc>
          <w:tcPr>
            <w:tcW w:w="1040" w:type="dxa"/>
            <w:tcBorders>
              <w:tl2br w:val="nil"/>
              <w:tr2bl w:val="nil"/>
            </w:tcBorders>
            <w:vAlign w:val="center"/>
          </w:tcPr>
          <w:p>
            <w:pPr>
              <w:spacing w:before="100" w:beforeAutospacing="1" w:after="100" w:afterAutospacing="1"/>
              <w:jc w:val="center"/>
              <w:rPr>
                <w:rFonts w:ascii="宋体" w:hAnsi="宋体" w:cs="宋体"/>
                <w:sz w:val="24"/>
                <w:szCs w:val="24"/>
              </w:rPr>
            </w:pPr>
          </w:p>
        </w:tc>
        <w:tc>
          <w:tcPr>
            <w:tcW w:w="1110" w:type="dxa"/>
            <w:tcBorders>
              <w:tl2br w:val="nil"/>
              <w:tr2bl w:val="nil"/>
            </w:tcBorders>
            <w:vAlign w:val="center"/>
          </w:tcPr>
          <w:p>
            <w:pPr>
              <w:spacing w:before="100" w:beforeAutospacing="1" w:after="100" w:afterAutospacing="1"/>
              <w:jc w:val="center"/>
              <w:rPr>
                <w:rFonts w:ascii="宋体" w:hAnsi="宋体" w:cs="宋体"/>
                <w:sz w:val="24"/>
                <w:szCs w:val="24"/>
              </w:rPr>
            </w:pPr>
          </w:p>
        </w:tc>
        <w:tc>
          <w:tcPr>
            <w:tcW w:w="950" w:type="dxa"/>
            <w:tcBorders>
              <w:tl2br w:val="nil"/>
              <w:tr2bl w:val="nil"/>
            </w:tcBorders>
            <w:vAlign w:val="center"/>
          </w:tcPr>
          <w:p>
            <w:pPr>
              <w:spacing w:before="100" w:beforeAutospacing="1" w:after="100" w:afterAutospacing="1"/>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ascii="宋体" w:hAnsi="宋体" w:cs="宋体"/>
                <w:sz w:val="24"/>
                <w:szCs w:val="24"/>
              </w:rPr>
            </w:pPr>
          </w:p>
        </w:tc>
        <w:tc>
          <w:tcPr>
            <w:tcW w:w="1772" w:type="dxa"/>
            <w:tcBorders>
              <w:tl2br w:val="nil"/>
              <w:tr2bl w:val="nil"/>
            </w:tcBorders>
            <w:vAlign w:val="center"/>
          </w:tcPr>
          <w:p>
            <w:pPr>
              <w:spacing w:before="100" w:beforeAutospacing="1" w:after="100" w:afterAutospacing="1"/>
              <w:rPr>
                <w:rFonts w:ascii="宋体" w:hAnsi="宋体" w:cs="宋体"/>
                <w:sz w:val="24"/>
                <w:szCs w:val="24"/>
              </w:rPr>
            </w:pPr>
          </w:p>
        </w:tc>
        <w:tc>
          <w:tcPr>
            <w:tcW w:w="1241" w:type="dxa"/>
            <w:tcBorders>
              <w:tl2br w:val="nil"/>
              <w:tr2bl w:val="nil"/>
            </w:tcBorders>
            <w:vAlign w:val="center"/>
          </w:tcPr>
          <w:p>
            <w:pPr>
              <w:spacing w:before="100" w:beforeAutospacing="1" w:after="100" w:afterAutospacing="1"/>
              <w:jc w:val="center"/>
              <w:rPr>
                <w:rFonts w:ascii="宋体" w:hAnsi="宋体" w:cs="宋体"/>
                <w:sz w:val="24"/>
                <w:szCs w:val="24"/>
              </w:rPr>
            </w:pPr>
          </w:p>
        </w:tc>
        <w:tc>
          <w:tcPr>
            <w:tcW w:w="710" w:type="dxa"/>
            <w:tcBorders>
              <w:tl2br w:val="nil"/>
              <w:tr2bl w:val="nil"/>
            </w:tcBorders>
            <w:vAlign w:val="center"/>
          </w:tcPr>
          <w:p>
            <w:pPr>
              <w:spacing w:before="100" w:beforeAutospacing="1" w:after="100" w:afterAutospacing="1"/>
              <w:jc w:val="center"/>
              <w:rPr>
                <w:rFonts w:ascii="宋体" w:hAnsi="宋体" w:cs="宋体"/>
                <w:sz w:val="24"/>
                <w:szCs w:val="24"/>
              </w:rPr>
            </w:pPr>
          </w:p>
        </w:tc>
        <w:tc>
          <w:tcPr>
            <w:tcW w:w="950" w:type="dxa"/>
            <w:tcBorders>
              <w:tl2br w:val="nil"/>
              <w:tr2bl w:val="nil"/>
            </w:tcBorders>
            <w:vAlign w:val="center"/>
          </w:tcPr>
          <w:p>
            <w:pPr>
              <w:spacing w:before="100" w:beforeAutospacing="1" w:after="100" w:afterAutospacing="1"/>
              <w:jc w:val="center"/>
              <w:rPr>
                <w:rFonts w:ascii="宋体" w:hAnsi="宋体" w:cs="宋体"/>
                <w:sz w:val="24"/>
                <w:szCs w:val="24"/>
              </w:rPr>
            </w:pPr>
          </w:p>
        </w:tc>
        <w:tc>
          <w:tcPr>
            <w:tcW w:w="1040" w:type="dxa"/>
            <w:tcBorders>
              <w:tl2br w:val="nil"/>
              <w:tr2bl w:val="nil"/>
            </w:tcBorders>
            <w:vAlign w:val="center"/>
          </w:tcPr>
          <w:p>
            <w:pPr>
              <w:spacing w:before="100" w:beforeAutospacing="1" w:after="100" w:afterAutospacing="1"/>
              <w:jc w:val="center"/>
              <w:rPr>
                <w:rFonts w:ascii="宋体" w:hAnsi="宋体" w:cs="宋体"/>
                <w:sz w:val="24"/>
                <w:szCs w:val="24"/>
              </w:rPr>
            </w:pPr>
          </w:p>
        </w:tc>
        <w:tc>
          <w:tcPr>
            <w:tcW w:w="1110" w:type="dxa"/>
            <w:tcBorders>
              <w:tl2br w:val="nil"/>
              <w:tr2bl w:val="nil"/>
            </w:tcBorders>
            <w:vAlign w:val="center"/>
          </w:tcPr>
          <w:p>
            <w:pPr>
              <w:spacing w:before="100" w:beforeAutospacing="1" w:after="100" w:afterAutospacing="1"/>
              <w:jc w:val="center"/>
              <w:rPr>
                <w:rFonts w:ascii="宋体" w:hAnsi="宋体" w:cs="宋体"/>
                <w:sz w:val="24"/>
                <w:szCs w:val="24"/>
              </w:rPr>
            </w:pPr>
          </w:p>
        </w:tc>
        <w:tc>
          <w:tcPr>
            <w:tcW w:w="950" w:type="dxa"/>
            <w:tcBorders>
              <w:tl2br w:val="nil"/>
              <w:tr2bl w:val="nil"/>
            </w:tcBorders>
            <w:vAlign w:val="center"/>
          </w:tcPr>
          <w:p>
            <w:pPr>
              <w:spacing w:before="100" w:beforeAutospacing="1" w:after="100" w:afterAutospacing="1"/>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ascii="宋体" w:hAnsi="宋体" w:cs="宋体"/>
                <w:sz w:val="24"/>
                <w:szCs w:val="24"/>
              </w:rPr>
            </w:pPr>
          </w:p>
        </w:tc>
        <w:tc>
          <w:tcPr>
            <w:tcW w:w="1772" w:type="dxa"/>
            <w:tcBorders>
              <w:tl2br w:val="nil"/>
              <w:tr2bl w:val="nil"/>
            </w:tcBorders>
            <w:vAlign w:val="center"/>
          </w:tcPr>
          <w:p>
            <w:pPr>
              <w:spacing w:before="100" w:beforeAutospacing="1" w:after="100" w:afterAutospacing="1"/>
              <w:rPr>
                <w:rFonts w:ascii="宋体" w:hAnsi="宋体" w:cs="宋体"/>
                <w:sz w:val="24"/>
                <w:szCs w:val="24"/>
              </w:rPr>
            </w:pPr>
          </w:p>
        </w:tc>
        <w:tc>
          <w:tcPr>
            <w:tcW w:w="1241" w:type="dxa"/>
            <w:tcBorders>
              <w:tl2br w:val="nil"/>
              <w:tr2bl w:val="nil"/>
            </w:tcBorders>
            <w:vAlign w:val="center"/>
          </w:tcPr>
          <w:p>
            <w:pPr>
              <w:spacing w:before="100" w:beforeAutospacing="1" w:after="100" w:afterAutospacing="1"/>
              <w:jc w:val="center"/>
              <w:rPr>
                <w:rFonts w:ascii="宋体" w:hAnsi="宋体" w:cs="宋体"/>
                <w:sz w:val="24"/>
                <w:szCs w:val="24"/>
              </w:rPr>
            </w:pPr>
          </w:p>
        </w:tc>
        <w:tc>
          <w:tcPr>
            <w:tcW w:w="710" w:type="dxa"/>
            <w:tcBorders>
              <w:tl2br w:val="nil"/>
              <w:tr2bl w:val="nil"/>
            </w:tcBorders>
            <w:vAlign w:val="center"/>
          </w:tcPr>
          <w:p>
            <w:pPr>
              <w:spacing w:before="100" w:beforeAutospacing="1" w:after="100" w:afterAutospacing="1"/>
              <w:jc w:val="center"/>
              <w:rPr>
                <w:rFonts w:ascii="宋体" w:hAnsi="宋体" w:cs="宋体"/>
                <w:sz w:val="24"/>
                <w:szCs w:val="24"/>
              </w:rPr>
            </w:pPr>
          </w:p>
        </w:tc>
        <w:tc>
          <w:tcPr>
            <w:tcW w:w="950" w:type="dxa"/>
            <w:tcBorders>
              <w:tl2br w:val="nil"/>
              <w:tr2bl w:val="nil"/>
            </w:tcBorders>
            <w:vAlign w:val="center"/>
          </w:tcPr>
          <w:p>
            <w:pPr>
              <w:spacing w:before="100" w:beforeAutospacing="1" w:after="100" w:afterAutospacing="1"/>
              <w:jc w:val="center"/>
              <w:rPr>
                <w:rFonts w:ascii="宋体" w:hAnsi="宋体" w:cs="宋体"/>
                <w:sz w:val="24"/>
                <w:szCs w:val="24"/>
              </w:rPr>
            </w:pPr>
          </w:p>
        </w:tc>
        <w:tc>
          <w:tcPr>
            <w:tcW w:w="1040" w:type="dxa"/>
            <w:tcBorders>
              <w:tl2br w:val="nil"/>
              <w:tr2bl w:val="nil"/>
            </w:tcBorders>
            <w:vAlign w:val="center"/>
          </w:tcPr>
          <w:p>
            <w:pPr>
              <w:spacing w:before="100" w:beforeAutospacing="1" w:after="100" w:afterAutospacing="1"/>
              <w:jc w:val="center"/>
              <w:rPr>
                <w:rFonts w:ascii="宋体" w:hAnsi="宋体" w:cs="宋体"/>
                <w:sz w:val="24"/>
                <w:szCs w:val="24"/>
              </w:rPr>
            </w:pPr>
          </w:p>
        </w:tc>
        <w:tc>
          <w:tcPr>
            <w:tcW w:w="1110" w:type="dxa"/>
            <w:tcBorders>
              <w:tl2br w:val="nil"/>
              <w:tr2bl w:val="nil"/>
            </w:tcBorders>
            <w:vAlign w:val="center"/>
          </w:tcPr>
          <w:p>
            <w:pPr>
              <w:spacing w:before="100" w:beforeAutospacing="1" w:after="100" w:afterAutospacing="1"/>
              <w:jc w:val="center"/>
              <w:rPr>
                <w:rFonts w:ascii="宋体" w:hAnsi="宋体" w:cs="宋体"/>
                <w:sz w:val="24"/>
                <w:szCs w:val="24"/>
              </w:rPr>
            </w:pPr>
          </w:p>
        </w:tc>
        <w:tc>
          <w:tcPr>
            <w:tcW w:w="950" w:type="dxa"/>
            <w:tcBorders>
              <w:tl2br w:val="nil"/>
              <w:tr2bl w:val="nil"/>
            </w:tcBorders>
            <w:vAlign w:val="center"/>
          </w:tcPr>
          <w:p>
            <w:pPr>
              <w:spacing w:before="100" w:beforeAutospacing="1" w:after="100" w:afterAutospacing="1"/>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ascii="宋体" w:hAnsi="宋体" w:cs="宋体"/>
                <w:sz w:val="24"/>
                <w:szCs w:val="24"/>
              </w:rPr>
            </w:pPr>
          </w:p>
        </w:tc>
        <w:tc>
          <w:tcPr>
            <w:tcW w:w="1772" w:type="dxa"/>
            <w:tcBorders>
              <w:tl2br w:val="nil"/>
              <w:tr2bl w:val="nil"/>
            </w:tcBorders>
            <w:vAlign w:val="center"/>
          </w:tcPr>
          <w:p>
            <w:pPr>
              <w:spacing w:before="100" w:beforeAutospacing="1" w:after="100" w:afterAutospacing="1"/>
              <w:rPr>
                <w:rFonts w:ascii="宋体" w:hAnsi="宋体" w:cs="宋体"/>
                <w:sz w:val="24"/>
                <w:szCs w:val="24"/>
              </w:rPr>
            </w:pPr>
          </w:p>
        </w:tc>
        <w:tc>
          <w:tcPr>
            <w:tcW w:w="1241" w:type="dxa"/>
            <w:tcBorders>
              <w:tl2br w:val="nil"/>
              <w:tr2bl w:val="nil"/>
            </w:tcBorders>
            <w:vAlign w:val="center"/>
          </w:tcPr>
          <w:p>
            <w:pPr>
              <w:spacing w:before="100" w:beforeAutospacing="1" w:after="100" w:afterAutospacing="1"/>
              <w:jc w:val="center"/>
              <w:rPr>
                <w:rFonts w:ascii="宋体" w:hAnsi="宋体" w:cs="宋体"/>
                <w:sz w:val="24"/>
                <w:szCs w:val="24"/>
              </w:rPr>
            </w:pPr>
          </w:p>
        </w:tc>
        <w:tc>
          <w:tcPr>
            <w:tcW w:w="710" w:type="dxa"/>
            <w:tcBorders>
              <w:tl2br w:val="nil"/>
              <w:tr2bl w:val="nil"/>
            </w:tcBorders>
            <w:vAlign w:val="center"/>
          </w:tcPr>
          <w:p>
            <w:pPr>
              <w:spacing w:before="100" w:beforeAutospacing="1" w:after="100" w:afterAutospacing="1"/>
              <w:jc w:val="center"/>
              <w:rPr>
                <w:rFonts w:ascii="宋体" w:hAnsi="宋体" w:cs="宋体"/>
                <w:sz w:val="24"/>
                <w:szCs w:val="24"/>
              </w:rPr>
            </w:pPr>
          </w:p>
        </w:tc>
        <w:tc>
          <w:tcPr>
            <w:tcW w:w="950" w:type="dxa"/>
            <w:tcBorders>
              <w:tl2br w:val="nil"/>
              <w:tr2bl w:val="nil"/>
            </w:tcBorders>
            <w:vAlign w:val="center"/>
          </w:tcPr>
          <w:p>
            <w:pPr>
              <w:spacing w:before="100" w:beforeAutospacing="1" w:after="100" w:afterAutospacing="1"/>
              <w:jc w:val="center"/>
              <w:rPr>
                <w:rFonts w:ascii="宋体" w:hAnsi="宋体" w:cs="宋体"/>
                <w:sz w:val="24"/>
                <w:szCs w:val="24"/>
              </w:rPr>
            </w:pPr>
          </w:p>
        </w:tc>
        <w:tc>
          <w:tcPr>
            <w:tcW w:w="1040" w:type="dxa"/>
            <w:tcBorders>
              <w:tl2br w:val="nil"/>
              <w:tr2bl w:val="nil"/>
            </w:tcBorders>
            <w:vAlign w:val="center"/>
          </w:tcPr>
          <w:p>
            <w:pPr>
              <w:spacing w:before="100" w:beforeAutospacing="1" w:after="100" w:afterAutospacing="1"/>
              <w:jc w:val="center"/>
              <w:rPr>
                <w:rFonts w:ascii="宋体" w:hAnsi="宋体" w:cs="宋体"/>
                <w:sz w:val="24"/>
                <w:szCs w:val="24"/>
              </w:rPr>
            </w:pPr>
          </w:p>
        </w:tc>
        <w:tc>
          <w:tcPr>
            <w:tcW w:w="1110" w:type="dxa"/>
            <w:tcBorders>
              <w:tl2br w:val="nil"/>
              <w:tr2bl w:val="nil"/>
            </w:tcBorders>
            <w:vAlign w:val="center"/>
          </w:tcPr>
          <w:p>
            <w:pPr>
              <w:spacing w:before="100" w:beforeAutospacing="1" w:after="100" w:afterAutospacing="1"/>
              <w:jc w:val="center"/>
              <w:rPr>
                <w:rFonts w:ascii="宋体" w:hAnsi="宋体" w:cs="宋体"/>
                <w:sz w:val="24"/>
                <w:szCs w:val="24"/>
              </w:rPr>
            </w:pPr>
          </w:p>
        </w:tc>
        <w:tc>
          <w:tcPr>
            <w:tcW w:w="950" w:type="dxa"/>
            <w:tcBorders>
              <w:tl2br w:val="nil"/>
              <w:tr2bl w:val="nil"/>
            </w:tcBorders>
            <w:vAlign w:val="center"/>
          </w:tcPr>
          <w:p>
            <w:pPr>
              <w:spacing w:before="100" w:beforeAutospacing="1" w:after="100" w:afterAutospacing="1"/>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ascii="宋体" w:hAnsi="宋体" w:cs="宋体"/>
                <w:sz w:val="24"/>
                <w:szCs w:val="24"/>
              </w:rPr>
            </w:pPr>
          </w:p>
        </w:tc>
        <w:tc>
          <w:tcPr>
            <w:tcW w:w="1772" w:type="dxa"/>
            <w:tcBorders>
              <w:tl2br w:val="nil"/>
              <w:tr2bl w:val="nil"/>
            </w:tcBorders>
            <w:vAlign w:val="center"/>
          </w:tcPr>
          <w:p>
            <w:pPr>
              <w:spacing w:before="100" w:beforeAutospacing="1" w:after="100" w:afterAutospacing="1"/>
              <w:rPr>
                <w:rFonts w:ascii="宋体" w:hAnsi="宋体" w:cs="宋体"/>
                <w:sz w:val="24"/>
                <w:szCs w:val="24"/>
              </w:rPr>
            </w:pPr>
          </w:p>
        </w:tc>
        <w:tc>
          <w:tcPr>
            <w:tcW w:w="1241" w:type="dxa"/>
            <w:tcBorders>
              <w:tl2br w:val="nil"/>
              <w:tr2bl w:val="nil"/>
            </w:tcBorders>
            <w:vAlign w:val="center"/>
          </w:tcPr>
          <w:p>
            <w:pPr>
              <w:spacing w:before="100" w:beforeAutospacing="1" w:after="100" w:afterAutospacing="1"/>
              <w:jc w:val="center"/>
              <w:rPr>
                <w:rFonts w:ascii="宋体" w:hAnsi="宋体" w:cs="宋体"/>
                <w:sz w:val="24"/>
                <w:szCs w:val="24"/>
              </w:rPr>
            </w:pPr>
          </w:p>
        </w:tc>
        <w:tc>
          <w:tcPr>
            <w:tcW w:w="710" w:type="dxa"/>
            <w:tcBorders>
              <w:tl2br w:val="nil"/>
              <w:tr2bl w:val="nil"/>
            </w:tcBorders>
            <w:vAlign w:val="center"/>
          </w:tcPr>
          <w:p>
            <w:pPr>
              <w:spacing w:before="100" w:beforeAutospacing="1" w:after="100" w:afterAutospacing="1"/>
              <w:jc w:val="center"/>
              <w:rPr>
                <w:rFonts w:ascii="宋体" w:hAnsi="宋体" w:cs="宋体"/>
                <w:sz w:val="24"/>
                <w:szCs w:val="24"/>
              </w:rPr>
            </w:pPr>
          </w:p>
        </w:tc>
        <w:tc>
          <w:tcPr>
            <w:tcW w:w="950" w:type="dxa"/>
            <w:tcBorders>
              <w:tl2br w:val="nil"/>
              <w:tr2bl w:val="nil"/>
            </w:tcBorders>
            <w:vAlign w:val="center"/>
          </w:tcPr>
          <w:p>
            <w:pPr>
              <w:spacing w:before="100" w:beforeAutospacing="1" w:after="100" w:afterAutospacing="1"/>
              <w:jc w:val="center"/>
              <w:rPr>
                <w:rFonts w:ascii="宋体" w:hAnsi="宋体" w:cs="宋体"/>
                <w:sz w:val="24"/>
                <w:szCs w:val="24"/>
              </w:rPr>
            </w:pPr>
          </w:p>
        </w:tc>
        <w:tc>
          <w:tcPr>
            <w:tcW w:w="1040" w:type="dxa"/>
            <w:tcBorders>
              <w:tl2br w:val="nil"/>
              <w:tr2bl w:val="nil"/>
            </w:tcBorders>
            <w:vAlign w:val="center"/>
          </w:tcPr>
          <w:p>
            <w:pPr>
              <w:spacing w:before="100" w:beforeAutospacing="1" w:after="100" w:afterAutospacing="1"/>
              <w:jc w:val="center"/>
              <w:rPr>
                <w:rFonts w:ascii="宋体" w:hAnsi="宋体" w:cs="宋体"/>
                <w:sz w:val="24"/>
                <w:szCs w:val="24"/>
              </w:rPr>
            </w:pPr>
          </w:p>
        </w:tc>
        <w:tc>
          <w:tcPr>
            <w:tcW w:w="1110" w:type="dxa"/>
            <w:tcBorders>
              <w:tl2br w:val="nil"/>
              <w:tr2bl w:val="nil"/>
            </w:tcBorders>
            <w:vAlign w:val="center"/>
          </w:tcPr>
          <w:p>
            <w:pPr>
              <w:spacing w:before="100" w:beforeAutospacing="1" w:after="100" w:afterAutospacing="1"/>
              <w:jc w:val="center"/>
              <w:rPr>
                <w:rFonts w:ascii="宋体" w:hAnsi="宋体" w:cs="宋体"/>
                <w:sz w:val="24"/>
                <w:szCs w:val="24"/>
              </w:rPr>
            </w:pPr>
          </w:p>
        </w:tc>
        <w:tc>
          <w:tcPr>
            <w:tcW w:w="950" w:type="dxa"/>
            <w:tcBorders>
              <w:tl2br w:val="nil"/>
              <w:tr2bl w:val="nil"/>
            </w:tcBorders>
            <w:vAlign w:val="center"/>
          </w:tcPr>
          <w:p>
            <w:pPr>
              <w:spacing w:before="100" w:beforeAutospacing="1" w:after="100" w:afterAutospacing="1"/>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ascii="宋体" w:hAnsi="宋体" w:cs="宋体"/>
                <w:sz w:val="24"/>
                <w:szCs w:val="24"/>
              </w:rPr>
            </w:pPr>
          </w:p>
        </w:tc>
        <w:tc>
          <w:tcPr>
            <w:tcW w:w="1772" w:type="dxa"/>
            <w:tcBorders>
              <w:tl2br w:val="nil"/>
              <w:tr2bl w:val="nil"/>
            </w:tcBorders>
            <w:vAlign w:val="center"/>
          </w:tcPr>
          <w:p>
            <w:pPr>
              <w:spacing w:before="100" w:beforeAutospacing="1" w:after="100" w:afterAutospacing="1"/>
              <w:rPr>
                <w:rFonts w:ascii="宋体" w:hAnsi="宋体" w:cs="宋体"/>
                <w:sz w:val="24"/>
                <w:szCs w:val="24"/>
              </w:rPr>
            </w:pPr>
          </w:p>
        </w:tc>
        <w:tc>
          <w:tcPr>
            <w:tcW w:w="1241" w:type="dxa"/>
            <w:tcBorders>
              <w:tl2br w:val="nil"/>
              <w:tr2bl w:val="nil"/>
            </w:tcBorders>
            <w:vAlign w:val="center"/>
          </w:tcPr>
          <w:p>
            <w:pPr>
              <w:spacing w:before="100" w:beforeAutospacing="1" w:after="100" w:afterAutospacing="1"/>
              <w:jc w:val="center"/>
              <w:rPr>
                <w:rFonts w:ascii="宋体" w:hAnsi="宋体" w:cs="宋体"/>
                <w:sz w:val="24"/>
                <w:szCs w:val="24"/>
              </w:rPr>
            </w:pPr>
          </w:p>
        </w:tc>
        <w:tc>
          <w:tcPr>
            <w:tcW w:w="710" w:type="dxa"/>
            <w:tcBorders>
              <w:tl2br w:val="nil"/>
              <w:tr2bl w:val="nil"/>
            </w:tcBorders>
            <w:vAlign w:val="center"/>
          </w:tcPr>
          <w:p>
            <w:pPr>
              <w:spacing w:before="100" w:beforeAutospacing="1" w:after="100" w:afterAutospacing="1"/>
              <w:jc w:val="center"/>
              <w:rPr>
                <w:rFonts w:ascii="宋体" w:hAnsi="宋体" w:cs="宋体"/>
                <w:sz w:val="24"/>
                <w:szCs w:val="24"/>
              </w:rPr>
            </w:pPr>
          </w:p>
        </w:tc>
        <w:tc>
          <w:tcPr>
            <w:tcW w:w="950" w:type="dxa"/>
            <w:tcBorders>
              <w:tl2br w:val="nil"/>
              <w:tr2bl w:val="nil"/>
            </w:tcBorders>
            <w:vAlign w:val="center"/>
          </w:tcPr>
          <w:p>
            <w:pPr>
              <w:spacing w:before="100" w:beforeAutospacing="1" w:after="100" w:afterAutospacing="1"/>
              <w:jc w:val="center"/>
              <w:rPr>
                <w:rFonts w:ascii="宋体" w:hAnsi="宋体" w:cs="宋体"/>
                <w:sz w:val="24"/>
                <w:szCs w:val="24"/>
              </w:rPr>
            </w:pPr>
          </w:p>
        </w:tc>
        <w:tc>
          <w:tcPr>
            <w:tcW w:w="1040" w:type="dxa"/>
            <w:tcBorders>
              <w:tl2br w:val="nil"/>
              <w:tr2bl w:val="nil"/>
            </w:tcBorders>
            <w:vAlign w:val="center"/>
          </w:tcPr>
          <w:p>
            <w:pPr>
              <w:spacing w:before="100" w:beforeAutospacing="1" w:after="100" w:afterAutospacing="1"/>
              <w:jc w:val="center"/>
              <w:rPr>
                <w:rFonts w:ascii="宋体" w:hAnsi="宋体" w:cs="宋体"/>
                <w:sz w:val="24"/>
                <w:szCs w:val="24"/>
              </w:rPr>
            </w:pPr>
          </w:p>
        </w:tc>
        <w:tc>
          <w:tcPr>
            <w:tcW w:w="1110" w:type="dxa"/>
            <w:tcBorders>
              <w:tl2br w:val="nil"/>
              <w:tr2bl w:val="nil"/>
            </w:tcBorders>
            <w:vAlign w:val="center"/>
          </w:tcPr>
          <w:p>
            <w:pPr>
              <w:spacing w:before="100" w:beforeAutospacing="1" w:after="100" w:afterAutospacing="1"/>
              <w:jc w:val="center"/>
              <w:rPr>
                <w:rFonts w:ascii="宋体" w:hAnsi="宋体" w:cs="宋体"/>
                <w:sz w:val="24"/>
                <w:szCs w:val="24"/>
              </w:rPr>
            </w:pPr>
          </w:p>
        </w:tc>
        <w:tc>
          <w:tcPr>
            <w:tcW w:w="950" w:type="dxa"/>
            <w:tcBorders>
              <w:tl2br w:val="nil"/>
              <w:tr2bl w:val="nil"/>
            </w:tcBorders>
            <w:vAlign w:val="center"/>
          </w:tcPr>
          <w:p>
            <w:pPr>
              <w:spacing w:before="100" w:beforeAutospacing="1" w:after="100" w:afterAutospacing="1"/>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ascii="宋体" w:hAnsi="宋体" w:cs="宋体"/>
                <w:sz w:val="24"/>
                <w:szCs w:val="24"/>
              </w:rPr>
            </w:pPr>
          </w:p>
        </w:tc>
        <w:tc>
          <w:tcPr>
            <w:tcW w:w="1772" w:type="dxa"/>
            <w:tcBorders>
              <w:tl2br w:val="nil"/>
              <w:tr2bl w:val="nil"/>
            </w:tcBorders>
            <w:vAlign w:val="center"/>
          </w:tcPr>
          <w:p>
            <w:pPr>
              <w:spacing w:before="100" w:beforeAutospacing="1" w:after="100" w:afterAutospacing="1"/>
              <w:rPr>
                <w:rFonts w:ascii="宋体" w:hAnsi="宋体" w:cs="宋体"/>
                <w:sz w:val="24"/>
                <w:szCs w:val="24"/>
              </w:rPr>
            </w:pPr>
          </w:p>
        </w:tc>
        <w:tc>
          <w:tcPr>
            <w:tcW w:w="1241" w:type="dxa"/>
            <w:tcBorders>
              <w:tl2br w:val="nil"/>
              <w:tr2bl w:val="nil"/>
            </w:tcBorders>
            <w:vAlign w:val="center"/>
          </w:tcPr>
          <w:p>
            <w:pPr>
              <w:spacing w:before="100" w:beforeAutospacing="1" w:after="100" w:afterAutospacing="1"/>
              <w:jc w:val="center"/>
              <w:rPr>
                <w:rFonts w:ascii="宋体" w:hAnsi="宋体" w:cs="宋体"/>
                <w:sz w:val="24"/>
                <w:szCs w:val="24"/>
              </w:rPr>
            </w:pPr>
          </w:p>
        </w:tc>
        <w:tc>
          <w:tcPr>
            <w:tcW w:w="710" w:type="dxa"/>
            <w:tcBorders>
              <w:tl2br w:val="nil"/>
              <w:tr2bl w:val="nil"/>
            </w:tcBorders>
            <w:vAlign w:val="center"/>
          </w:tcPr>
          <w:p>
            <w:pPr>
              <w:spacing w:before="100" w:beforeAutospacing="1" w:after="100" w:afterAutospacing="1"/>
              <w:jc w:val="center"/>
              <w:rPr>
                <w:rFonts w:ascii="宋体" w:hAnsi="宋体" w:cs="宋体"/>
                <w:sz w:val="24"/>
                <w:szCs w:val="24"/>
              </w:rPr>
            </w:pPr>
          </w:p>
        </w:tc>
        <w:tc>
          <w:tcPr>
            <w:tcW w:w="950" w:type="dxa"/>
            <w:tcBorders>
              <w:tl2br w:val="nil"/>
              <w:tr2bl w:val="nil"/>
            </w:tcBorders>
            <w:vAlign w:val="center"/>
          </w:tcPr>
          <w:p>
            <w:pPr>
              <w:spacing w:before="100" w:beforeAutospacing="1" w:after="100" w:afterAutospacing="1"/>
              <w:jc w:val="center"/>
              <w:rPr>
                <w:rFonts w:ascii="宋体" w:hAnsi="宋体" w:cs="宋体"/>
                <w:sz w:val="24"/>
                <w:szCs w:val="24"/>
              </w:rPr>
            </w:pPr>
          </w:p>
        </w:tc>
        <w:tc>
          <w:tcPr>
            <w:tcW w:w="1040" w:type="dxa"/>
            <w:tcBorders>
              <w:tl2br w:val="nil"/>
              <w:tr2bl w:val="nil"/>
            </w:tcBorders>
            <w:vAlign w:val="center"/>
          </w:tcPr>
          <w:p>
            <w:pPr>
              <w:spacing w:before="100" w:beforeAutospacing="1" w:after="100" w:afterAutospacing="1"/>
              <w:jc w:val="center"/>
              <w:rPr>
                <w:rFonts w:ascii="宋体" w:hAnsi="宋体" w:cs="宋体"/>
                <w:sz w:val="24"/>
                <w:szCs w:val="24"/>
              </w:rPr>
            </w:pPr>
          </w:p>
        </w:tc>
        <w:tc>
          <w:tcPr>
            <w:tcW w:w="1110" w:type="dxa"/>
            <w:tcBorders>
              <w:tl2br w:val="nil"/>
              <w:tr2bl w:val="nil"/>
            </w:tcBorders>
            <w:vAlign w:val="center"/>
          </w:tcPr>
          <w:p>
            <w:pPr>
              <w:spacing w:before="100" w:beforeAutospacing="1" w:after="100" w:afterAutospacing="1"/>
              <w:jc w:val="center"/>
              <w:rPr>
                <w:rFonts w:ascii="宋体" w:hAnsi="宋体" w:cs="宋体"/>
                <w:sz w:val="24"/>
                <w:szCs w:val="24"/>
              </w:rPr>
            </w:pPr>
          </w:p>
        </w:tc>
        <w:tc>
          <w:tcPr>
            <w:tcW w:w="950" w:type="dxa"/>
            <w:tcBorders>
              <w:tl2br w:val="nil"/>
              <w:tr2bl w:val="nil"/>
            </w:tcBorders>
            <w:vAlign w:val="center"/>
          </w:tcPr>
          <w:p>
            <w:pPr>
              <w:spacing w:before="100" w:beforeAutospacing="1" w:after="100" w:afterAutospacing="1"/>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ascii="宋体" w:hAnsi="宋体" w:cs="宋体"/>
                <w:sz w:val="24"/>
                <w:szCs w:val="24"/>
              </w:rPr>
            </w:pPr>
          </w:p>
        </w:tc>
        <w:tc>
          <w:tcPr>
            <w:tcW w:w="1772" w:type="dxa"/>
            <w:tcBorders>
              <w:tl2br w:val="nil"/>
              <w:tr2bl w:val="nil"/>
            </w:tcBorders>
            <w:vAlign w:val="center"/>
          </w:tcPr>
          <w:p>
            <w:pPr>
              <w:spacing w:before="100" w:beforeAutospacing="1" w:after="100" w:afterAutospacing="1"/>
              <w:rPr>
                <w:rFonts w:ascii="宋体" w:hAnsi="宋体" w:cs="宋体"/>
                <w:sz w:val="24"/>
                <w:szCs w:val="24"/>
              </w:rPr>
            </w:pPr>
          </w:p>
        </w:tc>
        <w:tc>
          <w:tcPr>
            <w:tcW w:w="1241" w:type="dxa"/>
            <w:tcBorders>
              <w:tl2br w:val="nil"/>
              <w:tr2bl w:val="nil"/>
            </w:tcBorders>
            <w:vAlign w:val="center"/>
          </w:tcPr>
          <w:p>
            <w:pPr>
              <w:spacing w:before="100" w:beforeAutospacing="1" w:after="100" w:afterAutospacing="1"/>
              <w:jc w:val="center"/>
              <w:rPr>
                <w:rFonts w:ascii="宋体" w:hAnsi="宋体" w:cs="宋体"/>
                <w:sz w:val="24"/>
                <w:szCs w:val="24"/>
              </w:rPr>
            </w:pPr>
          </w:p>
        </w:tc>
        <w:tc>
          <w:tcPr>
            <w:tcW w:w="710" w:type="dxa"/>
            <w:tcBorders>
              <w:tl2br w:val="nil"/>
              <w:tr2bl w:val="nil"/>
            </w:tcBorders>
            <w:vAlign w:val="center"/>
          </w:tcPr>
          <w:p>
            <w:pPr>
              <w:spacing w:before="100" w:beforeAutospacing="1" w:after="100" w:afterAutospacing="1"/>
              <w:jc w:val="center"/>
              <w:rPr>
                <w:rFonts w:ascii="宋体" w:hAnsi="宋体" w:cs="宋体"/>
                <w:sz w:val="24"/>
                <w:szCs w:val="24"/>
              </w:rPr>
            </w:pPr>
          </w:p>
        </w:tc>
        <w:tc>
          <w:tcPr>
            <w:tcW w:w="950" w:type="dxa"/>
            <w:tcBorders>
              <w:tl2br w:val="nil"/>
              <w:tr2bl w:val="nil"/>
            </w:tcBorders>
            <w:vAlign w:val="center"/>
          </w:tcPr>
          <w:p>
            <w:pPr>
              <w:spacing w:before="100" w:beforeAutospacing="1" w:after="100" w:afterAutospacing="1"/>
              <w:jc w:val="center"/>
              <w:rPr>
                <w:rFonts w:ascii="宋体" w:hAnsi="宋体" w:cs="宋体"/>
                <w:sz w:val="24"/>
                <w:szCs w:val="24"/>
              </w:rPr>
            </w:pPr>
          </w:p>
        </w:tc>
        <w:tc>
          <w:tcPr>
            <w:tcW w:w="1040" w:type="dxa"/>
            <w:tcBorders>
              <w:tl2br w:val="nil"/>
              <w:tr2bl w:val="nil"/>
            </w:tcBorders>
            <w:vAlign w:val="center"/>
          </w:tcPr>
          <w:p>
            <w:pPr>
              <w:spacing w:before="100" w:beforeAutospacing="1" w:after="100" w:afterAutospacing="1"/>
              <w:jc w:val="center"/>
              <w:rPr>
                <w:rFonts w:ascii="宋体" w:hAnsi="宋体" w:cs="宋体"/>
                <w:sz w:val="24"/>
                <w:szCs w:val="24"/>
              </w:rPr>
            </w:pPr>
          </w:p>
        </w:tc>
        <w:tc>
          <w:tcPr>
            <w:tcW w:w="1110" w:type="dxa"/>
            <w:tcBorders>
              <w:tl2br w:val="nil"/>
              <w:tr2bl w:val="nil"/>
            </w:tcBorders>
            <w:vAlign w:val="center"/>
          </w:tcPr>
          <w:p>
            <w:pPr>
              <w:spacing w:before="100" w:beforeAutospacing="1" w:after="100" w:afterAutospacing="1"/>
              <w:jc w:val="center"/>
              <w:rPr>
                <w:rFonts w:ascii="宋体" w:hAnsi="宋体" w:cs="宋体"/>
                <w:sz w:val="24"/>
                <w:szCs w:val="24"/>
              </w:rPr>
            </w:pPr>
          </w:p>
        </w:tc>
        <w:tc>
          <w:tcPr>
            <w:tcW w:w="950" w:type="dxa"/>
            <w:tcBorders>
              <w:tl2br w:val="nil"/>
              <w:tr2bl w:val="nil"/>
            </w:tcBorders>
            <w:vAlign w:val="center"/>
          </w:tcPr>
          <w:p>
            <w:pPr>
              <w:spacing w:before="100" w:beforeAutospacing="1" w:after="100" w:afterAutospacing="1"/>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ascii="宋体" w:hAnsi="宋体" w:cs="宋体"/>
                <w:sz w:val="24"/>
                <w:szCs w:val="24"/>
              </w:rPr>
            </w:pPr>
          </w:p>
        </w:tc>
        <w:tc>
          <w:tcPr>
            <w:tcW w:w="1772" w:type="dxa"/>
            <w:tcBorders>
              <w:tl2br w:val="nil"/>
              <w:tr2bl w:val="nil"/>
            </w:tcBorders>
            <w:vAlign w:val="center"/>
          </w:tcPr>
          <w:p>
            <w:pPr>
              <w:spacing w:before="100" w:beforeAutospacing="1" w:after="100" w:afterAutospacing="1"/>
              <w:rPr>
                <w:rFonts w:ascii="宋体" w:hAnsi="宋体" w:cs="宋体"/>
                <w:sz w:val="24"/>
                <w:szCs w:val="24"/>
              </w:rPr>
            </w:pPr>
          </w:p>
        </w:tc>
        <w:tc>
          <w:tcPr>
            <w:tcW w:w="1241" w:type="dxa"/>
            <w:tcBorders>
              <w:tl2br w:val="nil"/>
              <w:tr2bl w:val="nil"/>
            </w:tcBorders>
            <w:vAlign w:val="center"/>
          </w:tcPr>
          <w:p>
            <w:pPr>
              <w:spacing w:before="100" w:beforeAutospacing="1" w:after="100" w:afterAutospacing="1"/>
              <w:jc w:val="center"/>
              <w:rPr>
                <w:rFonts w:ascii="宋体" w:hAnsi="宋体" w:cs="宋体"/>
                <w:sz w:val="24"/>
                <w:szCs w:val="24"/>
              </w:rPr>
            </w:pPr>
          </w:p>
        </w:tc>
        <w:tc>
          <w:tcPr>
            <w:tcW w:w="710" w:type="dxa"/>
            <w:tcBorders>
              <w:tl2br w:val="nil"/>
              <w:tr2bl w:val="nil"/>
            </w:tcBorders>
            <w:vAlign w:val="center"/>
          </w:tcPr>
          <w:p>
            <w:pPr>
              <w:spacing w:before="100" w:beforeAutospacing="1" w:after="100" w:afterAutospacing="1"/>
              <w:jc w:val="center"/>
              <w:rPr>
                <w:rFonts w:ascii="宋体" w:hAnsi="宋体" w:cs="宋体"/>
                <w:sz w:val="24"/>
                <w:szCs w:val="24"/>
              </w:rPr>
            </w:pPr>
          </w:p>
        </w:tc>
        <w:tc>
          <w:tcPr>
            <w:tcW w:w="950" w:type="dxa"/>
            <w:tcBorders>
              <w:tl2br w:val="nil"/>
              <w:tr2bl w:val="nil"/>
            </w:tcBorders>
            <w:vAlign w:val="center"/>
          </w:tcPr>
          <w:p>
            <w:pPr>
              <w:spacing w:before="100" w:beforeAutospacing="1" w:after="100" w:afterAutospacing="1"/>
              <w:jc w:val="center"/>
              <w:rPr>
                <w:rFonts w:ascii="宋体" w:hAnsi="宋体" w:cs="宋体"/>
                <w:sz w:val="24"/>
                <w:szCs w:val="24"/>
              </w:rPr>
            </w:pPr>
          </w:p>
        </w:tc>
        <w:tc>
          <w:tcPr>
            <w:tcW w:w="1040" w:type="dxa"/>
            <w:tcBorders>
              <w:tl2br w:val="nil"/>
              <w:tr2bl w:val="nil"/>
            </w:tcBorders>
            <w:vAlign w:val="center"/>
          </w:tcPr>
          <w:p>
            <w:pPr>
              <w:spacing w:before="100" w:beforeAutospacing="1" w:after="100" w:afterAutospacing="1"/>
              <w:jc w:val="center"/>
              <w:rPr>
                <w:rFonts w:ascii="宋体" w:hAnsi="宋体" w:cs="宋体"/>
                <w:sz w:val="24"/>
                <w:szCs w:val="24"/>
              </w:rPr>
            </w:pPr>
          </w:p>
        </w:tc>
        <w:tc>
          <w:tcPr>
            <w:tcW w:w="1110" w:type="dxa"/>
            <w:tcBorders>
              <w:tl2br w:val="nil"/>
              <w:tr2bl w:val="nil"/>
            </w:tcBorders>
            <w:vAlign w:val="center"/>
          </w:tcPr>
          <w:p>
            <w:pPr>
              <w:spacing w:before="100" w:beforeAutospacing="1" w:after="100" w:afterAutospacing="1"/>
              <w:jc w:val="center"/>
              <w:rPr>
                <w:rFonts w:ascii="宋体" w:hAnsi="宋体" w:cs="宋体"/>
                <w:sz w:val="24"/>
                <w:szCs w:val="24"/>
              </w:rPr>
            </w:pPr>
          </w:p>
        </w:tc>
        <w:tc>
          <w:tcPr>
            <w:tcW w:w="950" w:type="dxa"/>
            <w:tcBorders>
              <w:tl2br w:val="nil"/>
              <w:tr2bl w:val="nil"/>
            </w:tcBorders>
            <w:vAlign w:val="center"/>
          </w:tcPr>
          <w:p>
            <w:pPr>
              <w:spacing w:before="100" w:beforeAutospacing="1" w:after="100" w:afterAutospacing="1"/>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ascii="宋体" w:hAnsi="宋体" w:cs="宋体"/>
                <w:sz w:val="24"/>
                <w:szCs w:val="24"/>
              </w:rPr>
            </w:pPr>
          </w:p>
        </w:tc>
        <w:tc>
          <w:tcPr>
            <w:tcW w:w="1772" w:type="dxa"/>
            <w:tcBorders>
              <w:tl2br w:val="nil"/>
              <w:tr2bl w:val="nil"/>
            </w:tcBorders>
            <w:vAlign w:val="center"/>
          </w:tcPr>
          <w:p>
            <w:pPr>
              <w:spacing w:before="100" w:beforeAutospacing="1" w:after="100" w:afterAutospacing="1"/>
              <w:rPr>
                <w:rFonts w:ascii="宋体" w:hAnsi="宋体" w:cs="宋体"/>
                <w:sz w:val="24"/>
                <w:szCs w:val="24"/>
              </w:rPr>
            </w:pPr>
          </w:p>
        </w:tc>
        <w:tc>
          <w:tcPr>
            <w:tcW w:w="1241" w:type="dxa"/>
            <w:tcBorders>
              <w:tl2br w:val="nil"/>
              <w:tr2bl w:val="nil"/>
            </w:tcBorders>
            <w:vAlign w:val="center"/>
          </w:tcPr>
          <w:p>
            <w:pPr>
              <w:spacing w:before="100" w:beforeAutospacing="1" w:after="100" w:afterAutospacing="1"/>
              <w:jc w:val="center"/>
              <w:rPr>
                <w:rFonts w:ascii="宋体" w:hAnsi="宋体" w:cs="宋体"/>
                <w:sz w:val="24"/>
                <w:szCs w:val="24"/>
              </w:rPr>
            </w:pPr>
          </w:p>
        </w:tc>
        <w:tc>
          <w:tcPr>
            <w:tcW w:w="710" w:type="dxa"/>
            <w:tcBorders>
              <w:tl2br w:val="nil"/>
              <w:tr2bl w:val="nil"/>
            </w:tcBorders>
            <w:vAlign w:val="center"/>
          </w:tcPr>
          <w:p>
            <w:pPr>
              <w:spacing w:before="100" w:beforeAutospacing="1" w:after="100" w:afterAutospacing="1"/>
              <w:jc w:val="center"/>
              <w:rPr>
                <w:rFonts w:ascii="宋体" w:hAnsi="宋体" w:cs="宋体"/>
                <w:sz w:val="24"/>
                <w:szCs w:val="24"/>
              </w:rPr>
            </w:pPr>
          </w:p>
        </w:tc>
        <w:tc>
          <w:tcPr>
            <w:tcW w:w="950" w:type="dxa"/>
            <w:tcBorders>
              <w:tl2br w:val="nil"/>
              <w:tr2bl w:val="nil"/>
            </w:tcBorders>
            <w:vAlign w:val="center"/>
          </w:tcPr>
          <w:p>
            <w:pPr>
              <w:spacing w:before="100" w:beforeAutospacing="1" w:after="100" w:afterAutospacing="1"/>
              <w:jc w:val="center"/>
              <w:rPr>
                <w:rFonts w:ascii="宋体" w:hAnsi="宋体" w:cs="宋体"/>
                <w:sz w:val="24"/>
                <w:szCs w:val="24"/>
              </w:rPr>
            </w:pPr>
          </w:p>
        </w:tc>
        <w:tc>
          <w:tcPr>
            <w:tcW w:w="1040" w:type="dxa"/>
            <w:tcBorders>
              <w:tl2br w:val="nil"/>
              <w:tr2bl w:val="nil"/>
            </w:tcBorders>
            <w:vAlign w:val="center"/>
          </w:tcPr>
          <w:p>
            <w:pPr>
              <w:spacing w:before="100" w:beforeAutospacing="1" w:after="100" w:afterAutospacing="1"/>
              <w:jc w:val="center"/>
              <w:rPr>
                <w:rFonts w:ascii="宋体" w:hAnsi="宋体" w:cs="宋体"/>
                <w:sz w:val="24"/>
                <w:szCs w:val="24"/>
              </w:rPr>
            </w:pPr>
          </w:p>
        </w:tc>
        <w:tc>
          <w:tcPr>
            <w:tcW w:w="1110" w:type="dxa"/>
            <w:tcBorders>
              <w:tl2br w:val="nil"/>
              <w:tr2bl w:val="nil"/>
            </w:tcBorders>
            <w:vAlign w:val="center"/>
          </w:tcPr>
          <w:p>
            <w:pPr>
              <w:spacing w:before="100" w:beforeAutospacing="1" w:after="100" w:afterAutospacing="1"/>
              <w:jc w:val="center"/>
              <w:rPr>
                <w:rFonts w:ascii="宋体" w:hAnsi="宋体" w:cs="宋体"/>
                <w:sz w:val="24"/>
                <w:szCs w:val="24"/>
              </w:rPr>
            </w:pPr>
          </w:p>
        </w:tc>
        <w:tc>
          <w:tcPr>
            <w:tcW w:w="950" w:type="dxa"/>
            <w:tcBorders>
              <w:tl2br w:val="nil"/>
              <w:tr2bl w:val="nil"/>
            </w:tcBorders>
            <w:vAlign w:val="center"/>
          </w:tcPr>
          <w:p>
            <w:pPr>
              <w:spacing w:before="100" w:beforeAutospacing="1" w:after="100" w:afterAutospacing="1"/>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ascii="宋体" w:hAnsi="宋体" w:cs="宋体"/>
                <w:sz w:val="24"/>
                <w:szCs w:val="24"/>
              </w:rPr>
            </w:pPr>
          </w:p>
        </w:tc>
        <w:tc>
          <w:tcPr>
            <w:tcW w:w="1772" w:type="dxa"/>
            <w:tcBorders>
              <w:tl2br w:val="nil"/>
              <w:tr2bl w:val="nil"/>
            </w:tcBorders>
            <w:vAlign w:val="center"/>
          </w:tcPr>
          <w:p>
            <w:pPr>
              <w:spacing w:before="100" w:beforeAutospacing="1" w:after="100" w:afterAutospacing="1"/>
              <w:rPr>
                <w:rFonts w:ascii="宋体" w:hAnsi="宋体" w:cs="宋体"/>
                <w:sz w:val="24"/>
                <w:szCs w:val="24"/>
              </w:rPr>
            </w:pPr>
          </w:p>
        </w:tc>
        <w:tc>
          <w:tcPr>
            <w:tcW w:w="1241" w:type="dxa"/>
            <w:tcBorders>
              <w:tl2br w:val="nil"/>
              <w:tr2bl w:val="nil"/>
            </w:tcBorders>
            <w:vAlign w:val="center"/>
          </w:tcPr>
          <w:p>
            <w:pPr>
              <w:spacing w:before="100" w:beforeAutospacing="1" w:after="100" w:afterAutospacing="1"/>
              <w:jc w:val="center"/>
              <w:rPr>
                <w:rFonts w:ascii="宋体" w:hAnsi="宋体" w:cs="宋体"/>
                <w:sz w:val="24"/>
                <w:szCs w:val="24"/>
              </w:rPr>
            </w:pPr>
          </w:p>
        </w:tc>
        <w:tc>
          <w:tcPr>
            <w:tcW w:w="710" w:type="dxa"/>
            <w:tcBorders>
              <w:tl2br w:val="nil"/>
              <w:tr2bl w:val="nil"/>
            </w:tcBorders>
            <w:vAlign w:val="center"/>
          </w:tcPr>
          <w:p>
            <w:pPr>
              <w:spacing w:before="100" w:beforeAutospacing="1" w:after="100" w:afterAutospacing="1"/>
              <w:jc w:val="center"/>
              <w:rPr>
                <w:rFonts w:ascii="宋体" w:hAnsi="宋体" w:cs="宋体"/>
                <w:sz w:val="24"/>
                <w:szCs w:val="24"/>
              </w:rPr>
            </w:pPr>
          </w:p>
        </w:tc>
        <w:tc>
          <w:tcPr>
            <w:tcW w:w="950" w:type="dxa"/>
            <w:tcBorders>
              <w:tl2br w:val="nil"/>
              <w:tr2bl w:val="nil"/>
            </w:tcBorders>
            <w:vAlign w:val="center"/>
          </w:tcPr>
          <w:p>
            <w:pPr>
              <w:spacing w:before="100" w:beforeAutospacing="1" w:after="100" w:afterAutospacing="1"/>
              <w:jc w:val="center"/>
              <w:rPr>
                <w:rFonts w:ascii="宋体" w:hAnsi="宋体" w:cs="宋体"/>
                <w:sz w:val="24"/>
                <w:szCs w:val="24"/>
              </w:rPr>
            </w:pPr>
          </w:p>
        </w:tc>
        <w:tc>
          <w:tcPr>
            <w:tcW w:w="1040" w:type="dxa"/>
            <w:tcBorders>
              <w:tl2br w:val="nil"/>
              <w:tr2bl w:val="nil"/>
            </w:tcBorders>
            <w:vAlign w:val="center"/>
          </w:tcPr>
          <w:p>
            <w:pPr>
              <w:spacing w:before="100" w:beforeAutospacing="1" w:after="100" w:afterAutospacing="1"/>
              <w:jc w:val="center"/>
              <w:rPr>
                <w:rFonts w:ascii="宋体" w:hAnsi="宋体" w:cs="宋体"/>
                <w:sz w:val="24"/>
                <w:szCs w:val="24"/>
              </w:rPr>
            </w:pPr>
          </w:p>
        </w:tc>
        <w:tc>
          <w:tcPr>
            <w:tcW w:w="1110" w:type="dxa"/>
            <w:tcBorders>
              <w:tl2br w:val="nil"/>
              <w:tr2bl w:val="nil"/>
            </w:tcBorders>
            <w:vAlign w:val="center"/>
          </w:tcPr>
          <w:p>
            <w:pPr>
              <w:spacing w:before="100" w:beforeAutospacing="1" w:after="100" w:afterAutospacing="1"/>
              <w:jc w:val="center"/>
              <w:rPr>
                <w:rFonts w:ascii="宋体" w:hAnsi="宋体" w:cs="宋体"/>
                <w:sz w:val="24"/>
                <w:szCs w:val="24"/>
              </w:rPr>
            </w:pPr>
          </w:p>
        </w:tc>
        <w:tc>
          <w:tcPr>
            <w:tcW w:w="950" w:type="dxa"/>
            <w:tcBorders>
              <w:tl2br w:val="nil"/>
              <w:tr2bl w:val="nil"/>
            </w:tcBorders>
            <w:vAlign w:val="center"/>
          </w:tcPr>
          <w:p>
            <w:pPr>
              <w:spacing w:before="100" w:beforeAutospacing="1" w:after="100" w:afterAutospacing="1"/>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ascii="宋体" w:hAnsi="宋体" w:cs="宋体"/>
                <w:sz w:val="24"/>
                <w:szCs w:val="24"/>
              </w:rPr>
            </w:pPr>
          </w:p>
        </w:tc>
        <w:tc>
          <w:tcPr>
            <w:tcW w:w="1772" w:type="dxa"/>
            <w:tcBorders>
              <w:tl2br w:val="nil"/>
              <w:tr2bl w:val="nil"/>
            </w:tcBorders>
            <w:vAlign w:val="center"/>
          </w:tcPr>
          <w:p>
            <w:pPr>
              <w:spacing w:before="100" w:beforeAutospacing="1" w:after="100" w:afterAutospacing="1"/>
              <w:rPr>
                <w:rFonts w:ascii="宋体" w:hAnsi="宋体" w:cs="宋体"/>
                <w:sz w:val="24"/>
                <w:szCs w:val="24"/>
              </w:rPr>
            </w:pPr>
          </w:p>
        </w:tc>
        <w:tc>
          <w:tcPr>
            <w:tcW w:w="1241" w:type="dxa"/>
            <w:tcBorders>
              <w:tl2br w:val="nil"/>
              <w:tr2bl w:val="nil"/>
            </w:tcBorders>
            <w:vAlign w:val="center"/>
          </w:tcPr>
          <w:p>
            <w:pPr>
              <w:spacing w:before="100" w:beforeAutospacing="1" w:after="100" w:afterAutospacing="1"/>
              <w:jc w:val="center"/>
              <w:rPr>
                <w:rFonts w:ascii="宋体" w:hAnsi="宋体" w:cs="宋体"/>
                <w:sz w:val="24"/>
                <w:szCs w:val="24"/>
              </w:rPr>
            </w:pPr>
          </w:p>
        </w:tc>
        <w:tc>
          <w:tcPr>
            <w:tcW w:w="710" w:type="dxa"/>
            <w:tcBorders>
              <w:tl2br w:val="nil"/>
              <w:tr2bl w:val="nil"/>
            </w:tcBorders>
            <w:vAlign w:val="center"/>
          </w:tcPr>
          <w:p>
            <w:pPr>
              <w:spacing w:before="100" w:beforeAutospacing="1" w:after="100" w:afterAutospacing="1"/>
              <w:jc w:val="center"/>
              <w:rPr>
                <w:rFonts w:ascii="宋体" w:hAnsi="宋体" w:cs="宋体"/>
                <w:sz w:val="24"/>
                <w:szCs w:val="24"/>
              </w:rPr>
            </w:pPr>
          </w:p>
        </w:tc>
        <w:tc>
          <w:tcPr>
            <w:tcW w:w="950" w:type="dxa"/>
            <w:tcBorders>
              <w:tl2br w:val="nil"/>
              <w:tr2bl w:val="nil"/>
            </w:tcBorders>
            <w:vAlign w:val="center"/>
          </w:tcPr>
          <w:p>
            <w:pPr>
              <w:spacing w:before="100" w:beforeAutospacing="1" w:after="100" w:afterAutospacing="1"/>
              <w:jc w:val="center"/>
              <w:rPr>
                <w:rFonts w:ascii="宋体" w:hAnsi="宋体" w:cs="宋体"/>
                <w:sz w:val="24"/>
                <w:szCs w:val="24"/>
              </w:rPr>
            </w:pPr>
          </w:p>
        </w:tc>
        <w:tc>
          <w:tcPr>
            <w:tcW w:w="1040" w:type="dxa"/>
            <w:tcBorders>
              <w:tl2br w:val="nil"/>
              <w:tr2bl w:val="nil"/>
            </w:tcBorders>
            <w:vAlign w:val="center"/>
          </w:tcPr>
          <w:p>
            <w:pPr>
              <w:spacing w:before="100" w:beforeAutospacing="1" w:after="100" w:afterAutospacing="1"/>
              <w:jc w:val="center"/>
              <w:rPr>
                <w:rFonts w:ascii="宋体" w:hAnsi="宋体" w:cs="宋体"/>
                <w:sz w:val="24"/>
                <w:szCs w:val="24"/>
              </w:rPr>
            </w:pPr>
          </w:p>
        </w:tc>
        <w:tc>
          <w:tcPr>
            <w:tcW w:w="1110" w:type="dxa"/>
            <w:tcBorders>
              <w:tl2br w:val="nil"/>
              <w:tr2bl w:val="nil"/>
            </w:tcBorders>
            <w:vAlign w:val="center"/>
          </w:tcPr>
          <w:p>
            <w:pPr>
              <w:spacing w:before="100" w:beforeAutospacing="1" w:after="100" w:afterAutospacing="1"/>
              <w:jc w:val="center"/>
              <w:rPr>
                <w:rFonts w:ascii="宋体" w:hAnsi="宋体" w:cs="宋体"/>
                <w:sz w:val="24"/>
                <w:szCs w:val="24"/>
              </w:rPr>
            </w:pPr>
          </w:p>
        </w:tc>
        <w:tc>
          <w:tcPr>
            <w:tcW w:w="950" w:type="dxa"/>
            <w:tcBorders>
              <w:tl2br w:val="nil"/>
              <w:tr2bl w:val="nil"/>
            </w:tcBorders>
            <w:vAlign w:val="center"/>
          </w:tcPr>
          <w:p>
            <w:pPr>
              <w:spacing w:before="100" w:beforeAutospacing="1" w:after="100" w:afterAutospacing="1"/>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395" w:type="dxa"/>
            <w:gridSpan w:val="6"/>
            <w:tcBorders>
              <w:tl2br w:val="nil"/>
              <w:tr2bl w:val="nil"/>
            </w:tcBorders>
            <w:vAlign w:val="center"/>
          </w:tcPr>
          <w:p>
            <w:pPr>
              <w:spacing w:before="100" w:beforeAutospacing="1" w:after="100" w:afterAutospacing="1"/>
              <w:jc w:val="center"/>
              <w:rPr>
                <w:rFonts w:ascii="宋体" w:hAnsi="宋体" w:cs="宋体"/>
                <w:sz w:val="24"/>
                <w:szCs w:val="24"/>
              </w:rPr>
            </w:pPr>
            <w:r>
              <w:rPr>
                <w:rFonts w:hint="eastAsia" w:ascii="宋体" w:hAnsi="宋体" w:cs="宋体"/>
                <w:sz w:val="24"/>
                <w:szCs w:val="24"/>
              </w:rPr>
              <w:t>合计总价</w:t>
            </w:r>
          </w:p>
        </w:tc>
        <w:tc>
          <w:tcPr>
            <w:tcW w:w="2060" w:type="dxa"/>
            <w:gridSpan w:val="2"/>
            <w:tcBorders>
              <w:tl2br w:val="nil"/>
              <w:tr2bl w:val="nil"/>
            </w:tcBorders>
            <w:vAlign w:val="center"/>
          </w:tcPr>
          <w:p>
            <w:pPr>
              <w:spacing w:before="100" w:beforeAutospacing="1" w:after="100" w:afterAutospacing="1"/>
              <w:jc w:val="center"/>
              <w:rPr>
                <w:rFonts w:ascii="宋体" w:hAnsi="宋体" w:cs="宋体"/>
                <w:sz w:val="24"/>
                <w:szCs w:val="24"/>
              </w:rPr>
            </w:pPr>
          </w:p>
        </w:tc>
      </w:tr>
    </w:tbl>
    <w:p>
      <w:pPr>
        <w:rPr>
          <w:rFonts w:ascii="宋体" w:hAnsi="宋体" w:cs="宋体"/>
          <w:b/>
          <w:sz w:val="24"/>
          <w:szCs w:val="24"/>
        </w:rPr>
      </w:pPr>
    </w:p>
    <w:p>
      <w:pPr>
        <w:rPr>
          <w:rFonts w:ascii="宋体" w:hAnsi="宋体" w:cs="宋体"/>
          <w:sz w:val="24"/>
          <w:szCs w:val="24"/>
        </w:rPr>
      </w:pPr>
    </w:p>
    <w:p>
      <w:pPr>
        <w:rPr>
          <w:rFonts w:ascii="宋体" w:hAnsi="宋体" w:cs="宋体"/>
          <w:sz w:val="24"/>
          <w:szCs w:val="24"/>
        </w:rPr>
      </w:pPr>
      <w:r>
        <w:rPr>
          <w:rFonts w:hint="eastAsia" w:ascii="宋体" w:hAnsi="宋体" w:cs="宋体"/>
          <w:sz w:val="24"/>
          <w:szCs w:val="24"/>
        </w:rPr>
        <w:t>投标人代表签字：</w:t>
      </w:r>
    </w:p>
    <w:p>
      <w:pPr>
        <w:rPr>
          <w:rFonts w:ascii="宋体" w:hAnsi="宋体" w:cs="宋体"/>
          <w:sz w:val="24"/>
          <w:szCs w:val="24"/>
        </w:rPr>
      </w:pPr>
      <w:r>
        <w:rPr>
          <w:rFonts w:hint="eastAsia" w:ascii="宋体" w:hAnsi="宋体" w:cs="宋体"/>
          <w:sz w:val="24"/>
          <w:szCs w:val="24"/>
        </w:rPr>
        <w:t>投标人盖章：</w:t>
      </w:r>
    </w:p>
    <w:p>
      <w:pPr>
        <w:rPr>
          <w:rFonts w:ascii="宋体" w:hAnsi="宋体" w:cs="宋体"/>
          <w:sz w:val="24"/>
          <w:szCs w:val="24"/>
        </w:rPr>
      </w:pPr>
      <w:r>
        <w:rPr>
          <w:rFonts w:hint="eastAsia" w:ascii="宋体" w:hAnsi="宋体" w:cs="宋体"/>
          <w:sz w:val="24"/>
          <w:szCs w:val="24"/>
        </w:rPr>
        <w:t>日期：</w:t>
      </w:r>
    </w:p>
    <w:p>
      <w:pPr>
        <w:pStyle w:val="37"/>
        <w:ind w:firstLine="0" w:firstLineChars="0"/>
        <w:rPr>
          <w:rFonts w:ascii="宋体" w:hAnsi="宋体" w:eastAsia="宋体" w:cs="宋体"/>
          <w:sz w:val="24"/>
          <w:szCs w:val="24"/>
        </w:rPr>
      </w:pPr>
    </w:p>
    <w:p>
      <w:pPr>
        <w:pStyle w:val="37"/>
        <w:ind w:firstLine="0" w:firstLineChars="0"/>
        <w:rPr>
          <w:rFonts w:ascii="宋体" w:hAnsi="宋体" w:eastAsia="宋体" w:cs="宋体"/>
          <w:sz w:val="24"/>
          <w:szCs w:val="24"/>
        </w:rPr>
      </w:pPr>
    </w:p>
    <w:p>
      <w:pPr>
        <w:rPr>
          <w:rFonts w:ascii="宋体" w:hAnsi="宋体" w:cs="宋体"/>
          <w:sz w:val="24"/>
          <w:szCs w:val="24"/>
        </w:rPr>
      </w:pPr>
    </w:p>
    <w:p>
      <w:pPr>
        <w:pStyle w:val="6"/>
        <w:spacing w:before="0" w:after="0" w:line="360" w:lineRule="auto"/>
        <w:jc w:val="center"/>
        <w:rPr>
          <w:rFonts w:ascii="宋体" w:hAnsi="宋体" w:eastAsia="宋体" w:cs="宋体"/>
          <w:sz w:val="24"/>
          <w:szCs w:val="24"/>
        </w:rPr>
      </w:pPr>
      <w:bookmarkStart w:id="248" w:name="_Toc6932"/>
      <w:bookmarkStart w:id="249" w:name="_Toc28635"/>
      <w:r>
        <w:rPr>
          <w:rFonts w:hint="eastAsia" w:ascii="宋体" w:hAnsi="宋体" w:eastAsia="宋体" w:cs="宋体"/>
          <w:sz w:val="24"/>
          <w:szCs w:val="24"/>
        </w:rPr>
        <w:t>商务技术文件</w:t>
      </w:r>
      <w:bookmarkEnd w:id="248"/>
      <w:bookmarkEnd w:id="249"/>
    </w:p>
    <w:p>
      <w:pPr>
        <w:jc w:val="center"/>
        <w:rPr>
          <w:rFonts w:ascii="宋体" w:hAnsi="宋体" w:cs="宋体"/>
          <w:sz w:val="24"/>
          <w:szCs w:val="24"/>
        </w:rPr>
      </w:pPr>
      <w:r>
        <w:rPr>
          <w:rFonts w:hint="eastAsia" w:ascii="宋体" w:hAnsi="宋体" w:cs="宋体"/>
          <w:sz w:val="24"/>
          <w:szCs w:val="24"/>
        </w:rPr>
        <w:t>（单独装订成册）</w:t>
      </w:r>
    </w:p>
    <w:p>
      <w:pPr>
        <w:rPr>
          <w:rFonts w:ascii="宋体" w:hAnsi="宋体" w:cs="宋体"/>
          <w:sz w:val="24"/>
          <w:szCs w:val="24"/>
        </w:rPr>
      </w:pPr>
    </w:p>
    <w:p>
      <w:pPr>
        <w:pStyle w:val="2"/>
        <w:rPr>
          <w:szCs w:val="24"/>
        </w:rPr>
      </w:pPr>
    </w:p>
    <w:p>
      <w:pPr>
        <w:pStyle w:val="3"/>
        <w:ind w:firstLine="240"/>
        <w:rPr>
          <w:szCs w:val="24"/>
        </w:rPr>
      </w:pPr>
    </w:p>
    <w:p>
      <w:pPr>
        <w:ind w:firstLine="458" w:firstLineChars="200"/>
        <w:rPr>
          <w:rFonts w:ascii="宋体" w:hAnsi="宋体" w:cs="宋体"/>
          <w:b/>
          <w:bCs/>
          <w:spacing w:val="-6"/>
          <w:sz w:val="24"/>
          <w:szCs w:val="24"/>
        </w:rPr>
      </w:pPr>
      <w:r>
        <w:rPr>
          <w:rFonts w:hint="eastAsia" w:ascii="宋体" w:hAnsi="宋体" w:cs="宋体"/>
          <w:b/>
          <w:bCs/>
          <w:spacing w:val="-6"/>
          <w:sz w:val="24"/>
          <w:szCs w:val="24"/>
        </w:rPr>
        <w:t>项目名称:</w:t>
      </w:r>
    </w:p>
    <w:p>
      <w:pPr>
        <w:ind w:firstLine="482" w:firstLineChars="200"/>
        <w:rPr>
          <w:rFonts w:ascii="宋体" w:hAnsi="宋体" w:cs="宋体"/>
          <w:b/>
          <w:bCs/>
          <w:sz w:val="24"/>
          <w:szCs w:val="24"/>
        </w:rPr>
      </w:pPr>
      <w:r>
        <w:rPr>
          <w:rFonts w:hint="eastAsia" w:ascii="宋体" w:hAnsi="宋体" w:cs="宋体"/>
          <w:b/>
          <w:bCs/>
          <w:sz w:val="24"/>
          <w:szCs w:val="24"/>
        </w:rPr>
        <w:t>项目编号：</w:t>
      </w:r>
    </w:p>
    <w:p>
      <w:pPr>
        <w:ind w:firstLine="482" w:firstLineChars="200"/>
        <w:rPr>
          <w:rFonts w:ascii="宋体" w:hAnsi="宋体" w:cs="宋体"/>
          <w:b/>
          <w:sz w:val="24"/>
          <w:szCs w:val="24"/>
        </w:rPr>
      </w:pPr>
      <w:r>
        <w:rPr>
          <w:rFonts w:hint="eastAsia" w:ascii="宋体" w:hAnsi="宋体" w:cs="宋体"/>
          <w:b/>
          <w:sz w:val="24"/>
          <w:szCs w:val="24"/>
        </w:rPr>
        <w:t>投标人名称：</w:t>
      </w:r>
    </w:p>
    <w:p>
      <w:pPr>
        <w:ind w:left="359" w:leftChars="171" w:firstLine="482" w:firstLineChars="200"/>
        <w:rPr>
          <w:rFonts w:ascii="宋体" w:hAnsi="宋体" w:cs="宋体"/>
          <w:b/>
          <w:sz w:val="24"/>
          <w:szCs w:val="24"/>
        </w:rPr>
      </w:pPr>
    </w:p>
    <w:p>
      <w:pPr>
        <w:ind w:firstLine="482" w:firstLineChars="200"/>
        <w:rPr>
          <w:rFonts w:ascii="宋体" w:hAnsi="宋体" w:cs="宋体"/>
          <w:b/>
          <w:sz w:val="24"/>
          <w:szCs w:val="24"/>
        </w:rPr>
      </w:pPr>
      <w:r>
        <w:rPr>
          <w:rFonts w:hint="eastAsia" w:ascii="宋体" w:hAnsi="宋体" w:cs="宋体"/>
          <w:b/>
          <w:sz w:val="24"/>
          <w:szCs w:val="24"/>
        </w:rPr>
        <w:t xml:space="preserve"> </w:t>
      </w:r>
    </w:p>
    <w:p>
      <w:pPr>
        <w:ind w:firstLine="482" w:firstLineChars="200"/>
        <w:rPr>
          <w:rFonts w:ascii="宋体" w:hAnsi="宋体" w:cs="宋体"/>
          <w:b/>
          <w:sz w:val="24"/>
          <w:szCs w:val="24"/>
        </w:rPr>
      </w:pPr>
      <w:r>
        <w:rPr>
          <w:rFonts w:hint="eastAsia" w:ascii="宋体" w:hAnsi="宋体" w:cs="宋体"/>
          <w:b/>
          <w:sz w:val="24"/>
          <w:szCs w:val="24"/>
        </w:rPr>
        <w:t>日    期：</w:t>
      </w:r>
    </w:p>
    <w:p>
      <w:pPr>
        <w:pStyle w:val="2"/>
        <w:rPr>
          <w:b/>
          <w:szCs w:val="24"/>
        </w:rPr>
      </w:pPr>
    </w:p>
    <w:p>
      <w:pPr>
        <w:pStyle w:val="3"/>
        <w:ind w:firstLine="241"/>
        <w:rPr>
          <w:b/>
          <w:szCs w:val="24"/>
        </w:rPr>
      </w:pPr>
    </w:p>
    <w:p>
      <w:pPr>
        <w:pStyle w:val="4"/>
        <w:rPr>
          <w:rFonts w:ascii="宋体" w:hAnsi="宋体" w:cs="宋体"/>
          <w:b/>
          <w:sz w:val="24"/>
          <w:szCs w:val="24"/>
        </w:rPr>
      </w:pPr>
    </w:p>
    <w:p>
      <w:pPr>
        <w:rPr>
          <w:rFonts w:ascii="宋体" w:hAnsi="宋体" w:cs="宋体"/>
          <w:b/>
          <w:sz w:val="24"/>
          <w:szCs w:val="24"/>
        </w:rPr>
      </w:pPr>
    </w:p>
    <w:p>
      <w:pPr>
        <w:pStyle w:val="2"/>
        <w:rPr>
          <w:b/>
          <w:szCs w:val="24"/>
        </w:rPr>
      </w:pPr>
    </w:p>
    <w:p>
      <w:pPr>
        <w:pStyle w:val="12"/>
        <w:ind w:firstLine="205"/>
        <w:rPr>
          <w:rFonts w:cs="宋体"/>
          <w:sz w:val="24"/>
          <w:szCs w:val="24"/>
        </w:rPr>
      </w:pPr>
    </w:p>
    <w:p>
      <w:pPr>
        <w:pStyle w:val="13"/>
        <w:rPr>
          <w:rFonts w:ascii="宋体" w:hAnsi="宋体" w:cs="宋体"/>
          <w:b/>
          <w:sz w:val="24"/>
          <w:szCs w:val="24"/>
        </w:rPr>
      </w:pPr>
    </w:p>
    <w:p>
      <w:pPr>
        <w:pStyle w:val="13"/>
        <w:rPr>
          <w:rFonts w:ascii="宋体" w:hAnsi="宋体" w:cs="宋体"/>
          <w:b/>
          <w:sz w:val="24"/>
          <w:szCs w:val="24"/>
        </w:rPr>
      </w:pPr>
    </w:p>
    <w:p>
      <w:pPr>
        <w:pStyle w:val="13"/>
        <w:rPr>
          <w:rFonts w:ascii="宋体" w:hAnsi="宋体" w:cs="宋体"/>
          <w:b/>
          <w:sz w:val="24"/>
          <w:szCs w:val="24"/>
        </w:rPr>
      </w:pPr>
    </w:p>
    <w:p>
      <w:pPr>
        <w:pStyle w:val="13"/>
        <w:rPr>
          <w:rFonts w:ascii="宋体" w:hAnsi="宋体" w:cs="宋体"/>
          <w:b/>
          <w:sz w:val="24"/>
          <w:szCs w:val="24"/>
        </w:rPr>
      </w:pPr>
    </w:p>
    <w:p>
      <w:pPr>
        <w:pStyle w:val="13"/>
        <w:rPr>
          <w:rFonts w:ascii="宋体" w:hAnsi="宋体" w:cs="宋体"/>
          <w:b/>
          <w:sz w:val="24"/>
          <w:szCs w:val="24"/>
        </w:rPr>
      </w:pPr>
    </w:p>
    <w:p>
      <w:pPr>
        <w:pStyle w:val="13"/>
        <w:rPr>
          <w:rFonts w:ascii="宋体" w:hAnsi="宋体" w:cs="宋体"/>
          <w:b/>
          <w:sz w:val="24"/>
          <w:szCs w:val="24"/>
        </w:rPr>
      </w:pPr>
    </w:p>
    <w:p>
      <w:pPr>
        <w:pStyle w:val="13"/>
        <w:rPr>
          <w:rFonts w:ascii="宋体" w:hAnsi="宋体" w:cs="宋体"/>
          <w:b/>
          <w:sz w:val="24"/>
          <w:szCs w:val="24"/>
        </w:rPr>
      </w:pPr>
    </w:p>
    <w:p>
      <w:pPr>
        <w:rPr>
          <w:rFonts w:ascii="宋体" w:hAnsi="宋体" w:cs="宋体"/>
          <w:sz w:val="24"/>
          <w:szCs w:val="24"/>
        </w:rPr>
      </w:pPr>
    </w:p>
    <w:p>
      <w:pPr>
        <w:pStyle w:val="9"/>
        <w:widowControl w:val="0"/>
        <w:overflowPunct w:val="0"/>
        <w:spacing w:line="240" w:lineRule="auto"/>
        <w:rPr>
          <w:rFonts w:ascii="宋体" w:hAnsi="宋体" w:cs="宋体"/>
          <w:szCs w:val="24"/>
        </w:rPr>
      </w:pPr>
      <w:bookmarkStart w:id="250" w:name="_Toc26585"/>
      <w:bookmarkStart w:id="251" w:name="_Toc28301"/>
      <w:r>
        <w:rPr>
          <w:rFonts w:hint="eastAsia" w:ascii="宋体" w:hAnsi="宋体" w:cs="宋体"/>
          <w:szCs w:val="24"/>
        </w:rPr>
        <w:t>附件3.投标书格式</w:t>
      </w:r>
      <w:bookmarkEnd w:id="250"/>
      <w:bookmarkEnd w:id="251"/>
    </w:p>
    <w:p>
      <w:pPr>
        <w:jc w:val="center"/>
        <w:rPr>
          <w:rFonts w:ascii="宋体" w:hAnsi="宋体" w:cs="宋体"/>
          <w:sz w:val="24"/>
          <w:szCs w:val="24"/>
        </w:rPr>
      </w:pPr>
      <w:r>
        <w:rPr>
          <w:rFonts w:hint="eastAsia" w:ascii="宋体" w:hAnsi="宋体" w:cs="宋体"/>
          <w:sz w:val="24"/>
          <w:szCs w:val="24"/>
        </w:rPr>
        <w:t>投标书</w:t>
      </w:r>
    </w:p>
    <w:p>
      <w:pPr>
        <w:rPr>
          <w:rFonts w:ascii="宋体" w:hAnsi="宋体" w:cs="宋体"/>
          <w:sz w:val="24"/>
          <w:szCs w:val="24"/>
        </w:rPr>
      </w:pPr>
      <w:r>
        <w:rPr>
          <w:rFonts w:hint="eastAsia" w:ascii="宋体" w:hAnsi="宋体" w:cs="宋体"/>
          <w:sz w:val="24"/>
          <w:szCs w:val="24"/>
        </w:rPr>
        <w:t>致：广东政通招标有限公司：</w:t>
      </w:r>
    </w:p>
    <w:p>
      <w:pPr>
        <w:rPr>
          <w:rFonts w:ascii="宋体" w:hAnsi="宋体" w:cs="宋体"/>
          <w:sz w:val="24"/>
          <w:szCs w:val="24"/>
        </w:rPr>
      </w:pPr>
    </w:p>
    <w:p>
      <w:pPr>
        <w:ind w:firstLine="480" w:firstLineChars="200"/>
        <w:rPr>
          <w:rFonts w:ascii="宋体" w:hAnsi="宋体" w:cs="宋体"/>
          <w:sz w:val="24"/>
          <w:szCs w:val="24"/>
        </w:rPr>
      </w:pPr>
      <w:r>
        <w:rPr>
          <w:rFonts w:hint="eastAsia" w:ascii="宋体" w:hAnsi="宋体" w:cs="宋体"/>
          <w:sz w:val="24"/>
          <w:szCs w:val="24"/>
        </w:rPr>
        <w:t>根据贵方为</w:t>
      </w:r>
      <w:r>
        <w:rPr>
          <w:rFonts w:hint="eastAsia" w:ascii="宋体" w:hAnsi="宋体" w:cs="宋体"/>
          <w:sz w:val="24"/>
          <w:szCs w:val="24"/>
          <w:u w:val="single"/>
        </w:rPr>
        <w:t>（项目名称）（采购项目编号）</w:t>
      </w:r>
      <w:r>
        <w:rPr>
          <w:rFonts w:hint="eastAsia" w:ascii="宋体" w:hAnsi="宋体" w:cs="宋体"/>
          <w:sz w:val="24"/>
          <w:szCs w:val="24"/>
        </w:rPr>
        <w:t>项目采购公告/采购邀请，签字代表</w:t>
      </w:r>
      <w:r>
        <w:rPr>
          <w:rFonts w:hint="eastAsia" w:ascii="宋体" w:hAnsi="宋体" w:cs="宋体"/>
          <w:sz w:val="24"/>
          <w:szCs w:val="24"/>
          <w:u w:val="single"/>
        </w:rPr>
        <w:t>（姓名、职务）</w:t>
      </w:r>
      <w:r>
        <w:rPr>
          <w:rFonts w:hint="eastAsia" w:ascii="宋体" w:hAnsi="宋体" w:cs="宋体"/>
          <w:sz w:val="24"/>
          <w:szCs w:val="24"/>
        </w:rPr>
        <w:t>经正式授权并代表投标人</w:t>
      </w:r>
      <w:r>
        <w:rPr>
          <w:rFonts w:hint="eastAsia" w:ascii="宋体" w:hAnsi="宋体" w:cs="宋体"/>
          <w:sz w:val="24"/>
          <w:szCs w:val="24"/>
          <w:u w:val="single"/>
        </w:rPr>
        <w:t>（投标人名称、地址）</w:t>
      </w:r>
      <w:r>
        <w:rPr>
          <w:rFonts w:hint="eastAsia" w:ascii="宋体" w:hAnsi="宋体" w:cs="宋体"/>
          <w:sz w:val="24"/>
          <w:szCs w:val="24"/>
        </w:rPr>
        <w:t>提交投标文件及“开标文件”：</w:t>
      </w:r>
    </w:p>
    <w:p>
      <w:pPr>
        <w:ind w:firstLine="480" w:firstLineChars="200"/>
        <w:rPr>
          <w:rFonts w:ascii="宋体" w:hAnsi="宋体" w:cs="宋体"/>
          <w:sz w:val="24"/>
          <w:szCs w:val="24"/>
        </w:rPr>
      </w:pPr>
      <w:r>
        <w:rPr>
          <w:rFonts w:hint="eastAsia" w:ascii="宋体" w:hAnsi="宋体" w:cs="宋体"/>
          <w:sz w:val="24"/>
          <w:szCs w:val="24"/>
        </w:rPr>
        <w:t xml:space="preserve">在此，签字代表宣布同意如下： </w:t>
      </w:r>
    </w:p>
    <w:p>
      <w:pPr>
        <w:widowControl w:val="0"/>
        <w:numPr>
          <w:ilvl w:val="0"/>
          <w:numId w:val="22"/>
        </w:numPr>
        <w:adjustRightInd/>
        <w:snapToGrid/>
        <w:jc w:val="both"/>
        <w:rPr>
          <w:rFonts w:ascii="宋体" w:hAnsi="宋体" w:cs="宋体"/>
          <w:sz w:val="24"/>
          <w:szCs w:val="24"/>
        </w:rPr>
      </w:pPr>
      <w:r>
        <w:rPr>
          <w:rFonts w:hint="eastAsia" w:ascii="宋体" w:hAnsi="宋体" w:cs="宋体"/>
          <w:sz w:val="24"/>
          <w:szCs w:val="24"/>
        </w:rPr>
        <w:t xml:space="preserve">我方将按采购文件的规定履行合同责任和义务。 </w:t>
      </w:r>
    </w:p>
    <w:p>
      <w:pPr>
        <w:widowControl w:val="0"/>
        <w:numPr>
          <w:ilvl w:val="0"/>
          <w:numId w:val="22"/>
        </w:numPr>
        <w:adjustRightInd/>
        <w:snapToGrid/>
        <w:jc w:val="both"/>
        <w:rPr>
          <w:rFonts w:ascii="宋体" w:hAnsi="宋体" w:cs="宋体"/>
          <w:sz w:val="24"/>
          <w:szCs w:val="24"/>
        </w:rPr>
      </w:pPr>
      <w:r>
        <w:rPr>
          <w:rFonts w:hint="eastAsia" w:ascii="宋体" w:hAnsi="宋体" w:cs="宋体"/>
          <w:b/>
          <w:sz w:val="24"/>
          <w:szCs w:val="24"/>
        </w:rPr>
        <w:t>我方已完整阅读了本项目采购文件的所有内容（包括澄清，以及所有已提供的参考资料和有关附件），并完全理解上述文件所表达的意思，该项目递交投标文件时间截止后，我方承诺不再对上述文件内容进行询问或质疑。</w:t>
      </w:r>
    </w:p>
    <w:p>
      <w:pPr>
        <w:widowControl w:val="0"/>
        <w:numPr>
          <w:ilvl w:val="0"/>
          <w:numId w:val="22"/>
        </w:numPr>
        <w:adjustRightInd/>
        <w:snapToGrid/>
        <w:jc w:val="both"/>
        <w:rPr>
          <w:rFonts w:ascii="宋体" w:hAnsi="宋体" w:cs="宋体"/>
          <w:sz w:val="24"/>
          <w:szCs w:val="24"/>
        </w:rPr>
      </w:pPr>
      <w:r>
        <w:rPr>
          <w:rFonts w:hint="eastAsia" w:ascii="宋体" w:hAnsi="宋体" w:cs="宋体"/>
          <w:sz w:val="24"/>
          <w:szCs w:val="24"/>
        </w:rPr>
        <w:t xml:space="preserve">本投标有效期为自开标日起个日历日。 </w:t>
      </w:r>
    </w:p>
    <w:p>
      <w:pPr>
        <w:widowControl w:val="0"/>
        <w:numPr>
          <w:ilvl w:val="0"/>
          <w:numId w:val="22"/>
        </w:numPr>
        <w:adjustRightInd/>
        <w:snapToGrid/>
        <w:jc w:val="both"/>
        <w:rPr>
          <w:rFonts w:ascii="宋体" w:hAnsi="宋体" w:cs="宋体"/>
          <w:sz w:val="24"/>
          <w:szCs w:val="24"/>
        </w:rPr>
      </w:pPr>
      <w:r>
        <w:rPr>
          <w:rFonts w:hint="eastAsia" w:ascii="宋体" w:hAnsi="宋体" w:cs="宋体"/>
          <w:sz w:val="24"/>
          <w:szCs w:val="24"/>
        </w:rPr>
        <w:t>我方保证遵守投标人须知中关于没收投标保证金的规定。</w:t>
      </w:r>
    </w:p>
    <w:p>
      <w:pPr>
        <w:widowControl w:val="0"/>
        <w:numPr>
          <w:ilvl w:val="0"/>
          <w:numId w:val="22"/>
        </w:numPr>
        <w:adjustRightInd/>
        <w:snapToGrid/>
        <w:jc w:val="both"/>
        <w:rPr>
          <w:rFonts w:ascii="宋体" w:hAnsi="宋体" w:cs="宋体"/>
          <w:sz w:val="24"/>
          <w:szCs w:val="24"/>
        </w:rPr>
      </w:pPr>
      <w:r>
        <w:rPr>
          <w:rFonts w:hint="eastAsia" w:ascii="宋体" w:hAnsi="宋体" w:cs="宋体"/>
          <w:sz w:val="24"/>
          <w:szCs w:val="24"/>
        </w:rPr>
        <w:t xml:space="preserve">我方承诺，与买方聘请的为此项目提供咨询服务的公司及任何附属机构均无关联，我方不是买方的附属机构。 </w:t>
      </w:r>
    </w:p>
    <w:p>
      <w:pPr>
        <w:widowControl w:val="0"/>
        <w:numPr>
          <w:ilvl w:val="0"/>
          <w:numId w:val="22"/>
        </w:numPr>
        <w:adjustRightInd/>
        <w:snapToGrid/>
        <w:jc w:val="both"/>
        <w:rPr>
          <w:rFonts w:ascii="宋体" w:hAnsi="宋体" w:cs="宋体"/>
          <w:sz w:val="24"/>
          <w:szCs w:val="24"/>
        </w:rPr>
      </w:pPr>
      <w:r>
        <w:rPr>
          <w:rFonts w:hint="eastAsia" w:ascii="宋体" w:hAnsi="宋体" w:cs="宋体"/>
          <w:sz w:val="24"/>
          <w:szCs w:val="24"/>
        </w:rPr>
        <w:t>我方承诺，我方具备投标人邀请中所要求的资格条件，已清楚采购文件所有要求及有关规定；并承诺参加本次采购活动中，如有违法、违规、弄虚作假行为，所造成的损失、不良后果及法律责任，一律由我方承担；</w:t>
      </w:r>
    </w:p>
    <w:p>
      <w:pPr>
        <w:widowControl w:val="0"/>
        <w:numPr>
          <w:ilvl w:val="0"/>
          <w:numId w:val="22"/>
        </w:numPr>
        <w:adjustRightInd/>
        <w:snapToGrid/>
        <w:jc w:val="both"/>
        <w:rPr>
          <w:rFonts w:ascii="宋体" w:hAnsi="宋体" w:cs="宋体"/>
          <w:sz w:val="24"/>
          <w:szCs w:val="24"/>
        </w:rPr>
      </w:pPr>
      <w:r>
        <w:rPr>
          <w:rFonts w:hint="eastAsia" w:ascii="宋体" w:hAnsi="宋体" w:cs="宋体"/>
          <w:sz w:val="24"/>
          <w:szCs w:val="24"/>
        </w:rPr>
        <w:t>我方同意提供按照贵方可能要求的与其投标有关的一切数据或资料。</w:t>
      </w:r>
    </w:p>
    <w:p>
      <w:pPr>
        <w:widowControl w:val="0"/>
        <w:numPr>
          <w:ilvl w:val="0"/>
          <w:numId w:val="22"/>
        </w:numPr>
        <w:adjustRightInd/>
        <w:snapToGrid/>
        <w:jc w:val="both"/>
        <w:rPr>
          <w:rFonts w:ascii="宋体" w:hAnsi="宋体" w:cs="宋体"/>
          <w:sz w:val="24"/>
          <w:szCs w:val="24"/>
        </w:rPr>
      </w:pPr>
      <w:r>
        <w:rPr>
          <w:rFonts w:hint="eastAsia" w:ascii="宋体" w:hAnsi="宋体" w:cs="宋体"/>
          <w:sz w:val="24"/>
          <w:szCs w:val="24"/>
        </w:rPr>
        <w:t>与本投标有关的一切正式信函请寄：</w:t>
      </w:r>
    </w:p>
    <w:p>
      <w:pPr>
        <w:rPr>
          <w:rFonts w:ascii="宋体" w:hAnsi="宋体" w:cs="宋体"/>
          <w:sz w:val="24"/>
          <w:szCs w:val="24"/>
        </w:rPr>
      </w:pPr>
      <w:r>
        <w:rPr>
          <w:rFonts w:hint="eastAsia" w:ascii="宋体" w:hAnsi="宋体" w:cs="宋体"/>
          <w:sz w:val="24"/>
          <w:szCs w:val="24"/>
        </w:rPr>
        <w:t>地址：　　　　　　　　　　　　　　　　　　　传真：</w:t>
      </w:r>
    </w:p>
    <w:p>
      <w:pPr>
        <w:rPr>
          <w:rFonts w:ascii="宋体" w:hAnsi="宋体" w:cs="宋体"/>
          <w:sz w:val="24"/>
          <w:szCs w:val="24"/>
        </w:rPr>
      </w:pPr>
      <w:r>
        <w:rPr>
          <w:rFonts w:hint="eastAsia" w:ascii="宋体" w:hAnsi="宋体" w:cs="宋体"/>
          <w:sz w:val="24"/>
          <w:szCs w:val="24"/>
        </w:rPr>
        <w:t>电话/移动电话：　　　　　　　　　　　　　　 电子函件：</w:t>
      </w:r>
    </w:p>
    <w:p>
      <w:pPr>
        <w:rPr>
          <w:rFonts w:ascii="宋体" w:hAnsi="宋体" w:cs="宋体"/>
          <w:sz w:val="24"/>
          <w:szCs w:val="24"/>
        </w:rPr>
      </w:pPr>
      <w:r>
        <w:rPr>
          <w:rFonts w:hint="eastAsia" w:ascii="宋体" w:hAnsi="宋体" w:cs="宋体"/>
          <w:sz w:val="24"/>
          <w:szCs w:val="24"/>
        </w:rPr>
        <w:t xml:space="preserve">投标人代表签字： </w:t>
      </w:r>
    </w:p>
    <w:p>
      <w:pPr>
        <w:rPr>
          <w:rFonts w:ascii="宋体" w:hAnsi="宋体" w:cs="宋体"/>
          <w:sz w:val="24"/>
          <w:szCs w:val="24"/>
        </w:rPr>
      </w:pPr>
      <w:r>
        <w:rPr>
          <w:rFonts w:hint="eastAsia" w:ascii="宋体" w:hAnsi="宋体" w:cs="宋体"/>
          <w:sz w:val="24"/>
          <w:szCs w:val="24"/>
        </w:rPr>
        <w:t xml:space="preserve">投标人名称（全称）： </w:t>
      </w:r>
    </w:p>
    <w:p>
      <w:pPr>
        <w:rPr>
          <w:rFonts w:ascii="宋体" w:hAnsi="宋体" w:cs="宋体"/>
          <w:sz w:val="24"/>
          <w:szCs w:val="24"/>
        </w:rPr>
      </w:pPr>
      <w:r>
        <w:rPr>
          <w:rFonts w:hint="eastAsia" w:ascii="宋体" w:hAnsi="宋体" w:cs="宋体"/>
          <w:sz w:val="24"/>
          <w:szCs w:val="24"/>
        </w:rPr>
        <w:t xml:space="preserve">投标人盖章： </w:t>
      </w:r>
    </w:p>
    <w:p>
      <w:pPr>
        <w:rPr>
          <w:rFonts w:ascii="宋体" w:hAnsi="宋体" w:cs="宋体"/>
          <w:sz w:val="24"/>
          <w:szCs w:val="24"/>
        </w:rPr>
      </w:pPr>
      <w:r>
        <w:rPr>
          <w:rFonts w:hint="eastAsia" w:ascii="宋体" w:hAnsi="宋体" w:cs="宋体"/>
          <w:sz w:val="24"/>
          <w:szCs w:val="24"/>
        </w:rPr>
        <w:t>投标人开户银行（全称）：</w:t>
      </w:r>
    </w:p>
    <w:p>
      <w:pPr>
        <w:rPr>
          <w:rFonts w:ascii="宋体" w:hAnsi="宋体" w:cs="宋体"/>
          <w:sz w:val="24"/>
          <w:szCs w:val="24"/>
        </w:rPr>
      </w:pPr>
      <w:r>
        <w:rPr>
          <w:rFonts w:hint="eastAsia" w:ascii="宋体" w:hAnsi="宋体" w:cs="宋体"/>
          <w:sz w:val="24"/>
          <w:szCs w:val="24"/>
        </w:rPr>
        <w:t>投标人银行账号：                             日期：</w:t>
      </w:r>
      <w:r>
        <w:rPr>
          <w:rFonts w:hint="eastAsia" w:ascii="宋体" w:hAnsi="宋体" w:cs="宋体"/>
          <w:sz w:val="24"/>
          <w:szCs w:val="24"/>
        </w:rPr>
        <w:br w:type="page"/>
      </w:r>
    </w:p>
    <w:p>
      <w:pPr>
        <w:pStyle w:val="9"/>
        <w:widowControl w:val="0"/>
        <w:overflowPunct w:val="0"/>
        <w:spacing w:line="240" w:lineRule="auto"/>
        <w:rPr>
          <w:rFonts w:ascii="宋体" w:hAnsi="宋体" w:cs="宋体"/>
          <w:szCs w:val="24"/>
        </w:rPr>
      </w:pPr>
      <w:bookmarkStart w:id="252" w:name="_Toc28202"/>
      <w:bookmarkStart w:id="253" w:name="_Toc23955"/>
      <w:r>
        <w:rPr>
          <w:rFonts w:hint="eastAsia" w:ascii="宋体" w:hAnsi="宋体" w:cs="宋体"/>
          <w:szCs w:val="24"/>
        </w:rPr>
        <w:t>附件4. 法定代表人证明书格式</w:t>
      </w:r>
      <w:bookmarkEnd w:id="252"/>
      <w:bookmarkEnd w:id="253"/>
    </w:p>
    <w:p>
      <w:pPr>
        <w:rPr>
          <w:rFonts w:ascii="宋体" w:hAnsi="宋体" w:cs="宋体"/>
          <w:sz w:val="24"/>
          <w:szCs w:val="24"/>
        </w:rPr>
      </w:pPr>
    </w:p>
    <w:p>
      <w:pPr>
        <w:jc w:val="center"/>
        <w:rPr>
          <w:rFonts w:ascii="宋体" w:hAnsi="宋体" w:cs="宋体"/>
          <w:sz w:val="24"/>
          <w:szCs w:val="24"/>
        </w:rPr>
      </w:pPr>
      <w:r>
        <w:rPr>
          <w:rFonts w:hint="eastAsia" w:ascii="宋体" w:hAnsi="宋体" w:cs="宋体"/>
          <w:sz w:val="24"/>
          <w:szCs w:val="24"/>
        </w:rPr>
        <w:t>法定代表人证明书</w:t>
      </w:r>
    </w:p>
    <w:p>
      <w:pPr>
        <w:pStyle w:val="43"/>
        <w:spacing w:line="420" w:lineRule="atLeast"/>
        <w:ind w:firstLine="0" w:firstLineChars="0"/>
        <w:rPr>
          <w:rFonts w:ascii="宋体" w:eastAsia="宋体" w:cs="宋体"/>
          <w:sz w:val="24"/>
          <w:szCs w:val="24"/>
        </w:rPr>
      </w:pPr>
      <w:r>
        <w:rPr>
          <w:rFonts w:hint="eastAsia" w:ascii="宋体" w:eastAsia="宋体" w:cs="宋体"/>
          <w:sz w:val="24"/>
          <w:szCs w:val="24"/>
        </w:rPr>
        <w:t>致：广东政通招标有限公司</w:t>
      </w:r>
    </w:p>
    <w:p>
      <w:pPr>
        <w:pStyle w:val="43"/>
        <w:spacing w:line="420" w:lineRule="atLeast"/>
        <w:ind w:firstLine="494"/>
        <w:rPr>
          <w:rFonts w:ascii="宋体" w:eastAsia="宋体" w:cs="宋体"/>
          <w:sz w:val="24"/>
          <w:szCs w:val="24"/>
        </w:rPr>
      </w:pPr>
    </w:p>
    <w:p>
      <w:pPr>
        <w:pStyle w:val="43"/>
        <w:spacing w:line="420" w:lineRule="atLeast"/>
        <w:ind w:firstLine="494"/>
        <w:rPr>
          <w:rFonts w:ascii="宋体" w:eastAsia="宋体" w:cs="宋体"/>
          <w:sz w:val="24"/>
          <w:szCs w:val="24"/>
          <w:u w:val="single"/>
        </w:rPr>
      </w:pPr>
      <w:r>
        <w:rPr>
          <w:rFonts w:hint="eastAsia" w:ascii="宋体" w:eastAsia="宋体" w:cs="宋体"/>
          <w:sz w:val="24"/>
          <w:szCs w:val="24"/>
        </w:rPr>
        <w:t>投标人名称:</w:t>
      </w:r>
    </w:p>
    <w:p>
      <w:pPr>
        <w:pStyle w:val="43"/>
        <w:spacing w:line="420" w:lineRule="atLeast"/>
        <w:ind w:firstLine="494"/>
        <w:rPr>
          <w:rFonts w:ascii="宋体" w:eastAsia="宋体" w:cs="宋体"/>
          <w:sz w:val="24"/>
          <w:szCs w:val="24"/>
          <w:u w:val="single"/>
        </w:rPr>
      </w:pPr>
      <w:r>
        <w:rPr>
          <w:rFonts w:hint="eastAsia" w:ascii="宋体" w:eastAsia="宋体" w:cs="宋体"/>
          <w:sz w:val="24"/>
          <w:szCs w:val="24"/>
        </w:rPr>
        <w:t>单 位 性质：</w:t>
      </w:r>
    </w:p>
    <w:p>
      <w:pPr>
        <w:pStyle w:val="43"/>
        <w:spacing w:line="420" w:lineRule="atLeast"/>
        <w:ind w:firstLine="494"/>
        <w:rPr>
          <w:rFonts w:ascii="宋体" w:eastAsia="宋体" w:cs="宋体"/>
          <w:sz w:val="24"/>
          <w:szCs w:val="24"/>
          <w:u w:val="single"/>
        </w:rPr>
      </w:pPr>
      <w:r>
        <w:rPr>
          <w:rFonts w:hint="eastAsia" w:ascii="宋体" w:eastAsia="宋体" w:cs="宋体"/>
          <w:sz w:val="24"/>
          <w:szCs w:val="24"/>
        </w:rPr>
        <w:t>地      址：</w:t>
      </w:r>
    </w:p>
    <w:p>
      <w:pPr>
        <w:pStyle w:val="43"/>
        <w:spacing w:line="420" w:lineRule="atLeast"/>
        <w:ind w:firstLine="494"/>
        <w:rPr>
          <w:rFonts w:ascii="宋体" w:eastAsia="宋体" w:cs="宋体"/>
          <w:sz w:val="24"/>
          <w:szCs w:val="24"/>
        </w:rPr>
      </w:pPr>
      <w:r>
        <w:rPr>
          <w:rFonts w:hint="eastAsia" w:ascii="宋体" w:eastAsia="宋体" w:cs="宋体"/>
          <w:sz w:val="24"/>
          <w:szCs w:val="24"/>
        </w:rPr>
        <w:t>成 立 时间：年月日</w:t>
      </w:r>
    </w:p>
    <w:p>
      <w:pPr>
        <w:pStyle w:val="43"/>
        <w:spacing w:line="420" w:lineRule="atLeast"/>
        <w:ind w:firstLine="494"/>
        <w:rPr>
          <w:rFonts w:ascii="宋体" w:eastAsia="宋体" w:cs="宋体"/>
          <w:sz w:val="24"/>
          <w:szCs w:val="24"/>
        </w:rPr>
      </w:pPr>
      <w:r>
        <w:rPr>
          <w:rFonts w:hint="eastAsia" w:ascii="宋体" w:eastAsia="宋体" w:cs="宋体"/>
          <w:sz w:val="24"/>
          <w:szCs w:val="24"/>
        </w:rPr>
        <w:t>经 营 期限：</w:t>
      </w:r>
    </w:p>
    <w:p>
      <w:pPr>
        <w:pStyle w:val="43"/>
        <w:spacing w:line="420" w:lineRule="atLeast"/>
        <w:ind w:firstLine="494"/>
        <w:rPr>
          <w:rFonts w:ascii="宋体" w:eastAsia="宋体" w:cs="宋体"/>
          <w:sz w:val="24"/>
          <w:szCs w:val="24"/>
        </w:rPr>
      </w:pPr>
      <w:r>
        <w:rPr>
          <w:rFonts w:hint="eastAsia" w:ascii="宋体" w:eastAsia="宋体" w:cs="宋体"/>
          <w:sz w:val="24"/>
          <w:szCs w:val="24"/>
        </w:rPr>
        <w:t>姓名：性别：年龄：职务：</w:t>
      </w:r>
    </w:p>
    <w:p>
      <w:pPr>
        <w:pStyle w:val="43"/>
        <w:spacing w:line="420" w:lineRule="atLeast"/>
        <w:ind w:firstLine="494"/>
        <w:rPr>
          <w:rFonts w:ascii="宋体" w:eastAsia="宋体" w:cs="宋体"/>
          <w:sz w:val="24"/>
          <w:szCs w:val="24"/>
        </w:rPr>
      </w:pPr>
      <w:r>
        <w:rPr>
          <w:rFonts w:hint="eastAsia" w:ascii="宋体" w:eastAsia="宋体" w:cs="宋体"/>
          <w:sz w:val="24"/>
          <w:szCs w:val="24"/>
        </w:rPr>
        <w:t>系（投标人名称）的法定代表人。</w:t>
      </w:r>
    </w:p>
    <w:p>
      <w:pPr>
        <w:spacing w:line="420" w:lineRule="atLeast"/>
        <w:ind w:firstLine="480" w:firstLineChars="200"/>
        <w:rPr>
          <w:rFonts w:ascii="宋体" w:hAnsi="宋体" w:cs="宋体"/>
          <w:sz w:val="24"/>
          <w:szCs w:val="24"/>
        </w:rPr>
      </w:pPr>
      <w:r>
        <w:rPr>
          <w:rFonts w:hint="eastAsia" w:ascii="宋体" w:hAnsi="宋体" w:cs="宋体"/>
          <w:sz w:val="24"/>
          <w:szCs w:val="24"/>
        </w:rPr>
        <w:t>特此证明。</w:t>
      </w:r>
    </w:p>
    <w:p>
      <w:pPr>
        <w:pStyle w:val="43"/>
        <w:spacing w:line="500" w:lineRule="atLeast"/>
        <w:ind w:firstLine="4020" w:firstLineChars="1675"/>
        <w:rPr>
          <w:rFonts w:ascii="宋体" w:eastAsia="宋体" w:cs="宋体"/>
          <w:sz w:val="24"/>
          <w:szCs w:val="24"/>
        </w:rPr>
      </w:pPr>
    </w:p>
    <w:p>
      <w:pPr>
        <w:pStyle w:val="43"/>
        <w:spacing w:line="500" w:lineRule="atLeast"/>
        <w:ind w:firstLine="4020" w:firstLineChars="1675"/>
        <w:rPr>
          <w:rFonts w:ascii="宋体" w:eastAsia="宋体" w:cs="宋体"/>
          <w:sz w:val="24"/>
          <w:szCs w:val="24"/>
        </w:rPr>
      </w:pPr>
      <w:r>
        <w:rPr>
          <w:rFonts w:hint="eastAsia" w:ascii="宋体" w:eastAsia="宋体" w:cs="宋体"/>
          <w:sz w:val="24"/>
          <w:szCs w:val="24"/>
        </w:rPr>
        <w:t>投标人名称（加盖公章）：</w:t>
      </w:r>
    </w:p>
    <w:p>
      <w:pPr>
        <w:pStyle w:val="43"/>
        <w:spacing w:line="500" w:lineRule="atLeast"/>
        <w:ind w:firstLine="4020" w:firstLineChars="1675"/>
        <w:rPr>
          <w:rFonts w:ascii="宋体" w:eastAsia="宋体" w:cs="宋体"/>
          <w:sz w:val="24"/>
          <w:szCs w:val="24"/>
        </w:rPr>
      </w:pPr>
      <w:r>
        <w:rPr>
          <w:rFonts w:hint="eastAsia" w:ascii="宋体" w:eastAsia="宋体" w:cs="宋体"/>
          <w:sz w:val="24"/>
          <w:szCs w:val="24"/>
        </w:rPr>
        <w:t>法定代表人（签名或盖私章）：</w:t>
      </w:r>
    </w:p>
    <w:p>
      <w:pPr>
        <w:pStyle w:val="43"/>
        <w:spacing w:line="500" w:lineRule="atLeast"/>
        <w:ind w:firstLine="4020" w:firstLineChars="1675"/>
        <w:rPr>
          <w:rFonts w:ascii="宋体" w:eastAsia="宋体" w:cs="宋体"/>
          <w:sz w:val="24"/>
          <w:szCs w:val="24"/>
        </w:rPr>
      </w:pPr>
      <w:r>
        <w:rPr>
          <w:rFonts w:hint="eastAsia" w:ascii="宋体" w:eastAsia="宋体" w:cs="宋体"/>
          <w:sz w:val="24"/>
          <w:szCs w:val="24"/>
        </w:rPr>
        <w:t>法定代表人联系方式：</w:t>
      </w:r>
    </w:p>
    <w:p>
      <w:pPr>
        <w:pStyle w:val="43"/>
        <w:spacing w:line="500" w:lineRule="atLeast"/>
        <w:ind w:firstLine="4020" w:firstLineChars="1675"/>
        <w:rPr>
          <w:rFonts w:ascii="宋体" w:eastAsia="宋体" w:cs="宋体"/>
          <w:sz w:val="24"/>
          <w:szCs w:val="24"/>
          <w:u w:val="single"/>
        </w:rPr>
      </w:pPr>
      <w:r>
        <w:rPr>
          <w:rFonts w:hint="eastAsia" w:ascii="宋体" w:eastAsia="宋体" w:cs="宋体"/>
          <w:sz w:val="24"/>
          <w:szCs w:val="24"/>
        </w:rPr>
        <w:t>身份证号码：</w:t>
      </w:r>
    </w:p>
    <w:p>
      <w:pPr>
        <w:pStyle w:val="43"/>
        <w:spacing w:line="500" w:lineRule="atLeast"/>
        <w:ind w:firstLine="4008" w:firstLineChars="1670"/>
        <w:rPr>
          <w:rFonts w:ascii="宋体" w:eastAsia="宋体" w:cs="宋体"/>
          <w:sz w:val="24"/>
          <w:szCs w:val="24"/>
        </w:rPr>
      </w:pPr>
      <w:r>
        <w:rPr>
          <w:rFonts w:hint="eastAsia" w:ascii="宋体" w:eastAsia="宋体" w:cs="宋体"/>
          <w:sz w:val="24"/>
          <w:szCs w:val="24"/>
        </w:rPr>
        <w:t>日     期：年月日</w:t>
      </w:r>
    </w:p>
    <w:p>
      <w:pPr>
        <w:ind w:firstLine="480" w:firstLineChars="200"/>
        <w:rPr>
          <w:rFonts w:ascii="宋体" w:hAnsi="宋体" w:cs="宋体"/>
          <w:sz w:val="24"/>
          <w:szCs w:val="24"/>
        </w:rPr>
      </w:pPr>
    </w:p>
    <w:p>
      <w:pPr>
        <w:ind w:firstLine="480" w:firstLineChars="200"/>
        <w:rPr>
          <w:rFonts w:ascii="宋体" w:hAnsi="宋体" w:cs="宋体"/>
          <w:sz w:val="24"/>
          <w:szCs w:val="24"/>
        </w:rPr>
      </w:pPr>
      <w:r>
        <w:rPr>
          <w:rFonts w:hint="eastAsia" w:ascii="宋体" w:hAnsi="宋体" w:cs="宋体"/>
          <w:sz w:val="24"/>
          <w:szCs w:val="24"/>
        </w:rPr>
        <w:t>注：法定代表人身份证明书需附法人代表身份证复印件。</w:t>
      </w:r>
    </w:p>
    <w:tbl>
      <w:tblPr>
        <w:tblStyle w:val="28"/>
        <w:tblW w:w="83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82"/>
        <w:gridCol w:w="418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517" w:hRule="atLeast"/>
          <w:jc w:val="center"/>
        </w:trPr>
        <w:tc>
          <w:tcPr>
            <w:tcW w:w="4182" w:type="dxa"/>
            <w:vAlign w:val="center"/>
          </w:tcPr>
          <w:p>
            <w:pPr>
              <w:pStyle w:val="43"/>
              <w:spacing w:line="460" w:lineRule="exact"/>
              <w:ind w:firstLine="0" w:firstLineChars="0"/>
              <w:jc w:val="center"/>
              <w:rPr>
                <w:rFonts w:ascii="宋体" w:eastAsia="宋体" w:cs="宋体"/>
                <w:sz w:val="24"/>
                <w:szCs w:val="24"/>
              </w:rPr>
            </w:pPr>
            <w:r>
              <w:rPr>
                <w:rFonts w:hint="eastAsia" w:ascii="宋体" w:eastAsia="宋体" w:cs="宋体"/>
                <w:sz w:val="24"/>
                <w:szCs w:val="24"/>
              </w:rPr>
              <w:t>正面</w:t>
            </w:r>
          </w:p>
        </w:tc>
        <w:tc>
          <w:tcPr>
            <w:tcW w:w="4182" w:type="dxa"/>
            <w:vAlign w:val="center"/>
          </w:tcPr>
          <w:p>
            <w:pPr>
              <w:pStyle w:val="43"/>
              <w:spacing w:line="460" w:lineRule="exact"/>
              <w:ind w:firstLine="0" w:firstLineChars="0"/>
              <w:jc w:val="center"/>
              <w:rPr>
                <w:rFonts w:ascii="宋体" w:eastAsia="宋体" w:cs="宋体"/>
                <w:sz w:val="24"/>
                <w:szCs w:val="24"/>
              </w:rPr>
            </w:pPr>
            <w:r>
              <w:rPr>
                <w:rFonts w:hint="eastAsia" w:ascii="宋体" w:eastAsia="宋体" w:cs="宋体"/>
                <w:sz w:val="24"/>
                <w:szCs w:val="24"/>
              </w:rPr>
              <w:t>背面</w:t>
            </w:r>
          </w:p>
        </w:tc>
      </w:tr>
    </w:tbl>
    <w:p>
      <w:pPr>
        <w:rPr>
          <w:rFonts w:ascii="宋体" w:hAnsi="宋体" w:cs="宋体"/>
          <w:sz w:val="24"/>
          <w:szCs w:val="24"/>
        </w:rPr>
      </w:pPr>
    </w:p>
    <w:p>
      <w:pPr>
        <w:adjustRightInd/>
        <w:snapToGrid/>
        <w:spacing w:line="276" w:lineRule="auto"/>
        <w:rPr>
          <w:rFonts w:ascii="宋体" w:hAnsi="宋体" w:cs="宋体"/>
          <w:b/>
          <w:bCs/>
          <w:sz w:val="24"/>
          <w:szCs w:val="24"/>
        </w:rPr>
      </w:pPr>
      <w:r>
        <w:rPr>
          <w:rFonts w:hint="eastAsia" w:ascii="宋体" w:hAnsi="宋体" w:cs="宋体"/>
          <w:sz w:val="24"/>
          <w:szCs w:val="24"/>
        </w:rPr>
        <w:br w:type="page"/>
      </w:r>
    </w:p>
    <w:p>
      <w:pPr>
        <w:pStyle w:val="9"/>
        <w:widowControl w:val="0"/>
        <w:overflowPunct w:val="0"/>
        <w:spacing w:line="240" w:lineRule="auto"/>
        <w:rPr>
          <w:rFonts w:ascii="宋体" w:hAnsi="宋体" w:cs="宋体"/>
          <w:szCs w:val="24"/>
        </w:rPr>
      </w:pPr>
      <w:bookmarkStart w:id="254" w:name="_Toc22561"/>
      <w:bookmarkStart w:id="255" w:name="_Toc1735"/>
      <w:r>
        <w:rPr>
          <w:rFonts w:hint="eastAsia" w:ascii="宋体" w:hAnsi="宋体" w:cs="宋体"/>
          <w:szCs w:val="24"/>
        </w:rPr>
        <w:t>附件5.法定代表人授权书格式</w:t>
      </w:r>
      <w:bookmarkEnd w:id="254"/>
      <w:bookmarkEnd w:id="255"/>
    </w:p>
    <w:p>
      <w:pPr>
        <w:rPr>
          <w:rFonts w:ascii="宋体" w:hAnsi="宋体" w:cs="宋体"/>
          <w:sz w:val="24"/>
          <w:szCs w:val="24"/>
        </w:rPr>
      </w:pPr>
    </w:p>
    <w:p>
      <w:pPr>
        <w:jc w:val="center"/>
        <w:rPr>
          <w:rFonts w:ascii="宋体" w:hAnsi="宋体" w:cs="宋体"/>
          <w:sz w:val="24"/>
          <w:szCs w:val="24"/>
        </w:rPr>
      </w:pPr>
      <w:r>
        <w:rPr>
          <w:rFonts w:hint="eastAsia" w:ascii="宋体" w:hAnsi="宋体" w:cs="宋体"/>
          <w:sz w:val="24"/>
          <w:szCs w:val="24"/>
        </w:rPr>
        <w:t>法定代表人授权书</w:t>
      </w:r>
    </w:p>
    <w:p>
      <w:pPr>
        <w:pStyle w:val="43"/>
        <w:spacing w:line="420" w:lineRule="atLeast"/>
        <w:ind w:firstLine="0" w:firstLineChars="0"/>
        <w:rPr>
          <w:rFonts w:ascii="宋体" w:eastAsia="宋体" w:cs="宋体"/>
          <w:sz w:val="24"/>
          <w:szCs w:val="24"/>
        </w:rPr>
      </w:pPr>
      <w:r>
        <w:rPr>
          <w:rFonts w:hint="eastAsia" w:ascii="宋体" w:eastAsia="宋体" w:cs="宋体"/>
          <w:sz w:val="24"/>
          <w:szCs w:val="24"/>
        </w:rPr>
        <w:t>致：广东政通招标有限公司</w:t>
      </w:r>
    </w:p>
    <w:p>
      <w:pPr>
        <w:pStyle w:val="43"/>
        <w:spacing w:line="420" w:lineRule="atLeast"/>
        <w:ind w:firstLine="494"/>
        <w:rPr>
          <w:rFonts w:ascii="宋体" w:eastAsia="宋体" w:cs="宋体"/>
          <w:sz w:val="24"/>
          <w:szCs w:val="24"/>
        </w:rPr>
      </w:pPr>
    </w:p>
    <w:p>
      <w:pPr>
        <w:ind w:firstLine="480" w:firstLineChars="200"/>
        <w:rPr>
          <w:rFonts w:ascii="宋体" w:hAnsi="宋体" w:cs="宋体"/>
          <w:sz w:val="24"/>
          <w:szCs w:val="24"/>
        </w:rPr>
      </w:pPr>
      <w:r>
        <w:rPr>
          <w:rFonts w:hint="eastAsia" w:ascii="宋体" w:hAnsi="宋体" w:cs="宋体"/>
          <w:sz w:val="24"/>
          <w:szCs w:val="24"/>
        </w:rPr>
        <w:t>本授权书声明：注册于</w:t>
      </w:r>
      <w:r>
        <w:rPr>
          <w:rFonts w:hint="eastAsia" w:ascii="宋体" w:hAnsi="宋体" w:cs="宋体"/>
          <w:sz w:val="24"/>
          <w:szCs w:val="24"/>
          <w:u w:val="single"/>
        </w:rPr>
        <w:t>（国家或地区的名称）</w:t>
      </w:r>
      <w:r>
        <w:rPr>
          <w:rFonts w:hint="eastAsia" w:ascii="宋体" w:hAnsi="宋体" w:cs="宋体"/>
          <w:sz w:val="24"/>
          <w:szCs w:val="24"/>
        </w:rPr>
        <w:t>的</w:t>
      </w:r>
      <w:r>
        <w:rPr>
          <w:rFonts w:hint="eastAsia" w:ascii="宋体" w:hAnsi="宋体" w:cs="宋体"/>
          <w:sz w:val="24"/>
          <w:szCs w:val="24"/>
          <w:u w:val="single"/>
        </w:rPr>
        <w:t>（单位名称）</w:t>
      </w:r>
      <w:r>
        <w:rPr>
          <w:rFonts w:hint="eastAsia" w:ascii="宋体" w:hAnsi="宋体" w:cs="宋体"/>
          <w:sz w:val="24"/>
          <w:szCs w:val="24"/>
        </w:rPr>
        <w:t>的在下面签字的</w:t>
      </w:r>
      <w:r>
        <w:rPr>
          <w:rFonts w:hint="eastAsia" w:ascii="宋体" w:hAnsi="宋体" w:cs="宋体"/>
          <w:sz w:val="24"/>
          <w:szCs w:val="24"/>
          <w:u w:val="single"/>
        </w:rPr>
        <w:t>（法定代表人姓名、职务）</w:t>
      </w:r>
      <w:r>
        <w:rPr>
          <w:rFonts w:hint="eastAsia" w:ascii="宋体" w:hAnsi="宋体" w:cs="宋体"/>
          <w:sz w:val="24"/>
          <w:szCs w:val="24"/>
        </w:rPr>
        <w:t>代表本单位授权</w:t>
      </w:r>
      <w:r>
        <w:rPr>
          <w:rFonts w:hint="eastAsia" w:ascii="宋体" w:hAnsi="宋体" w:cs="宋体"/>
          <w:sz w:val="24"/>
          <w:szCs w:val="24"/>
          <w:u w:val="single"/>
        </w:rPr>
        <w:t>（单位名称）</w:t>
      </w:r>
      <w:r>
        <w:rPr>
          <w:rFonts w:hint="eastAsia" w:ascii="宋体" w:hAnsi="宋体" w:cs="宋体"/>
          <w:sz w:val="24"/>
          <w:szCs w:val="24"/>
        </w:rPr>
        <w:t>的在下面签字的</w:t>
      </w:r>
      <w:r>
        <w:rPr>
          <w:rFonts w:hint="eastAsia" w:ascii="宋体" w:hAnsi="宋体" w:cs="宋体"/>
          <w:sz w:val="24"/>
          <w:szCs w:val="24"/>
          <w:u w:val="single"/>
        </w:rPr>
        <w:t>（被授权人的姓名、职务）</w:t>
      </w:r>
      <w:r>
        <w:rPr>
          <w:rFonts w:hint="eastAsia" w:ascii="宋体" w:hAnsi="宋体" w:cs="宋体"/>
          <w:sz w:val="24"/>
          <w:szCs w:val="24"/>
        </w:rPr>
        <w:t>为本单位的合法代理人，就</w:t>
      </w:r>
      <w:r>
        <w:rPr>
          <w:rFonts w:hint="eastAsia" w:ascii="宋体" w:hAnsi="宋体" w:cs="宋体"/>
          <w:sz w:val="24"/>
          <w:szCs w:val="24"/>
          <w:u w:val="single"/>
        </w:rPr>
        <w:t>（项目名称）</w:t>
      </w:r>
      <w:r>
        <w:rPr>
          <w:rFonts w:hint="eastAsia" w:ascii="宋体" w:hAnsi="宋体" w:cs="宋体"/>
          <w:sz w:val="24"/>
          <w:szCs w:val="24"/>
        </w:rPr>
        <w:t>投标及参加项目谈判，以本单位名义处理一切与之有关的事务。</w:t>
      </w:r>
    </w:p>
    <w:p>
      <w:pPr>
        <w:ind w:firstLine="360" w:firstLineChars="150"/>
        <w:rPr>
          <w:rFonts w:ascii="宋体" w:hAnsi="宋体" w:cs="宋体"/>
          <w:sz w:val="24"/>
          <w:szCs w:val="24"/>
        </w:rPr>
      </w:pPr>
      <w:r>
        <w:rPr>
          <w:rFonts w:hint="eastAsia" w:ascii="宋体" w:hAnsi="宋体" w:cs="宋体"/>
          <w:sz w:val="24"/>
          <w:szCs w:val="24"/>
        </w:rPr>
        <w:t>本授权书于</w:t>
      </w:r>
      <w:r>
        <w:rPr>
          <w:rFonts w:hint="eastAsia" w:ascii="宋体" w:hAnsi="宋体" w:cs="宋体"/>
          <w:sz w:val="24"/>
          <w:szCs w:val="24"/>
          <w:u w:val="single"/>
        </w:rPr>
        <w:t>　　</w:t>
      </w:r>
      <w:r>
        <w:rPr>
          <w:rFonts w:hint="eastAsia" w:ascii="宋体" w:hAnsi="宋体" w:cs="宋体"/>
          <w:sz w:val="24"/>
          <w:szCs w:val="24"/>
        </w:rPr>
        <w:t>年</w:t>
      </w:r>
      <w:r>
        <w:rPr>
          <w:rFonts w:hint="eastAsia" w:ascii="宋体" w:hAnsi="宋体" w:cs="宋体"/>
          <w:sz w:val="24"/>
          <w:szCs w:val="24"/>
          <w:u w:val="single"/>
        </w:rPr>
        <w:t>　　</w:t>
      </w:r>
      <w:r>
        <w:rPr>
          <w:rFonts w:hint="eastAsia" w:ascii="宋体" w:hAnsi="宋体" w:cs="宋体"/>
          <w:sz w:val="24"/>
          <w:szCs w:val="24"/>
        </w:rPr>
        <w:t>月</w:t>
      </w:r>
      <w:r>
        <w:rPr>
          <w:rFonts w:hint="eastAsia" w:ascii="宋体" w:hAnsi="宋体" w:cs="宋体"/>
          <w:sz w:val="24"/>
          <w:szCs w:val="24"/>
          <w:u w:val="single"/>
        </w:rPr>
        <w:t>　　</w:t>
      </w:r>
      <w:r>
        <w:rPr>
          <w:rFonts w:hint="eastAsia" w:ascii="宋体" w:hAnsi="宋体" w:cs="宋体"/>
          <w:sz w:val="24"/>
          <w:szCs w:val="24"/>
        </w:rPr>
        <w:t>日签字生效，特此声明。</w:t>
      </w:r>
    </w:p>
    <w:p>
      <w:pPr>
        <w:pStyle w:val="43"/>
        <w:spacing w:line="500" w:lineRule="atLeast"/>
        <w:ind w:firstLine="4020" w:firstLineChars="1675"/>
        <w:rPr>
          <w:rFonts w:ascii="宋体" w:eastAsia="宋体" w:cs="宋体"/>
          <w:sz w:val="24"/>
          <w:szCs w:val="24"/>
        </w:rPr>
      </w:pPr>
    </w:p>
    <w:p>
      <w:pPr>
        <w:pStyle w:val="43"/>
        <w:spacing w:line="500" w:lineRule="atLeast"/>
        <w:ind w:firstLine="4020" w:firstLineChars="1675"/>
        <w:rPr>
          <w:rFonts w:ascii="宋体" w:eastAsia="宋体" w:cs="宋体"/>
          <w:sz w:val="24"/>
          <w:szCs w:val="24"/>
        </w:rPr>
      </w:pPr>
      <w:r>
        <w:rPr>
          <w:rFonts w:hint="eastAsia" w:ascii="宋体" w:eastAsia="宋体" w:cs="宋体"/>
          <w:sz w:val="24"/>
          <w:szCs w:val="24"/>
        </w:rPr>
        <w:t>投标人名称（加盖公章）：</w:t>
      </w:r>
    </w:p>
    <w:p>
      <w:pPr>
        <w:pStyle w:val="43"/>
        <w:spacing w:line="500" w:lineRule="atLeast"/>
        <w:ind w:firstLine="4020" w:firstLineChars="1675"/>
        <w:rPr>
          <w:rFonts w:ascii="宋体" w:eastAsia="宋体" w:cs="宋体"/>
          <w:sz w:val="24"/>
          <w:szCs w:val="24"/>
          <w:u w:val="single"/>
        </w:rPr>
      </w:pPr>
      <w:r>
        <w:rPr>
          <w:rFonts w:hint="eastAsia" w:ascii="宋体" w:eastAsia="宋体" w:cs="宋体"/>
          <w:sz w:val="24"/>
          <w:szCs w:val="24"/>
        </w:rPr>
        <w:t>法定代表人签字（签名或盖私章）：</w:t>
      </w:r>
    </w:p>
    <w:p>
      <w:pPr>
        <w:pStyle w:val="43"/>
        <w:spacing w:line="500" w:lineRule="atLeast"/>
        <w:ind w:firstLine="4020" w:firstLineChars="1675"/>
        <w:rPr>
          <w:rFonts w:ascii="宋体" w:eastAsia="宋体" w:cs="宋体"/>
          <w:sz w:val="24"/>
          <w:szCs w:val="24"/>
        </w:rPr>
      </w:pPr>
      <w:r>
        <w:rPr>
          <w:rFonts w:hint="eastAsia" w:ascii="宋体" w:eastAsia="宋体" w:cs="宋体"/>
          <w:sz w:val="24"/>
          <w:szCs w:val="24"/>
        </w:rPr>
        <w:t>被授权人签字：</w:t>
      </w:r>
    </w:p>
    <w:p>
      <w:pPr>
        <w:pStyle w:val="43"/>
        <w:spacing w:line="500" w:lineRule="atLeast"/>
        <w:ind w:firstLine="4020" w:firstLineChars="1675"/>
        <w:rPr>
          <w:rFonts w:ascii="宋体" w:eastAsia="宋体" w:cs="宋体"/>
          <w:sz w:val="24"/>
          <w:szCs w:val="24"/>
          <w:u w:val="single"/>
        </w:rPr>
      </w:pPr>
      <w:r>
        <w:rPr>
          <w:rFonts w:hint="eastAsia" w:ascii="宋体" w:eastAsia="宋体" w:cs="宋体"/>
          <w:sz w:val="24"/>
          <w:szCs w:val="24"/>
        </w:rPr>
        <w:t>职务：</w:t>
      </w:r>
    </w:p>
    <w:p>
      <w:pPr>
        <w:pStyle w:val="43"/>
        <w:spacing w:line="500" w:lineRule="atLeast"/>
        <w:ind w:firstLine="4020" w:firstLineChars="1675"/>
        <w:rPr>
          <w:rFonts w:ascii="宋体" w:eastAsia="宋体" w:cs="宋体"/>
          <w:sz w:val="24"/>
          <w:szCs w:val="24"/>
        </w:rPr>
      </w:pPr>
      <w:r>
        <w:rPr>
          <w:rFonts w:hint="eastAsia" w:ascii="宋体" w:eastAsia="宋体" w:cs="宋体"/>
          <w:sz w:val="24"/>
          <w:szCs w:val="24"/>
        </w:rPr>
        <w:t xml:space="preserve">移动电话： </w:t>
      </w:r>
    </w:p>
    <w:p>
      <w:pPr>
        <w:pStyle w:val="43"/>
        <w:spacing w:line="500" w:lineRule="atLeast"/>
        <w:ind w:firstLine="4020" w:firstLineChars="1675"/>
        <w:rPr>
          <w:rFonts w:ascii="宋体" w:eastAsia="宋体" w:cs="宋体"/>
          <w:sz w:val="24"/>
          <w:szCs w:val="24"/>
        </w:rPr>
      </w:pPr>
      <w:r>
        <w:rPr>
          <w:rFonts w:hint="eastAsia" w:ascii="宋体" w:eastAsia="宋体" w:cs="宋体"/>
          <w:sz w:val="24"/>
          <w:szCs w:val="24"/>
        </w:rPr>
        <w:t>详细通讯地址：</w:t>
      </w:r>
    </w:p>
    <w:p>
      <w:pPr>
        <w:pStyle w:val="43"/>
        <w:spacing w:line="500" w:lineRule="atLeast"/>
        <w:ind w:firstLine="4020" w:firstLineChars="1675"/>
        <w:rPr>
          <w:rFonts w:ascii="宋体" w:eastAsia="宋体" w:cs="宋体"/>
          <w:sz w:val="24"/>
          <w:szCs w:val="24"/>
        </w:rPr>
      </w:pPr>
      <w:r>
        <w:rPr>
          <w:rFonts w:hint="eastAsia" w:ascii="宋体" w:eastAsia="宋体" w:cs="宋体"/>
          <w:sz w:val="24"/>
          <w:szCs w:val="24"/>
        </w:rPr>
        <w:t xml:space="preserve">邮箱：                          </w:t>
      </w:r>
    </w:p>
    <w:p>
      <w:pPr>
        <w:pStyle w:val="43"/>
        <w:spacing w:line="500" w:lineRule="atLeast"/>
        <w:ind w:firstLine="4008" w:firstLineChars="1670"/>
        <w:rPr>
          <w:rFonts w:ascii="宋体" w:eastAsia="宋体" w:cs="宋体"/>
          <w:sz w:val="24"/>
          <w:szCs w:val="24"/>
        </w:rPr>
      </w:pPr>
      <w:r>
        <w:rPr>
          <w:rFonts w:hint="eastAsia" w:ascii="宋体" w:eastAsia="宋体" w:cs="宋体"/>
          <w:sz w:val="24"/>
          <w:szCs w:val="24"/>
        </w:rPr>
        <w:t>日     期：年月日</w:t>
      </w:r>
    </w:p>
    <w:p>
      <w:pPr>
        <w:pStyle w:val="43"/>
        <w:spacing w:line="460" w:lineRule="exact"/>
        <w:ind w:firstLine="494"/>
        <w:rPr>
          <w:rFonts w:ascii="宋体" w:eastAsia="宋体" w:cs="宋体"/>
          <w:sz w:val="24"/>
          <w:szCs w:val="24"/>
        </w:rPr>
      </w:pPr>
    </w:p>
    <w:p>
      <w:pPr>
        <w:ind w:firstLine="480" w:firstLineChars="200"/>
        <w:rPr>
          <w:rFonts w:ascii="宋体" w:hAnsi="宋体" w:cs="宋体"/>
          <w:sz w:val="24"/>
          <w:szCs w:val="24"/>
        </w:rPr>
      </w:pPr>
      <w:r>
        <w:rPr>
          <w:rFonts w:hint="eastAsia" w:ascii="宋体" w:hAnsi="宋体" w:cs="宋体"/>
          <w:sz w:val="24"/>
          <w:szCs w:val="24"/>
        </w:rPr>
        <w:t>须附：被授权人身份证复印件。</w:t>
      </w:r>
    </w:p>
    <w:tbl>
      <w:tblPr>
        <w:tblStyle w:val="28"/>
        <w:tblW w:w="84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vAlign w:val="center"/>
          </w:tcPr>
          <w:p>
            <w:pPr>
              <w:pStyle w:val="43"/>
              <w:spacing w:line="460" w:lineRule="exact"/>
              <w:ind w:firstLine="0" w:firstLineChars="0"/>
              <w:jc w:val="center"/>
              <w:rPr>
                <w:rFonts w:ascii="宋体" w:eastAsia="宋体" w:cs="宋体"/>
                <w:sz w:val="24"/>
                <w:szCs w:val="24"/>
              </w:rPr>
            </w:pPr>
            <w:r>
              <w:rPr>
                <w:rFonts w:hint="eastAsia" w:ascii="宋体" w:eastAsia="宋体" w:cs="宋体"/>
                <w:sz w:val="24"/>
                <w:szCs w:val="24"/>
              </w:rPr>
              <w:t>正面</w:t>
            </w:r>
          </w:p>
        </w:tc>
        <w:tc>
          <w:tcPr>
            <w:tcW w:w="4232" w:type="dxa"/>
            <w:vAlign w:val="center"/>
          </w:tcPr>
          <w:p>
            <w:pPr>
              <w:pStyle w:val="43"/>
              <w:spacing w:line="460" w:lineRule="exact"/>
              <w:ind w:firstLine="0" w:firstLineChars="0"/>
              <w:jc w:val="center"/>
              <w:rPr>
                <w:rFonts w:ascii="宋体" w:eastAsia="宋体" w:cs="宋体"/>
                <w:sz w:val="24"/>
                <w:szCs w:val="24"/>
              </w:rPr>
            </w:pPr>
            <w:r>
              <w:rPr>
                <w:rFonts w:hint="eastAsia" w:ascii="宋体" w:eastAsia="宋体" w:cs="宋体"/>
                <w:sz w:val="24"/>
                <w:szCs w:val="24"/>
              </w:rPr>
              <w:t>背面</w:t>
            </w:r>
          </w:p>
        </w:tc>
      </w:tr>
    </w:tbl>
    <w:p>
      <w:pPr>
        <w:adjustRightInd/>
        <w:snapToGrid/>
        <w:spacing w:line="276" w:lineRule="auto"/>
        <w:rPr>
          <w:rFonts w:ascii="宋体" w:hAnsi="宋体" w:cs="宋体"/>
          <w:sz w:val="24"/>
          <w:szCs w:val="24"/>
        </w:rPr>
      </w:pPr>
      <w:bookmarkStart w:id="256" w:name="_Toc22486"/>
      <w:r>
        <w:rPr>
          <w:rFonts w:hint="eastAsia" w:ascii="宋体" w:hAnsi="宋体" w:cs="宋体"/>
          <w:sz w:val="24"/>
          <w:szCs w:val="24"/>
        </w:rPr>
        <w:br w:type="page"/>
      </w:r>
    </w:p>
    <w:p>
      <w:pPr>
        <w:pStyle w:val="9"/>
        <w:widowControl w:val="0"/>
        <w:overflowPunct w:val="0"/>
        <w:spacing w:line="240" w:lineRule="auto"/>
        <w:rPr>
          <w:rFonts w:ascii="宋体" w:hAnsi="宋体" w:cs="宋体"/>
          <w:szCs w:val="24"/>
        </w:rPr>
      </w:pPr>
      <w:bookmarkStart w:id="257" w:name="_Toc17866"/>
      <w:bookmarkStart w:id="258" w:name="_Toc5874"/>
      <w:r>
        <w:rPr>
          <w:rFonts w:hint="eastAsia" w:ascii="宋体" w:hAnsi="宋体" w:cs="宋体"/>
          <w:szCs w:val="24"/>
        </w:rPr>
        <w:t>附件6.资格申明</w:t>
      </w:r>
      <w:bookmarkEnd w:id="257"/>
      <w:bookmarkEnd w:id="258"/>
    </w:p>
    <w:p>
      <w:pPr>
        <w:jc w:val="center"/>
        <w:rPr>
          <w:rFonts w:ascii="宋体" w:hAnsi="宋体" w:cs="宋体"/>
          <w:sz w:val="24"/>
          <w:szCs w:val="24"/>
        </w:rPr>
      </w:pPr>
      <w:r>
        <w:rPr>
          <w:rFonts w:hint="eastAsia" w:ascii="宋体" w:hAnsi="宋体" w:cs="宋体"/>
          <w:sz w:val="24"/>
          <w:szCs w:val="24"/>
        </w:rPr>
        <w:t>资格申明</w:t>
      </w:r>
    </w:p>
    <w:p>
      <w:pPr>
        <w:pStyle w:val="43"/>
        <w:spacing w:line="420" w:lineRule="atLeast"/>
        <w:ind w:firstLine="0" w:firstLineChars="0"/>
        <w:rPr>
          <w:rFonts w:ascii="宋体" w:eastAsia="宋体" w:cs="宋体"/>
          <w:sz w:val="24"/>
          <w:szCs w:val="24"/>
        </w:rPr>
      </w:pPr>
      <w:r>
        <w:rPr>
          <w:rFonts w:hint="eastAsia" w:ascii="宋体" w:eastAsia="宋体" w:cs="宋体"/>
          <w:sz w:val="24"/>
          <w:szCs w:val="24"/>
        </w:rPr>
        <w:t>广东政通招标有限公司：</w:t>
      </w:r>
    </w:p>
    <w:p>
      <w:pPr>
        <w:ind w:firstLine="480" w:firstLineChars="200"/>
        <w:rPr>
          <w:rFonts w:ascii="宋体" w:hAnsi="宋体" w:cs="宋体"/>
          <w:sz w:val="24"/>
          <w:szCs w:val="24"/>
        </w:rPr>
      </w:pPr>
    </w:p>
    <w:p>
      <w:pPr>
        <w:ind w:firstLine="480" w:firstLineChars="200"/>
        <w:rPr>
          <w:rFonts w:ascii="宋体" w:hAnsi="宋体" w:cs="宋体"/>
          <w:sz w:val="24"/>
          <w:szCs w:val="24"/>
        </w:rPr>
      </w:pPr>
      <w:r>
        <w:rPr>
          <w:rFonts w:hint="eastAsia" w:ascii="宋体" w:hAnsi="宋体" w:cs="宋体"/>
          <w:sz w:val="24"/>
          <w:szCs w:val="24"/>
        </w:rPr>
        <w:t>我方愿响应贵方关于（项目名称）（采购项目编号）的投标邀请，参与投标，提供用户需求书中规定的货物及相关服务，并按采购文件要求提交所附资格文件且声明和保证如下：</w:t>
      </w:r>
    </w:p>
    <w:p>
      <w:pPr>
        <w:ind w:firstLine="480" w:firstLineChars="200"/>
        <w:rPr>
          <w:rFonts w:ascii="宋体" w:hAnsi="宋体" w:cs="宋体"/>
          <w:sz w:val="24"/>
          <w:szCs w:val="24"/>
        </w:rPr>
      </w:pPr>
      <w:r>
        <w:rPr>
          <w:rFonts w:hint="eastAsia" w:ascii="宋体" w:hAnsi="宋体" w:cs="宋体"/>
          <w:sz w:val="24"/>
          <w:szCs w:val="24"/>
        </w:rPr>
        <w:t>一、我方具备投标人邀请中所要求得资格条件，已清楚采购文件所有要求及有关规定；并承诺参加本次采购活动中，如有违法、违规、弄虚作假行为，所造成的损失、不良后果及法律责任，一律由我方承担；</w:t>
      </w:r>
    </w:p>
    <w:p>
      <w:pPr>
        <w:ind w:firstLine="480" w:firstLineChars="200"/>
        <w:rPr>
          <w:rFonts w:ascii="宋体" w:hAnsi="宋体" w:cs="宋体"/>
          <w:sz w:val="24"/>
          <w:szCs w:val="24"/>
        </w:rPr>
      </w:pPr>
      <w:r>
        <w:rPr>
          <w:rFonts w:hint="eastAsia" w:ascii="宋体" w:hAnsi="宋体" w:cs="宋体"/>
          <w:sz w:val="24"/>
          <w:szCs w:val="24"/>
        </w:rPr>
        <w:t>二、我方依法注册，在法律上、财务上和运作上完全独立于（甲方名称）（甲方）及广东政通招标有限公司（采购代理机构）。</w:t>
      </w:r>
    </w:p>
    <w:p>
      <w:pPr>
        <w:pStyle w:val="43"/>
        <w:spacing w:line="500" w:lineRule="atLeast"/>
        <w:ind w:firstLine="4020" w:firstLineChars="1675"/>
        <w:rPr>
          <w:rFonts w:ascii="宋体" w:eastAsia="宋体" w:cs="宋体"/>
          <w:sz w:val="24"/>
          <w:szCs w:val="24"/>
        </w:rPr>
      </w:pPr>
    </w:p>
    <w:p>
      <w:pPr>
        <w:pStyle w:val="43"/>
        <w:spacing w:line="500" w:lineRule="atLeast"/>
        <w:ind w:firstLine="4020" w:firstLineChars="1675"/>
        <w:rPr>
          <w:rFonts w:ascii="宋体" w:eastAsia="宋体" w:cs="宋体"/>
          <w:sz w:val="24"/>
          <w:szCs w:val="24"/>
        </w:rPr>
      </w:pPr>
    </w:p>
    <w:p>
      <w:pPr>
        <w:pStyle w:val="43"/>
        <w:spacing w:line="500" w:lineRule="atLeast"/>
        <w:ind w:firstLine="494"/>
        <w:rPr>
          <w:rFonts w:ascii="宋体" w:eastAsia="宋体" w:cs="宋体"/>
          <w:sz w:val="24"/>
          <w:szCs w:val="24"/>
        </w:rPr>
      </w:pPr>
      <w:r>
        <w:rPr>
          <w:rFonts w:hint="eastAsia" w:ascii="宋体" w:eastAsia="宋体" w:cs="宋体"/>
          <w:sz w:val="24"/>
          <w:szCs w:val="24"/>
        </w:rPr>
        <w:t>投标人名称（加盖公章）：</w:t>
      </w:r>
    </w:p>
    <w:p>
      <w:pPr>
        <w:pStyle w:val="43"/>
        <w:spacing w:line="500" w:lineRule="atLeast"/>
        <w:ind w:firstLine="494"/>
        <w:rPr>
          <w:rFonts w:ascii="宋体" w:eastAsia="宋体" w:cs="宋体"/>
          <w:sz w:val="24"/>
          <w:szCs w:val="24"/>
        </w:rPr>
      </w:pPr>
      <w:r>
        <w:rPr>
          <w:rFonts w:hint="eastAsia" w:ascii="宋体" w:eastAsia="宋体" w:cs="宋体"/>
          <w:sz w:val="24"/>
          <w:szCs w:val="24"/>
        </w:rPr>
        <w:t>法定代表人签字（签名或盖私章）：</w:t>
      </w:r>
    </w:p>
    <w:p>
      <w:pPr>
        <w:pStyle w:val="43"/>
        <w:spacing w:line="500" w:lineRule="atLeast"/>
        <w:ind w:firstLine="494"/>
        <w:rPr>
          <w:rFonts w:ascii="宋体" w:eastAsia="宋体" w:cs="宋体"/>
          <w:sz w:val="24"/>
          <w:szCs w:val="24"/>
        </w:rPr>
      </w:pPr>
      <w:r>
        <w:rPr>
          <w:rFonts w:hint="eastAsia" w:ascii="宋体" w:eastAsia="宋体" w:cs="宋体"/>
          <w:sz w:val="24"/>
          <w:szCs w:val="24"/>
        </w:rPr>
        <w:t>日     期：年月日</w:t>
      </w:r>
    </w:p>
    <w:p>
      <w:pPr>
        <w:pStyle w:val="43"/>
        <w:spacing w:line="500" w:lineRule="atLeast"/>
        <w:ind w:firstLine="494"/>
        <w:rPr>
          <w:rFonts w:ascii="宋体" w:eastAsia="宋体" w:cs="宋体"/>
          <w:sz w:val="24"/>
          <w:szCs w:val="24"/>
        </w:rPr>
      </w:pPr>
      <w:r>
        <w:rPr>
          <w:rFonts w:hint="eastAsia" w:ascii="宋体" w:eastAsia="宋体" w:cs="宋体"/>
          <w:sz w:val="24"/>
          <w:szCs w:val="24"/>
        </w:rPr>
        <w:br w:type="page"/>
      </w:r>
    </w:p>
    <w:p>
      <w:pPr>
        <w:pStyle w:val="9"/>
        <w:widowControl w:val="0"/>
        <w:overflowPunct w:val="0"/>
        <w:spacing w:line="240" w:lineRule="auto"/>
        <w:rPr>
          <w:rFonts w:ascii="宋体" w:hAnsi="宋体" w:cs="宋体"/>
          <w:szCs w:val="24"/>
        </w:rPr>
      </w:pPr>
      <w:bookmarkStart w:id="259" w:name="_Toc2119"/>
      <w:bookmarkStart w:id="260" w:name="_Toc603"/>
      <w:r>
        <w:rPr>
          <w:rFonts w:hint="eastAsia" w:ascii="宋体" w:hAnsi="宋体" w:cs="宋体"/>
          <w:szCs w:val="24"/>
        </w:rPr>
        <w:t>附件7.营业执照</w:t>
      </w:r>
      <w:bookmarkEnd w:id="259"/>
      <w:bookmarkEnd w:id="260"/>
    </w:p>
    <w:p>
      <w:pPr>
        <w:jc w:val="center"/>
        <w:rPr>
          <w:rFonts w:ascii="宋体" w:hAnsi="宋体" w:cs="宋体"/>
          <w:sz w:val="24"/>
          <w:szCs w:val="24"/>
        </w:rPr>
      </w:pPr>
      <w:bookmarkStart w:id="261" w:name="_Toc24210"/>
      <w:bookmarkStart w:id="262" w:name="_Toc17470"/>
      <w:bookmarkStart w:id="263" w:name="_Toc4926"/>
      <w:bookmarkStart w:id="264" w:name="_Toc5919"/>
      <w:bookmarkStart w:id="265" w:name="_Toc1511"/>
      <w:r>
        <w:rPr>
          <w:rFonts w:hint="eastAsia" w:ascii="宋体" w:hAnsi="宋体" w:cs="宋体"/>
          <w:sz w:val="24"/>
          <w:szCs w:val="24"/>
        </w:rPr>
        <w:t>营业执照</w:t>
      </w:r>
      <w:bookmarkEnd w:id="261"/>
      <w:bookmarkEnd w:id="262"/>
      <w:bookmarkEnd w:id="263"/>
      <w:bookmarkEnd w:id="264"/>
      <w:bookmarkEnd w:id="265"/>
    </w:p>
    <w:p>
      <w:pPr>
        <w:jc w:val="center"/>
        <w:rPr>
          <w:rFonts w:ascii="宋体" w:hAnsi="宋体" w:cs="宋体"/>
          <w:sz w:val="24"/>
          <w:szCs w:val="24"/>
        </w:rPr>
      </w:pPr>
      <w:r>
        <w:rPr>
          <w:rFonts w:hint="eastAsia" w:ascii="宋体" w:hAnsi="宋体" w:cs="宋体"/>
          <w:sz w:val="24"/>
          <w:szCs w:val="24"/>
        </w:rPr>
        <w:br w:type="page"/>
      </w:r>
    </w:p>
    <w:p>
      <w:pPr>
        <w:pStyle w:val="9"/>
        <w:widowControl w:val="0"/>
        <w:overflowPunct w:val="0"/>
        <w:spacing w:line="240" w:lineRule="auto"/>
        <w:rPr>
          <w:rFonts w:ascii="宋体" w:hAnsi="宋体" w:cs="宋体"/>
          <w:szCs w:val="24"/>
        </w:rPr>
      </w:pPr>
      <w:bookmarkStart w:id="266" w:name="_Toc29714"/>
      <w:bookmarkStart w:id="267" w:name="_Toc11922"/>
      <w:r>
        <w:rPr>
          <w:rFonts w:hint="eastAsia" w:ascii="宋体" w:hAnsi="宋体" w:cs="宋体"/>
          <w:szCs w:val="24"/>
        </w:rPr>
        <w:t>附件8.相关资质证明文件</w:t>
      </w:r>
      <w:bookmarkEnd w:id="266"/>
      <w:bookmarkEnd w:id="267"/>
    </w:p>
    <w:p>
      <w:pPr>
        <w:rPr>
          <w:rFonts w:ascii="宋体" w:hAnsi="宋体" w:cs="宋体"/>
          <w:sz w:val="24"/>
          <w:szCs w:val="24"/>
        </w:rPr>
      </w:pPr>
    </w:p>
    <w:p>
      <w:pPr>
        <w:jc w:val="center"/>
        <w:rPr>
          <w:rFonts w:ascii="宋体" w:hAnsi="宋体" w:cs="宋体"/>
          <w:sz w:val="24"/>
          <w:szCs w:val="24"/>
        </w:rPr>
      </w:pPr>
      <w:bookmarkStart w:id="268" w:name="_Toc30307"/>
      <w:bookmarkStart w:id="269" w:name="_Toc13458"/>
      <w:bookmarkStart w:id="270" w:name="_Toc16233"/>
      <w:bookmarkStart w:id="271" w:name="_Toc16698"/>
      <w:bookmarkStart w:id="272" w:name="_Toc9592"/>
      <w:r>
        <w:rPr>
          <w:rFonts w:hint="eastAsia" w:ascii="宋体" w:hAnsi="宋体" w:cs="宋体"/>
          <w:sz w:val="24"/>
          <w:szCs w:val="24"/>
        </w:rPr>
        <w:t>相关资质证明文件</w:t>
      </w:r>
      <w:bookmarkEnd w:id="256"/>
      <w:bookmarkEnd w:id="268"/>
      <w:bookmarkEnd w:id="269"/>
      <w:bookmarkEnd w:id="270"/>
      <w:bookmarkEnd w:id="271"/>
      <w:bookmarkEnd w:id="272"/>
    </w:p>
    <w:p>
      <w:pPr>
        <w:jc w:val="center"/>
        <w:rPr>
          <w:rFonts w:ascii="宋体" w:hAnsi="宋体" w:cs="宋体"/>
          <w:sz w:val="24"/>
          <w:szCs w:val="24"/>
        </w:rPr>
      </w:pPr>
      <w:r>
        <w:rPr>
          <w:rFonts w:hint="eastAsia" w:ascii="宋体" w:hAnsi="宋体" w:cs="宋体"/>
          <w:sz w:val="24"/>
          <w:szCs w:val="24"/>
        </w:rPr>
        <w:br w:type="page"/>
      </w:r>
    </w:p>
    <w:p>
      <w:pPr>
        <w:pStyle w:val="9"/>
        <w:widowControl w:val="0"/>
        <w:overflowPunct w:val="0"/>
        <w:spacing w:line="240" w:lineRule="auto"/>
        <w:rPr>
          <w:rFonts w:ascii="宋体" w:hAnsi="宋体" w:cs="宋体"/>
          <w:szCs w:val="24"/>
        </w:rPr>
      </w:pPr>
      <w:bookmarkStart w:id="273" w:name="_Toc21978"/>
      <w:bookmarkStart w:id="274" w:name="_Toc22542"/>
      <w:r>
        <w:rPr>
          <w:rFonts w:hint="eastAsia" w:ascii="宋体" w:hAnsi="宋体" w:cs="宋体"/>
          <w:szCs w:val="24"/>
        </w:rPr>
        <w:t>附件9. 商务条款偏离表格式</w:t>
      </w:r>
      <w:bookmarkEnd w:id="273"/>
      <w:bookmarkEnd w:id="274"/>
    </w:p>
    <w:p>
      <w:pPr>
        <w:jc w:val="center"/>
        <w:rPr>
          <w:rFonts w:ascii="宋体" w:hAnsi="宋体" w:cs="宋体"/>
          <w:sz w:val="24"/>
          <w:szCs w:val="24"/>
        </w:rPr>
      </w:pPr>
    </w:p>
    <w:p>
      <w:pPr>
        <w:jc w:val="center"/>
        <w:rPr>
          <w:rFonts w:ascii="宋体" w:hAnsi="宋体" w:cs="宋体"/>
          <w:sz w:val="24"/>
          <w:szCs w:val="24"/>
        </w:rPr>
      </w:pPr>
      <w:r>
        <w:rPr>
          <w:rFonts w:hint="eastAsia" w:ascii="宋体" w:hAnsi="宋体" w:cs="宋体"/>
          <w:sz w:val="24"/>
          <w:szCs w:val="24"/>
        </w:rPr>
        <w:t>商务条款偏离表</w:t>
      </w:r>
    </w:p>
    <w:tbl>
      <w:tblPr>
        <w:tblStyle w:val="28"/>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360"/>
        <w:gridCol w:w="1587"/>
        <w:gridCol w:w="1133"/>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08" w:type="dxa"/>
            <w:vAlign w:val="center"/>
          </w:tcPr>
          <w:p>
            <w:pPr>
              <w:jc w:val="center"/>
              <w:rPr>
                <w:rFonts w:ascii="宋体" w:hAnsi="宋体" w:cs="宋体"/>
                <w:sz w:val="24"/>
                <w:szCs w:val="24"/>
              </w:rPr>
            </w:pPr>
            <w:r>
              <w:rPr>
                <w:rFonts w:hint="eastAsia" w:ascii="宋体" w:hAnsi="宋体" w:cs="宋体"/>
                <w:sz w:val="24"/>
                <w:szCs w:val="24"/>
              </w:rPr>
              <w:t>序号</w:t>
            </w:r>
          </w:p>
        </w:tc>
        <w:tc>
          <w:tcPr>
            <w:tcW w:w="1620" w:type="dxa"/>
            <w:vAlign w:val="center"/>
          </w:tcPr>
          <w:p>
            <w:pPr>
              <w:jc w:val="center"/>
              <w:rPr>
                <w:rFonts w:ascii="宋体" w:hAnsi="宋体" w:cs="宋体"/>
                <w:sz w:val="24"/>
                <w:szCs w:val="24"/>
              </w:rPr>
            </w:pPr>
            <w:r>
              <w:rPr>
                <w:rFonts w:hint="eastAsia" w:ascii="宋体" w:hAnsi="宋体" w:cs="宋体"/>
                <w:sz w:val="24"/>
                <w:szCs w:val="24"/>
              </w:rPr>
              <w:t>服务项目名称</w:t>
            </w:r>
          </w:p>
        </w:tc>
        <w:tc>
          <w:tcPr>
            <w:tcW w:w="1360" w:type="dxa"/>
            <w:vAlign w:val="center"/>
          </w:tcPr>
          <w:p>
            <w:pPr>
              <w:jc w:val="center"/>
              <w:rPr>
                <w:rFonts w:ascii="宋体" w:hAnsi="宋体" w:cs="宋体"/>
                <w:sz w:val="24"/>
                <w:szCs w:val="24"/>
              </w:rPr>
            </w:pPr>
            <w:r>
              <w:rPr>
                <w:rFonts w:hint="eastAsia" w:ascii="宋体" w:hAnsi="宋体" w:cs="宋体"/>
                <w:sz w:val="24"/>
                <w:szCs w:val="24"/>
              </w:rPr>
              <w:t>采购要求</w:t>
            </w:r>
          </w:p>
        </w:tc>
        <w:tc>
          <w:tcPr>
            <w:tcW w:w="1587" w:type="dxa"/>
            <w:vAlign w:val="center"/>
          </w:tcPr>
          <w:p>
            <w:pPr>
              <w:jc w:val="center"/>
              <w:rPr>
                <w:rFonts w:ascii="宋体" w:hAnsi="宋体" w:cs="宋体"/>
                <w:sz w:val="24"/>
                <w:szCs w:val="24"/>
              </w:rPr>
            </w:pPr>
            <w:r>
              <w:rPr>
                <w:rFonts w:hint="eastAsia" w:ascii="宋体" w:hAnsi="宋体" w:cs="宋体"/>
                <w:sz w:val="24"/>
                <w:szCs w:val="24"/>
              </w:rPr>
              <w:t>投标实际响应</w:t>
            </w:r>
          </w:p>
        </w:tc>
        <w:tc>
          <w:tcPr>
            <w:tcW w:w="1133" w:type="dxa"/>
            <w:vAlign w:val="center"/>
          </w:tcPr>
          <w:p>
            <w:pPr>
              <w:jc w:val="center"/>
              <w:rPr>
                <w:rFonts w:ascii="宋体" w:hAnsi="宋体" w:cs="宋体"/>
                <w:sz w:val="24"/>
                <w:szCs w:val="24"/>
              </w:rPr>
            </w:pPr>
            <w:r>
              <w:rPr>
                <w:rFonts w:hint="eastAsia" w:ascii="宋体" w:hAnsi="宋体" w:cs="宋体"/>
                <w:sz w:val="24"/>
                <w:szCs w:val="24"/>
              </w:rPr>
              <w:t>是否偏离</w:t>
            </w:r>
          </w:p>
        </w:tc>
        <w:tc>
          <w:tcPr>
            <w:tcW w:w="1730" w:type="dxa"/>
            <w:vAlign w:val="center"/>
          </w:tcPr>
          <w:p>
            <w:pPr>
              <w:jc w:val="center"/>
              <w:rPr>
                <w:rFonts w:ascii="宋体" w:hAnsi="宋体" w:cs="宋体"/>
                <w:sz w:val="24"/>
                <w:szCs w:val="24"/>
              </w:rPr>
            </w:pPr>
            <w:r>
              <w:rPr>
                <w:rFonts w:hint="eastAsia" w:ascii="宋体" w:hAnsi="宋体" w:cs="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cs="宋体"/>
                <w:sz w:val="24"/>
                <w:szCs w:val="24"/>
              </w:rPr>
            </w:pPr>
          </w:p>
        </w:tc>
        <w:tc>
          <w:tcPr>
            <w:tcW w:w="1620" w:type="dxa"/>
            <w:vAlign w:val="center"/>
          </w:tcPr>
          <w:p>
            <w:pPr>
              <w:jc w:val="center"/>
              <w:rPr>
                <w:rFonts w:ascii="宋体" w:hAnsi="宋体" w:cs="宋体"/>
                <w:sz w:val="24"/>
                <w:szCs w:val="24"/>
              </w:rPr>
            </w:pPr>
          </w:p>
        </w:tc>
        <w:tc>
          <w:tcPr>
            <w:tcW w:w="1360" w:type="dxa"/>
            <w:vAlign w:val="center"/>
          </w:tcPr>
          <w:p>
            <w:pPr>
              <w:jc w:val="center"/>
              <w:rPr>
                <w:rFonts w:ascii="宋体" w:hAnsi="宋体" w:cs="宋体"/>
                <w:sz w:val="24"/>
                <w:szCs w:val="24"/>
              </w:rPr>
            </w:pPr>
          </w:p>
        </w:tc>
        <w:tc>
          <w:tcPr>
            <w:tcW w:w="1587" w:type="dxa"/>
            <w:vAlign w:val="center"/>
          </w:tcPr>
          <w:p>
            <w:pPr>
              <w:jc w:val="center"/>
              <w:rPr>
                <w:rFonts w:ascii="宋体" w:hAnsi="宋体" w:cs="宋体"/>
                <w:sz w:val="24"/>
                <w:szCs w:val="24"/>
              </w:rPr>
            </w:pPr>
          </w:p>
        </w:tc>
        <w:tc>
          <w:tcPr>
            <w:tcW w:w="1133" w:type="dxa"/>
            <w:vAlign w:val="center"/>
          </w:tcPr>
          <w:p>
            <w:pPr>
              <w:jc w:val="center"/>
              <w:rPr>
                <w:rFonts w:ascii="宋体" w:hAnsi="宋体" w:cs="宋体"/>
                <w:sz w:val="24"/>
                <w:szCs w:val="24"/>
              </w:rPr>
            </w:pPr>
          </w:p>
        </w:tc>
        <w:tc>
          <w:tcPr>
            <w:tcW w:w="1730"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cs="宋体"/>
                <w:sz w:val="24"/>
                <w:szCs w:val="24"/>
              </w:rPr>
            </w:pPr>
          </w:p>
        </w:tc>
        <w:tc>
          <w:tcPr>
            <w:tcW w:w="1620" w:type="dxa"/>
            <w:vAlign w:val="center"/>
          </w:tcPr>
          <w:p>
            <w:pPr>
              <w:jc w:val="center"/>
              <w:rPr>
                <w:rFonts w:ascii="宋体" w:hAnsi="宋体" w:cs="宋体"/>
                <w:sz w:val="24"/>
                <w:szCs w:val="24"/>
              </w:rPr>
            </w:pPr>
          </w:p>
        </w:tc>
        <w:tc>
          <w:tcPr>
            <w:tcW w:w="1360" w:type="dxa"/>
            <w:vAlign w:val="center"/>
          </w:tcPr>
          <w:p>
            <w:pPr>
              <w:jc w:val="center"/>
              <w:rPr>
                <w:rFonts w:ascii="宋体" w:hAnsi="宋体" w:cs="宋体"/>
                <w:sz w:val="24"/>
                <w:szCs w:val="24"/>
              </w:rPr>
            </w:pPr>
          </w:p>
        </w:tc>
        <w:tc>
          <w:tcPr>
            <w:tcW w:w="1587" w:type="dxa"/>
            <w:vAlign w:val="center"/>
          </w:tcPr>
          <w:p>
            <w:pPr>
              <w:jc w:val="center"/>
              <w:rPr>
                <w:rFonts w:ascii="宋体" w:hAnsi="宋体" w:cs="宋体"/>
                <w:sz w:val="24"/>
                <w:szCs w:val="24"/>
              </w:rPr>
            </w:pPr>
          </w:p>
        </w:tc>
        <w:tc>
          <w:tcPr>
            <w:tcW w:w="1133" w:type="dxa"/>
            <w:vAlign w:val="center"/>
          </w:tcPr>
          <w:p>
            <w:pPr>
              <w:jc w:val="center"/>
              <w:rPr>
                <w:rFonts w:ascii="宋体" w:hAnsi="宋体" w:cs="宋体"/>
                <w:sz w:val="24"/>
                <w:szCs w:val="24"/>
              </w:rPr>
            </w:pPr>
          </w:p>
        </w:tc>
        <w:tc>
          <w:tcPr>
            <w:tcW w:w="1730"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cs="宋体"/>
                <w:sz w:val="24"/>
                <w:szCs w:val="24"/>
              </w:rPr>
            </w:pPr>
          </w:p>
        </w:tc>
        <w:tc>
          <w:tcPr>
            <w:tcW w:w="1620" w:type="dxa"/>
            <w:vAlign w:val="center"/>
          </w:tcPr>
          <w:p>
            <w:pPr>
              <w:jc w:val="center"/>
              <w:rPr>
                <w:rFonts w:ascii="宋体" w:hAnsi="宋体" w:cs="宋体"/>
                <w:sz w:val="24"/>
                <w:szCs w:val="24"/>
              </w:rPr>
            </w:pPr>
          </w:p>
        </w:tc>
        <w:tc>
          <w:tcPr>
            <w:tcW w:w="1360" w:type="dxa"/>
            <w:vAlign w:val="center"/>
          </w:tcPr>
          <w:p>
            <w:pPr>
              <w:jc w:val="center"/>
              <w:rPr>
                <w:rFonts w:ascii="宋体" w:hAnsi="宋体" w:cs="宋体"/>
                <w:sz w:val="24"/>
                <w:szCs w:val="24"/>
              </w:rPr>
            </w:pPr>
          </w:p>
        </w:tc>
        <w:tc>
          <w:tcPr>
            <w:tcW w:w="1587" w:type="dxa"/>
            <w:vAlign w:val="center"/>
          </w:tcPr>
          <w:p>
            <w:pPr>
              <w:jc w:val="center"/>
              <w:rPr>
                <w:rFonts w:ascii="宋体" w:hAnsi="宋体" w:cs="宋体"/>
                <w:sz w:val="24"/>
                <w:szCs w:val="24"/>
              </w:rPr>
            </w:pPr>
          </w:p>
        </w:tc>
        <w:tc>
          <w:tcPr>
            <w:tcW w:w="1133" w:type="dxa"/>
            <w:vAlign w:val="center"/>
          </w:tcPr>
          <w:p>
            <w:pPr>
              <w:jc w:val="center"/>
              <w:rPr>
                <w:rFonts w:ascii="宋体" w:hAnsi="宋体" w:cs="宋体"/>
                <w:sz w:val="24"/>
                <w:szCs w:val="24"/>
              </w:rPr>
            </w:pPr>
          </w:p>
        </w:tc>
        <w:tc>
          <w:tcPr>
            <w:tcW w:w="1730"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cs="宋体"/>
                <w:sz w:val="24"/>
                <w:szCs w:val="24"/>
              </w:rPr>
            </w:pPr>
          </w:p>
        </w:tc>
        <w:tc>
          <w:tcPr>
            <w:tcW w:w="1620" w:type="dxa"/>
            <w:vAlign w:val="center"/>
          </w:tcPr>
          <w:p>
            <w:pPr>
              <w:jc w:val="center"/>
              <w:rPr>
                <w:rFonts w:ascii="宋体" w:hAnsi="宋体" w:cs="宋体"/>
                <w:sz w:val="24"/>
                <w:szCs w:val="24"/>
              </w:rPr>
            </w:pPr>
          </w:p>
        </w:tc>
        <w:tc>
          <w:tcPr>
            <w:tcW w:w="1360" w:type="dxa"/>
            <w:vAlign w:val="center"/>
          </w:tcPr>
          <w:p>
            <w:pPr>
              <w:jc w:val="center"/>
              <w:rPr>
                <w:rFonts w:ascii="宋体" w:hAnsi="宋体" w:cs="宋体"/>
                <w:sz w:val="24"/>
                <w:szCs w:val="24"/>
              </w:rPr>
            </w:pPr>
          </w:p>
        </w:tc>
        <w:tc>
          <w:tcPr>
            <w:tcW w:w="1587" w:type="dxa"/>
            <w:vAlign w:val="center"/>
          </w:tcPr>
          <w:p>
            <w:pPr>
              <w:jc w:val="center"/>
              <w:rPr>
                <w:rFonts w:ascii="宋体" w:hAnsi="宋体" w:cs="宋体"/>
                <w:sz w:val="24"/>
                <w:szCs w:val="24"/>
              </w:rPr>
            </w:pPr>
          </w:p>
        </w:tc>
        <w:tc>
          <w:tcPr>
            <w:tcW w:w="1133" w:type="dxa"/>
            <w:vAlign w:val="center"/>
          </w:tcPr>
          <w:p>
            <w:pPr>
              <w:jc w:val="center"/>
              <w:rPr>
                <w:rFonts w:ascii="宋体" w:hAnsi="宋体" w:cs="宋体"/>
                <w:sz w:val="24"/>
                <w:szCs w:val="24"/>
              </w:rPr>
            </w:pPr>
          </w:p>
        </w:tc>
        <w:tc>
          <w:tcPr>
            <w:tcW w:w="1730"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cs="宋体"/>
                <w:sz w:val="24"/>
                <w:szCs w:val="24"/>
              </w:rPr>
            </w:pPr>
          </w:p>
        </w:tc>
        <w:tc>
          <w:tcPr>
            <w:tcW w:w="1620" w:type="dxa"/>
            <w:vAlign w:val="center"/>
          </w:tcPr>
          <w:p>
            <w:pPr>
              <w:jc w:val="center"/>
              <w:rPr>
                <w:rFonts w:ascii="宋体" w:hAnsi="宋体" w:cs="宋体"/>
                <w:sz w:val="24"/>
                <w:szCs w:val="24"/>
              </w:rPr>
            </w:pPr>
          </w:p>
        </w:tc>
        <w:tc>
          <w:tcPr>
            <w:tcW w:w="1360" w:type="dxa"/>
            <w:vAlign w:val="center"/>
          </w:tcPr>
          <w:p>
            <w:pPr>
              <w:jc w:val="center"/>
              <w:rPr>
                <w:rFonts w:ascii="宋体" w:hAnsi="宋体" w:cs="宋体"/>
                <w:sz w:val="24"/>
                <w:szCs w:val="24"/>
              </w:rPr>
            </w:pPr>
          </w:p>
        </w:tc>
        <w:tc>
          <w:tcPr>
            <w:tcW w:w="1587" w:type="dxa"/>
            <w:vAlign w:val="center"/>
          </w:tcPr>
          <w:p>
            <w:pPr>
              <w:jc w:val="center"/>
              <w:rPr>
                <w:rFonts w:ascii="宋体" w:hAnsi="宋体" w:cs="宋体"/>
                <w:sz w:val="24"/>
                <w:szCs w:val="24"/>
              </w:rPr>
            </w:pPr>
          </w:p>
        </w:tc>
        <w:tc>
          <w:tcPr>
            <w:tcW w:w="1133" w:type="dxa"/>
            <w:vAlign w:val="center"/>
          </w:tcPr>
          <w:p>
            <w:pPr>
              <w:jc w:val="center"/>
              <w:rPr>
                <w:rFonts w:ascii="宋体" w:hAnsi="宋体" w:cs="宋体"/>
                <w:sz w:val="24"/>
                <w:szCs w:val="24"/>
              </w:rPr>
            </w:pPr>
          </w:p>
        </w:tc>
        <w:tc>
          <w:tcPr>
            <w:tcW w:w="1730"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cs="宋体"/>
                <w:sz w:val="24"/>
                <w:szCs w:val="24"/>
              </w:rPr>
            </w:pPr>
          </w:p>
        </w:tc>
        <w:tc>
          <w:tcPr>
            <w:tcW w:w="1620" w:type="dxa"/>
            <w:vAlign w:val="center"/>
          </w:tcPr>
          <w:p>
            <w:pPr>
              <w:jc w:val="center"/>
              <w:rPr>
                <w:rFonts w:ascii="宋体" w:hAnsi="宋体" w:cs="宋体"/>
                <w:sz w:val="24"/>
                <w:szCs w:val="24"/>
              </w:rPr>
            </w:pPr>
          </w:p>
        </w:tc>
        <w:tc>
          <w:tcPr>
            <w:tcW w:w="1360" w:type="dxa"/>
            <w:vAlign w:val="center"/>
          </w:tcPr>
          <w:p>
            <w:pPr>
              <w:jc w:val="center"/>
              <w:rPr>
                <w:rFonts w:ascii="宋体" w:hAnsi="宋体" w:cs="宋体"/>
                <w:sz w:val="24"/>
                <w:szCs w:val="24"/>
              </w:rPr>
            </w:pPr>
          </w:p>
        </w:tc>
        <w:tc>
          <w:tcPr>
            <w:tcW w:w="1587" w:type="dxa"/>
            <w:vAlign w:val="center"/>
          </w:tcPr>
          <w:p>
            <w:pPr>
              <w:jc w:val="center"/>
              <w:rPr>
                <w:rFonts w:ascii="宋体" w:hAnsi="宋体" w:cs="宋体"/>
                <w:sz w:val="24"/>
                <w:szCs w:val="24"/>
              </w:rPr>
            </w:pPr>
          </w:p>
        </w:tc>
        <w:tc>
          <w:tcPr>
            <w:tcW w:w="1133" w:type="dxa"/>
            <w:vAlign w:val="center"/>
          </w:tcPr>
          <w:p>
            <w:pPr>
              <w:jc w:val="center"/>
              <w:rPr>
                <w:rFonts w:ascii="宋体" w:hAnsi="宋体" w:cs="宋体"/>
                <w:sz w:val="24"/>
                <w:szCs w:val="24"/>
              </w:rPr>
            </w:pPr>
          </w:p>
        </w:tc>
        <w:tc>
          <w:tcPr>
            <w:tcW w:w="1730"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cs="宋体"/>
                <w:sz w:val="24"/>
                <w:szCs w:val="24"/>
              </w:rPr>
            </w:pPr>
          </w:p>
        </w:tc>
        <w:tc>
          <w:tcPr>
            <w:tcW w:w="1620" w:type="dxa"/>
            <w:vAlign w:val="center"/>
          </w:tcPr>
          <w:p>
            <w:pPr>
              <w:jc w:val="center"/>
              <w:rPr>
                <w:rFonts w:ascii="宋体" w:hAnsi="宋体" w:cs="宋体"/>
                <w:sz w:val="24"/>
                <w:szCs w:val="24"/>
              </w:rPr>
            </w:pPr>
          </w:p>
        </w:tc>
        <w:tc>
          <w:tcPr>
            <w:tcW w:w="1360" w:type="dxa"/>
            <w:vAlign w:val="center"/>
          </w:tcPr>
          <w:p>
            <w:pPr>
              <w:jc w:val="center"/>
              <w:rPr>
                <w:rFonts w:ascii="宋体" w:hAnsi="宋体" w:cs="宋体"/>
                <w:sz w:val="24"/>
                <w:szCs w:val="24"/>
              </w:rPr>
            </w:pPr>
          </w:p>
        </w:tc>
        <w:tc>
          <w:tcPr>
            <w:tcW w:w="1587" w:type="dxa"/>
            <w:vAlign w:val="center"/>
          </w:tcPr>
          <w:p>
            <w:pPr>
              <w:jc w:val="center"/>
              <w:rPr>
                <w:rFonts w:ascii="宋体" w:hAnsi="宋体" w:cs="宋体"/>
                <w:sz w:val="24"/>
                <w:szCs w:val="24"/>
              </w:rPr>
            </w:pPr>
          </w:p>
        </w:tc>
        <w:tc>
          <w:tcPr>
            <w:tcW w:w="1133" w:type="dxa"/>
            <w:vAlign w:val="center"/>
          </w:tcPr>
          <w:p>
            <w:pPr>
              <w:jc w:val="center"/>
              <w:rPr>
                <w:rFonts w:ascii="宋体" w:hAnsi="宋体" w:cs="宋体"/>
                <w:sz w:val="24"/>
                <w:szCs w:val="24"/>
              </w:rPr>
            </w:pPr>
          </w:p>
        </w:tc>
        <w:tc>
          <w:tcPr>
            <w:tcW w:w="1730"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cs="宋体"/>
                <w:sz w:val="24"/>
                <w:szCs w:val="24"/>
              </w:rPr>
            </w:pPr>
          </w:p>
        </w:tc>
        <w:tc>
          <w:tcPr>
            <w:tcW w:w="1620" w:type="dxa"/>
            <w:vAlign w:val="center"/>
          </w:tcPr>
          <w:p>
            <w:pPr>
              <w:jc w:val="center"/>
              <w:rPr>
                <w:rFonts w:ascii="宋体" w:hAnsi="宋体" w:cs="宋体"/>
                <w:sz w:val="24"/>
                <w:szCs w:val="24"/>
              </w:rPr>
            </w:pPr>
          </w:p>
        </w:tc>
        <w:tc>
          <w:tcPr>
            <w:tcW w:w="1360" w:type="dxa"/>
            <w:vAlign w:val="center"/>
          </w:tcPr>
          <w:p>
            <w:pPr>
              <w:jc w:val="center"/>
              <w:rPr>
                <w:rFonts w:ascii="宋体" w:hAnsi="宋体" w:cs="宋体"/>
                <w:sz w:val="24"/>
                <w:szCs w:val="24"/>
              </w:rPr>
            </w:pPr>
          </w:p>
        </w:tc>
        <w:tc>
          <w:tcPr>
            <w:tcW w:w="1587" w:type="dxa"/>
            <w:vAlign w:val="center"/>
          </w:tcPr>
          <w:p>
            <w:pPr>
              <w:jc w:val="center"/>
              <w:rPr>
                <w:rFonts w:ascii="宋体" w:hAnsi="宋体" w:cs="宋体"/>
                <w:sz w:val="24"/>
                <w:szCs w:val="24"/>
              </w:rPr>
            </w:pPr>
          </w:p>
        </w:tc>
        <w:tc>
          <w:tcPr>
            <w:tcW w:w="1133" w:type="dxa"/>
            <w:vAlign w:val="center"/>
          </w:tcPr>
          <w:p>
            <w:pPr>
              <w:jc w:val="center"/>
              <w:rPr>
                <w:rFonts w:ascii="宋体" w:hAnsi="宋体" w:cs="宋体"/>
                <w:sz w:val="24"/>
                <w:szCs w:val="24"/>
              </w:rPr>
            </w:pPr>
          </w:p>
        </w:tc>
        <w:tc>
          <w:tcPr>
            <w:tcW w:w="1730"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cs="宋体"/>
                <w:sz w:val="24"/>
                <w:szCs w:val="24"/>
              </w:rPr>
            </w:pPr>
          </w:p>
        </w:tc>
        <w:tc>
          <w:tcPr>
            <w:tcW w:w="1620" w:type="dxa"/>
            <w:vAlign w:val="center"/>
          </w:tcPr>
          <w:p>
            <w:pPr>
              <w:jc w:val="center"/>
              <w:rPr>
                <w:rFonts w:ascii="宋体" w:hAnsi="宋体" w:cs="宋体"/>
                <w:sz w:val="24"/>
                <w:szCs w:val="24"/>
              </w:rPr>
            </w:pPr>
          </w:p>
        </w:tc>
        <w:tc>
          <w:tcPr>
            <w:tcW w:w="1360" w:type="dxa"/>
            <w:vAlign w:val="center"/>
          </w:tcPr>
          <w:p>
            <w:pPr>
              <w:jc w:val="center"/>
              <w:rPr>
                <w:rFonts w:ascii="宋体" w:hAnsi="宋体" w:cs="宋体"/>
                <w:sz w:val="24"/>
                <w:szCs w:val="24"/>
              </w:rPr>
            </w:pPr>
          </w:p>
        </w:tc>
        <w:tc>
          <w:tcPr>
            <w:tcW w:w="1587" w:type="dxa"/>
            <w:vAlign w:val="center"/>
          </w:tcPr>
          <w:p>
            <w:pPr>
              <w:jc w:val="center"/>
              <w:rPr>
                <w:rFonts w:ascii="宋体" w:hAnsi="宋体" w:cs="宋体"/>
                <w:sz w:val="24"/>
                <w:szCs w:val="24"/>
              </w:rPr>
            </w:pPr>
          </w:p>
        </w:tc>
        <w:tc>
          <w:tcPr>
            <w:tcW w:w="1133" w:type="dxa"/>
            <w:vAlign w:val="center"/>
          </w:tcPr>
          <w:p>
            <w:pPr>
              <w:jc w:val="center"/>
              <w:rPr>
                <w:rFonts w:ascii="宋体" w:hAnsi="宋体" w:cs="宋体"/>
                <w:sz w:val="24"/>
                <w:szCs w:val="24"/>
              </w:rPr>
            </w:pPr>
          </w:p>
        </w:tc>
        <w:tc>
          <w:tcPr>
            <w:tcW w:w="1730"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cs="宋体"/>
                <w:sz w:val="24"/>
                <w:szCs w:val="24"/>
              </w:rPr>
            </w:pPr>
          </w:p>
        </w:tc>
        <w:tc>
          <w:tcPr>
            <w:tcW w:w="1620" w:type="dxa"/>
            <w:vAlign w:val="center"/>
          </w:tcPr>
          <w:p>
            <w:pPr>
              <w:jc w:val="center"/>
              <w:rPr>
                <w:rFonts w:ascii="宋体" w:hAnsi="宋体" w:cs="宋体"/>
                <w:sz w:val="24"/>
                <w:szCs w:val="24"/>
              </w:rPr>
            </w:pPr>
          </w:p>
        </w:tc>
        <w:tc>
          <w:tcPr>
            <w:tcW w:w="1360" w:type="dxa"/>
            <w:vAlign w:val="center"/>
          </w:tcPr>
          <w:p>
            <w:pPr>
              <w:jc w:val="center"/>
              <w:rPr>
                <w:rFonts w:ascii="宋体" w:hAnsi="宋体" w:cs="宋体"/>
                <w:sz w:val="24"/>
                <w:szCs w:val="24"/>
              </w:rPr>
            </w:pPr>
          </w:p>
        </w:tc>
        <w:tc>
          <w:tcPr>
            <w:tcW w:w="1587" w:type="dxa"/>
            <w:vAlign w:val="center"/>
          </w:tcPr>
          <w:p>
            <w:pPr>
              <w:jc w:val="center"/>
              <w:rPr>
                <w:rFonts w:ascii="宋体" w:hAnsi="宋体" w:cs="宋体"/>
                <w:sz w:val="24"/>
                <w:szCs w:val="24"/>
              </w:rPr>
            </w:pPr>
          </w:p>
        </w:tc>
        <w:tc>
          <w:tcPr>
            <w:tcW w:w="1133" w:type="dxa"/>
            <w:vAlign w:val="center"/>
          </w:tcPr>
          <w:p>
            <w:pPr>
              <w:jc w:val="center"/>
              <w:rPr>
                <w:rFonts w:ascii="宋体" w:hAnsi="宋体" w:cs="宋体"/>
                <w:sz w:val="24"/>
                <w:szCs w:val="24"/>
              </w:rPr>
            </w:pPr>
          </w:p>
        </w:tc>
        <w:tc>
          <w:tcPr>
            <w:tcW w:w="1730" w:type="dxa"/>
            <w:vAlign w:val="center"/>
          </w:tcPr>
          <w:p>
            <w:pPr>
              <w:jc w:val="center"/>
              <w:rPr>
                <w:rFonts w:ascii="宋体" w:hAnsi="宋体" w:cs="宋体"/>
                <w:sz w:val="24"/>
                <w:szCs w:val="24"/>
              </w:rPr>
            </w:pPr>
          </w:p>
        </w:tc>
      </w:tr>
    </w:tbl>
    <w:p>
      <w:pPr>
        <w:rPr>
          <w:rFonts w:ascii="宋体" w:hAnsi="宋体" w:cs="宋体"/>
          <w:sz w:val="24"/>
          <w:szCs w:val="24"/>
        </w:rPr>
      </w:pPr>
    </w:p>
    <w:p>
      <w:pPr>
        <w:rPr>
          <w:rFonts w:ascii="宋体" w:hAnsi="宋体" w:cs="宋体"/>
          <w:sz w:val="24"/>
          <w:szCs w:val="24"/>
        </w:rPr>
      </w:pPr>
      <w:r>
        <w:rPr>
          <w:rFonts w:hint="eastAsia" w:ascii="宋体" w:hAnsi="宋体" w:cs="宋体"/>
          <w:sz w:val="24"/>
          <w:szCs w:val="24"/>
        </w:rPr>
        <w:t>投标人代表签字：</w:t>
      </w:r>
    </w:p>
    <w:p>
      <w:pPr>
        <w:rPr>
          <w:rFonts w:ascii="宋体" w:hAnsi="宋体" w:cs="宋体"/>
          <w:sz w:val="24"/>
          <w:szCs w:val="24"/>
        </w:rPr>
      </w:pPr>
      <w:r>
        <w:rPr>
          <w:rFonts w:hint="eastAsia" w:ascii="宋体" w:hAnsi="宋体" w:cs="宋体"/>
          <w:sz w:val="24"/>
          <w:szCs w:val="24"/>
        </w:rPr>
        <w:t>投标人盖章：</w:t>
      </w:r>
    </w:p>
    <w:p>
      <w:pPr>
        <w:rPr>
          <w:rFonts w:ascii="宋体" w:hAnsi="宋体" w:cs="宋体"/>
          <w:sz w:val="24"/>
          <w:szCs w:val="24"/>
        </w:rPr>
      </w:pPr>
    </w:p>
    <w:p>
      <w:pPr>
        <w:ind w:left="821" w:hanging="820" w:hangingChars="342"/>
        <w:rPr>
          <w:rFonts w:ascii="宋体" w:hAnsi="宋体" w:cs="宋体"/>
          <w:sz w:val="24"/>
          <w:szCs w:val="24"/>
        </w:rPr>
      </w:pPr>
      <w:r>
        <w:rPr>
          <w:rFonts w:hint="eastAsia" w:ascii="宋体" w:hAnsi="宋体" w:cs="宋体"/>
          <w:sz w:val="24"/>
          <w:szCs w:val="24"/>
        </w:rPr>
        <w:t>注：</w:t>
      </w:r>
    </w:p>
    <w:p>
      <w:pPr>
        <w:rPr>
          <w:rFonts w:ascii="宋体" w:hAnsi="宋体" w:cs="宋体"/>
          <w:sz w:val="24"/>
          <w:szCs w:val="24"/>
        </w:rPr>
      </w:pPr>
      <w:r>
        <w:rPr>
          <w:rFonts w:hint="eastAsia" w:ascii="宋体" w:hAnsi="宋体" w:cs="宋体"/>
          <w:sz w:val="24"/>
          <w:szCs w:val="24"/>
        </w:rPr>
        <w:t>1、投标人应对照采购文件商务要求，说明已对采购文件的商务内容做出了实质性的响应。</w:t>
      </w:r>
    </w:p>
    <w:p>
      <w:pPr>
        <w:rPr>
          <w:rFonts w:ascii="宋体" w:hAnsi="宋体" w:cs="宋体"/>
          <w:sz w:val="24"/>
          <w:szCs w:val="24"/>
        </w:rPr>
      </w:pPr>
      <w:r>
        <w:rPr>
          <w:rFonts w:hint="eastAsia" w:ascii="宋体" w:hAnsi="宋体" w:cs="宋体"/>
          <w:sz w:val="24"/>
          <w:szCs w:val="24"/>
        </w:rPr>
        <w:t>2、商务条款包括但不限于合格投标人资格、付款方式、履约保证金、完工期、售后服务、检验及验收、保险、争端的解决等要求。</w:t>
      </w:r>
    </w:p>
    <w:p>
      <w:pPr>
        <w:rPr>
          <w:rFonts w:ascii="宋体" w:hAnsi="宋体" w:cs="宋体"/>
          <w:sz w:val="24"/>
          <w:szCs w:val="24"/>
        </w:rPr>
      </w:pPr>
      <w:r>
        <w:rPr>
          <w:rFonts w:hint="eastAsia" w:ascii="宋体" w:hAnsi="宋体" w:cs="宋体"/>
          <w:sz w:val="24"/>
          <w:szCs w:val="24"/>
        </w:rPr>
        <w:t>3、投标人若未填写完整则视为完全响应采购文件的商务要求，因此对投标人投标产生负面影响的，投标人自行承担后果。</w:t>
      </w:r>
    </w:p>
    <w:p>
      <w:pPr>
        <w:adjustRightInd/>
        <w:snapToGrid/>
        <w:spacing w:line="276" w:lineRule="auto"/>
        <w:rPr>
          <w:rFonts w:ascii="宋体" w:hAnsi="宋体" w:cs="宋体"/>
          <w:sz w:val="24"/>
          <w:szCs w:val="24"/>
        </w:rPr>
      </w:pPr>
    </w:p>
    <w:p>
      <w:pPr>
        <w:adjustRightInd/>
        <w:snapToGrid/>
        <w:spacing w:line="276" w:lineRule="auto"/>
        <w:rPr>
          <w:rFonts w:ascii="宋体" w:hAnsi="宋体" w:cs="宋体"/>
          <w:sz w:val="24"/>
          <w:szCs w:val="24"/>
        </w:rPr>
      </w:pPr>
    </w:p>
    <w:p>
      <w:pPr>
        <w:adjustRightInd/>
        <w:snapToGrid/>
        <w:spacing w:line="276" w:lineRule="auto"/>
        <w:rPr>
          <w:rFonts w:ascii="宋体" w:hAnsi="宋体" w:cs="宋体"/>
          <w:sz w:val="24"/>
          <w:szCs w:val="24"/>
        </w:rPr>
      </w:pPr>
    </w:p>
    <w:p>
      <w:pPr>
        <w:adjustRightInd/>
        <w:snapToGrid/>
        <w:spacing w:line="276" w:lineRule="auto"/>
        <w:rPr>
          <w:rFonts w:ascii="宋体" w:hAnsi="宋体" w:cs="宋体"/>
          <w:sz w:val="24"/>
          <w:szCs w:val="24"/>
        </w:rPr>
      </w:pPr>
      <w:r>
        <w:rPr>
          <w:rFonts w:hint="eastAsia" w:ascii="宋体" w:hAnsi="宋体" w:cs="宋体"/>
          <w:sz w:val="24"/>
          <w:szCs w:val="24"/>
        </w:rPr>
        <w:br w:type="page"/>
      </w:r>
    </w:p>
    <w:p>
      <w:pPr>
        <w:pStyle w:val="9"/>
        <w:widowControl w:val="0"/>
        <w:overflowPunct w:val="0"/>
        <w:spacing w:line="240" w:lineRule="auto"/>
        <w:rPr>
          <w:rFonts w:ascii="宋体" w:hAnsi="宋体" w:cs="宋体"/>
          <w:szCs w:val="24"/>
        </w:rPr>
      </w:pPr>
      <w:bookmarkStart w:id="275" w:name="_Toc17467"/>
      <w:bookmarkStart w:id="276" w:name="_Toc9445"/>
      <w:r>
        <w:rPr>
          <w:rFonts w:hint="eastAsia" w:ascii="宋体" w:hAnsi="宋体" w:cs="宋体"/>
          <w:szCs w:val="24"/>
        </w:rPr>
        <w:t>附件10. 技术规格偏离表格式</w:t>
      </w:r>
      <w:bookmarkEnd w:id="275"/>
      <w:bookmarkEnd w:id="276"/>
    </w:p>
    <w:p>
      <w:pPr>
        <w:jc w:val="center"/>
        <w:rPr>
          <w:rFonts w:ascii="宋体" w:hAnsi="宋体" w:cs="宋体"/>
          <w:sz w:val="24"/>
          <w:szCs w:val="24"/>
        </w:rPr>
      </w:pPr>
    </w:p>
    <w:p>
      <w:pPr>
        <w:jc w:val="center"/>
        <w:rPr>
          <w:rFonts w:ascii="宋体" w:hAnsi="宋体" w:cs="宋体"/>
          <w:sz w:val="24"/>
          <w:szCs w:val="24"/>
        </w:rPr>
      </w:pPr>
      <w:r>
        <w:rPr>
          <w:rFonts w:hint="eastAsia" w:ascii="宋体" w:hAnsi="宋体" w:cs="宋体"/>
          <w:sz w:val="24"/>
          <w:szCs w:val="24"/>
        </w:rPr>
        <w:t>技术规格偏离表</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902"/>
        <w:gridCol w:w="1370"/>
        <w:gridCol w:w="1629"/>
        <w:gridCol w:w="1239"/>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38" w:type="dxa"/>
            <w:vAlign w:val="center"/>
          </w:tcPr>
          <w:p>
            <w:pPr>
              <w:jc w:val="center"/>
              <w:rPr>
                <w:rFonts w:ascii="宋体" w:hAnsi="宋体" w:cs="宋体"/>
                <w:sz w:val="24"/>
                <w:szCs w:val="24"/>
              </w:rPr>
            </w:pPr>
            <w:r>
              <w:rPr>
                <w:rFonts w:hint="eastAsia" w:ascii="宋体" w:hAnsi="宋体" w:cs="宋体"/>
                <w:sz w:val="24"/>
                <w:szCs w:val="24"/>
              </w:rPr>
              <w:t>序号</w:t>
            </w:r>
          </w:p>
        </w:tc>
        <w:tc>
          <w:tcPr>
            <w:tcW w:w="1902" w:type="dxa"/>
            <w:vAlign w:val="center"/>
          </w:tcPr>
          <w:p>
            <w:pPr>
              <w:jc w:val="center"/>
              <w:rPr>
                <w:rFonts w:ascii="宋体" w:hAnsi="宋体" w:cs="宋体"/>
                <w:sz w:val="24"/>
                <w:szCs w:val="24"/>
              </w:rPr>
            </w:pPr>
            <w:r>
              <w:rPr>
                <w:rFonts w:hint="eastAsia" w:ascii="宋体" w:hAnsi="宋体" w:cs="宋体"/>
                <w:sz w:val="24"/>
                <w:szCs w:val="24"/>
              </w:rPr>
              <w:t>服务项目名称</w:t>
            </w:r>
          </w:p>
        </w:tc>
        <w:tc>
          <w:tcPr>
            <w:tcW w:w="1370" w:type="dxa"/>
            <w:vAlign w:val="center"/>
          </w:tcPr>
          <w:p>
            <w:pPr>
              <w:jc w:val="center"/>
              <w:rPr>
                <w:rFonts w:ascii="宋体" w:hAnsi="宋体" w:cs="宋体"/>
                <w:sz w:val="24"/>
                <w:szCs w:val="24"/>
              </w:rPr>
            </w:pPr>
            <w:r>
              <w:rPr>
                <w:rFonts w:hint="eastAsia" w:ascii="宋体" w:hAnsi="宋体" w:cs="宋体"/>
                <w:sz w:val="24"/>
                <w:szCs w:val="24"/>
              </w:rPr>
              <w:t>采购要求</w:t>
            </w:r>
          </w:p>
        </w:tc>
        <w:tc>
          <w:tcPr>
            <w:tcW w:w="1629" w:type="dxa"/>
            <w:vAlign w:val="center"/>
          </w:tcPr>
          <w:p>
            <w:pPr>
              <w:jc w:val="center"/>
              <w:rPr>
                <w:rFonts w:ascii="宋体" w:hAnsi="宋体" w:cs="宋体"/>
                <w:sz w:val="24"/>
                <w:szCs w:val="24"/>
              </w:rPr>
            </w:pPr>
            <w:r>
              <w:rPr>
                <w:rFonts w:hint="eastAsia" w:ascii="宋体" w:hAnsi="宋体" w:cs="宋体"/>
                <w:sz w:val="24"/>
                <w:szCs w:val="24"/>
              </w:rPr>
              <w:t>投标实际响应</w:t>
            </w:r>
          </w:p>
        </w:tc>
        <w:tc>
          <w:tcPr>
            <w:tcW w:w="1239" w:type="dxa"/>
            <w:vAlign w:val="center"/>
          </w:tcPr>
          <w:p>
            <w:pPr>
              <w:jc w:val="center"/>
              <w:rPr>
                <w:rFonts w:ascii="宋体" w:hAnsi="宋体" w:cs="宋体"/>
                <w:sz w:val="24"/>
                <w:szCs w:val="24"/>
              </w:rPr>
            </w:pPr>
            <w:r>
              <w:rPr>
                <w:rFonts w:hint="eastAsia" w:ascii="宋体" w:hAnsi="宋体" w:cs="宋体"/>
                <w:sz w:val="24"/>
                <w:szCs w:val="24"/>
              </w:rPr>
              <w:t>是否偏离</w:t>
            </w:r>
          </w:p>
        </w:tc>
        <w:tc>
          <w:tcPr>
            <w:tcW w:w="1544" w:type="dxa"/>
            <w:vAlign w:val="center"/>
          </w:tcPr>
          <w:p>
            <w:pPr>
              <w:jc w:val="center"/>
              <w:rPr>
                <w:rFonts w:ascii="宋体" w:hAnsi="宋体" w:cs="宋体"/>
                <w:sz w:val="24"/>
                <w:szCs w:val="24"/>
              </w:rPr>
            </w:pPr>
            <w:r>
              <w:rPr>
                <w:rFonts w:hint="eastAsia" w:ascii="宋体" w:hAnsi="宋体" w:cs="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cs="宋体"/>
                <w:sz w:val="24"/>
                <w:szCs w:val="24"/>
              </w:rPr>
            </w:pPr>
          </w:p>
        </w:tc>
        <w:tc>
          <w:tcPr>
            <w:tcW w:w="1902" w:type="dxa"/>
            <w:vAlign w:val="center"/>
          </w:tcPr>
          <w:p>
            <w:pPr>
              <w:jc w:val="center"/>
              <w:rPr>
                <w:rFonts w:ascii="宋体" w:hAnsi="宋体" w:cs="宋体"/>
                <w:sz w:val="24"/>
                <w:szCs w:val="24"/>
              </w:rPr>
            </w:pPr>
          </w:p>
        </w:tc>
        <w:tc>
          <w:tcPr>
            <w:tcW w:w="1370" w:type="dxa"/>
            <w:vAlign w:val="center"/>
          </w:tcPr>
          <w:p>
            <w:pPr>
              <w:jc w:val="center"/>
              <w:rPr>
                <w:rFonts w:ascii="宋体" w:hAnsi="宋体" w:cs="宋体"/>
                <w:sz w:val="24"/>
                <w:szCs w:val="24"/>
              </w:rPr>
            </w:pPr>
          </w:p>
        </w:tc>
        <w:tc>
          <w:tcPr>
            <w:tcW w:w="1629" w:type="dxa"/>
            <w:vAlign w:val="center"/>
          </w:tcPr>
          <w:p>
            <w:pPr>
              <w:jc w:val="center"/>
              <w:rPr>
                <w:rFonts w:ascii="宋体" w:hAnsi="宋体" w:cs="宋体"/>
                <w:sz w:val="24"/>
                <w:szCs w:val="24"/>
              </w:rPr>
            </w:pPr>
          </w:p>
        </w:tc>
        <w:tc>
          <w:tcPr>
            <w:tcW w:w="1239" w:type="dxa"/>
            <w:vAlign w:val="center"/>
          </w:tcPr>
          <w:p>
            <w:pPr>
              <w:jc w:val="center"/>
              <w:rPr>
                <w:rFonts w:ascii="宋体" w:hAnsi="宋体" w:cs="宋体"/>
                <w:sz w:val="24"/>
                <w:szCs w:val="24"/>
              </w:rPr>
            </w:pPr>
          </w:p>
        </w:tc>
        <w:tc>
          <w:tcPr>
            <w:tcW w:w="1544"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cs="宋体"/>
                <w:sz w:val="24"/>
                <w:szCs w:val="24"/>
              </w:rPr>
            </w:pPr>
          </w:p>
        </w:tc>
        <w:tc>
          <w:tcPr>
            <w:tcW w:w="1902" w:type="dxa"/>
            <w:vAlign w:val="center"/>
          </w:tcPr>
          <w:p>
            <w:pPr>
              <w:jc w:val="center"/>
              <w:rPr>
                <w:rFonts w:ascii="宋体" w:hAnsi="宋体" w:cs="宋体"/>
                <w:sz w:val="24"/>
                <w:szCs w:val="24"/>
              </w:rPr>
            </w:pPr>
          </w:p>
        </w:tc>
        <w:tc>
          <w:tcPr>
            <w:tcW w:w="1370" w:type="dxa"/>
            <w:vAlign w:val="center"/>
          </w:tcPr>
          <w:p>
            <w:pPr>
              <w:jc w:val="center"/>
              <w:rPr>
                <w:rFonts w:ascii="宋体" w:hAnsi="宋体" w:cs="宋体"/>
                <w:sz w:val="24"/>
                <w:szCs w:val="24"/>
              </w:rPr>
            </w:pPr>
          </w:p>
        </w:tc>
        <w:tc>
          <w:tcPr>
            <w:tcW w:w="1629" w:type="dxa"/>
            <w:vAlign w:val="center"/>
          </w:tcPr>
          <w:p>
            <w:pPr>
              <w:jc w:val="center"/>
              <w:rPr>
                <w:rFonts w:ascii="宋体" w:hAnsi="宋体" w:cs="宋体"/>
                <w:sz w:val="24"/>
                <w:szCs w:val="24"/>
              </w:rPr>
            </w:pPr>
          </w:p>
        </w:tc>
        <w:tc>
          <w:tcPr>
            <w:tcW w:w="1239" w:type="dxa"/>
            <w:vAlign w:val="center"/>
          </w:tcPr>
          <w:p>
            <w:pPr>
              <w:jc w:val="center"/>
              <w:rPr>
                <w:rFonts w:ascii="宋体" w:hAnsi="宋体" w:cs="宋体"/>
                <w:sz w:val="24"/>
                <w:szCs w:val="24"/>
              </w:rPr>
            </w:pPr>
          </w:p>
        </w:tc>
        <w:tc>
          <w:tcPr>
            <w:tcW w:w="1544"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cs="宋体"/>
                <w:sz w:val="24"/>
                <w:szCs w:val="24"/>
              </w:rPr>
            </w:pPr>
          </w:p>
        </w:tc>
        <w:tc>
          <w:tcPr>
            <w:tcW w:w="1902" w:type="dxa"/>
            <w:vAlign w:val="center"/>
          </w:tcPr>
          <w:p>
            <w:pPr>
              <w:jc w:val="center"/>
              <w:rPr>
                <w:rFonts w:ascii="宋体" w:hAnsi="宋体" w:cs="宋体"/>
                <w:sz w:val="24"/>
                <w:szCs w:val="24"/>
              </w:rPr>
            </w:pPr>
          </w:p>
        </w:tc>
        <w:tc>
          <w:tcPr>
            <w:tcW w:w="1370" w:type="dxa"/>
            <w:vAlign w:val="center"/>
          </w:tcPr>
          <w:p>
            <w:pPr>
              <w:jc w:val="center"/>
              <w:rPr>
                <w:rFonts w:ascii="宋体" w:hAnsi="宋体" w:cs="宋体"/>
                <w:sz w:val="24"/>
                <w:szCs w:val="24"/>
              </w:rPr>
            </w:pPr>
          </w:p>
        </w:tc>
        <w:tc>
          <w:tcPr>
            <w:tcW w:w="1629" w:type="dxa"/>
            <w:vAlign w:val="center"/>
          </w:tcPr>
          <w:p>
            <w:pPr>
              <w:jc w:val="center"/>
              <w:rPr>
                <w:rFonts w:ascii="宋体" w:hAnsi="宋体" w:cs="宋体"/>
                <w:sz w:val="24"/>
                <w:szCs w:val="24"/>
              </w:rPr>
            </w:pPr>
          </w:p>
        </w:tc>
        <w:tc>
          <w:tcPr>
            <w:tcW w:w="1239" w:type="dxa"/>
            <w:vAlign w:val="center"/>
          </w:tcPr>
          <w:p>
            <w:pPr>
              <w:jc w:val="center"/>
              <w:rPr>
                <w:rFonts w:ascii="宋体" w:hAnsi="宋体" w:cs="宋体"/>
                <w:sz w:val="24"/>
                <w:szCs w:val="24"/>
              </w:rPr>
            </w:pPr>
          </w:p>
        </w:tc>
        <w:tc>
          <w:tcPr>
            <w:tcW w:w="1544"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cs="宋体"/>
                <w:sz w:val="24"/>
                <w:szCs w:val="24"/>
              </w:rPr>
            </w:pPr>
          </w:p>
        </w:tc>
        <w:tc>
          <w:tcPr>
            <w:tcW w:w="1902" w:type="dxa"/>
            <w:vAlign w:val="center"/>
          </w:tcPr>
          <w:p>
            <w:pPr>
              <w:jc w:val="center"/>
              <w:rPr>
                <w:rFonts w:ascii="宋体" w:hAnsi="宋体" w:cs="宋体"/>
                <w:sz w:val="24"/>
                <w:szCs w:val="24"/>
              </w:rPr>
            </w:pPr>
          </w:p>
        </w:tc>
        <w:tc>
          <w:tcPr>
            <w:tcW w:w="1370" w:type="dxa"/>
            <w:vAlign w:val="center"/>
          </w:tcPr>
          <w:p>
            <w:pPr>
              <w:jc w:val="center"/>
              <w:rPr>
                <w:rFonts w:ascii="宋体" w:hAnsi="宋体" w:cs="宋体"/>
                <w:sz w:val="24"/>
                <w:szCs w:val="24"/>
              </w:rPr>
            </w:pPr>
          </w:p>
        </w:tc>
        <w:tc>
          <w:tcPr>
            <w:tcW w:w="1629" w:type="dxa"/>
            <w:vAlign w:val="center"/>
          </w:tcPr>
          <w:p>
            <w:pPr>
              <w:jc w:val="center"/>
              <w:rPr>
                <w:rFonts w:ascii="宋体" w:hAnsi="宋体" w:cs="宋体"/>
                <w:sz w:val="24"/>
                <w:szCs w:val="24"/>
              </w:rPr>
            </w:pPr>
          </w:p>
        </w:tc>
        <w:tc>
          <w:tcPr>
            <w:tcW w:w="1239" w:type="dxa"/>
            <w:vAlign w:val="center"/>
          </w:tcPr>
          <w:p>
            <w:pPr>
              <w:jc w:val="center"/>
              <w:rPr>
                <w:rFonts w:ascii="宋体" w:hAnsi="宋体" w:cs="宋体"/>
                <w:sz w:val="24"/>
                <w:szCs w:val="24"/>
              </w:rPr>
            </w:pPr>
          </w:p>
        </w:tc>
        <w:tc>
          <w:tcPr>
            <w:tcW w:w="1544"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cs="宋体"/>
                <w:sz w:val="24"/>
                <w:szCs w:val="24"/>
              </w:rPr>
            </w:pPr>
          </w:p>
        </w:tc>
        <w:tc>
          <w:tcPr>
            <w:tcW w:w="1902" w:type="dxa"/>
            <w:vAlign w:val="center"/>
          </w:tcPr>
          <w:p>
            <w:pPr>
              <w:jc w:val="center"/>
              <w:rPr>
                <w:rFonts w:ascii="宋体" w:hAnsi="宋体" w:cs="宋体"/>
                <w:sz w:val="24"/>
                <w:szCs w:val="24"/>
              </w:rPr>
            </w:pPr>
          </w:p>
        </w:tc>
        <w:tc>
          <w:tcPr>
            <w:tcW w:w="1370" w:type="dxa"/>
            <w:vAlign w:val="center"/>
          </w:tcPr>
          <w:p>
            <w:pPr>
              <w:jc w:val="center"/>
              <w:rPr>
                <w:rFonts w:ascii="宋体" w:hAnsi="宋体" w:cs="宋体"/>
                <w:sz w:val="24"/>
                <w:szCs w:val="24"/>
              </w:rPr>
            </w:pPr>
          </w:p>
        </w:tc>
        <w:tc>
          <w:tcPr>
            <w:tcW w:w="1629" w:type="dxa"/>
            <w:vAlign w:val="center"/>
          </w:tcPr>
          <w:p>
            <w:pPr>
              <w:jc w:val="center"/>
              <w:rPr>
                <w:rFonts w:ascii="宋体" w:hAnsi="宋体" w:cs="宋体"/>
                <w:sz w:val="24"/>
                <w:szCs w:val="24"/>
              </w:rPr>
            </w:pPr>
          </w:p>
        </w:tc>
        <w:tc>
          <w:tcPr>
            <w:tcW w:w="1239" w:type="dxa"/>
            <w:vAlign w:val="center"/>
          </w:tcPr>
          <w:p>
            <w:pPr>
              <w:jc w:val="center"/>
              <w:rPr>
                <w:rFonts w:ascii="宋体" w:hAnsi="宋体" w:cs="宋体"/>
                <w:sz w:val="24"/>
                <w:szCs w:val="24"/>
              </w:rPr>
            </w:pPr>
          </w:p>
        </w:tc>
        <w:tc>
          <w:tcPr>
            <w:tcW w:w="1544"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cs="宋体"/>
                <w:sz w:val="24"/>
                <w:szCs w:val="24"/>
              </w:rPr>
            </w:pPr>
          </w:p>
        </w:tc>
        <w:tc>
          <w:tcPr>
            <w:tcW w:w="1902" w:type="dxa"/>
            <w:vAlign w:val="center"/>
          </w:tcPr>
          <w:p>
            <w:pPr>
              <w:jc w:val="center"/>
              <w:rPr>
                <w:rFonts w:ascii="宋体" w:hAnsi="宋体" w:cs="宋体"/>
                <w:sz w:val="24"/>
                <w:szCs w:val="24"/>
              </w:rPr>
            </w:pPr>
          </w:p>
        </w:tc>
        <w:tc>
          <w:tcPr>
            <w:tcW w:w="1370" w:type="dxa"/>
            <w:vAlign w:val="center"/>
          </w:tcPr>
          <w:p>
            <w:pPr>
              <w:jc w:val="center"/>
              <w:rPr>
                <w:rFonts w:ascii="宋体" w:hAnsi="宋体" w:cs="宋体"/>
                <w:sz w:val="24"/>
                <w:szCs w:val="24"/>
              </w:rPr>
            </w:pPr>
          </w:p>
        </w:tc>
        <w:tc>
          <w:tcPr>
            <w:tcW w:w="1629" w:type="dxa"/>
            <w:vAlign w:val="center"/>
          </w:tcPr>
          <w:p>
            <w:pPr>
              <w:jc w:val="center"/>
              <w:rPr>
                <w:rFonts w:ascii="宋体" w:hAnsi="宋体" w:cs="宋体"/>
                <w:sz w:val="24"/>
                <w:szCs w:val="24"/>
              </w:rPr>
            </w:pPr>
          </w:p>
        </w:tc>
        <w:tc>
          <w:tcPr>
            <w:tcW w:w="1239" w:type="dxa"/>
            <w:vAlign w:val="center"/>
          </w:tcPr>
          <w:p>
            <w:pPr>
              <w:jc w:val="center"/>
              <w:rPr>
                <w:rFonts w:ascii="宋体" w:hAnsi="宋体" w:cs="宋体"/>
                <w:sz w:val="24"/>
                <w:szCs w:val="24"/>
              </w:rPr>
            </w:pPr>
          </w:p>
        </w:tc>
        <w:tc>
          <w:tcPr>
            <w:tcW w:w="1544"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cs="宋体"/>
                <w:sz w:val="24"/>
                <w:szCs w:val="24"/>
              </w:rPr>
            </w:pPr>
          </w:p>
        </w:tc>
        <w:tc>
          <w:tcPr>
            <w:tcW w:w="1902" w:type="dxa"/>
            <w:vAlign w:val="center"/>
          </w:tcPr>
          <w:p>
            <w:pPr>
              <w:jc w:val="center"/>
              <w:rPr>
                <w:rFonts w:ascii="宋体" w:hAnsi="宋体" w:cs="宋体"/>
                <w:sz w:val="24"/>
                <w:szCs w:val="24"/>
              </w:rPr>
            </w:pPr>
          </w:p>
        </w:tc>
        <w:tc>
          <w:tcPr>
            <w:tcW w:w="1370" w:type="dxa"/>
            <w:vAlign w:val="center"/>
          </w:tcPr>
          <w:p>
            <w:pPr>
              <w:jc w:val="center"/>
              <w:rPr>
                <w:rFonts w:ascii="宋体" w:hAnsi="宋体" w:cs="宋体"/>
                <w:sz w:val="24"/>
                <w:szCs w:val="24"/>
              </w:rPr>
            </w:pPr>
          </w:p>
        </w:tc>
        <w:tc>
          <w:tcPr>
            <w:tcW w:w="1629" w:type="dxa"/>
            <w:vAlign w:val="center"/>
          </w:tcPr>
          <w:p>
            <w:pPr>
              <w:jc w:val="center"/>
              <w:rPr>
                <w:rFonts w:ascii="宋体" w:hAnsi="宋体" w:cs="宋体"/>
                <w:sz w:val="24"/>
                <w:szCs w:val="24"/>
              </w:rPr>
            </w:pPr>
          </w:p>
        </w:tc>
        <w:tc>
          <w:tcPr>
            <w:tcW w:w="1239" w:type="dxa"/>
            <w:vAlign w:val="center"/>
          </w:tcPr>
          <w:p>
            <w:pPr>
              <w:jc w:val="center"/>
              <w:rPr>
                <w:rFonts w:ascii="宋体" w:hAnsi="宋体" w:cs="宋体"/>
                <w:sz w:val="24"/>
                <w:szCs w:val="24"/>
              </w:rPr>
            </w:pPr>
          </w:p>
        </w:tc>
        <w:tc>
          <w:tcPr>
            <w:tcW w:w="1544"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cs="宋体"/>
                <w:sz w:val="24"/>
                <w:szCs w:val="24"/>
              </w:rPr>
            </w:pPr>
          </w:p>
        </w:tc>
        <w:tc>
          <w:tcPr>
            <w:tcW w:w="1902" w:type="dxa"/>
            <w:vAlign w:val="center"/>
          </w:tcPr>
          <w:p>
            <w:pPr>
              <w:jc w:val="center"/>
              <w:rPr>
                <w:rFonts w:ascii="宋体" w:hAnsi="宋体" w:cs="宋体"/>
                <w:sz w:val="24"/>
                <w:szCs w:val="24"/>
              </w:rPr>
            </w:pPr>
          </w:p>
        </w:tc>
        <w:tc>
          <w:tcPr>
            <w:tcW w:w="1370" w:type="dxa"/>
            <w:vAlign w:val="center"/>
          </w:tcPr>
          <w:p>
            <w:pPr>
              <w:jc w:val="center"/>
              <w:rPr>
                <w:rFonts w:ascii="宋体" w:hAnsi="宋体" w:cs="宋体"/>
                <w:sz w:val="24"/>
                <w:szCs w:val="24"/>
              </w:rPr>
            </w:pPr>
          </w:p>
        </w:tc>
        <w:tc>
          <w:tcPr>
            <w:tcW w:w="1629" w:type="dxa"/>
            <w:vAlign w:val="center"/>
          </w:tcPr>
          <w:p>
            <w:pPr>
              <w:jc w:val="center"/>
              <w:rPr>
                <w:rFonts w:ascii="宋体" w:hAnsi="宋体" w:cs="宋体"/>
                <w:sz w:val="24"/>
                <w:szCs w:val="24"/>
              </w:rPr>
            </w:pPr>
          </w:p>
        </w:tc>
        <w:tc>
          <w:tcPr>
            <w:tcW w:w="1239" w:type="dxa"/>
            <w:vAlign w:val="center"/>
          </w:tcPr>
          <w:p>
            <w:pPr>
              <w:jc w:val="center"/>
              <w:rPr>
                <w:rFonts w:ascii="宋体" w:hAnsi="宋体" w:cs="宋体"/>
                <w:sz w:val="24"/>
                <w:szCs w:val="24"/>
              </w:rPr>
            </w:pPr>
          </w:p>
        </w:tc>
        <w:tc>
          <w:tcPr>
            <w:tcW w:w="1544"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cs="宋体"/>
                <w:sz w:val="24"/>
                <w:szCs w:val="24"/>
              </w:rPr>
            </w:pPr>
          </w:p>
        </w:tc>
        <w:tc>
          <w:tcPr>
            <w:tcW w:w="1902" w:type="dxa"/>
            <w:vAlign w:val="center"/>
          </w:tcPr>
          <w:p>
            <w:pPr>
              <w:jc w:val="center"/>
              <w:rPr>
                <w:rFonts w:ascii="宋体" w:hAnsi="宋体" w:cs="宋体"/>
                <w:sz w:val="24"/>
                <w:szCs w:val="24"/>
              </w:rPr>
            </w:pPr>
          </w:p>
        </w:tc>
        <w:tc>
          <w:tcPr>
            <w:tcW w:w="1370" w:type="dxa"/>
            <w:vAlign w:val="center"/>
          </w:tcPr>
          <w:p>
            <w:pPr>
              <w:jc w:val="center"/>
              <w:rPr>
                <w:rFonts w:ascii="宋体" w:hAnsi="宋体" w:cs="宋体"/>
                <w:sz w:val="24"/>
                <w:szCs w:val="24"/>
              </w:rPr>
            </w:pPr>
          </w:p>
        </w:tc>
        <w:tc>
          <w:tcPr>
            <w:tcW w:w="1629" w:type="dxa"/>
            <w:vAlign w:val="center"/>
          </w:tcPr>
          <w:p>
            <w:pPr>
              <w:jc w:val="center"/>
              <w:rPr>
                <w:rFonts w:ascii="宋体" w:hAnsi="宋体" w:cs="宋体"/>
                <w:sz w:val="24"/>
                <w:szCs w:val="24"/>
              </w:rPr>
            </w:pPr>
          </w:p>
        </w:tc>
        <w:tc>
          <w:tcPr>
            <w:tcW w:w="1239" w:type="dxa"/>
            <w:vAlign w:val="center"/>
          </w:tcPr>
          <w:p>
            <w:pPr>
              <w:jc w:val="center"/>
              <w:rPr>
                <w:rFonts w:ascii="宋体" w:hAnsi="宋体" w:cs="宋体"/>
                <w:sz w:val="24"/>
                <w:szCs w:val="24"/>
              </w:rPr>
            </w:pPr>
          </w:p>
        </w:tc>
        <w:tc>
          <w:tcPr>
            <w:tcW w:w="1544"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cs="宋体"/>
                <w:sz w:val="24"/>
                <w:szCs w:val="24"/>
              </w:rPr>
            </w:pPr>
          </w:p>
        </w:tc>
        <w:tc>
          <w:tcPr>
            <w:tcW w:w="1902" w:type="dxa"/>
            <w:vAlign w:val="center"/>
          </w:tcPr>
          <w:p>
            <w:pPr>
              <w:jc w:val="center"/>
              <w:rPr>
                <w:rFonts w:ascii="宋体" w:hAnsi="宋体" w:cs="宋体"/>
                <w:sz w:val="24"/>
                <w:szCs w:val="24"/>
              </w:rPr>
            </w:pPr>
          </w:p>
        </w:tc>
        <w:tc>
          <w:tcPr>
            <w:tcW w:w="1370" w:type="dxa"/>
            <w:vAlign w:val="center"/>
          </w:tcPr>
          <w:p>
            <w:pPr>
              <w:jc w:val="center"/>
              <w:rPr>
                <w:rFonts w:ascii="宋体" w:hAnsi="宋体" w:cs="宋体"/>
                <w:sz w:val="24"/>
                <w:szCs w:val="24"/>
              </w:rPr>
            </w:pPr>
          </w:p>
        </w:tc>
        <w:tc>
          <w:tcPr>
            <w:tcW w:w="1629" w:type="dxa"/>
            <w:vAlign w:val="center"/>
          </w:tcPr>
          <w:p>
            <w:pPr>
              <w:jc w:val="center"/>
              <w:rPr>
                <w:rFonts w:ascii="宋体" w:hAnsi="宋体" w:cs="宋体"/>
                <w:sz w:val="24"/>
                <w:szCs w:val="24"/>
              </w:rPr>
            </w:pPr>
          </w:p>
        </w:tc>
        <w:tc>
          <w:tcPr>
            <w:tcW w:w="1239" w:type="dxa"/>
            <w:vAlign w:val="center"/>
          </w:tcPr>
          <w:p>
            <w:pPr>
              <w:jc w:val="center"/>
              <w:rPr>
                <w:rFonts w:ascii="宋体" w:hAnsi="宋体" w:cs="宋体"/>
                <w:sz w:val="24"/>
                <w:szCs w:val="24"/>
              </w:rPr>
            </w:pPr>
          </w:p>
        </w:tc>
        <w:tc>
          <w:tcPr>
            <w:tcW w:w="1544" w:type="dxa"/>
            <w:vAlign w:val="center"/>
          </w:tcPr>
          <w:p>
            <w:pPr>
              <w:jc w:val="center"/>
              <w:rPr>
                <w:rFonts w:ascii="宋体" w:hAnsi="宋体" w:cs="宋体"/>
                <w:sz w:val="24"/>
                <w:szCs w:val="24"/>
              </w:rPr>
            </w:pPr>
          </w:p>
        </w:tc>
      </w:tr>
    </w:tbl>
    <w:p>
      <w:pPr>
        <w:rPr>
          <w:rFonts w:ascii="宋体" w:hAnsi="宋体" w:cs="宋体"/>
          <w:sz w:val="24"/>
          <w:szCs w:val="24"/>
        </w:rPr>
      </w:pPr>
    </w:p>
    <w:p>
      <w:pPr>
        <w:rPr>
          <w:rFonts w:ascii="宋体" w:hAnsi="宋体" w:cs="宋体"/>
          <w:sz w:val="24"/>
          <w:szCs w:val="24"/>
        </w:rPr>
      </w:pPr>
      <w:r>
        <w:rPr>
          <w:rFonts w:hint="eastAsia" w:ascii="宋体" w:hAnsi="宋体" w:cs="宋体"/>
          <w:sz w:val="24"/>
          <w:szCs w:val="24"/>
        </w:rPr>
        <w:t>投标人代表签字：</w:t>
      </w:r>
    </w:p>
    <w:p>
      <w:pPr>
        <w:rPr>
          <w:rFonts w:ascii="宋体" w:hAnsi="宋体" w:cs="宋体"/>
          <w:sz w:val="24"/>
          <w:szCs w:val="24"/>
        </w:rPr>
      </w:pPr>
      <w:r>
        <w:rPr>
          <w:rFonts w:hint="eastAsia" w:ascii="宋体" w:hAnsi="宋体" w:cs="宋体"/>
          <w:sz w:val="24"/>
          <w:szCs w:val="24"/>
        </w:rPr>
        <w:t>投标人盖章：</w:t>
      </w:r>
    </w:p>
    <w:p>
      <w:pPr>
        <w:ind w:firstLine="204" w:firstLineChars="85"/>
        <w:rPr>
          <w:rFonts w:ascii="宋体" w:hAnsi="宋体" w:cs="宋体"/>
          <w:sz w:val="24"/>
          <w:szCs w:val="24"/>
        </w:rPr>
      </w:pPr>
    </w:p>
    <w:p>
      <w:pPr>
        <w:rPr>
          <w:rFonts w:ascii="宋体" w:hAnsi="宋体" w:cs="宋体"/>
          <w:sz w:val="24"/>
          <w:szCs w:val="24"/>
        </w:rPr>
      </w:pPr>
      <w:r>
        <w:rPr>
          <w:rFonts w:hint="eastAsia" w:ascii="宋体" w:hAnsi="宋体" w:cs="宋体"/>
          <w:sz w:val="24"/>
          <w:szCs w:val="24"/>
        </w:rPr>
        <w:t>注：</w:t>
      </w:r>
    </w:p>
    <w:p>
      <w:pPr>
        <w:rPr>
          <w:rFonts w:ascii="宋体" w:hAnsi="宋体" w:cs="宋体"/>
          <w:sz w:val="24"/>
          <w:szCs w:val="24"/>
        </w:rPr>
      </w:pPr>
      <w:r>
        <w:rPr>
          <w:rFonts w:hint="eastAsia" w:ascii="宋体" w:hAnsi="宋体" w:cs="宋体"/>
          <w:sz w:val="24"/>
          <w:szCs w:val="24"/>
        </w:rPr>
        <w:t>1、偏离项中填写“正”、“负”或“无”，说明项中填写原因。</w:t>
      </w:r>
    </w:p>
    <w:p>
      <w:pPr>
        <w:rPr>
          <w:rFonts w:ascii="宋体" w:hAnsi="宋体" w:cs="宋体"/>
          <w:sz w:val="24"/>
          <w:szCs w:val="24"/>
        </w:rPr>
      </w:pPr>
      <w:r>
        <w:rPr>
          <w:rFonts w:hint="eastAsia" w:ascii="宋体" w:hAnsi="宋体" w:cs="宋体"/>
          <w:sz w:val="24"/>
          <w:szCs w:val="24"/>
        </w:rPr>
        <w:t>2、投标人应对照采购文件技术规格，说明所提供服务已对采购文件的技术规格做出了实质性的响应，并申明与技术规格条文的偏差和例外。特别对有具体参数要求的指标，投标人必须提供所投设备的具体参数值。</w:t>
      </w:r>
    </w:p>
    <w:p>
      <w:pPr>
        <w:rPr>
          <w:rFonts w:ascii="宋体" w:hAnsi="宋体" w:cs="宋体"/>
          <w:sz w:val="24"/>
          <w:szCs w:val="24"/>
        </w:rPr>
      </w:pPr>
      <w:r>
        <w:rPr>
          <w:rFonts w:hint="eastAsia" w:ascii="宋体" w:hAnsi="宋体" w:cs="宋体"/>
          <w:sz w:val="24"/>
          <w:szCs w:val="24"/>
        </w:rPr>
        <w:t>3、投标人若未填写完整则视为完全响应采购文件的技术要求，因此对投标人投标产生负面影响的，投标人自行承担后果。</w:t>
      </w:r>
    </w:p>
    <w:p>
      <w:pPr>
        <w:rPr>
          <w:rFonts w:ascii="宋体" w:hAnsi="宋体" w:cs="宋体"/>
          <w:sz w:val="24"/>
          <w:szCs w:val="24"/>
        </w:rPr>
      </w:pPr>
    </w:p>
    <w:p>
      <w:pPr>
        <w:adjustRightInd/>
        <w:snapToGrid/>
        <w:spacing w:line="276" w:lineRule="auto"/>
        <w:rPr>
          <w:rFonts w:ascii="宋体" w:hAnsi="宋体" w:cs="宋体"/>
          <w:sz w:val="24"/>
          <w:szCs w:val="24"/>
        </w:rPr>
      </w:pPr>
    </w:p>
    <w:p>
      <w:pPr>
        <w:adjustRightInd/>
        <w:snapToGrid/>
        <w:spacing w:line="276" w:lineRule="auto"/>
        <w:rPr>
          <w:rFonts w:ascii="宋体" w:hAnsi="宋体" w:cs="宋体"/>
          <w:sz w:val="24"/>
          <w:szCs w:val="24"/>
        </w:rPr>
      </w:pPr>
    </w:p>
    <w:p>
      <w:pPr>
        <w:rPr>
          <w:rFonts w:ascii="宋体" w:hAnsi="宋体" w:cs="宋体"/>
          <w:sz w:val="24"/>
          <w:szCs w:val="24"/>
        </w:rPr>
      </w:pPr>
      <w:bookmarkStart w:id="277" w:name="_Toc17691"/>
      <w:r>
        <w:rPr>
          <w:rFonts w:hint="eastAsia" w:ascii="宋体" w:hAnsi="宋体" w:cs="宋体"/>
          <w:sz w:val="24"/>
          <w:szCs w:val="24"/>
        </w:rPr>
        <w:br w:type="page"/>
      </w:r>
    </w:p>
    <w:bookmarkEnd w:id="277"/>
    <w:p>
      <w:pPr>
        <w:pStyle w:val="9"/>
        <w:widowControl w:val="0"/>
        <w:overflowPunct w:val="0"/>
        <w:spacing w:line="240" w:lineRule="auto"/>
        <w:rPr>
          <w:rFonts w:ascii="宋体" w:hAnsi="宋体" w:cs="宋体"/>
          <w:szCs w:val="24"/>
        </w:rPr>
      </w:pPr>
      <w:bookmarkStart w:id="278" w:name="_Toc29784"/>
      <w:bookmarkStart w:id="279" w:name="_Toc10091"/>
      <w:r>
        <w:rPr>
          <w:rFonts w:hint="eastAsia" w:ascii="宋体" w:hAnsi="宋体" w:cs="宋体"/>
          <w:szCs w:val="24"/>
        </w:rPr>
        <w:t>附件11.业绩表</w:t>
      </w:r>
      <w:bookmarkEnd w:id="278"/>
      <w:bookmarkEnd w:id="279"/>
    </w:p>
    <w:p>
      <w:pPr>
        <w:jc w:val="center"/>
        <w:rPr>
          <w:rFonts w:ascii="宋体" w:hAnsi="宋体" w:cs="宋体"/>
          <w:sz w:val="24"/>
          <w:szCs w:val="24"/>
        </w:rPr>
      </w:pPr>
      <w:r>
        <w:rPr>
          <w:rFonts w:hint="eastAsia" w:ascii="宋体" w:hAnsi="宋体" w:cs="宋体"/>
          <w:sz w:val="24"/>
          <w:szCs w:val="24"/>
        </w:rPr>
        <w:t>业绩表</w:t>
      </w:r>
    </w:p>
    <w:tbl>
      <w:tblPr>
        <w:tblStyle w:val="29"/>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5"/>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jc w:val="center"/>
              <w:rPr>
                <w:rFonts w:ascii="宋体" w:hAnsi="宋体" w:cs="宋体"/>
                <w:sz w:val="24"/>
                <w:szCs w:val="24"/>
              </w:rPr>
            </w:pPr>
            <w:r>
              <w:rPr>
                <w:rFonts w:hint="eastAsia" w:ascii="宋体" w:hAnsi="宋体" w:cs="宋体"/>
                <w:sz w:val="24"/>
                <w:szCs w:val="24"/>
              </w:rPr>
              <w:t>序号</w:t>
            </w:r>
          </w:p>
        </w:tc>
        <w:tc>
          <w:tcPr>
            <w:tcW w:w="1705" w:type="dxa"/>
            <w:vAlign w:val="center"/>
          </w:tcPr>
          <w:p>
            <w:pPr>
              <w:adjustRightInd/>
              <w:snapToGrid/>
              <w:jc w:val="center"/>
              <w:rPr>
                <w:rFonts w:ascii="宋体" w:hAnsi="宋体" w:cs="宋体"/>
                <w:sz w:val="24"/>
                <w:szCs w:val="24"/>
              </w:rPr>
            </w:pPr>
            <w:r>
              <w:rPr>
                <w:rFonts w:hint="eastAsia" w:ascii="宋体" w:hAnsi="宋体" w:cs="宋体"/>
                <w:sz w:val="24"/>
                <w:szCs w:val="24"/>
              </w:rPr>
              <w:t>项目名称</w:t>
            </w:r>
          </w:p>
        </w:tc>
        <w:tc>
          <w:tcPr>
            <w:tcW w:w="1706" w:type="dxa"/>
            <w:vAlign w:val="center"/>
          </w:tcPr>
          <w:p>
            <w:pPr>
              <w:adjustRightInd/>
              <w:snapToGrid/>
              <w:jc w:val="center"/>
              <w:rPr>
                <w:rFonts w:ascii="宋体" w:hAnsi="宋体" w:cs="宋体"/>
                <w:sz w:val="24"/>
                <w:szCs w:val="24"/>
              </w:rPr>
            </w:pPr>
            <w:r>
              <w:rPr>
                <w:rFonts w:hint="eastAsia" w:ascii="宋体" w:hAnsi="宋体" w:cs="宋体"/>
                <w:sz w:val="24"/>
                <w:szCs w:val="24"/>
              </w:rPr>
              <w:t>项目金额</w:t>
            </w:r>
          </w:p>
        </w:tc>
        <w:tc>
          <w:tcPr>
            <w:tcW w:w="1705" w:type="dxa"/>
            <w:vAlign w:val="center"/>
          </w:tcPr>
          <w:p>
            <w:pPr>
              <w:adjustRightInd/>
              <w:snapToGrid/>
              <w:jc w:val="center"/>
              <w:rPr>
                <w:rFonts w:ascii="宋体" w:hAnsi="宋体" w:cs="宋体"/>
                <w:sz w:val="24"/>
                <w:szCs w:val="24"/>
              </w:rPr>
            </w:pPr>
            <w:r>
              <w:rPr>
                <w:rFonts w:hint="eastAsia" w:ascii="宋体" w:hAnsi="宋体" w:cs="宋体"/>
                <w:sz w:val="24"/>
                <w:szCs w:val="24"/>
              </w:rPr>
              <w:t>项目合同签订时间</w:t>
            </w:r>
          </w:p>
        </w:tc>
        <w:tc>
          <w:tcPr>
            <w:tcW w:w="1697" w:type="dxa"/>
            <w:vAlign w:val="center"/>
          </w:tcPr>
          <w:p>
            <w:pPr>
              <w:adjustRightInd/>
              <w:snapToGrid/>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jc w:val="center"/>
              <w:rPr>
                <w:rFonts w:ascii="宋体" w:hAnsi="宋体" w:cs="宋体"/>
                <w:sz w:val="24"/>
                <w:szCs w:val="24"/>
              </w:rPr>
            </w:pPr>
          </w:p>
        </w:tc>
        <w:tc>
          <w:tcPr>
            <w:tcW w:w="1705" w:type="dxa"/>
            <w:vAlign w:val="center"/>
          </w:tcPr>
          <w:p>
            <w:pPr>
              <w:adjustRightInd/>
              <w:snapToGrid/>
              <w:jc w:val="center"/>
              <w:rPr>
                <w:rFonts w:ascii="宋体" w:hAnsi="宋体" w:cs="宋体"/>
                <w:sz w:val="24"/>
                <w:szCs w:val="24"/>
              </w:rPr>
            </w:pPr>
          </w:p>
        </w:tc>
        <w:tc>
          <w:tcPr>
            <w:tcW w:w="1706" w:type="dxa"/>
            <w:vAlign w:val="center"/>
          </w:tcPr>
          <w:p>
            <w:pPr>
              <w:adjustRightInd/>
              <w:snapToGrid/>
              <w:jc w:val="center"/>
              <w:rPr>
                <w:rFonts w:ascii="宋体" w:hAnsi="宋体" w:cs="宋体"/>
                <w:sz w:val="24"/>
                <w:szCs w:val="24"/>
              </w:rPr>
            </w:pPr>
          </w:p>
        </w:tc>
        <w:tc>
          <w:tcPr>
            <w:tcW w:w="1705" w:type="dxa"/>
            <w:vAlign w:val="center"/>
          </w:tcPr>
          <w:p>
            <w:pPr>
              <w:adjustRightInd/>
              <w:snapToGrid/>
              <w:jc w:val="center"/>
              <w:rPr>
                <w:rFonts w:ascii="宋体" w:hAnsi="宋体" w:cs="宋体"/>
                <w:sz w:val="24"/>
                <w:szCs w:val="24"/>
              </w:rPr>
            </w:pPr>
          </w:p>
        </w:tc>
        <w:tc>
          <w:tcPr>
            <w:tcW w:w="1697" w:type="dxa"/>
            <w:vAlign w:val="center"/>
          </w:tcPr>
          <w:p>
            <w:pPr>
              <w:adjustRightInd/>
              <w:snapToGrid/>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rPr>
                <w:rFonts w:ascii="宋体" w:hAnsi="宋体" w:cs="宋体"/>
                <w:sz w:val="24"/>
                <w:szCs w:val="24"/>
              </w:rPr>
            </w:pPr>
          </w:p>
        </w:tc>
        <w:tc>
          <w:tcPr>
            <w:tcW w:w="1705" w:type="dxa"/>
          </w:tcPr>
          <w:p>
            <w:pPr>
              <w:adjustRightInd/>
              <w:snapToGrid/>
              <w:rPr>
                <w:rFonts w:ascii="宋体" w:hAnsi="宋体" w:cs="宋体"/>
                <w:sz w:val="24"/>
                <w:szCs w:val="24"/>
              </w:rPr>
            </w:pPr>
          </w:p>
        </w:tc>
        <w:tc>
          <w:tcPr>
            <w:tcW w:w="1706" w:type="dxa"/>
          </w:tcPr>
          <w:p>
            <w:pPr>
              <w:adjustRightInd/>
              <w:snapToGrid/>
              <w:rPr>
                <w:rFonts w:ascii="宋体" w:hAnsi="宋体" w:cs="宋体"/>
                <w:sz w:val="24"/>
                <w:szCs w:val="24"/>
              </w:rPr>
            </w:pPr>
          </w:p>
        </w:tc>
        <w:tc>
          <w:tcPr>
            <w:tcW w:w="1705" w:type="dxa"/>
          </w:tcPr>
          <w:p>
            <w:pPr>
              <w:adjustRightInd/>
              <w:snapToGrid/>
              <w:rPr>
                <w:rFonts w:ascii="宋体" w:hAnsi="宋体" w:cs="宋体"/>
                <w:sz w:val="24"/>
                <w:szCs w:val="24"/>
              </w:rPr>
            </w:pPr>
          </w:p>
        </w:tc>
        <w:tc>
          <w:tcPr>
            <w:tcW w:w="1697" w:type="dxa"/>
          </w:tcPr>
          <w:p>
            <w:pPr>
              <w:adjustRightInd/>
              <w:snapToGrid/>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rPr>
                <w:rFonts w:ascii="宋体" w:hAnsi="宋体" w:cs="宋体"/>
                <w:sz w:val="24"/>
                <w:szCs w:val="24"/>
              </w:rPr>
            </w:pPr>
          </w:p>
        </w:tc>
        <w:tc>
          <w:tcPr>
            <w:tcW w:w="1705" w:type="dxa"/>
          </w:tcPr>
          <w:p>
            <w:pPr>
              <w:adjustRightInd/>
              <w:snapToGrid/>
              <w:rPr>
                <w:rFonts w:ascii="宋体" w:hAnsi="宋体" w:cs="宋体"/>
                <w:sz w:val="24"/>
                <w:szCs w:val="24"/>
              </w:rPr>
            </w:pPr>
          </w:p>
        </w:tc>
        <w:tc>
          <w:tcPr>
            <w:tcW w:w="1706" w:type="dxa"/>
          </w:tcPr>
          <w:p>
            <w:pPr>
              <w:adjustRightInd/>
              <w:snapToGrid/>
              <w:rPr>
                <w:rFonts w:ascii="宋体" w:hAnsi="宋体" w:cs="宋体"/>
                <w:sz w:val="24"/>
                <w:szCs w:val="24"/>
              </w:rPr>
            </w:pPr>
          </w:p>
        </w:tc>
        <w:tc>
          <w:tcPr>
            <w:tcW w:w="1705" w:type="dxa"/>
          </w:tcPr>
          <w:p>
            <w:pPr>
              <w:adjustRightInd/>
              <w:snapToGrid/>
              <w:rPr>
                <w:rFonts w:ascii="宋体" w:hAnsi="宋体" w:cs="宋体"/>
                <w:sz w:val="24"/>
                <w:szCs w:val="24"/>
              </w:rPr>
            </w:pPr>
          </w:p>
        </w:tc>
        <w:tc>
          <w:tcPr>
            <w:tcW w:w="1697" w:type="dxa"/>
          </w:tcPr>
          <w:p>
            <w:pPr>
              <w:adjustRightInd/>
              <w:snapToGrid/>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rPr>
                <w:rFonts w:ascii="宋体" w:hAnsi="宋体" w:cs="宋体"/>
                <w:sz w:val="24"/>
                <w:szCs w:val="24"/>
              </w:rPr>
            </w:pPr>
          </w:p>
        </w:tc>
        <w:tc>
          <w:tcPr>
            <w:tcW w:w="1705" w:type="dxa"/>
          </w:tcPr>
          <w:p>
            <w:pPr>
              <w:adjustRightInd/>
              <w:snapToGrid/>
              <w:rPr>
                <w:rFonts w:ascii="宋体" w:hAnsi="宋体" w:cs="宋体"/>
                <w:sz w:val="24"/>
                <w:szCs w:val="24"/>
              </w:rPr>
            </w:pPr>
          </w:p>
        </w:tc>
        <w:tc>
          <w:tcPr>
            <w:tcW w:w="1706" w:type="dxa"/>
          </w:tcPr>
          <w:p>
            <w:pPr>
              <w:adjustRightInd/>
              <w:snapToGrid/>
              <w:rPr>
                <w:rFonts w:ascii="宋体" w:hAnsi="宋体" w:cs="宋体"/>
                <w:sz w:val="24"/>
                <w:szCs w:val="24"/>
              </w:rPr>
            </w:pPr>
          </w:p>
        </w:tc>
        <w:tc>
          <w:tcPr>
            <w:tcW w:w="1705" w:type="dxa"/>
          </w:tcPr>
          <w:p>
            <w:pPr>
              <w:adjustRightInd/>
              <w:snapToGrid/>
              <w:rPr>
                <w:rFonts w:ascii="宋体" w:hAnsi="宋体" w:cs="宋体"/>
                <w:sz w:val="24"/>
                <w:szCs w:val="24"/>
              </w:rPr>
            </w:pPr>
          </w:p>
        </w:tc>
        <w:tc>
          <w:tcPr>
            <w:tcW w:w="1697" w:type="dxa"/>
          </w:tcPr>
          <w:p>
            <w:pPr>
              <w:adjustRightInd/>
              <w:snapToGrid/>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rPr>
                <w:rFonts w:ascii="宋体" w:hAnsi="宋体" w:cs="宋体"/>
                <w:sz w:val="24"/>
                <w:szCs w:val="24"/>
              </w:rPr>
            </w:pPr>
          </w:p>
        </w:tc>
        <w:tc>
          <w:tcPr>
            <w:tcW w:w="1705" w:type="dxa"/>
          </w:tcPr>
          <w:p>
            <w:pPr>
              <w:adjustRightInd/>
              <w:snapToGrid/>
              <w:rPr>
                <w:rFonts w:ascii="宋体" w:hAnsi="宋体" w:cs="宋体"/>
                <w:sz w:val="24"/>
                <w:szCs w:val="24"/>
              </w:rPr>
            </w:pPr>
          </w:p>
        </w:tc>
        <w:tc>
          <w:tcPr>
            <w:tcW w:w="1706" w:type="dxa"/>
          </w:tcPr>
          <w:p>
            <w:pPr>
              <w:adjustRightInd/>
              <w:snapToGrid/>
              <w:rPr>
                <w:rFonts w:ascii="宋体" w:hAnsi="宋体" w:cs="宋体"/>
                <w:sz w:val="24"/>
                <w:szCs w:val="24"/>
              </w:rPr>
            </w:pPr>
          </w:p>
        </w:tc>
        <w:tc>
          <w:tcPr>
            <w:tcW w:w="1705" w:type="dxa"/>
          </w:tcPr>
          <w:p>
            <w:pPr>
              <w:adjustRightInd/>
              <w:snapToGrid/>
              <w:rPr>
                <w:rFonts w:ascii="宋体" w:hAnsi="宋体" w:cs="宋体"/>
                <w:sz w:val="24"/>
                <w:szCs w:val="24"/>
              </w:rPr>
            </w:pPr>
          </w:p>
        </w:tc>
        <w:tc>
          <w:tcPr>
            <w:tcW w:w="1697" w:type="dxa"/>
          </w:tcPr>
          <w:p>
            <w:pPr>
              <w:adjustRightInd/>
              <w:snapToGrid/>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rPr>
                <w:rFonts w:ascii="宋体" w:hAnsi="宋体" w:cs="宋体"/>
                <w:sz w:val="24"/>
                <w:szCs w:val="24"/>
              </w:rPr>
            </w:pPr>
          </w:p>
        </w:tc>
        <w:tc>
          <w:tcPr>
            <w:tcW w:w="1705" w:type="dxa"/>
          </w:tcPr>
          <w:p>
            <w:pPr>
              <w:adjustRightInd/>
              <w:snapToGrid/>
              <w:rPr>
                <w:rFonts w:ascii="宋体" w:hAnsi="宋体" w:cs="宋体"/>
                <w:sz w:val="24"/>
                <w:szCs w:val="24"/>
              </w:rPr>
            </w:pPr>
          </w:p>
        </w:tc>
        <w:tc>
          <w:tcPr>
            <w:tcW w:w="1706" w:type="dxa"/>
          </w:tcPr>
          <w:p>
            <w:pPr>
              <w:adjustRightInd/>
              <w:snapToGrid/>
              <w:rPr>
                <w:rFonts w:ascii="宋体" w:hAnsi="宋体" w:cs="宋体"/>
                <w:sz w:val="24"/>
                <w:szCs w:val="24"/>
              </w:rPr>
            </w:pPr>
          </w:p>
        </w:tc>
        <w:tc>
          <w:tcPr>
            <w:tcW w:w="1705" w:type="dxa"/>
          </w:tcPr>
          <w:p>
            <w:pPr>
              <w:adjustRightInd/>
              <w:snapToGrid/>
              <w:rPr>
                <w:rFonts w:ascii="宋体" w:hAnsi="宋体" w:cs="宋体"/>
                <w:sz w:val="24"/>
                <w:szCs w:val="24"/>
              </w:rPr>
            </w:pPr>
          </w:p>
        </w:tc>
        <w:tc>
          <w:tcPr>
            <w:tcW w:w="1697" w:type="dxa"/>
          </w:tcPr>
          <w:p>
            <w:pPr>
              <w:adjustRightInd/>
              <w:snapToGrid/>
              <w:rPr>
                <w:rFonts w:ascii="宋体" w:hAnsi="宋体" w:cs="宋体"/>
                <w:sz w:val="24"/>
                <w:szCs w:val="24"/>
              </w:rPr>
            </w:pPr>
          </w:p>
        </w:tc>
      </w:tr>
    </w:tbl>
    <w:p>
      <w:pPr>
        <w:pStyle w:val="40"/>
        <w:ind w:firstLine="480"/>
        <w:rPr>
          <w:rFonts w:ascii="宋体" w:hAnsi="宋体" w:cs="宋体"/>
          <w:sz w:val="24"/>
          <w:szCs w:val="24"/>
        </w:rPr>
      </w:pPr>
    </w:p>
    <w:p>
      <w:pPr>
        <w:pStyle w:val="40"/>
        <w:ind w:firstLine="480"/>
        <w:rPr>
          <w:rFonts w:ascii="宋体" w:hAnsi="宋体" w:cs="宋体"/>
          <w:sz w:val="24"/>
          <w:szCs w:val="24"/>
        </w:rPr>
      </w:pPr>
      <w:r>
        <w:rPr>
          <w:rFonts w:hint="eastAsia" w:ascii="宋体" w:hAnsi="宋体" w:cs="宋体"/>
          <w:sz w:val="24"/>
          <w:szCs w:val="24"/>
        </w:rPr>
        <w:t>注：</w:t>
      </w:r>
    </w:p>
    <w:p>
      <w:pPr>
        <w:pStyle w:val="40"/>
        <w:numPr>
          <w:ilvl w:val="0"/>
          <w:numId w:val="23"/>
        </w:numPr>
        <w:ind w:firstLine="480"/>
        <w:rPr>
          <w:rFonts w:ascii="宋体" w:hAnsi="宋体" w:cs="宋体"/>
          <w:sz w:val="24"/>
          <w:szCs w:val="24"/>
        </w:rPr>
      </w:pPr>
      <w:r>
        <w:rPr>
          <w:rFonts w:hint="eastAsia" w:ascii="宋体" w:hAnsi="宋体" w:cs="宋体"/>
          <w:sz w:val="24"/>
          <w:szCs w:val="24"/>
        </w:rPr>
        <w:t>该表格为参考格式，投标人可按实际情况自行制订。</w:t>
      </w:r>
    </w:p>
    <w:p>
      <w:pPr>
        <w:pStyle w:val="40"/>
        <w:numPr>
          <w:ilvl w:val="0"/>
          <w:numId w:val="23"/>
        </w:numPr>
        <w:ind w:firstLine="480"/>
        <w:rPr>
          <w:rFonts w:ascii="宋体" w:hAnsi="宋体" w:cs="宋体"/>
          <w:sz w:val="24"/>
          <w:szCs w:val="24"/>
        </w:rPr>
      </w:pPr>
      <w:r>
        <w:rPr>
          <w:rFonts w:hint="eastAsia" w:ascii="宋体" w:hAnsi="宋体" w:cs="宋体"/>
          <w:sz w:val="24"/>
          <w:szCs w:val="24"/>
        </w:rPr>
        <w:t>业绩表所列出的材料应为真实准确的，并应提供相关证明材料复印件加盖公章。请勿提供虚假、过期材料，否则将依据相关规定严肃处理。</w:t>
      </w:r>
    </w:p>
    <w:p>
      <w:pPr>
        <w:pStyle w:val="40"/>
        <w:numPr>
          <w:ilvl w:val="0"/>
          <w:numId w:val="23"/>
        </w:numPr>
        <w:ind w:firstLine="480"/>
        <w:rPr>
          <w:rFonts w:ascii="宋体" w:hAnsi="宋体" w:cs="宋体"/>
          <w:sz w:val="24"/>
          <w:szCs w:val="24"/>
        </w:rPr>
      </w:pPr>
      <w:r>
        <w:rPr>
          <w:rFonts w:hint="eastAsia" w:ascii="宋体" w:hAnsi="宋体" w:cs="宋体"/>
          <w:sz w:val="24"/>
          <w:szCs w:val="24"/>
        </w:rPr>
        <w:br w:type="page"/>
      </w:r>
    </w:p>
    <w:p>
      <w:pPr>
        <w:pStyle w:val="9"/>
        <w:widowControl w:val="0"/>
        <w:overflowPunct w:val="0"/>
        <w:spacing w:line="240" w:lineRule="auto"/>
        <w:rPr>
          <w:rFonts w:ascii="宋体" w:hAnsi="宋体" w:cs="宋体"/>
          <w:szCs w:val="24"/>
        </w:rPr>
      </w:pPr>
      <w:bookmarkStart w:id="280" w:name="_Toc3829"/>
      <w:bookmarkStart w:id="281" w:name="_Toc21993"/>
      <w:r>
        <w:rPr>
          <w:rFonts w:hint="eastAsia" w:ascii="宋体" w:hAnsi="宋体" w:cs="宋体"/>
          <w:szCs w:val="24"/>
        </w:rPr>
        <w:t>附件12. 项目实施方案格式</w:t>
      </w:r>
      <w:bookmarkEnd w:id="280"/>
      <w:bookmarkEnd w:id="281"/>
    </w:p>
    <w:p>
      <w:pPr>
        <w:jc w:val="center"/>
        <w:rPr>
          <w:rFonts w:ascii="宋体" w:hAnsi="宋体" w:cs="宋体"/>
          <w:sz w:val="24"/>
          <w:szCs w:val="24"/>
        </w:rPr>
      </w:pPr>
    </w:p>
    <w:p>
      <w:pPr>
        <w:jc w:val="center"/>
        <w:rPr>
          <w:rFonts w:ascii="宋体" w:hAnsi="宋体" w:cs="宋体"/>
          <w:sz w:val="24"/>
          <w:szCs w:val="24"/>
        </w:rPr>
      </w:pPr>
      <w:r>
        <w:rPr>
          <w:rFonts w:hint="eastAsia" w:ascii="宋体" w:hAnsi="宋体" w:cs="宋体"/>
          <w:sz w:val="24"/>
          <w:szCs w:val="24"/>
        </w:rPr>
        <w:t>项目实施方案</w:t>
      </w:r>
    </w:p>
    <w:p>
      <w:pPr>
        <w:jc w:val="center"/>
        <w:rPr>
          <w:rFonts w:ascii="宋体" w:hAnsi="宋体" w:cs="宋体"/>
          <w:sz w:val="24"/>
          <w:szCs w:val="24"/>
        </w:rPr>
      </w:pPr>
    </w:p>
    <w:p>
      <w:pPr>
        <w:ind w:left="760" w:leftChars="200" w:hanging="340" w:hangingChars="142"/>
        <w:rPr>
          <w:rFonts w:ascii="宋体" w:hAnsi="宋体" w:cs="宋体"/>
          <w:sz w:val="24"/>
          <w:szCs w:val="24"/>
        </w:rPr>
      </w:pPr>
      <w:r>
        <w:rPr>
          <w:rFonts w:hint="eastAsia" w:ascii="宋体" w:hAnsi="宋体" w:cs="宋体"/>
          <w:sz w:val="24"/>
          <w:szCs w:val="24"/>
        </w:rPr>
        <w:t>1、为完成本项目投标人临时投入的设备</w:t>
      </w:r>
    </w:p>
    <w:p>
      <w:pPr>
        <w:ind w:left="760" w:leftChars="200" w:hanging="340" w:hangingChars="142"/>
        <w:rPr>
          <w:rFonts w:ascii="宋体" w:hAnsi="宋体" w:cs="宋体"/>
          <w:sz w:val="24"/>
          <w:szCs w:val="24"/>
        </w:rPr>
      </w:pPr>
      <w:r>
        <w:rPr>
          <w:rFonts w:hint="eastAsia" w:ascii="宋体" w:hAnsi="宋体" w:cs="宋体"/>
          <w:sz w:val="24"/>
          <w:szCs w:val="24"/>
        </w:rPr>
        <w:t>2、为完成本项目投标人投入的人员以及具体工作安排</w:t>
      </w:r>
    </w:p>
    <w:p>
      <w:pPr>
        <w:ind w:left="760" w:leftChars="200" w:hanging="340" w:hangingChars="142"/>
        <w:rPr>
          <w:rFonts w:ascii="宋体" w:hAnsi="宋体" w:cs="宋体"/>
          <w:sz w:val="24"/>
          <w:szCs w:val="24"/>
        </w:rPr>
      </w:pPr>
      <w:r>
        <w:rPr>
          <w:rFonts w:hint="eastAsia" w:ascii="宋体" w:hAnsi="宋体" w:cs="宋体"/>
          <w:sz w:val="24"/>
          <w:szCs w:val="24"/>
        </w:rPr>
        <w:t>3、投标人为本项目制定的具体项目实施方案与项目实施流程</w:t>
      </w:r>
    </w:p>
    <w:p>
      <w:pPr>
        <w:ind w:left="760" w:leftChars="200" w:hanging="340" w:hangingChars="142"/>
        <w:rPr>
          <w:rFonts w:ascii="宋体" w:hAnsi="宋体" w:cs="宋体"/>
          <w:sz w:val="24"/>
          <w:szCs w:val="24"/>
        </w:rPr>
      </w:pPr>
      <w:r>
        <w:rPr>
          <w:rFonts w:hint="eastAsia" w:ascii="宋体" w:hAnsi="宋体" w:cs="宋体"/>
          <w:sz w:val="24"/>
          <w:szCs w:val="24"/>
        </w:rPr>
        <w:t>4、售后服务方案</w:t>
      </w:r>
    </w:p>
    <w:p>
      <w:pPr>
        <w:ind w:left="760" w:leftChars="200" w:hanging="340" w:hangingChars="142"/>
        <w:rPr>
          <w:rFonts w:ascii="宋体" w:hAnsi="宋体" w:cs="宋体"/>
          <w:sz w:val="24"/>
          <w:szCs w:val="24"/>
        </w:rPr>
      </w:pPr>
      <w:r>
        <w:rPr>
          <w:rFonts w:hint="eastAsia" w:ascii="宋体" w:hAnsi="宋体" w:cs="宋体"/>
          <w:sz w:val="24"/>
          <w:szCs w:val="24"/>
        </w:rPr>
        <w:t>5、..........</w:t>
      </w:r>
    </w:p>
    <w:p>
      <w:pPr>
        <w:ind w:left="760" w:leftChars="200" w:hanging="340" w:hangingChars="142"/>
        <w:rPr>
          <w:rFonts w:ascii="宋体" w:hAnsi="宋体" w:cs="宋体"/>
          <w:sz w:val="24"/>
          <w:szCs w:val="24"/>
        </w:rPr>
      </w:pPr>
      <w:r>
        <w:rPr>
          <w:rFonts w:hint="eastAsia" w:ascii="宋体" w:hAnsi="宋体" w:cs="宋体"/>
          <w:sz w:val="24"/>
          <w:szCs w:val="24"/>
        </w:rPr>
        <w:t>自行编写。</w:t>
      </w:r>
    </w:p>
    <w:p>
      <w:pPr>
        <w:ind w:left="760" w:leftChars="200" w:hanging="340" w:hangingChars="142"/>
        <w:rPr>
          <w:rFonts w:ascii="宋体" w:hAnsi="宋体" w:cs="宋体"/>
          <w:sz w:val="24"/>
          <w:szCs w:val="24"/>
        </w:rPr>
      </w:pPr>
    </w:p>
    <w:p>
      <w:pPr>
        <w:ind w:left="760" w:leftChars="200" w:hanging="340" w:hangingChars="142"/>
        <w:rPr>
          <w:rFonts w:ascii="宋体" w:hAnsi="宋体" w:cs="宋体"/>
          <w:sz w:val="24"/>
          <w:szCs w:val="24"/>
        </w:rPr>
      </w:pPr>
    </w:p>
    <w:p>
      <w:pPr>
        <w:ind w:left="760" w:leftChars="200" w:hanging="340" w:hangingChars="142"/>
        <w:rPr>
          <w:rFonts w:ascii="宋体" w:hAnsi="宋体" w:cs="宋体"/>
          <w:sz w:val="24"/>
          <w:szCs w:val="24"/>
        </w:rPr>
      </w:pPr>
      <w:r>
        <w:rPr>
          <w:rFonts w:hint="eastAsia" w:ascii="宋体" w:hAnsi="宋体" w:cs="宋体"/>
          <w:sz w:val="24"/>
          <w:szCs w:val="24"/>
        </w:rPr>
        <w:br w:type="page"/>
      </w:r>
    </w:p>
    <w:p>
      <w:pPr>
        <w:pStyle w:val="9"/>
        <w:widowControl w:val="0"/>
        <w:overflowPunct w:val="0"/>
        <w:spacing w:line="240" w:lineRule="auto"/>
        <w:rPr>
          <w:rFonts w:ascii="宋体" w:hAnsi="宋体" w:cs="宋体"/>
          <w:szCs w:val="24"/>
        </w:rPr>
      </w:pPr>
      <w:bookmarkStart w:id="282" w:name="_Toc10296"/>
      <w:bookmarkStart w:id="283" w:name="_Toc5294"/>
      <w:r>
        <w:rPr>
          <w:rFonts w:hint="eastAsia" w:ascii="宋体" w:hAnsi="宋体" w:cs="宋体"/>
          <w:szCs w:val="24"/>
        </w:rPr>
        <w:t>附件13. 实施本项目的有关人员资料表格式</w:t>
      </w:r>
      <w:bookmarkEnd w:id="282"/>
      <w:bookmarkEnd w:id="283"/>
    </w:p>
    <w:p>
      <w:pPr>
        <w:jc w:val="center"/>
        <w:rPr>
          <w:rFonts w:ascii="宋体" w:hAnsi="宋体" w:cs="宋体"/>
          <w:sz w:val="24"/>
          <w:szCs w:val="24"/>
        </w:rPr>
      </w:pPr>
    </w:p>
    <w:p>
      <w:pPr>
        <w:jc w:val="center"/>
        <w:rPr>
          <w:rFonts w:ascii="宋体" w:hAnsi="宋体" w:cs="宋体"/>
          <w:sz w:val="24"/>
          <w:szCs w:val="24"/>
        </w:rPr>
      </w:pPr>
      <w:r>
        <w:rPr>
          <w:rFonts w:hint="eastAsia" w:ascii="宋体" w:hAnsi="宋体" w:cs="宋体"/>
          <w:sz w:val="24"/>
          <w:szCs w:val="24"/>
        </w:rPr>
        <w:t>实施本项目的有关人员资料表</w:t>
      </w:r>
    </w:p>
    <w:tbl>
      <w:tblPr>
        <w:tblStyle w:val="28"/>
        <w:tblW w:w="7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822"/>
        <w:gridCol w:w="1392"/>
        <w:gridCol w:w="763"/>
        <w:gridCol w:w="708"/>
        <w:gridCol w:w="851"/>
        <w:gridCol w:w="850"/>
        <w:gridCol w:w="788"/>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jc w:val="center"/>
              <w:rPr>
                <w:rFonts w:ascii="宋体" w:hAnsi="宋体" w:cs="宋体"/>
                <w:sz w:val="24"/>
                <w:szCs w:val="24"/>
              </w:rPr>
            </w:pPr>
            <w:r>
              <w:rPr>
                <w:rFonts w:hint="eastAsia" w:ascii="宋体" w:hAnsi="宋体" w:cs="宋体"/>
                <w:sz w:val="24"/>
                <w:szCs w:val="24"/>
              </w:rPr>
              <w:t>序号</w:t>
            </w:r>
          </w:p>
        </w:tc>
        <w:tc>
          <w:tcPr>
            <w:tcW w:w="822" w:type="dxa"/>
            <w:vAlign w:val="center"/>
          </w:tcPr>
          <w:p>
            <w:pPr>
              <w:jc w:val="center"/>
              <w:rPr>
                <w:rFonts w:ascii="宋体" w:hAnsi="宋体" w:cs="宋体"/>
                <w:sz w:val="24"/>
                <w:szCs w:val="24"/>
              </w:rPr>
            </w:pPr>
            <w:r>
              <w:rPr>
                <w:rFonts w:hint="eastAsia" w:ascii="宋体" w:hAnsi="宋体" w:cs="宋体"/>
                <w:sz w:val="24"/>
                <w:szCs w:val="24"/>
              </w:rPr>
              <w:t>姓名</w:t>
            </w:r>
          </w:p>
        </w:tc>
        <w:tc>
          <w:tcPr>
            <w:tcW w:w="1392" w:type="dxa"/>
            <w:vAlign w:val="center"/>
          </w:tcPr>
          <w:p>
            <w:pPr>
              <w:jc w:val="center"/>
              <w:rPr>
                <w:rFonts w:ascii="宋体" w:hAnsi="宋体" w:cs="宋体"/>
                <w:sz w:val="24"/>
                <w:szCs w:val="24"/>
              </w:rPr>
            </w:pPr>
            <w:r>
              <w:rPr>
                <w:rFonts w:hint="eastAsia" w:ascii="宋体" w:hAnsi="宋体" w:cs="宋体"/>
                <w:sz w:val="24"/>
                <w:szCs w:val="24"/>
              </w:rPr>
              <w:t>本项目拟任岗位</w:t>
            </w:r>
          </w:p>
        </w:tc>
        <w:tc>
          <w:tcPr>
            <w:tcW w:w="763" w:type="dxa"/>
            <w:vAlign w:val="center"/>
          </w:tcPr>
          <w:p>
            <w:pPr>
              <w:jc w:val="center"/>
              <w:rPr>
                <w:rFonts w:ascii="宋体" w:hAnsi="宋体" w:cs="宋体"/>
                <w:sz w:val="24"/>
                <w:szCs w:val="24"/>
              </w:rPr>
            </w:pPr>
            <w:r>
              <w:rPr>
                <w:rFonts w:hint="eastAsia" w:ascii="宋体" w:hAnsi="宋体" w:cs="宋体"/>
                <w:sz w:val="24"/>
                <w:szCs w:val="24"/>
              </w:rPr>
              <w:t>性别</w:t>
            </w:r>
          </w:p>
        </w:tc>
        <w:tc>
          <w:tcPr>
            <w:tcW w:w="708" w:type="dxa"/>
            <w:vAlign w:val="center"/>
          </w:tcPr>
          <w:p>
            <w:pPr>
              <w:jc w:val="center"/>
              <w:rPr>
                <w:rFonts w:ascii="宋体" w:hAnsi="宋体" w:cs="宋体"/>
                <w:sz w:val="24"/>
                <w:szCs w:val="24"/>
              </w:rPr>
            </w:pPr>
            <w:r>
              <w:rPr>
                <w:rFonts w:hint="eastAsia" w:ascii="宋体" w:hAnsi="宋体" w:cs="宋体"/>
                <w:sz w:val="24"/>
                <w:szCs w:val="24"/>
              </w:rPr>
              <w:t>年龄</w:t>
            </w:r>
          </w:p>
        </w:tc>
        <w:tc>
          <w:tcPr>
            <w:tcW w:w="851" w:type="dxa"/>
            <w:vAlign w:val="center"/>
          </w:tcPr>
          <w:p>
            <w:pPr>
              <w:jc w:val="center"/>
              <w:rPr>
                <w:rFonts w:ascii="宋体" w:hAnsi="宋体" w:cs="宋体"/>
                <w:sz w:val="24"/>
                <w:szCs w:val="24"/>
              </w:rPr>
            </w:pPr>
            <w:r>
              <w:rPr>
                <w:rFonts w:hint="eastAsia" w:ascii="宋体" w:hAnsi="宋体" w:cs="宋体"/>
                <w:sz w:val="24"/>
                <w:szCs w:val="24"/>
              </w:rPr>
              <w:t>技术职称</w:t>
            </w:r>
          </w:p>
        </w:tc>
        <w:tc>
          <w:tcPr>
            <w:tcW w:w="850" w:type="dxa"/>
            <w:vAlign w:val="center"/>
          </w:tcPr>
          <w:p>
            <w:pPr>
              <w:jc w:val="center"/>
              <w:rPr>
                <w:rFonts w:ascii="宋体" w:hAnsi="宋体" w:cs="宋体"/>
                <w:sz w:val="24"/>
                <w:szCs w:val="24"/>
              </w:rPr>
            </w:pPr>
            <w:r>
              <w:rPr>
                <w:rFonts w:hint="eastAsia" w:ascii="宋体" w:hAnsi="宋体" w:cs="宋体"/>
                <w:sz w:val="24"/>
                <w:szCs w:val="24"/>
              </w:rPr>
              <w:t>专 业</w:t>
            </w:r>
          </w:p>
        </w:tc>
        <w:tc>
          <w:tcPr>
            <w:tcW w:w="788" w:type="dxa"/>
            <w:vAlign w:val="center"/>
          </w:tcPr>
          <w:p>
            <w:pPr>
              <w:jc w:val="center"/>
              <w:rPr>
                <w:rFonts w:ascii="宋体" w:hAnsi="宋体" w:cs="宋体"/>
                <w:sz w:val="24"/>
                <w:szCs w:val="24"/>
              </w:rPr>
            </w:pPr>
            <w:r>
              <w:rPr>
                <w:rFonts w:hint="eastAsia" w:ascii="宋体" w:hAnsi="宋体" w:cs="宋体"/>
                <w:sz w:val="24"/>
                <w:szCs w:val="24"/>
              </w:rPr>
              <w:t>资质证书</w:t>
            </w:r>
          </w:p>
        </w:tc>
        <w:tc>
          <w:tcPr>
            <w:tcW w:w="1090" w:type="dxa"/>
            <w:tcBorders>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cs="宋体"/>
                <w:sz w:val="24"/>
                <w:szCs w:val="24"/>
              </w:rPr>
            </w:pPr>
          </w:p>
        </w:tc>
        <w:tc>
          <w:tcPr>
            <w:tcW w:w="822" w:type="dxa"/>
            <w:vAlign w:val="center"/>
          </w:tcPr>
          <w:p>
            <w:pPr>
              <w:spacing w:line="288" w:lineRule="auto"/>
              <w:jc w:val="center"/>
              <w:rPr>
                <w:rFonts w:ascii="宋体" w:hAnsi="宋体" w:cs="宋体"/>
                <w:sz w:val="24"/>
                <w:szCs w:val="24"/>
              </w:rPr>
            </w:pPr>
          </w:p>
        </w:tc>
        <w:tc>
          <w:tcPr>
            <w:tcW w:w="1392" w:type="dxa"/>
            <w:vAlign w:val="center"/>
          </w:tcPr>
          <w:p>
            <w:pPr>
              <w:spacing w:line="288" w:lineRule="auto"/>
              <w:jc w:val="center"/>
              <w:rPr>
                <w:rFonts w:ascii="宋体" w:hAnsi="宋体" w:cs="宋体"/>
                <w:sz w:val="24"/>
                <w:szCs w:val="24"/>
              </w:rPr>
            </w:pPr>
          </w:p>
        </w:tc>
        <w:tc>
          <w:tcPr>
            <w:tcW w:w="763" w:type="dxa"/>
            <w:vAlign w:val="center"/>
          </w:tcPr>
          <w:p>
            <w:pPr>
              <w:spacing w:line="288" w:lineRule="auto"/>
              <w:jc w:val="center"/>
              <w:rPr>
                <w:rFonts w:ascii="宋体" w:hAnsi="宋体" w:cs="宋体"/>
                <w:sz w:val="24"/>
                <w:szCs w:val="24"/>
              </w:rPr>
            </w:pPr>
          </w:p>
        </w:tc>
        <w:tc>
          <w:tcPr>
            <w:tcW w:w="708" w:type="dxa"/>
            <w:vAlign w:val="center"/>
          </w:tcPr>
          <w:p>
            <w:pPr>
              <w:spacing w:line="288" w:lineRule="auto"/>
              <w:jc w:val="center"/>
              <w:rPr>
                <w:rFonts w:ascii="宋体" w:hAnsi="宋体" w:cs="宋体"/>
                <w:sz w:val="24"/>
                <w:szCs w:val="24"/>
              </w:rPr>
            </w:pPr>
          </w:p>
        </w:tc>
        <w:tc>
          <w:tcPr>
            <w:tcW w:w="851" w:type="dxa"/>
            <w:vAlign w:val="center"/>
          </w:tcPr>
          <w:p>
            <w:pPr>
              <w:spacing w:line="288" w:lineRule="auto"/>
              <w:jc w:val="center"/>
              <w:rPr>
                <w:rFonts w:ascii="宋体" w:hAnsi="宋体" w:cs="宋体"/>
                <w:sz w:val="24"/>
                <w:szCs w:val="24"/>
              </w:rPr>
            </w:pPr>
          </w:p>
        </w:tc>
        <w:tc>
          <w:tcPr>
            <w:tcW w:w="850" w:type="dxa"/>
            <w:vAlign w:val="center"/>
          </w:tcPr>
          <w:p>
            <w:pPr>
              <w:spacing w:line="288" w:lineRule="auto"/>
              <w:jc w:val="center"/>
              <w:rPr>
                <w:rFonts w:ascii="宋体" w:hAnsi="宋体" w:cs="宋体"/>
                <w:sz w:val="24"/>
                <w:szCs w:val="24"/>
              </w:rPr>
            </w:pPr>
          </w:p>
        </w:tc>
        <w:tc>
          <w:tcPr>
            <w:tcW w:w="788" w:type="dxa"/>
            <w:vAlign w:val="center"/>
          </w:tcPr>
          <w:p>
            <w:pPr>
              <w:spacing w:line="288" w:lineRule="auto"/>
              <w:jc w:val="center"/>
              <w:rPr>
                <w:rFonts w:ascii="宋体" w:hAnsi="宋体" w:cs="宋体"/>
                <w:sz w:val="24"/>
                <w:szCs w:val="24"/>
              </w:rPr>
            </w:pPr>
          </w:p>
        </w:tc>
        <w:tc>
          <w:tcPr>
            <w:tcW w:w="1090" w:type="dxa"/>
            <w:tcBorders>
              <w:right w:val="single" w:color="auto" w:sz="6" w:space="0"/>
            </w:tcBorders>
            <w:vAlign w:val="center"/>
          </w:tcPr>
          <w:p>
            <w:pPr>
              <w:spacing w:line="288"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cs="宋体"/>
                <w:sz w:val="24"/>
                <w:szCs w:val="24"/>
              </w:rPr>
            </w:pPr>
          </w:p>
        </w:tc>
        <w:tc>
          <w:tcPr>
            <w:tcW w:w="822" w:type="dxa"/>
            <w:vAlign w:val="center"/>
          </w:tcPr>
          <w:p>
            <w:pPr>
              <w:spacing w:line="288" w:lineRule="auto"/>
              <w:jc w:val="center"/>
              <w:rPr>
                <w:rFonts w:ascii="宋体" w:hAnsi="宋体" w:cs="宋体"/>
                <w:sz w:val="24"/>
                <w:szCs w:val="24"/>
              </w:rPr>
            </w:pPr>
          </w:p>
        </w:tc>
        <w:tc>
          <w:tcPr>
            <w:tcW w:w="1392" w:type="dxa"/>
            <w:vAlign w:val="center"/>
          </w:tcPr>
          <w:p>
            <w:pPr>
              <w:spacing w:line="288" w:lineRule="auto"/>
              <w:jc w:val="center"/>
              <w:rPr>
                <w:rFonts w:ascii="宋体" w:hAnsi="宋体" w:cs="宋体"/>
                <w:sz w:val="24"/>
                <w:szCs w:val="24"/>
              </w:rPr>
            </w:pPr>
          </w:p>
        </w:tc>
        <w:tc>
          <w:tcPr>
            <w:tcW w:w="763" w:type="dxa"/>
            <w:vAlign w:val="center"/>
          </w:tcPr>
          <w:p>
            <w:pPr>
              <w:spacing w:line="288" w:lineRule="auto"/>
              <w:jc w:val="center"/>
              <w:rPr>
                <w:rFonts w:ascii="宋体" w:hAnsi="宋体" w:cs="宋体"/>
                <w:sz w:val="24"/>
                <w:szCs w:val="24"/>
              </w:rPr>
            </w:pPr>
          </w:p>
        </w:tc>
        <w:tc>
          <w:tcPr>
            <w:tcW w:w="708" w:type="dxa"/>
            <w:vAlign w:val="center"/>
          </w:tcPr>
          <w:p>
            <w:pPr>
              <w:spacing w:line="288" w:lineRule="auto"/>
              <w:jc w:val="center"/>
              <w:rPr>
                <w:rFonts w:ascii="宋体" w:hAnsi="宋体" w:cs="宋体"/>
                <w:sz w:val="24"/>
                <w:szCs w:val="24"/>
              </w:rPr>
            </w:pPr>
          </w:p>
        </w:tc>
        <w:tc>
          <w:tcPr>
            <w:tcW w:w="851" w:type="dxa"/>
            <w:vAlign w:val="center"/>
          </w:tcPr>
          <w:p>
            <w:pPr>
              <w:spacing w:line="288" w:lineRule="auto"/>
              <w:jc w:val="center"/>
              <w:rPr>
                <w:rFonts w:ascii="宋体" w:hAnsi="宋体" w:cs="宋体"/>
                <w:sz w:val="24"/>
                <w:szCs w:val="24"/>
              </w:rPr>
            </w:pPr>
          </w:p>
        </w:tc>
        <w:tc>
          <w:tcPr>
            <w:tcW w:w="850" w:type="dxa"/>
            <w:vAlign w:val="center"/>
          </w:tcPr>
          <w:p>
            <w:pPr>
              <w:spacing w:line="288" w:lineRule="auto"/>
              <w:jc w:val="center"/>
              <w:rPr>
                <w:rFonts w:ascii="宋体" w:hAnsi="宋体" w:cs="宋体"/>
                <w:sz w:val="24"/>
                <w:szCs w:val="24"/>
              </w:rPr>
            </w:pPr>
          </w:p>
        </w:tc>
        <w:tc>
          <w:tcPr>
            <w:tcW w:w="788" w:type="dxa"/>
            <w:vAlign w:val="center"/>
          </w:tcPr>
          <w:p>
            <w:pPr>
              <w:spacing w:line="288" w:lineRule="auto"/>
              <w:jc w:val="center"/>
              <w:rPr>
                <w:rFonts w:ascii="宋体" w:hAnsi="宋体" w:cs="宋体"/>
                <w:sz w:val="24"/>
                <w:szCs w:val="24"/>
              </w:rPr>
            </w:pPr>
          </w:p>
        </w:tc>
        <w:tc>
          <w:tcPr>
            <w:tcW w:w="1090" w:type="dxa"/>
            <w:tcBorders>
              <w:right w:val="single" w:color="auto" w:sz="6" w:space="0"/>
            </w:tcBorders>
            <w:vAlign w:val="center"/>
          </w:tcPr>
          <w:p>
            <w:pPr>
              <w:spacing w:line="288"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cs="宋体"/>
                <w:sz w:val="24"/>
                <w:szCs w:val="24"/>
              </w:rPr>
            </w:pPr>
          </w:p>
        </w:tc>
        <w:tc>
          <w:tcPr>
            <w:tcW w:w="822" w:type="dxa"/>
            <w:vAlign w:val="center"/>
          </w:tcPr>
          <w:p>
            <w:pPr>
              <w:spacing w:line="288" w:lineRule="auto"/>
              <w:jc w:val="center"/>
              <w:rPr>
                <w:rFonts w:ascii="宋体" w:hAnsi="宋体" w:cs="宋体"/>
                <w:sz w:val="24"/>
                <w:szCs w:val="24"/>
              </w:rPr>
            </w:pPr>
          </w:p>
        </w:tc>
        <w:tc>
          <w:tcPr>
            <w:tcW w:w="1392" w:type="dxa"/>
            <w:vAlign w:val="center"/>
          </w:tcPr>
          <w:p>
            <w:pPr>
              <w:spacing w:line="288" w:lineRule="auto"/>
              <w:jc w:val="center"/>
              <w:rPr>
                <w:rFonts w:ascii="宋体" w:hAnsi="宋体" w:cs="宋体"/>
                <w:sz w:val="24"/>
                <w:szCs w:val="24"/>
              </w:rPr>
            </w:pPr>
          </w:p>
        </w:tc>
        <w:tc>
          <w:tcPr>
            <w:tcW w:w="763" w:type="dxa"/>
            <w:vAlign w:val="center"/>
          </w:tcPr>
          <w:p>
            <w:pPr>
              <w:spacing w:line="288" w:lineRule="auto"/>
              <w:jc w:val="center"/>
              <w:rPr>
                <w:rFonts w:ascii="宋体" w:hAnsi="宋体" w:cs="宋体"/>
                <w:sz w:val="24"/>
                <w:szCs w:val="24"/>
              </w:rPr>
            </w:pPr>
          </w:p>
        </w:tc>
        <w:tc>
          <w:tcPr>
            <w:tcW w:w="708" w:type="dxa"/>
            <w:vAlign w:val="center"/>
          </w:tcPr>
          <w:p>
            <w:pPr>
              <w:spacing w:line="288" w:lineRule="auto"/>
              <w:jc w:val="center"/>
              <w:rPr>
                <w:rFonts w:ascii="宋体" w:hAnsi="宋体" w:cs="宋体"/>
                <w:sz w:val="24"/>
                <w:szCs w:val="24"/>
              </w:rPr>
            </w:pPr>
          </w:p>
        </w:tc>
        <w:tc>
          <w:tcPr>
            <w:tcW w:w="851" w:type="dxa"/>
            <w:vAlign w:val="center"/>
          </w:tcPr>
          <w:p>
            <w:pPr>
              <w:spacing w:line="288" w:lineRule="auto"/>
              <w:jc w:val="center"/>
              <w:rPr>
                <w:rFonts w:ascii="宋体" w:hAnsi="宋体" w:cs="宋体"/>
                <w:sz w:val="24"/>
                <w:szCs w:val="24"/>
              </w:rPr>
            </w:pPr>
          </w:p>
        </w:tc>
        <w:tc>
          <w:tcPr>
            <w:tcW w:w="850" w:type="dxa"/>
            <w:vAlign w:val="center"/>
          </w:tcPr>
          <w:p>
            <w:pPr>
              <w:spacing w:line="288" w:lineRule="auto"/>
              <w:jc w:val="center"/>
              <w:rPr>
                <w:rFonts w:ascii="宋体" w:hAnsi="宋体" w:cs="宋体"/>
                <w:sz w:val="24"/>
                <w:szCs w:val="24"/>
              </w:rPr>
            </w:pPr>
          </w:p>
        </w:tc>
        <w:tc>
          <w:tcPr>
            <w:tcW w:w="788" w:type="dxa"/>
            <w:vAlign w:val="center"/>
          </w:tcPr>
          <w:p>
            <w:pPr>
              <w:spacing w:line="288" w:lineRule="auto"/>
              <w:jc w:val="center"/>
              <w:rPr>
                <w:rFonts w:ascii="宋体" w:hAnsi="宋体" w:cs="宋体"/>
                <w:sz w:val="24"/>
                <w:szCs w:val="24"/>
              </w:rPr>
            </w:pPr>
          </w:p>
        </w:tc>
        <w:tc>
          <w:tcPr>
            <w:tcW w:w="1090" w:type="dxa"/>
            <w:tcBorders>
              <w:right w:val="single" w:color="auto" w:sz="6" w:space="0"/>
            </w:tcBorders>
            <w:vAlign w:val="center"/>
          </w:tcPr>
          <w:p>
            <w:pPr>
              <w:spacing w:line="288"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cs="宋体"/>
                <w:sz w:val="24"/>
                <w:szCs w:val="24"/>
              </w:rPr>
            </w:pPr>
          </w:p>
        </w:tc>
        <w:tc>
          <w:tcPr>
            <w:tcW w:w="822" w:type="dxa"/>
            <w:vAlign w:val="center"/>
          </w:tcPr>
          <w:p>
            <w:pPr>
              <w:spacing w:line="288" w:lineRule="auto"/>
              <w:jc w:val="center"/>
              <w:rPr>
                <w:rFonts w:ascii="宋体" w:hAnsi="宋体" w:cs="宋体"/>
                <w:sz w:val="24"/>
                <w:szCs w:val="24"/>
              </w:rPr>
            </w:pPr>
          </w:p>
        </w:tc>
        <w:tc>
          <w:tcPr>
            <w:tcW w:w="1392" w:type="dxa"/>
            <w:vAlign w:val="center"/>
          </w:tcPr>
          <w:p>
            <w:pPr>
              <w:spacing w:line="288" w:lineRule="auto"/>
              <w:jc w:val="center"/>
              <w:rPr>
                <w:rFonts w:ascii="宋体" w:hAnsi="宋体" w:cs="宋体"/>
                <w:sz w:val="24"/>
                <w:szCs w:val="24"/>
              </w:rPr>
            </w:pPr>
          </w:p>
        </w:tc>
        <w:tc>
          <w:tcPr>
            <w:tcW w:w="763" w:type="dxa"/>
            <w:vAlign w:val="center"/>
          </w:tcPr>
          <w:p>
            <w:pPr>
              <w:spacing w:line="288" w:lineRule="auto"/>
              <w:jc w:val="center"/>
              <w:rPr>
                <w:rFonts w:ascii="宋体" w:hAnsi="宋体" w:cs="宋体"/>
                <w:sz w:val="24"/>
                <w:szCs w:val="24"/>
              </w:rPr>
            </w:pPr>
          </w:p>
        </w:tc>
        <w:tc>
          <w:tcPr>
            <w:tcW w:w="708" w:type="dxa"/>
            <w:vAlign w:val="center"/>
          </w:tcPr>
          <w:p>
            <w:pPr>
              <w:spacing w:line="288" w:lineRule="auto"/>
              <w:jc w:val="center"/>
              <w:rPr>
                <w:rFonts w:ascii="宋体" w:hAnsi="宋体" w:cs="宋体"/>
                <w:sz w:val="24"/>
                <w:szCs w:val="24"/>
              </w:rPr>
            </w:pPr>
          </w:p>
        </w:tc>
        <w:tc>
          <w:tcPr>
            <w:tcW w:w="851" w:type="dxa"/>
            <w:vAlign w:val="center"/>
          </w:tcPr>
          <w:p>
            <w:pPr>
              <w:spacing w:line="288" w:lineRule="auto"/>
              <w:jc w:val="center"/>
              <w:rPr>
                <w:rFonts w:ascii="宋体" w:hAnsi="宋体" w:cs="宋体"/>
                <w:sz w:val="24"/>
                <w:szCs w:val="24"/>
              </w:rPr>
            </w:pPr>
          </w:p>
        </w:tc>
        <w:tc>
          <w:tcPr>
            <w:tcW w:w="850" w:type="dxa"/>
            <w:vAlign w:val="center"/>
          </w:tcPr>
          <w:p>
            <w:pPr>
              <w:spacing w:line="288" w:lineRule="auto"/>
              <w:jc w:val="center"/>
              <w:rPr>
                <w:rFonts w:ascii="宋体" w:hAnsi="宋体" w:cs="宋体"/>
                <w:sz w:val="24"/>
                <w:szCs w:val="24"/>
              </w:rPr>
            </w:pPr>
          </w:p>
        </w:tc>
        <w:tc>
          <w:tcPr>
            <w:tcW w:w="788" w:type="dxa"/>
            <w:vAlign w:val="center"/>
          </w:tcPr>
          <w:p>
            <w:pPr>
              <w:spacing w:line="288" w:lineRule="auto"/>
              <w:jc w:val="center"/>
              <w:rPr>
                <w:rFonts w:ascii="宋体" w:hAnsi="宋体" w:cs="宋体"/>
                <w:sz w:val="24"/>
                <w:szCs w:val="24"/>
              </w:rPr>
            </w:pPr>
          </w:p>
        </w:tc>
        <w:tc>
          <w:tcPr>
            <w:tcW w:w="1090" w:type="dxa"/>
            <w:tcBorders>
              <w:right w:val="single" w:color="auto" w:sz="6" w:space="0"/>
            </w:tcBorders>
            <w:vAlign w:val="center"/>
          </w:tcPr>
          <w:p>
            <w:pPr>
              <w:spacing w:line="288"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cs="宋体"/>
                <w:sz w:val="24"/>
                <w:szCs w:val="24"/>
              </w:rPr>
            </w:pPr>
          </w:p>
        </w:tc>
        <w:tc>
          <w:tcPr>
            <w:tcW w:w="822" w:type="dxa"/>
            <w:vAlign w:val="center"/>
          </w:tcPr>
          <w:p>
            <w:pPr>
              <w:spacing w:line="288" w:lineRule="auto"/>
              <w:jc w:val="center"/>
              <w:rPr>
                <w:rFonts w:ascii="宋体" w:hAnsi="宋体" w:cs="宋体"/>
                <w:sz w:val="24"/>
                <w:szCs w:val="24"/>
              </w:rPr>
            </w:pPr>
          </w:p>
        </w:tc>
        <w:tc>
          <w:tcPr>
            <w:tcW w:w="1392" w:type="dxa"/>
            <w:vAlign w:val="center"/>
          </w:tcPr>
          <w:p>
            <w:pPr>
              <w:spacing w:line="288" w:lineRule="auto"/>
              <w:jc w:val="center"/>
              <w:rPr>
                <w:rFonts w:ascii="宋体" w:hAnsi="宋体" w:cs="宋体"/>
                <w:sz w:val="24"/>
                <w:szCs w:val="24"/>
              </w:rPr>
            </w:pPr>
          </w:p>
        </w:tc>
        <w:tc>
          <w:tcPr>
            <w:tcW w:w="763" w:type="dxa"/>
            <w:vAlign w:val="center"/>
          </w:tcPr>
          <w:p>
            <w:pPr>
              <w:spacing w:line="288" w:lineRule="auto"/>
              <w:jc w:val="center"/>
              <w:rPr>
                <w:rFonts w:ascii="宋体" w:hAnsi="宋体" w:cs="宋体"/>
                <w:sz w:val="24"/>
                <w:szCs w:val="24"/>
              </w:rPr>
            </w:pPr>
          </w:p>
        </w:tc>
        <w:tc>
          <w:tcPr>
            <w:tcW w:w="708" w:type="dxa"/>
            <w:vAlign w:val="center"/>
          </w:tcPr>
          <w:p>
            <w:pPr>
              <w:spacing w:line="288" w:lineRule="auto"/>
              <w:jc w:val="center"/>
              <w:rPr>
                <w:rFonts w:ascii="宋体" w:hAnsi="宋体" w:cs="宋体"/>
                <w:sz w:val="24"/>
                <w:szCs w:val="24"/>
              </w:rPr>
            </w:pPr>
          </w:p>
        </w:tc>
        <w:tc>
          <w:tcPr>
            <w:tcW w:w="851" w:type="dxa"/>
            <w:vAlign w:val="center"/>
          </w:tcPr>
          <w:p>
            <w:pPr>
              <w:spacing w:line="288" w:lineRule="auto"/>
              <w:jc w:val="center"/>
              <w:rPr>
                <w:rFonts w:ascii="宋体" w:hAnsi="宋体" w:cs="宋体"/>
                <w:sz w:val="24"/>
                <w:szCs w:val="24"/>
              </w:rPr>
            </w:pPr>
          </w:p>
        </w:tc>
        <w:tc>
          <w:tcPr>
            <w:tcW w:w="850" w:type="dxa"/>
            <w:vAlign w:val="center"/>
          </w:tcPr>
          <w:p>
            <w:pPr>
              <w:spacing w:line="288" w:lineRule="auto"/>
              <w:jc w:val="center"/>
              <w:rPr>
                <w:rFonts w:ascii="宋体" w:hAnsi="宋体" w:cs="宋体"/>
                <w:sz w:val="24"/>
                <w:szCs w:val="24"/>
              </w:rPr>
            </w:pPr>
          </w:p>
        </w:tc>
        <w:tc>
          <w:tcPr>
            <w:tcW w:w="788" w:type="dxa"/>
            <w:vAlign w:val="center"/>
          </w:tcPr>
          <w:p>
            <w:pPr>
              <w:spacing w:line="288" w:lineRule="auto"/>
              <w:jc w:val="center"/>
              <w:rPr>
                <w:rFonts w:ascii="宋体" w:hAnsi="宋体" w:cs="宋体"/>
                <w:sz w:val="24"/>
                <w:szCs w:val="24"/>
              </w:rPr>
            </w:pPr>
          </w:p>
        </w:tc>
        <w:tc>
          <w:tcPr>
            <w:tcW w:w="1090" w:type="dxa"/>
            <w:tcBorders>
              <w:right w:val="single" w:color="auto" w:sz="6" w:space="0"/>
            </w:tcBorders>
            <w:vAlign w:val="center"/>
          </w:tcPr>
          <w:p>
            <w:pPr>
              <w:spacing w:line="288"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cs="宋体"/>
                <w:sz w:val="24"/>
                <w:szCs w:val="24"/>
              </w:rPr>
            </w:pPr>
          </w:p>
        </w:tc>
        <w:tc>
          <w:tcPr>
            <w:tcW w:w="822" w:type="dxa"/>
            <w:vAlign w:val="center"/>
          </w:tcPr>
          <w:p>
            <w:pPr>
              <w:spacing w:line="288" w:lineRule="auto"/>
              <w:jc w:val="center"/>
              <w:rPr>
                <w:rFonts w:ascii="宋体" w:hAnsi="宋体" w:cs="宋体"/>
                <w:sz w:val="24"/>
                <w:szCs w:val="24"/>
              </w:rPr>
            </w:pPr>
          </w:p>
        </w:tc>
        <w:tc>
          <w:tcPr>
            <w:tcW w:w="1392" w:type="dxa"/>
            <w:vAlign w:val="center"/>
          </w:tcPr>
          <w:p>
            <w:pPr>
              <w:spacing w:line="288" w:lineRule="auto"/>
              <w:jc w:val="center"/>
              <w:rPr>
                <w:rFonts w:ascii="宋体" w:hAnsi="宋体" w:cs="宋体"/>
                <w:sz w:val="24"/>
                <w:szCs w:val="24"/>
              </w:rPr>
            </w:pPr>
          </w:p>
        </w:tc>
        <w:tc>
          <w:tcPr>
            <w:tcW w:w="763" w:type="dxa"/>
            <w:vAlign w:val="center"/>
          </w:tcPr>
          <w:p>
            <w:pPr>
              <w:spacing w:line="288" w:lineRule="auto"/>
              <w:jc w:val="center"/>
              <w:rPr>
                <w:rFonts w:ascii="宋体" w:hAnsi="宋体" w:cs="宋体"/>
                <w:sz w:val="24"/>
                <w:szCs w:val="24"/>
              </w:rPr>
            </w:pPr>
          </w:p>
        </w:tc>
        <w:tc>
          <w:tcPr>
            <w:tcW w:w="708" w:type="dxa"/>
            <w:vAlign w:val="center"/>
          </w:tcPr>
          <w:p>
            <w:pPr>
              <w:spacing w:line="288" w:lineRule="auto"/>
              <w:jc w:val="center"/>
              <w:rPr>
                <w:rFonts w:ascii="宋体" w:hAnsi="宋体" w:cs="宋体"/>
                <w:sz w:val="24"/>
                <w:szCs w:val="24"/>
              </w:rPr>
            </w:pPr>
          </w:p>
        </w:tc>
        <w:tc>
          <w:tcPr>
            <w:tcW w:w="851" w:type="dxa"/>
            <w:vAlign w:val="center"/>
          </w:tcPr>
          <w:p>
            <w:pPr>
              <w:spacing w:line="288" w:lineRule="auto"/>
              <w:jc w:val="center"/>
              <w:rPr>
                <w:rFonts w:ascii="宋体" w:hAnsi="宋体" w:cs="宋体"/>
                <w:sz w:val="24"/>
                <w:szCs w:val="24"/>
              </w:rPr>
            </w:pPr>
          </w:p>
        </w:tc>
        <w:tc>
          <w:tcPr>
            <w:tcW w:w="850" w:type="dxa"/>
            <w:vAlign w:val="center"/>
          </w:tcPr>
          <w:p>
            <w:pPr>
              <w:spacing w:line="288" w:lineRule="auto"/>
              <w:jc w:val="center"/>
              <w:rPr>
                <w:rFonts w:ascii="宋体" w:hAnsi="宋体" w:cs="宋体"/>
                <w:sz w:val="24"/>
                <w:szCs w:val="24"/>
              </w:rPr>
            </w:pPr>
          </w:p>
        </w:tc>
        <w:tc>
          <w:tcPr>
            <w:tcW w:w="788" w:type="dxa"/>
            <w:vAlign w:val="center"/>
          </w:tcPr>
          <w:p>
            <w:pPr>
              <w:spacing w:line="288" w:lineRule="auto"/>
              <w:jc w:val="center"/>
              <w:rPr>
                <w:rFonts w:ascii="宋体" w:hAnsi="宋体" w:cs="宋体"/>
                <w:sz w:val="24"/>
                <w:szCs w:val="24"/>
              </w:rPr>
            </w:pPr>
          </w:p>
        </w:tc>
        <w:tc>
          <w:tcPr>
            <w:tcW w:w="1090" w:type="dxa"/>
            <w:tcBorders>
              <w:right w:val="single" w:color="auto" w:sz="6" w:space="0"/>
            </w:tcBorders>
            <w:vAlign w:val="center"/>
          </w:tcPr>
          <w:p>
            <w:pPr>
              <w:spacing w:line="288"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cs="宋体"/>
                <w:sz w:val="24"/>
                <w:szCs w:val="24"/>
              </w:rPr>
            </w:pPr>
          </w:p>
        </w:tc>
        <w:tc>
          <w:tcPr>
            <w:tcW w:w="822" w:type="dxa"/>
            <w:vAlign w:val="center"/>
          </w:tcPr>
          <w:p>
            <w:pPr>
              <w:spacing w:line="288" w:lineRule="auto"/>
              <w:jc w:val="center"/>
              <w:rPr>
                <w:rFonts w:ascii="宋体" w:hAnsi="宋体" w:cs="宋体"/>
                <w:sz w:val="24"/>
                <w:szCs w:val="24"/>
              </w:rPr>
            </w:pPr>
          </w:p>
        </w:tc>
        <w:tc>
          <w:tcPr>
            <w:tcW w:w="1392" w:type="dxa"/>
            <w:vAlign w:val="center"/>
          </w:tcPr>
          <w:p>
            <w:pPr>
              <w:spacing w:line="288" w:lineRule="auto"/>
              <w:jc w:val="center"/>
              <w:rPr>
                <w:rFonts w:ascii="宋体" w:hAnsi="宋体" w:cs="宋体"/>
                <w:sz w:val="24"/>
                <w:szCs w:val="24"/>
              </w:rPr>
            </w:pPr>
          </w:p>
        </w:tc>
        <w:tc>
          <w:tcPr>
            <w:tcW w:w="763" w:type="dxa"/>
            <w:vAlign w:val="center"/>
          </w:tcPr>
          <w:p>
            <w:pPr>
              <w:spacing w:line="288" w:lineRule="auto"/>
              <w:jc w:val="center"/>
              <w:rPr>
                <w:rFonts w:ascii="宋体" w:hAnsi="宋体" w:cs="宋体"/>
                <w:sz w:val="24"/>
                <w:szCs w:val="24"/>
              </w:rPr>
            </w:pPr>
          </w:p>
        </w:tc>
        <w:tc>
          <w:tcPr>
            <w:tcW w:w="708" w:type="dxa"/>
            <w:vAlign w:val="center"/>
          </w:tcPr>
          <w:p>
            <w:pPr>
              <w:spacing w:line="288" w:lineRule="auto"/>
              <w:jc w:val="center"/>
              <w:rPr>
                <w:rFonts w:ascii="宋体" w:hAnsi="宋体" w:cs="宋体"/>
                <w:sz w:val="24"/>
                <w:szCs w:val="24"/>
              </w:rPr>
            </w:pPr>
          </w:p>
        </w:tc>
        <w:tc>
          <w:tcPr>
            <w:tcW w:w="851" w:type="dxa"/>
            <w:vAlign w:val="center"/>
          </w:tcPr>
          <w:p>
            <w:pPr>
              <w:spacing w:line="288" w:lineRule="auto"/>
              <w:jc w:val="center"/>
              <w:rPr>
                <w:rFonts w:ascii="宋体" w:hAnsi="宋体" w:cs="宋体"/>
                <w:sz w:val="24"/>
                <w:szCs w:val="24"/>
              </w:rPr>
            </w:pPr>
          </w:p>
        </w:tc>
        <w:tc>
          <w:tcPr>
            <w:tcW w:w="850" w:type="dxa"/>
            <w:vAlign w:val="center"/>
          </w:tcPr>
          <w:p>
            <w:pPr>
              <w:spacing w:line="288" w:lineRule="auto"/>
              <w:jc w:val="center"/>
              <w:rPr>
                <w:rFonts w:ascii="宋体" w:hAnsi="宋体" w:cs="宋体"/>
                <w:sz w:val="24"/>
                <w:szCs w:val="24"/>
              </w:rPr>
            </w:pPr>
          </w:p>
        </w:tc>
        <w:tc>
          <w:tcPr>
            <w:tcW w:w="788" w:type="dxa"/>
            <w:vAlign w:val="center"/>
          </w:tcPr>
          <w:p>
            <w:pPr>
              <w:spacing w:line="288" w:lineRule="auto"/>
              <w:jc w:val="center"/>
              <w:rPr>
                <w:rFonts w:ascii="宋体" w:hAnsi="宋体" w:cs="宋体"/>
                <w:sz w:val="24"/>
                <w:szCs w:val="24"/>
              </w:rPr>
            </w:pPr>
          </w:p>
        </w:tc>
        <w:tc>
          <w:tcPr>
            <w:tcW w:w="1090" w:type="dxa"/>
            <w:tcBorders>
              <w:right w:val="single" w:color="auto" w:sz="6" w:space="0"/>
            </w:tcBorders>
            <w:vAlign w:val="center"/>
          </w:tcPr>
          <w:p>
            <w:pPr>
              <w:spacing w:line="288"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cs="宋体"/>
                <w:sz w:val="24"/>
                <w:szCs w:val="24"/>
              </w:rPr>
            </w:pPr>
          </w:p>
        </w:tc>
        <w:tc>
          <w:tcPr>
            <w:tcW w:w="822" w:type="dxa"/>
            <w:vAlign w:val="center"/>
          </w:tcPr>
          <w:p>
            <w:pPr>
              <w:spacing w:line="288" w:lineRule="auto"/>
              <w:jc w:val="center"/>
              <w:rPr>
                <w:rFonts w:ascii="宋体" w:hAnsi="宋体" w:cs="宋体"/>
                <w:sz w:val="24"/>
                <w:szCs w:val="24"/>
              </w:rPr>
            </w:pPr>
          </w:p>
        </w:tc>
        <w:tc>
          <w:tcPr>
            <w:tcW w:w="1392" w:type="dxa"/>
            <w:vAlign w:val="center"/>
          </w:tcPr>
          <w:p>
            <w:pPr>
              <w:spacing w:line="288" w:lineRule="auto"/>
              <w:jc w:val="center"/>
              <w:rPr>
                <w:rFonts w:ascii="宋体" w:hAnsi="宋体" w:cs="宋体"/>
                <w:sz w:val="24"/>
                <w:szCs w:val="24"/>
              </w:rPr>
            </w:pPr>
          </w:p>
        </w:tc>
        <w:tc>
          <w:tcPr>
            <w:tcW w:w="763" w:type="dxa"/>
            <w:vAlign w:val="center"/>
          </w:tcPr>
          <w:p>
            <w:pPr>
              <w:spacing w:line="288" w:lineRule="auto"/>
              <w:jc w:val="center"/>
              <w:rPr>
                <w:rFonts w:ascii="宋体" w:hAnsi="宋体" w:cs="宋体"/>
                <w:sz w:val="24"/>
                <w:szCs w:val="24"/>
              </w:rPr>
            </w:pPr>
          </w:p>
        </w:tc>
        <w:tc>
          <w:tcPr>
            <w:tcW w:w="708" w:type="dxa"/>
            <w:vAlign w:val="center"/>
          </w:tcPr>
          <w:p>
            <w:pPr>
              <w:spacing w:line="288" w:lineRule="auto"/>
              <w:jc w:val="center"/>
              <w:rPr>
                <w:rFonts w:ascii="宋体" w:hAnsi="宋体" w:cs="宋体"/>
                <w:sz w:val="24"/>
                <w:szCs w:val="24"/>
              </w:rPr>
            </w:pPr>
          </w:p>
        </w:tc>
        <w:tc>
          <w:tcPr>
            <w:tcW w:w="851" w:type="dxa"/>
            <w:vAlign w:val="center"/>
          </w:tcPr>
          <w:p>
            <w:pPr>
              <w:spacing w:line="288" w:lineRule="auto"/>
              <w:jc w:val="center"/>
              <w:rPr>
                <w:rFonts w:ascii="宋体" w:hAnsi="宋体" w:cs="宋体"/>
                <w:sz w:val="24"/>
                <w:szCs w:val="24"/>
              </w:rPr>
            </w:pPr>
          </w:p>
        </w:tc>
        <w:tc>
          <w:tcPr>
            <w:tcW w:w="850" w:type="dxa"/>
            <w:vAlign w:val="center"/>
          </w:tcPr>
          <w:p>
            <w:pPr>
              <w:spacing w:line="288" w:lineRule="auto"/>
              <w:jc w:val="center"/>
              <w:rPr>
                <w:rFonts w:ascii="宋体" w:hAnsi="宋体" w:cs="宋体"/>
                <w:sz w:val="24"/>
                <w:szCs w:val="24"/>
              </w:rPr>
            </w:pPr>
          </w:p>
        </w:tc>
        <w:tc>
          <w:tcPr>
            <w:tcW w:w="788" w:type="dxa"/>
            <w:vAlign w:val="center"/>
          </w:tcPr>
          <w:p>
            <w:pPr>
              <w:spacing w:line="288" w:lineRule="auto"/>
              <w:jc w:val="center"/>
              <w:rPr>
                <w:rFonts w:ascii="宋体" w:hAnsi="宋体" w:cs="宋体"/>
                <w:sz w:val="24"/>
                <w:szCs w:val="24"/>
              </w:rPr>
            </w:pPr>
          </w:p>
        </w:tc>
        <w:tc>
          <w:tcPr>
            <w:tcW w:w="1090" w:type="dxa"/>
            <w:tcBorders>
              <w:right w:val="single" w:color="auto" w:sz="6" w:space="0"/>
            </w:tcBorders>
            <w:vAlign w:val="center"/>
          </w:tcPr>
          <w:p>
            <w:pPr>
              <w:spacing w:line="288"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cs="宋体"/>
                <w:sz w:val="24"/>
                <w:szCs w:val="24"/>
              </w:rPr>
            </w:pPr>
          </w:p>
        </w:tc>
        <w:tc>
          <w:tcPr>
            <w:tcW w:w="822" w:type="dxa"/>
            <w:vAlign w:val="center"/>
          </w:tcPr>
          <w:p>
            <w:pPr>
              <w:spacing w:line="288" w:lineRule="auto"/>
              <w:jc w:val="center"/>
              <w:rPr>
                <w:rFonts w:ascii="宋体" w:hAnsi="宋体" w:cs="宋体"/>
                <w:sz w:val="24"/>
                <w:szCs w:val="24"/>
              </w:rPr>
            </w:pPr>
          </w:p>
        </w:tc>
        <w:tc>
          <w:tcPr>
            <w:tcW w:w="1392" w:type="dxa"/>
            <w:vAlign w:val="center"/>
          </w:tcPr>
          <w:p>
            <w:pPr>
              <w:spacing w:line="288" w:lineRule="auto"/>
              <w:jc w:val="center"/>
              <w:rPr>
                <w:rFonts w:ascii="宋体" w:hAnsi="宋体" w:cs="宋体"/>
                <w:sz w:val="24"/>
                <w:szCs w:val="24"/>
              </w:rPr>
            </w:pPr>
          </w:p>
        </w:tc>
        <w:tc>
          <w:tcPr>
            <w:tcW w:w="763" w:type="dxa"/>
            <w:vAlign w:val="center"/>
          </w:tcPr>
          <w:p>
            <w:pPr>
              <w:spacing w:line="288" w:lineRule="auto"/>
              <w:jc w:val="center"/>
              <w:rPr>
                <w:rFonts w:ascii="宋体" w:hAnsi="宋体" w:cs="宋体"/>
                <w:sz w:val="24"/>
                <w:szCs w:val="24"/>
              </w:rPr>
            </w:pPr>
          </w:p>
        </w:tc>
        <w:tc>
          <w:tcPr>
            <w:tcW w:w="708" w:type="dxa"/>
            <w:vAlign w:val="center"/>
          </w:tcPr>
          <w:p>
            <w:pPr>
              <w:spacing w:line="288" w:lineRule="auto"/>
              <w:jc w:val="center"/>
              <w:rPr>
                <w:rFonts w:ascii="宋体" w:hAnsi="宋体" w:cs="宋体"/>
                <w:sz w:val="24"/>
                <w:szCs w:val="24"/>
              </w:rPr>
            </w:pPr>
          </w:p>
        </w:tc>
        <w:tc>
          <w:tcPr>
            <w:tcW w:w="851" w:type="dxa"/>
            <w:vAlign w:val="center"/>
          </w:tcPr>
          <w:p>
            <w:pPr>
              <w:spacing w:line="288" w:lineRule="auto"/>
              <w:jc w:val="center"/>
              <w:rPr>
                <w:rFonts w:ascii="宋体" w:hAnsi="宋体" w:cs="宋体"/>
                <w:sz w:val="24"/>
                <w:szCs w:val="24"/>
              </w:rPr>
            </w:pPr>
          </w:p>
        </w:tc>
        <w:tc>
          <w:tcPr>
            <w:tcW w:w="850" w:type="dxa"/>
            <w:vAlign w:val="center"/>
          </w:tcPr>
          <w:p>
            <w:pPr>
              <w:spacing w:line="288" w:lineRule="auto"/>
              <w:jc w:val="center"/>
              <w:rPr>
                <w:rFonts w:ascii="宋体" w:hAnsi="宋体" w:cs="宋体"/>
                <w:sz w:val="24"/>
                <w:szCs w:val="24"/>
              </w:rPr>
            </w:pPr>
          </w:p>
        </w:tc>
        <w:tc>
          <w:tcPr>
            <w:tcW w:w="788" w:type="dxa"/>
            <w:vAlign w:val="center"/>
          </w:tcPr>
          <w:p>
            <w:pPr>
              <w:spacing w:line="288" w:lineRule="auto"/>
              <w:jc w:val="center"/>
              <w:rPr>
                <w:rFonts w:ascii="宋体" w:hAnsi="宋体" w:cs="宋体"/>
                <w:sz w:val="24"/>
                <w:szCs w:val="24"/>
              </w:rPr>
            </w:pPr>
          </w:p>
        </w:tc>
        <w:tc>
          <w:tcPr>
            <w:tcW w:w="1090" w:type="dxa"/>
            <w:tcBorders>
              <w:right w:val="single" w:color="auto" w:sz="6" w:space="0"/>
            </w:tcBorders>
            <w:vAlign w:val="center"/>
          </w:tcPr>
          <w:p>
            <w:pPr>
              <w:spacing w:line="288"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cs="宋体"/>
                <w:sz w:val="24"/>
                <w:szCs w:val="24"/>
              </w:rPr>
            </w:pPr>
          </w:p>
        </w:tc>
        <w:tc>
          <w:tcPr>
            <w:tcW w:w="822" w:type="dxa"/>
            <w:vAlign w:val="center"/>
          </w:tcPr>
          <w:p>
            <w:pPr>
              <w:spacing w:line="288" w:lineRule="auto"/>
              <w:jc w:val="center"/>
              <w:rPr>
                <w:rFonts w:ascii="宋体" w:hAnsi="宋体" w:cs="宋体"/>
                <w:sz w:val="24"/>
                <w:szCs w:val="24"/>
              </w:rPr>
            </w:pPr>
          </w:p>
        </w:tc>
        <w:tc>
          <w:tcPr>
            <w:tcW w:w="1392" w:type="dxa"/>
            <w:vAlign w:val="center"/>
          </w:tcPr>
          <w:p>
            <w:pPr>
              <w:spacing w:line="288" w:lineRule="auto"/>
              <w:jc w:val="center"/>
              <w:rPr>
                <w:rFonts w:ascii="宋体" w:hAnsi="宋体" w:cs="宋体"/>
                <w:sz w:val="24"/>
                <w:szCs w:val="24"/>
              </w:rPr>
            </w:pPr>
          </w:p>
        </w:tc>
        <w:tc>
          <w:tcPr>
            <w:tcW w:w="763" w:type="dxa"/>
            <w:vAlign w:val="center"/>
          </w:tcPr>
          <w:p>
            <w:pPr>
              <w:spacing w:line="288" w:lineRule="auto"/>
              <w:jc w:val="center"/>
              <w:rPr>
                <w:rFonts w:ascii="宋体" w:hAnsi="宋体" w:cs="宋体"/>
                <w:sz w:val="24"/>
                <w:szCs w:val="24"/>
              </w:rPr>
            </w:pPr>
          </w:p>
        </w:tc>
        <w:tc>
          <w:tcPr>
            <w:tcW w:w="708" w:type="dxa"/>
            <w:vAlign w:val="center"/>
          </w:tcPr>
          <w:p>
            <w:pPr>
              <w:spacing w:line="288" w:lineRule="auto"/>
              <w:jc w:val="center"/>
              <w:rPr>
                <w:rFonts w:ascii="宋体" w:hAnsi="宋体" w:cs="宋体"/>
                <w:sz w:val="24"/>
                <w:szCs w:val="24"/>
              </w:rPr>
            </w:pPr>
          </w:p>
        </w:tc>
        <w:tc>
          <w:tcPr>
            <w:tcW w:w="851" w:type="dxa"/>
            <w:vAlign w:val="center"/>
          </w:tcPr>
          <w:p>
            <w:pPr>
              <w:spacing w:line="288" w:lineRule="auto"/>
              <w:jc w:val="center"/>
              <w:rPr>
                <w:rFonts w:ascii="宋体" w:hAnsi="宋体" w:cs="宋体"/>
                <w:sz w:val="24"/>
                <w:szCs w:val="24"/>
              </w:rPr>
            </w:pPr>
          </w:p>
        </w:tc>
        <w:tc>
          <w:tcPr>
            <w:tcW w:w="850" w:type="dxa"/>
            <w:vAlign w:val="center"/>
          </w:tcPr>
          <w:p>
            <w:pPr>
              <w:spacing w:line="288" w:lineRule="auto"/>
              <w:jc w:val="center"/>
              <w:rPr>
                <w:rFonts w:ascii="宋体" w:hAnsi="宋体" w:cs="宋体"/>
                <w:sz w:val="24"/>
                <w:szCs w:val="24"/>
              </w:rPr>
            </w:pPr>
          </w:p>
        </w:tc>
        <w:tc>
          <w:tcPr>
            <w:tcW w:w="788" w:type="dxa"/>
            <w:vAlign w:val="center"/>
          </w:tcPr>
          <w:p>
            <w:pPr>
              <w:spacing w:line="288" w:lineRule="auto"/>
              <w:jc w:val="center"/>
              <w:rPr>
                <w:rFonts w:ascii="宋体" w:hAnsi="宋体" w:cs="宋体"/>
                <w:sz w:val="24"/>
                <w:szCs w:val="24"/>
              </w:rPr>
            </w:pPr>
          </w:p>
        </w:tc>
        <w:tc>
          <w:tcPr>
            <w:tcW w:w="1090" w:type="dxa"/>
            <w:tcBorders>
              <w:right w:val="single" w:color="auto" w:sz="6" w:space="0"/>
            </w:tcBorders>
            <w:vAlign w:val="center"/>
          </w:tcPr>
          <w:p>
            <w:pPr>
              <w:spacing w:line="288" w:lineRule="auto"/>
              <w:jc w:val="center"/>
              <w:rPr>
                <w:rFonts w:ascii="宋体" w:hAnsi="宋体" w:cs="宋体"/>
                <w:sz w:val="24"/>
                <w:szCs w:val="24"/>
              </w:rPr>
            </w:pPr>
          </w:p>
        </w:tc>
      </w:tr>
    </w:tbl>
    <w:p>
      <w:pPr>
        <w:ind w:firstLine="204" w:firstLineChars="85"/>
        <w:rPr>
          <w:rFonts w:ascii="宋体" w:hAnsi="宋体" w:cs="宋体"/>
          <w:sz w:val="24"/>
          <w:szCs w:val="24"/>
        </w:rPr>
      </w:pPr>
    </w:p>
    <w:p>
      <w:pPr>
        <w:ind w:firstLine="204" w:firstLineChars="85"/>
        <w:rPr>
          <w:rFonts w:ascii="宋体" w:hAnsi="宋体" w:cs="宋体"/>
          <w:sz w:val="24"/>
          <w:szCs w:val="24"/>
        </w:rPr>
      </w:pPr>
      <w:r>
        <w:rPr>
          <w:rFonts w:hint="eastAsia" w:ascii="宋体" w:hAnsi="宋体" w:cs="宋体"/>
          <w:sz w:val="24"/>
          <w:szCs w:val="24"/>
        </w:rPr>
        <w:t>附有关证明文件（复印件加盖公章）</w:t>
      </w:r>
    </w:p>
    <w:p>
      <w:pPr>
        <w:ind w:firstLine="204" w:firstLineChars="85"/>
        <w:rPr>
          <w:rFonts w:ascii="宋体" w:hAnsi="宋体" w:cs="宋体"/>
          <w:sz w:val="24"/>
          <w:szCs w:val="24"/>
        </w:rPr>
      </w:pPr>
      <w:r>
        <w:rPr>
          <w:rFonts w:hint="eastAsia" w:ascii="宋体" w:hAnsi="宋体" w:cs="宋体"/>
          <w:sz w:val="24"/>
          <w:szCs w:val="24"/>
        </w:rPr>
        <w:t>投标人代表签字：</w:t>
      </w:r>
    </w:p>
    <w:p>
      <w:pPr>
        <w:ind w:firstLine="204" w:firstLineChars="85"/>
        <w:rPr>
          <w:rFonts w:ascii="宋体" w:hAnsi="宋体" w:cs="宋体"/>
          <w:sz w:val="24"/>
          <w:szCs w:val="24"/>
        </w:rPr>
      </w:pPr>
      <w:r>
        <w:rPr>
          <w:rFonts w:hint="eastAsia" w:ascii="宋体" w:hAnsi="宋体" w:cs="宋体"/>
          <w:sz w:val="24"/>
          <w:szCs w:val="24"/>
        </w:rPr>
        <w:t>投标人盖章：</w:t>
      </w:r>
    </w:p>
    <w:p>
      <w:pPr>
        <w:rPr>
          <w:rFonts w:ascii="宋体" w:hAnsi="宋体" w:cs="宋体"/>
          <w:sz w:val="24"/>
          <w:szCs w:val="24"/>
        </w:rPr>
      </w:pPr>
      <w:r>
        <w:rPr>
          <w:rFonts w:hint="eastAsia" w:ascii="宋体" w:hAnsi="宋体" w:cs="宋体"/>
          <w:sz w:val="24"/>
          <w:szCs w:val="24"/>
        </w:rPr>
        <w:t>注：</w:t>
      </w:r>
    </w:p>
    <w:p>
      <w:pPr>
        <w:pStyle w:val="40"/>
        <w:numPr>
          <w:ilvl w:val="0"/>
          <w:numId w:val="24"/>
        </w:numPr>
        <w:ind w:firstLineChars="0"/>
        <w:rPr>
          <w:rFonts w:ascii="宋体" w:hAnsi="宋体" w:cs="宋体"/>
          <w:sz w:val="24"/>
          <w:szCs w:val="24"/>
        </w:rPr>
      </w:pPr>
      <w:r>
        <w:rPr>
          <w:rFonts w:hint="eastAsia" w:ascii="宋体" w:hAnsi="宋体" w:cs="宋体"/>
          <w:sz w:val="24"/>
          <w:szCs w:val="24"/>
        </w:rPr>
        <w:t>投标人可按项目的实际需要提供本表格。</w:t>
      </w:r>
    </w:p>
    <w:p>
      <w:pPr>
        <w:pStyle w:val="40"/>
        <w:numPr>
          <w:ilvl w:val="0"/>
          <w:numId w:val="24"/>
        </w:numPr>
        <w:ind w:firstLineChars="0"/>
        <w:rPr>
          <w:rFonts w:ascii="宋体" w:hAnsi="宋体" w:cs="宋体"/>
          <w:sz w:val="24"/>
          <w:szCs w:val="24"/>
        </w:rPr>
      </w:pPr>
      <w:r>
        <w:rPr>
          <w:rFonts w:hint="eastAsia" w:ascii="宋体" w:hAnsi="宋体" w:cs="宋体"/>
          <w:sz w:val="24"/>
          <w:szCs w:val="24"/>
        </w:rPr>
        <w:t>该表格为参考格式，投标人可按实际情况自行制订。</w:t>
      </w:r>
    </w:p>
    <w:p>
      <w:pPr>
        <w:rPr>
          <w:rFonts w:ascii="宋体" w:hAnsi="宋体" w:cs="宋体"/>
          <w:sz w:val="24"/>
          <w:szCs w:val="24"/>
        </w:rPr>
      </w:pPr>
      <w:r>
        <w:rPr>
          <w:rFonts w:hint="eastAsia" w:ascii="宋体" w:hAnsi="宋体" w:cs="宋体"/>
          <w:sz w:val="24"/>
          <w:szCs w:val="24"/>
        </w:rPr>
        <w:t>3、投标人若未提供或未填写完整则视为完全响应采购文件的人员要求，因此对投标人投标产生负面影响的，投标人自行承担后果。</w:t>
      </w:r>
    </w:p>
    <w:p>
      <w:pPr>
        <w:pStyle w:val="40"/>
        <w:numPr>
          <w:ilvl w:val="0"/>
          <w:numId w:val="24"/>
        </w:numPr>
        <w:ind w:firstLineChars="0"/>
        <w:rPr>
          <w:rFonts w:ascii="宋体" w:hAnsi="宋体" w:cs="宋体"/>
          <w:sz w:val="24"/>
          <w:szCs w:val="24"/>
        </w:rPr>
      </w:pPr>
      <w:r>
        <w:rPr>
          <w:rFonts w:hint="eastAsia" w:ascii="宋体" w:hAnsi="宋体" w:cs="宋体"/>
          <w:sz w:val="24"/>
          <w:szCs w:val="24"/>
        </w:rPr>
        <w:br w:type="page"/>
      </w:r>
    </w:p>
    <w:p>
      <w:pPr>
        <w:pStyle w:val="9"/>
        <w:widowControl w:val="0"/>
        <w:overflowPunct w:val="0"/>
        <w:spacing w:line="240" w:lineRule="auto"/>
        <w:rPr>
          <w:rFonts w:ascii="宋体" w:hAnsi="宋体" w:cs="宋体"/>
          <w:szCs w:val="24"/>
        </w:rPr>
      </w:pPr>
      <w:bookmarkStart w:id="284" w:name="_Toc29777"/>
      <w:bookmarkStart w:id="285" w:name="_Toc9037"/>
      <w:r>
        <w:rPr>
          <w:rFonts w:hint="eastAsia" w:ascii="宋体" w:hAnsi="宋体" w:cs="宋体"/>
          <w:szCs w:val="24"/>
        </w:rPr>
        <w:t>附件14.在经营活动中没有重大违法记录的书面声明格式</w:t>
      </w:r>
      <w:bookmarkEnd w:id="284"/>
      <w:bookmarkEnd w:id="285"/>
    </w:p>
    <w:p>
      <w:pPr>
        <w:rPr>
          <w:rFonts w:ascii="宋体" w:hAnsi="宋体" w:cs="宋体"/>
          <w:sz w:val="24"/>
          <w:szCs w:val="24"/>
        </w:rPr>
      </w:pPr>
    </w:p>
    <w:p>
      <w:pPr>
        <w:jc w:val="center"/>
        <w:rPr>
          <w:rFonts w:ascii="宋体" w:hAnsi="宋体" w:cs="宋体"/>
          <w:sz w:val="24"/>
          <w:szCs w:val="24"/>
        </w:rPr>
      </w:pPr>
      <w:r>
        <w:rPr>
          <w:rFonts w:hint="eastAsia" w:ascii="宋体" w:hAnsi="宋体" w:cs="宋体"/>
          <w:sz w:val="24"/>
          <w:szCs w:val="24"/>
        </w:rPr>
        <w:t>投标人在经营活动中前三年内未有重大违法记录、没有不良信用记录的声明函</w:t>
      </w:r>
    </w:p>
    <w:p>
      <w:pPr>
        <w:ind w:firstLine="480" w:firstLineChars="200"/>
        <w:rPr>
          <w:rFonts w:ascii="宋体" w:hAnsi="宋体" w:cs="宋体"/>
          <w:sz w:val="24"/>
          <w:szCs w:val="24"/>
        </w:rPr>
      </w:pPr>
    </w:p>
    <w:p>
      <w:pPr>
        <w:spacing w:line="480" w:lineRule="auto"/>
        <w:ind w:firstLine="480" w:firstLineChars="200"/>
        <w:rPr>
          <w:rFonts w:ascii="宋体" w:hAnsi="宋体" w:cs="宋体"/>
          <w:sz w:val="24"/>
          <w:szCs w:val="24"/>
        </w:rPr>
      </w:pPr>
      <w:r>
        <w:rPr>
          <w:rFonts w:hint="eastAsia" w:ascii="宋体" w:hAnsi="宋体" w:cs="宋体"/>
          <w:sz w:val="24"/>
          <w:szCs w:val="24"/>
        </w:rPr>
        <w:t>广东政通招标有限公司：</w:t>
      </w:r>
    </w:p>
    <w:p>
      <w:pPr>
        <w:spacing w:line="480" w:lineRule="auto"/>
        <w:ind w:firstLine="480" w:firstLineChars="200"/>
        <w:rPr>
          <w:rFonts w:ascii="宋体" w:hAnsi="宋体" w:cs="宋体"/>
          <w:sz w:val="24"/>
          <w:szCs w:val="24"/>
        </w:rPr>
      </w:pPr>
      <w:r>
        <w:rPr>
          <w:rFonts w:hint="eastAsia" w:ascii="宋体" w:hAnsi="宋体" w:cs="宋体"/>
          <w:sz w:val="24"/>
          <w:szCs w:val="24"/>
        </w:rPr>
        <w:t>我公司郑重承诺：在参加“</w:t>
      </w:r>
      <w:r>
        <w:rPr>
          <w:rFonts w:hint="eastAsia" w:ascii="宋体" w:hAnsi="宋体" w:cs="宋体"/>
          <w:sz w:val="24"/>
          <w:szCs w:val="24"/>
          <w:u w:val="single"/>
        </w:rPr>
        <w:t xml:space="preserve">       （采购项目名称）</w:t>
      </w:r>
      <w:r>
        <w:rPr>
          <w:rFonts w:hint="eastAsia" w:ascii="宋体" w:hAnsi="宋体" w:cs="宋体"/>
          <w:sz w:val="24"/>
          <w:szCs w:val="24"/>
        </w:rPr>
        <w:t>” （项目编号:）采购活动前三年内（设立不满三年的从设立之日计算），在经营活动中没有重大违法记录；至本项目提交投标文件截止时间止未被列入“信用中国”网站失信被执行人、税收违法黑名单。</w:t>
      </w:r>
    </w:p>
    <w:p>
      <w:pPr>
        <w:spacing w:line="480" w:lineRule="auto"/>
        <w:ind w:firstLine="480" w:firstLineChars="200"/>
        <w:rPr>
          <w:rFonts w:ascii="宋体" w:hAnsi="宋体" w:cs="宋体"/>
          <w:sz w:val="24"/>
          <w:szCs w:val="24"/>
        </w:rPr>
      </w:pPr>
      <w:r>
        <w:rPr>
          <w:rFonts w:hint="eastAsia" w:ascii="宋体" w:hAnsi="宋体" w:cs="宋体"/>
          <w:sz w:val="24"/>
          <w:szCs w:val="24"/>
        </w:rPr>
        <w:t>我公司以上承诺均为真实有效，绝无任何虚假、伪造的成份，否则，愿承担相应的后果和法律责任。</w:t>
      </w:r>
    </w:p>
    <w:p>
      <w:pPr>
        <w:ind w:firstLine="480" w:firstLineChars="200"/>
        <w:rPr>
          <w:rFonts w:ascii="宋体" w:hAnsi="宋体" w:cs="宋体"/>
          <w:sz w:val="24"/>
          <w:szCs w:val="24"/>
        </w:rPr>
      </w:pPr>
    </w:p>
    <w:p>
      <w:pPr>
        <w:rPr>
          <w:rFonts w:ascii="宋体" w:hAnsi="宋体" w:cs="宋体"/>
          <w:sz w:val="24"/>
          <w:szCs w:val="24"/>
        </w:rPr>
      </w:pPr>
    </w:p>
    <w:p>
      <w:pPr>
        <w:ind w:firstLine="480" w:firstLineChars="200"/>
        <w:rPr>
          <w:rFonts w:ascii="宋体" w:hAnsi="宋体" w:cs="宋体"/>
          <w:sz w:val="24"/>
          <w:szCs w:val="24"/>
        </w:rPr>
      </w:pPr>
      <w:r>
        <w:rPr>
          <w:rFonts w:hint="eastAsia" w:ascii="宋体" w:hAnsi="宋体" w:cs="宋体"/>
          <w:sz w:val="24"/>
          <w:szCs w:val="24"/>
        </w:rPr>
        <w:t>投标人名称（盖章）：</w:t>
      </w:r>
    </w:p>
    <w:p>
      <w:pPr>
        <w:rPr>
          <w:rFonts w:ascii="宋体" w:hAnsi="宋体" w:cs="宋体"/>
          <w:sz w:val="24"/>
          <w:szCs w:val="24"/>
        </w:rPr>
      </w:pPr>
    </w:p>
    <w:p>
      <w:pPr>
        <w:ind w:firstLine="480" w:firstLineChars="200"/>
        <w:rPr>
          <w:rFonts w:ascii="宋体" w:hAnsi="宋体" w:cs="宋体"/>
          <w:sz w:val="24"/>
          <w:szCs w:val="24"/>
        </w:rPr>
      </w:pPr>
      <w:r>
        <w:rPr>
          <w:rFonts w:hint="eastAsia" w:ascii="宋体" w:hAnsi="宋体" w:cs="宋体"/>
          <w:sz w:val="24"/>
          <w:szCs w:val="24"/>
        </w:rPr>
        <w:t>日期：</w:t>
      </w:r>
    </w:p>
    <w:p>
      <w:pPr>
        <w:adjustRightInd/>
        <w:snapToGrid/>
        <w:spacing w:line="276" w:lineRule="auto"/>
        <w:rPr>
          <w:rFonts w:ascii="宋体" w:hAnsi="宋体" w:cs="宋体"/>
          <w:b/>
          <w:bCs/>
          <w:sz w:val="24"/>
          <w:szCs w:val="24"/>
        </w:rPr>
      </w:pPr>
      <w:bookmarkStart w:id="286" w:name="_Toc417907703"/>
      <w:r>
        <w:rPr>
          <w:rFonts w:hint="eastAsia" w:ascii="宋体" w:hAnsi="宋体" w:cs="宋体"/>
          <w:sz w:val="24"/>
          <w:szCs w:val="24"/>
        </w:rPr>
        <w:br w:type="page"/>
      </w:r>
    </w:p>
    <w:bookmarkEnd w:id="286"/>
    <w:p>
      <w:pPr>
        <w:pStyle w:val="9"/>
        <w:widowControl w:val="0"/>
        <w:overflowPunct w:val="0"/>
        <w:spacing w:line="240" w:lineRule="auto"/>
        <w:rPr>
          <w:rFonts w:ascii="宋体" w:hAnsi="宋体" w:cs="宋体"/>
          <w:szCs w:val="24"/>
        </w:rPr>
      </w:pPr>
      <w:bookmarkStart w:id="287" w:name="_Toc20864"/>
      <w:bookmarkStart w:id="288" w:name="_Toc5856"/>
      <w:r>
        <w:rPr>
          <w:rFonts w:hint="eastAsia" w:ascii="宋体" w:hAnsi="宋体" w:cs="宋体"/>
          <w:szCs w:val="24"/>
        </w:rPr>
        <w:t>附件15. 投标保证金汇入情况说明格式</w:t>
      </w:r>
      <w:bookmarkEnd w:id="287"/>
      <w:bookmarkEnd w:id="288"/>
    </w:p>
    <w:p>
      <w:pPr>
        <w:rPr>
          <w:rFonts w:ascii="宋体" w:hAnsi="宋体" w:cs="宋体"/>
          <w:sz w:val="24"/>
          <w:szCs w:val="24"/>
        </w:rPr>
      </w:pPr>
    </w:p>
    <w:p>
      <w:pPr>
        <w:jc w:val="center"/>
        <w:rPr>
          <w:rFonts w:ascii="宋体" w:hAnsi="宋体" w:cs="宋体"/>
          <w:sz w:val="24"/>
          <w:szCs w:val="24"/>
        </w:rPr>
      </w:pPr>
      <w:r>
        <w:rPr>
          <w:rFonts w:hint="eastAsia" w:ascii="宋体" w:hAnsi="宋体" w:cs="宋体"/>
          <w:sz w:val="24"/>
          <w:szCs w:val="24"/>
        </w:rPr>
        <w:t>投标保证金汇入情况说明</w:t>
      </w:r>
    </w:p>
    <w:p>
      <w:pPr>
        <w:spacing w:line="480" w:lineRule="auto"/>
        <w:rPr>
          <w:rFonts w:ascii="宋体" w:hAnsi="宋体" w:cs="宋体"/>
          <w:sz w:val="24"/>
          <w:szCs w:val="24"/>
        </w:rPr>
      </w:pPr>
      <w:r>
        <w:rPr>
          <w:rFonts w:hint="eastAsia" w:ascii="宋体" w:hAnsi="宋体" w:cs="宋体"/>
          <w:sz w:val="24"/>
          <w:szCs w:val="24"/>
        </w:rPr>
        <w:t>致：广东政通招标有限公司：</w:t>
      </w:r>
    </w:p>
    <w:p>
      <w:pPr>
        <w:spacing w:line="480" w:lineRule="auto"/>
        <w:ind w:firstLine="480" w:firstLineChars="200"/>
        <w:rPr>
          <w:rFonts w:ascii="宋体" w:hAnsi="宋体" w:cs="宋体"/>
          <w:sz w:val="24"/>
          <w:szCs w:val="24"/>
        </w:rPr>
      </w:pPr>
      <w:r>
        <w:rPr>
          <w:rFonts w:hint="eastAsia" w:ascii="宋体" w:hAnsi="宋体" w:cs="宋体"/>
          <w:sz w:val="24"/>
          <w:szCs w:val="24"/>
        </w:rPr>
        <w:t>本单位已按项目包（采购项目编号：）的采购文件要求，于年月日前以</w:t>
      </w:r>
      <w:r>
        <w:rPr>
          <w:rFonts w:hint="eastAsia" w:ascii="宋体" w:hAnsi="宋体" w:cs="宋体"/>
          <w:sz w:val="24"/>
          <w:szCs w:val="24"/>
          <w:u w:val="single"/>
        </w:rPr>
        <w:t xml:space="preserve">           （付款形式）</w:t>
      </w:r>
      <w:r>
        <w:rPr>
          <w:rFonts w:hint="eastAsia" w:ascii="宋体" w:hAnsi="宋体" w:cs="宋体"/>
          <w:sz w:val="24"/>
          <w:szCs w:val="24"/>
        </w:rPr>
        <w:t>方式汇入指定账户（账户名称：，账号： ,开户银行：）。</w:t>
      </w:r>
    </w:p>
    <w:p>
      <w:pPr>
        <w:spacing w:line="480" w:lineRule="auto"/>
        <w:ind w:firstLine="480" w:firstLineChars="200"/>
        <w:rPr>
          <w:rFonts w:ascii="宋体" w:hAnsi="宋体" w:cs="宋体"/>
          <w:sz w:val="24"/>
          <w:szCs w:val="24"/>
        </w:rPr>
      </w:pPr>
      <w:r>
        <w:rPr>
          <w:rFonts w:hint="eastAsia" w:ascii="宋体" w:hAnsi="宋体" w:cs="宋体"/>
          <w:sz w:val="24"/>
          <w:szCs w:val="24"/>
        </w:rPr>
        <w:t>本单位投标保证金的汇款情况：（详见附件－投标保证金进账单）</w:t>
      </w:r>
    </w:p>
    <w:p>
      <w:pPr>
        <w:spacing w:line="480" w:lineRule="auto"/>
        <w:ind w:firstLine="480" w:firstLineChars="200"/>
        <w:rPr>
          <w:rFonts w:ascii="宋体" w:hAnsi="宋体" w:cs="宋体"/>
          <w:sz w:val="24"/>
          <w:szCs w:val="24"/>
        </w:rPr>
      </w:pPr>
      <w:r>
        <w:rPr>
          <w:rFonts w:hint="eastAsia" w:ascii="宋体" w:hAnsi="宋体" w:cs="宋体"/>
          <w:sz w:val="24"/>
          <w:szCs w:val="24"/>
        </w:rPr>
        <w:t>汇出时间：年月日；</w:t>
      </w:r>
    </w:p>
    <w:p>
      <w:pPr>
        <w:spacing w:line="480" w:lineRule="auto"/>
        <w:ind w:firstLine="480" w:firstLineChars="200"/>
        <w:rPr>
          <w:rFonts w:ascii="宋体" w:hAnsi="宋体" w:cs="宋体"/>
          <w:sz w:val="24"/>
          <w:szCs w:val="24"/>
        </w:rPr>
      </w:pPr>
      <w:r>
        <w:rPr>
          <w:rFonts w:hint="eastAsia" w:ascii="宋体" w:hAnsi="宋体" w:cs="宋体"/>
          <w:sz w:val="24"/>
          <w:szCs w:val="24"/>
        </w:rPr>
        <w:t>汇款金额：（大写）人民币元（小写：￥元），</w:t>
      </w:r>
    </w:p>
    <w:p>
      <w:pPr>
        <w:spacing w:line="480" w:lineRule="auto"/>
        <w:ind w:firstLine="480" w:firstLineChars="200"/>
        <w:rPr>
          <w:rFonts w:ascii="宋体" w:hAnsi="宋体" w:cs="宋体"/>
          <w:sz w:val="24"/>
          <w:szCs w:val="24"/>
        </w:rPr>
      </w:pPr>
      <w:r>
        <w:rPr>
          <w:rFonts w:hint="eastAsia" w:ascii="宋体" w:hAnsi="宋体" w:cs="宋体"/>
          <w:sz w:val="24"/>
          <w:szCs w:val="24"/>
        </w:rPr>
        <w:t>汇款账户名称：</w:t>
      </w:r>
      <w:r>
        <w:rPr>
          <w:rFonts w:hint="eastAsia" w:ascii="宋体" w:hAnsi="宋体" w:cs="宋体"/>
          <w:sz w:val="24"/>
          <w:szCs w:val="24"/>
          <w:u w:val="single"/>
        </w:rPr>
        <w:t xml:space="preserve">  （必须是投标时使用的账户名）   </w:t>
      </w:r>
    </w:p>
    <w:p>
      <w:pPr>
        <w:spacing w:line="480" w:lineRule="auto"/>
        <w:ind w:firstLine="480" w:firstLineChars="200"/>
        <w:rPr>
          <w:rFonts w:ascii="宋体" w:hAnsi="宋体" w:cs="宋体"/>
          <w:sz w:val="24"/>
          <w:szCs w:val="24"/>
        </w:rPr>
      </w:pPr>
      <w:r>
        <w:rPr>
          <w:rFonts w:hint="eastAsia" w:ascii="宋体" w:hAnsi="宋体" w:cs="宋体"/>
          <w:sz w:val="24"/>
          <w:szCs w:val="24"/>
        </w:rPr>
        <w:t>账        号：</w:t>
      </w:r>
      <w:r>
        <w:rPr>
          <w:rFonts w:hint="eastAsia" w:ascii="宋体" w:hAnsi="宋体" w:cs="宋体"/>
          <w:sz w:val="24"/>
          <w:szCs w:val="24"/>
          <w:u w:val="single"/>
        </w:rPr>
        <w:t xml:space="preserve">  （必须是投标时使用的账号）     </w:t>
      </w:r>
    </w:p>
    <w:p>
      <w:pPr>
        <w:spacing w:line="480" w:lineRule="auto"/>
        <w:ind w:firstLine="480" w:firstLineChars="200"/>
        <w:rPr>
          <w:rFonts w:ascii="宋体" w:hAnsi="宋体" w:cs="宋体"/>
          <w:sz w:val="24"/>
          <w:szCs w:val="24"/>
          <w:u w:val="single"/>
        </w:rPr>
      </w:pPr>
      <w:r>
        <w:rPr>
          <w:rFonts w:hint="eastAsia" w:ascii="宋体" w:hAnsi="宋体" w:cs="宋体"/>
          <w:sz w:val="24"/>
          <w:szCs w:val="24"/>
        </w:rPr>
        <w:t>开 户  银 行：</w:t>
      </w:r>
      <w:r>
        <w:rPr>
          <w:rFonts w:hint="eastAsia" w:ascii="宋体" w:hAnsi="宋体" w:cs="宋体"/>
          <w:sz w:val="24"/>
          <w:szCs w:val="24"/>
          <w:u w:val="single"/>
        </w:rPr>
        <w:t xml:space="preserve">  （      银行   分行  支行    ）</w:t>
      </w:r>
    </w:p>
    <w:p>
      <w:pPr>
        <w:spacing w:line="480" w:lineRule="auto"/>
        <w:ind w:firstLine="480" w:firstLineChars="200"/>
        <w:rPr>
          <w:rFonts w:ascii="宋体" w:hAnsi="宋体" w:cs="宋体"/>
          <w:sz w:val="24"/>
          <w:szCs w:val="24"/>
        </w:rPr>
      </w:pPr>
      <w:r>
        <w:rPr>
          <w:rFonts w:hint="eastAsia" w:ascii="宋体" w:hAnsi="宋体" w:cs="宋体"/>
          <w:sz w:val="24"/>
          <w:szCs w:val="24"/>
        </w:rPr>
        <w:t>本单位谨承诺上述资料是正确、真实的，如因上述证明与事实不符导致的一切损失，本单位保证承担赔偿等一切法律责任。</w:t>
      </w:r>
    </w:p>
    <w:p>
      <w:pPr>
        <w:spacing w:line="480" w:lineRule="auto"/>
        <w:ind w:firstLine="480" w:firstLineChars="200"/>
        <w:rPr>
          <w:rFonts w:ascii="宋体" w:hAnsi="宋体" w:cs="宋体"/>
          <w:sz w:val="24"/>
          <w:szCs w:val="24"/>
        </w:rPr>
      </w:pPr>
      <w:r>
        <w:rPr>
          <w:rFonts w:hint="eastAsia" w:ascii="宋体" w:hAnsi="宋体" w:cs="宋体"/>
          <w:sz w:val="24"/>
          <w:szCs w:val="24"/>
        </w:rPr>
        <w:t>投标保证金退回时，请按上述资料退回。</w:t>
      </w:r>
    </w:p>
    <w:p>
      <w:pPr>
        <w:spacing w:line="480" w:lineRule="auto"/>
        <w:ind w:right="844" w:rightChars="402"/>
        <w:jc w:val="right"/>
        <w:rPr>
          <w:rFonts w:ascii="宋体" w:hAnsi="宋体" w:cs="宋体"/>
          <w:sz w:val="24"/>
          <w:szCs w:val="24"/>
        </w:rPr>
      </w:pPr>
      <w:r>
        <w:rPr>
          <w:rFonts w:hint="eastAsia" w:ascii="宋体" w:hAnsi="宋体" w:cs="宋体"/>
          <w:sz w:val="24"/>
          <w:szCs w:val="24"/>
        </w:rPr>
        <w:t>（单位公章）</w:t>
      </w:r>
    </w:p>
    <w:p>
      <w:pPr>
        <w:spacing w:line="480" w:lineRule="auto"/>
        <w:ind w:right="628" w:rightChars="299"/>
        <w:jc w:val="right"/>
        <w:rPr>
          <w:rFonts w:ascii="宋体" w:hAnsi="宋体" w:cs="宋体"/>
          <w:sz w:val="24"/>
          <w:szCs w:val="24"/>
        </w:rPr>
      </w:pPr>
      <w:r>
        <w:rPr>
          <w:rFonts w:hint="eastAsia" w:ascii="宋体" w:hAnsi="宋体" w:cs="宋体"/>
          <w:sz w:val="24"/>
          <w:szCs w:val="24"/>
        </w:rPr>
        <w:t>年 月 日</w:t>
      </w:r>
    </w:p>
    <w:p>
      <w:pPr>
        <w:spacing w:line="480" w:lineRule="auto"/>
        <w:rPr>
          <w:rFonts w:ascii="宋体" w:hAnsi="宋体" w:cs="宋体"/>
          <w:sz w:val="24"/>
          <w:szCs w:val="24"/>
        </w:rPr>
      </w:pPr>
      <w:r>
        <w:rPr>
          <w:rFonts w:hint="eastAsia" w:ascii="宋体" w:hAnsi="宋体" w:cs="宋体"/>
          <w:sz w:val="24"/>
          <w:szCs w:val="24"/>
        </w:rPr>
        <w:t>单位名称：</w:t>
      </w:r>
    </w:p>
    <w:p>
      <w:pPr>
        <w:spacing w:line="480" w:lineRule="auto"/>
        <w:rPr>
          <w:rFonts w:ascii="宋体" w:hAnsi="宋体" w:cs="宋体"/>
          <w:sz w:val="24"/>
          <w:szCs w:val="24"/>
        </w:rPr>
      </w:pPr>
      <w:r>
        <w:rPr>
          <w:rFonts w:hint="eastAsia" w:ascii="宋体" w:hAnsi="宋体" w:cs="宋体"/>
          <w:sz w:val="24"/>
          <w:szCs w:val="24"/>
        </w:rPr>
        <w:t>单位地址：</w:t>
      </w:r>
    </w:p>
    <w:p>
      <w:pPr>
        <w:spacing w:line="480" w:lineRule="auto"/>
        <w:rPr>
          <w:rFonts w:ascii="宋体" w:hAnsi="宋体" w:cs="宋体"/>
          <w:sz w:val="24"/>
          <w:szCs w:val="24"/>
        </w:rPr>
      </w:pPr>
      <w:r>
        <w:rPr>
          <w:rFonts w:hint="eastAsia" w:ascii="宋体" w:hAnsi="宋体" w:cs="宋体"/>
          <w:sz w:val="24"/>
          <w:szCs w:val="24"/>
        </w:rPr>
        <w:t>联系人：</w:t>
      </w:r>
    </w:p>
    <w:p>
      <w:pPr>
        <w:spacing w:line="480" w:lineRule="auto"/>
        <w:rPr>
          <w:rFonts w:ascii="宋体" w:hAnsi="宋体" w:cs="宋体"/>
          <w:sz w:val="24"/>
          <w:szCs w:val="24"/>
        </w:rPr>
      </w:pPr>
      <w:r>
        <w:rPr>
          <w:rFonts w:hint="eastAsia" w:ascii="宋体" w:hAnsi="宋体" w:cs="宋体"/>
          <w:sz w:val="24"/>
          <w:szCs w:val="24"/>
        </w:rPr>
        <w:t>单位电话： 联系人手机：</w:t>
      </w:r>
    </w:p>
    <w:p>
      <w:pPr>
        <w:rPr>
          <w:rFonts w:ascii="宋体" w:hAnsi="宋体" w:cs="宋体"/>
          <w:sz w:val="24"/>
          <w:szCs w:val="24"/>
        </w:rPr>
      </w:pPr>
    </w:p>
    <w:p>
      <w:pPr>
        <w:spacing w:line="380" w:lineRule="exact"/>
        <w:ind w:firstLine="480" w:firstLineChars="200"/>
        <w:rPr>
          <w:rFonts w:ascii="宋体" w:hAnsi="宋体" w:cs="宋体"/>
          <w:sz w:val="24"/>
          <w:szCs w:val="24"/>
        </w:rPr>
      </w:pPr>
      <w:r>
        <w:rPr>
          <w:rFonts w:hint="eastAsia" w:ascii="宋体" w:hAnsi="宋体" w:cs="宋体"/>
          <w:sz w:val="24"/>
          <w:szCs w:val="24"/>
        </w:rPr>
        <w:br w:type="page"/>
      </w:r>
    </w:p>
    <w:p>
      <w:pPr>
        <w:spacing w:line="380" w:lineRule="exact"/>
        <w:ind w:firstLine="480" w:firstLineChars="200"/>
        <w:rPr>
          <w:rFonts w:ascii="宋体" w:hAnsi="宋体" w:cs="宋体"/>
          <w:sz w:val="24"/>
          <w:szCs w:val="24"/>
        </w:rPr>
      </w:pPr>
      <w:r>
        <w:rPr>
          <w:rFonts w:hint="eastAsia" w:ascii="宋体" w:hAnsi="宋体" w:cs="宋体"/>
          <w:sz w:val="24"/>
          <w:szCs w:val="24"/>
        </w:rPr>
        <w:t>附：我方投标保证金汇款凭证</w:t>
      </w:r>
    </w:p>
    <w:tbl>
      <w:tblPr>
        <w:tblStyle w:val="28"/>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trPr>
        <w:tc>
          <w:tcPr>
            <w:tcW w:w="8953" w:type="dxa"/>
            <w:vAlign w:val="center"/>
          </w:tcPr>
          <w:p>
            <w:pPr>
              <w:tabs>
                <w:tab w:val="left" w:pos="3885"/>
              </w:tabs>
              <w:jc w:val="center"/>
              <w:rPr>
                <w:rFonts w:ascii="宋体" w:hAnsi="宋体" w:cs="宋体"/>
                <w:sz w:val="24"/>
                <w:szCs w:val="24"/>
              </w:rPr>
            </w:pPr>
            <w:r>
              <w:rPr>
                <w:rFonts w:hint="eastAsia" w:ascii="宋体" w:hAnsi="宋体" w:cs="宋体"/>
                <w:sz w:val="24"/>
                <w:szCs w:val="24"/>
              </w:rPr>
              <w:t>（粘贴汇款单或转账凭证复印件，并在骑缝上加盖投标人公章，或是直接把转账凭证复印到此张纸上）</w:t>
            </w:r>
          </w:p>
        </w:tc>
      </w:tr>
    </w:tbl>
    <w:p>
      <w:pPr>
        <w:spacing w:line="480" w:lineRule="auto"/>
        <w:ind w:firstLine="480" w:firstLineChars="200"/>
        <w:rPr>
          <w:rFonts w:ascii="宋体" w:hAnsi="宋体" w:cs="宋体"/>
          <w:sz w:val="24"/>
          <w:szCs w:val="24"/>
        </w:rPr>
      </w:pPr>
      <w:r>
        <w:rPr>
          <w:rFonts w:hint="eastAsia" w:ascii="宋体" w:hAnsi="宋体" w:cs="宋体"/>
          <w:sz w:val="24"/>
          <w:szCs w:val="24"/>
        </w:rPr>
        <w:t>注：此表既要装订在投标文件中，又要按投标人须知的规定与开标一览表、投标保证金汇款底单复印件及授权委托书一同密封装入开标文件，开标文件单独提交。</w:t>
      </w: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pStyle w:val="9"/>
        <w:numPr>
          <w:ilvl w:val="255"/>
          <w:numId w:val="0"/>
        </w:numPr>
        <w:tabs>
          <w:tab w:val="left" w:pos="720"/>
          <w:tab w:val="left" w:pos="3840"/>
        </w:tabs>
        <w:ind w:left="283"/>
        <w:jc w:val="both"/>
        <w:rPr>
          <w:rFonts w:ascii="宋体" w:hAnsi="宋体" w:cs="宋体"/>
          <w:szCs w:val="24"/>
        </w:rPr>
      </w:pPr>
      <w:bookmarkStart w:id="289" w:name="_Toc5601"/>
      <w:bookmarkStart w:id="290" w:name="_Toc19947"/>
      <w:bookmarkStart w:id="291" w:name="_Toc2144"/>
      <w:bookmarkStart w:id="292" w:name="_Toc17028"/>
      <w:bookmarkStart w:id="293" w:name="_Toc18296"/>
      <w:bookmarkStart w:id="294" w:name="_Toc28623"/>
      <w:bookmarkStart w:id="295" w:name="_Toc14605"/>
      <w:bookmarkStart w:id="296" w:name="_Toc1562"/>
      <w:bookmarkStart w:id="297" w:name="_Toc4866"/>
      <w:bookmarkStart w:id="298" w:name="_Toc29855"/>
      <w:bookmarkStart w:id="299" w:name="_Toc8548"/>
      <w:bookmarkStart w:id="300" w:name="_Toc25861"/>
      <w:r>
        <w:rPr>
          <w:rFonts w:hint="eastAsia" w:ascii="宋体" w:hAnsi="宋体" w:cs="宋体"/>
          <w:szCs w:val="24"/>
        </w:rPr>
        <w:t>附件16.不可撤销履约保函</w:t>
      </w:r>
      <w:bookmarkEnd w:id="289"/>
      <w:bookmarkEnd w:id="290"/>
      <w:bookmarkEnd w:id="291"/>
      <w:bookmarkEnd w:id="292"/>
      <w:bookmarkEnd w:id="293"/>
      <w:bookmarkEnd w:id="294"/>
      <w:bookmarkEnd w:id="295"/>
      <w:bookmarkEnd w:id="296"/>
      <w:bookmarkEnd w:id="297"/>
      <w:bookmarkEnd w:id="298"/>
      <w:bookmarkEnd w:id="299"/>
      <w:bookmarkEnd w:id="300"/>
    </w:p>
    <w:p>
      <w:pPr>
        <w:jc w:val="center"/>
        <w:rPr>
          <w:rFonts w:ascii="宋体" w:hAnsi="宋体" w:cs="宋体"/>
          <w:sz w:val="24"/>
          <w:szCs w:val="24"/>
        </w:rPr>
      </w:pPr>
      <w:r>
        <w:rPr>
          <w:rFonts w:hint="eastAsia" w:ascii="宋体" w:hAnsi="宋体" w:cs="宋体"/>
          <w:sz w:val="24"/>
          <w:szCs w:val="24"/>
        </w:rPr>
        <w:t>银行编号：</w:t>
      </w:r>
    </w:p>
    <w:p>
      <w:pPr>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（甲方）</w:t>
      </w:r>
    </w:p>
    <w:p>
      <w:pPr>
        <w:ind w:firstLine="480" w:firstLineChars="200"/>
        <w:rPr>
          <w:rFonts w:ascii="宋体" w:hAnsi="宋体" w:cs="宋体"/>
          <w:sz w:val="24"/>
          <w:szCs w:val="24"/>
        </w:rPr>
      </w:pPr>
      <w:r>
        <w:rPr>
          <w:rFonts w:hint="eastAsia" w:ascii="宋体" w:hAnsi="宋体" w:cs="宋体"/>
          <w:sz w:val="24"/>
          <w:szCs w:val="24"/>
        </w:rPr>
        <w:t>鉴于</w:t>
      </w:r>
      <w:r>
        <w:rPr>
          <w:rFonts w:hint="eastAsia" w:ascii="宋体" w:hAnsi="宋体" w:cs="宋体"/>
          <w:sz w:val="24"/>
          <w:szCs w:val="24"/>
          <w:u w:val="single"/>
        </w:rPr>
        <w:t xml:space="preserve">         （地址：          ，下称 “乙方” ）</w:t>
      </w:r>
      <w:r>
        <w:rPr>
          <w:rFonts w:hint="eastAsia" w:ascii="宋体" w:hAnsi="宋体" w:cs="宋体"/>
          <w:sz w:val="24"/>
          <w:szCs w:val="24"/>
        </w:rPr>
        <w:t>已保证按</w:t>
      </w:r>
      <w:r>
        <w:rPr>
          <w:rFonts w:hint="eastAsia" w:ascii="宋体" w:hAnsi="宋体" w:cs="宋体"/>
          <w:sz w:val="24"/>
          <w:szCs w:val="24"/>
          <w:u w:val="single"/>
        </w:rPr>
        <w:t xml:space="preserve">        承包合同书（合同编号：    ）</w:t>
      </w:r>
      <w:r>
        <w:rPr>
          <w:rFonts w:hint="eastAsia" w:ascii="宋体" w:hAnsi="宋体" w:cs="宋体"/>
          <w:sz w:val="24"/>
          <w:szCs w:val="24"/>
        </w:rPr>
        <w:t>中规定的义务履行合同。</w:t>
      </w:r>
    </w:p>
    <w:p>
      <w:pPr>
        <w:ind w:firstLine="480" w:firstLineChars="200"/>
        <w:rPr>
          <w:rFonts w:ascii="宋体" w:hAnsi="宋体" w:cs="宋体"/>
          <w:sz w:val="24"/>
          <w:szCs w:val="24"/>
        </w:rPr>
      </w:pPr>
      <w:r>
        <w:rPr>
          <w:rFonts w:hint="eastAsia" w:ascii="宋体" w:hAnsi="宋体" w:cs="宋体"/>
          <w:sz w:val="24"/>
          <w:szCs w:val="24"/>
        </w:rPr>
        <w:t>根据上述合同约定，乙方应向甲方提供一份金额为合同总价的10%即</w:t>
      </w:r>
      <w:r>
        <w:rPr>
          <w:rFonts w:hint="eastAsia" w:ascii="宋体" w:hAnsi="宋体" w:cs="宋体"/>
          <w:sz w:val="24"/>
          <w:szCs w:val="24"/>
          <w:u w:val="single"/>
        </w:rPr>
        <w:t>人民币      （RMB    元）</w:t>
      </w:r>
      <w:r>
        <w:rPr>
          <w:rFonts w:hint="eastAsia" w:ascii="宋体" w:hAnsi="宋体" w:cs="宋体"/>
          <w:sz w:val="24"/>
          <w:szCs w:val="24"/>
        </w:rPr>
        <w:t>的</w:t>
      </w:r>
      <w:r>
        <w:rPr>
          <w:rFonts w:hint="eastAsia" w:ascii="宋体" w:hAnsi="宋体" w:cs="宋体"/>
          <w:bCs/>
          <w:sz w:val="24"/>
          <w:szCs w:val="24"/>
        </w:rPr>
        <w:t>不可撤销</w:t>
      </w:r>
      <w:r>
        <w:rPr>
          <w:rFonts w:hint="eastAsia" w:ascii="宋体" w:hAnsi="宋体" w:cs="宋体"/>
          <w:sz w:val="24"/>
          <w:szCs w:val="24"/>
        </w:rPr>
        <w:t>银行履约保函，作为乙方履行上述合同的担保。</w:t>
      </w:r>
    </w:p>
    <w:p>
      <w:pPr>
        <w:ind w:firstLine="480" w:firstLineChars="200"/>
        <w:rPr>
          <w:rFonts w:ascii="宋体" w:hAnsi="宋体" w:cs="宋体"/>
          <w:sz w:val="24"/>
          <w:szCs w:val="24"/>
        </w:rPr>
      </w:pPr>
      <w:r>
        <w:rPr>
          <w:rFonts w:hint="eastAsia" w:ascii="宋体" w:hAnsi="宋体" w:cs="宋体"/>
          <w:sz w:val="24"/>
          <w:szCs w:val="24"/>
        </w:rPr>
        <w:t>我方</w:t>
      </w:r>
      <w:r>
        <w:rPr>
          <w:rFonts w:hint="eastAsia" w:ascii="宋体" w:hAnsi="宋体" w:cs="宋体"/>
          <w:sz w:val="24"/>
          <w:szCs w:val="24"/>
          <w:u w:val="single"/>
        </w:rPr>
        <w:t xml:space="preserve">            （银行名称）</w:t>
      </w:r>
      <w:r>
        <w:rPr>
          <w:rFonts w:hint="eastAsia" w:ascii="宋体" w:hAnsi="宋体" w:cs="宋体"/>
          <w:sz w:val="24"/>
          <w:szCs w:val="24"/>
        </w:rPr>
        <w:t>，受乙方的委托，不仅作为连带责任保证人而且作为主要的责任人，无条件和不可撤销地同意在甲方提出因乙方没有履行上述合同规定，而要求扣划保证金的书面要求后，7个工作日内为甲方扣划金额不超过</w:t>
      </w:r>
      <w:r>
        <w:rPr>
          <w:rFonts w:hint="eastAsia" w:ascii="宋体" w:hAnsi="宋体" w:cs="宋体"/>
          <w:sz w:val="24"/>
          <w:szCs w:val="24"/>
          <w:u w:val="single"/>
        </w:rPr>
        <w:t>人民币          （RMB       元）</w:t>
      </w:r>
      <w:r>
        <w:rPr>
          <w:rFonts w:hint="eastAsia" w:ascii="宋体" w:hAnsi="宋体" w:cs="宋体"/>
          <w:sz w:val="24"/>
          <w:szCs w:val="24"/>
        </w:rPr>
        <w:t>的保证金。</w:t>
      </w:r>
    </w:p>
    <w:p>
      <w:pPr>
        <w:ind w:firstLine="480" w:firstLineChars="200"/>
        <w:rPr>
          <w:rFonts w:ascii="宋体" w:hAnsi="宋体" w:cs="宋体"/>
          <w:sz w:val="24"/>
          <w:szCs w:val="24"/>
        </w:rPr>
      </w:pPr>
      <w:r>
        <w:rPr>
          <w:rFonts w:hint="eastAsia" w:ascii="宋体" w:hAnsi="宋体" w:cs="宋体"/>
          <w:sz w:val="24"/>
          <w:szCs w:val="24"/>
        </w:rPr>
        <w:t>我方还同意，任何甲方与乙方之间可能对合同条款的修改、规范或其他合同文件的变动补充，都不能免除我方按本保函所承担的责任。因此，有关上述变动、补充和修改无须通知我方。</w:t>
      </w:r>
    </w:p>
    <w:p>
      <w:pPr>
        <w:ind w:firstLine="480" w:firstLineChars="200"/>
        <w:rPr>
          <w:rFonts w:ascii="宋体" w:hAnsi="宋体" w:cs="宋体"/>
          <w:sz w:val="24"/>
          <w:szCs w:val="24"/>
        </w:rPr>
      </w:pPr>
      <w:r>
        <w:rPr>
          <w:rFonts w:hint="eastAsia" w:ascii="宋体" w:hAnsi="宋体" w:cs="宋体"/>
          <w:sz w:val="24"/>
          <w:szCs w:val="24"/>
        </w:rPr>
        <w:t>本保函从上述合同签订之日起至项目服务期结束验收合格并完成结算后，双方签字之日起7天内保持有效。</w:t>
      </w:r>
    </w:p>
    <w:p>
      <w:pPr>
        <w:ind w:firstLine="3228" w:firstLineChars="1345"/>
        <w:rPr>
          <w:rFonts w:ascii="宋体" w:hAnsi="宋体" w:cs="宋体"/>
          <w:sz w:val="24"/>
          <w:szCs w:val="24"/>
        </w:rPr>
      </w:pPr>
    </w:p>
    <w:p>
      <w:pPr>
        <w:ind w:firstLine="5760" w:firstLineChars="2400"/>
        <w:rPr>
          <w:rFonts w:ascii="宋体" w:hAnsi="宋体" w:cs="宋体"/>
          <w:sz w:val="24"/>
          <w:szCs w:val="24"/>
        </w:rPr>
      </w:pPr>
      <w:r>
        <w:rPr>
          <w:rFonts w:hint="eastAsia" w:ascii="宋体" w:hAnsi="宋体" w:cs="宋体"/>
          <w:sz w:val="24"/>
          <w:szCs w:val="24"/>
        </w:rPr>
        <w:t>保证人：（盖章）</w:t>
      </w:r>
      <w:r>
        <w:rPr>
          <w:rFonts w:hint="eastAsia" w:ascii="宋体" w:hAnsi="宋体" w:cs="宋体"/>
          <w:sz w:val="24"/>
          <w:szCs w:val="24"/>
          <w:u w:val="single"/>
        </w:rPr>
        <w:t xml:space="preserve">                        </w:t>
      </w:r>
    </w:p>
    <w:p>
      <w:pPr>
        <w:ind w:firstLine="5760" w:firstLineChars="2400"/>
        <w:rPr>
          <w:rFonts w:ascii="宋体" w:hAnsi="宋体" w:cs="宋体"/>
          <w:sz w:val="24"/>
          <w:szCs w:val="24"/>
        </w:rPr>
      </w:pPr>
      <w:r>
        <w:rPr>
          <w:rFonts w:hint="eastAsia" w:ascii="宋体" w:hAnsi="宋体" w:cs="宋体"/>
          <w:sz w:val="24"/>
          <w:szCs w:val="24"/>
        </w:rPr>
        <w:t>负责人：（签字）</w:t>
      </w:r>
      <w:r>
        <w:rPr>
          <w:rFonts w:hint="eastAsia" w:ascii="宋体" w:hAnsi="宋体" w:cs="宋体"/>
          <w:sz w:val="24"/>
          <w:szCs w:val="24"/>
          <w:u w:val="single"/>
        </w:rPr>
        <w:t xml:space="preserve">                        </w:t>
      </w:r>
    </w:p>
    <w:p>
      <w:pPr>
        <w:ind w:firstLine="5760" w:firstLineChars="2400"/>
        <w:rPr>
          <w:rFonts w:ascii="宋体" w:hAnsi="宋体" w:cs="宋体"/>
          <w:sz w:val="24"/>
          <w:szCs w:val="24"/>
        </w:rPr>
      </w:pPr>
      <w:r>
        <w:rPr>
          <w:rFonts w:hint="eastAsia" w:ascii="宋体" w:hAnsi="宋体" w:cs="宋体"/>
          <w:sz w:val="24"/>
          <w:szCs w:val="24"/>
        </w:rPr>
        <w:t>联系人：</w:t>
      </w:r>
      <w:r>
        <w:rPr>
          <w:rFonts w:hint="eastAsia" w:ascii="宋体" w:hAnsi="宋体" w:cs="宋体"/>
          <w:sz w:val="24"/>
          <w:szCs w:val="24"/>
          <w:u w:val="single"/>
        </w:rPr>
        <w:t xml:space="preserve">                               </w:t>
      </w:r>
      <w:r>
        <w:rPr>
          <w:rFonts w:hint="eastAsia" w:ascii="宋体" w:hAnsi="宋体" w:cs="宋体"/>
          <w:sz w:val="24"/>
          <w:szCs w:val="24"/>
        </w:rPr>
        <w:t xml:space="preserve">   </w:t>
      </w:r>
    </w:p>
    <w:p>
      <w:pPr>
        <w:ind w:firstLine="5760" w:firstLineChars="2400"/>
        <w:rPr>
          <w:rFonts w:ascii="宋体" w:hAnsi="宋体" w:cs="宋体"/>
          <w:sz w:val="24"/>
          <w:szCs w:val="24"/>
        </w:rPr>
      </w:pPr>
      <w:r>
        <w:rPr>
          <w:rFonts w:hint="eastAsia" w:ascii="宋体" w:hAnsi="宋体" w:cs="宋体"/>
          <w:sz w:val="24"/>
          <w:szCs w:val="24"/>
        </w:rPr>
        <w:t>联系电话：</w:t>
      </w:r>
      <w:r>
        <w:rPr>
          <w:rFonts w:hint="eastAsia" w:ascii="宋体" w:hAnsi="宋体" w:cs="宋体"/>
          <w:sz w:val="24"/>
          <w:szCs w:val="24"/>
          <w:u w:val="single"/>
        </w:rPr>
        <w:t xml:space="preserve">                             </w:t>
      </w:r>
    </w:p>
    <w:p>
      <w:pPr>
        <w:ind w:firstLine="5760" w:firstLineChars="2400"/>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p>
    <w:p>
      <w:pPr>
        <w:ind w:firstLine="482" w:firstLineChars="200"/>
        <w:rPr>
          <w:rFonts w:ascii="宋体" w:hAnsi="宋体" w:cs="宋体"/>
          <w:b/>
          <w:bCs/>
          <w:sz w:val="24"/>
          <w:szCs w:val="24"/>
        </w:rPr>
      </w:pPr>
      <w:r>
        <w:rPr>
          <w:rFonts w:hint="eastAsia" w:ascii="宋体" w:hAnsi="宋体" w:cs="宋体"/>
          <w:b/>
          <w:bCs/>
          <w:sz w:val="24"/>
          <w:szCs w:val="24"/>
        </w:rPr>
        <w:t>（本保函失效后，请将原件退回我行注销）</w:t>
      </w:r>
    </w:p>
    <w:p>
      <w:pPr>
        <w:pStyle w:val="12"/>
        <w:ind w:firstLine="205"/>
        <w:rPr>
          <w:rFonts w:cs="宋体"/>
          <w:sz w:val="24"/>
          <w:szCs w:val="24"/>
        </w:rPr>
      </w:pPr>
      <w:r>
        <w:rPr>
          <w:rFonts w:hint="eastAsia" w:cs="宋体"/>
          <w:sz w:val="24"/>
          <w:szCs w:val="24"/>
        </w:rPr>
        <w:t>说明：投标人在投标时不需提交正式保函，在投标文件中盖投标人公章确认保函格式即可，乙方在签订合同时提交正式保函。</w:t>
      </w:r>
    </w:p>
    <w:p>
      <w:pPr>
        <w:rPr>
          <w:rFonts w:ascii="宋体" w:hAnsi="宋体" w:cs="宋体"/>
          <w:sz w:val="24"/>
          <w:szCs w:val="24"/>
        </w:rPr>
      </w:pPr>
    </w:p>
    <w:p>
      <w:pPr>
        <w:rPr>
          <w:rFonts w:ascii="宋体" w:hAnsi="宋体" w:cs="宋体"/>
          <w:sz w:val="24"/>
          <w:szCs w:val="24"/>
        </w:rPr>
      </w:pPr>
      <w:r>
        <w:rPr>
          <w:rFonts w:hint="eastAsia" w:ascii="宋体" w:hAnsi="宋体" w:cs="宋体"/>
          <w:sz w:val="24"/>
          <w:szCs w:val="24"/>
        </w:rPr>
        <w:br w:type="page"/>
      </w:r>
    </w:p>
    <w:p>
      <w:pPr>
        <w:jc w:val="center"/>
        <w:rPr>
          <w:rFonts w:ascii="宋体" w:hAnsi="宋体" w:cs="宋体"/>
          <w:sz w:val="24"/>
          <w:szCs w:val="24"/>
        </w:rPr>
      </w:pPr>
      <w:bookmarkStart w:id="301" w:name="_Toc1968"/>
      <w:r>
        <w:rPr>
          <w:rFonts w:hint="eastAsia" w:ascii="宋体" w:hAnsi="宋体" w:cs="宋体"/>
          <w:sz w:val="24"/>
          <w:szCs w:val="24"/>
        </w:rPr>
        <w:t>开标文件（单独编制，单独封装）</w:t>
      </w:r>
      <w:bookmarkEnd w:id="301"/>
    </w:p>
    <w:p>
      <w:pPr>
        <w:pStyle w:val="9"/>
        <w:spacing w:line="240" w:lineRule="auto"/>
        <w:rPr>
          <w:rFonts w:ascii="宋体" w:hAnsi="宋体" w:cs="宋体"/>
          <w:szCs w:val="24"/>
        </w:rPr>
      </w:pPr>
      <w:bookmarkStart w:id="302" w:name="_Toc22290"/>
      <w:bookmarkStart w:id="303" w:name="_Toc1125"/>
      <w:r>
        <w:rPr>
          <w:rFonts w:hint="eastAsia" w:ascii="宋体" w:hAnsi="宋体" w:cs="宋体"/>
          <w:szCs w:val="24"/>
        </w:rPr>
        <w:t>附件17.开标文件格式</w:t>
      </w:r>
      <w:bookmarkEnd w:id="302"/>
      <w:bookmarkEnd w:id="303"/>
    </w:p>
    <w:p>
      <w:pPr>
        <w:ind w:left="856" w:leftChars="178" w:hanging="482" w:hangingChars="201"/>
        <w:rPr>
          <w:rFonts w:ascii="宋体" w:hAnsi="宋体" w:cs="宋体"/>
          <w:sz w:val="24"/>
          <w:szCs w:val="24"/>
        </w:rPr>
      </w:pPr>
    </w:p>
    <w:p>
      <w:pPr>
        <w:ind w:left="856" w:leftChars="178" w:hanging="482" w:hangingChars="201"/>
        <w:rPr>
          <w:rFonts w:ascii="宋体" w:hAnsi="宋体" w:cs="宋体"/>
          <w:sz w:val="24"/>
          <w:szCs w:val="24"/>
        </w:rPr>
      </w:pPr>
      <w:r>
        <w:rPr>
          <w:rFonts w:hint="eastAsia" w:ascii="宋体" w:hAnsi="宋体" w:cs="宋体"/>
          <w:sz w:val="24"/>
          <w:szCs w:val="24"/>
        </w:rPr>
        <w:t>开标文件内装（内容务必与投标文件正本一致）：</w:t>
      </w:r>
    </w:p>
    <w:p>
      <w:pPr>
        <w:numPr>
          <w:ilvl w:val="0"/>
          <w:numId w:val="25"/>
        </w:numPr>
        <w:ind w:firstLine="480" w:firstLineChars="200"/>
        <w:rPr>
          <w:rFonts w:ascii="宋体" w:hAnsi="宋体" w:cs="宋体"/>
          <w:sz w:val="24"/>
          <w:szCs w:val="24"/>
        </w:rPr>
      </w:pPr>
      <w:r>
        <w:rPr>
          <w:rFonts w:hint="eastAsia" w:ascii="宋体" w:hAnsi="宋体" w:cs="宋体"/>
          <w:sz w:val="24"/>
          <w:szCs w:val="24"/>
        </w:rPr>
        <w:t>开标一览表加盖公章；</w:t>
      </w:r>
    </w:p>
    <w:p>
      <w:pPr>
        <w:numPr>
          <w:ilvl w:val="0"/>
          <w:numId w:val="25"/>
        </w:numPr>
        <w:ind w:firstLine="480" w:firstLineChars="200"/>
        <w:rPr>
          <w:rFonts w:ascii="宋体" w:hAnsi="宋体" w:cs="宋体"/>
          <w:sz w:val="24"/>
          <w:szCs w:val="24"/>
        </w:rPr>
      </w:pPr>
      <w:r>
        <w:rPr>
          <w:rFonts w:hint="eastAsia" w:ascii="宋体" w:hAnsi="宋体" w:cs="宋体"/>
          <w:sz w:val="24"/>
          <w:szCs w:val="24"/>
        </w:rPr>
        <w:t>法定代表人证明书加盖公章；</w:t>
      </w:r>
    </w:p>
    <w:p>
      <w:pPr>
        <w:numPr>
          <w:ilvl w:val="0"/>
          <w:numId w:val="25"/>
        </w:numPr>
        <w:ind w:firstLine="480" w:firstLineChars="200"/>
        <w:rPr>
          <w:rFonts w:ascii="宋体" w:hAnsi="宋体" w:cs="宋体"/>
          <w:sz w:val="24"/>
          <w:szCs w:val="24"/>
        </w:rPr>
      </w:pPr>
      <w:r>
        <w:rPr>
          <w:rFonts w:hint="eastAsia" w:ascii="宋体" w:hAnsi="宋体" w:cs="宋体"/>
          <w:sz w:val="24"/>
          <w:szCs w:val="24"/>
        </w:rPr>
        <w:t>法定代表人授权委托书加盖公章（法定代表人投标的除外）；</w:t>
      </w:r>
    </w:p>
    <w:p>
      <w:pPr>
        <w:numPr>
          <w:ilvl w:val="0"/>
          <w:numId w:val="25"/>
        </w:numPr>
        <w:ind w:firstLine="480" w:firstLineChars="200"/>
        <w:rPr>
          <w:rFonts w:ascii="宋体" w:hAnsi="宋体" w:cs="宋体"/>
          <w:sz w:val="24"/>
          <w:szCs w:val="24"/>
        </w:rPr>
      </w:pPr>
      <w:r>
        <w:rPr>
          <w:rFonts w:hint="eastAsia" w:ascii="宋体" w:hAnsi="宋体" w:cs="宋体"/>
          <w:sz w:val="24"/>
          <w:szCs w:val="24"/>
        </w:rPr>
        <w:t>投标保证金汇入情况说明（含银行汇款凭证）或投标保函加盖公章；</w:t>
      </w:r>
    </w:p>
    <w:p>
      <w:pPr>
        <w:numPr>
          <w:ilvl w:val="0"/>
          <w:numId w:val="25"/>
        </w:numPr>
        <w:ind w:firstLine="480" w:firstLineChars="200"/>
        <w:rPr>
          <w:rFonts w:ascii="宋体" w:hAnsi="宋体" w:cs="宋体"/>
          <w:sz w:val="24"/>
          <w:szCs w:val="24"/>
        </w:rPr>
      </w:pPr>
      <w:r>
        <w:rPr>
          <w:rFonts w:hint="eastAsia" w:ascii="宋体" w:hAnsi="宋体" w:cs="宋体"/>
          <w:sz w:val="24"/>
          <w:szCs w:val="24"/>
        </w:rPr>
        <w:t>投标文件电子文件（U盘，须含盖章版PDF投标文件和WORD版投标文件各一版，文字采用WORD文档，计算表格采用 EXCEL文档。）；</w:t>
      </w:r>
    </w:p>
    <w:p>
      <w:pPr>
        <w:rPr>
          <w:rFonts w:ascii="宋体" w:hAnsi="宋体" w:cs="宋体"/>
          <w:sz w:val="24"/>
          <w:szCs w:val="24"/>
        </w:rPr>
      </w:pPr>
    </w:p>
    <w:p>
      <w:pPr>
        <w:pStyle w:val="2"/>
        <w:rPr>
          <w:szCs w:val="24"/>
        </w:rPr>
      </w:pPr>
    </w:p>
    <w:sectPr>
      <w:headerReference r:id="rId12" w:type="first"/>
      <w:footerReference r:id="rId14" w:type="first"/>
      <w:headerReference r:id="rId11" w:type="default"/>
      <w:footerReference r:id="rId13" w:type="default"/>
      <w:pgSz w:w="11906" w:h="16838"/>
      <w:pgMar w:top="1440" w:right="1800" w:bottom="1440" w:left="1800" w:header="708" w:footer="708" w:gutter="0"/>
      <w:cols w:space="708" w:num="1"/>
      <w:titlePg/>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pPr>
                          <w:r>
                            <w:rPr>
                              <w:rFonts w:hint="eastAsia"/>
                            </w:rPr>
                            <w:t xml:space="preserve">第 </w:t>
                          </w:r>
                          <w:r>
                            <w:fldChar w:fldCharType="begin"/>
                          </w:r>
                          <w:r>
                            <w:instrText xml:space="preserve"> PAGE  \* MERGEFORMAT </w:instrText>
                          </w:r>
                          <w:r>
                            <w:fldChar w:fldCharType="separate"/>
                          </w:r>
                          <w:r>
                            <w:t>48</w:t>
                          </w:r>
                          <w:r>
                            <w:fldChar w:fldCharType="end"/>
                          </w:r>
                          <w:r>
                            <w:rPr>
                              <w:rFonts w:hint="eastAsia"/>
                            </w:rPr>
                            <w:t xml:space="preserve"> 页 共 </w:t>
                          </w:r>
                          <w:r>
                            <w:fldChar w:fldCharType="begin"/>
                          </w:r>
                          <w:r>
                            <w:instrText xml:space="preserve"> NUMPAGES  \* MERGEFORMAT </w:instrText>
                          </w:r>
                          <w:r>
                            <w:fldChar w:fldCharType="separate"/>
                          </w:r>
                          <w:r>
                            <w:t>103</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9"/>
                    </w:pPr>
                    <w:r>
                      <w:rPr>
                        <w:rFonts w:hint="eastAsia"/>
                      </w:rPr>
                      <w:t xml:space="preserve">第 </w:t>
                    </w:r>
                    <w:r>
                      <w:fldChar w:fldCharType="begin"/>
                    </w:r>
                    <w:r>
                      <w:instrText xml:space="preserve"> PAGE  \* MERGEFORMAT </w:instrText>
                    </w:r>
                    <w:r>
                      <w:fldChar w:fldCharType="separate"/>
                    </w:r>
                    <w:r>
                      <w:t>48</w:t>
                    </w:r>
                    <w:r>
                      <w:fldChar w:fldCharType="end"/>
                    </w:r>
                    <w:r>
                      <w:rPr>
                        <w:rFonts w:hint="eastAsia"/>
                      </w:rPr>
                      <w:t xml:space="preserve"> 页 共 </w:t>
                    </w:r>
                    <w:r>
                      <w:fldChar w:fldCharType="begin"/>
                    </w:r>
                    <w:r>
                      <w:instrText xml:space="preserve"> NUMPAGES  \* MERGEFORMAT </w:instrText>
                    </w:r>
                    <w:r>
                      <w:fldChar w:fldCharType="separate"/>
                    </w:r>
                    <w:r>
                      <w:t>103</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19"/>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8839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088390" cy="1828800"/>
                      </a:xfrm>
                      <a:prstGeom prst="rect">
                        <a:avLst/>
                      </a:prstGeom>
                      <a:noFill/>
                      <a:ln>
                        <a:noFill/>
                      </a:ln>
                      <a:effectLst/>
                    </wps:spPr>
                    <wps:txbx>
                      <w:txbxContent>
                        <w:p>
                          <w:pPr>
                            <w:pStyle w:val="19"/>
                            <w:jc w:val="center"/>
                          </w:pPr>
                          <w:r>
                            <w:rPr>
                              <w:rFonts w:hint="eastAsia"/>
                            </w:rPr>
                            <w:t xml:space="preserve">第 </w:t>
                          </w:r>
                          <w:r>
                            <w:fldChar w:fldCharType="begin"/>
                          </w:r>
                          <w:r>
                            <w:instrText xml:space="preserve"> PAGE  \* MERGEFORMAT </w:instrText>
                          </w:r>
                          <w:r>
                            <w:fldChar w:fldCharType="separate"/>
                          </w:r>
                          <w:r>
                            <w:t>74</w:t>
                          </w:r>
                          <w:r>
                            <w:fldChar w:fldCharType="end"/>
                          </w:r>
                          <w:r>
                            <w:rPr>
                              <w:rFonts w:hint="eastAsia"/>
                            </w:rPr>
                            <w:t xml:space="preserve"> 页 共 </w:t>
                          </w:r>
                          <w:r>
                            <w:fldChar w:fldCharType="begin"/>
                          </w:r>
                          <w:r>
                            <w:instrText xml:space="preserve"> NUMPAGES  \* MERGEFORMAT </w:instrText>
                          </w:r>
                          <w:r>
                            <w:fldChar w:fldCharType="separate"/>
                          </w:r>
                          <w:r>
                            <w:t>9898</w:t>
                          </w:r>
                          <w:r>
                            <w:fldChar w:fldCharType="end"/>
                          </w:r>
                          <w:r>
                            <w:rPr>
                              <w:rFonts w:hint="eastAsia"/>
                            </w:rPr>
                            <w:t xml:space="preserve"> 页</w:t>
                          </w:r>
                        </w:p>
                      </w:txbxContent>
                    </wps:txbx>
                    <wps:bodyPr lIns="0" tIns="0" rIns="0" bIns="0" upright="1">
                      <a:spAutoFit/>
                    </wps:bodyPr>
                  </wps:wsp>
                </a:graphicData>
              </a:graphic>
            </wp:anchor>
          </w:drawing>
        </mc:Choice>
        <mc:Fallback>
          <w:pict>
            <v:shape id="文本框 1026" o:spid="_x0000_s1026" o:spt="202" type="#_x0000_t202" style="position:absolute;left:0pt;margin-top:0pt;height:144pt;width:85.7pt;mso-position-horizontal:center;mso-position-horizontal-relative:margin;z-index:251660288;mso-width-relative:page;mso-height-relative:page;" filled="f" stroked="f" coordsize="21600,21600" o:gfxdata="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Gx+qTTAAAABQEAAA8AAAAAAAAAAQAgAAAAIgAAAGRycy9k&#10;b3ducmV2LnhtbFBLAQIUABQAAAAIAIdO4kBxX8nvzgEAAJ4DAAAOAAAAAAAAAAEAIAAAACIBAABk&#10;cnMvZTJvRG9jLnhtbFBLBQYAAAAABgAGAFkBAABiBQAAAAA=&#10;">
              <v:fill on="f" focussize="0,0"/>
              <v:stroke on="f"/>
              <v:imagedata o:title=""/>
              <o:lock v:ext="edit" aspectratio="f"/>
              <v:textbox inset="0mm,0mm,0mm,0mm" style="mso-fit-shape-to-text:t;">
                <w:txbxContent>
                  <w:p>
                    <w:pPr>
                      <w:pStyle w:val="19"/>
                      <w:jc w:val="center"/>
                    </w:pPr>
                    <w:r>
                      <w:rPr>
                        <w:rFonts w:hint="eastAsia"/>
                      </w:rPr>
                      <w:t xml:space="preserve">第 </w:t>
                    </w:r>
                    <w:r>
                      <w:fldChar w:fldCharType="begin"/>
                    </w:r>
                    <w:r>
                      <w:instrText xml:space="preserve"> PAGE  \* MERGEFORMAT </w:instrText>
                    </w:r>
                    <w:r>
                      <w:fldChar w:fldCharType="separate"/>
                    </w:r>
                    <w:r>
                      <w:t>74</w:t>
                    </w:r>
                    <w:r>
                      <w:fldChar w:fldCharType="end"/>
                    </w:r>
                    <w:r>
                      <w:rPr>
                        <w:rFonts w:hint="eastAsia"/>
                      </w:rPr>
                      <w:t xml:space="preserve"> 页 共 </w:t>
                    </w:r>
                    <w:r>
                      <w:fldChar w:fldCharType="begin"/>
                    </w:r>
                    <w:r>
                      <w:instrText xml:space="preserve"> NUMPAGES  \* MERGEFORMAT </w:instrText>
                    </w:r>
                    <w:r>
                      <w:fldChar w:fldCharType="separate"/>
                    </w:r>
                    <w:r>
                      <w:t>9898</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5062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150620" cy="1828800"/>
                      </a:xfrm>
                      <a:prstGeom prst="rect">
                        <a:avLst/>
                      </a:prstGeom>
                      <a:noFill/>
                      <a:ln>
                        <a:noFill/>
                      </a:ln>
                      <a:effectLst/>
                    </wps:spPr>
                    <wps:txbx>
                      <w:txbxContent>
                        <w:p>
                          <w:pPr>
                            <w:pStyle w:val="19"/>
                            <w:jc w:val="center"/>
                          </w:pPr>
                          <w:r>
                            <w:rPr>
                              <w:rFonts w:hint="eastAsia"/>
                            </w:rPr>
                            <w:t xml:space="preserve">第 </w:t>
                          </w:r>
                          <w:r>
                            <w:fldChar w:fldCharType="begin"/>
                          </w:r>
                          <w:r>
                            <w:instrText xml:space="preserve"> PAGE  \* MERGEFORMAT </w:instrText>
                          </w:r>
                          <w:r>
                            <w:fldChar w:fldCharType="separate"/>
                          </w:r>
                          <w:r>
                            <w:t>2</w:t>
                          </w:r>
                          <w:r>
                            <w:fldChar w:fldCharType="end"/>
                          </w:r>
                          <w:r>
                            <w:rPr>
                              <w:rFonts w:hint="eastAsia"/>
                            </w:rPr>
                            <w:t xml:space="preserve"> 页 共 </w:t>
                          </w:r>
                          <w:r>
                            <w:fldChar w:fldCharType="begin"/>
                          </w:r>
                          <w:r>
                            <w:instrText xml:space="preserve"> NUMPAGES  \* MERGEFORMAT </w:instrText>
                          </w:r>
                          <w:r>
                            <w:fldChar w:fldCharType="separate"/>
                          </w:r>
                          <w:r>
                            <w:t>98102</w:t>
                          </w:r>
                          <w:r>
                            <w:fldChar w:fldCharType="end"/>
                          </w:r>
                          <w:r>
                            <w:rPr>
                              <w:rFonts w:hint="eastAsia"/>
                            </w:rPr>
                            <w:t xml:space="preserve"> 页</w:t>
                          </w:r>
                        </w:p>
                      </w:txbxContent>
                    </wps:txbx>
                    <wps:bodyPr lIns="0" tIns="0" rIns="0" bIns="0" upright="1">
                      <a:spAutoFit/>
                    </wps:bodyPr>
                  </wps:wsp>
                </a:graphicData>
              </a:graphic>
            </wp:anchor>
          </w:drawing>
        </mc:Choice>
        <mc:Fallback>
          <w:pict>
            <v:shape id="文本框 1025" o:spid="_x0000_s1026" o:spt="202" type="#_x0000_t202" style="position:absolute;left:0pt;margin-top:0pt;height:144pt;width:90.6pt;mso-position-horizontal:center;mso-position-horizontal-relative:margin;z-index:251661312;mso-width-relative:page;mso-height-relative:page;" filled="f" stroked="f" coordsize="21600,21600" o:gfxdata="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RggSLNIAAAAFAQAADwAAAAAAAAABACAAAAAiAAAAZHJzL2Rv&#10;d25yZXYueG1sUEsBAhQAFAAAAAgAh07iQFulf9LOAQAAngMAAA4AAAAAAAAAAQAgAAAAIQEAAGRy&#10;cy9lMm9Eb2MueG1sUEsFBgAAAAAGAAYAWQEAAGEFAAAAAA==&#10;">
              <v:fill on="f" focussize="0,0"/>
              <v:stroke on="f"/>
              <v:imagedata o:title=""/>
              <o:lock v:ext="edit" aspectratio="f"/>
              <v:textbox inset="0mm,0mm,0mm,0mm" style="mso-fit-shape-to-text:t;">
                <w:txbxContent>
                  <w:p>
                    <w:pPr>
                      <w:pStyle w:val="19"/>
                      <w:jc w:val="center"/>
                    </w:pPr>
                    <w:r>
                      <w:rPr>
                        <w:rFonts w:hint="eastAsia"/>
                      </w:rPr>
                      <w:t xml:space="preserve">第 </w:t>
                    </w:r>
                    <w:r>
                      <w:fldChar w:fldCharType="begin"/>
                    </w:r>
                    <w:r>
                      <w:instrText xml:space="preserve"> PAGE  \* MERGEFORMAT </w:instrText>
                    </w:r>
                    <w:r>
                      <w:fldChar w:fldCharType="separate"/>
                    </w:r>
                    <w:r>
                      <w:t>2</w:t>
                    </w:r>
                    <w:r>
                      <w:fldChar w:fldCharType="end"/>
                    </w:r>
                    <w:r>
                      <w:rPr>
                        <w:rFonts w:hint="eastAsia"/>
                      </w:rPr>
                      <w:t xml:space="preserve"> 页 共 </w:t>
                    </w:r>
                    <w:r>
                      <w:fldChar w:fldCharType="begin"/>
                    </w:r>
                    <w:r>
                      <w:instrText xml:space="preserve"> NUMPAGES  \* MERGEFORMAT </w:instrText>
                    </w:r>
                    <w:r>
                      <w:fldChar w:fldCharType="separate"/>
                    </w:r>
                    <w:r>
                      <w:t>98102</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w:pict>
        <v:shape id="PowerPlusWaterMarkObject55727" o:spid="_x0000_s3079" o:spt="136" type="#_x0000_t136" style="position:absolute;left:0pt;height:64.8pt;width:522.45pt;mso-position-horizontal:center;mso-position-horizontal-relative:margin;mso-position-vertical:center;mso-position-vertical-relative:margin;rotation:-2949120f;z-index:-251652096;mso-width-relative:page;mso-height-relative:page;" fillcolor="#C0C0C0" filled="t" stroked="f" coordsize="21600,21600" adj="10800">
          <v:path/>
          <v:fill on="t" opacity="32768f" focussize="0,0"/>
          <v:stroke on="f"/>
          <v:imagedata o:title=""/>
          <o:lock v:ext="edit" aspectratio="t"/>
          <v:textpath on="t" fitshape="t" fitpath="t" trim="t" xscale="f" string="东实新能源2022-08-01" style="font-family:微软雅黑;font-size:3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w:pict>
        <v:shape id="_x0000_s3080" o:spid="_x0000_s3080" o:spt="136" type="#_x0000_t136" style="position:absolute;left:0pt;height:64.8pt;width:522.45pt;mso-position-horizontal:center;mso-position-horizontal-relative:margin;mso-position-vertical:center;mso-position-vertical-relative:margin;rotation:-2949120f;z-index:-251651072;mso-width-relative:page;mso-height-relative:page;" fillcolor="#C0C0C0" filled="t" stroked="f" coordsize="21600,21600" adj="10800">
          <v:path/>
          <v:fill on="t" opacity="32768f" focussize="0,0"/>
          <v:stroke on="f"/>
          <v:imagedata o:title=""/>
          <o:lock v:ext="edit" aspectratio="t"/>
          <v:textpath on="t" fitshape="t" fitpath="t" trim="t" xscale="f" string="东实新能源2022-08-01" style="font-family:微软雅黑;font-size:36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pPr>
    <w:r>
      <w:rPr>
        <w:sz w:val="18"/>
      </w:rPr>
      <w:pict>
        <v:shape id="_x0000_s3081" o:spid="_x0000_s3081" o:spt="136" type="#_x0000_t136" style="position:absolute;left:0pt;height:64.8pt;width:522.45pt;mso-position-horizontal:center;mso-position-horizontal-relative:margin;mso-position-vertical:center;mso-position-vertical-relative:margin;rotation:-2949120f;z-index:-251650048;mso-width-relative:page;mso-height-relative:page;" fillcolor="#C0C0C0" filled="t" stroked="f" coordsize="21600,21600" adj="10800">
          <v:path/>
          <v:fill on="t" opacity="32768f" focussize="0,0"/>
          <v:stroke on="f"/>
          <v:imagedata o:title=""/>
          <o:lock v:ext="edit" aspectratio="t"/>
          <v:textpath on="t" fitshape="t" fitpath="t" trim="t" xscale="f" string="东实新能源2022-08-01" style="font-family:微软雅黑;font-size:36pt;v-same-letter-heights:f;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w:pict>
        <v:shape id="_x0000_s3082" o:spid="_x0000_s3082" o:spt="136" type="#_x0000_t136" style="position:absolute;left:0pt;height:64.8pt;width:522.45pt;mso-position-horizontal:center;mso-position-horizontal-relative:margin;mso-position-vertical:center;mso-position-vertical-relative:margin;rotation:-2949120f;z-index:-251649024;mso-width-relative:page;mso-height-relative:page;" fillcolor="#C0C0C0" filled="t" stroked="f" coordsize="21600,21600" adj="10800">
          <v:path/>
          <v:fill on="t" opacity="32768f" focussize="0,0"/>
          <v:stroke on="f"/>
          <v:imagedata o:title=""/>
          <o:lock v:ext="edit" aspectratio="t"/>
          <v:textpath on="t" fitshape="t" fitpath="t" trim="t" xscale="f" string="东实新能源2022-08-01" style="font-family:微软雅黑;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4A8D14"/>
    <w:multiLevelType w:val="singleLevel"/>
    <w:tmpl w:val="864A8D14"/>
    <w:lvl w:ilvl="0" w:tentative="0">
      <w:start w:val="1"/>
      <w:numFmt w:val="chineseCounting"/>
      <w:suff w:val="nothing"/>
      <w:lvlText w:val="（%1）"/>
      <w:lvlJc w:val="left"/>
      <w:pPr>
        <w:ind w:left="0" w:firstLine="420"/>
      </w:pPr>
      <w:rPr>
        <w:rFonts w:hint="eastAsia"/>
      </w:rPr>
    </w:lvl>
  </w:abstractNum>
  <w:abstractNum w:abstractNumId="1">
    <w:nsid w:val="9895D19D"/>
    <w:multiLevelType w:val="multilevel"/>
    <w:tmpl w:val="9895D19D"/>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BE002681"/>
    <w:multiLevelType w:val="singleLevel"/>
    <w:tmpl w:val="BE002681"/>
    <w:lvl w:ilvl="0" w:tentative="0">
      <w:start w:val="12"/>
      <w:numFmt w:val="decimal"/>
      <w:suff w:val="nothing"/>
      <w:lvlText w:val="%1、"/>
      <w:lvlJc w:val="left"/>
    </w:lvl>
  </w:abstractNum>
  <w:abstractNum w:abstractNumId="3">
    <w:nsid w:val="CFF174A5"/>
    <w:multiLevelType w:val="singleLevel"/>
    <w:tmpl w:val="CFF174A5"/>
    <w:lvl w:ilvl="0" w:tentative="0">
      <w:start w:val="1"/>
      <w:numFmt w:val="decimal"/>
      <w:suff w:val="nothing"/>
      <w:lvlText w:val="%1、"/>
      <w:lvlJc w:val="left"/>
    </w:lvl>
  </w:abstractNum>
  <w:abstractNum w:abstractNumId="4">
    <w:nsid w:val="D0047B7E"/>
    <w:multiLevelType w:val="singleLevel"/>
    <w:tmpl w:val="D0047B7E"/>
    <w:lvl w:ilvl="0" w:tentative="0">
      <w:start w:val="1"/>
      <w:numFmt w:val="decimal"/>
      <w:suff w:val="nothing"/>
      <w:lvlText w:val="%1、"/>
      <w:lvlJc w:val="left"/>
    </w:lvl>
  </w:abstractNum>
  <w:abstractNum w:abstractNumId="5">
    <w:nsid w:val="DABE12FC"/>
    <w:multiLevelType w:val="singleLevel"/>
    <w:tmpl w:val="DABE12FC"/>
    <w:lvl w:ilvl="0" w:tentative="0">
      <w:start w:val="1"/>
      <w:numFmt w:val="chineseCounting"/>
      <w:suff w:val="space"/>
      <w:lvlText w:val="第%1部分"/>
      <w:lvlJc w:val="left"/>
      <w:rPr>
        <w:rFonts w:hint="eastAsia"/>
      </w:rPr>
    </w:lvl>
  </w:abstractNum>
  <w:abstractNum w:abstractNumId="6">
    <w:nsid w:val="00000005"/>
    <w:multiLevelType w:val="multilevel"/>
    <w:tmpl w:val="00000005"/>
    <w:lvl w:ilvl="0" w:tentative="0">
      <w:start w:val="1"/>
      <w:numFmt w:val="decimal"/>
      <w:lvlText w:val="%1."/>
      <w:lvlJc w:val="left"/>
      <w:pPr>
        <w:tabs>
          <w:tab w:val="left" w:pos="0"/>
        </w:tabs>
        <w:ind w:left="0" w:firstLine="4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D"/>
    <w:multiLevelType w:val="multilevel"/>
    <w:tmpl w:val="0000000D"/>
    <w:lvl w:ilvl="0" w:tentative="0">
      <w:start w:val="1"/>
      <w:numFmt w:val="decimal"/>
      <w:lvlText w:val="%1."/>
      <w:lvlJc w:val="left"/>
      <w:pPr>
        <w:tabs>
          <w:tab w:val="left" w:pos="425"/>
        </w:tabs>
        <w:ind w:left="425" w:hanging="425"/>
      </w:pPr>
      <w:rPr>
        <w:rFonts w:hint="eastAsia"/>
        <w:b/>
        <w:i w:val="0"/>
        <w:sz w:val="24"/>
      </w:rPr>
    </w:lvl>
    <w:lvl w:ilvl="1" w:tentative="0">
      <w:start w:val="1"/>
      <w:numFmt w:val="decimal"/>
      <w:lvlText w:val="%1.%2"/>
      <w:lvlJc w:val="left"/>
      <w:pPr>
        <w:tabs>
          <w:tab w:val="left" w:pos="567"/>
        </w:tabs>
        <w:ind w:left="567" w:hanging="567"/>
      </w:pPr>
      <w:rPr>
        <w:rFonts w:hint="default" w:ascii="宋体" w:hAnsi="宋体" w:eastAsia="宋体" w:cs="宋体"/>
        <w:b w:val="0"/>
        <w:bCs w:val="0"/>
        <w:i w:val="0"/>
        <w:sz w:val="24"/>
        <w:szCs w:val="24"/>
      </w:rPr>
    </w:lvl>
    <w:lvl w:ilvl="2" w:tentative="0">
      <w:start w:val="1"/>
      <w:numFmt w:val="decimal"/>
      <w:lvlText w:val="2.3.%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b w:val="0"/>
        <w:i w:val="0"/>
        <w:color w:val="000000"/>
        <w:sz w:val="21"/>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08CE68DA"/>
    <w:multiLevelType w:val="multilevel"/>
    <w:tmpl w:val="08CE68DA"/>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A57500B"/>
    <w:multiLevelType w:val="multilevel"/>
    <w:tmpl w:val="0A57500B"/>
    <w:lvl w:ilvl="0" w:tentative="0">
      <w:start w:val="1"/>
      <w:numFmt w:val="japaneseCounting"/>
      <w:lvlText w:val="%1、"/>
      <w:lvlJc w:val="left"/>
      <w:pPr>
        <w:ind w:left="1110" w:hanging="51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0ABA5812"/>
    <w:multiLevelType w:val="singleLevel"/>
    <w:tmpl w:val="0ABA5812"/>
    <w:lvl w:ilvl="0" w:tentative="0">
      <w:start w:val="2"/>
      <w:numFmt w:val="chineseCounting"/>
      <w:suff w:val="nothing"/>
      <w:lvlText w:val="%1、"/>
      <w:lvlJc w:val="left"/>
      <w:rPr>
        <w:rFonts w:hint="eastAsia"/>
      </w:rPr>
    </w:lvl>
  </w:abstractNum>
  <w:abstractNum w:abstractNumId="11">
    <w:nsid w:val="0E5F2D64"/>
    <w:multiLevelType w:val="multilevel"/>
    <w:tmpl w:val="0E5F2D64"/>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3">
    <w:nsid w:val="2586ECC4"/>
    <w:multiLevelType w:val="multilevel"/>
    <w:tmpl w:val="2586ECC4"/>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12D36F7"/>
    <w:multiLevelType w:val="multilevel"/>
    <w:tmpl w:val="312D36F7"/>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6F63D1C"/>
    <w:multiLevelType w:val="multilevel"/>
    <w:tmpl w:val="36F63D1C"/>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F88662E"/>
    <w:multiLevelType w:val="singleLevel"/>
    <w:tmpl w:val="3F88662E"/>
    <w:lvl w:ilvl="0" w:tentative="0">
      <w:start w:val="1"/>
      <w:numFmt w:val="decimal"/>
      <w:suff w:val="space"/>
      <w:lvlText w:val="%1)"/>
      <w:lvlJc w:val="left"/>
    </w:lvl>
  </w:abstractNum>
  <w:abstractNum w:abstractNumId="17">
    <w:nsid w:val="49307E7D"/>
    <w:multiLevelType w:val="multilevel"/>
    <w:tmpl w:val="49307E7D"/>
    <w:lvl w:ilvl="0" w:tentative="0">
      <w:start w:val="1"/>
      <w:numFmt w:val="decimal"/>
      <w:lvlText w:val="（%1）"/>
      <w:lvlJc w:val="left"/>
      <w:pPr>
        <w:tabs>
          <w:tab w:val="left" w:pos="1440"/>
        </w:tabs>
        <w:ind w:left="1440" w:hanging="720"/>
      </w:pPr>
      <w:rPr>
        <w:rFonts w:hint="eastAsia"/>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18">
    <w:nsid w:val="580745EB"/>
    <w:multiLevelType w:val="multilevel"/>
    <w:tmpl w:val="580745E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9031B2E"/>
    <w:multiLevelType w:val="multilevel"/>
    <w:tmpl w:val="59031B2E"/>
    <w:lvl w:ilvl="0" w:tentative="0">
      <w:start w:val="1"/>
      <w:numFmt w:val="decimal"/>
      <w:lvlText w:val="（%1）"/>
      <w:lvlJc w:val="left"/>
      <w:pPr>
        <w:tabs>
          <w:tab w:val="left" w:pos="2295"/>
        </w:tabs>
        <w:ind w:left="2295" w:hanging="139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9C5D728"/>
    <w:multiLevelType w:val="singleLevel"/>
    <w:tmpl w:val="59C5D728"/>
    <w:lvl w:ilvl="0" w:tentative="0">
      <w:start w:val="1"/>
      <w:numFmt w:val="chineseCounting"/>
      <w:suff w:val="nothing"/>
      <w:lvlText w:val="%1、"/>
      <w:lvlJc w:val="left"/>
      <w:pPr>
        <w:ind w:left="0" w:firstLine="420"/>
      </w:pPr>
      <w:rPr>
        <w:rFonts w:hint="eastAsia"/>
      </w:rPr>
    </w:lvl>
  </w:abstractNum>
  <w:abstractNum w:abstractNumId="21">
    <w:nsid w:val="5A2A0F1A"/>
    <w:multiLevelType w:val="singleLevel"/>
    <w:tmpl w:val="5A2A0F1A"/>
    <w:lvl w:ilvl="0" w:tentative="0">
      <w:start w:val="13"/>
      <w:numFmt w:val="chineseCounting"/>
      <w:suff w:val="nothing"/>
      <w:lvlText w:val="（%1）"/>
      <w:lvlJc w:val="left"/>
      <w:pPr>
        <w:ind w:left="0" w:firstLine="420"/>
      </w:pPr>
      <w:rPr>
        <w:rFonts w:hint="eastAsia"/>
      </w:rPr>
    </w:lvl>
  </w:abstractNum>
  <w:abstractNum w:abstractNumId="22">
    <w:nsid w:val="5C183DB0"/>
    <w:multiLevelType w:val="multilevel"/>
    <w:tmpl w:val="5C183D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D1539A1"/>
    <w:multiLevelType w:val="multilevel"/>
    <w:tmpl w:val="5D1539A1"/>
    <w:lvl w:ilvl="0" w:tentative="0">
      <w:start w:val="1"/>
      <w:numFmt w:val="decimal"/>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4">
    <w:nsid w:val="6E881BDA"/>
    <w:multiLevelType w:val="multilevel"/>
    <w:tmpl w:val="6E881BDA"/>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0"/>
  </w:num>
  <w:num w:numId="2">
    <w:abstractNumId w:val="0"/>
  </w:num>
  <w:num w:numId="3">
    <w:abstractNumId w:val="21"/>
  </w:num>
  <w:num w:numId="4">
    <w:abstractNumId w:val="18"/>
  </w:num>
  <w:num w:numId="5">
    <w:abstractNumId w:val="12"/>
  </w:num>
  <w:num w:numId="6">
    <w:abstractNumId w:val="17"/>
    <w:lvlOverride w:ilvl="0">
      <w:startOverride w:val="1"/>
    </w:lvlOverride>
  </w:num>
  <w:num w:numId="7">
    <w:abstractNumId w:val="7"/>
  </w:num>
  <w:num w:numId="8">
    <w:abstractNumId w:val="13"/>
  </w:num>
  <w:num w:numId="9">
    <w:abstractNumId w:val="23"/>
  </w:num>
  <w:num w:numId="10">
    <w:abstractNumId w:val="15"/>
  </w:num>
  <w:num w:numId="11">
    <w:abstractNumId w:val="1"/>
  </w:num>
  <w:num w:numId="12">
    <w:abstractNumId w:val="8"/>
  </w:num>
  <w:num w:numId="13">
    <w:abstractNumId w:val="14"/>
  </w:num>
  <w:num w:numId="14">
    <w:abstractNumId w:val="24"/>
  </w:num>
  <w:num w:numId="15">
    <w:abstractNumId w:val="16"/>
  </w:num>
  <w:num w:numId="16">
    <w:abstractNumId w:val="11"/>
  </w:num>
  <w:num w:numId="17">
    <w:abstractNumId w:val="5"/>
  </w:num>
  <w:num w:numId="18">
    <w:abstractNumId w:val="19"/>
  </w:num>
  <w:num w:numId="19">
    <w:abstractNumId w:val="2"/>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6"/>
  </w:num>
  <w:num w:numId="23">
    <w:abstractNumId w:val="4"/>
  </w:num>
  <w:num w:numId="24">
    <w:abstractNumId w:val="2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5NDZlYWM2ZDg1OGVjMjM0MzI1ZTkzNzNlOTYxYmMifQ=="/>
  </w:docVars>
  <w:rsids>
    <w:rsidRoot w:val="00664F6B"/>
    <w:rsid w:val="00002CA4"/>
    <w:rsid w:val="00005A66"/>
    <w:rsid w:val="00006462"/>
    <w:rsid w:val="00007916"/>
    <w:rsid w:val="000300E4"/>
    <w:rsid w:val="0003307E"/>
    <w:rsid w:val="000336BA"/>
    <w:rsid w:val="000359A1"/>
    <w:rsid w:val="0005185D"/>
    <w:rsid w:val="00052A18"/>
    <w:rsid w:val="0007500F"/>
    <w:rsid w:val="0008282E"/>
    <w:rsid w:val="00093A13"/>
    <w:rsid w:val="000A363F"/>
    <w:rsid w:val="000A42A8"/>
    <w:rsid w:val="000A5063"/>
    <w:rsid w:val="000A5DBD"/>
    <w:rsid w:val="000B4942"/>
    <w:rsid w:val="000C4524"/>
    <w:rsid w:val="000D44A6"/>
    <w:rsid w:val="000E2CB7"/>
    <w:rsid w:val="000F0E98"/>
    <w:rsid w:val="001049A5"/>
    <w:rsid w:val="001120E0"/>
    <w:rsid w:val="001242F3"/>
    <w:rsid w:val="001332BB"/>
    <w:rsid w:val="00134CAD"/>
    <w:rsid w:val="0013730B"/>
    <w:rsid w:val="00137853"/>
    <w:rsid w:val="00137E1C"/>
    <w:rsid w:val="00147012"/>
    <w:rsid w:val="00173126"/>
    <w:rsid w:val="00173905"/>
    <w:rsid w:val="00173E04"/>
    <w:rsid w:val="00175D29"/>
    <w:rsid w:val="001844F4"/>
    <w:rsid w:val="00185039"/>
    <w:rsid w:val="001852D7"/>
    <w:rsid w:val="001A06D8"/>
    <w:rsid w:val="001A2D42"/>
    <w:rsid w:val="001A2EF7"/>
    <w:rsid w:val="001B1F14"/>
    <w:rsid w:val="001B41CF"/>
    <w:rsid w:val="001B5860"/>
    <w:rsid w:val="001C1135"/>
    <w:rsid w:val="001C15AE"/>
    <w:rsid w:val="001C4661"/>
    <w:rsid w:val="001C5689"/>
    <w:rsid w:val="001C6E4B"/>
    <w:rsid w:val="001E37A6"/>
    <w:rsid w:val="001F0070"/>
    <w:rsid w:val="001F4B02"/>
    <w:rsid w:val="002065A7"/>
    <w:rsid w:val="0021149E"/>
    <w:rsid w:val="00213021"/>
    <w:rsid w:val="00216BE9"/>
    <w:rsid w:val="0022503E"/>
    <w:rsid w:val="00225BB4"/>
    <w:rsid w:val="00226313"/>
    <w:rsid w:val="00240F5F"/>
    <w:rsid w:val="00247224"/>
    <w:rsid w:val="00247AE0"/>
    <w:rsid w:val="00260AC1"/>
    <w:rsid w:val="0026312D"/>
    <w:rsid w:val="0027078E"/>
    <w:rsid w:val="00284156"/>
    <w:rsid w:val="00285643"/>
    <w:rsid w:val="002867A1"/>
    <w:rsid w:val="002901F8"/>
    <w:rsid w:val="002920A4"/>
    <w:rsid w:val="002A644D"/>
    <w:rsid w:val="002B4087"/>
    <w:rsid w:val="002B5F6C"/>
    <w:rsid w:val="002C6C78"/>
    <w:rsid w:val="002D1594"/>
    <w:rsid w:val="002D3F9C"/>
    <w:rsid w:val="002D503C"/>
    <w:rsid w:val="002D7E27"/>
    <w:rsid w:val="002E17E5"/>
    <w:rsid w:val="002E6B7E"/>
    <w:rsid w:val="002F1B61"/>
    <w:rsid w:val="0030669E"/>
    <w:rsid w:val="003101A3"/>
    <w:rsid w:val="00320CEA"/>
    <w:rsid w:val="00323B43"/>
    <w:rsid w:val="00326831"/>
    <w:rsid w:val="003274CE"/>
    <w:rsid w:val="003361E9"/>
    <w:rsid w:val="003430F6"/>
    <w:rsid w:val="0035595E"/>
    <w:rsid w:val="0038564C"/>
    <w:rsid w:val="00387CE4"/>
    <w:rsid w:val="00393B1D"/>
    <w:rsid w:val="003A1D97"/>
    <w:rsid w:val="003C18EB"/>
    <w:rsid w:val="003C3B19"/>
    <w:rsid w:val="003C412B"/>
    <w:rsid w:val="003C415C"/>
    <w:rsid w:val="003D36FB"/>
    <w:rsid w:val="003D37D8"/>
    <w:rsid w:val="003E0802"/>
    <w:rsid w:val="003E2B8C"/>
    <w:rsid w:val="003F4822"/>
    <w:rsid w:val="00401CC0"/>
    <w:rsid w:val="00410AB5"/>
    <w:rsid w:val="00410F11"/>
    <w:rsid w:val="00411067"/>
    <w:rsid w:val="004203B9"/>
    <w:rsid w:val="004322A2"/>
    <w:rsid w:val="004358AB"/>
    <w:rsid w:val="00451EB4"/>
    <w:rsid w:val="00456826"/>
    <w:rsid w:val="00460B31"/>
    <w:rsid w:val="00462105"/>
    <w:rsid w:val="00465109"/>
    <w:rsid w:val="00475A80"/>
    <w:rsid w:val="00490B9E"/>
    <w:rsid w:val="00497577"/>
    <w:rsid w:val="004A05D7"/>
    <w:rsid w:val="004A2B28"/>
    <w:rsid w:val="004A69F1"/>
    <w:rsid w:val="004B3550"/>
    <w:rsid w:val="004C7FD6"/>
    <w:rsid w:val="004D08C0"/>
    <w:rsid w:val="004D1669"/>
    <w:rsid w:val="004D51A2"/>
    <w:rsid w:val="004D5AFB"/>
    <w:rsid w:val="004E04FD"/>
    <w:rsid w:val="004F1BB7"/>
    <w:rsid w:val="0050759C"/>
    <w:rsid w:val="00510827"/>
    <w:rsid w:val="00515847"/>
    <w:rsid w:val="005269A9"/>
    <w:rsid w:val="005308B4"/>
    <w:rsid w:val="00545D9A"/>
    <w:rsid w:val="00546A42"/>
    <w:rsid w:val="0055408D"/>
    <w:rsid w:val="005653B5"/>
    <w:rsid w:val="0057492D"/>
    <w:rsid w:val="00590819"/>
    <w:rsid w:val="00593D68"/>
    <w:rsid w:val="005A208B"/>
    <w:rsid w:val="005A555E"/>
    <w:rsid w:val="005A7612"/>
    <w:rsid w:val="005B58A6"/>
    <w:rsid w:val="005B7549"/>
    <w:rsid w:val="005C0B0E"/>
    <w:rsid w:val="005C702E"/>
    <w:rsid w:val="005D01B8"/>
    <w:rsid w:val="005D066B"/>
    <w:rsid w:val="005D2D85"/>
    <w:rsid w:val="005E6BA9"/>
    <w:rsid w:val="005F4EAE"/>
    <w:rsid w:val="005F573A"/>
    <w:rsid w:val="005F660B"/>
    <w:rsid w:val="005F7EB1"/>
    <w:rsid w:val="00604B81"/>
    <w:rsid w:val="0061246F"/>
    <w:rsid w:val="00613417"/>
    <w:rsid w:val="00613B25"/>
    <w:rsid w:val="0061545F"/>
    <w:rsid w:val="006175DE"/>
    <w:rsid w:val="006215AC"/>
    <w:rsid w:val="00621821"/>
    <w:rsid w:val="00622362"/>
    <w:rsid w:val="00622497"/>
    <w:rsid w:val="006276AD"/>
    <w:rsid w:val="006378D4"/>
    <w:rsid w:val="0064416A"/>
    <w:rsid w:val="006476E3"/>
    <w:rsid w:val="00650DDC"/>
    <w:rsid w:val="00652983"/>
    <w:rsid w:val="0065365D"/>
    <w:rsid w:val="006576FD"/>
    <w:rsid w:val="00664F6B"/>
    <w:rsid w:val="006731D2"/>
    <w:rsid w:val="00680EB0"/>
    <w:rsid w:val="00682986"/>
    <w:rsid w:val="00691701"/>
    <w:rsid w:val="00691AE0"/>
    <w:rsid w:val="0069491E"/>
    <w:rsid w:val="006B3E6C"/>
    <w:rsid w:val="006B7878"/>
    <w:rsid w:val="006C14BD"/>
    <w:rsid w:val="006C28E5"/>
    <w:rsid w:val="006D393E"/>
    <w:rsid w:val="006D4AD8"/>
    <w:rsid w:val="006E0B58"/>
    <w:rsid w:val="006E0C4B"/>
    <w:rsid w:val="006E2809"/>
    <w:rsid w:val="006F312B"/>
    <w:rsid w:val="006F337F"/>
    <w:rsid w:val="006F35BF"/>
    <w:rsid w:val="006F3F76"/>
    <w:rsid w:val="007110BA"/>
    <w:rsid w:val="00711465"/>
    <w:rsid w:val="00723B11"/>
    <w:rsid w:val="007343A7"/>
    <w:rsid w:val="00734BB2"/>
    <w:rsid w:val="00741E46"/>
    <w:rsid w:val="0075028E"/>
    <w:rsid w:val="007608B9"/>
    <w:rsid w:val="007724B4"/>
    <w:rsid w:val="0077462B"/>
    <w:rsid w:val="00774BD1"/>
    <w:rsid w:val="007916E7"/>
    <w:rsid w:val="00797C5D"/>
    <w:rsid w:val="00797D2F"/>
    <w:rsid w:val="007A34B9"/>
    <w:rsid w:val="007A3EF1"/>
    <w:rsid w:val="007A4DB3"/>
    <w:rsid w:val="007A6F47"/>
    <w:rsid w:val="007C4F46"/>
    <w:rsid w:val="007C7297"/>
    <w:rsid w:val="007D0237"/>
    <w:rsid w:val="007D1B4F"/>
    <w:rsid w:val="007D2F9E"/>
    <w:rsid w:val="007D3175"/>
    <w:rsid w:val="007D48BF"/>
    <w:rsid w:val="007D5C45"/>
    <w:rsid w:val="007D78BF"/>
    <w:rsid w:val="007E2543"/>
    <w:rsid w:val="007E4A26"/>
    <w:rsid w:val="007F01B0"/>
    <w:rsid w:val="007F02C4"/>
    <w:rsid w:val="007F2CD8"/>
    <w:rsid w:val="007F4DC5"/>
    <w:rsid w:val="00806380"/>
    <w:rsid w:val="0081104F"/>
    <w:rsid w:val="00822299"/>
    <w:rsid w:val="0083486A"/>
    <w:rsid w:val="00841378"/>
    <w:rsid w:val="00842B87"/>
    <w:rsid w:val="00845BEB"/>
    <w:rsid w:val="008472E6"/>
    <w:rsid w:val="00853463"/>
    <w:rsid w:val="008548BD"/>
    <w:rsid w:val="0086026F"/>
    <w:rsid w:val="008640F5"/>
    <w:rsid w:val="008907DA"/>
    <w:rsid w:val="008A0587"/>
    <w:rsid w:val="008A7273"/>
    <w:rsid w:val="008B57CC"/>
    <w:rsid w:val="008B7726"/>
    <w:rsid w:val="008D429E"/>
    <w:rsid w:val="008D5A10"/>
    <w:rsid w:val="008E319F"/>
    <w:rsid w:val="008E619C"/>
    <w:rsid w:val="008F6E0E"/>
    <w:rsid w:val="009009C2"/>
    <w:rsid w:val="00906F49"/>
    <w:rsid w:val="00914604"/>
    <w:rsid w:val="0092092D"/>
    <w:rsid w:val="00923533"/>
    <w:rsid w:val="00930A38"/>
    <w:rsid w:val="00934170"/>
    <w:rsid w:val="00942948"/>
    <w:rsid w:val="00946FCD"/>
    <w:rsid w:val="009474B5"/>
    <w:rsid w:val="00960F22"/>
    <w:rsid w:val="00972D86"/>
    <w:rsid w:val="009736BF"/>
    <w:rsid w:val="0097392B"/>
    <w:rsid w:val="00976066"/>
    <w:rsid w:val="00980A66"/>
    <w:rsid w:val="00981109"/>
    <w:rsid w:val="009904F7"/>
    <w:rsid w:val="009910F6"/>
    <w:rsid w:val="009A07B1"/>
    <w:rsid w:val="009A7058"/>
    <w:rsid w:val="009C3704"/>
    <w:rsid w:val="009C5206"/>
    <w:rsid w:val="009C6AD9"/>
    <w:rsid w:val="009E398C"/>
    <w:rsid w:val="009E6F05"/>
    <w:rsid w:val="009F644E"/>
    <w:rsid w:val="009F6A05"/>
    <w:rsid w:val="00A01BE2"/>
    <w:rsid w:val="00A10906"/>
    <w:rsid w:val="00A13E78"/>
    <w:rsid w:val="00A14EEF"/>
    <w:rsid w:val="00A275C2"/>
    <w:rsid w:val="00A4190E"/>
    <w:rsid w:val="00A50383"/>
    <w:rsid w:val="00A61230"/>
    <w:rsid w:val="00A668C8"/>
    <w:rsid w:val="00A74ED3"/>
    <w:rsid w:val="00A813C5"/>
    <w:rsid w:val="00A824E6"/>
    <w:rsid w:val="00A858DC"/>
    <w:rsid w:val="00A94D14"/>
    <w:rsid w:val="00A95700"/>
    <w:rsid w:val="00AA0EAD"/>
    <w:rsid w:val="00AB19CE"/>
    <w:rsid w:val="00AB3969"/>
    <w:rsid w:val="00AC0E7A"/>
    <w:rsid w:val="00AC187B"/>
    <w:rsid w:val="00AE310E"/>
    <w:rsid w:val="00AE4FC5"/>
    <w:rsid w:val="00AF1B1B"/>
    <w:rsid w:val="00AF5F1F"/>
    <w:rsid w:val="00B024E9"/>
    <w:rsid w:val="00B027A4"/>
    <w:rsid w:val="00B04202"/>
    <w:rsid w:val="00B14E80"/>
    <w:rsid w:val="00B236B3"/>
    <w:rsid w:val="00B26806"/>
    <w:rsid w:val="00B31B24"/>
    <w:rsid w:val="00B4287F"/>
    <w:rsid w:val="00B4315F"/>
    <w:rsid w:val="00B43306"/>
    <w:rsid w:val="00B5754E"/>
    <w:rsid w:val="00B60DAB"/>
    <w:rsid w:val="00B67B5C"/>
    <w:rsid w:val="00B7194E"/>
    <w:rsid w:val="00B73575"/>
    <w:rsid w:val="00B7380A"/>
    <w:rsid w:val="00B763B0"/>
    <w:rsid w:val="00B91005"/>
    <w:rsid w:val="00B92951"/>
    <w:rsid w:val="00B93045"/>
    <w:rsid w:val="00B950B6"/>
    <w:rsid w:val="00BA4130"/>
    <w:rsid w:val="00BB2CAF"/>
    <w:rsid w:val="00BB79B5"/>
    <w:rsid w:val="00BC3E74"/>
    <w:rsid w:val="00BD630F"/>
    <w:rsid w:val="00BD7C1B"/>
    <w:rsid w:val="00BE0825"/>
    <w:rsid w:val="00BF17FD"/>
    <w:rsid w:val="00BF41D4"/>
    <w:rsid w:val="00BF5AFB"/>
    <w:rsid w:val="00C05E07"/>
    <w:rsid w:val="00C16734"/>
    <w:rsid w:val="00C17B47"/>
    <w:rsid w:val="00C25C77"/>
    <w:rsid w:val="00C303E7"/>
    <w:rsid w:val="00C319C2"/>
    <w:rsid w:val="00C612F8"/>
    <w:rsid w:val="00C62E44"/>
    <w:rsid w:val="00C63BD8"/>
    <w:rsid w:val="00C65954"/>
    <w:rsid w:val="00C7126B"/>
    <w:rsid w:val="00C72C24"/>
    <w:rsid w:val="00C73468"/>
    <w:rsid w:val="00C74986"/>
    <w:rsid w:val="00C80EC4"/>
    <w:rsid w:val="00C8568E"/>
    <w:rsid w:val="00CB7220"/>
    <w:rsid w:val="00CC584A"/>
    <w:rsid w:val="00CC5E4E"/>
    <w:rsid w:val="00CD0EAB"/>
    <w:rsid w:val="00CE2AF3"/>
    <w:rsid w:val="00CE621D"/>
    <w:rsid w:val="00CE66E8"/>
    <w:rsid w:val="00D05388"/>
    <w:rsid w:val="00D114CD"/>
    <w:rsid w:val="00D14476"/>
    <w:rsid w:val="00D232FF"/>
    <w:rsid w:val="00D279AA"/>
    <w:rsid w:val="00D31215"/>
    <w:rsid w:val="00D34544"/>
    <w:rsid w:val="00D34841"/>
    <w:rsid w:val="00D44A97"/>
    <w:rsid w:val="00D45C0C"/>
    <w:rsid w:val="00D508A5"/>
    <w:rsid w:val="00D5104B"/>
    <w:rsid w:val="00D555D8"/>
    <w:rsid w:val="00D60778"/>
    <w:rsid w:val="00D63EB2"/>
    <w:rsid w:val="00D64D28"/>
    <w:rsid w:val="00D64E57"/>
    <w:rsid w:val="00D6604D"/>
    <w:rsid w:val="00D677F1"/>
    <w:rsid w:val="00D74601"/>
    <w:rsid w:val="00D83E46"/>
    <w:rsid w:val="00D847B6"/>
    <w:rsid w:val="00D93958"/>
    <w:rsid w:val="00D951D3"/>
    <w:rsid w:val="00DA6169"/>
    <w:rsid w:val="00DB5480"/>
    <w:rsid w:val="00DB6317"/>
    <w:rsid w:val="00DC5AD9"/>
    <w:rsid w:val="00DC691F"/>
    <w:rsid w:val="00DD02DE"/>
    <w:rsid w:val="00DD07B7"/>
    <w:rsid w:val="00DD113C"/>
    <w:rsid w:val="00DD324C"/>
    <w:rsid w:val="00DE0BEB"/>
    <w:rsid w:val="00DE4856"/>
    <w:rsid w:val="00DF485B"/>
    <w:rsid w:val="00E0295D"/>
    <w:rsid w:val="00E21B77"/>
    <w:rsid w:val="00E21D94"/>
    <w:rsid w:val="00E23352"/>
    <w:rsid w:val="00E40CAD"/>
    <w:rsid w:val="00E40DC7"/>
    <w:rsid w:val="00E4215F"/>
    <w:rsid w:val="00E61D2E"/>
    <w:rsid w:val="00E62B7F"/>
    <w:rsid w:val="00E70DE9"/>
    <w:rsid w:val="00E726BC"/>
    <w:rsid w:val="00E72821"/>
    <w:rsid w:val="00E75C82"/>
    <w:rsid w:val="00E81DDC"/>
    <w:rsid w:val="00E81F67"/>
    <w:rsid w:val="00E83650"/>
    <w:rsid w:val="00E83A31"/>
    <w:rsid w:val="00E93BF5"/>
    <w:rsid w:val="00E97CC0"/>
    <w:rsid w:val="00EA2524"/>
    <w:rsid w:val="00EC092D"/>
    <w:rsid w:val="00EC0DF8"/>
    <w:rsid w:val="00ED378B"/>
    <w:rsid w:val="00ED7705"/>
    <w:rsid w:val="00EE08F9"/>
    <w:rsid w:val="00EF24AA"/>
    <w:rsid w:val="00EF728A"/>
    <w:rsid w:val="00EF7D0D"/>
    <w:rsid w:val="00F00FF7"/>
    <w:rsid w:val="00F02093"/>
    <w:rsid w:val="00F068E3"/>
    <w:rsid w:val="00F10B5F"/>
    <w:rsid w:val="00F218C1"/>
    <w:rsid w:val="00F321EB"/>
    <w:rsid w:val="00F346CF"/>
    <w:rsid w:val="00F3610C"/>
    <w:rsid w:val="00F36839"/>
    <w:rsid w:val="00F52A5F"/>
    <w:rsid w:val="00F55954"/>
    <w:rsid w:val="00F61962"/>
    <w:rsid w:val="00F62865"/>
    <w:rsid w:val="00F64022"/>
    <w:rsid w:val="00F64660"/>
    <w:rsid w:val="00F74FF3"/>
    <w:rsid w:val="00F77088"/>
    <w:rsid w:val="00F97062"/>
    <w:rsid w:val="00F9745D"/>
    <w:rsid w:val="00FA54B2"/>
    <w:rsid w:val="00FC529F"/>
    <w:rsid w:val="00FC7B53"/>
    <w:rsid w:val="00FD48CC"/>
    <w:rsid w:val="00FE62D1"/>
    <w:rsid w:val="00FF26BF"/>
    <w:rsid w:val="015526F4"/>
    <w:rsid w:val="018023CE"/>
    <w:rsid w:val="01881AD6"/>
    <w:rsid w:val="02A741FD"/>
    <w:rsid w:val="02C16E5D"/>
    <w:rsid w:val="02D964CF"/>
    <w:rsid w:val="02FF7BF3"/>
    <w:rsid w:val="03707410"/>
    <w:rsid w:val="039240A3"/>
    <w:rsid w:val="03A0770F"/>
    <w:rsid w:val="03A448B8"/>
    <w:rsid w:val="03B77420"/>
    <w:rsid w:val="042F3419"/>
    <w:rsid w:val="047B4012"/>
    <w:rsid w:val="04822497"/>
    <w:rsid w:val="04CC701D"/>
    <w:rsid w:val="04DF1036"/>
    <w:rsid w:val="05372EBA"/>
    <w:rsid w:val="0594127F"/>
    <w:rsid w:val="05A97DEC"/>
    <w:rsid w:val="05B23978"/>
    <w:rsid w:val="05C81981"/>
    <w:rsid w:val="05D228CD"/>
    <w:rsid w:val="060C3203"/>
    <w:rsid w:val="061B5D08"/>
    <w:rsid w:val="064D3DE4"/>
    <w:rsid w:val="06510766"/>
    <w:rsid w:val="069B4E4A"/>
    <w:rsid w:val="06BC41F2"/>
    <w:rsid w:val="06F415CC"/>
    <w:rsid w:val="070E26CD"/>
    <w:rsid w:val="07197D08"/>
    <w:rsid w:val="071E5C55"/>
    <w:rsid w:val="074C09BC"/>
    <w:rsid w:val="075C1FE5"/>
    <w:rsid w:val="077005AB"/>
    <w:rsid w:val="078F4581"/>
    <w:rsid w:val="07BF027F"/>
    <w:rsid w:val="08031A31"/>
    <w:rsid w:val="08C340C6"/>
    <w:rsid w:val="09061A75"/>
    <w:rsid w:val="09182241"/>
    <w:rsid w:val="09855177"/>
    <w:rsid w:val="0A462748"/>
    <w:rsid w:val="0A772F48"/>
    <w:rsid w:val="0AA534D5"/>
    <w:rsid w:val="0AA650EB"/>
    <w:rsid w:val="0AA7129C"/>
    <w:rsid w:val="0AF47339"/>
    <w:rsid w:val="0B22594B"/>
    <w:rsid w:val="0B27506F"/>
    <w:rsid w:val="0BBF77A4"/>
    <w:rsid w:val="0BDF26F7"/>
    <w:rsid w:val="0C027DB2"/>
    <w:rsid w:val="0C2B4952"/>
    <w:rsid w:val="0C375585"/>
    <w:rsid w:val="0C516C55"/>
    <w:rsid w:val="0C7B2220"/>
    <w:rsid w:val="0CB67D83"/>
    <w:rsid w:val="0CE45077"/>
    <w:rsid w:val="0D133046"/>
    <w:rsid w:val="0D210C89"/>
    <w:rsid w:val="0D6A4502"/>
    <w:rsid w:val="0D890E47"/>
    <w:rsid w:val="0DC64A00"/>
    <w:rsid w:val="0DEB5FFA"/>
    <w:rsid w:val="0DFC60BA"/>
    <w:rsid w:val="0E1C06B2"/>
    <w:rsid w:val="0EBD5AA3"/>
    <w:rsid w:val="0F3C0EAE"/>
    <w:rsid w:val="0F543110"/>
    <w:rsid w:val="0F592830"/>
    <w:rsid w:val="0F7C5FF6"/>
    <w:rsid w:val="0F912BA7"/>
    <w:rsid w:val="0FC63FBD"/>
    <w:rsid w:val="0FDD003F"/>
    <w:rsid w:val="10305890"/>
    <w:rsid w:val="106C564D"/>
    <w:rsid w:val="107B7B8F"/>
    <w:rsid w:val="107C67CE"/>
    <w:rsid w:val="10912D03"/>
    <w:rsid w:val="109D68CB"/>
    <w:rsid w:val="10A949B8"/>
    <w:rsid w:val="11200D07"/>
    <w:rsid w:val="113F4190"/>
    <w:rsid w:val="11423CDC"/>
    <w:rsid w:val="11DA73AF"/>
    <w:rsid w:val="11DB182B"/>
    <w:rsid w:val="11FB0AC5"/>
    <w:rsid w:val="121216F1"/>
    <w:rsid w:val="12511265"/>
    <w:rsid w:val="12C60D80"/>
    <w:rsid w:val="12F40E54"/>
    <w:rsid w:val="12F42BBA"/>
    <w:rsid w:val="131F7A3A"/>
    <w:rsid w:val="132645D0"/>
    <w:rsid w:val="13455ABC"/>
    <w:rsid w:val="1370322B"/>
    <w:rsid w:val="13BA0460"/>
    <w:rsid w:val="13BB41AE"/>
    <w:rsid w:val="13C24F9B"/>
    <w:rsid w:val="13C45A18"/>
    <w:rsid w:val="13C9247B"/>
    <w:rsid w:val="13CC5DA9"/>
    <w:rsid w:val="143B2E0B"/>
    <w:rsid w:val="146F173A"/>
    <w:rsid w:val="148054E9"/>
    <w:rsid w:val="14892735"/>
    <w:rsid w:val="14CC769D"/>
    <w:rsid w:val="155E7D04"/>
    <w:rsid w:val="15691FE3"/>
    <w:rsid w:val="158B5DDD"/>
    <w:rsid w:val="15B42473"/>
    <w:rsid w:val="15C40F54"/>
    <w:rsid w:val="15D359D7"/>
    <w:rsid w:val="160E7A2C"/>
    <w:rsid w:val="162D7CAD"/>
    <w:rsid w:val="163C77BE"/>
    <w:rsid w:val="1679588C"/>
    <w:rsid w:val="16875CBE"/>
    <w:rsid w:val="168C2855"/>
    <w:rsid w:val="16994962"/>
    <w:rsid w:val="16A232F2"/>
    <w:rsid w:val="16A233CF"/>
    <w:rsid w:val="16A71041"/>
    <w:rsid w:val="16AA24BF"/>
    <w:rsid w:val="16D50F3F"/>
    <w:rsid w:val="16F65A3F"/>
    <w:rsid w:val="17680CAB"/>
    <w:rsid w:val="176E4128"/>
    <w:rsid w:val="1783371F"/>
    <w:rsid w:val="17BB7E0D"/>
    <w:rsid w:val="17E62B67"/>
    <w:rsid w:val="180F4499"/>
    <w:rsid w:val="18221ECE"/>
    <w:rsid w:val="183C3D90"/>
    <w:rsid w:val="184A4249"/>
    <w:rsid w:val="1859036F"/>
    <w:rsid w:val="185A6938"/>
    <w:rsid w:val="18964644"/>
    <w:rsid w:val="18E7069C"/>
    <w:rsid w:val="18FC7745"/>
    <w:rsid w:val="19946737"/>
    <w:rsid w:val="19986070"/>
    <w:rsid w:val="19A04AA1"/>
    <w:rsid w:val="1A460CF5"/>
    <w:rsid w:val="1A7F297D"/>
    <w:rsid w:val="1A9D6244"/>
    <w:rsid w:val="1AB16AC1"/>
    <w:rsid w:val="1B0320FB"/>
    <w:rsid w:val="1B034A52"/>
    <w:rsid w:val="1B45344E"/>
    <w:rsid w:val="1B5468D6"/>
    <w:rsid w:val="1B8C0040"/>
    <w:rsid w:val="1C750ECE"/>
    <w:rsid w:val="1C874A89"/>
    <w:rsid w:val="1CA56AF4"/>
    <w:rsid w:val="1CC85B04"/>
    <w:rsid w:val="1D196139"/>
    <w:rsid w:val="1DBD3BFD"/>
    <w:rsid w:val="1DBE6816"/>
    <w:rsid w:val="1E010AF7"/>
    <w:rsid w:val="1E301173"/>
    <w:rsid w:val="1E6C0A02"/>
    <w:rsid w:val="1E884D18"/>
    <w:rsid w:val="1EDD3235"/>
    <w:rsid w:val="1EF43FD5"/>
    <w:rsid w:val="1F43381C"/>
    <w:rsid w:val="1FA4148D"/>
    <w:rsid w:val="1FD82385"/>
    <w:rsid w:val="20121621"/>
    <w:rsid w:val="204E554F"/>
    <w:rsid w:val="20590035"/>
    <w:rsid w:val="208D342F"/>
    <w:rsid w:val="20DD74DD"/>
    <w:rsid w:val="20FC799E"/>
    <w:rsid w:val="210D131D"/>
    <w:rsid w:val="21286DA7"/>
    <w:rsid w:val="21355C52"/>
    <w:rsid w:val="213E1A22"/>
    <w:rsid w:val="213E30EA"/>
    <w:rsid w:val="21DE0801"/>
    <w:rsid w:val="22154DDD"/>
    <w:rsid w:val="22336873"/>
    <w:rsid w:val="22F633D5"/>
    <w:rsid w:val="22F92F75"/>
    <w:rsid w:val="232C367A"/>
    <w:rsid w:val="23727A55"/>
    <w:rsid w:val="23BB4E7D"/>
    <w:rsid w:val="23C172D6"/>
    <w:rsid w:val="23D77537"/>
    <w:rsid w:val="23E6195D"/>
    <w:rsid w:val="23EF1F87"/>
    <w:rsid w:val="23F04F64"/>
    <w:rsid w:val="24556F5D"/>
    <w:rsid w:val="24814CBE"/>
    <w:rsid w:val="24AC168B"/>
    <w:rsid w:val="24BC1A96"/>
    <w:rsid w:val="24FA3372"/>
    <w:rsid w:val="25284930"/>
    <w:rsid w:val="25290DD3"/>
    <w:rsid w:val="254D0389"/>
    <w:rsid w:val="25884C5D"/>
    <w:rsid w:val="258C3BEC"/>
    <w:rsid w:val="25B2479F"/>
    <w:rsid w:val="25E5427A"/>
    <w:rsid w:val="26276A31"/>
    <w:rsid w:val="26366F9D"/>
    <w:rsid w:val="263B1230"/>
    <w:rsid w:val="26A605D9"/>
    <w:rsid w:val="26AD0500"/>
    <w:rsid w:val="272E3097"/>
    <w:rsid w:val="272E6F74"/>
    <w:rsid w:val="277E6655"/>
    <w:rsid w:val="27B36A67"/>
    <w:rsid w:val="27C32B12"/>
    <w:rsid w:val="282F2C9E"/>
    <w:rsid w:val="2846581F"/>
    <w:rsid w:val="285167C6"/>
    <w:rsid w:val="28593CFE"/>
    <w:rsid w:val="286602C8"/>
    <w:rsid w:val="28665C95"/>
    <w:rsid w:val="28736F5F"/>
    <w:rsid w:val="28F579BA"/>
    <w:rsid w:val="290B3EB9"/>
    <w:rsid w:val="2950768C"/>
    <w:rsid w:val="297A5FC4"/>
    <w:rsid w:val="29FE5CE6"/>
    <w:rsid w:val="2A1023FD"/>
    <w:rsid w:val="2A540C15"/>
    <w:rsid w:val="2A8D4F8F"/>
    <w:rsid w:val="2A917B34"/>
    <w:rsid w:val="2AD74E8C"/>
    <w:rsid w:val="2AE3766F"/>
    <w:rsid w:val="2AEC612E"/>
    <w:rsid w:val="2B0E56AB"/>
    <w:rsid w:val="2B0F281A"/>
    <w:rsid w:val="2B590601"/>
    <w:rsid w:val="2B5F7750"/>
    <w:rsid w:val="2B7E4054"/>
    <w:rsid w:val="2B8D01B3"/>
    <w:rsid w:val="2C6A6AC0"/>
    <w:rsid w:val="2C987C56"/>
    <w:rsid w:val="2CC15BAA"/>
    <w:rsid w:val="2CD55D8A"/>
    <w:rsid w:val="2CFF149A"/>
    <w:rsid w:val="2D201865"/>
    <w:rsid w:val="2D285598"/>
    <w:rsid w:val="2D3802B5"/>
    <w:rsid w:val="2D4B5CEA"/>
    <w:rsid w:val="2D4D7638"/>
    <w:rsid w:val="2D652658"/>
    <w:rsid w:val="2D8F7A24"/>
    <w:rsid w:val="2DC16E0A"/>
    <w:rsid w:val="2DC80C49"/>
    <w:rsid w:val="2DCA6355"/>
    <w:rsid w:val="2E166748"/>
    <w:rsid w:val="2E2D6D0B"/>
    <w:rsid w:val="2E556F01"/>
    <w:rsid w:val="2E8E20B4"/>
    <w:rsid w:val="2EC1207D"/>
    <w:rsid w:val="2ED06066"/>
    <w:rsid w:val="2ED1223D"/>
    <w:rsid w:val="2EE37814"/>
    <w:rsid w:val="2F000139"/>
    <w:rsid w:val="2F9F42DC"/>
    <w:rsid w:val="2FAF0127"/>
    <w:rsid w:val="2FF37AB3"/>
    <w:rsid w:val="30933E57"/>
    <w:rsid w:val="31170995"/>
    <w:rsid w:val="31264A30"/>
    <w:rsid w:val="312A1715"/>
    <w:rsid w:val="31884E67"/>
    <w:rsid w:val="31A0275E"/>
    <w:rsid w:val="31BE28A4"/>
    <w:rsid w:val="327329D8"/>
    <w:rsid w:val="32AB70C5"/>
    <w:rsid w:val="335D0AF5"/>
    <w:rsid w:val="3370088C"/>
    <w:rsid w:val="33DC2F78"/>
    <w:rsid w:val="3428227C"/>
    <w:rsid w:val="347918A5"/>
    <w:rsid w:val="34880F47"/>
    <w:rsid w:val="34A61BDE"/>
    <w:rsid w:val="3502679E"/>
    <w:rsid w:val="3522586C"/>
    <w:rsid w:val="35356692"/>
    <w:rsid w:val="35572473"/>
    <w:rsid w:val="35602226"/>
    <w:rsid w:val="356B72E7"/>
    <w:rsid w:val="356D2AC8"/>
    <w:rsid w:val="3572424F"/>
    <w:rsid w:val="366E6E12"/>
    <w:rsid w:val="367801A9"/>
    <w:rsid w:val="36A214AC"/>
    <w:rsid w:val="36AD519D"/>
    <w:rsid w:val="36B57705"/>
    <w:rsid w:val="37122320"/>
    <w:rsid w:val="37A103ED"/>
    <w:rsid w:val="37E02B23"/>
    <w:rsid w:val="37E345A6"/>
    <w:rsid w:val="37EA5E6E"/>
    <w:rsid w:val="37FF016F"/>
    <w:rsid w:val="38542880"/>
    <w:rsid w:val="386E4145"/>
    <w:rsid w:val="3876187D"/>
    <w:rsid w:val="387C5ABE"/>
    <w:rsid w:val="38B66D0C"/>
    <w:rsid w:val="38CE5AC2"/>
    <w:rsid w:val="38D62005"/>
    <w:rsid w:val="38EB6119"/>
    <w:rsid w:val="38F91C60"/>
    <w:rsid w:val="395542F2"/>
    <w:rsid w:val="39FD4CC2"/>
    <w:rsid w:val="3A51228C"/>
    <w:rsid w:val="3A545E48"/>
    <w:rsid w:val="3A552E60"/>
    <w:rsid w:val="3A5D642F"/>
    <w:rsid w:val="3A884A99"/>
    <w:rsid w:val="3AB210FC"/>
    <w:rsid w:val="3B1F6CFA"/>
    <w:rsid w:val="3B793A48"/>
    <w:rsid w:val="3B85393E"/>
    <w:rsid w:val="3BA17904"/>
    <w:rsid w:val="3BAC1BFD"/>
    <w:rsid w:val="3BCA4B8A"/>
    <w:rsid w:val="3BCD72F7"/>
    <w:rsid w:val="3BFF71D7"/>
    <w:rsid w:val="3C02442F"/>
    <w:rsid w:val="3C37146A"/>
    <w:rsid w:val="3C3D3625"/>
    <w:rsid w:val="3C414142"/>
    <w:rsid w:val="3C634ED3"/>
    <w:rsid w:val="3C88055A"/>
    <w:rsid w:val="3CF737A2"/>
    <w:rsid w:val="3D10295A"/>
    <w:rsid w:val="3D184041"/>
    <w:rsid w:val="3D2314DC"/>
    <w:rsid w:val="3D370C2A"/>
    <w:rsid w:val="3D414FC0"/>
    <w:rsid w:val="3DB35975"/>
    <w:rsid w:val="3DEF3701"/>
    <w:rsid w:val="3E0572FD"/>
    <w:rsid w:val="3E0720FE"/>
    <w:rsid w:val="3E287A22"/>
    <w:rsid w:val="3E5A7FE7"/>
    <w:rsid w:val="3E955A6A"/>
    <w:rsid w:val="3ECE4842"/>
    <w:rsid w:val="3EE020AB"/>
    <w:rsid w:val="3EF66B2E"/>
    <w:rsid w:val="3F217914"/>
    <w:rsid w:val="3F5822EB"/>
    <w:rsid w:val="3FD70BB0"/>
    <w:rsid w:val="3FFB55AC"/>
    <w:rsid w:val="401C5F9D"/>
    <w:rsid w:val="401C690C"/>
    <w:rsid w:val="401D7195"/>
    <w:rsid w:val="402B709E"/>
    <w:rsid w:val="40825D97"/>
    <w:rsid w:val="409928E7"/>
    <w:rsid w:val="40997CFE"/>
    <w:rsid w:val="40CE3DC0"/>
    <w:rsid w:val="40D7455A"/>
    <w:rsid w:val="40E743E5"/>
    <w:rsid w:val="412D5EA0"/>
    <w:rsid w:val="416D78C7"/>
    <w:rsid w:val="41734CBA"/>
    <w:rsid w:val="417F4E1A"/>
    <w:rsid w:val="41A82190"/>
    <w:rsid w:val="41B73DB1"/>
    <w:rsid w:val="41FA3241"/>
    <w:rsid w:val="420F7A65"/>
    <w:rsid w:val="4216611A"/>
    <w:rsid w:val="423E300F"/>
    <w:rsid w:val="425656C8"/>
    <w:rsid w:val="4257273C"/>
    <w:rsid w:val="42687ACE"/>
    <w:rsid w:val="426F1BBF"/>
    <w:rsid w:val="42FD694D"/>
    <w:rsid w:val="437D6687"/>
    <w:rsid w:val="438351F5"/>
    <w:rsid w:val="438D35EA"/>
    <w:rsid w:val="43D23F8D"/>
    <w:rsid w:val="43FA5777"/>
    <w:rsid w:val="440D4082"/>
    <w:rsid w:val="441C1611"/>
    <w:rsid w:val="443C440B"/>
    <w:rsid w:val="44514F52"/>
    <w:rsid w:val="445B6ED3"/>
    <w:rsid w:val="44860B1E"/>
    <w:rsid w:val="44AE3FD4"/>
    <w:rsid w:val="44D0586F"/>
    <w:rsid w:val="44FA2D53"/>
    <w:rsid w:val="4571374F"/>
    <w:rsid w:val="458B1BB0"/>
    <w:rsid w:val="45B93426"/>
    <w:rsid w:val="45CA278F"/>
    <w:rsid w:val="45D0222A"/>
    <w:rsid w:val="465A6BE7"/>
    <w:rsid w:val="467A0297"/>
    <w:rsid w:val="468B7125"/>
    <w:rsid w:val="46C4691F"/>
    <w:rsid w:val="471C6116"/>
    <w:rsid w:val="47685427"/>
    <w:rsid w:val="479D1D34"/>
    <w:rsid w:val="47A8139B"/>
    <w:rsid w:val="47B609C0"/>
    <w:rsid w:val="47EC3B04"/>
    <w:rsid w:val="47EC6277"/>
    <w:rsid w:val="47FA5D0E"/>
    <w:rsid w:val="481A219B"/>
    <w:rsid w:val="482D31EA"/>
    <w:rsid w:val="485970A0"/>
    <w:rsid w:val="48823516"/>
    <w:rsid w:val="48877686"/>
    <w:rsid w:val="48B176C2"/>
    <w:rsid w:val="48B65C71"/>
    <w:rsid w:val="48D7175E"/>
    <w:rsid w:val="48F67531"/>
    <w:rsid w:val="48FB1909"/>
    <w:rsid w:val="492E6A57"/>
    <w:rsid w:val="49405F5B"/>
    <w:rsid w:val="495672E9"/>
    <w:rsid w:val="495839AA"/>
    <w:rsid w:val="49761465"/>
    <w:rsid w:val="49771AFE"/>
    <w:rsid w:val="49B40862"/>
    <w:rsid w:val="4A0030EE"/>
    <w:rsid w:val="4A0568D6"/>
    <w:rsid w:val="4A484D41"/>
    <w:rsid w:val="4A4B4205"/>
    <w:rsid w:val="4A6D15F8"/>
    <w:rsid w:val="4A9A25BD"/>
    <w:rsid w:val="4A9E0551"/>
    <w:rsid w:val="4AB542AE"/>
    <w:rsid w:val="4B243D9D"/>
    <w:rsid w:val="4B8C2DEB"/>
    <w:rsid w:val="4BFA3C9F"/>
    <w:rsid w:val="4C107F48"/>
    <w:rsid w:val="4C170E49"/>
    <w:rsid w:val="4C3277BC"/>
    <w:rsid w:val="4CC353EB"/>
    <w:rsid w:val="4CF36F3C"/>
    <w:rsid w:val="4D1470BD"/>
    <w:rsid w:val="4D603399"/>
    <w:rsid w:val="4D867EE1"/>
    <w:rsid w:val="4DBC4C65"/>
    <w:rsid w:val="4DE2009B"/>
    <w:rsid w:val="4E207E99"/>
    <w:rsid w:val="4E2B38E2"/>
    <w:rsid w:val="4E3E2865"/>
    <w:rsid w:val="4E533FA5"/>
    <w:rsid w:val="4E550010"/>
    <w:rsid w:val="4E5F14CB"/>
    <w:rsid w:val="4E6808B0"/>
    <w:rsid w:val="4E8B1B55"/>
    <w:rsid w:val="4EAF55F6"/>
    <w:rsid w:val="4EBA08E0"/>
    <w:rsid w:val="4EFB1C45"/>
    <w:rsid w:val="4F26273B"/>
    <w:rsid w:val="4F3705F8"/>
    <w:rsid w:val="4F7F29B6"/>
    <w:rsid w:val="4FAC3540"/>
    <w:rsid w:val="4FCF1583"/>
    <w:rsid w:val="4FD44D1B"/>
    <w:rsid w:val="4FDC066D"/>
    <w:rsid w:val="4FF43C08"/>
    <w:rsid w:val="4FFA7625"/>
    <w:rsid w:val="507D2599"/>
    <w:rsid w:val="50836D3A"/>
    <w:rsid w:val="5096229D"/>
    <w:rsid w:val="50B769E4"/>
    <w:rsid w:val="50DC4184"/>
    <w:rsid w:val="50FB6146"/>
    <w:rsid w:val="512F4CA0"/>
    <w:rsid w:val="514C3EA7"/>
    <w:rsid w:val="51A0149C"/>
    <w:rsid w:val="51FF3C99"/>
    <w:rsid w:val="52475E5E"/>
    <w:rsid w:val="52521A20"/>
    <w:rsid w:val="52AC4ABC"/>
    <w:rsid w:val="52E57A12"/>
    <w:rsid w:val="538A6BB9"/>
    <w:rsid w:val="539964FD"/>
    <w:rsid w:val="539C1B81"/>
    <w:rsid w:val="53A447B1"/>
    <w:rsid w:val="53AE750F"/>
    <w:rsid w:val="54001097"/>
    <w:rsid w:val="5489132E"/>
    <w:rsid w:val="549A6BFA"/>
    <w:rsid w:val="55244D7F"/>
    <w:rsid w:val="55362287"/>
    <w:rsid w:val="55C3227E"/>
    <w:rsid w:val="55FA2961"/>
    <w:rsid w:val="564220BA"/>
    <w:rsid w:val="565E7F4F"/>
    <w:rsid w:val="56914056"/>
    <w:rsid w:val="56A44E55"/>
    <w:rsid w:val="56C36589"/>
    <w:rsid w:val="570D55B0"/>
    <w:rsid w:val="57293C95"/>
    <w:rsid w:val="572A6381"/>
    <w:rsid w:val="57365868"/>
    <w:rsid w:val="5753644D"/>
    <w:rsid w:val="57F65317"/>
    <w:rsid w:val="57FC2169"/>
    <w:rsid w:val="58096275"/>
    <w:rsid w:val="58161D15"/>
    <w:rsid w:val="582E6EF7"/>
    <w:rsid w:val="584E30E6"/>
    <w:rsid w:val="587D0FAD"/>
    <w:rsid w:val="5920012C"/>
    <w:rsid w:val="595578DE"/>
    <w:rsid w:val="595702F2"/>
    <w:rsid w:val="59764C7A"/>
    <w:rsid w:val="597B384D"/>
    <w:rsid w:val="59996DA8"/>
    <w:rsid w:val="59A725E2"/>
    <w:rsid w:val="59C30F1B"/>
    <w:rsid w:val="5A8C20D0"/>
    <w:rsid w:val="5AC65E07"/>
    <w:rsid w:val="5AC7121C"/>
    <w:rsid w:val="5AD90B8D"/>
    <w:rsid w:val="5AE12927"/>
    <w:rsid w:val="5AE35472"/>
    <w:rsid w:val="5AEF4E8F"/>
    <w:rsid w:val="5AF87CC9"/>
    <w:rsid w:val="5B4E1A44"/>
    <w:rsid w:val="5B820DAC"/>
    <w:rsid w:val="5B873201"/>
    <w:rsid w:val="5B967767"/>
    <w:rsid w:val="5C237240"/>
    <w:rsid w:val="5C286807"/>
    <w:rsid w:val="5C370E72"/>
    <w:rsid w:val="5C446BC8"/>
    <w:rsid w:val="5C7146B1"/>
    <w:rsid w:val="5C7C2768"/>
    <w:rsid w:val="5CA5200E"/>
    <w:rsid w:val="5CA61C6A"/>
    <w:rsid w:val="5CB23AE6"/>
    <w:rsid w:val="5CB72F5E"/>
    <w:rsid w:val="5CED5863"/>
    <w:rsid w:val="5D0D6DF5"/>
    <w:rsid w:val="5D16412F"/>
    <w:rsid w:val="5D893B14"/>
    <w:rsid w:val="5D8A5BAC"/>
    <w:rsid w:val="5DD51633"/>
    <w:rsid w:val="5E696E74"/>
    <w:rsid w:val="5EA06921"/>
    <w:rsid w:val="5EBA259F"/>
    <w:rsid w:val="5F0438F7"/>
    <w:rsid w:val="5F085DDA"/>
    <w:rsid w:val="5F9C5E22"/>
    <w:rsid w:val="5FBE370A"/>
    <w:rsid w:val="5FC83407"/>
    <w:rsid w:val="5FF0558C"/>
    <w:rsid w:val="601A27F4"/>
    <w:rsid w:val="60292845"/>
    <w:rsid w:val="60B9251B"/>
    <w:rsid w:val="60CE487F"/>
    <w:rsid w:val="60E236C1"/>
    <w:rsid w:val="60FB2DF1"/>
    <w:rsid w:val="61260B6B"/>
    <w:rsid w:val="612E1A5D"/>
    <w:rsid w:val="61816046"/>
    <w:rsid w:val="61B60D02"/>
    <w:rsid w:val="61E00FF3"/>
    <w:rsid w:val="62391564"/>
    <w:rsid w:val="626638FE"/>
    <w:rsid w:val="62816669"/>
    <w:rsid w:val="62B36CD7"/>
    <w:rsid w:val="62BA0953"/>
    <w:rsid w:val="62D03A7C"/>
    <w:rsid w:val="62F42FAE"/>
    <w:rsid w:val="62F648FE"/>
    <w:rsid w:val="63167A4F"/>
    <w:rsid w:val="631D2BD6"/>
    <w:rsid w:val="637D5B70"/>
    <w:rsid w:val="63825E77"/>
    <w:rsid w:val="63A10995"/>
    <w:rsid w:val="63C23EFA"/>
    <w:rsid w:val="63D255DA"/>
    <w:rsid w:val="63F91412"/>
    <w:rsid w:val="63FD2CAA"/>
    <w:rsid w:val="640B7654"/>
    <w:rsid w:val="641A7237"/>
    <w:rsid w:val="643A070A"/>
    <w:rsid w:val="644C573D"/>
    <w:rsid w:val="64507EFB"/>
    <w:rsid w:val="648B0031"/>
    <w:rsid w:val="65032F85"/>
    <w:rsid w:val="651304A7"/>
    <w:rsid w:val="65136B50"/>
    <w:rsid w:val="657E2A35"/>
    <w:rsid w:val="65A94E9D"/>
    <w:rsid w:val="65C60A92"/>
    <w:rsid w:val="65D213AC"/>
    <w:rsid w:val="660451CE"/>
    <w:rsid w:val="665346B7"/>
    <w:rsid w:val="66A12460"/>
    <w:rsid w:val="66DD6702"/>
    <w:rsid w:val="67024765"/>
    <w:rsid w:val="67513783"/>
    <w:rsid w:val="675E528D"/>
    <w:rsid w:val="678A104E"/>
    <w:rsid w:val="67A32389"/>
    <w:rsid w:val="67A7798A"/>
    <w:rsid w:val="682A2352"/>
    <w:rsid w:val="68707071"/>
    <w:rsid w:val="68793BAD"/>
    <w:rsid w:val="687E3889"/>
    <w:rsid w:val="6884222C"/>
    <w:rsid w:val="68AD17BB"/>
    <w:rsid w:val="68D94D22"/>
    <w:rsid w:val="692B2E4A"/>
    <w:rsid w:val="695C0977"/>
    <w:rsid w:val="696A0B34"/>
    <w:rsid w:val="698D6A17"/>
    <w:rsid w:val="69B44F70"/>
    <w:rsid w:val="69CC73C1"/>
    <w:rsid w:val="69D37590"/>
    <w:rsid w:val="69F954C1"/>
    <w:rsid w:val="6A1E1E73"/>
    <w:rsid w:val="6A2031B6"/>
    <w:rsid w:val="6A2F57D7"/>
    <w:rsid w:val="6AC61F6F"/>
    <w:rsid w:val="6ADE74F0"/>
    <w:rsid w:val="6AE4645E"/>
    <w:rsid w:val="6B723594"/>
    <w:rsid w:val="6B805156"/>
    <w:rsid w:val="6B827C6E"/>
    <w:rsid w:val="6BB501D2"/>
    <w:rsid w:val="6BD50977"/>
    <w:rsid w:val="6BE60C84"/>
    <w:rsid w:val="6C383D9C"/>
    <w:rsid w:val="6C6C32E1"/>
    <w:rsid w:val="6C8B1F5D"/>
    <w:rsid w:val="6CAA3931"/>
    <w:rsid w:val="6CD3617E"/>
    <w:rsid w:val="6D3933CA"/>
    <w:rsid w:val="6D7B61EC"/>
    <w:rsid w:val="6D9A7472"/>
    <w:rsid w:val="6DC63038"/>
    <w:rsid w:val="6DCF6768"/>
    <w:rsid w:val="6E09491E"/>
    <w:rsid w:val="6E0A1977"/>
    <w:rsid w:val="6E0D3655"/>
    <w:rsid w:val="6E5F4465"/>
    <w:rsid w:val="6E8C54DA"/>
    <w:rsid w:val="6EAD16FA"/>
    <w:rsid w:val="6EAD4B62"/>
    <w:rsid w:val="6EF11E03"/>
    <w:rsid w:val="6EF82916"/>
    <w:rsid w:val="6F111C62"/>
    <w:rsid w:val="6F2176E5"/>
    <w:rsid w:val="6F3A2A5F"/>
    <w:rsid w:val="6F406BB4"/>
    <w:rsid w:val="6F4F7F03"/>
    <w:rsid w:val="6F592303"/>
    <w:rsid w:val="6F5F5B74"/>
    <w:rsid w:val="6F98032D"/>
    <w:rsid w:val="6F9B1C65"/>
    <w:rsid w:val="6FE82C9C"/>
    <w:rsid w:val="6FFB146E"/>
    <w:rsid w:val="70160742"/>
    <w:rsid w:val="70612DB4"/>
    <w:rsid w:val="706516C3"/>
    <w:rsid w:val="70896E68"/>
    <w:rsid w:val="70E05E9D"/>
    <w:rsid w:val="71396ACC"/>
    <w:rsid w:val="715B60E9"/>
    <w:rsid w:val="71EA1FED"/>
    <w:rsid w:val="72165C6B"/>
    <w:rsid w:val="722C6DDA"/>
    <w:rsid w:val="725F3164"/>
    <w:rsid w:val="72E661B1"/>
    <w:rsid w:val="730313F6"/>
    <w:rsid w:val="730E4732"/>
    <w:rsid w:val="73370D24"/>
    <w:rsid w:val="73472C84"/>
    <w:rsid w:val="7359268C"/>
    <w:rsid w:val="73742472"/>
    <w:rsid w:val="739503EB"/>
    <w:rsid w:val="73A05B28"/>
    <w:rsid w:val="73C07D69"/>
    <w:rsid w:val="73DC335B"/>
    <w:rsid w:val="73F12089"/>
    <w:rsid w:val="74104993"/>
    <w:rsid w:val="748F55AD"/>
    <w:rsid w:val="749E16A8"/>
    <w:rsid w:val="74B42AE4"/>
    <w:rsid w:val="750A429D"/>
    <w:rsid w:val="75474B47"/>
    <w:rsid w:val="75614792"/>
    <w:rsid w:val="75784473"/>
    <w:rsid w:val="757C4813"/>
    <w:rsid w:val="75B161B3"/>
    <w:rsid w:val="76736B32"/>
    <w:rsid w:val="76C27A74"/>
    <w:rsid w:val="76E3765E"/>
    <w:rsid w:val="76FC2AFA"/>
    <w:rsid w:val="77012910"/>
    <w:rsid w:val="771E788A"/>
    <w:rsid w:val="77527424"/>
    <w:rsid w:val="77653671"/>
    <w:rsid w:val="778546CC"/>
    <w:rsid w:val="778B6B46"/>
    <w:rsid w:val="77B56730"/>
    <w:rsid w:val="77C04A8B"/>
    <w:rsid w:val="77D85DB3"/>
    <w:rsid w:val="782A3EA3"/>
    <w:rsid w:val="784F4D25"/>
    <w:rsid w:val="78696A6B"/>
    <w:rsid w:val="789F1342"/>
    <w:rsid w:val="78A50513"/>
    <w:rsid w:val="78EF7AB5"/>
    <w:rsid w:val="792D762D"/>
    <w:rsid w:val="793D3A56"/>
    <w:rsid w:val="796518DD"/>
    <w:rsid w:val="7965203C"/>
    <w:rsid w:val="79724BEF"/>
    <w:rsid w:val="797264AC"/>
    <w:rsid w:val="79AA0532"/>
    <w:rsid w:val="79FE1DDD"/>
    <w:rsid w:val="7A075767"/>
    <w:rsid w:val="7A212062"/>
    <w:rsid w:val="7A2522C9"/>
    <w:rsid w:val="7A282A11"/>
    <w:rsid w:val="7A3A59B8"/>
    <w:rsid w:val="7AC21562"/>
    <w:rsid w:val="7AD474A4"/>
    <w:rsid w:val="7B303E8C"/>
    <w:rsid w:val="7B865D50"/>
    <w:rsid w:val="7B880A53"/>
    <w:rsid w:val="7B8D34C3"/>
    <w:rsid w:val="7B971D84"/>
    <w:rsid w:val="7BAB0CB7"/>
    <w:rsid w:val="7BB4028F"/>
    <w:rsid w:val="7BF32F03"/>
    <w:rsid w:val="7C066F4E"/>
    <w:rsid w:val="7C1724A5"/>
    <w:rsid w:val="7CA54112"/>
    <w:rsid w:val="7CA553D9"/>
    <w:rsid w:val="7CAB27F5"/>
    <w:rsid w:val="7CD71EA3"/>
    <w:rsid w:val="7CE50CE4"/>
    <w:rsid w:val="7CF877E9"/>
    <w:rsid w:val="7D134762"/>
    <w:rsid w:val="7D2E5ABF"/>
    <w:rsid w:val="7D870E6E"/>
    <w:rsid w:val="7E131C51"/>
    <w:rsid w:val="7E2142A2"/>
    <w:rsid w:val="7E682D97"/>
    <w:rsid w:val="7E7949A5"/>
    <w:rsid w:val="7E7B0BF2"/>
    <w:rsid w:val="7E7B5A71"/>
    <w:rsid w:val="7E8D75B6"/>
    <w:rsid w:val="7EF760EE"/>
    <w:rsid w:val="7F0E085E"/>
    <w:rsid w:val="7F5A01CA"/>
    <w:rsid w:val="7F7500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qFormat="1" w:uiPriority="39" w:semiHidden="0" w:name="toc 3"/>
    <w:lsdException w:qFormat="1" w:uiPriority="39" w:semiHidden="0" w:name="toc 4"/>
    <w:lsdException w:qFormat="1" w:uiPriority="39" w:name="toc 5"/>
    <w:lsdException w:qFormat="1" w:unhideWhenUsed="0" w:uiPriority="0" w:semiHidden="0" w:name="toc 6"/>
    <w:lsdException w:uiPriority="39" w:name="toc 7"/>
    <w:lsdException w:uiPriority="39" w:name="toc 8"/>
    <w:lsdException w:uiPriority="39" w:name="toc 9"/>
    <w:lsdException w:qFormat="1"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pPr>
    <w:rPr>
      <w:rFonts w:ascii="Tahoma" w:hAnsi="Tahoma" w:eastAsia="宋体" w:cstheme="minorBidi"/>
      <w:sz w:val="21"/>
      <w:szCs w:val="22"/>
      <w:lang w:val="en-US" w:eastAsia="zh-CN" w:bidi="ar-SA"/>
    </w:rPr>
  </w:style>
  <w:style w:type="paragraph" w:styleId="5">
    <w:name w:val="heading 1"/>
    <w:basedOn w:val="1"/>
    <w:next w:val="1"/>
    <w:link w:val="72"/>
    <w:qFormat/>
    <w:uiPriority w:val="9"/>
    <w:pPr>
      <w:keepNext/>
      <w:keepLines/>
      <w:spacing w:before="340" w:after="330" w:line="576" w:lineRule="auto"/>
      <w:outlineLvl w:val="0"/>
    </w:pPr>
    <w:rPr>
      <w:b/>
      <w:kern w:val="44"/>
      <w:sz w:val="44"/>
    </w:rPr>
  </w:style>
  <w:style w:type="paragraph" w:styleId="6">
    <w:name w:val="heading 2"/>
    <w:basedOn w:val="1"/>
    <w:next w:val="7"/>
    <w:link w:val="3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8">
    <w:name w:val="heading 3"/>
    <w:basedOn w:val="1"/>
    <w:next w:val="1"/>
    <w:link w:val="39"/>
    <w:unhideWhenUsed/>
    <w:qFormat/>
    <w:uiPriority w:val="9"/>
    <w:pPr>
      <w:keepNext/>
      <w:keepLines/>
      <w:spacing w:before="260" w:after="260" w:line="416" w:lineRule="auto"/>
      <w:outlineLvl w:val="2"/>
    </w:pPr>
    <w:rPr>
      <w:b/>
      <w:bCs/>
      <w:sz w:val="32"/>
      <w:szCs w:val="32"/>
    </w:rPr>
  </w:style>
  <w:style w:type="paragraph" w:styleId="9">
    <w:name w:val="heading 4"/>
    <w:basedOn w:val="1"/>
    <w:next w:val="1"/>
    <w:link w:val="41"/>
    <w:unhideWhenUsed/>
    <w:qFormat/>
    <w:uiPriority w:val="9"/>
    <w:pPr>
      <w:keepNext/>
      <w:keepLines/>
      <w:outlineLvl w:val="3"/>
    </w:pPr>
    <w:rPr>
      <w:rFonts w:asciiTheme="majorHAnsi" w:hAnsiTheme="majorHAnsi" w:cstheme="majorBidi"/>
      <w:b/>
      <w:bCs/>
      <w:sz w:val="24"/>
      <w:szCs w:val="28"/>
    </w:rPr>
  </w:style>
  <w:style w:type="paragraph" w:styleId="10">
    <w:name w:val="heading 5"/>
    <w:basedOn w:val="1"/>
    <w:next w:val="1"/>
    <w:link w:val="71"/>
    <w:unhideWhenUsed/>
    <w:qFormat/>
    <w:uiPriority w:val="9"/>
    <w:pPr>
      <w:keepNext/>
      <w:keepLines/>
      <w:outlineLvl w:val="4"/>
    </w:pPr>
    <w:rPr>
      <w:b/>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3"/>
    <w:qFormat/>
    <w:uiPriority w:val="1"/>
    <w:pPr>
      <w:spacing w:before="161"/>
      <w:ind w:left="120"/>
    </w:pPr>
    <w:rPr>
      <w:rFonts w:ascii="宋体" w:hAnsi="宋体" w:cs="宋体"/>
      <w:sz w:val="24"/>
      <w:lang w:val="zh-CN" w:bidi="zh-CN"/>
    </w:rPr>
  </w:style>
  <w:style w:type="paragraph" w:styleId="3">
    <w:name w:val="Body Text First Indent"/>
    <w:basedOn w:val="2"/>
    <w:next w:val="4"/>
    <w:qFormat/>
    <w:uiPriority w:val="0"/>
    <w:pPr>
      <w:spacing w:after="120"/>
      <w:ind w:firstLine="420" w:firstLineChars="100"/>
    </w:pPr>
    <w:rPr>
      <w:bCs/>
      <w:szCs w:val="21"/>
    </w:rPr>
  </w:style>
  <w:style w:type="paragraph" w:styleId="4">
    <w:name w:val="toc 6"/>
    <w:basedOn w:val="1"/>
    <w:next w:val="1"/>
    <w:qFormat/>
    <w:uiPriority w:val="0"/>
    <w:pPr>
      <w:ind w:left="1200"/>
    </w:pPr>
    <w:rPr>
      <w:rFonts w:ascii="Calibri" w:cs="Calibri"/>
      <w:sz w:val="18"/>
      <w:szCs w:val="18"/>
    </w:rPr>
  </w:style>
  <w:style w:type="paragraph" w:styleId="7">
    <w:name w:val="Normal Indent"/>
    <w:basedOn w:val="1"/>
    <w:semiHidden/>
    <w:unhideWhenUsed/>
    <w:qFormat/>
    <w:uiPriority w:val="99"/>
    <w:pPr>
      <w:ind w:firstLine="420" w:firstLineChars="200"/>
    </w:pPr>
  </w:style>
  <w:style w:type="paragraph" w:styleId="11">
    <w:name w:val="annotation text"/>
    <w:basedOn w:val="1"/>
    <w:link w:val="60"/>
    <w:semiHidden/>
    <w:unhideWhenUsed/>
    <w:qFormat/>
    <w:uiPriority w:val="99"/>
  </w:style>
  <w:style w:type="paragraph" w:styleId="12">
    <w:name w:val="Body Text Indent"/>
    <w:basedOn w:val="1"/>
    <w:next w:val="13"/>
    <w:qFormat/>
    <w:uiPriority w:val="0"/>
    <w:pPr>
      <w:ind w:left="359" w:leftChars="171" w:firstLine="179" w:firstLineChars="85"/>
    </w:pPr>
    <w:rPr>
      <w:rFonts w:ascii="宋体" w:hAnsi="宋体"/>
      <w:b/>
      <w:bCs/>
      <w:szCs w:val="26"/>
    </w:rPr>
  </w:style>
  <w:style w:type="paragraph" w:styleId="13">
    <w:name w:val="envelope return"/>
    <w:basedOn w:val="1"/>
    <w:qFormat/>
    <w:uiPriority w:val="0"/>
  </w:style>
  <w:style w:type="paragraph" w:styleId="14">
    <w:name w:val="toc 5"/>
    <w:basedOn w:val="1"/>
    <w:next w:val="1"/>
    <w:semiHidden/>
    <w:unhideWhenUsed/>
    <w:qFormat/>
    <w:uiPriority w:val="39"/>
    <w:pPr>
      <w:ind w:left="1680" w:leftChars="800"/>
    </w:pPr>
  </w:style>
  <w:style w:type="paragraph" w:styleId="15">
    <w:name w:val="toc 3"/>
    <w:basedOn w:val="1"/>
    <w:next w:val="1"/>
    <w:unhideWhenUsed/>
    <w:qFormat/>
    <w:uiPriority w:val="39"/>
    <w:pPr>
      <w:tabs>
        <w:tab w:val="right" w:leader="dot" w:pos="8296"/>
      </w:tabs>
      <w:ind w:left="838" w:leftChars="381"/>
    </w:pPr>
    <w:rPr>
      <w:szCs w:val="21"/>
    </w:rPr>
  </w:style>
  <w:style w:type="paragraph" w:styleId="16">
    <w:name w:val="Plain Text"/>
    <w:basedOn w:val="1"/>
    <w:link w:val="52"/>
    <w:qFormat/>
    <w:uiPriority w:val="0"/>
    <w:pPr>
      <w:widowControl w:val="0"/>
      <w:adjustRightInd/>
      <w:snapToGrid/>
      <w:jc w:val="both"/>
    </w:pPr>
    <w:rPr>
      <w:rFonts w:ascii="宋体" w:hAnsi="Courier New" w:cs="Times New Roman"/>
      <w:b/>
      <w:kern w:val="2"/>
      <w:szCs w:val="20"/>
    </w:rPr>
  </w:style>
  <w:style w:type="paragraph" w:styleId="17">
    <w:name w:val="Date"/>
    <w:basedOn w:val="1"/>
    <w:next w:val="1"/>
    <w:qFormat/>
    <w:uiPriority w:val="0"/>
    <w:pPr>
      <w:autoSpaceDE w:val="0"/>
      <w:autoSpaceDN w:val="0"/>
    </w:pPr>
    <w:rPr>
      <w:rFonts w:ascii="宋体"/>
      <w:sz w:val="28"/>
    </w:rPr>
  </w:style>
  <w:style w:type="paragraph" w:styleId="18">
    <w:name w:val="Balloon Text"/>
    <w:basedOn w:val="1"/>
    <w:link w:val="55"/>
    <w:semiHidden/>
    <w:unhideWhenUsed/>
    <w:qFormat/>
    <w:uiPriority w:val="99"/>
    <w:rPr>
      <w:sz w:val="18"/>
      <w:szCs w:val="18"/>
    </w:rPr>
  </w:style>
  <w:style w:type="paragraph" w:styleId="19">
    <w:name w:val="footer"/>
    <w:basedOn w:val="1"/>
    <w:link w:val="54"/>
    <w:unhideWhenUsed/>
    <w:qFormat/>
    <w:uiPriority w:val="99"/>
    <w:pPr>
      <w:tabs>
        <w:tab w:val="center" w:pos="4153"/>
        <w:tab w:val="right" w:pos="8306"/>
      </w:tabs>
    </w:pPr>
    <w:rPr>
      <w:sz w:val="18"/>
      <w:szCs w:val="18"/>
    </w:rPr>
  </w:style>
  <w:style w:type="paragraph" w:styleId="20">
    <w:name w:val="header"/>
    <w:basedOn w:val="1"/>
    <w:link w:val="53"/>
    <w:unhideWhenUsed/>
    <w:qFormat/>
    <w:uiPriority w:val="99"/>
    <w:pPr>
      <w:pBdr>
        <w:bottom w:val="single" w:color="auto" w:sz="6" w:space="1"/>
      </w:pBdr>
      <w:tabs>
        <w:tab w:val="center" w:pos="4153"/>
        <w:tab w:val="right" w:pos="8306"/>
      </w:tabs>
      <w:jc w:val="center"/>
    </w:pPr>
    <w:rPr>
      <w:sz w:val="18"/>
      <w:szCs w:val="18"/>
    </w:rPr>
  </w:style>
  <w:style w:type="paragraph" w:styleId="21">
    <w:name w:val="toc 1"/>
    <w:basedOn w:val="1"/>
    <w:next w:val="1"/>
    <w:semiHidden/>
    <w:unhideWhenUsed/>
    <w:qFormat/>
    <w:uiPriority w:val="39"/>
  </w:style>
  <w:style w:type="paragraph" w:styleId="22">
    <w:name w:val="toc 4"/>
    <w:basedOn w:val="1"/>
    <w:next w:val="1"/>
    <w:unhideWhenUsed/>
    <w:qFormat/>
    <w:uiPriority w:val="39"/>
    <w:pPr>
      <w:tabs>
        <w:tab w:val="right" w:leader="dot" w:pos="8296"/>
      </w:tabs>
      <w:spacing w:after="120"/>
      <w:ind w:left="1320" w:leftChars="600"/>
    </w:pPr>
  </w:style>
  <w:style w:type="paragraph" w:styleId="23">
    <w:name w:val="footnote text"/>
    <w:basedOn w:val="1"/>
    <w:semiHidden/>
    <w:unhideWhenUsed/>
    <w:qFormat/>
    <w:uiPriority w:val="99"/>
    <w:rPr>
      <w:sz w:val="18"/>
    </w:rPr>
  </w:style>
  <w:style w:type="paragraph" w:styleId="24">
    <w:name w:val="Body Text Indent 3"/>
    <w:basedOn w:val="1"/>
    <w:qFormat/>
    <w:uiPriority w:val="0"/>
    <w:pPr>
      <w:ind w:firstLine="458" w:firstLineChars="218"/>
    </w:pPr>
    <w:rPr>
      <w:rFonts w:ascii="宋体" w:hAnsi="宋体"/>
    </w:rPr>
  </w:style>
  <w:style w:type="paragraph" w:styleId="25">
    <w:name w:val="toc 2"/>
    <w:basedOn w:val="1"/>
    <w:next w:val="1"/>
    <w:unhideWhenUsed/>
    <w:qFormat/>
    <w:uiPriority w:val="39"/>
    <w:pPr>
      <w:tabs>
        <w:tab w:val="right" w:leader="dot" w:pos="8296"/>
      </w:tabs>
      <w:ind w:left="440" w:leftChars="200"/>
      <w:jc w:val="center"/>
    </w:pPr>
    <w:rPr>
      <w:rFonts w:ascii="宋体" w:hAnsi="宋体"/>
      <w:sz w:val="30"/>
      <w:szCs w:val="30"/>
    </w:rPr>
  </w:style>
  <w:style w:type="paragraph" w:styleId="26">
    <w:name w:val="Normal (Web)"/>
    <w:basedOn w:val="1"/>
    <w:link w:val="57"/>
    <w:qFormat/>
    <w:uiPriority w:val="0"/>
    <w:pPr>
      <w:widowControl w:val="0"/>
      <w:adjustRightInd/>
      <w:snapToGrid/>
      <w:jc w:val="both"/>
    </w:pPr>
    <w:rPr>
      <w:rFonts w:asciiTheme="minorHAnsi" w:hAnsiTheme="minorHAnsi"/>
      <w:kern w:val="2"/>
      <w:sz w:val="24"/>
      <w:szCs w:val="24"/>
    </w:rPr>
  </w:style>
  <w:style w:type="paragraph" w:styleId="27">
    <w:name w:val="annotation subject"/>
    <w:basedOn w:val="11"/>
    <w:next w:val="11"/>
    <w:link w:val="61"/>
    <w:semiHidden/>
    <w:unhideWhenUsed/>
    <w:qFormat/>
    <w:uiPriority w:val="99"/>
    <w:rPr>
      <w:b/>
      <w:bCs/>
    </w:r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0"/>
    <w:rPr>
      <w:b/>
    </w:rPr>
  </w:style>
  <w:style w:type="character" w:styleId="32">
    <w:name w:val="page number"/>
    <w:basedOn w:val="30"/>
    <w:qFormat/>
    <w:uiPriority w:val="0"/>
  </w:style>
  <w:style w:type="character" w:styleId="33">
    <w:name w:val="Emphasis"/>
    <w:basedOn w:val="30"/>
    <w:qFormat/>
    <w:uiPriority w:val="20"/>
    <w:rPr>
      <w:i/>
      <w:iCs/>
    </w:rPr>
  </w:style>
  <w:style w:type="character" w:styleId="34">
    <w:name w:val="Hyperlink"/>
    <w:qFormat/>
    <w:uiPriority w:val="99"/>
    <w:rPr>
      <w:rFonts w:hint="eastAsia" w:ascii="宋体" w:hAnsi="宋体" w:eastAsia="宋体" w:cs="宋体"/>
      <w:b/>
      <w:color w:val="0031C1"/>
      <w:kern w:val="0"/>
      <w:sz w:val="18"/>
      <w:szCs w:val="18"/>
      <w:u w:val="none"/>
      <w:lang w:eastAsia="en-US"/>
    </w:rPr>
  </w:style>
  <w:style w:type="character" w:styleId="35">
    <w:name w:val="annotation reference"/>
    <w:basedOn w:val="30"/>
    <w:semiHidden/>
    <w:unhideWhenUsed/>
    <w:qFormat/>
    <w:uiPriority w:val="99"/>
    <w:rPr>
      <w:sz w:val="21"/>
      <w:szCs w:val="21"/>
    </w:rPr>
  </w:style>
  <w:style w:type="character" w:styleId="36">
    <w:name w:val="footnote reference"/>
    <w:basedOn w:val="30"/>
    <w:semiHidden/>
    <w:unhideWhenUsed/>
    <w:qFormat/>
    <w:uiPriority w:val="99"/>
    <w:rPr>
      <w:vertAlign w:val="superscript"/>
    </w:rPr>
  </w:style>
  <w:style w:type="paragraph" w:customStyle="1" w:styleId="37">
    <w:name w:val="首行缩进"/>
    <w:basedOn w:val="1"/>
    <w:qFormat/>
    <w:uiPriority w:val="0"/>
    <w:pPr>
      <w:adjustRightInd/>
      <w:spacing w:line="300" w:lineRule="auto"/>
      <w:ind w:firstLine="420" w:firstLineChars="200"/>
      <w:jc w:val="both"/>
    </w:pPr>
    <w:rPr>
      <w:rFonts w:ascii="Calibri" w:hAnsi="Calibri" w:eastAsia="方正书宋简体" w:cs="Times New Roman"/>
      <w:sz w:val="20"/>
    </w:rPr>
  </w:style>
  <w:style w:type="character" w:customStyle="1" w:styleId="38">
    <w:name w:val="标题 2 Char"/>
    <w:basedOn w:val="30"/>
    <w:link w:val="6"/>
    <w:qFormat/>
    <w:uiPriority w:val="9"/>
    <w:rPr>
      <w:rFonts w:asciiTheme="majorHAnsi" w:hAnsiTheme="majorHAnsi" w:eastAsiaTheme="majorEastAsia" w:cstheme="majorBidi"/>
      <w:b/>
      <w:bCs/>
      <w:sz w:val="32"/>
      <w:szCs w:val="32"/>
    </w:rPr>
  </w:style>
  <w:style w:type="character" w:customStyle="1" w:styleId="39">
    <w:name w:val="标题 3 Char"/>
    <w:basedOn w:val="30"/>
    <w:link w:val="8"/>
    <w:qFormat/>
    <w:uiPriority w:val="9"/>
    <w:rPr>
      <w:rFonts w:ascii="Tahoma" w:hAnsi="Tahoma"/>
      <w:b/>
      <w:bCs/>
      <w:sz w:val="32"/>
      <w:szCs w:val="32"/>
    </w:rPr>
  </w:style>
  <w:style w:type="paragraph" w:styleId="40">
    <w:name w:val="List Paragraph"/>
    <w:basedOn w:val="1"/>
    <w:link w:val="62"/>
    <w:qFormat/>
    <w:uiPriority w:val="0"/>
    <w:pPr>
      <w:ind w:firstLine="420" w:firstLineChars="200"/>
    </w:pPr>
  </w:style>
  <w:style w:type="character" w:customStyle="1" w:styleId="41">
    <w:name w:val="标题 4 Char"/>
    <w:basedOn w:val="30"/>
    <w:link w:val="9"/>
    <w:qFormat/>
    <w:uiPriority w:val="9"/>
    <w:rPr>
      <w:rFonts w:eastAsia="宋体" w:asciiTheme="majorHAnsi" w:hAnsiTheme="majorHAnsi" w:cstheme="majorBidi"/>
      <w:b/>
      <w:bCs/>
      <w:sz w:val="24"/>
      <w:szCs w:val="28"/>
    </w:rPr>
  </w:style>
  <w:style w:type="character" w:customStyle="1" w:styleId="42">
    <w:name w:val="正文缩进2格 Char"/>
    <w:link w:val="43"/>
    <w:qFormat/>
    <w:uiPriority w:val="0"/>
    <w:rPr>
      <w:rFonts w:ascii="仿宋_GB2312" w:hAnsi="宋体" w:eastAsia="仿宋_GB2312"/>
      <w:kern w:val="2"/>
      <w:sz w:val="31"/>
    </w:rPr>
  </w:style>
  <w:style w:type="paragraph" w:customStyle="1" w:styleId="43">
    <w:name w:val="正文缩进2格"/>
    <w:basedOn w:val="1"/>
    <w:next w:val="1"/>
    <w:link w:val="42"/>
    <w:qFormat/>
    <w:uiPriority w:val="0"/>
    <w:pPr>
      <w:widowControl w:val="0"/>
      <w:adjustRightInd/>
      <w:snapToGrid/>
      <w:spacing w:line="600" w:lineRule="exact"/>
      <w:ind w:firstLine="639" w:firstLineChars="206"/>
      <w:jc w:val="both"/>
    </w:pPr>
    <w:rPr>
      <w:rFonts w:ascii="仿宋_GB2312" w:hAnsi="宋体" w:eastAsia="仿宋_GB2312"/>
      <w:kern w:val="2"/>
      <w:sz w:val="31"/>
    </w:rPr>
  </w:style>
  <w:style w:type="paragraph" w:customStyle="1" w:styleId="44">
    <w:name w:val="正文缩进4格"/>
    <w:basedOn w:val="43"/>
    <w:qFormat/>
    <w:uiPriority w:val="0"/>
    <w:pPr>
      <w:ind w:left="2" w:firstLine="538" w:firstLineChars="192"/>
    </w:pPr>
    <w:rPr>
      <w:color w:val="0000FF"/>
      <w:sz w:val="28"/>
    </w:rPr>
  </w:style>
  <w:style w:type="character" w:customStyle="1" w:styleId="45">
    <w:name w:val="正文缩进2格 Char Char"/>
    <w:qFormat/>
    <w:uiPriority w:val="0"/>
    <w:rPr>
      <w:rFonts w:ascii="仿宋_GB2312" w:hAnsi="宋体" w:eastAsia="仿宋_GB2312" w:cs="Times New Roman"/>
      <w:b/>
      <w:kern w:val="2"/>
      <w:sz w:val="31"/>
      <w:szCs w:val="28"/>
      <w:lang w:val="en-US" w:eastAsia="zh-CN" w:bidi="ar-SA"/>
    </w:rPr>
  </w:style>
  <w:style w:type="paragraph" w:customStyle="1" w:styleId="46">
    <w:name w:val="_Style 3"/>
    <w:basedOn w:val="1"/>
    <w:qFormat/>
    <w:uiPriority w:val="0"/>
    <w:pPr>
      <w:widowControl w:val="0"/>
      <w:adjustRightInd/>
      <w:snapToGrid/>
      <w:ind w:firstLine="420" w:firstLineChars="200"/>
      <w:jc w:val="both"/>
    </w:pPr>
    <w:rPr>
      <w:rFonts w:ascii="Times New Roman" w:hAnsi="Times New Roman" w:cs="Times New Roman"/>
      <w:kern w:val="2"/>
      <w:szCs w:val="24"/>
    </w:rPr>
  </w:style>
  <w:style w:type="character" w:customStyle="1" w:styleId="47">
    <w:name w:val="标题1"/>
    <w:qFormat/>
    <w:uiPriority w:val="0"/>
    <w:rPr>
      <w:rFonts w:ascii="Times New Roman" w:hAnsi="Times New Roman" w:eastAsia="宋体" w:cs="Times New Roman"/>
      <w:b/>
      <w:kern w:val="0"/>
      <w:sz w:val="24"/>
      <w:szCs w:val="20"/>
      <w:lang w:eastAsia="en-US"/>
    </w:rPr>
  </w:style>
  <w:style w:type="character" w:customStyle="1" w:styleId="48">
    <w:name w:val="标题 3.1 Char"/>
    <w:link w:val="49"/>
    <w:qFormat/>
    <w:uiPriority w:val="0"/>
    <w:rPr>
      <w:rFonts w:ascii="宋体" w:hAnsi="宋体" w:eastAsia="宋体"/>
      <w:b/>
      <w:color w:val="FF0000"/>
      <w:kern w:val="2"/>
      <w:sz w:val="32"/>
    </w:rPr>
  </w:style>
  <w:style w:type="paragraph" w:customStyle="1" w:styleId="49">
    <w:name w:val="标题 3.1"/>
    <w:basedOn w:val="8"/>
    <w:link w:val="48"/>
    <w:qFormat/>
    <w:uiPriority w:val="0"/>
    <w:pPr>
      <w:widowControl w:val="0"/>
      <w:tabs>
        <w:tab w:val="left" w:pos="1440"/>
        <w:tab w:val="left" w:pos="1620"/>
      </w:tabs>
      <w:adjustRightInd/>
      <w:snapToGrid/>
      <w:spacing w:line="600" w:lineRule="exact"/>
      <w:jc w:val="both"/>
    </w:pPr>
    <w:rPr>
      <w:rFonts w:ascii="宋体" w:hAnsi="宋体"/>
      <w:bCs w:val="0"/>
      <w:color w:val="FF0000"/>
      <w:kern w:val="2"/>
      <w:szCs w:val="22"/>
    </w:rPr>
  </w:style>
  <w:style w:type="character" w:customStyle="1" w:styleId="50">
    <w:name w:val="样式 楷体_GB2312 小四"/>
    <w:qFormat/>
    <w:uiPriority w:val="0"/>
    <w:rPr>
      <w:rFonts w:ascii="楷体_GB2312" w:hAnsi="楷体_GB2312" w:eastAsia="仿宋_GB2312"/>
      <w:sz w:val="24"/>
    </w:rPr>
  </w:style>
  <w:style w:type="character" w:customStyle="1" w:styleId="51">
    <w:name w:val="纯文本 Char"/>
    <w:qFormat/>
    <w:uiPriority w:val="0"/>
    <w:rPr>
      <w:rFonts w:ascii="宋体" w:hAnsi="Courier New" w:eastAsia="宋体" w:cs="Times New Roman"/>
      <w:b/>
      <w:kern w:val="2"/>
      <w:sz w:val="21"/>
      <w:szCs w:val="20"/>
    </w:rPr>
  </w:style>
  <w:style w:type="character" w:customStyle="1" w:styleId="52">
    <w:name w:val="纯文本 Char1"/>
    <w:basedOn w:val="30"/>
    <w:link w:val="16"/>
    <w:semiHidden/>
    <w:qFormat/>
    <w:uiPriority w:val="99"/>
    <w:rPr>
      <w:rFonts w:ascii="宋体" w:hAnsi="Courier New" w:eastAsia="宋体" w:cs="Courier New"/>
      <w:sz w:val="21"/>
      <w:szCs w:val="21"/>
    </w:rPr>
  </w:style>
  <w:style w:type="character" w:customStyle="1" w:styleId="53">
    <w:name w:val="页眉 Char"/>
    <w:basedOn w:val="30"/>
    <w:link w:val="20"/>
    <w:qFormat/>
    <w:uiPriority w:val="99"/>
    <w:rPr>
      <w:rFonts w:ascii="Tahoma" w:hAnsi="Tahoma"/>
      <w:sz w:val="18"/>
      <w:szCs w:val="18"/>
    </w:rPr>
  </w:style>
  <w:style w:type="character" w:customStyle="1" w:styleId="54">
    <w:name w:val="页脚 Char"/>
    <w:basedOn w:val="30"/>
    <w:link w:val="19"/>
    <w:qFormat/>
    <w:uiPriority w:val="99"/>
    <w:rPr>
      <w:rFonts w:ascii="Tahoma" w:hAnsi="Tahoma"/>
      <w:sz w:val="18"/>
      <w:szCs w:val="18"/>
    </w:rPr>
  </w:style>
  <w:style w:type="character" w:customStyle="1" w:styleId="55">
    <w:name w:val="批注框文本 Char"/>
    <w:basedOn w:val="30"/>
    <w:link w:val="18"/>
    <w:semiHidden/>
    <w:qFormat/>
    <w:uiPriority w:val="99"/>
    <w:rPr>
      <w:rFonts w:ascii="Tahoma" w:hAnsi="Tahoma"/>
      <w:sz w:val="18"/>
      <w:szCs w:val="18"/>
    </w:rPr>
  </w:style>
  <w:style w:type="paragraph" w:customStyle="1" w:styleId="56">
    <w:name w:val="Char Char2 Char"/>
    <w:basedOn w:val="1"/>
    <w:qFormat/>
    <w:uiPriority w:val="0"/>
    <w:pPr>
      <w:widowControl w:val="0"/>
      <w:adjustRightInd/>
      <w:snapToGrid/>
      <w:jc w:val="both"/>
    </w:pPr>
    <w:rPr>
      <w:rFonts w:ascii="宋体" w:hAnsi="宋体" w:cs="Times New Roman"/>
      <w:b/>
      <w:kern w:val="2"/>
      <w:sz w:val="28"/>
      <w:szCs w:val="28"/>
    </w:rPr>
  </w:style>
  <w:style w:type="character" w:customStyle="1" w:styleId="57">
    <w:name w:val="普通(网站) Char"/>
    <w:link w:val="26"/>
    <w:qFormat/>
    <w:uiPriority w:val="0"/>
    <w:rPr>
      <w:rFonts w:eastAsia="宋体"/>
      <w:kern w:val="2"/>
      <w:sz w:val="24"/>
      <w:szCs w:val="24"/>
    </w:rPr>
  </w:style>
  <w:style w:type="paragraph" w:customStyle="1" w:styleId="58">
    <w:name w:val="列出段落1"/>
    <w:basedOn w:val="1"/>
    <w:qFormat/>
    <w:uiPriority w:val="99"/>
    <w:pPr>
      <w:widowControl w:val="0"/>
      <w:adjustRightInd/>
      <w:snapToGrid/>
      <w:ind w:firstLine="420" w:firstLineChars="200"/>
      <w:jc w:val="both"/>
    </w:pPr>
    <w:rPr>
      <w:rFonts w:ascii="Times New Roman" w:hAnsi="Times New Roman" w:cs="Times New Roman"/>
      <w:kern w:val="2"/>
      <w:sz w:val="24"/>
      <w:szCs w:val="24"/>
    </w:rPr>
  </w:style>
  <w:style w:type="character" w:customStyle="1" w:styleId="59">
    <w:name w:val="p141"/>
    <w:qFormat/>
    <w:uiPriority w:val="0"/>
    <w:rPr>
      <w:sz w:val="21"/>
      <w:szCs w:val="21"/>
    </w:rPr>
  </w:style>
  <w:style w:type="character" w:customStyle="1" w:styleId="60">
    <w:name w:val="批注文字 Char"/>
    <w:basedOn w:val="30"/>
    <w:link w:val="11"/>
    <w:semiHidden/>
    <w:qFormat/>
    <w:uiPriority w:val="99"/>
    <w:rPr>
      <w:rFonts w:ascii="Tahoma" w:hAnsi="Tahoma" w:eastAsia="微软雅黑" w:cstheme="minorBidi"/>
      <w:sz w:val="22"/>
      <w:szCs w:val="22"/>
    </w:rPr>
  </w:style>
  <w:style w:type="character" w:customStyle="1" w:styleId="61">
    <w:name w:val="批注主题 Char"/>
    <w:basedOn w:val="60"/>
    <w:link w:val="27"/>
    <w:semiHidden/>
    <w:qFormat/>
    <w:uiPriority w:val="99"/>
    <w:rPr>
      <w:rFonts w:ascii="Tahoma" w:hAnsi="Tahoma" w:eastAsia="微软雅黑" w:cstheme="minorBidi"/>
      <w:b/>
      <w:bCs/>
      <w:sz w:val="22"/>
      <w:szCs w:val="22"/>
    </w:rPr>
  </w:style>
  <w:style w:type="character" w:customStyle="1" w:styleId="62">
    <w:name w:val="列出段落 Char"/>
    <w:link w:val="40"/>
    <w:qFormat/>
    <w:uiPriority w:val="0"/>
    <w:rPr>
      <w:rFonts w:ascii="Tahoma" w:hAnsi="Tahoma" w:eastAsia="微软雅黑" w:cstheme="minorBidi"/>
      <w:sz w:val="22"/>
      <w:szCs w:val="22"/>
    </w:rPr>
  </w:style>
  <w:style w:type="character" w:customStyle="1" w:styleId="63">
    <w:name w:val="正文文本 Char"/>
    <w:basedOn w:val="30"/>
    <w:link w:val="2"/>
    <w:qFormat/>
    <w:uiPriority w:val="1"/>
    <w:rPr>
      <w:rFonts w:ascii="宋体" w:hAnsi="宋体" w:cs="宋体"/>
      <w:sz w:val="24"/>
      <w:szCs w:val="22"/>
      <w:lang w:val="zh-CN" w:bidi="zh-CN"/>
    </w:rPr>
  </w:style>
  <w:style w:type="paragraph" w:customStyle="1" w:styleId="6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5">
    <w:name w:val="_Style 1"/>
    <w:basedOn w:val="1"/>
    <w:qFormat/>
    <w:uiPriority w:val="0"/>
    <w:pPr>
      <w:ind w:firstLine="420" w:firstLineChars="200"/>
    </w:pPr>
  </w:style>
  <w:style w:type="paragraph" w:customStyle="1" w:styleId="66">
    <w:name w:val="列出段落2"/>
    <w:basedOn w:val="1"/>
    <w:qFormat/>
    <w:uiPriority w:val="0"/>
    <w:pPr>
      <w:ind w:firstLine="420" w:firstLineChars="200"/>
    </w:pPr>
  </w:style>
  <w:style w:type="paragraph" w:customStyle="1" w:styleId="67">
    <w:name w:val="p0"/>
    <w:basedOn w:val="1"/>
    <w:qFormat/>
    <w:uiPriority w:val="0"/>
    <w:rPr>
      <w:szCs w:val="21"/>
    </w:rPr>
  </w:style>
  <w:style w:type="paragraph" w:customStyle="1" w:styleId="68">
    <w:name w:val="正文文本缩进 21"/>
    <w:basedOn w:val="1"/>
    <w:qFormat/>
    <w:uiPriority w:val="0"/>
    <w:pPr>
      <w:spacing w:line="480" w:lineRule="auto"/>
      <w:ind w:firstLine="540"/>
    </w:pPr>
    <w:rPr>
      <w:rFonts w:ascii="Calibri" w:hAnsi="Calibri"/>
      <w:sz w:val="20"/>
      <w:szCs w:val="20"/>
    </w:rPr>
  </w:style>
  <w:style w:type="paragraph" w:customStyle="1" w:styleId="69">
    <w:name w:val="_Style 2"/>
    <w:basedOn w:val="1"/>
    <w:qFormat/>
    <w:uiPriority w:val="0"/>
    <w:pPr>
      <w:ind w:firstLine="420" w:firstLineChars="200"/>
    </w:pPr>
  </w:style>
  <w:style w:type="paragraph" w:customStyle="1" w:styleId="70">
    <w:name w:val="msolistparagraph"/>
    <w:basedOn w:val="1"/>
    <w:qFormat/>
    <w:uiPriority w:val="0"/>
    <w:pPr>
      <w:ind w:firstLine="420" w:firstLineChars="200"/>
    </w:pPr>
    <w:rPr>
      <w:rFonts w:hint="eastAsia" w:hAnsi="宋体"/>
    </w:rPr>
  </w:style>
  <w:style w:type="character" w:customStyle="1" w:styleId="71">
    <w:name w:val="标题 5 Char"/>
    <w:link w:val="10"/>
    <w:qFormat/>
    <w:uiPriority w:val="0"/>
    <w:rPr>
      <w:rFonts w:eastAsia="宋体"/>
      <w:b/>
      <w:sz w:val="21"/>
    </w:rPr>
  </w:style>
  <w:style w:type="character" w:customStyle="1" w:styleId="72">
    <w:name w:val="标题 1 Char"/>
    <w:link w:val="5"/>
    <w:qFormat/>
    <w:uiPriority w:val="9"/>
    <w:rPr>
      <w:b/>
      <w:kern w:val="44"/>
      <w:sz w:val="44"/>
    </w:rPr>
  </w:style>
  <w:style w:type="paragraph" w:customStyle="1" w:styleId="73">
    <w:name w:val="修訂1"/>
    <w:hidden/>
    <w:semiHidden/>
    <w:qFormat/>
    <w:uiPriority w:val="99"/>
    <w:rPr>
      <w:rFonts w:ascii="Tahoma" w:hAnsi="Tahoma" w:eastAsia="宋体" w:cstheme="minorBidi"/>
      <w:sz w:val="21"/>
      <w:szCs w:val="22"/>
      <w:lang w:val="en-US" w:eastAsia="zh-CN" w:bidi="ar-SA"/>
    </w:rPr>
  </w:style>
  <w:style w:type="paragraph" w:customStyle="1" w:styleId="74">
    <w:name w:val="表格文字"/>
    <w:basedOn w:val="1"/>
    <w:qFormat/>
    <w:uiPriority w:val="0"/>
    <w:pPr>
      <w:adjustRightInd/>
      <w:spacing w:before="25" w:after="25"/>
    </w:pPr>
    <w:rPr>
      <w:rFonts w:ascii="Times New Roman"/>
      <w:bCs/>
      <w:spacing w:val="10"/>
      <w:szCs w:val="20"/>
    </w:rPr>
  </w:style>
  <w:style w:type="character" w:customStyle="1" w:styleId="75">
    <w:name w:val="font31"/>
    <w:basedOn w:val="30"/>
    <w:qFormat/>
    <w:uiPriority w:val="0"/>
    <w:rPr>
      <w:rFonts w:hint="eastAsia" w:ascii="宋体" w:hAnsi="宋体" w:eastAsia="宋体" w:cs="宋体"/>
      <w:color w:val="000000"/>
      <w:sz w:val="28"/>
      <w:szCs w:val="28"/>
      <w:u w:val="none"/>
    </w:rPr>
  </w:style>
  <w:style w:type="character" w:customStyle="1" w:styleId="76">
    <w:name w:val="font11"/>
    <w:basedOn w:val="30"/>
    <w:qFormat/>
    <w:uiPriority w:val="0"/>
    <w:rPr>
      <w:rFonts w:hint="eastAsia" w:ascii="宋体" w:hAnsi="宋体" w:eastAsia="宋体" w:cs="宋体"/>
      <w:color w:val="FF0000"/>
      <w:sz w:val="28"/>
      <w:szCs w:val="28"/>
      <w:u w:val="none"/>
    </w:rPr>
  </w:style>
  <w:style w:type="paragraph" w:customStyle="1" w:styleId="77">
    <w:name w:val="[基本段落]"/>
    <w:basedOn w:val="1"/>
    <w:qFormat/>
    <w:uiPriority w:val="99"/>
    <w:pPr>
      <w:autoSpaceDE w:val="0"/>
      <w:autoSpaceDN w:val="0"/>
      <w:spacing w:line="288" w:lineRule="auto"/>
    </w:pPr>
    <w:rPr>
      <w:rFonts w:ascii="宋体" w:cs="宋体"/>
      <w:color w:val="000000"/>
      <w:sz w:val="24"/>
      <w:szCs w:val="24"/>
      <w:lang w:val="zh-CN"/>
    </w:rPr>
  </w:style>
  <w:style w:type="paragraph" w:customStyle="1" w:styleId="78">
    <w:name w:val="正文1"/>
    <w:basedOn w:val="1"/>
    <w:next w:val="1"/>
    <w:qFormat/>
    <w:uiPriority w:val="0"/>
    <w:pPr>
      <w:tabs>
        <w:tab w:val="left" w:pos="420"/>
      </w:tabs>
      <w:ind w:firstLine="432"/>
    </w:pPr>
    <w:rPr>
      <w:rFonts w:ascii="宋体" w:hAnsi="宋体"/>
      <w:b/>
      <w:sz w:val="24"/>
      <w:szCs w:val="24"/>
    </w:rPr>
  </w:style>
  <w:style w:type="paragraph" w:customStyle="1" w:styleId="79">
    <w:name w:val="方案  正文"/>
    <w:unhideWhenUsed/>
    <w:qFormat/>
    <w:uiPriority w:val="0"/>
    <w:pPr>
      <w:adjustRightInd w:val="0"/>
      <w:snapToGrid w:val="0"/>
      <w:spacing w:line="360" w:lineRule="auto"/>
      <w:ind w:firstLine="1041" w:firstLineChars="200"/>
    </w:pPr>
    <w:rPr>
      <w:rFonts w:ascii="宋体" w:hAnsi="宋体" w:eastAsia="宋体" w:cs="宋体"/>
      <w:color w:val="000000"/>
      <w:sz w:val="24"/>
      <w:szCs w:val="24"/>
      <w:lang w:val="en-US" w:eastAsia="zh-CN" w:bidi="ar-SA"/>
    </w:rPr>
  </w:style>
  <w:style w:type="character" w:customStyle="1" w:styleId="80">
    <w:name w:val="font51"/>
    <w:basedOn w:val="30"/>
    <w:qFormat/>
    <w:uiPriority w:val="0"/>
    <w:rPr>
      <w:rFonts w:hint="eastAsia" w:ascii="宋体" w:hAnsi="宋体" w:eastAsia="宋体" w:cs="宋体"/>
      <w:color w:val="FF0000"/>
      <w:sz w:val="32"/>
      <w:szCs w:val="32"/>
      <w:u w:val="none"/>
    </w:rPr>
  </w:style>
  <w:style w:type="character" w:customStyle="1" w:styleId="81">
    <w:name w:val="font41"/>
    <w:basedOn w:val="30"/>
    <w:qFormat/>
    <w:uiPriority w:val="0"/>
    <w:rPr>
      <w:rFonts w:hint="eastAsia" w:ascii="宋体" w:hAnsi="宋体" w:eastAsia="宋体" w:cs="宋体"/>
      <w:color w:val="000000"/>
      <w:sz w:val="32"/>
      <w:szCs w:val="32"/>
      <w:u w:val="none"/>
    </w:rPr>
  </w:style>
  <w:style w:type="table" w:customStyle="1" w:styleId="82">
    <w:name w:val="Table Normal"/>
    <w:semiHidden/>
    <w:unhideWhenUsed/>
    <w:qFormat/>
    <w:uiPriority w:val="0"/>
    <w:tblPr>
      <w:tblCellMar>
        <w:top w:w="0" w:type="dxa"/>
        <w:left w:w="0" w:type="dxa"/>
        <w:bottom w:w="0" w:type="dxa"/>
        <w:right w:w="0" w:type="dxa"/>
      </w:tblCellMar>
    </w:tblPr>
  </w:style>
  <w:style w:type="character" w:customStyle="1" w:styleId="83">
    <w:name w:val="font01"/>
    <w:basedOn w:val="30"/>
    <w:qFormat/>
    <w:uiPriority w:val="0"/>
    <w:rPr>
      <w:rFonts w:hint="eastAsia" w:ascii="宋体" w:hAnsi="宋体" w:eastAsia="宋体" w:cs="宋体"/>
      <w:color w:val="000000"/>
      <w:sz w:val="32"/>
      <w:szCs w:val="32"/>
      <w:u w:val="none"/>
    </w:rPr>
  </w:style>
  <w:style w:type="character" w:customStyle="1" w:styleId="84">
    <w:name w:val="font21"/>
    <w:basedOn w:val="3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9"/>
    <customShpInfo spid="_x0000_s3080"/>
    <customShpInfo spid="_x0000_s1026" textRotate="1"/>
    <customShpInfo spid="_x0000_s3081"/>
    <customShpInfo spid="_x0000_s3082"/>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B3E893-1294-437A-BA82-3A8183030AFE}">
  <ds:schemaRefs/>
</ds:datastoreItem>
</file>

<file path=docProps/app.xml><?xml version="1.0" encoding="utf-8"?>
<Properties xmlns="http://schemas.openxmlformats.org/officeDocument/2006/extended-properties" xmlns:vt="http://schemas.openxmlformats.org/officeDocument/2006/docPropsVTypes">
  <Template>Normal</Template>
  <Pages>96</Pages>
  <Words>44723</Words>
  <Characters>48120</Characters>
  <Lines>401</Lines>
  <Paragraphs>112</Paragraphs>
  <TotalTime>8</TotalTime>
  <ScaleCrop>false</ScaleCrop>
  <LinksUpToDate>false</LinksUpToDate>
  <CharactersWithSpaces>49945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2018-03-23T02:07:00Z</dcterms:created>
  <dc:creator>admin</dc:creator>
  <cp:lastModifiedBy>admin</cp:lastModifiedBy>
  <cp:lastPrinted>2022-08-01T09:11:00Z</cp:lastPrinted>
  <dcterms:modified xsi:type="dcterms:W3CDTF">2022-08-01T11:27:48Z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E78A158135A5400DB37AF05C187740F9</vt:lpwstr>
  </property>
</Properties>
</file>