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highlight w:val="none"/>
          <w:lang w:val="en-US" w:eastAsia="zh-CN"/>
        </w:rPr>
      </w:pPr>
    </w:p>
    <w:p>
      <w:pPr>
        <w:jc w:val="center"/>
        <w:rPr>
          <w:rFonts w:hint="eastAsia" w:ascii="黑体" w:hAnsi="黑体" w:eastAsia="黑体" w:cs="黑体"/>
          <w:b w:val="0"/>
          <w:bCs/>
          <w:color w:val="auto"/>
          <w:spacing w:val="57"/>
          <w:sz w:val="72"/>
          <w:szCs w:val="72"/>
          <w:highlight w:val="none"/>
        </w:rPr>
      </w:pPr>
      <w:r>
        <w:rPr>
          <w:rFonts w:hint="eastAsia" w:ascii="黑体" w:hAnsi="黑体" w:eastAsia="黑体" w:cs="黑体"/>
          <w:b w:val="0"/>
          <w:bCs/>
          <w:color w:val="auto"/>
          <w:spacing w:val="57"/>
          <w:sz w:val="72"/>
          <w:szCs w:val="72"/>
          <w:highlight w:val="none"/>
        </w:rPr>
        <w:t>竞争性磋商文件</w:t>
      </w:r>
    </w:p>
    <w:p>
      <w:pPr>
        <w:jc w:val="center"/>
        <w:rPr>
          <w:rFonts w:hint="eastAsia"/>
          <w:color w:val="auto"/>
          <w:highlight w:val="none"/>
        </w:rPr>
      </w:pPr>
      <w:r>
        <w:rPr>
          <w:rFonts w:hint="eastAsia" w:ascii="黑体" w:hAnsi="黑体" w:eastAsia="黑体" w:cs="黑体"/>
          <w:b w:val="0"/>
          <w:bCs/>
          <w:color w:val="auto"/>
          <w:spacing w:val="57"/>
          <w:sz w:val="72"/>
          <w:szCs w:val="72"/>
          <w:highlight w:val="none"/>
          <w:lang w:val="en-US" w:eastAsia="zh-CN"/>
        </w:rPr>
        <w:t>国内</w:t>
      </w:r>
      <w:r>
        <w:rPr>
          <w:rFonts w:hint="eastAsia" w:ascii="黑体" w:hAnsi="黑体" w:eastAsia="黑体" w:cs="黑体"/>
          <w:b w:val="0"/>
          <w:bCs/>
          <w:color w:val="auto"/>
          <w:spacing w:val="57"/>
          <w:sz w:val="72"/>
          <w:szCs w:val="72"/>
          <w:highlight w:val="none"/>
        </w:rPr>
        <w:t>采购</w:t>
      </w:r>
    </w:p>
    <w:p>
      <w:pPr>
        <w:pStyle w:val="7"/>
        <w:jc w:val="center"/>
        <w:rPr>
          <w:rFonts w:hint="eastAsia" w:ascii="黑体" w:eastAsia="黑体"/>
          <w:color w:val="auto"/>
          <w:szCs w:val="21"/>
          <w:highlight w:val="none"/>
          <w:lang w:eastAsia="zh-CN"/>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8"/>
        <w:rPr>
          <w:rFonts w:hint="eastAsia" w:ascii="黑体" w:eastAsia="黑体"/>
          <w:color w:val="auto"/>
          <w:szCs w:val="21"/>
          <w:highlight w:val="none"/>
          <w:lang w:eastAsia="zh-CN"/>
        </w:rPr>
      </w:pPr>
    </w:p>
    <w:p>
      <w:pPr>
        <w:pStyle w:val="8"/>
        <w:ind w:left="0" w:leftChars="0" w:firstLine="0" w:firstLineChars="0"/>
        <w:rPr>
          <w:rFonts w:hint="eastAsia" w:ascii="黑体" w:eastAsia="黑体"/>
          <w:color w:val="auto"/>
          <w:szCs w:val="21"/>
          <w:highlight w:val="none"/>
          <w:lang w:eastAsia="zh-CN"/>
        </w:rPr>
      </w:pPr>
    </w:p>
    <w:tbl>
      <w:tblPr>
        <w:tblStyle w:val="23"/>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项目编号</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GDZT2022139B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东莞市横沥中学综合楼会议室改造工程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lang w:val="en-US" w:eastAsia="zh-CN"/>
              </w:rPr>
              <w:t>盖章</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东莞市横沥中学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广东政通招标有限公司</w:t>
            </w:r>
          </w:p>
        </w:tc>
      </w:tr>
    </w:tbl>
    <w:p>
      <w:pPr>
        <w:jc w:val="both"/>
        <w:rPr>
          <w:rFonts w:ascii="黑体" w:eastAsia="黑体"/>
          <w:color w:val="auto"/>
          <w:szCs w:val="21"/>
          <w:highlight w:val="none"/>
        </w:rPr>
      </w:pPr>
    </w:p>
    <w:p>
      <w:pPr>
        <w:pStyle w:val="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为准）</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请各供应商在制作</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时认真阅读本</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的内容。</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建议供应商将</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正本、副本、</w:t>
      </w:r>
      <w:r>
        <w:rPr>
          <w:rFonts w:hint="eastAsia" w:ascii="宋体" w:hAnsi="宋体" w:cs="宋体"/>
          <w:b/>
          <w:bCs w:val="0"/>
          <w:color w:val="auto"/>
          <w:sz w:val="21"/>
          <w:szCs w:val="21"/>
          <w:highlight w:val="none"/>
          <w:u w:val="none"/>
          <w:lang w:eastAsia="zh-CN"/>
        </w:rPr>
        <w:t>报价</w:t>
      </w:r>
      <w:r>
        <w:rPr>
          <w:rFonts w:hint="eastAsia" w:ascii="宋体" w:hAnsi="宋体" w:eastAsia="宋体" w:cs="宋体"/>
          <w:b/>
          <w:bCs w:val="0"/>
          <w:color w:val="auto"/>
          <w:sz w:val="21"/>
          <w:szCs w:val="21"/>
          <w:highlight w:val="none"/>
          <w:u w:val="none"/>
        </w:rPr>
        <w:t>信封分别密封包装，并按照</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w:t>
      </w:r>
      <w:r>
        <w:rPr>
          <w:rFonts w:hint="eastAsia" w:ascii="宋体" w:hAnsi="宋体" w:cs="宋体"/>
          <w:b/>
          <w:bCs w:val="0"/>
          <w:color w:val="auto"/>
          <w:sz w:val="21"/>
          <w:szCs w:val="21"/>
          <w:highlight w:val="none"/>
          <w:u w:val="none"/>
          <w:lang w:eastAsia="zh-CN"/>
        </w:rPr>
        <w:t>供应商</w:t>
      </w:r>
      <w:r>
        <w:rPr>
          <w:rFonts w:hint="eastAsia" w:ascii="宋体" w:hAnsi="宋体" w:eastAsia="宋体" w:cs="宋体"/>
          <w:b/>
          <w:bCs w:val="0"/>
          <w:color w:val="auto"/>
          <w:sz w:val="21"/>
          <w:szCs w:val="21"/>
          <w:highlight w:val="none"/>
          <w:u w:val="none"/>
        </w:rPr>
        <w:t xml:space="preserve">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的递交”中相关要求进行提交，避免因密封包装不符合要求而导致</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被退回。</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cs="宋体"/>
          <w:b/>
          <w:bCs w:val="0"/>
          <w:color w:val="auto"/>
          <w:sz w:val="21"/>
          <w:szCs w:val="21"/>
          <w:highlight w:val="none"/>
          <w:u w:val="none"/>
          <w:lang w:val="en-US" w:eastAsia="zh-CN"/>
        </w:rPr>
        <w:t>报价</w:t>
      </w:r>
      <w:r>
        <w:rPr>
          <w:rFonts w:hint="eastAsia" w:ascii="宋体" w:hAnsi="宋体" w:eastAsia="宋体" w:cs="宋体"/>
          <w:b/>
          <w:bCs w:val="0"/>
          <w:color w:val="auto"/>
          <w:sz w:val="21"/>
          <w:szCs w:val="21"/>
          <w:highlight w:val="none"/>
          <w:u w:val="none"/>
        </w:rPr>
        <w:t>一览表》。多包项目请仔细检查包组号，包组号跟包组名称必须一致。</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是否已按</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盖章、签名(或盖私章)、签署日期。</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w:t>
      </w:r>
      <w:r>
        <w:rPr>
          <w:rFonts w:hint="eastAsia" w:ascii="宋体" w:hAnsi="宋体" w:cs="宋体"/>
          <w:b/>
          <w:bCs w:val="0"/>
          <w:color w:val="auto"/>
          <w:sz w:val="21"/>
          <w:szCs w:val="21"/>
          <w:highlight w:val="none"/>
          <w:u w:val="none"/>
          <w:lang w:val="en-US" w:eastAsia="zh-CN"/>
        </w:rPr>
        <w:t>响应文件</w:t>
      </w:r>
      <w:r>
        <w:rPr>
          <w:rFonts w:hint="eastAsia" w:ascii="宋体" w:hAnsi="宋体" w:eastAsia="宋体" w:cs="宋体"/>
          <w:b/>
          <w:bCs w:val="0"/>
          <w:color w:val="auto"/>
          <w:sz w:val="21"/>
          <w:szCs w:val="21"/>
          <w:highlight w:val="none"/>
          <w:u w:val="none"/>
        </w:rPr>
        <w:t>无效</w:t>
      </w:r>
      <w:r>
        <w:rPr>
          <w:rFonts w:hint="eastAsia" w:ascii="宋体" w:hAnsi="宋体" w:eastAsia="宋体" w:cs="宋体"/>
          <w:b/>
          <w:bCs w:val="0"/>
          <w:color w:val="auto"/>
          <w:sz w:val="21"/>
          <w:szCs w:val="21"/>
          <w:highlight w:val="none"/>
          <w:u w:val="none"/>
          <w:lang w:eastAsia="zh-CN"/>
        </w:rPr>
        <w:t>。</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递交截止时间之前30分钟内到达开标地点</w:t>
      </w:r>
      <w:r>
        <w:rPr>
          <w:rFonts w:hint="eastAsia" w:ascii="宋体" w:hAnsi="宋体" w:eastAsia="宋体" w:cs="宋体"/>
          <w:b/>
          <w:bCs w:val="0"/>
          <w:color w:val="auto"/>
          <w:sz w:val="21"/>
          <w:szCs w:val="21"/>
          <w:highlight w:val="none"/>
          <w:u w:val="none"/>
          <w:lang w:eastAsia="zh-CN"/>
        </w:rPr>
        <w:t>，</w:t>
      </w:r>
      <w:r>
        <w:rPr>
          <w:rFonts w:hint="eastAsia" w:ascii="宋体" w:hAnsi="宋体" w:cs="宋体"/>
          <w:b/>
          <w:bCs w:val="0"/>
          <w:color w:val="auto"/>
          <w:sz w:val="21"/>
          <w:szCs w:val="21"/>
          <w:highlight w:val="none"/>
          <w:u w:val="none"/>
          <w:lang w:val="en-US" w:eastAsia="zh-CN"/>
        </w:rPr>
        <w:t>响应</w:t>
      </w:r>
      <w:r>
        <w:rPr>
          <w:rFonts w:hint="eastAsia" w:ascii="宋体" w:hAnsi="宋体" w:eastAsia="宋体" w:cs="宋体"/>
          <w:b/>
          <w:bCs w:val="0"/>
          <w:color w:val="auto"/>
          <w:sz w:val="21"/>
          <w:szCs w:val="21"/>
          <w:highlight w:val="none"/>
          <w:u w:val="none"/>
          <w:lang w:eastAsia="zh-CN"/>
        </w:rPr>
        <w:t>截止时间一到，本公司不接收任何</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lang w:eastAsia="zh-CN"/>
        </w:rPr>
        <w:t>。</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为了提高政府采购效率，节约社会交易成本与时间，希望领购了</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而决定不参加本项目的供应商，在</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w:t>
      </w:r>
      <w:r>
        <w:rPr>
          <w:rFonts w:hint="eastAsia" w:ascii="宋体" w:hAnsi="宋体" w:cs="宋体"/>
          <w:b/>
          <w:bCs w:val="0"/>
          <w:color w:val="auto"/>
          <w:sz w:val="21"/>
          <w:szCs w:val="21"/>
          <w:highlight w:val="none"/>
          <w:u w:val="none"/>
          <w:lang w:val="en-US" w:eastAsia="zh-CN"/>
        </w:rPr>
        <w:t>磋商</w:t>
      </w:r>
      <w:r>
        <w:rPr>
          <w:rFonts w:hint="eastAsia" w:ascii="宋体" w:hAnsi="宋体" w:eastAsia="宋体" w:cs="宋体"/>
          <w:b/>
          <w:bCs w:val="0"/>
          <w:color w:val="auto"/>
          <w:sz w:val="21"/>
          <w:szCs w:val="21"/>
          <w:highlight w:val="none"/>
          <w:u w:val="none"/>
        </w:rPr>
        <w:t>邀请函》中的联系方式，以书面形式告知采购代理机构。对您的支持与配合，谨此致谢。</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default" w:ascii="宋体" w:hAnsi="宋体" w:eastAsia="宋体" w:cs="宋体"/>
          <w:b/>
          <w:bCs w:val="0"/>
          <w:color w:val="auto"/>
          <w:sz w:val="21"/>
          <w:szCs w:val="21"/>
          <w:highlight w:val="none"/>
          <w:u w:val="none"/>
          <w:lang w:val="en-US" w:eastAsia="zh-CN"/>
        </w:rPr>
      </w:pPr>
      <w:r>
        <w:rPr>
          <w:rFonts w:hint="eastAsia" w:ascii="宋体" w:hAnsi="宋体" w:eastAsia="宋体" w:cs="宋体"/>
          <w:b/>
          <w:bCs w:val="0"/>
          <w:color w:val="auto"/>
          <w:sz w:val="21"/>
          <w:szCs w:val="21"/>
          <w:highlight w:val="none"/>
          <w:u w:val="none"/>
          <w:lang w:val="en-US" w:eastAsia="zh-CN"/>
        </w:rPr>
        <w:t>9、公司位置：</w:t>
      </w:r>
    </w:p>
    <w:p>
      <w:pPr>
        <w:pStyle w:val="20"/>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2573655"/>
            <wp:effectExtent l="0" t="0" r="10160" b="17145"/>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73655"/>
                    </a:xfrm>
                    <a:prstGeom prst="rect">
                      <a:avLst/>
                    </a:prstGeom>
                  </pic:spPr>
                </pic:pic>
              </a:graphicData>
            </a:graphic>
          </wp:inline>
        </w:drawing>
      </w:r>
    </w:p>
    <w:p>
      <w:pPr>
        <w:rPr>
          <w:rFonts w:hint="eastAsia"/>
          <w:color w:val="auto"/>
          <w:highlight w:val="none"/>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20"/>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_Toc14033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 xml:space="preserve">第一部分 </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_Toc14033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_Toc7988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_Toc7988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_Toc31060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第二部分 磋商资料表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_Toc31060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_Toc4043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第三部分 评分权重分配表</w:t>
      </w:r>
      <w:r>
        <w:rPr>
          <w:rFonts w:hint="eastAsia" w:ascii="宋体" w:hAnsi="宋体" w:eastAsia="宋体" w:cs="宋体"/>
          <w:color w:val="auto"/>
          <w:sz w:val="21"/>
          <w:szCs w:val="21"/>
          <w:highlight w:val="none"/>
        </w:rPr>
        <w:tab/>
      </w:r>
      <w:bookmarkStart w:id="401" w:name="_GoBack"/>
      <w:bookmarkEnd w:id="401"/>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_Toc4043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商务技术评分及价格权重细则表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 xml:space="preserve">部分 </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w:t>
      </w:r>
      <w:r>
        <w:rPr>
          <w:rFonts w:hint="eastAsia" w:ascii="宋体" w:hAnsi="宋体" w:eastAsia="宋体" w:cs="宋体"/>
          <w:color w:val="auto"/>
          <w:sz w:val="21"/>
          <w:szCs w:val="21"/>
          <w:highlight w:val="none"/>
        </w:rPr>
        <w:t>说  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_Toc28014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_Toc17291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 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_Toc17291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_Toc8868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 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_Toc8868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_Toc1083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 适用法律</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_Toc1083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 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_Toc5242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 关于联合体报价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_Toc5242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_Toc25157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 关于分支机构报价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_Toc25157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_Toc18108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 保密及其它注意事项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_Toc18108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_Toc25468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w:t>
      </w:r>
      <w:r>
        <w:rPr>
          <w:rFonts w:hint="eastAsia" w:ascii="宋体" w:hAnsi="宋体" w:eastAsia="宋体" w:cs="宋体"/>
          <w:color w:val="auto"/>
          <w:sz w:val="21"/>
          <w:szCs w:val="21"/>
          <w:highlight w:val="none"/>
        </w:rPr>
        <w:t>磋商文件说明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_Toc25468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_Toc21439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 采购文件构成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_Toc21439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w:t>
      </w:r>
      <w:r>
        <w:rPr>
          <w:rFonts w:hint="eastAsia" w:ascii="宋体" w:hAnsi="宋体" w:eastAsia="宋体" w:cs="宋体"/>
          <w:color w:val="auto"/>
          <w:sz w:val="21"/>
          <w:szCs w:val="21"/>
          <w:highlight w:val="none"/>
        </w:rPr>
        <w:t>响应文件的编制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_Toc19833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 响应文件的语言及度量衡单位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_Toc19833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_Toc18228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 响应文件编制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_Toc18228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 响应文件的内容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 响应文件格式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 磋商保证金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本项目不需提供</w:t>
      </w:r>
      <w:r>
        <w:rPr>
          <w:rFonts w:hint="eastAsia" w:ascii="宋体" w:hAnsi="宋体" w:eastAsia="宋体" w:cs="宋体"/>
          <w:color w:val="auto"/>
          <w:sz w:val="21"/>
          <w:szCs w:val="21"/>
          <w:highlight w:val="none"/>
        </w:rPr>
        <w:t>磋商保证金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 ★报价（响应文件）有效期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_Toc10456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_Toc7006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w:t>
      </w:r>
      <w:r>
        <w:rPr>
          <w:rFonts w:hint="eastAsia" w:ascii="宋体" w:hAnsi="宋体" w:eastAsia="宋体" w:cs="宋体"/>
          <w:color w:val="auto"/>
          <w:sz w:val="21"/>
          <w:szCs w:val="21"/>
          <w:highlight w:val="none"/>
        </w:rPr>
        <w:t>响应文件的递交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_Toc7006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_Toc13611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 响应文件的密封和标记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_Toc13611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 响应文件的递交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 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_Toc8440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_Toc3401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w:t>
      </w:r>
      <w:r>
        <w:rPr>
          <w:rFonts w:hint="eastAsia" w:ascii="宋体" w:hAnsi="宋体" w:eastAsia="宋体" w:cs="宋体"/>
          <w:color w:val="auto"/>
          <w:sz w:val="21"/>
          <w:szCs w:val="21"/>
          <w:highlight w:val="none"/>
        </w:rPr>
        <w:t>磋商、评审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_Toc3401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_Toc8137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 签到及评审方法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_Toc8137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_Toc10080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 磋商小组</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_Toc10080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_Toc17157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 对响应文件的初审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_Toc17157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_Toc18895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 技术商务磋商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_Toc18895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_Toc5492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 最终报价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_Toc5492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 综合评分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_Toc30725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 优惠政策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_Toc30725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_Toc1066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第六章</w:t>
      </w:r>
      <w:r>
        <w:rPr>
          <w:rFonts w:hint="eastAsia" w:ascii="宋体" w:hAnsi="宋体" w:eastAsia="宋体" w:cs="宋体"/>
          <w:color w:val="auto"/>
          <w:sz w:val="21"/>
          <w:szCs w:val="21"/>
          <w:highlight w:val="none"/>
        </w:rPr>
        <w:t>确定成交供应商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_Toc1066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_Toc29068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 确定成交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_Toc29068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_Toc3941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 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_Toc3941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 原件核查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_Toc29067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第七章</w:t>
      </w:r>
      <w:r>
        <w:rPr>
          <w:rFonts w:hint="eastAsia" w:ascii="宋体" w:hAnsi="宋体" w:eastAsia="宋体" w:cs="宋体"/>
          <w:color w:val="auto"/>
          <w:sz w:val="21"/>
          <w:szCs w:val="21"/>
          <w:highlight w:val="none"/>
        </w:rPr>
        <w:t>签订合同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_Toc18000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 签订合同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_Toc18000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_Toc8165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第八章</w:t>
      </w:r>
      <w:r>
        <w:rPr>
          <w:rFonts w:hint="eastAsia" w:ascii="宋体" w:hAnsi="宋体" w:eastAsia="宋体" w:cs="宋体"/>
          <w:color w:val="auto"/>
          <w:sz w:val="21"/>
          <w:szCs w:val="21"/>
          <w:highlight w:val="none"/>
        </w:rPr>
        <w:t>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_Toc8165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_Toc18663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 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_Toc18663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_Toc20114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 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_Toc20114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_Toc5551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第九章</w:t>
      </w:r>
      <w:r>
        <w:rPr>
          <w:rFonts w:hint="eastAsia" w:ascii="宋体" w:hAnsi="宋体" w:eastAsia="宋体" w:cs="宋体"/>
          <w:color w:val="auto"/>
          <w:sz w:val="21"/>
          <w:szCs w:val="21"/>
          <w:highlight w:val="none"/>
        </w:rPr>
        <w:t>成交服务费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_Toc26991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 成交服务费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_Toc26991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_Toc7834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第十章</w:t>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_Toc10953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 磋商文件的解释权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_Toc10953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_Toc31162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_Toc19981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_Toc19981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_Toc17329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_Toc17329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_Toc29470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合同格式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_Toc29470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_Toc15158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 xml:space="preserve">部分  </w:t>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_Toc15158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_Toc28116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_Toc28116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_Toc19057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一、报价一览表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_Toc29262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_Toc29258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_Toc29258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三、小型或微型企业（货物/服务/承担的工程）明细表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_Toc17483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四、节能产品或环境标志产品明细表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_Toc17483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五、中小企业声明函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六、残疾人福利性单位声明函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_Toc2486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_Toc2486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_Toc4151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一、响应函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_Toc4151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_Toc27961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_Toc21335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三、在参与政府采购活动前三年未有重大违法记录、没有不良信用记录的声明函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_Toc21335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_Toc32128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_Toc32128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_Toc11689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_Toc11689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六、供应商基本情况说明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_Toc11992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_Toc12706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_Toc12706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w:t>
      </w:r>
      <w:r>
        <w:rPr>
          <w:rFonts w:hint="eastAsia" w:ascii="宋体" w:hAnsi="宋体" w:eastAsia="宋体" w:cs="宋体"/>
          <w:color w:val="auto"/>
          <w:sz w:val="21"/>
          <w:szCs w:val="21"/>
          <w:highlight w:val="none"/>
        </w:rPr>
        <w:t>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_Toc14482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_Toc31815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_Toc21582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十一、</w:t>
      </w:r>
      <w:r>
        <w:rPr>
          <w:rFonts w:hint="eastAsia" w:ascii="宋体" w:hAnsi="宋体" w:eastAsia="宋体" w:cs="宋体"/>
          <w:color w:val="auto"/>
          <w:sz w:val="21"/>
          <w:szCs w:val="21"/>
          <w:highlight w:val="none"/>
        </w:rPr>
        <w:t>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_Toc21582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_Toc7350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十二、</w:t>
      </w:r>
      <w:r>
        <w:rPr>
          <w:rFonts w:hint="eastAsia" w:ascii="宋体" w:hAnsi="宋体" w:eastAsia="宋体" w:cs="宋体"/>
          <w:color w:val="auto"/>
          <w:sz w:val="21"/>
          <w:szCs w:val="21"/>
          <w:highlight w:val="none"/>
        </w:rPr>
        <w:t>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_Toc7350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_Toc25650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_Toc25650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_Toc13588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_Toc13588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_Toc28702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_Toc28702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_Toc25570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实质性条款（标记★）响应表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_Toc25570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_Toc16875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_Toc16875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六、响应货物明细一览表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_Toc27978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_Toc31841 </w:instrText>
      </w:r>
      <w:r>
        <w:rPr>
          <w:rFonts w:hint="eastAsia" w:ascii="宋体" w:hAnsi="宋体" w:eastAsia="宋体" w:cs="宋体"/>
          <w:color w:val="auto"/>
          <w:sz w:val="21"/>
          <w:szCs w:val="21"/>
          <w:highlight w:val="none"/>
        </w:rPr>
        <w:fldChar w:fldCharType="separate"/>
      </w:r>
      <w:r>
        <w:rPr>
          <w:rFonts w:hint="eastAsia" w:ascii="宋体" w:hAnsi="宋体" w:cs="宋体"/>
          <w:color w:val="auto"/>
          <w:sz w:val="21"/>
          <w:szCs w:val="21"/>
          <w:highlight w:val="none"/>
          <w:lang w:val="en-US" w:eastAsia="zh-CN"/>
        </w:rPr>
        <w:t>七</w:t>
      </w:r>
      <w:r>
        <w:rPr>
          <w:rFonts w:hint="eastAsia" w:ascii="宋体" w:hAnsi="宋体" w:eastAsia="宋体" w:cs="宋体"/>
          <w:color w:val="auto"/>
          <w:sz w:val="21"/>
          <w:szCs w:val="21"/>
          <w:highlight w:val="none"/>
          <w:lang w:val="en-US" w:eastAsia="zh-CN"/>
        </w:rPr>
        <w:t>、政府采购履约担保函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_Toc31841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_Toc17348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第四章报价信封（单独封装）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_Toc17348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_Toc13881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第五章联合体共同报价协议书（如有需要）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_Toc13881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jc w:val="both"/>
        <w:rPr>
          <w:rFonts w:cs="宋体"/>
          <w:color w:val="auto"/>
          <w:szCs w:val="21"/>
          <w:highlight w:val="none"/>
        </w:rPr>
      </w:pPr>
      <w:r>
        <w:rPr>
          <w:rFonts w:cs="宋体"/>
          <w:color w:val="auto"/>
          <w:szCs w:val="21"/>
          <w:highlight w:val="none"/>
        </w:rPr>
        <w:fldChar w:fldCharType="end"/>
      </w:r>
    </w:p>
    <w:p>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pStyle w:val="3"/>
        <w:spacing w:before="0" w:after="0" w:line="240" w:lineRule="auto"/>
        <w:rPr>
          <w:color w:val="auto"/>
          <w:sz w:val="28"/>
          <w:szCs w:val="28"/>
          <w:highlight w:val="none"/>
        </w:rPr>
      </w:pPr>
      <w:bookmarkStart w:id="0" w:name="_Toc17306"/>
      <w:bookmarkStart w:id="1" w:name="_Toc14033"/>
      <w:r>
        <w:rPr>
          <w:rFonts w:hint="eastAsia"/>
          <w:color w:val="auto"/>
          <w:sz w:val="28"/>
          <w:szCs w:val="28"/>
          <w:highlight w:val="none"/>
        </w:rPr>
        <w:t xml:space="preserve">第一部分 </w:t>
      </w:r>
      <w:r>
        <w:rPr>
          <w:rFonts w:hint="eastAsia"/>
          <w:color w:val="auto"/>
          <w:sz w:val="28"/>
          <w:szCs w:val="28"/>
          <w:highlight w:val="none"/>
          <w:lang w:eastAsia="zh-CN"/>
        </w:rPr>
        <w:t>磋商</w:t>
      </w:r>
      <w:r>
        <w:rPr>
          <w:rFonts w:hint="eastAsia"/>
          <w:color w:val="auto"/>
          <w:sz w:val="28"/>
          <w:szCs w:val="28"/>
          <w:highlight w:val="none"/>
        </w:rPr>
        <w:t>邀请</w:t>
      </w:r>
      <w:bookmarkEnd w:id="0"/>
      <w:bookmarkEnd w:id="1"/>
    </w:p>
    <w:p>
      <w:pPr>
        <w:pStyle w:val="4"/>
        <w:spacing w:before="0" w:after="0" w:line="360" w:lineRule="auto"/>
        <w:jc w:val="center"/>
        <w:rPr>
          <w:rFonts w:ascii="宋体" w:hAnsi="宋体" w:eastAsia="宋体" w:cs="宋体"/>
          <w:color w:val="auto"/>
          <w:highlight w:val="none"/>
        </w:rPr>
      </w:pPr>
      <w:bookmarkStart w:id="2" w:name="_Toc1420"/>
      <w:bookmarkStart w:id="3" w:name="_Toc8850"/>
      <w:bookmarkStart w:id="4" w:name="_Toc7988"/>
      <w:r>
        <w:rPr>
          <w:rFonts w:hint="eastAsia" w:ascii="宋体" w:hAnsi="宋体" w:cs="宋体"/>
          <w:color w:val="auto"/>
          <w:highlight w:val="none"/>
          <w:lang w:eastAsia="zh-CN"/>
        </w:rPr>
        <w:t>磋商</w:t>
      </w:r>
      <w:r>
        <w:rPr>
          <w:rFonts w:hint="eastAsia" w:ascii="宋体" w:hAnsi="宋体" w:eastAsia="宋体" w:cs="宋体"/>
          <w:color w:val="auto"/>
          <w:highlight w:val="none"/>
        </w:rPr>
        <w:t>邀请书</w:t>
      </w:r>
      <w:bookmarkEnd w:id="2"/>
      <w:bookmarkEnd w:id="3"/>
      <w:bookmarkEnd w:id="4"/>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ascii="宋体" w:hAnsi="宋体"/>
          <w:b/>
          <w:color w:val="auto"/>
          <w:sz w:val="21"/>
          <w:szCs w:val="21"/>
          <w:highlight w:val="none"/>
          <w:u w:val="single"/>
          <w:lang w:eastAsia="zh-CN"/>
        </w:rPr>
        <w:t>东莞市横沥中学</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b/>
          <w:color w:val="auto"/>
          <w:sz w:val="21"/>
          <w:szCs w:val="21"/>
          <w:highlight w:val="none"/>
          <w:u w:val="single"/>
          <w:lang w:eastAsia="zh-CN"/>
        </w:rPr>
        <w:t>东莞市横沥中学综合楼会议室改造工程</w:t>
      </w:r>
      <w:r>
        <w:rPr>
          <w:rFonts w:hint="eastAsia" w:ascii="宋体" w:hAnsi="宋体" w:eastAsia="宋体" w:cs="Times New Roman"/>
          <w:color w:val="auto"/>
          <w:sz w:val="21"/>
          <w:szCs w:val="21"/>
          <w:highlight w:val="none"/>
        </w:rPr>
        <w:t>进行国内</w:t>
      </w:r>
      <w:r>
        <w:rPr>
          <w:rFonts w:hint="eastAsia" w:ascii="宋体" w:hAnsi="宋体" w:cs="Times New Roman"/>
          <w:color w:val="auto"/>
          <w:sz w:val="21"/>
          <w:szCs w:val="21"/>
          <w:highlight w:val="none"/>
          <w:lang w:eastAsia="zh-CN"/>
        </w:rPr>
        <w:t>竞争性磋商</w:t>
      </w:r>
      <w:r>
        <w:rPr>
          <w:rFonts w:hint="eastAsia" w:ascii="宋体" w:hAnsi="宋体" w:eastAsia="宋体" w:cs="Times New Roman"/>
          <w:color w:val="auto"/>
          <w:sz w:val="21"/>
          <w:szCs w:val="21"/>
          <w:highlight w:val="none"/>
        </w:rPr>
        <w:t>采购</w:t>
      </w:r>
      <w:r>
        <w:rPr>
          <w:rFonts w:hint="eastAsia" w:ascii="宋体" w:hAnsi="宋体" w:eastAsia="宋体"/>
          <w:color w:val="auto"/>
          <w:sz w:val="21"/>
          <w:szCs w:val="21"/>
          <w:highlight w:val="none"/>
        </w:rPr>
        <w:t>，欢迎符合</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要求的国内</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参加</w:t>
      </w:r>
      <w:r>
        <w:rPr>
          <w:rFonts w:hint="eastAsia" w:hAnsi="宋体"/>
          <w:color w:val="auto"/>
          <w:szCs w:val="21"/>
          <w:highlight w:val="none"/>
        </w:rPr>
        <w:t>参与本次政府采购活动</w:t>
      </w:r>
      <w:r>
        <w:rPr>
          <w:rFonts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highlight w:val="none"/>
        </w:rPr>
      </w:pPr>
    </w:p>
    <w:p>
      <w:pPr>
        <w:numPr>
          <w:ilvl w:val="0"/>
          <w:numId w:val="1"/>
        </w:numPr>
        <w:spacing w:after="0" w:line="360" w:lineRule="auto"/>
        <w:ind w:firstLine="413" w:firstLineChars="196"/>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rPr>
        <w:t>招标项目</w:t>
      </w:r>
      <w:r>
        <w:rPr>
          <w:rFonts w:hint="eastAsia" w:ascii="宋体" w:hAnsi="宋体" w:eastAsia="宋体"/>
          <w:b/>
          <w:color w:val="auto"/>
          <w:sz w:val="21"/>
          <w:szCs w:val="21"/>
          <w:highlight w:val="none"/>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编号：</w:t>
      </w:r>
      <w:r>
        <w:rPr>
          <w:rFonts w:hint="eastAsia" w:ascii="宋体" w:hAnsi="宋体"/>
          <w:color w:val="auto"/>
          <w:sz w:val="21"/>
          <w:szCs w:val="21"/>
          <w:highlight w:val="none"/>
          <w:lang w:val="en-US" w:eastAsia="zh-CN"/>
        </w:rPr>
        <w:t>GDZT2022139B</w:t>
      </w:r>
      <w:r>
        <w:rPr>
          <w:rFonts w:hint="eastAsia" w:ascii="宋体" w:hAnsi="宋体" w:eastAsia="宋体"/>
          <w:color w:val="auto"/>
          <w:sz w:val="21"/>
          <w:szCs w:val="21"/>
          <w:highlight w:val="none"/>
          <w:lang w:val="en-US" w:eastAsia="zh-CN"/>
        </w:rPr>
        <w:t>；</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名称：</w:t>
      </w:r>
      <w:r>
        <w:rPr>
          <w:rFonts w:hint="eastAsia" w:ascii="宋体" w:hAnsi="宋体"/>
          <w:color w:val="auto"/>
          <w:sz w:val="21"/>
          <w:szCs w:val="21"/>
          <w:highlight w:val="none"/>
          <w:lang w:val="en-US" w:eastAsia="zh-CN"/>
        </w:rPr>
        <w:t>东莞市横沥中学综合楼会议室改造工程</w:t>
      </w:r>
      <w:r>
        <w:rPr>
          <w:rFonts w:hint="eastAsia" w:ascii="宋体" w:hAnsi="宋体" w:eastAsia="宋体"/>
          <w:color w:val="auto"/>
          <w:sz w:val="21"/>
          <w:szCs w:val="21"/>
          <w:highlight w:val="none"/>
          <w:lang w:val="en-US" w:eastAsia="zh-CN"/>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、项目内容：</w:t>
      </w:r>
    </w:p>
    <w:tbl>
      <w:tblPr>
        <w:tblStyle w:val="22"/>
        <w:tblW w:w="44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55"/>
        <w:gridCol w:w="3828"/>
        <w:gridCol w:w="749"/>
        <w:gridCol w:w="2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25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包组内容</w:t>
            </w:r>
          </w:p>
        </w:tc>
        <w:tc>
          <w:tcPr>
            <w:tcW w:w="507"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数量</w:t>
            </w:r>
          </w:p>
        </w:tc>
        <w:tc>
          <w:tcPr>
            <w:tcW w:w="13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51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w:t>
            </w:r>
          </w:p>
        </w:tc>
        <w:tc>
          <w:tcPr>
            <w:tcW w:w="25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lang w:val="en-US" w:eastAsia="zh-CN"/>
              </w:rPr>
            </w:pPr>
            <w:r>
              <w:rPr>
                <w:rFonts w:hint="eastAsia" w:ascii="宋体" w:hAnsi="宋体"/>
                <w:b/>
                <w:color w:val="auto"/>
                <w:sz w:val="21"/>
                <w:szCs w:val="21"/>
                <w:highlight w:val="none"/>
                <w:u w:val="single"/>
                <w:lang w:eastAsia="zh-CN"/>
              </w:rPr>
              <w:t>东莞市横沥中学综合楼会议室改造工程</w:t>
            </w:r>
          </w:p>
        </w:tc>
        <w:tc>
          <w:tcPr>
            <w:tcW w:w="507"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1项</w:t>
            </w:r>
          </w:p>
        </w:tc>
        <w:tc>
          <w:tcPr>
            <w:tcW w:w="13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highlight w:val="none"/>
                <w:lang w:val="en-US" w:eastAsia="zh-CN"/>
              </w:rPr>
            </w:pPr>
            <w:r>
              <w:rPr>
                <w:rFonts w:hint="eastAsia" w:ascii="宋体" w:hAnsi="宋体" w:eastAsia="宋体"/>
                <w:b/>
                <w:bCs/>
                <w:color w:val="auto"/>
                <w:sz w:val="21"/>
                <w:szCs w:val="21"/>
                <w:highlight w:val="none"/>
                <w:u w:val="single"/>
              </w:rPr>
              <w:t>510</w:t>
            </w:r>
            <w:r>
              <w:rPr>
                <w:rFonts w:hint="eastAsia" w:ascii="宋体" w:hAnsi="宋体"/>
                <w:b/>
                <w:bCs/>
                <w:color w:val="auto"/>
                <w:sz w:val="21"/>
                <w:szCs w:val="21"/>
                <w:highlight w:val="none"/>
                <w:u w:val="single"/>
                <w:lang w:val="en-US" w:eastAsia="zh-CN"/>
              </w:rPr>
              <w:t>,</w:t>
            </w:r>
            <w:r>
              <w:rPr>
                <w:rFonts w:hint="eastAsia" w:ascii="宋体" w:hAnsi="宋体" w:eastAsia="宋体"/>
                <w:b/>
                <w:bCs/>
                <w:color w:val="auto"/>
                <w:sz w:val="21"/>
                <w:szCs w:val="21"/>
                <w:highlight w:val="none"/>
                <w:u w:val="single"/>
              </w:rPr>
              <w:t>832.62元</w:t>
            </w:r>
          </w:p>
        </w:tc>
      </w:tr>
    </w:tbl>
    <w:p>
      <w:pPr>
        <w:pStyle w:val="7"/>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w:t>
      </w: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资格要求</w:t>
      </w: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（1）须符合《中华人民共和国政府采购法》第二十二条规定（提供书面承诺）；</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参加采购活动前三年内，在经营活动中没有重大违法记录（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的单位负责人为同一人或者存在直接控股、管理关系的不同</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，不得参加同一合同项下的政府采购活动。为本项目提供整体设计、规范编制或者项目管理、监理、检测等服务的</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 xml:space="preserve">，不得参加本采购项目的采购活动； </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（4）未被列入“信用中国”网站(www.creditchina.gov.cn )“记录失信被执行人或税收违法黑名单或政府采购严重违法失信行为”记录名单；不处于中国政府采购网(www.ccgp.gov.cn )“政府采购严重违法失信行为信息记录”中的禁止参加政府采购活动期间。以代理机构于</w:t>
      </w:r>
      <w:r>
        <w:rPr>
          <w:rFonts w:hint="eastAsia" w:ascii="宋体" w:hAnsi="宋体"/>
          <w:color w:val="auto"/>
          <w:sz w:val="21"/>
          <w:szCs w:val="21"/>
          <w:highlight w:val="none"/>
          <w:lang w:val="en-US" w:eastAsia="zh-CN"/>
        </w:rPr>
        <w:t>响应</w:t>
      </w:r>
      <w:r>
        <w:rPr>
          <w:rFonts w:hint="eastAsia" w:ascii="宋体" w:hAnsi="宋体" w:eastAsia="宋体"/>
          <w:color w:val="auto"/>
          <w:sz w:val="21"/>
          <w:szCs w:val="21"/>
          <w:highlight w:val="none"/>
        </w:rPr>
        <w:t>截止日当天在“信用中国”网站及中国政府采购网查询结果为准，如相关失信记录已失效，</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需提供相关证明资料。</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）本项目（是/否）接受联合体投标：否</w:t>
      </w:r>
    </w:p>
    <w:p>
      <w:pPr>
        <w:pStyle w:val="7"/>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color w:val="auto"/>
          <w:sz w:val="21"/>
          <w:szCs w:val="21"/>
          <w:highlight w:val="none"/>
        </w:rPr>
      </w:pP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2、特殊要求：</w:t>
      </w:r>
    </w:p>
    <w:p>
      <w:pPr>
        <w:bidi w:val="0"/>
        <w:ind w:firstLine="420" w:firstLineChars="200"/>
        <w:rPr>
          <w:rFonts w:hint="eastAsia"/>
          <w:color w:val="auto"/>
          <w:highlight w:val="none"/>
        </w:rPr>
      </w:pPr>
      <w:r>
        <w:rPr>
          <w:rFonts w:hint="eastAsia"/>
          <w:color w:val="auto"/>
          <w:highlight w:val="none"/>
        </w:rPr>
        <w:t>供应商必须具</w:t>
      </w:r>
      <w:r>
        <w:rPr>
          <w:rFonts w:hint="eastAsia"/>
          <w:color w:val="auto"/>
          <w:highlight w:val="none"/>
          <w:lang w:val="en-US" w:eastAsia="zh-CN"/>
        </w:rPr>
        <w:t>有</w:t>
      </w:r>
      <w:r>
        <w:rPr>
          <w:rFonts w:hint="eastAsia"/>
          <w:color w:val="auto"/>
          <w:highlight w:val="none"/>
        </w:rPr>
        <w:t>施工综合资质</w:t>
      </w:r>
      <w:r>
        <w:rPr>
          <w:rFonts w:hint="eastAsia"/>
          <w:color w:val="auto"/>
          <w:highlight w:val="none"/>
          <w:lang w:eastAsia="zh-CN"/>
        </w:rPr>
        <w:t>【</w:t>
      </w:r>
      <w:r>
        <w:rPr>
          <w:rFonts w:hint="eastAsia"/>
          <w:color w:val="auto"/>
          <w:highlight w:val="none"/>
        </w:rPr>
        <w:t>或更换资质证书前有效期内施工总承包企业特级资质</w:t>
      </w:r>
      <w:r>
        <w:rPr>
          <w:rFonts w:hint="eastAsia"/>
          <w:color w:val="auto"/>
          <w:highlight w:val="none"/>
          <w:lang w:eastAsia="zh-CN"/>
        </w:rPr>
        <w:t>】</w:t>
      </w:r>
      <w:r>
        <w:rPr>
          <w:rFonts w:hint="eastAsia"/>
          <w:color w:val="auto"/>
          <w:highlight w:val="none"/>
        </w:rPr>
        <w:t>，或具有建筑工程施工总承包乙级</w:t>
      </w:r>
      <w:r>
        <w:rPr>
          <w:rFonts w:hint="eastAsia"/>
          <w:color w:val="auto"/>
          <w:highlight w:val="none"/>
          <w:lang w:eastAsia="zh-CN"/>
        </w:rPr>
        <w:t>（</w:t>
      </w:r>
      <w:r>
        <w:rPr>
          <w:rFonts w:hint="eastAsia"/>
          <w:color w:val="auto"/>
          <w:highlight w:val="none"/>
        </w:rPr>
        <w:t>或以上</w:t>
      </w:r>
      <w:r>
        <w:rPr>
          <w:rFonts w:hint="eastAsia"/>
          <w:color w:val="auto"/>
          <w:highlight w:val="none"/>
          <w:lang w:eastAsia="zh-CN"/>
        </w:rPr>
        <w:t>）</w:t>
      </w:r>
      <w:r>
        <w:rPr>
          <w:rFonts w:hint="eastAsia"/>
          <w:color w:val="auto"/>
          <w:highlight w:val="none"/>
        </w:rPr>
        <w:t>资质</w:t>
      </w:r>
      <w:r>
        <w:rPr>
          <w:rFonts w:hint="eastAsia"/>
          <w:color w:val="auto"/>
          <w:highlight w:val="none"/>
          <w:lang w:eastAsia="zh-CN"/>
        </w:rPr>
        <w:t>【</w:t>
      </w:r>
      <w:r>
        <w:rPr>
          <w:rFonts w:hint="eastAsia"/>
          <w:color w:val="auto"/>
          <w:highlight w:val="none"/>
        </w:rPr>
        <w:t>或更换资质证书前有效期内建筑工程施工总承包三级</w:t>
      </w:r>
      <w:r>
        <w:rPr>
          <w:rFonts w:hint="eastAsia"/>
          <w:color w:val="auto"/>
          <w:highlight w:val="none"/>
          <w:lang w:eastAsia="zh-CN"/>
        </w:rPr>
        <w:t>（</w:t>
      </w:r>
      <w:r>
        <w:rPr>
          <w:rFonts w:hint="eastAsia"/>
          <w:color w:val="auto"/>
          <w:highlight w:val="none"/>
        </w:rPr>
        <w:t>或以上</w:t>
      </w:r>
      <w:r>
        <w:rPr>
          <w:rFonts w:hint="eastAsia"/>
          <w:color w:val="auto"/>
          <w:highlight w:val="none"/>
          <w:lang w:eastAsia="zh-CN"/>
        </w:rPr>
        <w:t>）</w:t>
      </w:r>
      <w:r>
        <w:rPr>
          <w:rFonts w:hint="eastAsia"/>
          <w:color w:val="auto"/>
          <w:highlight w:val="none"/>
        </w:rPr>
        <w:t>资质</w:t>
      </w:r>
      <w:r>
        <w:rPr>
          <w:rFonts w:hint="eastAsia"/>
          <w:color w:val="auto"/>
          <w:highlight w:val="none"/>
          <w:lang w:eastAsia="zh-CN"/>
        </w:rPr>
        <w:t>】</w:t>
      </w:r>
      <w:r>
        <w:rPr>
          <w:rFonts w:hint="eastAsia"/>
          <w:color w:val="auto"/>
          <w:highlight w:val="none"/>
        </w:rPr>
        <w:t>，或具有建筑装修装饰工程专业承包资质乙级</w:t>
      </w:r>
      <w:r>
        <w:rPr>
          <w:rFonts w:hint="eastAsia"/>
          <w:color w:val="auto"/>
          <w:highlight w:val="none"/>
          <w:lang w:eastAsia="zh-CN"/>
        </w:rPr>
        <w:t>（</w:t>
      </w:r>
      <w:r>
        <w:rPr>
          <w:rFonts w:hint="eastAsia"/>
          <w:color w:val="auto"/>
          <w:highlight w:val="none"/>
        </w:rPr>
        <w:t>或以上</w:t>
      </w:r>
      <w:r>
        <w:rPr>
          <w:rFonts w:hint="eastAsia"/>
          <w:color w:val="auto"/>
          <w:highlight w:val="none"/>
          <w:lang w:eastAsia="zh-CN"/>
        </w:rPr>
        <w:t>）</w:t>
      </w:r>
      <w:r>
        <w:rPr>
          <w:rFonts w:hint="eastAsia"/>
          <w:color w:val="auto"/>
          <w:highlight w:val="none"/>
        </w:rPr>
        <w:t>资质</w:t>
      </w:r>
      <w:r>
        <w:rPr>
          <w:rFonts w:hint="eastAsia"/>
          <w:color w:val="auto"/>
          <w:highlight w:val="none"/>
          <w:lang w:eastAsia="zh-CN"/>
        </w:rPr>
        <w:t>【</w:t>
      </w:r>
      <w:r>
        <w:rPr>
          <w:rFonts w:hint="eastAsia"/>
          <w:color w:val="auto"/>
          <w:highlight w:val="none"/>
        </w:rPr>
        <w:t>或更换资质证书前有效期内建筑装修装饰工程专业承包二级</w:t>
      </w:r>
      <w:r>
        <w:rPr>
          <w:rFonts w:hint="eastAsia"/>
          <w:color w:val="auto"/>
          <w:highlight w:val="none"/>
          <w:lang w:eastAsia="zh-CN"/>
        </w:rPr>
        <w:t>（</w:t>
      </w:r>
      <w:r>
        <w:rPr>
          <w:rFonts w:hint="eastAsia"/>
          <w:color w:val="auto"/>
          <w:highlight w:val="none"/>
        </w:rPr>
        <w:t>或以上</w:t>
      </w:r>
      <w:r>
        <w:rPr>
          <w:rFonts w:hint="eastAsia"/>
          <w:color w:val="auto"/>
          <w:highlight w:val="none"/>
          <w:lang w:eastAsia="zh-CN"/>
        </w:rPr>
        <w:t>）</w:t>
      </w:r>
      <w:r>
        <w:rPr>
          <w:rFonts w:hint="eastAsia"/>
          <w:color w:val="auto"/>
          <w:highlight w:val="none"/>
        </w:rPr>
        <w:t>资质</w:t>
      </w:r>
      <w:r>
        <w:rPr>
          <w:rFonts w:hint="eastAsia"/>
          <w:color w:val="auto"/>
          <w:highlight w:val="none"/>
          <w:lang w:eastAsia="zh-CN"/>
        </w:rPr>
        <w:t>】</w:t>
      </w:r>
      <w:r>
        <w:rPr>
          <w:rFonts w:hint="eastAsia"/>
          <w:color w:val="auto"/>
          <w:highlight w:val="none"/>
        </w:rPr>
        <w:t>。</w:t>
      </w: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s="Times New Roman"/>
          <w:color w:val="auto"/>
          <w:sz w:val="21"/>
          <w:szCs w:val="21"/>
          <w:highlight w:val="none"/>
        </w:rPr>
        <w:t>注：上述资质要求，依据住房和城乡建设部2020年11月30日关于印发《建设工程企业资质管理制度改革方案》的通知，在更换资质证书前有效期内适用于本项目资质证书的均为有效资格条件。</w:t>
      </w:r>
    </w:p>
    <w:p>
      <w:pPr>
        <w:bidi w:val="0"/>
        <w:rPr>
          <w:rFonts w:hint="eastAsia"/>
          <w:color w:val="auto"/>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w:t>
      </w:r>
      <w:r>
        <w:rPr>
          <w:rFonts w:hint="eastAsia" w:ascii="宋体" w:hAnsi="宋体"/>
          <w:b/>
          <w:color w:val="auto"/>
          <w:sz w:val="21"/>
          <w:szCs w:val="21"/>
          <w:highlight w:val="none"/>
          <w:lang w:eastAsia="zh-CN"/>
        </w:rPr>
        <w:t>磋商文件</w:t>
      </w:r>
      <w:r>
        <w:rPr>
          <w:rFonts w:hint="eastAsia" w:ascii="宋体" w:hAnsi="宋体" w:eastAsia="宋体"/>
          <w:b/>
          <w:color w:val="auto"/>
          <w:sz w:val="21"/>
          <w:szCs w:val="21"/>
          <w:highlight w:val="none"/>
        </w:rPr>
        <w:t>领购时间、地点、方式</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7</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25</w:t>
      </w:r>
      <w:r>
        <w:rPr>
          <w:rFonts w:hint="eastAsia" w:ascii="宋体" w:hAnsi="宋体" w:eastAsia="宋体"/>
          <w:color w:val="auto"/>
          <w:sz w:val="21"/>
          <w:szCs w:val="21"/>
          <w:highlight w:val="none"/>
        </w:rPr>
        <w:t>日起至202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8</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日。</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w:t>
      </w:r>
      <w:r>
        <w:rPr>
          <w:rFonts w:ascii="宋体" w:hAnsi="宋体" w:eastAsia="宋体"/>
          <w:color w:val="auto"/>
          <w:sz w:val="21"/>
          <w:szCs w:val="21"/>
          <w:highlight w:val="none"/>
        </w:rPr>
        <w:t>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7</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25</w:t>
      </w:r>
      <w:r>
        <w:rPr>
          <w:rFonts w:hint="eastAsia" w:ascii="宋体" w:hAnsi="宋体" w:eastAsia="宋体"/>
          <w:color w:val="auto"/>
          <w:sz w:val="21"/>
          <w:szCs w:val="21"/>
          <w:highlight w:val="none"/>
        </w:rPr>
        <w:t>日起至202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8</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 xml:space="preserve">日（节假日除外），上午9：00～12：00，下午14：30～17：30（北京时间）。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可自行打印</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lang w:val="en-US" w:eastAsia="zh-CN"/>
        </w:rPr>
        <w:t>最后1页</w:t>
      </w:r>
      <w:r>
        <w:rPr>
          <w:rFonts w:hint="eastAsia" w:ascii="宋体" w:hAnsi="宋体" w:eastAsia="宋体"/>
          <w:color w:val="auto"/>
          <w:sz w:val="21"/>
          <w:szCs w:val="21"/>
          <w:highlight w:val="none"/>
        </w:rPr>
        <w:t>中的“获取</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登记表”进行填写并带到现场进行领购，并现场领取发票。（</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领购价：人民币</w:t>
      </w:r>
      <w:r>
        <w:rPr>
          <w:rFonts w:hint="eastAsia" w:ascii="宋体" w:hAnsi="宋体"/>
          <w:color w:val="auto"/>
          <w:sz w:val="21"/>
          <w:szCs w:val="21"/>
          <w:highlight w:val="none"/>
          <w:lang w:val="en-US" w:eastAsia="zh-CN"/>
        </w:rPr>
        <w:t>300</w:t>
      </w:r>
      <w:r>
        <w:rPr>
          <w:rFonts w:hint="eastAsia" w:ascii="宋体" w:hAnsi="宋体" w:eastAsia="宋体"/>
          <w:color w:val="auto"/>
          <w:sz w:val="21"/>
          <w:szCs w:val="21"/>
          <w:highlight w:val="none"/>
        </w:rPr>
        <w:t>元整）</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eastAsia="宋体"/>
          <w:color w:val="auto"/>
          <w:sz w:val="21"/>
          <w:szCs w:val="21"/>
          <w:highlight w:val="none"/>
          <w:lang w:val="en-US" w:eastAsia="zh-CN"/>
        </w:rPr>
        <w:t>简小姐</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电子版可在政通招标网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相关招标信息公告下自行下载。</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联系人：</w:t>
      </w:r>
      <w:r>
        <w:rPr>
          <w:rFonts w:hint="eastAsia" w:ascii="宋体" w:hAnsi="宋体" w:eastAsia="宋体"/>
          <w:color w:val="auto"/>
          <w:sz w:val="21"/>
          <w:szCs w:val="21"/>
          <w:highlight w:val="none"/>
          <w:lang w:eastAsia="zh-CN"/>
        </w:rPr>
        <w:t>简海欣</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领购方式：现场领购。</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在领购</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时须提供如下证明材料：《营业执照》复印件（加盖公章）或《事业单位法人证书》复印件（加盖公章）或其他主体证书复印件（加盖公章），自然人参加</w:t>
      </w:r>
      <w:r>
        <w:rPr>
          <w:rFonts w:hint="eastAsia" w:ascii="宋体" w:hAnsi="宋体"/>
          <w:color w:val="auto"/>
          <w:sz w:val="21"/>
          <w:szCs w:val="21"/>
          <w:highlight w:val="none"/>
          <w:lang w:val="en-US" w:eastAsia="zh-CN"/>
        </w:rPr>
        <w:t>报价</w:t>
      </w:r>
      <w:r>
        <w:rPr>
          <w:rFonts w:hint="eastAsia" w:ascii="宋体" w:hAnsi="宋体" w:eastAsia="宋体"/>
          <w:color w:val="auto"/>
          <w:sz w:val="21"/>
          <w:szCs w:val="21"/>
          <w:highlight w:val="none"/>
        </w:rPr>
        <w:t>须提供自然人的身份证明材料</w:t>
      </w:r>
      <w:r>
        <w:rPr>
          <w:rFonts w:hint="eastAsia" w:ascii="宋体" w:hAnsi="宋体" w:eastAsia="宋体"/>
          <w:color w:val="auto"/>
          <w:sz w:val="21"/>
          <w:szCs w:val="21"/>
          <w:highlight w:val="none"/>
          <w:lang w:eastAsia="zh-CN"/>
        </w:rPr>
        <w:t>。</w:t>
      </w:r>
    </w:p>
    <w:p>
      <w:pPr>
        <w:bidi w:val="0"/>
        <w:rPr>
          <w:rFonts w:hint="eastAsia"/>
          <w:color w:val="auto"/>
          <w:highlight w:val="none"/>
          <w:lang w:eastAsia="zh-CN"/>
        </w:rPr>
      </w:pPr>
    </w:p>
    <w:p>
      <w:pPr>
        <w:spacing w:after="0" w:line="360" w:lineRule="auto"/>
        <w:ind w:firstLine="413" w:firstLineChars="196"/>
        <w:rPr>
          <w:rFonts w:hint="default"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lang w:val="en-US" w:eastAsia="zh-CN"/>
        </w:rPr>
        <w:t>四</w:t>
      </w:r>
      <w:r>
        <w:rPr>
          <w:rFonts w:hint="eastAsia" w:ascii="宋体" w:hAnsi="宋体" w:eastAsia="宋体"/>
          <w:b/>
          <w:color w:val="auto"/>
          <w:sz w:val="21"/>
          <w:szCs w:val="21"/>
          <w:highlight w:val="none"/>
        </w:rPr>
        <w:t>、</w:t>
      </w:r>
      <w:r>
        <w:rPr>
          <w:rFonts w:hint="eastAsia" w:ascii="宋体" w:hAnsi="宋体"/>
          <w:b/>
          <w:color w:val="auto"/>
          <w:sz w:val="21"/>
          <w:szCs w:val="21"/>
          <w:highlight w:val="none"/>
          <w:lang w:val="en-US" w:eastAsia="zh-CN"/>
        </w:rPr>
        <w:t>其他事项</w:t>
      </w:r>
    </w:p>
    <w:p>
      <w:p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bidi w:val="0"/>
        <w:rPr>
          <w:rFonts w:hint="default"/>
          <w:color w:val="auto"/>
          <w:highlight w:val="none"/>
          <w:lang w:val="en-US"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lang w:val="en-US" w:eastAsia="zh-CN"/>
        </w:rPr>
        <w:t>五</w:t>
      </w:r>
      <w:r>
        <w:rPr>
          <w:rFonts w:hint="eastAsia" w:ascii="宋体" w:hAnsi="宋体" w:eastAsia="宋体"/>
          <w:b/>
          <w:color w:val="auto"/>
          <w:sz w:val="21"/>
          <w:szCs w:val="21"/>
          <w:highlight w:val="none"/>
        </w:rPr>
        <w:t>、</w:t>
      </w:r>
      <w:r>
        <w:rPr>
          <w:rFonts w:hint="eastAsia" w:ascii="宋体" w:hAnsi="宋体"/>
          <w:b/>
          <w:color w:val="auto"/>
          <w:sz w:val="21"/>
          <w:szCs w:val="21"/>
          <w:highlight w:val="none"/>
          <w:lang w:eastAsia="zh-CN"/>
        </w:rPr>
        <w:t>响应</w:t>
      </w:r>
      <w:r>
        <w:rPr>
          <w:rFonts w:hint="eastAsia" w:ascii="宋体" w:hAnsi="宋体" w:eastAsia="宋体"/>
          <w:b/>
          <w:color w:val="auto"/>
          <w:sz w:val="21"/>
          <w:szCs w:val="21"/>
          <w:highlight w:val="none"/>
        </w:rPr>
        <w:t>截止时间、开标时间及地点</w:t>
      </w:r>
    </w:p>
    <w:p>
      <w:pPr>
        <w:spacing w:after="0" w:line="360" w:lineRule="auto"/>
        <w:ind w:firstLine="411" w:firstLineChars="196"/>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1、递交响应文件时间：2022年8月5日下午14：00～14：30。</w:t>
      </w:r>
    </w:p>
    <w:p>
      <w:pPr>
        <w:spacing w:after="0" w:line="360" w:lineRule="auto"/>
        <w:ind w:firstLine="411" w:firstLineChars="196"/>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2、响应截止及开标时间：2022年8月5日下午14时30分。</w:t>
      </w:r>
    </w:p>
    <w:p>
      <w:pPr>
        <w:spacing w:after="0" w:line="360" w:lineRule="auto"/>
        <w:ind w:firstLine="411" w:firstLineChars="196"/>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3、接收响应文件地点：东莞市南城街道鸿福路199号（市民服务中心）411室。</w:t>
      </w:r>
    </w:p>
    <w:p>
      <w:pPr>
        <w:bidi w:val="0"/>
      </w:pPr>
    </w:p>
    <w:p>
      <w:pPr>
        <w:spacing w:after="0" w:line="360" w:lineRule="auto"/>
        <w:ind w:firstLine="413" w:firstLineChars="196"/>
        <w:rPr>
          <w:rFonts w:ascii="宋体" w:hAnsi="宋体" w:eastAsia="宋体"/>
          <w:bCs/>
          <w:color w:val="auto"/>
          <w:sz w:val="21"/>
          <w:szCs w:val="21"/>
          <w:highlight w:val="none"/>
        </w:rPr>
      </w:pPr>
      <w:r>
        <w:rPr>
          <w:rFonts w:hint="eastAsia" w:ascii="宋体" w:hAnsi="宋体" w:eastAsia="宋体"/>
          <w:b/>
          <w:color w:val="auto"/>
          <w:sz w:val="21"/>
          <w:szCs w:val="21"/>
          <w:highlight w:val="none"/>
          <w:lang w:val="en-US" w:eastAsia="zh-CN"/>
        </w:rPr>
        <w:t>六</w:t>
      </w:r>
      <w:r>
        <w:rPr>
          <w:rFonts w:hint="eastAsia" w:ascii="宋体" w:hAnsi="宋体" w:eastAsia="宋体"/>
          <w:b/>
          <w:color w:val="auto"/>
          <w:sz w:val="21"/>
          <w:szCs w:val="21"/>
          <w:highlight w:val="none"/>
        </w:rPr>
        <w:t>、采购人及采购代理机构的名称、地址和联系方法：</w:t>
      </w:r>
    </w:p>
    <w:p>
      <w:pPr>
        <w:spacing w:after="0" w:line="360" w:lineRule="auto"/>
        <w:ind w:firstLine="420" w:firstLineChars="200"/>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采购人联系人：张工</w:t>
      </w:r>
      <w:r>
        <w:rPr>
          <w:rFonts w:hint="eastAsia" w:ascii="宋体" w:hAnsi="宋体"/>
          <w:bCs/>
          <w:color w:val="auto"/>
          <w:sz w:val="21"/>
          <w:szCs w:val="21"/>
          <w:highlight w:val="none"/>
          <w:lang w:val="en-US" w:eastAsia="zh-CN"/>
        </w:rPr>
        <w:t xml:space="preserve"> </w:t>
      </w:r>
    </w:p>
    <w:p>
      <w:pPr>
        <w:spacing w:after="0" w:line="360" w:lineRule="auto"/>
        <w:ind w:firstLine="420" w:firstLineChars="200"/>
        <w:rPr>
          <w:rFonts w:hint="eastAsia" w:ascii="宋体" w:hAnsi="宋体" w:eastAsia="宋体"/>
          <w:bCs/>
          <w:color w:val="auto"/>
          <w:sz w:val="21"/>
          <w:szCs w:val="21"/>
          <w:highlight w:val="none"/>
          <w:lang w:eastAsia="zh-CN"/>
        </w:rPr>
      </w:pPr>
      <w:r>
        <w:rPr>
          <w:rFonts w:hint="eastAsia" w:ascii="宋体" w:hAnsi="宋体" w:eastAsia="宋体"/>
          <w:bCs/>
          <w:color w:val="auto"/>
          <w:sz w:val="21"/>
          <w:szCs w:val="21"/>
          <w:highlight w:val="none"/>
        </w:rPr>
        <w:t>地址：东莞市横沥镇</w:t>
      </w:r>
      <w:r>
        <w:rPr>
          <w:rFonts w:hint="eastAsia" w:ascii="宋体" w:hAnsi="宋体"/>
          <w:bCs/>
          <w:color w:val="auto"/>
          <w:sz w:val="21"/>
          <w:szCs w:val="21"/>
          <w:highlight w:val="none"/>
          <w:lang w:val="en-US" w:eastAsia="zh-CN"/>
        </w:rPr>
        <w:t xml:space="preserve"> </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联系电话：</w:t>
      </w:r>
      <w:r>
        <w:rPr>
          <w:rFonts w:hint="eastAsia" w:ascii="宋体" w:hAnsi="宋体"/>
          <w:bCs/>
          <w:color w:val="auto"/>
          <w:sz w:val="21"/>
          <w:szCs w:val="21"/>
          <w:highlight w:val="none"/>
          <w:lang w:val="en-US" w:eastAsia="zh-CN"/>
        </w:rPr>
        <w:t>0769-83797261</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w:t>
      </w:r>
      <w:r>
        <w:rPr>
          <w:rFonts w:hint="eastAsia" w:ascii="宋体" w:hAnsi="宋体"/>
          <w:color w:val="auto"/>
          <w:sz w:val="21"/>
          <w:szCs w:val="21"/>
          <w:highlight w:val="none"/>
          <w:lang w:val="en-US" w:eastAsia="zh-CN"/>
        </w:rPr>
        <w:t>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pPr>
        <w:spacing w:after="0" w:line="360" w:lineRule="auto"/>
        <w:ind w:firstLine="420" w:firstLineChars="200"/>
        <w:rPr>
          <w:rFonts w:hint="default" w:eastAsia="宋体"/>
          <w:color w:val="auto"/>
          <w:highlight w:val="none"/>
          <w:lang w:val="en-US" w:eastAsia="zh-CN"/>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pPr>
        <w:rPr>
          <w:color w:val="auto"/>
          <w:highlight w:val="none"/>
        </w:rPr>
      </w:pPr>
    </w:p>
    <w:p>
      <w:pPr>
        <w:ind w:right="752" w:rightChars="358"/>
        <w:jc w:val="both"/>
        <w:rPr>
          <w:color w:val="auto"/>
          <w:highlight w:val="none"/>
        </w:rPr>
      </w:pPr>
    </w:p>
    <w:p>
      <w:pPr>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pPr>
        <w:ind w:left="6205" w:leftChars="2755" w:hanging="420" w:hangingChars="200"/>
        <w:rPr>
          <w:rFonts w:hint="eastAsia" w:ascii="宋体" w:hAnsi="宋体" w:eastAsia="宋体" w:cs="宋体"/>
          <w:color w:val="auto"/>
          <w:sz w:val="21"/>
          <w:szCs w:val="21"/>
          <w:highlight w:val="none"/>
        </w:rPr>
      </w:pP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月</w:t>
      </w:r>
    </w:p>
    <w:p>
      <w:pPr>
        <w:pStyle w:val="7"/>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ind w:left="0" w:leftChars="0" w:firstLine="0" w:firstLineChars="0"/>
        <w:rPr>
          <w:rFonts w:hint="eastAsia" w:ascii="宋体" w:hAnsi="宋体" w:eastAsia="宋体" w:cs="宋体"/>
          <w:color w:val="auto"/>
          <w:sz w:val="21"/>
          <w:szCs w:val="21"/>
          <w:highlight w:val="none"/>
        </w:rPr>
      </w:pPr>
    </w:p>
    <w:p>
      <w:pPr>
        <w:pStyle w:val="3"/>
        <w:spacing w:before="0" w:after="0" w:line="240" w:lineRule="auto"/>
        <w:rPr>
          <w:rFonts w:hint="eastAsia"/>
          <w:color w:val="auto"/>
          <w:sz w:val="28"/>
          <w:szCs w:val="28"/>
          <w:highlight w:val="none"/>
          <w:lang w:val="en-US" w:eastAsia="zh-CN"/>
        </w:rPr>
      </w:pPr>
      <w:bookmarkStart w:id="5" w:name="_Toc31060"/>
      <w:bookmarkStart w:id="6" w:name="_Toc28550"/>
      <w:r>
        <w:rPr>
          <w:rFonts w:hint="eastAsia"/>
          <w:color w:val="auto"/>
          <w:sz w:val="28"/>
          <w:szCs w:val="28"/>
          <w:highlight w:val="none"/>
          <w:lang w:val="en-US" w:eastAsia="zh-CN"/>
        </w:rPr>
        <w:t>第二部分</w:t>
      </w:r>
      <w:bookmarkStart w:id="7" w:name="_Toc20683"/>
      <w:r>
        <w:rPr>
          <w:rFonts w:hint="eastAsia"/>
          <w:color w:val="auto"/>
          <w:sz w:val="28"/>
          <w:szCs w:val="28"/>
          <w:highlight w:val="none"/>
          <w:lang w:val="en-US" w:eastAsia="zh-CN"/>
        </w:rPr>
        <w:t xml:space="preserve"> 磋商资料表</w:t>
      </w:r>
      <w:bookmarkEnd w:id="5"/>
      <w:bookmarkEnd w:id="6"/>
      <w:bookmarkEnd w:id="7"/>
    </w:p>
    <w:tbl>
      <w:tblPr>
        <w:tblStyle w:val="22"/>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货物</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服务</w:t>
            </w:r>
            <w:r>
              <w:rPr>
                <w:rFonts w:hint="eastAsia" w:ascii="宋体" w:hAnsi="宋体" w:eastAsia="宋体"/>
                <w:bCs/>
                <w:color w:val="auto"/>
                <w:sz w:val="21"/>
                <w:szCs w:val="21"/>
                <w:highlight w:val="none"/>
                <w:lang w:val="en-US" w:eastAsia="zh-CN"/>
              </w:rPr>
              <w:sym w:font="Wingdings" w:char="00A8"/>
            </w:r>
            <w:r>
              <w:rPr>
                <w:rFonts w:hint="eastAsia" w:ascii="宋体" w:hAnsi="宋体" w:eastAsia="宋体"/>
                <w:bCs/>
                <w:color w:val="auto"/>
                <w:sz w:val="21"/>
                <w:szCs w:val="21"/>
                <w:highlight w:val="none"/>
                <w:lang w:val="en-US" w:eastAsia="zh-CN"/>
              </w:rPr>
              <w:t xml:space="preserve">  工程</w:t>
            </w:r>
            <w:r>
              <w:rPr>
                <w:rFonts w:hint="eastAsia" w:ascii="宋体" w:hAnsi="宋体" w:eastAsia="宋体"/>
                <w:bCs/>
                <w:color w:val="auto"/>
                <w:sz w:val="21"/>
                <w:szCs w:val="21"/>
                <w:highlight w:val="none"/>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hint="default" w:ascii="宋体" w:hAnsi="宋体" w:eastAsia="宋体"/>
                <w:bCs/>
                <w:color w:val="auto"/>
                <w:sz w:val="21"/>
                <w:szCs w:val="21"/>
                <w:highlight w:val="none"/>
                <w:lang w:val="en-US"/>
              </w:rPr>
            </w:pPr>
            <w:r>
              <w:rPr>
                <w:rFonts w:hint="eastAsia" w:ascii="宋体" w:hAnsi="宋体" w:eastAsia="宋体"/>
                <w:bCs/>
                <w:color w:val="auto"/>
                <w:sz w:val="21"/>
                <w:szCs w:val="21"/>
                <w:highlight w:val="none"/>
                <w:lang w:val="en-US" w:eastAsia="zh-CN"/>
              </w:rPr>
              <w:t>所属行业：</w:t>
            </w:r>
            <w:r>
              <w:rPr>
                <w:rFonts w:hint="eastAsia" w:ascii="宋体" w:hAnsi="宋体"/>
                <w:bCs/>
                <w:color w:val="auto"/>
                <w:sz w:val="21"/>
                <w:szCs w:val="21"/>
                <w:highlight w:val="none"/>
                <w:lang w:val="en-US" w:eastAsia="zh-CN"/>
              </w:rPr>
              <w:t>建筑业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2</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color w:val="auto"/>
                <w:sz w:val="21"/>
                <w:szCs w:val="21"/>
                <w:highlight w:val="none"/>
                <w:lang w:eastAsia="zh-CN"/>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是</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否</w:t>
            </w:r>
            <w:r>
              <w:rPr>
                <w:rFonts w:hint="eastAsia" w:ascii="宋体" w:hAnsi="宋体" w:eastAsia="宋体"/>
                <w:bCs/>
                <w:color w:val="auto"/>
                <w:sz w:val="21"/>
                <w:szCs w:val="21"/>
                <w:highlight w:val="none"/>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3</w:t>
            </w:r>
          </w:p>
        </w:tc>
        <w:tc>
          <w:tcPr>
            <w:tcW w:w="7532" w:type="dxa"/>
            <w:gridSpan w:val="4"/>
            <w:vAlign w:val="center"/>
          </w:tcPr>
          <w:p>
            <w:pPr>
              <w:spacing w:after="0"/>
              <w:rPr>
                <w:rFonts w:hint="eastAsia" w:ascii="宋体" w:hAnsi="宋体" w:eastAsia="宋体"/>
                <w:b/>
                <w:color w:val="auto"/>
                <w:sz w:val="21"/>
                <w:szCs w:val="21"/>
                <w:highlight w:val="none"/>
                <w:lang w:eastAsia="zh-CN"/>
              </w:rPr>
            </w:pPr>
            <w:r>
              <w:rPr>
                <w:rFonts w:hint="eastAsia" w:ascii="宋体" w:hAnsi="宋体" w:eastAsia="宋体"/>
                <w:b/>
                <w:bCs/>
                <w:color w:val="auto"/>
                <w:sz w:val="21"/>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default" w:ascii="宋体" w:hAnsi="宋体" w:eastAsia="宋体"/>
                <w:b/>
                <w:color w:val="auto"/>
                <w:sz w:val="21"/>
                <w:szCs w:val="21"/>
                <w:highlight w:val="none"/>
                <w:lang w:val="en-US" w:eastAsia="zh-CN"/>
              </w:rPr>
            </w:pPr>
            <w:r>
              <w:rPr>
                <w:rFonts w:hint="eastAsia" w:ascii="宋体" w:hAnsi="宋体"/>
                <w:color w:val="auto"/>
                <w:sz w:val="21"/>
                <w:szCs w:val="21"/>
                <w:highlight w:val="none"/>
                <w:lang w:val="en-US" w:eastAsia="zh-CN"/>
              </w:rPr>
              <w:t>自筹</w:t>
            </w:r>
            <w:r>
              <w:rPr>
                <w:rFonts w:hint="eastAsia" w:ascii="宋体" w:hAnsi="宋体" w:eastAsia="宋体"/>
                <w:color w:val="auto"/>
                <w:sz w:val="21"/>
                <w:szCs w:val="21"/>
                <w:highlight w:val="none"/>
              </w:rPr>
              <w:t>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4</w:t>
            </w:r>
          </w:p>
        </w:tc>
        <w:tc>
          <w:tcPr>
            <w:tcW w:w="7532" w:type="dxa"/>
            <w:gridSpan w:val="4"/>
            <w:vAlign w:val="center"/>
          </w:tcPr>
          <w:p>
            <w:pPr>
              <w:spacing w:after="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eastAsia" w:ascii="宋体" w:hAnsi="宋体" w:eastAsia="宋体"/>
                <w:color w:val="auto"/>
                <w:sz w:val="21"/>
                <w:szCs w:val="21"/>
                <w:highlight w:val="none"/>
                <w:lang w:val="en-US" w:eastAsia="zh-CN"/>
              </w:rPr>
            </w:pPr>
            <w:r>
              <w:rPr>
                <w:rFonts w:hint="eastAsia" w:ascii="宋体" w:hAnsi="宋体" w:eastAsia="宋体"/>
                <w:bCs/>
                <w:color w:val="auto"/>
                <w:sz w:val="21"/>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5</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Cs/>
                <w:color w:val="auto"/>
                <w:sz w:val="21"/>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6</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bCs/>
                <w:color w:val="auto"/>
                <w:sz w:val="21"/>
                <w:szCs w:val="21"/>
                <w:highlight w:val="none"/>
              </w:rPr>
              <w:t>政通招标网</w:t>
            </w:r>
          </w:p>
        </w:tc>
        <w:tc>
          <w:tcPr>
            <w:tcW w:w="3691"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val="0"/>
                <w:bCs w:val="0"/>
                <w:color w:val="auto"/>
                <w:sz w:val="21"/>
                <w:szCs w:val="21"/>
                <w:highlight w:val="none"/>
              </w:rPr>
              <w:t>http://www.zttendering.com/</w:t>
            </w:r>
          </w:p>
        </w:tc>
        <w:tc>
          <w:tcPr>
            <w:tcW w:w="3691" w:type="dxa"/>
            <w:vAlign w:val="center"/>
          </w:tcPr>
          <w:p>
            <w:pPr>
              <w:spacing w:after="0"/>
              <w:jc w:val="center"/>
              <w:rPr>
                <w:rFonts w:ascii="宋体" w:hAnsi="宋体" w:eastAsia="宋体"/>
                <w:b/>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二、</w:t>
            </w: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7</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color w:val="auto"/>
                <w:sz w:val="21"/>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9</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10</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both"/>
              <w:rPr>
                <w:rFonts w:ascii="宋体" w:hAnsi="宋体" w:eastAsia="宋体"/>
                <w:color w:val="auto"/>
                <w:sz w:val="21"/>
                <w:szCs w:val="21"/>
                <w:highlight w:val="none"/>
              </w:rPr>
            </w:pPr>
          </w:p>
        </w:tc>
        <w:tc>
          <w:tcPr>
            <w:tcW w:w="7532" w:type="dxa"/>
            <w:gridSpan w:val="4"/>
            <w:vAlign w:val="center"/>
          </w:tcPr>
          <w:p>
            <w:pPr>
              <w:spacing w:after="0"/>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“●”为核心产品</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本项目无核心产品</w:t>
            </w:r>
            <w:r>
              <w:rPr>
                <w:rFonts w:hint="eastAsia" w:ascii="宋体" w:hAnsi="宋体"/>
                <w:color w:val="auto"/>
                <w:sz w:val="21"/>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11</w:t>
            </w:r>
          </w:p>
        </w:tc>
        <w:tc>
          <w:tcPr>
            <w:tcW w:w="7532" w:type="dxa"/>
            <w:gridSpan w:val="4"/>
            <w:vAlign w:val="center"/>
          </w:tcPr>
          <w:p>
            <w:pPr>
              <w:spacing w:after="0"/>
              <w:jc w:val="both"/>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保证金</w:t>
            </w:r>
            <w:r>
              <w:rPr>
                <w:rFonts w:hint="eastAsia" w:ascii="宋体" w:hAnsi="宋体"/>
                <w:b/>
                <w:color w:val="auto"/>
                <w:sz w:val="21"/>
                <w:szCs w:val="21"/>
                <w:highlight w:val="none"/>
                <w:lang w:eastAsia="zh-CN"/>
              </w:rPr>
              <w:t>：</w:t>
            </w:r>
            <w:r>
              <w:rPr>
                <w:rFonts w:hint="eastAsia" w:ascii="宋体" w:hAnsi="宋体"/>
                <w:b/>
                <w:color w:val="auto"/>
                <w:sz w:val="21"/>
                <w:szCs w:val="21"/>
                <w:highlight w:val="none"/>
                <w:lang w:val="en-US" w:eastAsia="zh-CN"/>
              </w:rPr>
              <w:t>本项目不需提供</w:t>
            </w: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2</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报价（响应文件）有效期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3</w:t>
            </w:r>
          </w:p>
        </w:tc>
        <w:tc>
          <w:tcPr>
            <w:tcW w:w="7532" w:type="dxa"/>
            <w:gridSpan w:val="4"/>
            <w:vAlign w:val="center"/>
          </w:tcPr>
          <w:p>
            <w:pPr>
              <w:spacing w:after="0"/>
              <w:jc w:val="center"/>
              <w:rPr>
                <w:rFonts w:ascii="宋体" w:hAnsi="宋体" w:eastAsia="宋体"/>
                <w:color w:val="auto"/>
                <w:sz w:val="21"/>
                <w:szCs w:val="21"/>
                <w:highlight w:val="none"/>
              </w:rPr>
            </w:pPr>
            <w:r>
              <w:rPr>
                <w:rFonts w:hint="eastAsia" w:ascii="宋体" w:hAnsi="宋体" w:eastAsia="宋体"/>
                <w:b/>
                <w:color w:val="auto"/>
                <w:sz w:val="21"/>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信用中国</w:t>
            </w: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https://www.creditchina.gov.cn/</w:t>
            </w:r>
          </w:p>
        </w:tc>
        <w:tc>
          <w:tcPr>
            <w:tcW w:w="3766" w:type="dxa"/>
            <w:gridSpan w:val="2"/>
            <w:vAlign w:val="center"/>
          </w:tcPr>
          <w:p>
            <w:pPr>
              <w:spacing w:after="0"/>
              <w:jc w:val="center"/>
              <w:rPr>
                <w:rFonts w:ascii="宋体" w:hAnsi="宋体" w:eastAsia="宋体"/>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4</w:t>
            </w:r>
          </w:p>
        </w:tc>
        <w:tc>
          <w:tcPr>
            <w:tcW w:w="7532" w:type="dxa"/>
            <w:gridSpan w:val="4"/>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应提交以下</w:t>
            </w:r>
            <w:r>
              <w:rPr>
                <w:rFonts w:hint="eastAsia" w:ascii="宋体" w:hAnsi="宋体"/>
                <w:b/>
                <w:color w:val="auto"/>
                <w:sz w:val="21"/>
                <w:szCs w:val="21"/>
                <w:highlight w:val="none"/>
                <w:lang w:eastAsia="zh-CN"/>
              </w:rPr>
              <w:t>响应文件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类型</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报价</w:t>
            </w:r>
            <w:r>
              <w:rPr>
                <w:rFonts w:hint="eastAsia" w:ascii="宋体" w:hAnsi="宋体" w:eastAsia="宋体"/>
                <w:b/>
                <w:color w:val="auto"/>
                <w:sz w:val="21"/>
                <w:szCs w:val="21"/>
                <w:highlight w:val="none"/>
                <w:lang w:eastAsia="zh-CN"/>
              </w:rPr>
              <w:t>文件</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正本</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副本</w:t>
            </w:r>
          </w:p>
        </w:tc>
        <w:tc>
          <w:tcPr>
            <w:tcW w:w="4924" w:type="dxa"/>
            <w:gridSpan w:val="3"/>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val="en-US" w:eastAsia="zh-CN"/>
              </w:rPr>
              <w:t>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电子文档</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5</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lang w:val="en-US" w:eastAsia="zh-CN"/>
              </w:rPr>
              <w:t>（仅适用于政府采购）</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小型或微型企业、监狱企业、残疾人福利性单位</w:t>
            </w: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s="宋体"/>
                <w:color w:val="auto"/>
                <w:kern w:val="2"/>
                <w:sz w:val="21"/>
                <w:szCs w:val="21"/>
                <w:highlight w:val="none"/>
                <w:lang w:val="en-US" w:eastAsia="zh-CN"/>
              </w:rPr>
              <w:t>10%（工程类5%）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符合须知“优惠政策”中联合体规定的</w:t>
            </w:r>
            <w:r>
              <w:rPr>
                <w:rFonts w:hint="eastAsia" w:ascii="宋体" w:hAnsi="宋体"/>
                <w:b/>
                <w:color w:val="auto"/>
                <w:sz w:val="21"/>
                <w:szCs w:val="21"/>
                <w:highlight w:val="none"/>
                <w:lang w:eastAsia="zh-CN"/>
              </w:rPr>
              <w:t>响应</w:t>
            </w:r>
            <w:r>
              <w:rPr>
                <w:rFonts w:hint="eastAsia" w:ascii="宋体" w:hAnsi="宋体" w:eastAsia="宋体"/>
                <w:b/>
                <w:color w:val="auto"/>
                <w:sz w:val="21"/>
                <w:szCs w:val="21"/>
                <w:highlight w:val="none"/>
              </w:rPr>
              <w:t>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对于联合协议或者分包意向协议约定小微企业的合同份额占到合同总金额30%以上的，报价给予</w:t>
            </w:r>
            <w:r>
              <w:rPr>
                <w:rFonts w:hint="default" w:ascii="宋体" w:hAnsi="宋体" w:eastAsia="宋体"/>
                <w:b/>
                <w:bCs/>
                <w:color w:val="auto"/>
                <w:sz w:val="21"/>
                <w:szCs w:val="21"/>
                <w:highlight w:val="none"/>
                <w:u w:val="single"/>
              </w:rPr>
              <w:t>2%</w:t>
            </w:r>
            <w:r>
              <w:rPr>
                <w:rFonts w:hint="eastAsia" w:ascii="宋体" w:hAnsi="宋体" w:eastAsia="宋体"/>
                <w:color w:val="auto"/>
                <w:sz w:val="21"/>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所投产品为获得节能产品认证或环境标志产品认证证书的价格折扣标准（相关规定详见</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7</w:t>
            </w: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 w:val="21"/>
                <w:szCs w:val="21"/>
                <w:highlight w:val="none"/>
                <w:lang w:val="en-US" w:eastAsia="zh-CN"/>
              </w:rPr>
              <w:t>陆仟</w:t>
            </w:r>
            <w:r>
              <w:rPr>
                <w:rFonts w:hint="eastAsia" w:ascii="宋体" w:hAnsi="宋体" w:eastAsia="宋体"/>
                <w:color w:val="auto"/>
                <w:sz w:val="21"/>
                <w:szCs w:val="21"/>
                <w:highlight w:val="none"/>
              </w:rPr>
              <w:t>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（2）中标服务费以转账或现金的形式支付。采购代理机构服务费汇入账号：</w:t>
            </w:r>
          </w:p>
          <w:p>
            <w:pPr>
              <w:widowControl w:val="0"/>
              <w:tabs>
                <w:tab w:val="left" w:pos="907"/>
              </w:tabs>
              <w:adjustRightInd/>
              <w:snapToGrid/>
              <w:spacing w:after="0" w:line="360" w:lineRule="exact"/>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收 款 人：</w:t>
            </w:r>
            <w:r>
              <w:rPr>
                <w:rFonts w:hint="eastAsia" w:ascii="宋体" w:hAnsi="宋体" w:eastAsia="宋体"/>
                <w:color w:val="auto"/>
                <w:sz w:val="21"/>
                <w:szCs w:val="21"/>
                <w:highlight w:val="none"/>
                <w:lang w:eastAsia="zh-CN"/>
              </w:rPr>
              <w:t>广东政通招标有限公司</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spacing w:after="0"/>
              <w:ind w:firstLine="420" w:firstLineChars="20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注：本表关于要采购项目的具体资料，是对</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须知的具体补充和修改，如有矛盾，应以本资料表为准。</w:t>
            </w:r>
          </w:p>
        </w:tc>
      </w:tr>
    </w:tbl>
    <w:p>
      <w:pPr>
        <w:bidi w:val="0"/>
        <w:rPr>
          <w:rFonts w:hint="eastAsia"/>
          <w:color w:val="auto"/>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ind w:left="0" w:leftChars="0" w:firstLine="0" w:firstLineChars="0"/>
        <w:rPr>
          <w:rFonts w:hint="eastAsia" w:ascii="宋体" w:hAnsi="宋体" w:eastAsia="宋体" w:cs="宋体"/>
          <w:color w:val="auto"/>
          <w:sz w:val="21"/>
          <w:szCs w:val="21"/>
          <w:highlight w:val="none"/>
        </w:rPr>
      </w:pPr>
    </w:p>
    <w:p>
      <w:pPr>
        <w:pStyle w:val="3"/>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highlight w:val="none"/>
        </w:rPr>
      </w:pPr>
      <w:bookmarkStart w:id="8" w:name="_Toc13473"/>
      <w:bookmarkStart w:id="9" w:name="_Toc4043"/>
      <w:bookmarkStart w:id="10" w:name="_Hlk55300595"/>
      <w:bookmarkStart w:id="11" w:name="_Toc9572"/>
      <w:r>
        <w:rPr>
          <w:rFonts w:hint="eastAsia"/>
          <w:color w:val="auto"/>
          <w:sz w:val="28"/>
          <w:szCs w:val="28"/>
          <w:highlight w:val="none"/>
          <w:lang w:val="en-US" w:eastAsia="zh-CN"/>
        </w:rPr>
        <w:t xml:space="preserve">第三部分 </w:t>
      </w:r>
      <w:bookmarkStart w:id="12" w:name="_Toc71133523"/>
      <w:bookmarkStart w:id="13" w:name="_Hlk55300643"/>
      <w:r>
        <w:rPr>
          <w:rFonts w:hint="eastAsia"/>
          <w:color w:val="auto"/>
          <w:sz w:val="28"/>
          <w:szCs w:val="28"/>
          <w:highlight w:val="none"/>
          <w:lang w:val="en-US" w:eastAsia="zh-CN"/>
        </w:rPr>
        <w:t>评分</w:t>
      </w:r>
      <w:bookmarkStart w:id="14" w:name="_Hlk55209874"/>
      <w:r>
        <w:rPr>
          <w:rFonts w:hint="eastAsia"/>
          <w:color w:val="auto"/>
          <w:sz w:val="28"/>
          <w:szCs w:val="28"/>
          <w:highlight w:val="none"/>
          <w:lang w:val="en-US" w:eastAsia="zh-CN"/>
        </w:rPr>
        <w:t>权重分配表</w:t>
      </w:r>
      <w:bookmarkEnd w:id="8"/>
      <w:bookmarkEnd w:id="9"/>
      <w:bookmarkEnd w:id="10"/>
      <w:bookmarkEnd w:id="12"/>
      <w:bookmarkEnd w:id="13"/>
      <w:bookmarkEnd w:id="14"/>
    </w:p>
    <w:p>
      <w:pPr>
        <w:pStyle w:val="4"/>
        <w:spacing w:before="0" w:after="0" w:line="240" w:lineRule="auto"/>
        <w:jc w:val="center"/>
        <w:rPr>
          <w:rFonts w:ascii="宋体" w:hAnsi="宋体" w:eastAsia="宋体" w:cs="宋体"/>
          <w:color w:val="auto"/>
          <w:sz w:val="24"/>
          <w:szCs w:val="24"/>
          <w:highlight w:val="none"/>
        </w:rPr>
      </w:pPr>
      <w:bookmarkStart w:id="15" w:name="_Toc18413"/>
      <w:bookmarkStart w:id="16" w:name="_Toc462"/>
      <w:r>
        <w:rPr>
          <w:rFonts w:hint="eastAsia" w:ascii="宋体" w:hAnsi="宋体" w:eastAsia="宋体" w:cs="宋体"/>
          <w:color w:val="auto"/>
          <w:sz w:val="24"/>
          <w:szCs w:val="24"/>
          <w:highlight w:val="none"/>
        </w:rPr>
        <w:t>价格</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rPr>
        <w:t>商务技术评分权重细则表</w:t>
      </w:r>
      <w:bookmarkEnd w:id="11"/>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rPr>
              <w:t>价格评分（30分）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651"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210" w:type="dxa"/>
            <w:gridSpan w:val="2"/>
            <w:tcBorders>
              <w:top w:val="single" w:color="auto" w:sz="4" w:space="0"/>
              <w:left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价格分计算方法：满足磋商文件要求且价格最低的响应报价为评标基准价，其价格分为满分。其他供应商的价格分统一按照下列公式计算：</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rPr>
              <w:t>响应报价得分=(评标基准价／响应报价)×价格权值</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商务评分（</w:t>
            </w:r>
            <w:r>
              <w:rPr>
                <w:rFonts w:hint="eastAsia" w:ascii="宋体" w:eastAsia="宋体" w:cs="宋体"/>
                <w:bCs/>
                <w:color w:val="auto"/>
                <w:sz w:val="21"/>
                <w:szCs w:val="21"/>
                <w:highlight w:val="none"/>
                <w:lang w:val="en-US" w:eastAsia="zh-CN"/>
              </w:rPr>
              <w:t>20</w:t>
            </w:r>
            <w:r>
              <w:rPr>
                <w:rFonts w:hint="eastAsia" w:ascii="宋体" w:hAnsi="宋体" w:eastAsia="宋体" w:cs="宋体"/>
                <w:bCs/>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651"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290"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体系认证</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lang w:val="zh-CN"/>
              </w:rPr>
              <w:t>具有由国家认监委批准设立的认证机构颁发并在有效期内的质量管理体系认证、环境管理体系认证、职业健康安全管理体系认证</w:t>
            </w:r>
            <w:r>
              <w:rPr>
                <w:rFonts w:hint="eastAsia" w:ascii="宋体" w:eastAsia="宋体" w:cs="宋体"/>
                <w:bCs/>
                <w:color w:val="auto"/>
                <w:sz w:val="21"/>
                <w:szCs w:val="21"/>
                <w:highlight w:val="none"/>
                <w:lang w:val="en-US" w:eastAsia="zh-CN"/>
              </w:rPr>
              <w:t>证书的</w:t>
            </w:r>
            <w:r>
              <w:rPr>
                <w:rFonts w:hint="eastAsia" w:ascii="宋体" w:hAnsi="宋体" w:eastAsia="宋体" w:cs="宋体"/>
                <w:bCs/>
                <w:color w:val="auto"/>
                <w:sz w:val="21"/>
                <w:szCs w:val="21"/>
                <w:highlight w:val="none"/>
                <w:lang w:val="zh-CN"/>
              </w:rPr>
              <w:t>，每具有一个得</w:t>
            </w: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val="zh-CN"/>
              </w:rPr>
              <w:t>分，本项最高得</w:t>
            </w:r>
            <w:r>
              <w:rPr>
                <w:rFonts w:hint="eastAsia" w:asci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rPr>
              <w:t>分。</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注：须提供有效证书复印件并加盖供应商公章，不符合以上要求的不得分。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eastAsia="宋体" w:cs="宋体"/>
                <w:bCs/>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651"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290"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业绩</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供应商</w:t>
            </w:r>
            <w:r>
              <w:rPr>
                <w:rFonts w:hint="eastAsia" w:ascii="宋体" w:hAnsi="宋体" w:eastAsia="宋体" w:cs="宋体"/>
                <w:bCs/>
                <w:color w:val="auto"/>
                <w:sz w:val="21"/>
                <w:szCs w:val="21"/>
                <w:highlight w:val="none"/>
              </w:rPr>
              <w:t>具有</w:t>
            </w:r>
            <w:r>
              <w:rPr>
                <w:rFonts w:hint="eastAsia" w:ascii="宋体" w:hAnsi="宋体" w:eastAsia="宋体" w:cs="宋体"/>
                <w:bCs/>
                <w:color w:val="auto"/>
                <w:sz w:val="21"/>
                <w:szCs w:val="21"/>
                <w:highlight w:val="none"/>
                <w:lang w:val="zh-CN"/>
              </w:rPr>
              <w:t>装修修缮</w:t>
            </w:r>
            <w:r>
              <w:rPr>
                <w:rFonts w:hint="eastAsia" w:ascii="宋体" w:eastAsia="宋体" w:cs="宋体"/>
                <w:bCs/>
                <w:color w:val="auto"/>
                <w:sz w:val="21"/>
                <w:szCs w:val="21"/>
                <w:highlight w:val="none"/>
                <w:lang w:val="zh-CN"/>
              </w:rPr>
              <w:t>（</w:t>
            </w:r>
            <w:r>
              <w:rPr>
                <w:rFonts w:hint="eastAsia" w:ascii="宋体" w:eastAsia="宋体" w:cs="宋体"/>
                <w:bCs/>
                <w:color w:val="auto"/>
                <w:sz w:val="21"/>
                <w:szCs w:val="21"/>
                <w:highlight w:val="none"/>
                <w:lang w:val="en-US" w:eastAsia="zh-CN"/>
              </w:rPr>
              <w:t>或翻新改造工程</w:t>
            </w:r>
            <w:r>
              <w:rPr>
                <w:rFonts w:hint="eastAsia" w:ascii="宋体" w:eastAsia="宋体" w:cs="宋体"/>
                <w:bCs/>
                <w:color w:val="auto"/>
                <w:sz w:val="21"/>
                <w:szCs w:val="21"/>
                <w:highlight w:val="none"/>
                <w:lang w:val="zh-CN"/>
              </w:rPr>
              <w:t>）</w:t>
            </w:r>
            <w:r>
              <w:rPr>
                <w:rFonts w:hint="eastAsia" w:ascii="宋体" w:hAnsi="宋体" w:eastAsia="宋体" w:cs="宋体"/>
                <w:bCs/>
                <w:color w:val="auto"/>
                <w:sz w:val="21"/>
                <w:szCs w:val="21"/>
                <w:highlight w:val="none"/>
              </w:rPr>
              <w:t>类</w:t>
            </w:r>
            <w:r>
              <w:rPr>
                <w:rFonts w:hint="eastAsia" w:ascii="宋体" w:hAnsi="宋体" w:eastAsia="宋体" w:cs="宋体"/>
                <w:bCs/>
                <w:color w:val="auto"/>
                <w:sz w:val="21"/>
                <w:szCs w:val="21"/>
                <w:highlight w:val="none"/>
                <w:lang w:val="zh-CN"/>
              </w:rPr>
              <w:t>项目业绩</w:t>
            </w:r>
            <w:r>
              <w:rPr>
                <w:rFonts w:hint="eastAsia" w:ascii="宋体" w:hAnsi="宋体" w:eastAsia="宋体" w:cs="宋体"/>
                <w:bCs/>
                <w:color w:val="auto"/>
                <w:sz w:val="21"/>
                <w:szCs w:val="21"/>
                <w:highlight w:val="none"/>
              </w:rPr>
              <w:t>的</w:t>
            </w:r>
            <w:r>
              <w:rPr>
                <w:rFonts w:hint="eastAsia" w:ascii="宋体" w:hAnsi="宋体" w:eastAsia="宋体" w:cs="宋体"/>
                <w:bCs/>
                <w:color w:val="auto"/>
                <w:sz w:val="21"/>
                <w:szCs w:val="21"/>
                <w:highlight w:val="none"/>
                <w:lang w:val="zh-CN"/>
              </w:rPr>
              <w:t>，每提供一个合同业绩得</w:t>
            </w:r>
            <w:r>
              <w:rPr>
                <w:rFonts w:hint="eastAsia" w:asci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rPr>
              <w:t>分。本项最高得</w:t>
            </w:r>
            <w:r>
              <w:rPr>
                <w:rFonts w:hint="eastAsia" w:ascii="宋体" w:eastAsia="宋体" w:cs="宋体"/>
                <w:bCs/>
                <w:color w:val="auto"/>
                <w:sz w:val="21"/>
                <w:szCs w:val="21"/>
                <w:highlight w:val="none"/>
                <w:lang w:val="en-US" w:eastAsia="zh-CN"/>
              </w:rPr>
              <w:t>15</w:t>
            </w:r>
            <w:r>
              <w:rPr>
                <w:rFonts w:hint="eastAsia" w:ascii="宋体" w:hAnsi="宋体" w:eastAsia="宋体" w:cs="宋体"/>
                <w:bCs/>
                <w:color w:val="auto"/>
                <w:sz w:val="21"/>
                <w:szCs w:val="21"/>
                <w:highlight w:val="none"/>
                <w:lang w:val="zh-CN"/>
              </w:rPr>
              <w:t>分。</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注：须提供合同复印件并加盖供应商公章，不符合以上要求</w:t>
            </w:r>
            <w:r>
              <w:rPr>
                <w:rFonts w:hint="eastAsia" w:ascii="宋体" w:hAnsi="宋体" w:eastAsia="宋体" w:cs="宋体"/>
                <w:bCs/>
                <w:color w:val="auto"/>
                <w:sz w:val="21"/>
                <w:szCs w:val="21"/>
                <w:highlight w:val="none"/>
              </w:rPr>
              <w:t>的</w:t>
            </w:r>
            <w:r>
              <w:rPr>
                <w:rFonts w:hint="eastAsia" w:ascii="宋体" w:hAnsi="宋体" w:eastAsia="宋体" w:cs="宋体"/>
                <w:bCs/>
                <w:color w:val="auto"/>
                <w:sz w:val="21"/>
                <w:szCs w:val="21"/>
                <w:highlight w:val="none"/>
                <w:lang w:val="zh-CN"/>
              </w:rPr>
              <w:t>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服务响应</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根据供应商提供的服务响应时间承诺进行评分。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（1）供应商承诺在接到采购人通知后1小时内到现场，得</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（2）供应商承诺在接到采购人通知后2小时内到现场，得</w:t>
            </w:r>
            <w:r>
              <w:rPr>
                <w:rFonts w:hint="eastAsia" w:ascii="宋体"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（3）供应商承诺在接到采购人通知后3小时内到现场，得</w:t>
            </w:r>
            <w:r>
              <w:rPr>
                <w:rFonts w:hint="eastAsia" w:ascii="宋体" w:hAnsi="宋体" w:cs="宋体"/>
                <w:bCs/>
                <w:color w:val="auto"/>
                <w:sz w:val="21"/>
                <w:szCs w:val="21"/>
                <w:highlight w:val="none"/>
                <w:lang w:val="en-US" w:eastAsia="zh-CN"/>
              </w:rPr>
              <w:t>0.5</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（4）供应商未承诺或承诺在接到采购人通知后超过3小时到现场，不得分。</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rPr>
              <w:t>注：须提供服务承诺书并加盖供应商公章，否则不得分。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eastAsia="宋体" w:cs="宋体"/>
                <w:bCs/>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技术评分（</w:t>
            </w:r>
            <w:r>
              <w:rPr>
                <w:rFonts w:hint="eastAsia" w:ascii="宋体" w:hAnsi="宋体" w:cs="宋体"/>
                <w:bCs/>
                <w:color w:val="auto"/>
                <w:sz w:val="21"/>
                <w:szCs w:val="21"/>
                <w:highlight w:val="none"/>
                <w:lang w:val="en-US" w:eastAsia="zh-CN"/>
              </w:rPr>
              <w:t>50</w:t>
            </w:r>
            <w:r>
              <w:rPr>
                <w:rFonts w:hint="eastAsia" w:ascii="宋体" w:hAnsi="宋体" w:eastAsia="宋体" w:cs="宋体"/>
                <w:bCs/>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项目的理解</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根据供应商对本项目现场的熟悉程度、理解及项目重点和难点的分析，以及根据项目重点和难点所采取的措施等进行评价。</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现场的熟悉程度深入，重点和难点分析合理、所采取的应急计划和措施可行性强，得</w:t>
            </w:r>
            <w:r>
              <w:rPr>
                <w:rFonts w:hint="eastAsia" w:ascii="宋体" w:hAnsi="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现场的熟悉程度一般，重点和难点分析</w:t>
            </w:r>
            <w:r>
              <w:rPr>
                <w:rFonts w:hint="eastAsia" w:ascii="宋体" w:hAnsi="宋体" w:eastAsia="宋体" w:cs="宋体"/>
                <w:bCs/>
                <w:color w:val="auto"/>
                <w:sz w:val="21"/>
                <w:szCs w:val="21"/>
                <w:highlight w:val="none"/>
                <w:lang w:val="en-US" w:eastAsia="zh-CN"/>
              </w:rPr>
              <w:t>基本合理</w:t>
            </w:r>
            <w:r>
              <w:rPr>
                <w:rFonts w:hint="eastAsia" w:ascii="宋体" w:hAnsi="宋体" w:eastAsia="宋体" w:cs="宋体"/>
                <w:bCs/>
                <w:color w:val="auto"/>
                <w:sz w:val="21"/>
                <w:szCs w:val="21"/>
                <w:highlight w:val="none"/>
              </w:rPr>
              <w:t>、所采取的应急计划和措施可行性一般，得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现场的熟悉程度肤浅，重点和难点分析基本合理、所采取的应急计划和措施可行性较差，得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zh-CN"/>
              </w:rPr>
              <w:t>未提供方案，得0分。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eastAsia="宋体" w:cs="宋体"/>
                <w:bCs/>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施工组织方案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根据</w:t>
            </w:r>
            <w:r>
              <w:rPr>
                <w:rFonts w:hint="eastAsia" w:ascii="宋体" w:hAnsi="宋体" w:eastAsia="宋体" w:cs="宋体"/>
                <w:bCs/>
                <w:color w:val="auto"/>
                <w:sz w:val="21"/>
                <w:szCs w:val="21"/>
                <w:highlight w:val="none"/>
              </w:rPr>
              <w:t>供应商</w:t>
            </w:r>
            <w:r>
              <w:rPr>
                <w:rFonts w:hint="eastAsia" w:ascii="宋体" w:hAnsi="宋体" w:eastAsia="宋体" w:cs="宋体"/>
                <w:bCs/>
                <w:color w:val="auto"/>
                <w:sz w:val="21"/>
                <w:szCs w:val="21"/>
                <w:highlight w:val="none"/>
                <w:lang w:val="zh-CN"/>
              </w:rPr>
              <w:t>施工组织方案的科学性、可行性、完善性等进行综合评价：</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施工组织方案针对性强、科学合理、可行有效，得</w:t>
            </w:r>
            <w:r>
              <w:rPr>
                <w:rFonts w:hint="eastAsia" w:ascii="宋体" w:hAnsi="宋体" w:eastAsia="宋体" w:cs="宋体"/>
                <w:bCs/>
                <w:color w:val="auto"/>
                <w:sz w:val="21"/>
                <w:szCs w:val="21"/>
                <w:highlight w:val="none"/>
              </w:rPr>
              <w:t>10</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施工组织方案针对性</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强、</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合理、</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可行，得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施工组织方案针对性一般、合理</w:t>
            </w:r>
            <w:r>
              <w:rPr>
                <w:rFonts w:hint="eastAsia" w:ascii="宋体" w:hAnsi="宋体" w:eastAsia="宋体" w:cs="宋体"/>
                <w:bCs/>
                <w:color w:val="auto"/>
                <w:sz w:val="21"/>
                <w:szCs w:val="21"/>
                <w:highlight w:val="none"/>
                <w:lang w:val="en-US" w:eastAsia="zh-CN"/>
              </w:rPr>
              <w:t>性一般</w:t>
            </w:r>
            <w:r>
              <w:rPr>
                <w:rFonts w:hint="eastAsia" w:ascii="宋体" w:hAnsi="宋体" w:eastAsia="宋体" w:cs="宋体"/>
                <w:bCs/>
                <w:color w:val="auto"/>
                <w:sz w:val="21"/>
                <w:szCs w:val="21"/>
                <w:highlight w:val="none"/>
                <w:lang w:val="zh-CN"/>
              </w:rPr>
              <w:t>，得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施工组织方案针对性差、不够合理，得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lang w:val="zh-CN"/>
              </w:rPr>
              <w:t>未提供方案，得0分。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安全文明方案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根据</w:t>
            </w:r>
            <w:r>
              <w:rPr>
                <w:rFonts w:hint="eastAsia" w:ascii="宋体" w:hAnsi="宋体" w:eastAsia="宋体" w:cs="宋体"/>
                <w:bCs/>
                <w:color w:val="auto"/>
                <w:sz w:val="21"/>
                <w:szCs w:val="21"/>
                <w:highlight w:val="none"/>
              </w:rPr>
              <w:t>供应商</w:t>
            </w:r>
            <w:r>
              <w:rPr>
                <w:rFonts w:hint="eastAsia" w:ascii="宋体" w:hAnsi="宋体" w:eastAsia="宋体" w:cs="宋体"/>
                <w:bCs/>
                <w:color w:val="auto"/>
                <w:sz w:val="21"/>
                <w:szCs w:val="21"/>
                <w:highlight w:val="none"/>
                <w:lang w:val="zh-CN"/>
              </w:rPr>
              <w:t>提供的安全文明措施、配套设备设施、达到的标准及承诺等进行综合评价:</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zh-CN"/>
              </w:rPr>
              <w:t>完整科学、可行性强，完全满足并优于招标文件要求，得</w:t>
            </w:r>
            <w:r>
              <w:rPr>
                <w:rFonts w:hint="eastAsia" w:ascii="宋体" w:hAnsi="宋体" w:cs="宋体"/>
                <w:bCs/>
                <w:color w:val="auto"/>
                <w:sz w:val="21"/>
                <w:szCs w:val="21"/>
                <w:highlight w:val="none"/>
                <w:lang w:val="en-US" w:eastAsia="zh-CN"/>
              </w:rPr>
              <w:t>8</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完整、可行性</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强，满足并优于招标文件要求，得</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en-US" w:eastAsia="zh-CN"/>
              </w:rPr>
              <w:t>基本</w:t>
            </w:r>
            <w:r>
              <w:rPr>
                <w:rFonts w:hint="eastAsia" w:ascii="宋体" w:hAnsi="宋体" w:eastAsia="宋体" w:cs="宋体"/>
                <w:bCs/>
                <w:color w:val="auto"/>
                <w:sz w:val="21"/>
                <w:szCs w:val="21"/>
                <w:highlight w:val="none"/>
                <w:lang w:val="zh-CN"/>
              </w:rPr>
              <w:t>完整、可行性一般，符合招标文件要求，得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zh-CN"/>
              </w:rPr>
              <w:t>基本完整、可行性较差，基本符合招标文件要求，得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lang w:val="zh-CN"/>
              </w:rPr>
              <w:t>未提供方案，得0分。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eastAsia="宋体" w:cs="宋体"/>
                <w:bCs/>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应急方案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根据供应商提供的应急方案（包括但不限于人员应急方案、现场施工应急方案、恶劣天气应急方案等）进行综合评审：</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方案科学合理完整，可操作性强，可行性强，针对性强，得</w:t>
            </w:r>
            <w:r>
              <w:rPr>
                <w:rFonts w:hint="eastAsia" w:ascii="宋体" w:hAnsi="宋体" w:cs="宋体"/>
                <w:bCs/>
                <w:color w:val="auto"/>
                <w:sz w:val="21"/>
                <w:szCs w:val="21"/>
                <w:highlight w:val="none"/>
                <w:lang w:val="en-US" w:eastAsia="zh-CN"/>
              </w:rPr>
              <w:t>8</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方案科学</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合理完整，可操作性</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强，可行性</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强，针对性</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强，得</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方案基本完整，可操作性一般，可行性一般，针对性一般，得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方案不完整，可操作性差，可行性差，针对性差，得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lang w:val="zh-CN"/>
              </w:rPr>
              <w:t>未提供方案，得0分。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eastAsia="宋体" w:cs="宋体"/>
                <w:bCs/>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after="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验收方案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根据</w:t>
            </w:r>
            <w:r>
              <w:rPr>
                <w:rFonts w:hint="eastAsia" w:ascii="宋体" w:hAnsi="宋体" w:eastAsia="宋体" w:cs="宋体"/>
                <w:bCs/>
                <w:color w:val="auto"/>
                <w:sz w:val="21"/>
                <w:szCs w:val="21"/>
                <w:highlight w:val="none"/>
              </w:rPr>
              <w:t>供应商提供的</w:t>
            </w:r>
            <w:r>
              <w:rPr>
                <w:rFonts w:hint="eastAsia" w:ascii="宋体" w:hAnsi="宋体" w:eastAsia="宋体" w:cs="宋体"/>
                <w:bCs/>
                <w:color w:val="auto"/>
                <w:sz w:val="21"/>
                <w:szCs w:val="21"/>
                <w:highlight w:val="none"/>
                <w:lang w:val="zh-CN"/>
              </w:rPr>
              <w:t>验收方案、承诺验收达到标准、整改方案及标准等进行综合评价:</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zh-CN"/>
              </w:rPr>
              <w:t>完整科学、可行性强，完全满足并优于招标文件要求，得</w:t>
            </w:r>
            <w:r>
              <w:rPr>
                <w:rFonts w:hint="eastAsia" w:ascii="宋体" w:hAnsi="宋体" w:cs="宋体"/>
                <w:bCs/>
                <w:color w:val="auto"/>
                <w:sz w:val="21"/>
                <w:szCs w:val="21"/>
                <w:highlight w:val="none"/>
                <w:lang w:val="en-US" w:eastAsia="zh-CN"/>
              </w:rPr>
              <w:t>8</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完整、可行性</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强，满足并优于招标文件要求，得</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en-US" w:eastAsia="zh-CN"/>
              </w:rPr>
              <w:t>基本</w:t>
            </w:r>
            <w:r>
              <w:rPr>
                <w:rFonts w:hint="eastAsia" w:ascii="宋体" w:hAnsi="宋体" w:eastAsia="宋体" w:cs="宋体"/>
                <w:bCs/>
                <w:color w:val="auto"/>
                <w:sz w:val="21"/>
                <w:szCs w:val="21"/>
                <w:highlight w:val="none"/>
                <w:lang w:val="zh-CN"/>
              </w:rPr>
              <w:t>完整、可行性一般，符合招标文件要求，得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zh-CN"/>
              </w:rPr>
              <w:t>基本完整、可行性较差，基本符合招标文件要求，得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zh-CN"/>
              </w:rPr>
              <w:t>未提供方案，得0分。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eastAsia="宋体" w:cs="宋体"/>
                <w:bCs/>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after="0"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规章制度</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根据供应商的规章管理制度进行</w:t>
            </w:r>
            <w:r>
              <w:rPr>
                <w:rFonts w:hint="eastAsia" w:ascii="宋体" w:hAnsi="宋体" w:eastAsia="宋体" w:cs="宋体"/>
                <w:bCs/>
                <w:color w:val="auto"/>
                <w:sz w:val="21"/>
                <w:szCs w:val="21"/>
                <w:highlight w:val="none"/>
              </w:rPr>
              <w:t>综合评审：</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制度完善科学，可行性强，得</w:t>
            </w:r>
            <w:r>
              <w:rPr>
                <w:rFonts w:hint="eastAsia" w:asci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val="zh-CN"/>
              </w:rPr>
              <w:t>；</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制度基本完整，可行性一般，得</w:t>
            </w: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zh-CN"/>
              </w:rPr>
              <w:t>分；</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制度不完整，可行性较差，得</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未提供</w:t>
            </w:r>
            <w:r>
              <w:rPr>
                <w:rFonts w:hint="eastAsia" w:ascii="宋体" w:hAnsi="宋体" w:eastAsia="宋体" w:cs="宋体"/>
                <w:bCs/>
                <w:color w:val="auto"/>
                <w:sz w:val="21"/>
                <w:szCs w:val="21"/>
                <w:highlight w:val="none"/>
              </w:rPr>
              <w:t>制度</w:t>
            </w:r>
            <w:r>
              <w:rPr>
                <w:rFonts w:hint="eastAsia" w:ascii="宋体" w:hAnsi="宋体" w:eastAsia="宋体" w:cs="宋体"/>
                <w:bCs/>
                <w:color w:val="auto"/>
                <w:sz w:val="21"/>
                <w:szCs w:val="21"/>
                <w:highlight w:val="none"/>
                <w:lang w:val="zh-CN"/>
              </w:rPr>
              <w:t>，得0分。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eastAsia="宋体" w:cs="宋体"/>
                <w:bCs/>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7</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eastAsia="宋体" w:cs="宋体"/>
                <w:color w:val="auto"/>
                <w:sz w:val="21"/>
                <w:szCs w:val="21"/>
                <w:highlight w:val="none"/>
                <w:lang w:val="en-US" w:eastAsia="zh-CN"/>
              </w:rPr>
              <w:t>技术力量</w:t>
            </w:r>
          </w:p>
        </w:tc>
        <w:tc>
          <w:tcPr>
            <w:tcW w:w="5920" w:type="dxa"/>
            <w:tcBorders>
              <w:top w:val="single" w:color="auto" w:sz="4" w:space="0"/>
              <w:left w:val="single" w:color="auto" w:sz="4" w:space="0"/>
              <w:bottom w:val="single" w:color="auto" w:sz="4" w:space="0"/>
              <w:right w:val="single" w:color="auto" w:sz="4" w:space="0"/>
            </w:tcBorders>
            <w:vAlign w:val="top"/>
          </w:tcPr>
          <w:p>
            <w:pPr>
              <w:pStyle w:val="35"/>
              <w:keepNext w:val="0"/>
              <w:keepLines w:val="0"/>
              <w:pageBreakBefore w:val="0"/>
              <w:kinsoku/>
              <w:wordWrap/>
              <w:overflowPunct/>
              <w:topLinePunct w:val="0"/>
              <w:autoSpaceDE/>
              <w:autoSpaceDN/>
              <w:bidi w:val="0"/>
              <w:spacing w:line="240" w:lineRule="auto"/>
              <w:ind w:firstLine="420" w:firstLineChars="200"/>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r>
              <w:rPr>
                <w:rFonts w:hint="eastAsia" w:ascii="宋体" w:eastAsia="宋体" w:cs="宋体"/>
                <w:color w:val="auto"/>
                <w:sz w:val="21"/>
                <w:szCs w:val="21"/>
                <w:highlight w:val="none"/>
              </w:rPr>
              <w:t>拟投入的项目</w:t>
            </w:r>
            <w:r>
              <w:rPr>
                <w:rFonts w:hint="eastAsia" w:ascii="宋体" w:eastAsia="宋体" w:cs="宋体"/>
                <w:color w:val="auto"/>
                <w:sz w:val="21"/>
                <w:szCs w:val="21"/>
                <w:highlight w:val="none"/>
                <w:lang w:val="en-US" w:eastAsia="zh-CN"/>
              </w:rPr>
              <w:t>负责人</w:t>
            </w:r>
            <w:r>
              <w:rPr>
                <w:rFonts w:hint="eastAsia" w:ascii="宋体" w:eastAsia="宋体" w:cs="宋体"/>
                <w:color w:val="auto"/>
                <w:sz w:val="21"/>
                <w:szCs w:val="21"/>
                <w:highlight w:val="none"/>
              </w:rPr>
              <w:t>（仅1人）：具有国家建设主管部门颁发的二级</w:t>
            </w:r>
            <w:r>
              <w:rPr>
                <w:rFonts w:hint="eastAsia" w:ascii="宋体" w:eastAsia="宋体" w:cs="宋体"/>
                <w:color w:val="auto"/>
                <w:sz w:val="21"/>
                <w:szCs w:val="21"/>
                <w:highlight w:val="none"/>
                <w:lang w:eastAsia="zh-CN"/>
              </w:rPr>
              <w:t>（</w:t>
            </w:r>
            <w:r>
              <w:rPr>
                <w:rFonts w:hint="eastAsia" w:ascii="宋体" w:eastAsia="宋体" w:cs="宋体"/>
                <w:color w:val="auto"/>
                <w:sz w:val="21"/>
                <w:szCs w:val="21"/>
                <w:highlight w:val="none"/>
              </w:rPr>
              <w:t>或以上</w:t>
            </w:r>
            <w:r>
              <w:rPr>
                <w:rFonts w:hint="eastAsia" w:ascii="宋体" w:eastAsia="宋体" w:cs="宋体"/>
                <w:color w:val="auto"/>
                <w:sz w:val="21"/>
                <w:szCs w:val="21"/>
                <w:highlight w:val="none"/>
                <w:lang w:eastAsia="zh-CN"/>
              </w:rPr>
              <w:t>）</w:t>
            </w:r>
            <w:r>
              <w:rPr>
                <w:rFonts w:hint="eastAsia" w:ascii="宋体" w:eastAsia="宋体" w:cs="宋体"/>
                <w:color w:val="auto"/>
                <w:sz w:val="21"/>
                <w:szCs w:val="21"/>
                <w:highlight w:val="none"/>
              </w:rPr>
              <w:t>注册建造师证书（专业类别：</w:t>
            </w:r>
            <w:r>
              <w:rPr>
                <w:rFonts w:hint="eastAsia" w:ascii="宋体" w:eastAsia="宋体" w:cs="宋体"/>
                <w:color w:val="auto"/>
                <w:sz w:val="21"/>
                <w:szCs w:val="21"/>
                <w:highlight w:val="none"/>
                <w:lang w:val="en-US" w:eastAsia="zh-CN"/>
              </w:rPr>
              <w:t>建筑</w:t>
            </w:r>
            <w:r>
              <w:rPr>
                <w:rFonts w:hint="eastAsia" w:ascii="宋体" w:eastAsia="宋体" w:cs="宋体"/>
                <w:color w:val="auto"/>
                <w:sz w:val="21"/>
                <w:szCs w:val="21"/>
                <w:highlight w:val="none"/>
              </w:rPr>
              <w:t>工程）</w:t>
            </w:r>
            <w:r>
              <w:rPr>
                <w:rFonts w:hint="eastAsia" w:ascii="宋体" w:eastAsia="宋体" w:cs="宋体"/>
                <w:color w:val="auto"/>
                <w:sz w:val="21"/>
                <w:szCs w:val="21"/>
                <w:highlight w:val="none"/>
                <w:lang w:val="en-US" w:eastAsia="zh-CN"/>
              </w:rPr>
              <w:t>的</w:t>
            </w:r>
            <w:r>
              <w:rPr>
                <w:rFonts w:hint="eastAsia" w:ascii="宋体" w:eastAsia="宋体" w:cs="宋体"/>
                <w:color w:val="auto"/>
                <w:sz w:val="21"/>
                <w:szCs w:val="21"/>
                <w:highlight w:val="none"/>
              </w:rPr>
              <w:t>，得</w:t>
            </w:r>
            <w:r>
              <w:rPr>
                <w:rFonts w:hint="eastAsia" w:ascii="宋体" w:eastAsia="宋体" w:cs="宋体"/>
                <w:color w:val="auto"/>
                <w:sz w:val="21"/>
                <w:szCs w:val="21"/>
                <w:highlight w:val="none"/>
                <w:lang w:val="en-US" w:eastAsia="zh-CN"/>
              </w:rPr>
              <w:t>2</w:t>
            </w:r>
            <w:r>
              <w:rPr>
                <w:rFonts w:hint="eastAsia" w:ascii="宋体" w:eastAsia="宋体" w:cs="宋体"/>
                <w:color w:val="auto"/>
                <w:sz w:val="21"/>
                <w:szCs w:val="21"/>
                <w:highlight w:val="none"/>
              </w:rPr>
              <w:t>分</w:t>
            </w:r>
            <w:r>
              <w:rPr>
                <w:rFonts w:hint="eastAsia" w:ascii="宋体" w:eastAsia="宋体" w:cs="宋体"/>
                <w:color w:val="auto"/>
                <w:sz w:val="21"/>
                <w:szCs w:val="21"/>
                <w:highlight w:val="none"/>
                <w:lang w:eastAsia="zh-CN"/>
              </w:rPr>
              <w:t>，</w:t>
            </w:r>
            <w:r>
              <w:rPr>
                <w:rFonts w:hint="eastAsia" w:ascii="宋体" w:eastAsia="宋体" w:cs="宋体"/>
                <w:color w:val="auto"/>
                <w:sz w:val="21"/>
                <w:szCs w:val="21"/>
                <w:highlight w:val="none"/>
                <w:lang w:val="en-US" w:eastAsia="zh-CN"/>
              </w:rPr>
              <w:t>本项最高得2分。</w:t>
            </w:r>
          </w:p>
          <w:p>
            <w:pPr>
              <w:pStyle w:val="35"/>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eastAsia="宋体" w:cs="宋体"/>
                <w:color w:val="auto"/>
                <w:sz w:val="21"/>
                <w:szCs w:val="21"/>
                <w:highlight w:val="none"/>
              </w:rPr>
            </w:pPr>
            <w:r>
              <w:rPr>
                <w:rFonts w:hint="eastAsia" w:ascii="宋体" w:eastAsia="宋体" w:cs="宋体"/>
                <w:color w:val="auto"/>
                <w:sz w:val="21"/>
                <w:szCs w:val="21"/>
                <w:highlight w:val="none"/>
                <w:lang w:val="en-US" w:eastAsia="zh-CN"/>
              </w:rPr>
              <w:t>2、</w:t>
            </w:r>
            <w:r>
              <w:rPr>
                <w:rFonts w:hint="eastAsia" w:ascii="宋体" w:eastAsia="宋体" w:cs="宋体"/>
                <w:color w:val="auto"/>
                <w:sz w:val="21"/>
                <w:szCs w:val="21"/>
                <w:highlight w:val="none"/>
              </w:rPr>
              <w:t>拟投入技术人员（除项目经理外）：具有人力资源和社会保障部门颁发的中级（或以上）工程师职称证书的</w:t>
            </w:r>
            <w:r>
              <w:rPr>
                <w:rFonts w:hint="eastAsia" w:ascii="宋体" w:eastAsia="宋体" w:cs="宋体"/>
                <w:color w:val="auto"/>
                <w:sz w:val="21"/>
                <w:szCs w:val="21"/>
                <w:highlight w:val="none"/>
                <w:lang w:eastAsia="zh-CN"/>
              </w:rPr>
              <w:t>，</w:t>
            </w:r>
            <w:r>
              <w:rPr>
                <w:rFonts w:hint="eastAsia" w:ascii="宋体" w:eastAsia="宋体" w:cs="宋体"/>
                <w:color w:val="auto"/>
                <w:sz w:val="21"/>
                <w:szCs w:val="21"/>
                <w:highlight w:val="none"/>
                <w:lang w:val="en-US" w:eastAsia="zh-CN"/>
              </w:rPr>
              <w:t>每提供一个</w:t>
            </w:r>
            <w:r>
              <w:rPr>
                <w:rFonts w:hint="eastAsia" w:ascii="宋体" w:eastAsia="宋体" w:cs="宋体"/>
                <w:color w:val="auto"/>
                <w:sz w:val="21"/>
                <w:szCs w:val="21"/>
                <w:highlight w:val="none"/>
              </w:rPr>
              <w:t>得</w:t>
            </w:r>
            <w:r>
              <w:rPr>
                <w:rFonts w:hint="eastAsia" w:ascii="宋体" w:eastAsia="宋体" w:cs="宋体"/>
                <w:color w:val="auto"/>
                <w:sz w:val="21"/>
                <w:szCs w:val="21"/>
                <w:highlight w:val="none"/>
                <w:lang w:val="en-US" w:eastAsia="zh-CN"/>
              </w:rPr>
              <w:t>1</w:t>
            </w:r>
            <w:r>
              <w:rPr>
                <w:rFonts w:hint="eastAsia" w:ascii="宋体" w:eastAsia="宋体" w:cs="宋体"/>
                <w:color w:val="auto"/>
                <w:sz w:val="21"/>
                <w:szCs w:val="21"/>
                <w:highlight w:val="none"/>
              </w:rPr>
              <w:t>分，</w:t>
            </w:r>
            <w:r>
              <w:rPr>
                <w:rFonts w:hint="eastAsia" w:ascii="宋体" w:eastAsia="宋体" w:cs="宋体"/>
                <w:color w:val="auto"/>
                <w:sz w:val="21"/>
                <w:szCs w:val="21"/>
                <w:highlight w:val="none"/>
                <w:lang w:val="en-US" w:eastAsia="zh-CN"/>
              </w:rPr>
              <w:t>本项</w:t>
            </w:r>
            <w:r>
              <w:rPr>
                <w:rFonts w:hint="eastAsia" w:ascii="宋体" w:eastAsia="宋体" w:cs="宋体"/>
                <w:color w:val="auto"/>
                <w:sz w:val="21"/>
                <w:szCs w:val="21"/>
                <w:highlight w:val="none"/>
              </w:rPr>
              <w:t>最高</w:t>
            </w:r>
            <w:r>
              <w:rPr>
                <w:rFonts w:hint="eastAsia" w:ascii="宋体" w:eastAsia="宋体" w:cs="宋体"/>
                <w:color w:val="auto"/>
                <w:sz w:val="21"/>
                <w:szCs w:val="21"/>
                <w:highlight w:val="none"/>
                <w:lang w:val="en-US" w:eastAsia="zh-CN"/>
              </w:rPr>
              <w:t>3</w:t>
            </w:r>
            <w:r>
              <w:rPr>
                <w:rFonts w:hint="eastAsia" w:ascii="宋体" w:eastAsia="宋体" w:cs="宋体"/>
                <w:color w:val="auto"/>
                <w:sz w:val="21"/>
                <w:szCs w:val="21"/>
                <w:highlight w:val="none"/>
              </w:rPr>
              <w:t>分。</w:t>
            </w:r>
          </w:p>
          <w:p>
            <w:pPr>
              <w:pStyle w:val="35"/>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jc w:val="both"/>
              <w:textAlignment w:val="auto"/>
              <w:outlineLvl w:val="9"/>
              <w:rPr>
                <w:rFonts w:hint="eastAsia" w:ascii="宋体" w:hAnsi="宋体" w:eastAsia="宋体" w:cs="宋体"/>
                <w:bCs/>
                <w:color w:val="auto"/>
                <w:sz w:val="21"/>
                <w:szCs w:val="21"/>
                <w:highlight w:val="none"/>
                <w:lang w:val="zh-CN"/>
              </w:rPr>
            </w:pPr>
            <w:r>
              <w:rPr>
                <w:rFonts w:hint="eastAsia" w:ascii="宋体" w:eastAsia="宋体" w:cs="宋体"/>
                <w:color w:val="auto"/>
                <w:sz w:val="21"/>
                <w:szCs w:val="21"/>
                <w:highlight w:val="none"/>
                <w:lang w:val="zh-CN"/>
              </w:rPr>
              <w:t>注：</w:t>
            </w:r>
            <w:r>
              <w:rPr>
                <w:rFonts w:hint="eastAsia" w:ascii="宋体" w:eastAsia="宋体" w:cs="宋体"/>
                <w:bCs/>
                <w:color w:val="auto"/>
                <w:sz w:val="21"/>
                <w:szCs w:val="21"/>
                <w:highlight w:val="none"/>
                <w:lang w:val="zh-CN"/>
              </w:rPr>
              <w:t>（1）以上项目</w:t>
            </w:r>
            <w:r>
              <w:rPr>
                <w:rFonts w:hint="eastAsia" w:ascii="宋体" w:eastAsia="宋体" w:cs="宋体"/>
                <w:bCs/>
                <w:color w:val="auto"/>
                <w:sz w:val="21"/>
                <w:szCs w:val="21"/>
                <w:highlight w:val="none"/>
                <w:lang w:val="en-US" w:eastAsia="zh-CN"/>
              </w:rPr>
              <w:t>经理</w:t>
            </w:r>
            <w:r>
              <w:rPr>
                <w:rFonts w:hint="eastAsia" w:ascii="宋体" w:eastAsia="宋体" w:cs="宋体"/>
                <w:bCs/>
                <w:color w:val="auto"/>
                <w:sz w:val="21"/>
                <w:szCs w:val="21"/>
                <w:highlight w:val="none"/>
                <w:lang w:val="zh-CN"/>
              </w:rPr>
              <w:t>、技术人员的名单不得重复。（2）须提供以上人员有效证书</w:t>
            </w:r>
            <w:r>
              <w:rPr>
                <w:rFonts w:hint="eastAsia" w:ascii="宋体" w:eastAsia="宋体" w:cs="宋体"/>
                <w:bCs/>
                <w:color w:val="auto"/>
                <w:sz w:val="21"/>
                <w:szCs w:val="21"/>
                <w:highlight w:val="none"/>
                <w:lang w:val="en-US" w:eastAsia="zh-CN"/>
              </w:rPr>
              <w:t>复印件</w:t>
            </w:r>
            <w:r>
              <w:rPr>
                <w:rFonts w:hint="eastAsia" w:ascii="宋体" w:eastAsia="宋体" w:cs="宋体"/>
                <w:bCs/>
                <w:color w:val="auto"/>
                <w:sz w:val="21"/>
                <w:szCs w:val="21"/>
                <w:highlight w:val="none"/>
                <w:lang w:val="zh-CN"/>
              </w:rPr>
              <w:t>及</w:t>
            </w:r>
            <w:r>
              <w:rPr>
                <w:rFonts w:hint="eastAsia" w:ascii="宋体" w:eastAsia="宋体" w:cs="宋体"/>
                <w:color w:val="auto"/>
                <w:sz w:val="21"/>
                <w:szCs w:val="21"/>
                <w:highlight w:val="none"/>
              </w:rPr>
              <w:t>投标人为其购买</w:t>
            </w:r>
            <w:r>
              <w:rPr>
                <w:rFonts w:hint="eastAsia" w:ascii="宋体" w:eastAsia="宋体" w:cs="宋体"/>
                <w:color w:val="auto"/>
                <w:sz w:val="21"/>
                <w:szCs w:val="21"/>
                <w:highlight w:val="none"/>
                <w:lang w:val="en-US" w:eastAsia="zh-CN"/>
              </w:rPr>
              <w:t>距开标前三个月</w:t>
            </w:r>
            <w:r>
              <w:rPr>
                <w:rFonts w:hint="eastAsia" w:ascii="宋体" w:eastAsia="宋体" w:cs="宋体"/>
                <w:color w:val="auto"/>
                <w:sz w:val="21"/>
                <w:szCs w:val="21"/>
                <w:highlight w:val="none"/>
              </w:rPr>
              <w:t>内（不含开标当月）任意</w:t>
            </w:r>
            <w:r>
              <w:rPr>
                <w:rFonts w:hint="eastAsia" w:ascii="宋体" w:eastAsia="宋体" w:cs="宋体"/>
                <w:color w:val="auto"/>
                <w:sz w:val="21"/>
                <w:szCs w:val="21"/>
                <w:highlight w:val="none"/>
                <w:lang w:val="en-US" w:eastAsia="zh-CN"/>
              </w:rPr>
              <w:t>一</w:t>
            </w:r>
            <w:r>
              <w:rPr>
                <w:rFonts w:hint="eastAsia" w:ascii="宋体" w:eastAsia="宋体" w:cs="宋体"/>
                <w:color w:val="auto"/>
                <w:sz w:val="21"/>
                <w:szCs w:val="21"/>
                <w:highlight w:val="none"/>
              </w:rPr>
              <w:t>个月社保证明资料复印件加盖投标人公章</w:t>
            </w:r>
            <w:r>
              <w:rPr>
                <w:rFonts w:hint="eastAsia" w:ascii="宋体" w:eastAsia="宋体" w:cs="宋体"/>
                <w:bCs/>
                <w:color w:val="auto"/>
                <w:sz w:val="21"/>
                <w:szCs w:val="21"/>
                <w:highlight w:val="none"/>
                <w:lang w:val="zh-CN"/>
              </w:rPr>
              <w:t>。</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（1）除特殊说明外，以上评审项，同一证明文件不重复计分。</w:t>
            </w:r>
          </w:p>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（2）供应商根据以上评分要求提供的响应材料因模糊不清导致评标委员会无法清晰辨认进行评审的，视为无效材料。</w:t>
            </w:r>
          </w:p>
          <w:p>
            <w:pPr>
              <w:pStyle w:val="35"/>
              <w:keepNext w:val="0"/>
              <w:keepLines w:val="0"/>
              <w:pageBreakBefore w:val="0"/>
              <w:kinsoku/>
              <w:wordWrap/>
              <w:overflowPunct/>
              <w:topLinePunct w:val="0"/>
              <w:autoSpaceDE/>
              <w:autoSpaceDN/>
              <w:bidi w:val="0"/>
              <w:spacing w:after="0" w:line="240" w:lineRule="auto"/>
              <w:ind w:firstLine="0" w:firstLineChars="0"/>
              <w:jc w:val="left"/>
              <w:textAlignment w:val="auto"/>
              <w:rPr>
                <w:rFonts w:hint="eastAsia" w:ascii="宋体" w:hAnsi="宋体" w:eastAsia="宋体" w:cs="宋体"/>
                <w:bCs/>
                <w:color w:val="auto"/>
                <w:sz w:val="21"/>
                <w:szCs w:val="21"/>
                <w:highlight w:val="none"/>
              </w:rPr>
            </w:pPr>
            <w:r>
              <w:rPr>
                <w:rFonts w:hint="eastAsia" w:ascii="宋体" w:hAnsi="宋体" w:eastAsia="宋体" w:cs="宋体"/>
                <w:b/>
                <w:color w:val="auto"/>
                <w:sz w:val="21"/>
                <w:szCs w:val="21"/>
                <w:highlight w:val="none"/>
              </w:rPr>
              <w:t xml:space="preserve">   （3）若因疫情原因暂缓统一托收或阶段性减免社会保险费而导致无法打印社保缴费证明的需提供书面说明并加盖供应商公章，否则不得分。</w:t>
            </w:r>
          </w:p>
        </w:tc>
      </w:tr>
    </w:tbl>
    <w:p>
      <w:pPr>
        <w:bidi w:val="0"/>
        <w:rPr>
          <w:rFonts w:hint="eastAsia"/>
          <w:color w:val="auto"/>
          <w:highlight w:val="none"/>
        </w:rPr>
      </w:pPr>
      <w:r>
        <w:rPr>
          <w:rFonts w:hint="eastAsia"/>
          <w:color w:val="auto"/>
          <w:highlight w:val="none"/>
        </w:rPr>
        <w:br w:type="page"/>
      </w:r>
    </w:p>
    <w:p>
      <w:pPr>
        <w:pStyle w:val="3"/>
        <w:spacing w:before="0" w:after="0" w:line="240" w:lineRule="auto"/>
        <w:rPr>
          <w:color w:val="auto"/>
          <w:sz w:val="24"/>
          <w:szCs w:val="24"/>
          <w:highlight w:val="none"/>
        </w:rPr>
      </w:pPr>
      <w:bookmarkStart w:id="17" w:name="_Toc29685"/>
      <w:bookmarkStart w:id="18" w:name="_Toc24511"/>
      <w:bookmarkStart w:id="19" w:name="_Toc2479"/>
      <w:bookmarkStart w:id="20" w:name="_Toc14146"/>
      <w:r>
        <w:rPr>
          <w:rFonts w:hint="eastAsia"/>
          <w:color w:val="auto"/>
          <w:sz w:val="28"/>
          <w:szCs w:val="28"/>
          <w:highlight w:val="none"/>
        </w:rPr>
        <w:t>第</w:t>
      </w:r>
      <w:r>
        <w:rPr>
          <w:rFonts w:hint="eastAsia"/>
          <w:color w:val="auto"/>
          <w:sz w:val="28"/>
          <w:szCs w:val="28"/>
          <w:highlight w:val="none"/>
          <w:lang w:val="en-US" w:eastAsia="zh-CN"/>
        </w:rPr>
        <w:t>四</w:t>
      </w:r>
      <w:r>
        <w:rPr>
          <w:rFonts w:hint="eastAsia"/>
          <w:color w:val="auto"/>
          <w:sz w:val="28"/>
          <w:szCs w:val="28"/>
          <w:highlight w:val="none"/>
        </w:rPr>
        <w:t xml:space="preserve">部分 </w:t>
      </w:r>
      <w:r>
        <w:rPr>
          <w:rFonts w:hint="eastAsia"/>
          <w:color w:val="auto"/>
          <w:sz w:val="28"/>
          <w:szCs w:val="28"/>
          <w:highlight w:val="none"/>
          <w:lang w:eastAsia="zh-CN"/>
        </w:rPr>
        <w:t>供应商</w:t>
      </w:r>
      <w:r>
        <w:rPr>
          <w:rFonts w:hint="eastAsia"/>
          <w:color w:val="auto"/>
          <w:sz w:val="28"/>
          <w:szCs w:val="28"/>
          <w:highlight w:val="none"/>
        </w:rPr>
        <w:t>须知</w:t>
      </w:r>
      <w:bookmarkEnd w:id="17"/>
      <w:bookmarkEnd w:id="18"/>
      <w:bookmarkEnd w:id="19"/>
    </w:p>
    <w:p>
      <w:pPr>
        <w:pStyle w:val="3"/>
        <w:keepNext w:val="0"/>
        <w:keepLines w:val="0"/>
        <w:spacing w:before="0" w:after="0" w:line="360" w:lineRule="auto"/>
        <w:jc w:val="center"/>
        <w:rPr>
          <w:rFonts w:ascii="宋体" w:hAnsi="宋体" w:eastAsia="宋体"/>
          <w:color w:val="auto"/>
          <w:sz w:val="24"/>
          <w:szCs w:val="21"/>
          <w:highlight w:val="none"/>
        </w:rPr>
      </w:pPr>
      <w:bookmarkStart w:id="21" w:name="_Toc6882675"/>
      <w:bookmarkStart w:id="22" w:name="_Toc102277756"/>
      <w:bookmarkStart w:id="23" w:name="_Toc6968687"/>
      <w:bookmarkStart w:id="24" w:name="_Toc466786434"/>
      <w:bookmarkStart w:id="25" w:name="_Toc28014"/>
      <w:bookmarkStart w:id="26" w:name="_Toc24057"/>
      <w:bookmarkStart w:id="27" w:name="_Toc507407359"/>
      <w:bookmarkStart w:id="28" w:name="_Toc467987807"/>
      <w:bookmarkStart w:id="29" w:name="_Toc468157520"/>
      <w:bookmarkStart w:id="30" w:name="_Toc467236724"/>
      <w:bookmarkStart w:id="31" w:name="_Toc480010692"/>
      <w:bookmarkStart w:id="32" w:name="_Toc479991566"/>
      <w:bookmarkStart w:id="33" w:name="_Toc458262599"/>
      <w:bookmarkStart w:id="34" w:name="_Toc480020241"/>
      <w:bookmarkStart w:id="35" w:name="_Toc480171863"/>
      <w:bookmarkStart w:id="36" w:name="_Toc480021037"/>
      <w:bookmarkStart w:id="37" w:name="_Toc48207756"/>
      <w:bookmarkStart w:id="38" w:name="_Toc468606013"/>
      <w:r>
        <w:rPr>
          <w:rFonts w:hint="eastAsia" w:ascii="宋体" w:hAnsi="宋体" w:eastAsia="宋体"/>
          <w:color w:val="auto"/>
          <w:sz w:val="24"/>
          <w:szCs w:val="21"/>
          <w:highlight w:val="none"/>
          <w:lang w:val="en-US" w:eastAsia="zh-CN"/>
        </w:rPr>
        <w:t>第一章</w:t>
      </w:r>
      <w:r>
        <w:rPr>
          <w:rFonts w:hint="eastAsia" w:ascii="宋体" w:hAnsi="宋体" w:eastAsia="宋体"/>
          <w:color w:val="auto"/>
          <w:sz w:val="24"/>
          <w:szCs w:val="21"/>
          <w:highlight w:val="none"/>
        </w:rPr>
        <w:t>说  明</w:t>
      </w:r>
      <w:bookmarkEnd w:id="21"/>
      <w:bookmarkEnd w:id="22"/>
      <w:bookmarkEnd w:id="23"/>
      <w:bookmarkEnd w:id="24"/>
      <w:bookmarkEnd w:id="25"/>
      <w:bookmarkEnd w:id="26"/>
      <w:bookmarkEnd w:id="27"/>
    </w:p>
    <w:p>
      <w:pPr>
        <w:pStyle w:val="4"/>
        <w:keepNext w:val="0"/>
        <w:keepLines w:val="0"/>
        <w:numPr>
          <w:ilvl w:val="0"/>
          <w:numId w:val="3"/>
        </w:numPr>
        <w:adjustRightInd/>
        <w:spacing w:before="0" w:after="0" w:line="360" w:lineRule="auto"/>
        <w:rPr>
          <w:rFonts w:hAnsi="宋体"/>
          <w:color w:val="auto"/>
          <w:sz w:val="21"/>
          <w:szCs w:val="21"/>
          <w:highlight w:val="none"/>
        </w:rPr>
      </w:pPr>
      <w:bookmarkStart w:id="39" w:name="_Toc17291"/>
      <w:bookmarkStart w:id="40" w:name="_Toc10228"/>
      <w:bookmarkStart w:id="41" w:name="_Toc475249114"/>
      <w:r>
        <w:rPr>
          <w:rFonts w:hint="eastAsia" w:hAnsi="宋体"/>
          <w:color w:val="auto"/>
          <w:sz w:val="21"/>
          <w:szCs w:val="21"/>
          <w:highlight w:val="none"/>
        </w:rPr>
        <w:t>适用范围</w:t>
      </w:r>
      <w:bookmarkEnd w:id="39"/>
      <w:bookmarkEnd w:id="40"/>
      <w:bookmarkEnd w:id="41"/>
    </w:p>
    <w:p>
      <w:pPr>
        <w:numPr>
          <w:ilvl w:val="1"/>
          <w:numId w:val="4"/>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本磋商文件仅适用于本次采购邀请中所叙述的项目。</w:t>
      </w:r>
    </w:p>
    <w:p>
      <w:pPr>
        <w:jc w:val="left"/>
        <w:rPr>
          <w:rFonts w:ascii="宋体" w:hAnsi="宋体" w:eastAsia="宋体" w:cs="宋体"/>
          <w:color w:val="auto"/>
          <w:sz w:val="21"/>
          <w:szCs w:val="21"/>
          <w:highlight w:val="none"/>
        </w:rPr>
      </w:pPr>
      <w:bookmarkStart w:id="42" w:name="_Toc475249115"/>
    </w:p>
    <w:p>
      <w:pPr>
        <w:pStyle w:val="4"/>
        <w:keepNext w:val="0"/>
        <w:keepLines w:val="0"/>
        <w:numPr>
          <w:ilvl w:val="0"/>
          <w:numId w:val="3"/>
        </w:numPr>
        <w:adjustRightInd/>
        <w:spacing w:before="0" w:after="0" w:line="360" w:lineRule="auto"/>
        <w:rPr>
          <w:rFonts w:hAnsi="宋体"/>
          <w:color w:val="auto"/>
          <w:sz w:val="21"/>
          <w:szCs w:val="21"/>
          <w:highlight w:val="none"/>
        </w:rPr>
      </w:pPr>
      <w:bookmarkStart w:id="43" w:name="_Toc22176"/>
      <w:bookmarkStart w:id="44" w:name="_Toc8868"/>
      <w:r>
        <w:rPr>
          <w:rFonts w:hint="eastAsia" w:hAnsi="宋体"/>
          <w:color w:val="auto"/>
          <w:sz w:val="21"/>
          <w:szCs w:val="21"/>
          <w:highlight w:val="none"/>
        </w:rPr>
        <w:t>定义</w:t>
      </w:r>
      <w:bookmarkEnd w:id="42"/>
      <w:bookmarkEnd w:id="43"/>
      <w:bookmarkEnd w:id="44"/>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是指依法进行政府采购的国家机关、事业单位</w:t>
      </w:r>
      <w:r>
        <w:rPr>
          <w:rFonts w:hint="eastAsia" w:ascii="宋体" w:hAnsi="宋体" w:eastAsia="宋体"/>
          <w:color w:val="auto"/>
          <w:sz w:val="21"/>
          <w:szCs w:val="21"/>
          <w:highlight w:val="none"/>
        </w:rPr>
        <w:t>等</w:t>
      </w:r>
      <w:r>
        <w:rPr>
          <w:rFonts w:ascii="宋体" w:hAnsi="宋体" w:eastAsia="宋体"/>
          <w:color w:val="auto"/>
          <w:sz w:val="21"/>
          <w:szCs w:val="21"/>
          <w:highlight w:val="none"/>
        </w:rPr>
        <w:t>团体组织</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“采购代理机构”是指广东政通招标有限公司。</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“供应商”指根据磋商文件要求进行文件领购并向采购代理机构提交响应文件参与本项目的法人。</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“法人”是依法在国内进行注册并具有民事权利能力和民事行为能力，依法独立享有民事权利和承担民事义务的组织。</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“货物”是指</w:t>
      </w:r>
      <w:r>
        <w:rPr>
          <w:rFonts w:ascii="宋体" w:hAnsi="宋体" w:eastAsia="宋体"/>
          <w:color w:val="auto"/>
          <w:sz w:val="21"/>
          <w:szCs w:val="21"/>
          <w:highlight w:val="none"/>
        </w:rPr>
        <w:t>各种形态和种类的物品，包括原材料、燃料、设备、产品等</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除货物和工程以外的其他政府采购对象</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“工程”是指建设工程，包括建筑物和构筑物的新建、改建、扩建及其相关的装修、拆除、修缮等。</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“语言”是指采购文件的语言为简体中文。</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“日期”是指公历日。</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“时间”是指北京时间。</w:t>
      </w:r>
    </w:p>
    <w:p>
      <w:pPr>
        <w:rPr>
          <w:rFonts w:ascii="宋体" w:hAnsi="宋体" w:eastAsia="宋体" w:cs="宋体"/>
          <w:color w:val="auto"/>
          <w:sz w:val="21"/>
          <w:szCs w:val="21"/>
          <w:highlight w:val="none"/>
        </w:rPr>
      </w:pPr>
      <w:bookmarkStart w:id="45" w:name="_Toc110953831"/>
      <w:bookmarkStart w:id="46" w:name="_Toc6882676"/>
      <w:bookmarkStart w:id="47" w:name="_Toc507407360"/>
      <w:bookmarkStart w:id="48" w:name="_Toc6968688"/>
      <w:bookmarkStart w:id="49" w:name="_Toc102277757"/>
      <w:bookmarkStart w:id="50" w:name="_Toc466786435"/>
    </w:p>
    <w:p>
      <w:pPr>
        <w:pStyle w:val="4"/>
        <w:keepNext w:val="0"/>
        <w:keepLines w:val="0"/>
        <w:numPr>
          <w:ilvl w:val="0"/>
          <w:numId w:val="3"/>
        </w:numPr>
        <w:adjustRightInd/>
        <w:spacing w:before="0" w:after="0" w:line="360" w:lineRule="auto"/>
        <w:rPr>
          <w:rFonts w:hAnsi="宋体"/>
          <w:color w:val="auto"/>
          <w:sz w:val="21"/>
          <w:szCs w:val="21"/>
          <w:highlight w:val="none"/>
        </w:rPr>
      </w:pPr>
      <w:bookmarkStart w:id="51" w:name="_Toc1083"/>
      <w:bookmarkStart w:id="52" w:name="_Toc31412"/>
      <w:r>
        <w:rPr>
          <w:rFonts w:hint="eastAsia" w:hAnsi="宋体"/>
          <w:color w:val="auto"/>
          <w:sz w:val="21"/>
          <w:szCs w:val="21"/>
          <w:highlight w:val="none"/>
        </w:rPr>
        <w:t>适用法律</w:t>
      </w:r>
      <w:bookmarkEnd w:id="45"/>
      <w:bookmarkEnd w:id="51"/>
      <w:bookmarkEnd w:id="52"/>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供应商和采购代理机构均应当遵守《中华人民共和国政府采购法》、《中华人民共和国政府采购法实施条例》、《财政部关于印发&lt;政府采购竞争性磋商采购方式管理暂行办法&gt;的通知》（财库[2014]214号）及相关法律法规。</w:t>
      </w:r>
    </w:p>
    <w:p>
      <w:pPr>
        <w:rPr>
          <w:color w:val="auto"/>
          <w:highlight w:val="none"/>
        </w:rPr>
      </w:pPr>
      <w:bookmarkStart w:id="53" w:name="_Toc110953832"/>
    </w:p>
    <w:p>
      <w:pPr>
        <w:pStyle w:val="4"/>
        <w:keepNext w:val="0"/>
        <w:keepLines w:val="0"/>
        <w:numPr>
          <w:ilvl w:val="0"/>
          <w:numId w:val="3"/>
        </w:numPr>
        <w:adjustRightInd/>
        <w:spacing w:before="0" w:after="0" w:line="360" w:lineRule="auto"/>
        <w:rPr>
          <w:rFonts w:hAnsi="宋体"/>
          <w:color w:val="auto"/>
          <w:sz w:val="21"/>
          <w:szCs w:val="21"/>
          <w:highlight w:val="none"/>
        </w:rPr>
      </w:pPr>
      <w:bookmarkStart w:id="54" w:name="_Toc18833"/>
      <w:bookmarkStart w:id="55" w:name="_Toc15452"/>
      <w:r>
        <w:rPr>
          <w:rFonts w:hint="eastAsia" w:hAnsi="宋体"/>
          <w:color w:val="auto"/>
          <w:sz w:val="21"/>
          <w:szCs w:val="21"/>
          <w:highlight w:val="none"/>
        </w:rPr>
        <w:t>知识产权</w:t>
      </w:r>
      <w:bookmarkEnd w:id="53"/>
      <w:bookmarkEnd w:id="54"/>
      <w:bookmarkEnd w:id="55"/>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采购人享有本项目实施过程中产生的知识成果及知识产权。</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供应商如欲在项目实施过程中采用自有知识成果，需在响应文件中声明，并提供相关知识产权证明文件。使用该知识成果后，供应商需提供开发接口和开发手册等技术文档。</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采购货物为计算机办公设备或含有计算机办公设备时，供应商提供的产品必须是预装正版操作系统软件的计算机产品。</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供应商提供的服务、货物经认定存在侵权行为的，其响应文件无效，并上报相关监管部门。</w:t>
      </w:r>
    </w:p>
    <w:p>
      <w:pPr>
        <w:rPr>
          <w:rFonts w:ascii="宋体" w:hAnsi="宋体" w:eastAsia="宋体" w:cs="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56" w:name="_Toc29484"/>
      <w:bookmarkStart w:id="57" w:name="_Toc5242"/>
      <w:bookmarkStart w:id="58" w:name="_Toc110953833"/>
      <w:r>
        <w:rPr>
          <w:rFonts w:hint="eastAsia" w:hAnsi="宋体"/>
          <w:color w:val="auto"/>
          <w:sz w:val="21"/>
          <w:szCs w:val="21"/>
          <w:highlight w:val="none"/>
        </w:rPr>
        <w:t>关于联合体报价</w:t>
      </w:r>
      <w:bookmarkEnd w:id="56"/>
      <w:bookmarkEnd w:id="57"/>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对接受联合体报价的项目：两个以上的自然人、法人或者其他组织可以组成一个联合体，以一个供应商的身份共同参加政府采购。</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以联合体形式参与项目的供应商在领购磋商文件时，应提供所有联合体组成成员的营业执照复印件，并加盖各联合体组成成员的公章。</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联合体各方均应当符合《政府采购法》第二十二条规定的条件。</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采购人根据采购项目的特殊要求规定供应商特定条件的，联合体各方中至少应当有一方符合采购人规定的特定条件。</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各方之间应当签订联合体协议并在响应文件内提交，明确约定联合体各方承担的工作和相应的责任。联合体各方签订联合体协议后，不得再以自己名义单独在同一项目中报价，也不得组成新的联合体参加同一项目的磋商。</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供应商为联合体的，可以由联合体中的任意一方交纳保证金，其交纳的保证金对联合体各方均具有约束力。</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联合体中有同类资质的供应商按照联合体分工承担相同工作的，应当按照资质等级较低的联合体成员确定资质等级。</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以联合体形式参加政府采购活动，联合体各方均为中小企业的，联合体视同中小企业。其中，联合体各方均为小微企业的，联合体视同小微企业。双方均应提供《中小企业声明函》。</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除联合体协议明确授权盖章单位外，联合体报价时响应文件中所有要求盖章的地方均须加盖联合体所有组成成员的公章，否则该处盖章无效。</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进行评分时，业绩、奖项等的认定和评分根据联合体协议约定的各方承担的工作和相应责任，确定一方打分，不累加打分，若评分项中有明确以哪方为打分主体，则按要求进行评分；评审标准不明确或难以明确以哪一方计算评分情况时，则按主体方情况评分。</w:t>
      </w:r>
    </w:p>
    <w:p>
      <w:pPr>
        <w:bidi w:val="0"/>
        <w:rPr>
          <w:color w:val="auto"/>
          <w:highlight w:val="none"/>
        </w:rPr>
      </w:pPr>
    </w:p>
    <w:bookmarkEnd w:id="58"/>
    <w:p>
      <w:pPr>
        <w:pStyle w:val="4"/>
        <w:keepNext w:val="0"/>
        <w:keepLines w:val="0"/>
        <w:numPr>
          <w:ilvl w:val="0"/>
          <w:numId w:val="3"/>
        </w:numPr>
        <w:adjustRightInd/>
        <w:spacing w:before="0" w:after="0" w:line="360" w:lineRule="auto"/>
        <w:rPr>
          <w:rFonts w:hAnsi="宋体"/>
          <w:color w:val="auto"/>
          <w:sz w:val="21"/>
          <w:szCs w:val="21"/>
          <w:highlight w:val="none"/>
        </w:rPr>
      </w:pPr>
      <w:bookmarkStart w:id="59" w:name="_Toc25157"/>
      <w:bookmarkStart w:id="60" w:name="_Toc2836"/>
      <w:r>
        <w:rPr>
          <w:rFonts w:hint="eastAsia" w:hAnsi="宋体"/>
          <w:color w:val="auto"/>
          <w:sz w:val="21"/>
          <w:szCs w:val="21"/>
          <w:highlight w:val="none"/>
        </w:rPr>
        <w:t>关于分支机构报价</w:t>
      </w:r>
      <w:bookmarkEnd w:id="59"/>
      <w:bookmarkEnd w:id="60"/>
    </w:p>
    <w:p>
      <w:pPr>
        <w:numPr>
          <w:ilvl w:val="1"/>
          <w:numId w:val="3"/>
        </w:numPr>
        <w:spacing w:line="360" w:lineRule="auto"/>
        <w:rPr>
          <w:rFonts w:ascii="宋体" w:hAnsi="宋体" w:eastAsia="宋体" w:cs="宋体"/>
          <w:color w:val="auto"/>
          <w:sz w:val="21"/>
          <w:szCs w:val="21"/>
          <w:highlight w:val="none"/>
        </w:rPr>
      </w:pPr>
      <w:bookmarkStart w:id="61" w:name="_Toc98126220"/>
      <w:bookmarkStart w:id="62" w:name="_Toc98126295"/>
      <w:r>
        <w:rPr>
          <w:rFonts w:hint="eastAsia" w:ascii="宋体" w:hAnsi="宋体" w:eastAsia="宋体" w:cs="宋体"/>
          <w:color w:val="auto"/>
          <w:sz w:val="21"/>
          <w:szCs w:val="21"/>
          <w:highlight w:val="none"/>
        </w:rPr>
        <w:t>对可接受分支机构报价的项目，分支机构报价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61"/>
      <w:bookmarkEnd w:id="62"/>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63" w:name="_Toc16198"/>
      <w:bookmarkStart w:id="64" w:name="_Toc110953834"/>
      <w:bookmarkStart w:id="65" w:name="_Toc18108"/>
      <w:r>
        <w:rPr>
          <w:rFonts w:hint="eastAsia" w:hAnsi="宋体"/>
          <w:color w:val="auto"/>
          <w:sz w:val="21"/>
          <w:szCs w:val="21"/>
          <w:highlight w:val="none"/>
        </w:rPr>
        <w:t>保密及其它注意事项</w:t>
      </w:r>
      <w:bookmarkEnd w:id="63"/>
      <w:bookmarkEnd w:id="64"/>
      <w:bookmarkEnd w:id="65"/>
    </w:p>
    <w:p>
      <w:pPr>
        <w:numPr>
          <w:ilvl w:val="1"/>
          <w:numId w:val="3"/>
        </w:numPr>
        <w:spacing w:line="360" w:lineRule="auto"/>
        <w:rPr>
          <w:rFonts w:ascii="宋体" w:hAnsi="宋体" w:eastAsia="宋体" w:cs="宋体"/>
          <w:color w:val="auto"/>
          <w:sz w:val="21"/>
          <w:szCs w:val="21"/>
          <w:highlight w:val="none"/>
        </w:rPr>
      </w:pPr>
      <w:bookmarkStart w:id="66" w:name="_Toc98126222"/>
      <w:bookmarkStart w:id="67" w:name="_Toc98126297"/>
      <w:r>
        <w:rPr>
          <w:rFonts w:hint="eastAsia" w:ascii="宋体" w:hAnsi="宋体" w:eastAsia="宋体" w:cs="宋体"/>
          <w:color w:val="auto"/>
          <w:sz w:val="21"/>
          <w:szCs w:val="21"/>
          <w:highlight w:val="none"/>
        </w:rPr>
        <w:t>凡参与采购工作的有关人员均应自觉接受有关主管部门的监督，不得向他人透露可能影响公平竞争的有关情况。</w:t>
      </w:r>
      <w:bookmarkEnd w:id="66"/>
      <w:bookmarkEnd w:id="67"/>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开启响应文件后，凡与审查、澄清、评估和比较有关资料以及评审意见等，均不得向供应商及与评审无关的其他人透露。在采购工作结束后，与评审情况有接触的任何人，不得将评审情况扩散出磋商小组人员之外。</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在评审期间，供应商不得向磋商小组成员询问评审情况，不得进行旨在影响评审结果的活动。</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供应商应承担所有与准备和参加报价有关的费用。不论报价的结果如何，采购代理机构和采购人均无义务和责任承担这些费用。</w:t>
      </w:r>
    </w:p>
    <w:p>
      <w:pPr>
        <w:spacing w:line="360" w:lineRule="auto"/>
        <w:ind w:firstLine="420" w:firstLineChars="200"/>
        <w:rPr>
          <w:rFonts w:ascii="宋体" w:hAnsi="宋体" w:eastAsia="宋体" w:cs="宋体"/>
          <w:color w:val="auto"/>
          <w:sz w:val="21"/>
          <w:szCs w:val="21"/>
          <w:highlight w:val="none"/>
        </w:rPr>
      </w:pPr>
    </w:p>
    <w:p>
      <w:pPr>
        <w:pStyle w:val="3"/>
        <w:keepNext w:val="0"/>
        <w:keepLines w:val="0"/>
        <w:spacing w:before="0" w:after="0" w:line="360" w:lineRule="auto"/>
        <w:jc w:val="center"/>
        <w:rPr>
          <w:rFonts w:ascii="宋体" w:hAnsi="宋体" w:eastAsia="宋体"/>
          <w:color w:val="auto"/>
          <w:sz w:val="24"/>
          <w:szCs w:val="21"/>
          <w:highlight w:val="none"/>
        </w:rPr>
      </w:pPr>
      <w:bookmarkStart w:id="68" w:name="_Toc25468"/>
      <w:bookmarkStart w:id="69" w:name="_Toc23588"/>
      <w:r>
        <w:rPr>
          <w:rFonts w:hint="eastAsia" w:ascii="宋体" w:hAnsi="宋体" w:eastAsia="宋体"/>
          <w:color w:val="auto"/>
          <w:sz w:val="24"/>
          <w:szCs w:val="21"/>
          <w:highlight w:val="none"/>
          <w:lang w:val="en-US" w:eastAsia="zh-CN"/>
        </w:rPr>
        <w:t>第二章</w:t>
      </w:r>
      <w:r>
        <w:rPr>
          <w:rFonts w:hint="eastAsia" w:ascii="宋体" w:hAnsi="宋体" w:eastAsia="宋体"/>
          <w:color w:val="auto"/>
          <w:sz w:val="24"/>
          <w:szCs w:val="21"/>
          <w:highlight w:val="none"/>
        </w:rPr>
        <w:t>磋商文件说明</w:t>
      </w:r>
      <w:bookmarkEnd w:id="46"/>
      <w:bookmarkEnd w:id="47"/>
      <w:bookmarkEnd w:id="48"/>
      <w:bookmarkEnd w:id="49"/>
      <w:bookmarkEnd w:id="50"/>
      <w:bookmarkEnd w:id="68"/>
      <w:bookmarkEnd w:id="69"/>
    </w:p>
    <w:p>
      <w:pPr>
        <w:pStyle w:val="4"/>
        <w:keepNext w:val="0"/>
        <w:keepLines w:val="0"/>
        <w:numPr>
          <w:ilvl w:val="0"/>
          <w:numId w:val="3"/>
        </w:numPr>
        <w:adjustRightInd/>
        <w:spacing w:before="0" w:after="0" w:line="360" w:lineRule="auto"/>
        <w:rPr>
          <w:rFonts w:hAnsi="宋体"/>
          <w:color w:val="auto"/>
          <w:sz w:val="21"/>
          <w:szCs w:val="21"/>
          <w:highlight w:val="none"/>
        </w:rPr>
      </w:pPr>
      <w:bookmarkStart w:id="70" w:name="_Toc4511"/>
      <w:bookmarkStart w:id="71" w:name="_Toc110953836"/>
      <w:bookmarkStart w:id="72" w:name="_Toc21439"/>
      <w:bookmarkStart w:id="73" w:name="_Toc507407361"/>
      <w:bookmarkStart w:id="74" w:name="_Toc466786436"/>
      <w:bookmarkStart w:id="75" w:name="_Toc6968689"/>
      <w:bookmarkStart w:id="76" w:name="_Toc102277758"/>
      <w:bookmarkStart w:id="77" w:name="_Toc6882677"/>
      <w:r>
        <w:rPr>
          <w:rFonts w:hint="eastAsia" w:hAnsi="宋体"/>
          <w:color w:val="auto"/>
          <w:sz w:val="21"/>
          <w:szCs w:val="21"/>
          <w:highlight w:val="none"/>
        </w:rPr>
        <w:t>采购文件构成</w:t>
      </w:r>
      <w:bookmarkEnd w:id="70"/>
      <w:bookmarkEnd w:id="71"/>
      <w:bookmarkEnd w:id="72"/>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采购文件由下列文件以及在采购过程中发出的澄清更正文件组成：</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磋商邀请函；</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磋商资料表；</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供应商须知；</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用户需求；</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合同书格式；</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响应文件格式；</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在采购过程中由集中采购机构发出的澄清更正文件等。</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采购文件的澄清更正：</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机构对采购文件进行必要的澄清更正的，澄清或者修改的内容可能影响响应文件编制的，于提交首次响应文件截止之日5日前在指定媒体上发布公告，并通知所有报名及购买采购文件的供应商，该澄清更正的内容为采购文件的组成部分。</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采购期间，供应商有义务上网查看，公告一经上网发布，即视为送达。因供应商未及时上网查看而造成的所有后果，由供应商自行承担。</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根据采购的具体情况，采购代理机构可延长响应文件递交截止时间和磋商时间，并将变更时间在指定媒体上发布公告及通知所有报名及购买采购文件的供应商。</w:t>
      </w:r>
    </w:p>
    <w:p>
      <w:pPr>
        <w:pStyle w:val="7"/>
        <w:rPr>
          <w:rFonts w:ascii="宋体" w:hAnsi="宋体" w:eastAsia="宋体" w:cs="宋体"/>
          <w:color w:val="auto"/>
          <w:sz w:val="21"/>
          <w:szCs w:val="21"/>
          <w:highlight w:val="none"/>
        </w:rPr>
      </w:pPr>
    </w:p>
    <w:bookmarkEnd w:id="73"/>
    <w:bookmarkEnd w:id="74"/>
    <w:bookmarkEnd w:id="75"/>
    <w:bookmarkEnd w:id="76"/>
    <w:bookmarkEnd w:id="77"/>
    <w:p>
      <w:pPr>
        <w:pStyle w:val="3"/>
        <w:keepNext w:val="0"/>
        <w:keepLines w:val="0"/>
        <w:spacing w:before="0" w:after="0" w:line="360" w:lineRule="auto"/>
        <w:jc w:val="center"/>
        <w:rPr>
          <w:rFonts w:ascii="宋体" w:hAnsi="宋体" w:eastAsia="宋体"/>
          <w:color w:val="auto"/>
          <w:sz w:val="24"/>
          <w:szCs w:val="21"/>
          <w:highlight w:val="none"/>
        </w:rPr>
      </w:pPr>
      <w:bookmarkStart w:id="78" w:name="_Toc110953838"/>
      <w:bookmarkStart w:id="79" w:name="_Toc158"/>
      <w:bookmarkStart w:id="80" w:name="_Toc25500"/>
      <w:bookmarkStart w:id="81" w:name="_Toc507407362"/>
      <w:bookmarkStart w:id="82" w:name="_Toc6882678"/>
      <w:bookmarkStart w:id="83" w:name="_Toc466786437"/>
      <w:bookmarkStart w:id="84" w:name="_Toc6968690"/>
      <w:bookmarkStart w:id="85" w:name="_Toc102277759"/>
      <w:r>
        <w:rPr>
          <w:rFonts w:hint="eastAsia" w:ascii="宋体" w:hAnsi="宋体" w:eastAsia="宋体"/>
          <w:color w:val="auto"/>
          <w:sz w:val="24"/>
          <w:szCs w:val="21"/>
          <w:highlight w:val="none"/>
          <w:lang w:val="en-US" w:eastAsia="zh-CN"/>
        </w:rPr>
        <w:t>第三章</w:t>
      </w:r>
      <w:r>
        <w:rPr>
          <w:rFonts w:hint="eastAsia" w:ascii="宋体" w:hAnsi="宋体" w:eastAsia="宋体"/>
          <w:color w:val="auto"/>
          <w:sz w:val="24"/>
          <w:szCs w:val="21"/>
          <w:highlight w:val="none"/>
        </w:rPr>
        <w:t>响应文件的</w:t>
      </w:r>
      <w:bookmarkEnd w:id="78"/>
      <w:r>
        <w:rPr>
          <w:rFonts w:hint="eastAsia" w:ascii="宋体" w:hAnsi="宋体" w:eastAsia="宋体"/>
          <w:color w:val="auto"/>
          <w:sz w:val="24"/>
          <w:szCs w:val="21"/>
          <w:highlight w:val="none"/>
        </w:rPr>
        <w:t>编制</w:t>
      </w:r>
      <w:bookmarkEnd w:id="79"/>
      <w:bookmarkEnd w:id="80"/>
    </w:p>
    <w:p>
      <w:pPr>
        <w:pStyle w:val="4"/>
        <w:keepNext w:val="0"/>
        <w:keepLines w:val="0"/>
        <w:numPr>
          <w:ilvl w:val="0"/>
          <w:numId w:val="3"/>
        </w:numPr>
        <w:adjustRightInd/>
        <w:spacing w:before="0" w:after="0" w:line="360" w:lineRule="auto"/>
        <w:rPr>
          <w:rFonts w:hAnsi="宋体"/>
          <w:color w:val="auto"/>
          <w:sz w:val="21"/>
          <w:szCs w:val="21"/>
          <w:highlight w:val="none"/>
        </w:rPr>
      </w:pPr>
      <w:bookmarkStart w:id="86" w:name="_Toc4681"/>
      <w:bookmarkStart w:id="87" w:name="_Toc19833"/>
      <w:bookmarkStart w:id="88" w:name="_Toc110953839"/>
      <w:r>
        <w:rPr>
          <w:rFonts w:hint="eastAsia" w:hAnsi="宋体"/>
          <w:color w:val="auto"/>
          <w:sz w:val="21"/>
          <w:szCs w:val="21"/>
          <w:highlight w:val="none"/>
        </w:rPr>
        <w:t>响应文件的语言及度量衡单位</w:t>
      </w:r>
      <w:bookmarkEnd w:id="86"/>
      <w:bookmarkEnd w:id="87"/>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提交的响应文件以及供应商与集中采购机构就有关报价的所有来往函电均应使用中文。供应商提交的支持文件或印刷的资料可以用另一种语言，但相应内容应附有中文翻译本，两种语言不一致时以中文翻译本为准</w:t>
      </w:r>
      <w:r>
        <w:rPr>
          <w:rFonts w:hint="eastAsia" w:ascii="宋体" w:hAnsi="宋体" w:eastAsia="宋体"/>
          <w:color w:val="auto"/>
          <w:sz w:val="21"/>
          <w:szCs w:val="21"/>
          <w:highlight w:val="none"/>
        </w:rPr>
        <w:t>（中文译本应由翻译机构盖章或者翻译人员签名确认，否则按无效处理）</w:t>
      </w:r>
      <w:r>
        <w:rPr>
          <w:rFonts w:hint="eastAsia" w:ascii="宋体" w:hAnsi="宋体" w:eastAsia="宋体"/>
          <w:bCs/>
          <w:color w:val="auto"/>
          <w:sz w:val="21"/>
          <w:szCs w:val="21"/>
          <w:highlight w:val="none"/>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除非采购文件在技术规格中另有规定，供应商在采购文件中及其与采购代理机构和采购人所有往来文件中的所有计量单位均应采用中华人民共和国法定计量单位。</w:t>
      </w:r>
    </w:p>
    <w:p>
      <w:pPr>
        <w:bidi w:val="0"/>
        <w:rPr>
          <w:color w:val="auto"/>
          <w:highlight w:val="none"/>
        </w:rPr>
      </w:pPr>
    </w:p>
    <w:bookmarkEnd w:id="88"/>
    <w:p>
      <w:pPr>
        <w:pStyle w:val="4"/>
        <w:keepNext w:val="0"/>
        <w:keepLines w:val="0"/>
        <w:numPr>
          <w:ilvl w:val="0"/>
          <w:numId w:val="3"/>
        </w:numPr>
        <w:adjustRightInd/>
        <w:spacing w:before="0" w:after="0" w:line="360" w:lineRule="auto"/>
        <w:rPr>
          <w:rFonts w:hAnsi="宋体"/>
          <w:color w:val="auto"/>
          <w:sz w:val="21"/>
          <w:szCs w:val="21"/>
          <w:highlight w:val="none"/>
        </w:rPr>
      </w:pPr>
      <w:bookmarkStart w:id="89" w:name="_Toc18228"/>
      <w:bookmarkStart w:id="90" w:name="_Toc25730"/>
      <w:r>
        <w:rPr>
          <w:rFonts w:hint="eastAsia" w:hAnsi="宋体"/>
          <w:color w:val="auto"/>
          <w:sz w:val="21"/>
          <w:szCs w:val="21"/>
          <w:highlight w:val="none"/>
        </w:rPr>
        <w:t>响应文件编制</w:t>
      </w:r>
      <w:bookmarkEnd w:id="89"/>
      <w:bookmarkEnd w:id="90"/>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认真阅读、并充分理解采购文件的全部内容（包括所有的补充、修改内容、重要事项、格式、条款和技术规范、参数及要求等），并应完整、真实、准确的填写采购文件中规定的所有内容。供应商没有按照采购文件要求提交全部资料，或者报价没有对采购文件在各方面都作出实质性响应是供应商的风险，有可能导致其报价被拒绝，或被认定为无效响应或被确定为报价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供应商必须对响应文件所提供的全部资料的真实性承担法律责任，并无条件接受采购人或采购代理机构及政府采购监督管理部门等对其中任何资料进行核实的要求。</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如果因为供应商响应文件填报的内容不详，或没有提供采购文件中所要求的全部资料及数据，由此造成的后果，其责任由供应商承担。</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为方便磋商小组进行供应商授权代表人身份审查及供应商报价审查，供应商应将首次报价一览表及授权委托书单独密封提交，并在信封上标明“报价文件”字样。供应商的法定代表人参加磋商时，须开具法定代表人证明书，按上述要求一并密封提交。“报价文件”份数及签章等要求与响应文件正本相同（1份）。</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报价：</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供应商应按响应文件的</w:t>
      </w:r>
      <w:r>
        <w:rPr>
          <w:rFonts w:hint="eastAsia" w:ascii="宋体" w:hAnsi="宋体" w:eastAsia="宋体"/>
          <w:color w:val="auto"/>
          <w:sz w:val="21"/>
          <w:szCs w:val="21"/>
          <w:highlight w:val="none"/>
        </w:rPr>
        <w:t>用户需求中的要求进行一次报价</w:t>
      </w:r>
      <w:r>
        <w:rPr>
          <w:rFonts w:hint="eastAsia" w:ascii="宋体" w:hAnsi="宋体" w:eastAsia="宋体"/>
          <w:bCs/>
          <w:color w:val="auto"/>
          <w:sz w:val="21"/>
          <w:szCs w:val="21"/>
          <w:highlight w:val="none"/>
        </w:rPr>
        <w:t>；</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供应商所提供的货物和服务均应以人民币</w:t>
      </w:r>
      <w:r>
        <w:rPr>
          <w:rFonts w:hint="eastAsia" w:ascii="宋体" w:hAnsi="宋体" w:eastAsia="宋体"/>
          <w:color w:val="auto"/>
          <w:sz w:val="21"/>
          <w:szCs w:val="21"/>
          <w:highlight w:val="none"/>
        </w:rPr>
        <w:t>（或相关费率）</w:t>
      </w:r>
      <w:r>
        <w:rPr>
          <w:rFonts w:hint="eastAsia" w:ascii="宋体" w:hAnsi="宋体" w:eastAsia="宋体"/>
          <w:bCs/>
          <w:color w:val="auto"/>
          <w:sz w:val="21"/>
          <w:szCs w:val="21"/>
          <w:highlight w:val="none"/>
        </w:rPr>
        <w:t>报价（具体报价要求详见用户需求）；</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报价应包含完成本次采购所有服务内容的费用，包含各种税务费及合同实施过程中的全部费用；</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经磋商后，供应商所报的最后磋商报价在合同执行过程中是固定不变的，不得以任何理由予以变更；</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供应商只能就单个项目提供唯一的方案和报价，不接受选择性的方案和报价，方案或报价不是唯一的响应文件作无效处理；</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最终报价文件为供应商响应文件组成的一部分，其报价有效期应与响应文件有效期保持一致；</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磋商小组认为供应商的报价明显低于其他通过初审的供应商的报价，有可能影响产品质量或者不能诚信履约的，应当要求其在磋商现场合理的时间内提供书面说明，必要时提交相关证明材料；供应商不能证明其报价合理性的，磋商小组应当将其作为无效报价处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bCs/>
          <w:color w:val="auto"/>
          <w:sz w:val="21"/>
          <w:szCs w:val="21"/>
          <w:highlight w:val="none"/>
        </w:rPr>
        <w:t>供应商名称与供应商公章不一致，若供应商名称已进行变更，应在响应文件中提供相应的证明材料并加盖公章，否则响应文件无效。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响应文件密封、标记及内容与本项目采购信息不符，导致无法分辨所参与项目为本项目的，响应文件无效。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除供应商对错处作必要修改外，响应文件中不允许涂改或改写。任何行间插字、涂改和增删，必须由供应商的法定代表人或委托代理人在修改处签字或加盖公章才有效，否则其该处内容无效。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响应文件的签署：未按采购文件要求或未按响应文件所要求格式对响应文件进行签署授权的，其报价无效。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电报、电话、传真、电子邮件形式的响应文件概不接受。</w:t>
      </w:r>
    </w:p>
    <w:p>
      <w:pPr>
        <w:spacing w:line="360" w:lineRule="auto"/>
        <w:rPr>
          <w:rFonts w:ascii="宋体" w:hAnsi="宋体" w:eastAsia="宋体"/>
          <w:bCs/>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91" w:name="_Toc26897"/>
      <w:bookmarkStart w:id="92" w:name="_Toc110953840"/>
      <w:bookmarkStart w:id="93" w:name="_Toc11910"/>
      <w:r>
        <w:rPr>
          <w:rFonts w:hint="eastAsia" w:hAnsi="宋体"/>
          <w:color w:val="auto"/>
          <w:sz w:val="21"/>
          <w:szCs w:val="21"/>
          <w:highlight w:val="none"/>
        </w:rPr>
        <w:t>响应文件的内容</w:t>
      </w:r>
      <w:bookmarkEnd w:id="91"/>
      <w:bookmarkEnd w:id="92"/>
      <w:bookmarkEnd w:id="93"/>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证明供应商合格和资格的文件。</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响应文件格式中要求必须提供的表格。</w:t>
      </w:r>
    </w:p>
    <w:p>
      <w:pPr>
        <w:spacing w:line="360" w:lineRule="auto"/>
        <w:rPr>
          <w:rFonts w:ascii="宋体" w:hAnsi="宋体" w:eastAsia="宋体" w:cs="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94" w:name="_Toc1662"/>
      <w:bookmarkStart w:id="95" w:name="_Toc110953841"/>
      <w:bookmarkStart w:id="96" w:name="_Toc15387"/>
      <w:r>
        <w:rPr>
          <w:rFonts w:hint="eastAsia" w:hAnsi="宋体"/>
          <w:color w:val="auto"/>
          <w:sz w:val="21"/>
          <w:szCs w:val="21"/>
          <w:highlight w:val="none"/>
        </w:rPr>
        <w:t>响应文件格式</w:t>
      </w:r>
      <w:bookmarkEnd w:id="94"/>
      <w:bookmarkEnd w:id="95"/>
      <w:bookmarkEnd w:id="96"/>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供应商应将响应文件装订成册，并制作“响应文件目录”。响应文件格式中要求必须提交的文件或表格，各供应商可以根据实际情况增加内容，但不得擅自减少有关内容。响应文件的完整性是评审的内容之一。</w:t>
      </w:r>
    </w:p>
    <w:p>
      <w:pPr>
        <w:rPr>
          <w:rFonts w:ascii="宋体" w:hAnsi="宋体" w:eastAsia="宋体" w:cs="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97" w:name="_Toc21656"/>
      <w:bookmarkStart w:id="98" w:name="_Toc1898"/>
      <w:r>
        <w:rPr>
          <w:rFonts w:hint="eastAsia" w:hAnsi="宋体"/>
          <w:color w:val="auto"/>
          <w:sz w:val="21"/>
          <w:szCs w:val="21"/>
          <w:highlight w:val="none"/>
        </w:rPr>
        <w:t>磋商保证金</w:t>
      </w:r>
      <w:bookmarkEnd w:id="97"/>
      <w:bookmarkEnd w:id="98"/>
      <w:r>
        <w:rPr>
          <w:rFonts w:hint="eastAsia" w:hAnsi="宋体"/>
          <w:color w:val="auto"/>
          <w:sz w:val="21"/>
          <w:szCs w:val="21"/>
          <w:highlight w:val="none"/>
          <w:lang w:eastAsia="zh-CN"/>
        </w:rPr>
        <w:t>（</w:t>
      </w:r>
      <w:r>
        <w:rPr>
          <w:rFonts w:hint="eastAsia" w:ascii="宋体" w:hAnsi="宋体"/>
          <w:b/>
          <w:color w:val="auto"/>
          <w:sz w:val="21"/>
          <w:szCs w:val="21"/>
          <w:highlight w:val="none"/>
          <w:lang w:val="en-US" w:eastAsia="zh-CN"/>
        </w:rPr>
        <w:t>本项目不需提供</w:t>
      </w:r>
      <w:r>
        <w:rPr>
          <w:rFonts w:hint="eastAsia" w:hAnsi="宋体"/>
          <w:color w:val="auto"/>
          <w:sz w:val="21"/>
          <w:szCs w:val="21"/>
          <w:highlight w:val="none"/>
        </w:rPr>
        <w:t>磋商保证金</w:t>
      </w:r>
      <w:r>
        <w:rPr>
          <w:rFonts w:hint="eastAsia" w:hAnsi="宋体"/>
          <w:color w:val="auto"/>
          <w:sz w:val="21"/>
          <w:szCs w:val="21"/>
          <w:highlight w:val="none"/>
          <w:lang w:eastAsia="zh-CN"/>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color w:val="auto"/>
          <w:sz w:val="21"/>
          <w:szCs w:val="21"/>
          <w:highlight w:val="none"/>
        </w:rPr>
        <w:t>磋商保证金金额与采购文件要求金额保持一致（详见磋商资料表）。</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供应商应按磋商资料表中规定数额及法律规定的时间按相应包号保证金金额要求一次性提交磋商保证金，以多次汇入达到采购文件要求金额的磋商保证金无效。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磋商保证金有效期与响应文件有效期保持一致。</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缴纳磋商保证金的供应商与参与本项目的供应商名称必须一致，非参与本项目的供应商缴纳的磋商保证金无效。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采用银行转账、电汇方式提交的,付至采购代理机构指定账户上。 (详见磋商资料表)</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担保是指由担保机构为供应商交纳磋商保证金向采购人或者采购代理机构提供的保证担保。供应商在响应有效期内撤回响应文件或成交后不签订政府采购合同的，由担保机构按照担保函的约定履行支付磋商保证金的责任。</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采用担保函提交的，应符合下列规定：</w:t>
      </w:r>
    </w:p>
    <w:p>
      <w:pPr>
        <w:pStyle w:val="7"/>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担保函有效期应与响应文件有效期一致；</w:t>
      </w:r>
    </w:p>
    <w:p>
      <w:pPr>
        <w:pStyle w:val="7"/>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担保金额应与本项目的磋商保证金一致；</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保证金不接受现金方式（包括以存现方式）提交，未按要求提交磋商保证金的供应商其响应文件作无效处理。</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未成交的供应商保证金在采购结果公示发出后5个工作日内退还，成交供应商的保证金在采购合同签订后5个工作日内退还。</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为方便退还未成交的供应商保证金，供应商应制作《磋商保证金汇入情况说明》随响应文件一并递交。</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有下列情形之一的，磋商保证金不予退还：</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供应商在提交响应文件截止时间后撤回响应文件的；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供应商在响应文件中提供虚假材料的；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除因不可抗力或磋商文件（本文件）、询价通知书（本文件）认可的情形以外，成交供应商不与采购人签订合同的；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供应商与采购人、其他供应商或者采购代理机构恶意串通的；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采购文件规定的其他情形。</w:t>
      </w:r>
    </w:p>
    <w:p>
      <w:pPr>
        <w:spacing w:line="480" w:lineRule="exact"/>
        <w:ind w:firstLine="480" w:firstLineChars="200"/>
        <w:rPr>
          <w:rFonts w:ascii="宋体" w:hAnsi="宋体" w:eastAsia="宋体"/>
          <w:color w:val="auto"/>
          <w:sz w:val="24"/>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99" w:name="_Toc25734"/>
      <w:bookmarkStart w:id="100" w:name="_Toc458262615"/>
      <w:bookmarkStart w:id="101" w:name="_Toc480021054"/>
      <w:bookmarkStart w:id="102" w:name="_Toc480010709"/>
      <w:bookmarkStart w:id="103" w:name="_Toc468606030"/>
      <w:bookmarkStart w:id="104" w:name="_Toc503758471"/>
      <w:bookmarkStart w:id="105" w:name="_Toc467987824"/>
      <w:bookmarkStart w:id="106" w:name="_Toc467236741"/>
      <w:bookmarkStart w:id="107" w:name="_Toc480171880"/>
      <w:bookmarkStart w:id="108" w:name="_Toc468157537"/>
      <w:bookmarkStart w:id="109" w:name="_Toc10456"/>
      <w:bookmarkStart w:id="110" w:name="_Toc480020258"/>
      <w:bookmarkStart w:id="111" w:name="_Toc110953842"/>
      <w:bookmarkStart w:id="112" w:name="_Toc479991583"/>
      <w:bookmarkStart w:id="113" w:name="_Toc454701382"/>
      <w:r>
        <w:rPr>
          <w:rFonts w:hint="eastAsia" w:hAnsi="宋体"/>
          <w:color w:val="auto"/>
          <w:sz w:val="21"/>
          <w:szCs w:val="21"/>
          <w:highlight w:val="none"/>
        </w:rPr>
        <w:t>★报价（响应文件）有效期</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响应文件从开启响应文件之日起，报价（响应文件）有效期为</w:t>
      </w:r>
      <w:r>
        <w:rPr>
          <w:rFonts w:hint="eastAsia" w:ascii="宋体" w:hAnsi="宋体" w:eastAsia="宋体"/>
          <w:bCs/>
          <w:color w:val="auto"/>
          <w:sz w:val="21"/>
          <w:szCs w:val="21"/>
          <w:highlight w:val="none"/>
          <w:lang w:eastAsia="zh-CN"/>
        </w:rPr>
        <w:t>90个日历日</w:t>
      </w:r>
      <w:r>
        <w:rPr>
          <w:rFonts w:hint="eastAsia" w:ascii="宋体" w:hAnsi="宋体" w:eastAsia="宋体"/>
          <w:bCs/>
          <w:color w:val="auto"/>
          <w:sz w:val="21"/>
          <w:szCs w:val="21"/>
          <w:highlight w:val="none"/>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特殊情况下，采购代理机构可于响应有效期期满之前，要求供应商同意延长响应有效期，要求与答复均应为书面形式。对于同意该要求的供应商，既不要求也不允许其修改响应文件。</w:t>
      </w:r>
    </w:p>
    <w:p>
      <w:pPr>
        <w:pStyle w:val="7"/>
        <w:rPr>
          <w:rFonts w:ascii="宋体" w:hAnsi="宋体" w:eastAsia="宋体" w:cs="宋体"/>
          <w:color w:val="auto"/>
          <w:sz w:val="21"/>
          <w:szCs w:val="21"/>
          <w:highlight w:val="none"/>
        </w:rPr>
      </w:pPr>
    </w:p>
    <w:bookmarkEnd w:id="81"/>
    <w:bookmarkEnd w:id="82"/>
    <w:bookmarkEnd w:id="83"/>
    <w:bookmarkEnd w:id="84"/>
    <w:bookmarkEnd w:id="85"/>
    <w:p>
      <w:pPr>
        <w:pStyle w:val="3"/>
        <w:keepNext w:val="0"/>
        <w:keepLines w:val="0"/>
        <w:spacing w:before="0" w:after="0" w:line="360" w:lineRule="auto"/>
        <w:jc w:val="center"/>
        <w:rPr>
          <w:rFonts w:ascii="宋体" w:hAnsi="宋体" w:eastAsia="宋体"/>
          <w:color w:val="auto"/>
          <w:sz w:val="24"/>
          <w:szCs w:val="21"/>
          <w:highlight w:val="none"/>
        </w:rPr>
      </w:pPr>
      <w:bookmarkStart w:id="114" w:name="_Toc32392"/>
      <w:bookmarkStart w:id="115" w:name="_Toc110953843"/>
      <w:bookmarkStart w:id="116" w:name="_Toc7006"/>
      <w:bookmarkStart w:id="117" w:name="_Toc102277760"/>
      <w:bookmarkStart w:id="118" w:name="_Toc507407363"/>
      <w:bookmarkStart w:id="119" w:name="_Toc466786438"/>
      <w:bookmarkStart w:id="120" w:name="_Toc6968691"/>
      <w:bookmarkStart w:id="121" w:name="_Toc6882679"/>
      <w:r>
        <w:rPr>
          <w:rFonts w:hint="eastAsia" w:ascii="宋体" w:hAnsi="宋体" w:eastAsia="宋体"/>
          <w:color w:val="auto"/>
          <w:sz w:val="24"/>
          <w:szCs w:val="21"/>
          <w:highlight w:val="none"/>
          <w:lang w:val="en-US" w:eastAsia="zh-CN"/>
        </w:rPr>
        <w:t>第四章</w:t>
      </w:r>
      <w:r>
        <w:rPr>
          <w:rFonts w:hint="eastAsia" w:ascii="宋体" w:hAnsi="宋体" w:eastAsia="宋体"/>
          <w:color w:val="auto"/>
          <w:sz w:val="24"/>
          <w:szCs w:val="21"/>
          <w:highlight w:val="none"/>
        </w:rPr>
        <w:t>响应文件的递交</w:t>
      </w:r>
      <w:bookmarkEnd w:id="114"/>
      <w:bookmarkEnd w:id="115"/>
      <w:bookmarkEnd w:id="116"/>
    </w:p>
    <w:p>
      <w:pPr>
        <w:pStyle w:val="4"/>
        <w:keepNext w:val="0"/>
        <w:keepLines w:val="0"/>
        <w:numPr>
          <w:ilvl w:val="0"/>
          <w:numId w:val="3"/>
        </w:numPr>
        <w:adjustRightInd/>
        <w:spacing w:before="0" w:after="0" w:line="360" w:lineRule="auto"/>
        <w:rPr>
          <w:rFonts w:hAnsi="宋体"/>
          <w:color w:val="auto"/>
          <w:sz w:val="21"/>
          <w:szCs w:val="21"/>
          <w:highlight w:val="none"/>
        </w:rPr>
      </w:pPr>
      <w:bookmarkStart w:id="122" w:name="_Toc110953844"/>
      <w:bookmarkStart w:id="123" w:name="_Toc13611"/>
      <w:bookmarkStart w:id="124" w:name="_Toc4400"/>
      <w:r>
        <w:rPr>
          <w:rFonts w:hint="eastAsia" w:hAnsi="宋体"/>
          <w:color w:val="auto"/>
          <w:sz w:val="21"/>
          <w:szCs w:val="21"/>
          <w:highlight w:val="none"/>
        </w:rPr>
        <w:t>响应文件的密封和标记</w:t>
      </w:r>
      <w:bookmarkEnd w:id="122"/>
      <w:bookmarkEnd w:id="123"/>
      <w:bookmarkEnd w:id="124"/>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供应商应当对响应文件进行装订，价格文件、商务文件、技术文件可</w:t>
      </w:r>
      <w:r>
        <w:rPr>
          <w:rFonts w:hint="eastAsia" w:ascii="宋体" w:hAnsi="宋体" w:eastAsia="宋体"/>
          <w:bCs/>
          <w:color w:val="auto"/>
          <w:sz w:val="21"/>
          <w:szCs w:val="21"/>
          <w:highlight w:val="none"/>
          <w:lang w:val="en-US" w:eastAsia="zh-CN"/>
        </w:rPr>
        <w:t>合装订</w:t>
      </w:r>
      <w:r>
        <w:rPr>
          <w:rFonts w:hint="eastAsia" w:ascii="宋体" w:hAnsi="宋体" w:eastAsia="宋体"/>
          <w:bCs/>
          <w:color w:val="auto"/>
          <w:sz w:val="21"/>
          <w:szCs w:val="21"/>
          <w:highlight w:val="none"/>
        </w:rPr>
        <w:t>为一册，也可根据自身需要分册</w:t>
      </w:r>
      <w:r>
        <w:rPr>
          <w:rFonts w:hint="eastAsia" w:ascii="宋体" w:hAnsi="宋体" w:eastAsia="宋体"/>
          <w:bCs/>
          <w:color w:val="auto"/>
          <w:sz w:val="21"/>
          <w:szCs w:val="21"/>
          <w:highlight w:val="none"/>
          <w:lang w:val="en-US" w:eastAsia="zh-CN"/>
        </w:rPr>
        <w:t>装订，</w:t>
      </w:r>
      <w:r>
        <w:rPr>
          <w:rFonts w:hint="eastAsia" w:ascii="宋体" w:hAnsi="宋体" w:eastAsia="宋体"/>
          <w:bCs/>
          <w:color w:val="auto"/>
          <w:sz w:val="21"/>
          <w:szCs w:val="21"/>
          <w:highlight w:val="none"/>
        </w:rPr>
        <w:t>对未经装订的响应文件可能发生的文件散落或缺损，由此产生的后果由供应商承担。</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正本均须用不褪色墨水书写或打印。响应文件的副本可采用响应文件的正本复印件，每套响应文件应当标明“正本”、“副本”的字样。响应文件的【正本】及所有【副本】的封面及骑缝均须加盖供应商公章（文件每页盖章等同于盖骑缝章）。若正本与副本不符，以正本为准。</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联合体响应文件的【正本】及【副本】的封面及骑缝均须加盖所有联合体组成成员的公章。（文件每页盖章等同于盖骑缝章）</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供应商可将响应文件正本和所有的副本分开密封装在单独的信封中，且在信封上标明“正本”“副本”字样。然后再将所有信封封装在一个外层信封中。</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电子文件内容包括：由供应商自行制作的与正本文件一致的所有文件。</w:t>
      </w:r>
      <w:r>
        <w:rPr>
          <w:rFonts w:ascii="宋体" w:hAnsi="宋体" w:eastAsia="宋体"/>
          <w:color w:val="auto"/>
          <w:sz w:val="21"/>
          <w:szCs w:val="21"/>
          <w:highlight w:val="none"/>
        </w:rPr>
        <w:t>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，与正本密封包装，随正本提交。</w:t>
      </w:r>
      <w:r>
        <w:rPr>
          <w:rFonts w:hint="eastAsia" w:ascii="宋体" w:hAnsi="宋体" w:eastAsia="宋体"/>
          <w:bCs/>
          <w:color w:val="auto"/>
          <w:sz w:val="21"/>
          <w:szCs w:val="21"/>
          <w:highlight w:val="none"/>
        </w:rPr>
        <w:t>电报、电话、传真、电子邮件形式的电子响应文件概不接受。</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color w:val="auto"/>
          <w:sz w:val="21"/>
          <w:szCs w:val="21"/>
          <w:highlight w:val="none"/>
        </w:rPr>
        <w:t>所有的信封均应注明：</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收件人：广东政通招标有限公司</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供应商名称：</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25" w:name="_Toc110953845"/>
      <w:bookmarkStart w:id="126" w:name="_Toc5658"/>
      <w:bookmarkStart w:id="127" w:name="_Toc6425"/>
      <w:r>
        <w:rPr>
          <w:rFonts w:hint="eastAsia" w:hAnsi="宋体"/>
          <w:color w:val="auto"/>
          <w:sz w:val="21"/>
          <w:szCs w:val="21"/>
          <w:highlight w:val="none"/>
        </w:rPr>
        <w:t>响应文件的递交</w:t>
      </w:r>
      <w:bookmarkEnd w:id="125"/>
      <w:bookmarkEnd w:id="126"/>
      <w:bookmarkEnd w:id="12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所有经密封的响应文件及单独密封的报价文件都必须在响应截止时间之前送至采购代理机构。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报价文件作为响应文件组成的一部分，采购文件所规定的初审事项适用于报价文件。</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采用透明包装进行密封或未进行密封的响应文件；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密封破损导致响应文件内容直接或间接泄露的响应文件；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密封信封上项目编号错误的响应文件；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未进行项目报名的供应商（以采购代理机构报名表及报名发票为准）递交的响应文件；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项目名称出现严重歧义或未标注所参与项目信息导致无法分辨所参与项目为本项目的响应文件；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未递交磋商保证金供应商递交的响应文件；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采用传真、电传的响应文件；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多个包号的一并密封的响应文件；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迟交的响应文件；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磋商文件规定的其他情形。</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采购代理机构对所有响应文件的误投或提前启封概不负责。</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供应商同时参加几个包磋商时必须按采购文件要求按包号分别制作响应文件，分别密封递交。</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递交的响应文件中所提供的通讯方式应保持联络畅通，因联系不上而导致的所有后果由供应商自行承担。</w:t>
      </w:r>
    </w:p>
    <w:p>
      <w:pPr>
        <w:bidi w:val="0"/>
        <w:rPr>
          <w:color w:val="auto"/>
          <w:highlight w:val="none"/>
        </w:rPr>
      </w:pPr>
    </w:p>
    <w:p>
      <w:pPr>
        <w:pStyle w:val="4"/>
        <w:keepNext w:val="0"/>
        <w:keepLines w:val="0"/>
        <w:numPr>
          <w:ilvl w:val="0"/>
          <w:numId w:val="3"/>
        </w:numPr>
        <w:adjustRightInd/>
        <w:spacing w:before="0" w:after="0" w:line="360" w:lineRule="auto"/>
        <w:rPr>
          <w:rFonts w:hAnsi="宋体" w:cs="宋体"/>
          <w:color w:val="auto"/>
          <w:sz w:val="21"/>
          <w:szCs w:val="21"/>
          <w:highlight w:val="none"/>
        </w:rPr>
      </w:pPr>
      <w:bookmarkStart w:id="128" w:name="_Toc23533"/>
      <w:bookmarkStart w:id="129" w:name="_Toc8440"/>
      <w:r>
        <w:rPr>
          <w:rFonts w:hint="eastAsia" w:hAnsi="宋体"/>
          <w:color w:val="auto"/>
          <w:sz w:val="21"/>
          <w:szCs w:val="21"/>
          <w:highlight w:val="none"/>
        </w:rPr>
        <w:t>样品（如需提交）</w:t>
      </w:r>
      <w:bookmarkEnd w:id="128"/>
      <w:bookmarkEnd w:id="129"/>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如有必要，采购代理机构可以要求供应商提供本服务项目涉及的部分设备或产品样品，供应商在磋商时应提交《样品清单》。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为方便评审，供应商在提供样品时，应在所提供的样品表面显著位置标注供应商的名称、包号、样品名称、采购文件规定的服务或货物编号。</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样品作为响应文件的一部分，除非另有说明，成交单位的样品将作为履约验收标准的参考不再退还，未成交单位须在采购结果公示发布后五个工作日内，前往采购代理机构领取样品，逾期不领，采购代理机构将不承担样品的保管责任，由此引发的样品丢失、毁损，采购代理机构不予负责。</w:t>
      </w:r>
    </w:p>
    <w:p>
      <w:pPr>
        <w:spacing w:line="360" w:lineRule="auto"/>
        <w:rPr>
          <w:rFonts w:ascii="宋体" w:hAnsi="宋体" w:eastAsia="宋体" w:cs="宋体"/>
          <w:color w:val="auto"/>
          <w:sz w:val="21"/>
          <w:szCs w:val="21"/>
          <w:highlight w:val="none"/>
        </w:rPr>
      </w:pPr>
    </w:p>
    <w:p>
      <w:pPr>
        <w:pStyle w:val="3"/>
        <w:keepNext w:val="0"/>
        <w:keepLines w:val="0"/>
        <w:spacing w:before="0" w:after="0" w:line="360" w:lineRule="auto"/>
        <w:jc w:val="center"/>
        <w:rPr>
          <w:rFonts w:ascii="宋体" w:hAnsi="宋体" w:eastAsia="宋体"/>
          <w:color w:val="auto"/>
          <w:sz w:val="24"/>
          <w:szCs w:val="21"/>
          <w:highlight w:val="none"/>
        </w:rPr>
      </w:pPr>
      <w:bookmarkStart w:id="130" w:name="_Toc30009"/>
      <w:bookmarkStart w:id="131" w:name="_Toc3401"/>
      <w:r>
        <w:rPr>
          <w:rFonts w:hint="eastAsia" w:ascii="宋体" w:hAnsi="宋体" w:eastAsia="宋体"/>
          <w:color w:val="auto"/>
          <w:sz w:val="24"/>
          <w:szCs w:val="21"/>
          <w:highlight w:val="none"/>
          <w:lang w:val="en-US" w:eastAsia="zh-CN"/>
        </w:rPr>
        <w:t>第五章</w:t>
      </w:r>
      <w:bookmarkEnd w:id="117"/>
      <w:bookmarkEnd w:id="118"/>
      <w:bookmarkEnd w:id="119"/>
      <w:bookmarkEnd w:id="120"/>
      <w:bookmarkEnd w:id="121"/>
      <w:r>
        <w:rPr>
          <w:rFonts w:hint="eastAsia" w:ascii="宋体" w:hAnsi="宋体" w:eastAsia="宋体"/>
          <w:color w:val="auto"/>
          <w:sz w:val="24"/>
          <w:szCs w:val="21"/>
          <w:highlight w:val="none"/>
        </w:rPr>
        <w:t>磋商、评审</w:t>
      </w:r>
      <w:bookmarkEnd w:id="130"/>
      <w:bookmarkEnd w:id="131"/>
    </w:p>
    <w:p>
      <w:pPr>
        <w:pStyle w:val="4"/>
        <w:keepNext w:val="0"/>
        <w:keepLines w:val="0"/>
        <w:numPr>
          <w:ilvl w:val="0"/>
          <w:numId w:val="3"/>
        </w:numPr>
        <w:adjustRightInd/>
        <w:spacing w:before="0" w:after="0" w:line="360" w:lineRule="auto"/>
        <w:rPr>
          <w:rFonts w:hAnsi="宋体"/>
          <w:color w:val="auto"/>
          <w:sz w:val="21"/>
          <w:szCs w:val="21"/>
          <w:highlight w:val="none"/>
        </w:rPr>
      </w:pPr>
      <w:bookmarkStart w:id="132" w:name="_Toc8137"/>
      <w:bookmarkStart w:id="133" w:name="_Toc28590"/>
      <w:r>
        <w:rPr>
          <w:rFonts w:hint="eastAsia" w:hAnsi="宋体"/>
          <w:color w:val="auto"/>
          <w:sz w:val="21"/>
          <w:szCs w:val="21"/>
          <w:highlight w:val="none"/>
        </w:rPr>
        <w:t>签到及评审方法</w:t>
      </w:r>
      <w:bookmarkEnd w:id="132"/>
      <w:bookmarkEnd w:id="133"/>
    </w:p>
    <w:p>
      <w:pPr>
        <w:numPr>
          <w:ilvl w:val="1"/>
          <w:numId w:val="3"/>
        </w:numPr>
        <w:spacing w:line="360" w:lineRule="auto"/>
        <w:rPr>
          <w:rFonts w:ascii="宋体" w:hAnsi="宋体" w:eastAsia="宋体"/>
          <w:color w:val="auto"/>
          <w:sz w:val="21"/>
          <w:szCs w:val="21"/>
          <w:highlight w:val="none"/>
        </w:rPr>
      </w:pPr>
      <w:bookmarkStart w:id="134" w:name="_Toc475249135"/>
      <w:bookmarkStart w:id="135" w:name="_Toc475249138"/>
      <w:r>
        <w:rPr>
          <w:rFonts w:hint="eastAsia" w:ascii="宋体" w:hAnsi="宋体" w:eastAsia="宋体"/>
          <w:color w:val="auto"/>
          <w:sz w:val="21"/>
          <w:szCs w:val="21"/>
          <w:highlight w:val="none"/>
        </w:rPr>
        <w:t>供应商应在《磋商邀请函》规定的日期、时间和地点递交响应文件并进行现场签到。</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递交响应文件时间截止后，由参与磋商的供应商代表或者其推选的代表检查响应文件的密封情况，经确认密封完好后的响应文件不当众予以拆封，不宣读第一次报价和响应文件的其它主要内容。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本项目采用综合评分法。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通过资格性和符合性审查的有效供应商方有资格提交最终报价及进入综合评审。</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根据财库〔2015〕124 号，在采购过程中符合要求的供应商只有 2 家的，竞争性磋商采购活动继续进行。</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36" w:name="_Toc10800"/>
      <w:bookmarkStart w:id="137" w:name="_Toc10080"/>
      <w:r>
        <w:rPr>
          <w:rFonts w:hint="eastAsia" w:hAnsi="宋体"/>
          <w:color w:val="auto"/>
          <w:sz w:val="21"/>
          <w:szCs w:val="21"/>
          <w:highlight w:val="none"/>
        </w:rPr>
        <w:t>磋商小组</w:t>
      </w:r>
      <w:bookmarkEnd w:id="134"/>
      <w:bookmarkEnd w:id="136"/>
      <w:bookmarkEnd w:id="13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本次采购依法组建磋商小组。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磋商小组将按照采购文件确定的评审方法进行评审。对采购文件中描述有歧义或前后不一致的地方，磋商小组有权按法律法规的规定进行评判，但对同一条款的评判应适用于每个供应商。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从递交响应文件截止到签订合同，凡与审查、澄清、评审和供应商响应文件有关的资料，均不得向任何供应商及与磋商无关的其他人透露。</w:t>
      </w:r>
    </w:p>
    <w:p>
      <w:pPr>
        <w:spacing w:line="360" w:lineRule="auto"/>
        <w:rPr>
          <w:rFonts w:ascii="宋体" w:hAnsi="宋体" w:eastAsia="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38" w:name="_Toc535141844"/>
      <w:bookmarkStart w:id="139" w:name="_Toc17978"/>
      <w:bookmarkStart w:id="140" w:name="_Toc37121259"/>
      <w:bookmarkStart w:id="141" w:name="_Toc17157"/>
      <w:r>
        <w:rPr>
          <w:rFonts w:hint="eastAsia" w:hAnsi="宋体"/>
          <w:color w:val="auto"/>
          <w:sz w:val="21"/>
          <w:szCs w:val="21"/>
          <w:highlight w:val="none"/>
        </w:rPr>
        <w:t>对响应文件的初审</w:t>
      </w:r>
      <w:bookmarkEnd w:id="138"/>
      <w:bookmarkEnd w:id="139"/>
      <w:bookmarkEnd w:id="140"/>
      <w:bookmarkEnd w:id="141"/>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开启响应文件后，采购代理机构将组织磋商小组对响应文件进行初审，初审包括资格性审查和符合性审查。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资格性审查是指依据法律规定和磋商文件的规定，对响应文件中的资格证明等进行审查，确定供应商是否具备响应资格。</w:t>
      </w:r>
      <w:r>
        <w:rPr>
          <w:rFonts w:hint="eastAsia" w:ascii="宋体" w:hAnsi="宋体" w:eastAsia="宋体"/>
          <w:b/>
          <w:color w:val="auto"/>
          <w:sz w:val="21"/>
          <w:szCs w:val="21"/>
          <w:highlight w:val="none"/>
        </w:rPr>
        <w:t>资格性检查中发现下列情形之一的，其报价及响应文件作无效处理。</w:t>
      </w:r>
    </w:p>
    <w:p>
      <w:pPr>
        <w:numPr>
          <w:ilvl w:val="0"/>
          <w:numId w:val="12"/>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资格瑕疵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包括但不限于：①资格证明文件未提供或不符合采购文件要求的；</w:t>
      </w:r>
      <w:r>
        <w:rPr>
          <w:rFonts w:ascii="宋体" w:hAnsi="宋体" w:eastAsia="宋体"/>
          <w:color w:val="auto"/>
          <w:sz w:val="21"/>
          <w:szCs w:val="21"/>
          <w:highlight w:val="none"/>
        </w:rPr>
        <w:t xml:space="preserve"> </w:t>
      </w:r>
      <w:r>
        <w:rPr>
          <w:rFonts w:hint="eastAsia" w:ascii="宋体" w:hAnsi="宋体" w:eastAsia="宋体"/>
          <w:color w:val="auto"/>
          <w:sz w:val="21"/>
          <w:szCs w:val="21"/>
          <w:highlight w:val="none"/>
        </w:rPr>
        <w:t>②资格证明文件有效期过期的；③《营业执照》复印件（加盖公章）或《事业单位法人证书》复印件（加盖公章）或其他主体证书复印件（加盖公章）未提供或有效期过期的；④提供的资质材料模糊不清导致无法辨认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性审查是指依据磋商文件的规定，从响应文件的有效性、完整性和对磋商文件的响应程度进行审查，以确定是否对磋商文件的实质性要求作出响应，包括审查响应文件是否完整，有否计算错误，文件签署是否合格等。</w:t>
      </w:r>
      <w:r>
        <w:rPr>
          <w:rFonts w:hint="eastAsia" w:ascii="宋体" w:hAnsi="宋体" w:eastAsia="宋体"/>
          <w:b/>
          <w:color w:val="auto"/>
          <w:sz w:val="21"/>
          <w:szCs w:val="21"/>
          <w:highlight w:val="none"/>
        </w:rPr>
        <w:t>符合性检查中发现下列情形之一的，其报价及响应文件作无效处理。</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响应文件的有效性、完整性瑕疵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响应文件的数量、制作不符合要求、响应文件内容与采购内容不符的（包括但不限于响应文件项目采购项目编号错误，响应文件项目名称错误导致无法分辨所报价项目为本项目的）；②响应文件中要求签字的内容无法定代表人或其授权代表签字，或签字人无法定代表人有效授权的；③签字盖章不符合采购文件要求的；④响应文件内容有严重缺漏项的；⑤响应文件的关键内容字迹模糊、无法辨认的；⑥响应文件（报价）有效期不符合文件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技术响应瑕疵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响应文件不满足采购文件中加注星号（★）的主要参数要求或加注星号的主要参数无技术资料支持的；②一般参数超出允许偏离的最大范围或最高项数的；③响应文件技术响应与事实不符或虚假应标的；④《技术规格偏离表》未提供的；⑤将一个包中的内容拆开响应的；⑥供应商对同一货物或服务报价时，方案不唯一；⑦明显不符合技术规格、技术标准要求的；⑧其他未实质性响应采购文件技术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商务响应瑕疵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采购文件加注星号（★）的商务要求负偏离的；②完成期（包括但不限于：工期，服务期，交货期等）未满足采购文件要求的；③响应文件载明的货物包装方式、检验标准和方法不符合采购文件要求，采购人无法接受的；④《商务条款偏离表》未提供的；⑤采购文件附有采购人不能接受的条件的；⑥其他未实质性响应磋商文件商务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报价瑕疵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包括但不限于：①一次报价或最终报价超过本采购文件明确的项目预算或文件明确的最高限价；②未按采购文件要求进行报价的；③报价内容或报价格式不符合采购文件要求的；④报价有严重缺漏项的。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违规行为</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包括但不限于：①以他人的名义报价、串通投标、以行贿手段谋取成交或者以其他弄虚作假方式响应磋商的；②扰乱磋商评审秩序，干扰采购工作正常进行的。③存在经磋商小组认定的其他违规违法行为。</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法律法规及磋商文件中规定的其它情形</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根据项目情况，磋商小组有权决定采购文件中“可能导致废标”或“可能导致其报价被拒绝”等具体条款是否实施“废标”或“投标被拒绝”，但对同一条款的裁决应适用于每个供应商。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磋商过程中，供应商提交的澄清文件和最终响应文件，由供应商法定代表人或授权代表签署后生效，供应商应受其约束。因此，该签字人参加磋商时需出示有效的身份证明文件，否则，其签字的澄清文件和最终响应（报价）文件无效。</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对响应文件进行详细评估之前，磋商小组将审查每份响应文件是否实质上响应了采购文件的要求。实质性响应的响应应该是与磋商文件要求的全部条款、条件和规格相符，没有重大偏离的响应。对关键条文的偏离、保留或反对，例如关于适用法律、税及关税等的偏离将被认为是实质上的偏离，而纠正这些偏离将影响到其他提交实质性响应响应的供应商的公平竞争地位。</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磋商小组确定响应文件的响应性，只根据响应文件本身的内容，而不寻找外部的证据。</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实质上没有响应磋商文件要求的响应文件将被拒绝。供应商不得通过修正或撤销不合要求的偏离或保留从而使其响应成为实质上的响应。</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42" w:name="_Toc29665"/>
      <w:bookmarkStart w:id="143" w:name="_Toc18895"/>
      <w:r>
        <w:rPr>
          <w:rFonts w:hint="eastAsia" w:hAnsi="宋体"/>
          <w:color w:val="auto"/>
          <w:sz w:val="21"/>
          <w:szCs w:val="21"/>
          <w:highlight w:val="none"/>
        </w:rPr>
        <w:t>技术商务</w:t>
      </w:r>
      <w:bookmarkEnd w:id="142"/>
      <w:r>
        <w:rPr>
          <w:rFonts w:hint="eastAsia" w:hAnsi="宋体"/>
          <w:color w:val="auto"/>
          <w:sz w:val="21"/>
          <w:szCs w:val="21"/>
          <w:highlight w:val="none"/>
        </w:rPr>
        <w:t>磋商</w:t>
      </w:r>
      <w:bookmarkEnd w:id="143"/>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磋商小组所有成员应当集中与单一供应商分别进行磋商，并给予所有参加磋商的供应商平等的磋商机会。其磋商顺序以供应商签到顺序为准。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磋商使用语言为中文。</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磋商小组将拒绝与出现以下情况的供应商授权代表进行磋商：</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供应商授权代表无有效授权的；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供应商响应文件中的授权代表与现场进行磋商的授权代表不一致的；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法人参加磋商但无法定代表人证明书的；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授权代表现场不能出具可证明其身份信息的证件或文件的；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供应商一次报价超出采购文件所规定的预算或最高限价的；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扰乱磋商秩序，干扰采购工作正常进行的；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直接或间接影响其他供应商进行最终报价的；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磋商小组认定为违规的情况；</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采购文件规定的其他情况。</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磋商小组与供应商分别进行磋商（除特殊情况外，磋商小组仅对各供应商进行一轮磋商）。在磋商过程中，磋商小组应当严格遵循保密原则，未经供应商同意不得向任何人透露当事人技术、价格和其他重要信息。</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文件的修正：磋商小组调整或修改采购需求内容时，应取得磋商小组的一致同意，并以书面形式通知所有参加磋商的供应商。但任何形式的决定须以符合公平、公正原则和有利于项目的顺利实施为前提。对磋商文件作出的实质性变动是磋商文件的有效组成部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应当按照磋商文件的变动情况和磋商小组的要求重新提交响应文件（或补充以书面材料），并由其法定代表人或授权代表签字或者加盖公章。由授权代表签字的，应当附法定代表人授权书。供应商为自然人的，应当由本人签字并附身份证明。补充文件是响应文件的组成部分。</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44" w:name="_Toc5492"/>
      <w:bookmarkStart w:id="145" w:name="_Toc30797"/>
      <w:r>
        <w:rPr>
          <w:rFonts w:hint="eastAsia" w:hAnsi="宋体"/>
          <w:color w:val="auto"/>
          <w:sz w:val="21"/>
          <w:szCs w:val="21"/>
          <w:highlight w:val="none"/>
        </w:rPr>
        <w:t>最终报价</w:t>
      </w:r>
      <w:bookmarkEnd w:id="144"/>
      <w:bookmarkEnd w:id="145"/>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文件能够详细列明采购标的的技术、服务要求的，磋商结束后，磋商小组应当要求所有实质性响应的供应商在规定时间内提交最终报价（最终报价时间视磋商进程由磋商小组决定）。最后报价是供应商响应文件的有效组成部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通过初审，但未在规定时间内进行最终报价的供应商，其报价文件上的报价视为其最终报价。</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已提交响应文件的供应商，在提交最后报价之前，可以根据磋商情况退出磋商。响应文件不予退还，磋商保证金按采购文件规定进行退还。退出磋商的供应商不进入综合评分环节。</w:t>
      </w:r>
    </w:p>
    <w:p>
      <w:pPr>
        <w:bidi w:val="0"/>
        <w:rPr>
          <w:color w:val="auto"/>
          <w:highlight w:val="none"/>
        </w:rPr>
      </w:pPr>
    </w:p>
    <w:bookmarkEnd w:id="135"/>
    <w:p>
      <w:pPr>
        <w:pStyle w:val="4"/>
        <w:keepNext w:val="0"/>
        <w:keepLines w:val="0"/>
        <w:numPr>
          <w:ilvl w:val="0"/>
          <w:numId w:val="3"/>
        </w:numPr>
        <w:adjustRightInd/>
        <w:spacing w:before="0" w:after="0" w:line="360" w:lineRule="auto"/>
        <w:rPr>
          <w:rFonts w:hAnsi="宋体"/>
          <w:color w:val="auto"/>
          <w:sz w:val="21"/>
          <w:szCs w:val="21"/>
          <w:highlight w:val="none"/>
        </w:rPr>
      </w:pPr>
      <w:bookmarkStart w:id="146" w:name="_Toc19157"/>
      <w:bookmarkStart w:id="147" w:name="_Toc2794"/>
      <w:r>
        <w:rPr>
          <w:rFonts w:hint="eastAsia" w:hAnsi="宋体"/>
          <w:color w:val="auto"/>
          <w:sz w:val="21"/>
          <w:szCs w:val="21"/>
          <w:highlight w:val="none"/>
        </w:rPr>
        <w:t>综合评分</w:t>
      </w:r>
      <w:bookmarkEnd w:id="146"/>
      <w:bookmarkEnd w:id="14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经磋商确定最终采购需求和提交最后报价的供应商后，由磋商小组采用综合评分法对提交最后报价的供应商的响应文件和最后报价进行综合评分。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价格评审：</w:t>
      </w:r>
    </w:p>
    <w:p>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以各供应商最终报价进行评审；</w:t>
      </w:r>
    </w:p>
    <w:p>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报价错误修正原则：</w:t>
      </w:r>
    </w:p>
    <w:p>
      <w:pPr>
        <w:pStyle w:val="7"/>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①大写金额与小写金额不一致的，以大写金额为准；总价金额与按单价汇总金额不一致的，以单价金额计算结果为准；单价金额小数点有明显错位的，应以总价为准，并修改单价；同时出现上述两种以上不一致的，按照前款规定的顺序修正。修正价后的价格作为核实价。</w:t>
      </w:r>
    </w:p>
    <w:p>
      <w:pPr>
        <w:pStyle w:val="7"/>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② 以上修正后的报价应当经报价供应商采用书面形式，并加盖公章，或者由法定代表人或其授权的代表签字确认，并对报价供应商产生约束力，报价供应商不确认的，其报价无效。</w:t>
      </w:r>
    </w:p>
    <w:p>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对报价服务报价漏项的，作非实质性响应处理。</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技术商务评审要求详见《商务技术评分及价格权重表》。</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对通过资格审查、符合性审查及进行最终报价的供应商的响应文件进行详细评审。磋商小组对每一响应文件进行详细的商务评审、技术评审。按照评审程序的规定和依据评分标准，对每个供应商响应文件的技术、商务状况及其对采购文件要求的响应情况进行评议和比较，评出其技术评分和商务评分。根据采购文件规定评出得分，将价格得分、商务得分、技术得分相加得出最终评标得分（最终评标得分分值按四舍五入原则精确到小数点后两位）。</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使用综合评分法的采购项目，核心产品提供相同品牌产品且通过资格审查、符合性审查的不同供应商参加同一合同项下报价的，按一家供应商计算，评审后得分最高的同品牌供应商获得成交供应商推荐资格。</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核心产品提供相同品牌产品且通过资格审查、符合性审查的不同供应商参加同一合同项下报价且评审得分相同的，按照评审因素的技术评审得分最高的供应商为排名第一的成交候选人，其他同品牌供应商不作为成交候选人。</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综合评分法的，评标结果按评审后得分由高到低顺序排列。得分相同的，按最终报价由低到高顺序排列。得分且最终报价相同的并列，响应文件满足采购文件全部实质性要求，且按照评审因素的量化指标评审得分最高的供应商为排名第一的成交候选人。</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48" w:name="_Toc30725"/>
      <w:bookmarkStart w:id="149" w:name="_Toc23560"/>
      <w:r>
        <w:rPr>
          <w:rFonts w:hint="eastAsia" w:hAnsi="宋体"/>
          <w:color w:val="auto"/>
          <w:sz w:val="21"/>
          <w:szCs w:val="21"/>
          <w:highlight w:val="none"/>
        </w:rPr>
        <w:t>优惠政策</w:t>
      </w:r>
      <w:bookmarkEnd w:id="148"/>
      <w:bookmarkEnd w:id="149"/>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对小型或微型企业、监狱企业、残疾人福利性单位</w:t>
      </w:r>
      <w:r>
        <w:rPr>
          <w:rFonts w:hint="eastAsia" w:ascii="宋体" w:hAnsi="宋体"/>
          <w:color w:val="auto"/>
          <w:sz w:val="21"/>
          <w:szCs w:val="21"/>
          <w:highlight w:val="none"/>
          <w:lang w:eastAsia="zh-CN"/>
        </w:rPr>
        <w:t>报价</w:t>
      </w:r>
      <w:r>
        <w:rPr>
          <w:rFonts w:hint="eastAsia" w:ascii="宋体" w:hAnsi="宋体" w:eastAsia="宋体"/>
          <w:color w:val="auto"/>
          <w:sz w:val="21"/>
          <w:szCs w:val="21"/>
          <w:highlight w:val="none"/>
        </w:rPr>
        <w:t>的扶持：</w:t>
      </w:r>
    </w:p>
    <w:p>
      <w:pPr>
        <w:spacing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根据财政部、工业和信息化部制定了《政府采购促进中小企业发展管理办法》（财库〔2020〕46号）的规定，对小型或微型企业产品的价格给予一定比例扣除，用扣除后的价格参与评审。（参加政府采购活动的中小企业应按照磋商文件中磋商文件格式提出《中小企业声明函》）残疾人福利性单位、监狱企业（注：参加政府采购活动的监狱企业必须提供由省级以上监狱管理局、戒毒管理局(含新疆生产建设兵团)出具的监狱企业证明文件）视同小型、微型企业。</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供应商为小型或微型企业且</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产品含小型或微型企业产品时，其对应产品价格的扣除详见</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资料表。</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供应商同时为小型、微型企业、监狱企业、残疾人福利性单位任两种或以上情况的，评审中只享受一次价格扣除，不重复进行价格扣除。</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符合享受政府采购支持政策的残疾人福利性单位划分标准（根据财政部 民政部 中国残疾人联合会关于促进残疾人就业政府采购政策的通知(财库[2017]141号)）：</w:t>
      </w:r>
    </w:p>
    <w:p>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安置的残疾人占本单位在职职工人数的比例不低于25%（含25%），并且安置的残疾人人数不少于10人（含10人）；</w:t>
      </w:r>
    </w:p>
    <w:p>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依法与安置的每位残疾人签订了一年以上（含一年）的劳动合同或服务协议；</w:t>
      </w:r>
    </w:p>
    <w:p>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为安置的每位残疾人按月足额缴纳了基本养老保险、基本医疗保险、失业保险、工伤保险和生育保险等社会保险费；</w:t>
      </w:r>
    </w:p>
    <w:p>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通过银行等金融机构向安置的每位残疾人，按月支付了不低于单位所在区县适用的经省级人民政府批准的月最低工资标准的工资；</w:t>
      </w:r>
    </w:p>
    <w:p>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提供本单位制造的货物、承担的工程或者服务（以下简称产品），或者提供其他残疾人福利性单位制造的货物（不包括使用非残疾人福利性单位注册商标的货物）。</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对节能产品或环境标志产品的扶持：</w:t>
      </w:r>
    </w:p>
    <w:p>
      <w:pPr>
        <w:spacing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根据《关于调整优化节能产品、环境标志产品政府采购执行机制的通知》（财库〔2020〕9号）及《转发财政部 发展改革委 生态环境部 市场监管总局关于调整优化节能产品 环境标志产品政府采购执行机制的通知》（粤财采购函〔2020〕1号）的规定，对提供节能产品或环境标志产品的</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单位的价格给予一定比例扣除（扣除比例详见</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资料表）。</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提供节能产品或环境标志产品的供应商其产品应符合以下规定：</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所投产品属于《节能产品政府采购品目清单》或《环境标志产品政府采购品目清单》的，供应商应如实填写《节能产品或环境标志产品列价表》并提供在有效期内的“节能产品认证证书”或“环境标志产品认证证书”。</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所投节能产品或环境标志产品其认证证书的认证机构应属于《市场监管总局关于发布参与实施政府采购节能产品、环境标志产品认证机构名录的公告（2020年第16号）》公告中所公示的认证机构，若供应商所提供的产品认证证书其认证机构不属于以上公示中的机构，则视为无效认证，不给予价格扣除优惠。</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若用户需求中含有《节能产品政府采购品目清单》中的政府强制采购产品，供应商应根据要求提供所对应的节能产品，否则做</w:t>
      </w:r>
      <w:r>
        <w:rPr>
          <w:rFonts w:hint="eastAsia" w:cs="宋体"/>
          <w:color w:val="auto"/>
          <w:sz w:val="21"/>
          <w:szCs w:val="21"/>
          <w:highlight w:val="none"/>
          <w:lang w:eastAsia="zh-CN"/>
        </w:rPr>
        <w:t>响应</w:t>
      </w:r>
      <w:r>
        <w:rPr>
          <w:rFonts w:hint="eastAsia" w:ascii="宋体" w:hAnsi="宋体" w:eastAsia="宋体" w:cs="宋体"/>
          <w:color w:val="auto"/>
          <w:sz w:val="21"/>
          <w:szCs w:val="21"/>
          <w:highlight w:val="none"/>
        </w:rPr>
        <w:t>无效处理。</w:t>
      </w:r>
    </w:p>
    <w:p>
      <w:pPr>
        <w:bidi w:val="0"/>
        <w:rPr>
          <w:color w:val="auto"/>
          <w:highlight w:val="none"/>
        </w:rPr>
      </w:pPr>
    </w:p>
    <w:p>
      <w:pPr>
        <w:pStyle w:val="3"/>
        <w:keepNext w:val="0"/>
        <w:keepLines w:val="0"/>
        <w:spacing w:before="0" w:after="0" w:line="360" w:lineRule="auto"/>
        <w:jc w:val="center"/>
        <w:rPr>
          <w:rFonts w:ascii="宋体" w:hAnsi="宋体" w:eastAsia="宋体"/>
          <w:color w:val="auto"/>
          <w:sz w:val="24"/>
          <w:szCs w:val="21"/>
          <w:highlight w:val="none"/>
        </w:rPr>
      </w:pPr>
      <w:bookmarkStart w:id="150" w:name="_Toc1066"/>
      <w:bookmarkStart w:id="151" w:name="_Toc21886"/>
      <w:r>
        <w:rPr>
          <w:rFonts w:hint="eastAsia" w:ascii="宋体" w:hAnsi="宋体" w:eastAsia="宋体"/>
          <w:color w:val="auto"/>
          <w:sz w:val="24"/>
          <w:szCs w:val="21"/>
          <w:highlight w:val="none"/>
          <w:lang w:val="en-US" w:eastAsia="zh-CN"/>
        </w:rPr>
        <w:t>第六章</w:t>
      </w:r>
      <w:r>
        <w:rPr>
          <w:rFonts w:hint="eastAsia" w:ascii="宋体" w:hAnsi="宋体" w:eastAsia="宋体"/>
          <w:color w:val="auto"/>
          <w:sz w:val="24"/>
          <w:szCs w:val="21"/>
          <w:highlight w:val="none"/>
        </w:rPr>
        <w:t>确定成交供应商</w:t>
      </w:r>
      <w:bookmarkEnd w:id="150"/>
      <w:bookmarkEnd w:id="151"/>
    </w:p>
    <w:p>
      <w:pPr>
        <w:pStyle w:val="4"/>
        <w:keepNext w:val="0"/>
        <w:keepLines w:val="0"/>
        <w:numPr>
          <w:ilvl w:val="0"/>
          <w:numId w:val="3"/>
        </w:numPr>
        <w:adjustRightInd/>
        <w:spacing w:before="0" w:after="0" w:line="360" w:lineRule="auto"/>
        <w:rPr>
          <w:rFonts w:hAnsi="宋体"/>
          <w:color w:val="auto"/>
          <w:sz w:val="21"/>
          <w:szCs w:val="21"/>
          <w:highlight w:val="none"/>
        </w:rPr>
      </w:pPr>
      <w:bookmarkStart w:id="152" w:name="_Toc29068"/>
      <w:bookmarkStart w:id="153" w:name="_Toc19359"/>
      <w:r>
        <w:rPr>
          <w:rFonts w:hint="eastAsia" w:hAnsi="宋体"/>
          <w:color w:val="auto"/>
          <w:sz w:val="21"/>
          <w:szCs w:val="21"/>
          <w:highlight w:val="none"/>
        </w:rPr>
        <w:t>确定成交</w:t>
      </w:r>
      <w:bookmarkEnd w:id="152"/>
      <w:bookmarkEnd w:id="153"/>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磋商小组完成评审工作后，出具评审报告，推荐3名以上成交候选供应商。符合法律法规允许的情况的，可以推荐2家成交候选供应商。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采购人从成交候选供应商名单中按照综合得分排序确定1名成交供应商。</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54" w:name="_Toc17569"/>
      <w:bookmarkStart w:id="155" w:name="_Toc3941"/>
      <w:r>
        <w:rPr>
          <w:rFonts w:hint="eastAsia" w:hAnsi="宋体"/>
          <w:color w:val="auto"/>
          <w:sz w:val="21"/>
          <w:szCs w:val="21"/>
          <w:highlight w:val="none"/>
        </w:rPr>
        <w:t>发布采购结果</w:t>
      </w:r>
      <w:bookmarkEnd w:id="154"/>
      <w:bookmarkEnd w:id="155"/>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磋商小组提出评标书面报告和推荐成交意见报采购人确认后，采购代理机构将在指定的信息发布媒体上发布公告。</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公告期限为1个工作日。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结果公示发布后，成交单位应及时领取成交通知书。《成交通知书》是合同的一个组成部分，《成交通知书》对采购人和成交供应商均具有同等法律效力。</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成交供应商无正当理由不得放弃中标，因成交供应商放弃中标而对采购人造成的损失由放弃中标的成交供应商承担。</w:t>
      </w:r>
    </w:p>
    <w:p>
      <w:pPr>
        <w:pStyle w:val="7"/>
        <w:rPr>
          <w:rFonts w:ascii="宋体" w:hAnsi="宋体" w:eastAsia="宋体" w:cs="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56" w:name="_Toc32414"/>
      <w:bookmarkStart w:id="157" w:name="_Toc29067"/>
      <w:r>
        <w:rPr>
          <w:rFonts w:hint="eastAsia" w:hAnsi="宋体"/>
          <w:color w:val="auto"/>
          <w:sz w:val="21"/>
          <w:szCs w:val="21"/>
          <w:highlight w:val="none"/>
        </w:rPr>
        <w:t>原件核查</w:t>
      </w:r>
      <w:bookmarkEnd w:id="156"/>
      <w:bookmarkEnd w:id="15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采购结果发布后，采购代理机构及采购人有权对成交的供应商进行原件核查。成交供应商应在五个工作日内递交相关资质原件到采购代理机构办公地址或采购人指定地址进行核查。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成交供应商有下列情形之一的，取消中标资格：</w:t>
      </w:r>
    </w:p>
    <w:p>
      <w:pPr>
        <w:pStyle w:val="7"/>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拒绝采购人或采购代理机构原件核查要求的；</w:t>
      </w:r>
    </w:p>
    <w:p>
      <w:pPr>
        <w:pStyle w:val="7"/>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未在规定时间内将原件递交到到采购代理机构办公地址或采购人指定地址进行核查的；</w:t>
      </w:r>
    </w:p>
    <w:p>
      <w:pPr>
        <w:pStyle w:val="7"/>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在规定时间内递交的原件数量、内容与采购人、采购代理机构要求不一致的；</w:t>
      </w:r>
    </w:p>
    <w:p>
      <w:pPr>
        <w:pStyle w:val="7"/>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因原件续期、更改等原因不能按时递交原件且未能在规定时间内提供相应部门开具的变更、续期等证明的；</w:t>
      </w:r>
    </w:p>
    <w:p>
      <w:pPr>
        <w:pStyle w:val="7"/>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经查原件，响应文件内容有造假行为的。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结果发布后，采购代理机构及采购人有权根据磋商小组的建议或要求，对递交了响应文件的未成交的供应商进行原件核查。供应商应在采购代理机构或采购人发出纸质通知五个工作日内将原件递交到采购代理机构办公地址或采购人指定地址进行核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供应商有下列情形之一的，响应文件作无效处理，其报价无效：</w:t>
      </w:r>
    </w:p>
    <w:p>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拒绝采购人或采购代理机构原件核查要求的；</w:t>
      </w:r>
    </w:p>
    <w:p>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未在规定时间内将原件递交到到采购代理机构办公地址或采购人指定地址进行核查的；</w:t>
      </w:r>
    </w:p>
    <w:p>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在规定时间内递交的原件数量、内容不符合采购人、采购代理机构要求的；</w:t>
      </w:r>
    </w:p>
    <w:p>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因原件续期、更改等原因不能按时递交原件且未能在规定时间内提供相应部门开具的变更、续期等证明的；</w:t>
      </w:r>
    </w:p>
    <w:p>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经查原件，响应文件内容有造假行为的。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若供应商出现虚假应标情况，响应文件作无效处理，其报价、成交无效。并根据相关法律上报相关监管部门。</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pPr>
        <w:bidi w:val="0"/>
        <w:rPr>
          <w:color w:val="auto"/>
          <w:highlight w:val="none"/>
        </w:rPr>
      </w:pPr>
    </w:p>
    <w:p>
      <w:pPr>
        <w:pStyle w:val="3"/>
        <w:keepNext w:val="0"/>
        <w:keepLines w:val="0"/>
        <w:spacing w:before="0" w:after="0" w:line="360" w:lineRule="auto"/>
        <w:jc w:val="center"/>
        <w:rPr>
          <w:rFonts w:ascii="宋体" w:hAnsi="宋体" w:eastAsia="宋体"/>
          <w:color w:val="auto"/>
          <w:sz w:val="24"/>
          <w:szCs w:val="21"/>
          <w:highlight w:val="none"/>
        </w:rPr>
      </w:pPr>
      <w:bookmarkStart w:id="158" w:name="_Toc37756778"/>
      <w:bookmarkStart w:id="159" w:name="_Toc31756"/>
      <w:bookmarkStart w:id="160" w:name="_Toc3829"/>
      <w:bookmarkStart w:id="161" w:name="_Toc110953852"/>
      <w:bookmarkStart w:id="162" w:name="_Toc475249143"/>
      <w:r>
        <w:rPr>
          <w:rFonts w:hint="eastAsia" w:ascii="宋体" w:hAnsi="宋体" w:eastAsia="宋体"/>
          <w:color w:val="auto"/>
          <w:sz w:val="24"/>
          <w:szCs w:val="21"/>
          <w:highlight w:val="none"/>
          <w:lang w:val="en-US" w:eastAsia="zh-CN"/>
        </w:rPr>
        <w:t>第七章</w:t>
      </w:r>
      <w:r>
        <w:rPr>
          <w:rFonts w:hint="eastAsia" w:ascii="宋体" w:hAnsi="宋体" w:eastAsia="宋体"/>
          <w:color w:val="auto"/>
          <w:sz w:val="24"/>
          <w:szCs w:val="21"/>
          <w:highlight w:val="none"/>
        </w:rPr>
        <w:t>签订合同</w:t>
      </w:r>
      <w:bookmarkEnd w:id="158"/>
      <w:bookmarkEnd w:id="159"/>
      <w:bookmarkEnd w:id="160"/>
      <w:bookmarkEnd w:id="161"/>
    </w:p>
    <w:p>
      <w:pPr>
        <w:pStyle w:val="4"/>
        <w:keepNext w:val="0"/>
        <w:keepLines w:val="0"/>
        <w:numPr>
          <w:ilvl w:val="0"/>
          <w:numId w:val="3"/>
        </w:numPr>
        <w:adjustRightInd/>
        <w:spacing w:before="0" w:after="0" w:line="360" w:lineRule="auto"/>
        <w:rPr>
          <w:rFonts w:hAnsi="宋体"/>
          <w:color w:val="auto"/>
          <w:sz w:val="21"/>
          <w:szCs w:val="21"/>
          <w:highlight w:val="none"/>
        </w:rPr>
      </w:pPr>
      <w:bookmarkStart w:id="163" w:name="_Toc29253"/>
      <w:bookmarkStart w:id="164" w:name="_Toc18000"/>
      <w:r>
        <w:rPr>
          <w:rFonts w:hint="eastAsia" w:hAnsi="宋体"/>
          <w:color w:val="auto"/>
          <w:sz w:val="21"/>
          <w:szCs w:val="21"/>
          <w:highlight w:val="none"/>
        </w:rPr>
        <w:t>签订合同</w:t>
      </w:r>
      <w:bookmarkEnd w:id="163"/>
      <w:bookmarkEnd w:id="164"/>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采购人与成交供应商应当在成交通知书发出之日起30日内，按照采购文件确定的事项签订政府采购合同。</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合同内容不得与磋商文件和响应文件内容有实质性偏离。</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合同签订之日起2个工作日内，成交供应商应将所签订的合同副本（加盖公章）交至广东政通招标有限公司归档。</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在评审结束当天至合同履行结束，若因不可抗力的因素（如国家出台新法律法规等）造成资质的变动，成交供应商应以纸质版形式通知采购人。若资质变动导致成交供应商不再具备履行合同资质要求，采购人有权中止合同。</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拒绝签订政府采购合同的，采购人可以按照评审报告中推荐的其他成交候选人以由高到低原则确定其他供应商作为成交供应商并签订政府采购合同，也可以重新开展采购活动。拒绝签订政府采购合同的成交供应商不得参加对该项目重新开展的采购活动。</w:t>
      </w:r>
    </w:p>
    <w:p>
      <w:pPr>
        <w:bidi w:val="0"/>
        <w:rPr>
          <w:color w:val="auto"/>
          <w:highlight w:val="none"/>
        </w:rPr>
      </w:pPr>
    </w:p>
    <w:p>
      <w:pPr>
        <w:pStyle w:val="3"/>
        <w:keepNext w:val="0"/>
        <w:keepLines w:val="0"/>
        <w:spacing w:before="0" w:after="0" w:line="360" w:lineRule="auto"/>
        <w:jc w:val="center"/>
        <w:rPr>
          <w:rFonts w:ascii="宋体" w:hAnsi="宋体" w:eastAsia="宋体"/>
          <w:color w:val="auto"/>
          <w:sz w:val="24"/>
          <w:szCs w:val="21"/>
          <w:highlight w:val="none"/>
        </w:rPr>
      </w:pPr>
      <w:bookmarkStart w:id="165" w:name="_Toc12802"/>
      <w:bookmarkStart w:id="166" w:name="_Toc8165"/>
      <w:r>
        <w:rPr>
          <w:rFonts w:hint="eastAsia" w:ascii="宋体" w:hAnsi="宋体" w:eastAsia="宋体"/>
          <w:color w:val="auto"/>
          <w:sz w:val="24"/>
          <w:szCs w:val="21"/>
          <w:highlight w:val="none"/>
          <w:lang w:val="en-US" w:eastAsia="zh-CN"/>
        </w:rPr>
        <w:t>第八章</w:t>
      </w:r>
      <w:r>
        <w:rPr>
          <w:rFonts w:hint="eastAsia" w:ascii="宋体" w:hAnsi="宋体" w:eastAsia="宋体"/>
          <w:color w:val="auto"/>
          <w:sz w:val="24"/>
          <w:szCs w:val="21"/>
          <w:highlight w:val="none"/>
        </w:rPr>
        <w:t>询问或质疑</w:t>
      </w:r>
      <w:bookmarkEnd w:id="165"/>
      <w:bookmarkEnd w:id="166"/>
    </w:p>
    <w:p>
      <w:pPr>
        <w:pStyle w:val="4"/>
        <w:keepNext w:val="0"/>
        <w:keepLines w:val="0"/>
        <w:numPr>
          <w:ilvl w:val="0"/>
          <w:numId w:val="3"/>
        </w:numPr>
        <w:adjustRightInd/>
        <w:spacing w:before="0" w:after="0" w:line="360" w:lineRule="auto"/>
        <w:rPr>
          <w:rFonts w:hAnsi="宋体"/>
          <w:color w:val="auto"/>
          <w:sz w:val="21"/>
          <w:szCs w:val="21"/>
          <w:highlight w:val="none"/>
        </w:rPr>
      </w:pPr>
      <w:bookmarkStart w:id="167" w:name="_Toc452"/>
      <w:bookmarkStart w:id="168" w:name="_Toc18663"/>
      <w:r>
        <w:rPr>
          <w:rFonts w:hint="eastAsia" w:hAnsi="宋体"/>
          <w:color w:val="auto"/>
          <w:sz w:val="21"/>
          <w:szCs w:val="21"/>
          <w:highlight w:val="none"/>
        </w:rPr>
        <w:t>询问</w:t>
      </w:r>
      <w:bookmarkEnd w:id="167"/>
      <w:bookmarkEnd w:id="168"/>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供应商对政府采购活动事项（采购文件、采购过程和采购结果）有疑问的，可以按规定向采购代理机构提出询问。</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69" w:name="_Toc17155"/>
      <w:bookmarkStart w:id="170" w:name="_Toc20114"/>
      <w:r>
        <w:rPr>
          <w:rFonts w:hint="eastAsia" w:hAnsi="宋体"/>
          <w:color w:val="auto"/>
          <w:sz w:val="21"/>
          <w:szCs w:val="21"/>
          <w:highlight w:val="none"/>
        </w:rPr>
        <w:t>质疑</w:t>
      </w:r>
      <w:bookmarkEnd w:id="169"/>
      <w:bookmarkEnd w:id="170"/>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提出质疑的供应商应当是参与所质疑项目采购活动的供应商或是在规定的时间内已依法获取其可质疑的磋商文件的潜在供应商。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磋商文件、采购过程、成交或者成交结果使自己的权益受到损害的，可以在知道或者应知其权益受到损害之日起7个工作日内，以书面形式向采购人、采购代理机构提出质疑。超过规定时间提交的质疑函不予受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供应商在法定质疑期内须一次性提出针对同一采购程序环节的质疑，对同一采购程序环节的二次质疑采购代理机构不予受理。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应将磋商文件所规定的纸质版形式（质疑须提交以下资料并加盖供应商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磋商邀请书）。供应商以电话、传真或电邮形式提交的质疑属于无效质疑。</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供应商提出质疑应当提交质疑函和必要的证明材料（须注明法律依据），因缺少相关证明材料或证明材料存在不真实而导致的后果由供应商自行承担。</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不涉及对供应商利益造成损害的相关内容，不能作为质疑内容提交。</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投诉人在全国范围12个月内三次以上投诉查无实据的，由财政部门列入不良行为记录名单。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投诉人有下列行为之一的，属于虚假、恶意投诉，由财政部门列入不良行为记录名单，禁止其1至3年内参加全国范围内的政府采购活动：</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（一）捏造事实;</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（二）提供虚假材料;</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（三）以非法手段取得证明材料。证据来源的合法性存在明显疑问，投诉人无法证明其取得方式合法的，视为以非法手段取得证明材料。</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以联合体形式参加政府采购活动的，其质疑应当由组成联合体的所有供应商共同提出。</w:t>
      </w:r>
    </w:p>
    <w:p>
      <w:pPr>
        <w:bidi w:val="0"/>
        <w:rPr>
          <w:color w:val="auto"/>
          <w:highlight w:val="none"/>
        </w:rPr>
      </w:pPr>
    </w:p>
    <w:bookmarkEnd w:id="162"/>
    <w:p>
      <w:pPr>
        <w:pStyle w:val="3"/>
        <w:keepNext w:val="0"/>
        <w:keepLines w:val="0"/>
        <w:spacing w:before="0" w:after="0" w:line="360" w:lineRule="auto"/>
        <w:jc w:val="center"/>
        <w:rPr>
          <w:rFonts w:ascii="宋体" w:hAnsi="宋体" w:eastAsia="宋体"/>
          <w:color w:val="auto"/>
          <w:sz w:val="24"/>
          <w:szCs w:val="21"/>
          <w:highlight w:val="none"/>
        </w:rPr>
      </w:pPr>
      <w:bookmarkStart w:id="171" w:name="_Toc5474"/>
      <w:bookmarkStart w:id="172" w:name="_Toc5551"/>
      <w:r>
        <w:rPr>
          <w:rFonts w:hint="eastAsia" w:ascii="宋体" w:hAnsi="宋体" w:eastAsia="宋体"/>
          <w:color w:val="auto"/>
          <w:sz w:val="24"/>
          <w:szCs w:val="21"/>
          <w:highlight w:val="none"/>
          <w:lang w:val="en-US" w:eastAsia="zh-CN"/>
        </w:rPr>
        <w:t>第九章</w:t>
      </w:r>
      <w:r>
        <w:rPr>
          <w:rFonts w:hint="eastAsia" w:ascii="宋体" w:hAnsi="宋体" w:eastAsia="宋体"/>
          <w:color w:val="auto"/>
          <w:sz w:val="24"/>
          <w:szCs w:val="21"/>
          <w:highlight w:val="none"/>
        </w:rPr>
        <w:t>成交服务费</w:t>
      </w:r>
      <w:bookmarkEnd w:id="171"/>
      <w:bookmarkEnd w:id="172"/>
    </w:p>
    <w:p>
      <w:pPr>
        <w:pStyle w:val="4"/>
        <w:keepNext w:val="0"/>
        <w:keepLines w:val="0"/>
        <w:numPr>
          <w:ilvl w:val="0"/>
          <w:numId w:val="3"/>
        </w:numPr>
        <w:adjustRightInd/>
        <w:spacing w:before="0" w:after="0" w:line="360" w:lineRule="auto"/>
        <w:rPr>
          <w:rFonts w:hAnsi="宋体"/>
          <w:color w:val="auto"/>
          <w:sz w:val="21"/>
          <w:szCs w:val="21"/>
          <w:highlight w:val="none"/>
        </w:rPr>
      </w:pPr>
      <w:bookmarkStart w:id="173" w:name="_Toc9437"/>
      <w:bookmarkStart w:id="174" w:name="_Toc26991"/>
      <w:r>
        <w:rPr>
          <w:rFonts w:hint="eastAsia" w:hAnsi="宋体"/>
          <w:color w:val="auto"/>
          <w:sz w:val="21"/>
          <w:szCs w:val="21"/>
          <w:highlight w:val="none"/>
        </w:rPr>
        <w:t>成交服务费</w:t>
      </w:r>
      <w:bookmarkEnd w:id="173"/>
      <w:bookmarkEnd w:id="174"/>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成交供应商须向招标代理机构按如下标准和规定交纳成交服务费。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以《成交通知书》中规定的成交总金额作为收费的计算基数。</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服务费按照国家计委关于印发《招标代理服务收费管理暂行办法》的通知（计价格[2002]1980号)和《国家发展改革委关于降低部门建设项目收费标准规范收费行为等有关问题的通知》(发改价格[2011]534)的规定标准服务类收取，成交服务费最低收费标准为伍仟元整。</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服务费的货币为人民币。</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服务费应由成交人在采购结果公示发出之后，成交通知书发出前交纳，不在报价中单列。</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服务费以转账或现金的形式支付，</w:t>
      </w:r>
      <w:bookmarkStart w:id="175" w:name="_Ref179619574"/>
      <w:r>
        <w:rPr>
          <w:rFonts w:hint="eastAsia" w:ascii="宋体" w:hAnsi="宋体" w:eastAsia="宋体"/>
          <w:color w:val="auto"/>
          <w:sz w:val="21"/>
          <w:szCs w:val="21"/>
          <w:highlight w:val="none"/>
        </w:rPr>
        <w:t>成交人应按照磋商文件中的规定交纳成交服务费。</w:t>
      </w:r>
      <w:bookmarkEnd w:id="175"/>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招标代理服务费汇入账号：</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收 款 人：广东政通招标有限公司</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spacing w:line="360" w:lineRule="auto"/>
        <w:ind w:firstLine="567"/>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p>
      <w:pPr>
        <w:bidi w:val="0"/>
        <w:rPr>
          <w:color w:val="auto"/>
          <w:highlight w:val="none"/>
        </w:rPr>
      </w:pPr>
    </w:p>
    <w:bookmarkEnd w:id="28"/>
    <w:bookmarkEnd w:id="29"/>
    <w:bookmarkEnd w:id="30"/>
    <w:bookmarkEnd w:id="31"/>
    <w:bookmarkEnd w:id="32"/>
    <w:bookmarkEnd w:id="33"/>
    <w:bookmarkEnd w:id="34"/>
    <w:bookmarkEnd w:id="35"/>
    <w:bookmarkEnd w:id="36"/>
    <w:bookmarkEnd w:id="37"/>
    <w:bookmarkEnd w:id="38"/>
    <w:p>
      <w:pPr>
        <w:pStyle w:val="3"/>
        <w:keepNext w:val="0"/>
        <w:keepLines w:val="0"/>
        <w:spacing w:before="0" w:after="0" w:line="360" w:lineRule="auto"/>
        <w:jc w:val="center"/>
        <w:rPr>
          <w:rFonts w:ascii="宋体" w:hAnsi="宋体" w:eastAsia="宋体"/>
          <w:color w:val="auto"/>
          <w:sz w:val="24"/>
          <w:szCs w:val="21"/>
          <w:highlight w:val="none"/>
        </w:rPr>
      </w:pPr>
      <w:bookmarkStart w:id="176" w:name="_Toc7834"/>
      <w:bookmarkStart w:id="177" w:name="_Toc18389"/>
      <w:bookmarkStart w:id="178" w:name="_Toc467049706"/>
      <w:bookmarkStart w:id="179" w:name="_Toc486671570"/>
      <w:bookmarkStart w:id="180" w:name="_Toc52027926"/>
      <w:bookmarkStart w:id="181" w:name="_Toc467236766"/>
      <w:bookmarkStart w:id="182" w:name="_Toc476976198"/>
      <w:bookmarkStart w:id="183" w:name="_Toc56353011"/>
      <w:bookmarkStart w:id="184" w:name="_Toc51756491"/>
      <w:bookmarkStart w:id="185" w:name="_Toc467050236"/>
      <w:bookmarkStart w:id="186" w:name="_Toc51939456"/>
      <w:bookmarkStart w:id="187" w:name="_Toc52021538"/>
      <w:bookmarkStart w:id="188" w:name="_Toc457975339"/>
      <w:r>
        <w:rPr>
          <w:rFonts w:hint="eastAsia" w:ascii="宋体" w:hAnsi="宋体" w:eastAsia="宋体"/>
          <w:color w:val="auto"/>
          <w:sz w:val="24"/>
          <w:szCs w:val="21"/>
          <w:highlight w:val="none"/>
          <w:lang w:val="en-US" w:eastAsia="zh-CN"/>
        </w:rPr>
        <w:t>第十章</w:t>
      </w:r>
      <w:r>
        <w:rPr>
          <w:rFonts w:hint="eastAsia" w:ascii="宋体" w:hAnsi="宋体" w:eastAsia="宋体"/>
          <w:color w:val="auto"/>
          <w:sz w:val="24"/>
          <w:szCs w:val="21"/>
          <w:highlight w:val="none"/>
        </w:rPr>
        <w:t>其他</w:t>
      </w:r>
      <w:bookmarkEnd w:id="176"/>
      <w:bookmarkEnd w:id="177"/>
    </w:p>
    <w:p>
      <w:pPr>
        <w:pStyle w:val="4"/>
        <w:keepNext w:val="0"/>
        <w:keepLines w:val="0"/>
        <w:numPr>
          <w:ilvl w:val="0"/>
          <w:numId w:val="3"/>
        </w:numPr>
        <w:adjustRightInd/>
        <w:spacing w:before="0" w:after="0" w:line="360" w:lineRule="auto"/>
        <w:rPr>
          <w:rFonts w:hAnsi="宋体"/>
          <w:color w:val="auto"/>
          <w:sz w:val="21"/>
          <w:szCs w:val="21"/>
          <w:highlight w:val="none"/>
        </w:rPr>
      </w:pPr>
      <w:bookmarkStart w:id="189" w:name="_Toc31522"/>
      <w:bookmarkStart w:id="190" w:name="_Toc10953"/>
      <w:r>
        <w:rPr>
          <w:rFonts w:hint="eastAsia" w:hAnsi="宋体"/>
          <w:color w:val="auto"/>
          <w:sz w:val="21"/>
          <w:szCs w:val="21"/>
          <w:highlight w:val="none"/>
        </w:rPr>
        <w:t>磋商文件的解释权</w:t>
      </w:r>
      <w:bookmarkEnd w:id="189"/>
      <w:bookmarkEnd w:id="190"/>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采购文件版本号：广东政通20210</w:t>
      </w:r>
      <w:r>
        <w:rPr>
          <w:rFonts w:hint="eastAsia" w:ascii="宋体" w:hAnsi="宋体"/>
          <w:color w:val="auto"/>
          <w:sz w:val="21"/>
          <w:szCs w:val="21"/>
          <w:highlight w:val="none"/>
          <w:lang w:val="en-US" w:eastAsia="zh-CN"/>
        </w:rPr>
        <w:t>618</w:t>
      </w:r>
      <w:r>
        <w:rPr>
          <w:rFonts w:hint="eastAsia" w:ascii="宋体" w:hAnsi="宋体" w:eastAsia="宋体"/>
          <w:color w:val="auto"/>
          <w:sz w:val="21"/>
          <w:szCs w:val="21"/>
          <w:highlight w:val="none"/>
        </w:rPr>
        <w:t>。</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本采购文件是根据国家有关法律、法规以及政府采购管理有关规定和参照国际惯例编制，解释权属本采购代理机构。</w:t>
      </w:r>
    </w:p>
    <w:p>
      <w:pPr>
        <w:bidi w:val="0"/>
        <w:rPr>
          <w:color w:val="auto"/>
          <w:highlight w:val="none"/>
        </w:rPr>
      </w:pPr>
      <w:r>
        <w:rPr>
          <w:color w:val="auto"/>
          <w:highlight w:val="none"/>
        </w:rPr>
        <w:br w:type="page"/>
      </w:r>
      <w:bookmarkEnd w:id="178"/>
      <w:bookmarkEnd w:id="179"/>
      <w:bookmarkEnd w:id="180"/>
      <w:bookmarkEnd w:id="181"/>
      <w:bookmarkEnd w:id="182"/>
      <w:bookmarkEnd w:id="183"/>
      <w:bookmarkEnd w:id="184"/>
      <w:bookmarkEnd w:id="185"/>
      <w:bookmarkEnd w:id="186"/>
      <w:bookmarkEnd w:id="187"/>
      <w:bookmarkEnd w:id="188"/>
    </w:p>
    <w:bookmarkEnd w:id="20"/>
    <w:p>
      <w:pPr>
        <w:pStyle w:val="3"/>
        <w:spacing w:before="0" w:after="0" w:line="240" w:lineRule="auto"/>
        <w:rPr>
          <w:rFonts w:hint="eastAsia"/>
          <w:color w:val="auto"/>
          <w:sz w:val="28"/>
          <w:szCs w:val="28"/>
          <w:highlight w:val="none"/>
        </w:rPr>
      </w:pPr>
      <w:bookmarkStart w:id="191" w:name="_Toc31854"/>
      <w:bookmarkStart w:id="192" w:name="_Toc7011"/>
      <w:bookmarkStart w:id="193" w:name="_Toc3162"/>
      <w:r>
        <w:rPr>
          <w:rFonts w:hint="eastAsia"/>
          <w:color w:val="auto"/>
          <w:sz w:val="28"/>
          <w:szCs w:val="28"/>
          <w:highlight w:val="none"/>
        </w:rPr>
        <w:t>第</w:t>
      </w:r>
      <w:r>
        <w:rPr>
          <w:rFonts w:hint="eastAsia"/>
          <w:color w:val="auto"/>
          <w:sz w:val="28"/>
          <w:szCs w:val="28"/>
          <w:highlight w:val="none"/>
          <w:lang w:val="en-US" w:eastAsia="zh-CN"/>
        </w:rPr>
        <w:t>五</w:t>
      </w:r>
      <w:r>
        <w:rPr>
          <w:rFonts w:hint="eastAsia"/>
          <w:color w:val="auto"/>
          <w:sz w:val="28"/>
          <w:szCs w:val="28"/>
          <w:highlight w:val="none"/>
        </w:rPr>
        <w:t>部分 用户需求书</w:t>
      </w:r>
      <w:bookmarkEnd w:id="191"/>
      <w:bookmarkEnd w:id="192"/>
      <w:bookmarkEnd w:id="193"/>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bookmarkStart w:id="194" w:name="_Toc31162"/>
      <w:r>
        <w:rPr>
          <w:rFonts w:hint="eastAsia" w:ascii="宋体" w:hAnsi="宋体"/>
          <w:color w:val="auto"/>
          <w:highlight w:val="none"/>
          <w:lang w:val="en-US" w:eastAsia="zh-CN"/>
        </w:rPr>
        <w:t>第一章 商务需求书</w:t>
      </w:r>
      <w:bookmarkEnd w:id="194"/>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41"/>
        <w:gridCol w:w="1468"/>
        <w:gridCol w:w="641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序号</w:t>
            </w:r>
          </w:p>
        </w:tc>
        <w:tc>
          <w:tcPr>
            <w:tcW w:w="1468"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条款名称</w:t>
            </w:r>
          </w:p>
        </w:tc>
        <w:tc>
          <w:tcPr>
            <w:tcW w:w="6413"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1</w:t>
            </w:r>
          </w:p>
        </w:tc>
        <w:tc>
          <w:tcPr>
            <w:tcW w:w="1468"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供应商资格要求</w:t>
            </w:r>
          </w:p>
        </w:tc>
        <w:tc>
          <w:tcPr>
            <w:tcW w:w="6413" w:type="dxa"/>
            <w:vAlign w:val="center"/>
          </w:tcPr>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ascii="宋体" w:hAnsi="宋体" w:cs="宋体"/>
                <w:color w:val="auto"/>
                <w:szCs w:val="24"/>
                <w:highlight w:val="none"/>
              </w:rPr>
            </w:pPr>
            <w:r>
              <w:rPr>
                <w:rFonts w:hint="eastAsia" w:ascii="宋体" w:hAnsi="宋体" w:cs="宋体"/>
                <w:color w:val="auto"/>
                <w:szCs w:val="24"/>
                <w:highlight w:val="none"/>
              </w:rPr>
              <w:t>详见磋商文件第二部分“供应商资格要求”。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2</w:t>
            </w:r>
          </w:p>
        </w:tc>
        <w:tc>
          <w:tcPr>
            <w:tcW w:w="1468"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完工期</w:t>
            </w:r>
          </w:p>
        </w:tc>
        <w:tc>
          <w:tcPr>
            <w:tcW w:w="6413" w:type="dxa"/>
            <w:vAlign w:val="center"/>
          </w:tcPr>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ascii="宋体" w:hAnsi="宋体" w:cs="宋体"/>
                <w:color w:val="auto"/>
                <w:szCs w:val="24"/>
                <w:highlight w:val="none"/>
              </w:rPr>
            </w:pPr>
            <w:r>
              <w:rPr>
                <w:rFonts w:hint="eastAsia" w:ascii="宋体" w:hAnsi="宋体" w:cs="宋体"/>
                <w:color w:val="auto"/>
                <w:szCs w:val="24"/>
                <w:highlight w:val="none"/>
              </w:rPr>
              <w:t>自合同签订后</w:t>
            </w:r>
            <w:r>
              <w:rPr>
                <w:rFonts w:hint="eastAsia" w:ascii="宋体" w:hAnsi="宋体" w:cs="宋体"/>
                <w:color w:val="auto"/>
                <w:szCs w:val="24"/>
                <w:highlight w:val="none"/>
                <w:lang w:val="en-US" w:eastAsia="zh-CN"/>
              </w:rPr>
              <w:t>40</w:t>
            </w:r>
            <w:r>
              <w:rPr>
                <w:rFonts w:hint="eastAsia" w:ascii="宋体" w:hAnsi="宋体" w:cs="宋体"/>
                <w:color w:val="auto"/>
                <w:szCs w:val="24"/>
                <w:highlight w:val="none"/>
              </w:rPr>
              <w:t>个日历天内完成。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3</w:t>
            </w:r>
          </w:p>
        </w:tc>
        <w:tc>
          <w:tcPr>
            <w:tcW w:w="1468"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质保期</w:t>
            </w:r>
          </w:p>
        </w:tc>
        <w:tc>
          <w:tcPr>
            <w:tcW w:w="6413" w:type="dxa"/>
            <w:vAlign w:val="center"/>
          </w:tcPr>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ascii="宋体" w:hAnsi="宋体" w:cs="宋体"/>
                <w:color w:val="auto"/>
                <w:szCs w:val="24"/>
                <w:highlight w:val="none"/>
              </w:rPr>
            </w:pPr>
            <w:r>
              <w:rPr>
                <w:rFonts w:hint="eastAsia" w:ascii="宋体" w:hAnsi="宋体" w:cs="宋体"/>
                <w:color w:val="auto"/>
                <w:szCs w:val="24"/>
                <w:highlight w:val="none"/>
              </w:rPr>
              <w:t>项目总体质保期为项目竣工验收合格之日起一年。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4</w:t>
            </w:r>
          </w:p>
        </w:tc>
        <w:tc>
          <w:tcPr>
            <w:tcW w:w="1468"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项目地点</w:t>
            </w:r>
          </w:p>
        </w:tc>
        <w:tc>
          <w:tcPr>
            <w:tcW w:w="6413" w:type="dxa"/>
            <w:vAlign w:val="center"/>
          </w:tcPr>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ascii="宋体" w:hAnsi="宋体" w:cs="宋体"/>
                <w:color w:val="auto"/>
                <w:szCs w:val="24"/>
                <w:highlight w:val="none"/>
              </w:rPr>
            </w:pPr>
            <w:r>
              <w:rPr>
                <w:rFonts w:hint="eastAsia" w:ascii="宋体" w:hAnsi="宋体" w:cs="宋体"/>
                <w:color w:val="auto"/>
                <w:szCs w:val="24"/>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5</w:t>
            </w:r>
          </w:p>
        </w:tc>
        <w:tc>
          <w:tcPr>
            <w:tcW w:w="1468"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报价内容</w:t>
            </w:r>
          </w:p>
        </w:tc>
        <w:tc>
          <w:tcPr>
            <w:tcW w:w="6413" w:type="dxa"/>
            <w:vAlign w:val="center"/>
          </w:tcPr>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ascii="宋体" w:hAnsi="宋体" w:cs="宋体"/>
                <w:color w:val="auto"/>
                <w:szCs w:val="24"/>
                <w:highlight w:val="none"/>
              </w:rPr>
            </w:pPr>
            <w:r>
              <w:rPr>
                <w:rFonts w:hint="eastAsia" w:ascii="宋体" w:hAnsi="宋体" w:cs="宋体"/>
                <w:color w:val="auto"/>
                <w:szCs w:val="24"/>
                <w:highlight w:val="none"/>
              </w:rPr>
              <w:t>报价应包工程施工费、安装费、包装费、运输费、人工费、保险费、调试费、各种税费、资料费、送检费、验收费、包括</w:t>
            </w:r>
            <w:r>
              <w:rPr>
                <w:rFonts w:hint="eastAsia" w:ascii="宋体" w:hAnsi="宋体" w:cs="宋体"/>
                <w:color w:val="auto"/>
                <w:szCs w:val="24"/>
                <w:highlight w:val="none"/>
                <w:lang w:val="en-US" w:eastAsia="zh-CN"/>
              </w:rPr>
              <w:t>拆除</w:t>
            </w:r>
            <w:r>
              <w:rPr>
                <w:rFonts w:hint="eastAsia" w:ascii="宋体" w:hAnsi="宋体" w:cs="宋体"/>
                <w:color w:val="auto"/>
                <w:szCs w:val="24"/>
                <w:highlight w:val="none"/>
              </w:rPr>
              <w:t>及原状恢复费用及合同实施过程中的不可预见费用等全部费用。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6</w:t>
            </w:r>
          </w:p>
        </w:tc>
        <w:tc>
          <w:tcPr>
            <w:tcW w:w="1468"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付款方式</w:t>
            </w:r>
          </w:p>
        </w:tc>
        <w:tc>
          <w:tcPr>
            <w:tcW w:w="6413"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ind w:firstLine="420" w:firstLineChars="200"/>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合同签订后支付合同总价的30%；</w:t>
            </w:r>
          </w:p>
          <w:p>
            <w:pPr>
              <w:keepNext w:val="0"/>
              <w:keepLines w:val="0"/>
              <w:pageBreakBefore w:val="0"/>
              <w:widowControl/>
              <w:numPr>
                <w:ilvl w:val="0"/>
                <w:numId w:val="0"/>
              </w:numPr>
              <w:kinsoku/>
              <w:wordWrap/>
              <w:overflowPunct/>
              <w:topLinePunct w:val="0"/>
              <w:autoSpaceDE/>
              <w:autoSpaceDN/>
              <w:bidi w:val="0"/>
              <w:adjustRightInd w:val="0"/>
              <w:snapToGrid w:val="0"/>
              <w:ind w:firstLine="420" w:firstLineChars="200"/>
              <w:textAlignment w:val="auto"/>
              <w:rPr>
                <w:rFonts w:ascii="宋体" w:hAnsi="宋体" w:cs="宋体"/>
                <w:color w:val="auto"/>
                <w:szCs w:val="24"/>
                <w:highlight w:val="none"/>
              </w:rPr>
            </w:pPr>
            <w:r>
              <w:rPr>
                <w:rFonts w:ascii="宋体" w:hAnsi="宋体" w:cs="宋体"/>
                <w:color w:val="auto"/>
                <w:szCs w:val="21"/>
                <w:highlight w:val="none"/>
              </w:rPr>
              <w:t>工程竣工验收合格，</w:t>
            </w:r>
            <w:r>
              <w:rPr>
                <w:rFonts w:hint="eastAsia" w:ascii="宋体" w:hAnsi="宋体" w:cs="宋体"/>
                <w:color w:val="auto"/>
                <w:szCs w:val="21"/>
                <w:highlight w:val="none"/>
              </w:rPr>
              <w:t>并</w:t>
            </w:r>
            <w:r>
              <w:rPr>
                <w:rFonts w:ascii="宋体" w:hAnsi="宋体" w:cs="宋体"/>
                <w:color w:val="auto"/>
                <w:szCs w:val="21"/>
                <w:highlight w:val="none"/>
              </w:rPr>
              <w:t>结算完毕后，提交请款报告30个工作日内</w:t>
            </w:r>
            <w:r>
              <w:rPr>
                <w:rFonts w:hint="eastAsia" w:ascii="宋体" w:hAnsi="宋体" w:cs="宋体"/>
                <w:color w:val="auto"/>
                <w:szCs w:val="21"/>
                <w:highlight w:val="none"/>
                <w:lang w:val="en-US" w:eastAsia="zh-CN"/>
              </w:rPr>
              <w:t>支</w:t>
            </w:r>
            <w:r>
              <w:rPr>
                <w:rFonts w:ascii="宋体" w:hAnsi="宋体" w:cs="宋体"/>
                <w:color w:val="auto"/>
                <w:szCs w:val="21"/>
                <w:highlight w:val="none"/>
              </w:rPr>
              <w:t>付至结算价的97%，剩余3%工程款作为工程质量保证金。</w:t>
            </w:r>
            <w:r>
              <w:rPr>
                <w:rFonts w:hint="eastAsia" w:ascii="宋体" w:hAnsi="宋体" w:cs="宋体"/>
                <w:color w:val="auto"/>
                <w:szCs w:val="21"/>
                <w:highlight w:val="none"/>
              </w:rPr>
              <w:t>质保期满1年后支付。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7</w:t>
            </w:r>
          </w:p>
        </w:tc>
        <w:tc>
          <w:tcPr>
            <w:tcW w:w="1468"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其它要求</w:t>
            </w:r>
          </w:p>
        </w:tc>
        <w:tc>
          <w:tcPr>
            <w:tcW w:w="6413" w:type="dxa"/>
          </w:tcPr>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ascii="宋体" w:hAnsi="宋体" w:cs="宋体"/>
                <w:color w:val="auto"/>
                <w:szCs w:val="24"/>
                <w:highlight w:val="none"/>
              </w:rPr>
            </w:pPr>
            <w:r>
              <w:rPr>
                <w:rFonts w:hint="eastAsia" w:ascii="宋体" w:hAnsi="宋体" w:cs="宋体"/>
                <w:color w:val="auto"/>
                <w:szCs w:val="24"/>
                <w:highlight w:val="none"/>
              </w:rPr>
              <w:t>成交供应商不得将项目非法分包或转包给任何单位和个人。否则采购人有权即刻终止合同，并由成交供应商赔偿相应损失。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4" w:hRule="atLeast"/>
          <w:jc w:val="center"/>
        </w:trPr>
        <w:tc>
          <w:tcPr>
            <w:tcW w:w="641"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8</w:t>
            </w:r>
          </w:p>
        </w:tc>
        <w:tc>
          <w:tcPr>
            <w:tcW w:w="1468" w:type="dxa"/>
            <w:vAlign w:val="center"/>
          </w:tcPr>
          <w:p>
            <w:pPr>
              <w:jc w:val="center"/>
              <w:rPr>
                <w:rFonts w:ascii="宋体" w:hAnsi="宋体" w:cs="宋体"/>
                <w:color w:val="auto"/>
                <w:szCs w:val="24"/>
                <w:highlight w:val="none"/>
              </w:rPr>
            </w:pPr>
            <w:r>
              <w:rPr>
                <w:rFonts w:hint="eastAsia" w:ascii="宋体" w:hAnsi="宋体" w:cs="宋体"/>
                <w:color w:val="auto"/>
                <w:szCs w:val="24"/>
                <w:highlight w:val="none"/>
              </w:rPr>
              <w:t>合同条款</w:t>
            </w:r>
          </w:p>
        </w:tc>
        <w:tc>
          <w:tcPr>
            <w:tcW w:w="6413" w:type="dxa"/>
          </w:tcPr>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ascii="宋体" w:hAnsi="宋体" w:cs="宋体"/>
                <w:color w:val="auto"/>
                <w:szCs w:val="24"/>
                <w:highlight w:val="none"/>
              </w:rPr>
            </w:pPr>
            <w:r>
              <w:rPr>
                <w:rFonts w:hint="eastAsia" w:ascii="宋体" w:hAnsi="宋体" w:cs="宋体"/>
                <w:color w:val="auto"/>
                <w:szCs w:val="24"/>
                <w:highlight w:val="none"/>
              </w:rPr>
              <w:t>供应商实质响应合同各条款。</w:t>
            </w:r>
          </w:p>
        </w:tc>
      </w:tr>
    </w:tbl>
    <w:p>
      <w:pPr>
        <w:bidi w:val="0"/>
        <w:rPr>
          <w:rFonts w:hint="eastAsia"/>
          <w:color w:val="auto"/>
          <w:highlight w:val="none"/>
          <w:lang w:val="en-US" w:eastAsia="zh-CN"/>
        </w:rPr>
      </w:pPr>
    </w:p>
    <w:p>
      <w:pPr>
        <w:pStyle w:val="7"/>
        <w:rPr>
          <w:rFonts w:hint="eastAsia"/>
          <w:color w:val="auto"/>
          <w:highlight w:val="none"/>
          <w:lang w:val="en-US" w:eastAsia="zh-CN"/>
        </w:rPr>
      </w:pPr>
    </w:p>
    <w:p>
      <w:pPr>
        <w:rPr>
          <w:rFonts w:hint="eastAsia"/>
          <w:color w:val="auto"/>
          <w:highlight w:val="none"/>
          <w:lang w:val="en-US" w:eastAsia="zh-CN"/>
        </w:rPr>
      </w:pPr>
    </w:p>
    <w:p>
      <w:pPr>
        <w:bidi w:val="0"/>
        <w:rPr>
          <w:rFonts w:hint="eastAsia"/>
          <w:color w:val="auto"/>
          <w:highlight w:val="none"/>
          <w:lang w:val="en-US" w:eastAsia="zh-CN"/>
        </w:rPr>
      </w:pPr>
    </w:p>
    <w:p>
      <w:pPr>
        <w:pStyle w:val="7"/>
        <w:rPr>
          <w:rFonts w:hint="eastAsia"/>
          <w:color w:val="auto"/>
          <w:highlight w:val="none"/>
          <w:lang w:val="en-US" w:eastAsia="zh-CN"/>
        </w:rPr>
      </w:pPr>
    </w:p>
    <w:p>
      <w:pPr>
        <w:rPr>
          <w:rFonts w:hint="eastAsia"/>
          <w:color w:val="auto"/>
          <w:highlight w:val="none"/>
          <w:lang w:val="en-US" w:eastAsia="zh-CN"/>
        </w:rPr>
      </w:pPr>
    </w:p>
    <w:p>
      <w:pPr>
        <w:pStyle w:val="7"/>
        <w:rPr>
          <w:rFonts w:hint="eastAsia"/>
          <w:color w:val="auto"/>
          <w:highlight w:val="none"/>
          <w:lang w:val="en-US" w:eastAsia="zh-CN"/>
        </w:rPr>
      </w:pPr>
    </w:p>
    <w:p>
      <w:pPr>
        <w:rPr>
          <w:rFonts w:hint="eastAsia"/>
          <w:color w:val="auto"/>
          <w:highlight w:val="none"/>
          <w:lang w:val="en-US" w:eastAsia="zh-CN"/>
        </w:rPr>
      </w:pPr>
    </w:p>
    <w:p>
      <w:pPr>
        <w:pStyle w:val="7"/>
        <w:rPr>
          <w:rFonts w:hint="eastAsia"/>
          <w:color w:val="auto"/>
          <w:highlight w:val="none"/>
          <w:lang w:val="en-US" w:eastAsia="zh-CN"/>
        </w:rPr>
      </w:pPr>
    </w:p>
    <w:p>
      <w:pPr>
        <w:rPr>
          <w:rFonts w:hint="eastAsia"/>
          <w:color w:val="auto"/>
          <w:highlight w:val="none"/>
          <w:lang w:val="en-US" w:eastAsia="zh-CN"/>
        </w:rPr>
      </w:pPr>
    </w:p>
    <w:p>
      <w:pPr>
        <w:pStyle w:val="7"/>
        <w:rPr>
          <w:rFonts w:hint="eastAsia"/>
          <w:color w:val="auto"/>
          <w:highlight w:val="none"/>
          <w:lang w:val="en-US" w:eastAsia="zh-CN"/>
        </w:rPr>
      </w:pPr>
    </w:p>
    <w:p>
      <w:pPr>
        <w:rPr>
          <w:rFonts w:hint="eastAsia"/>
          <w:color w:val="auto"/>
          <w:highlight w:val="none"/>
          <w:lang w:val="en-US" w:eastAsia="zh-CN"/>
        </w:rPr>
      </w:pPr>
    </w:p>
    <w:p>
      <w:pPr>
        <w:rPr>
          <w:rFonts w:hint="eastAsia"/>
          <w:color w:val="auto"/>
          <w:highlight w:val="none"/>
          <w:lang w:val="en-US" w:eastAsia="zh-CN"/>
        </w:rPr>
      </w:pPr>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color w:val="auto"/>
          <w:highlight w:val="none"/>
        </w:rPr>
      </w:pPr>
      <w:bookmarkStart w:id="195" w:name="_Toc19981"/>
      <w:r>
        <w:rPr>
          <w:rFonts w:hint="eastAsia" w:ascii="宋体" w:hAnsi="宋体"/>
          <w:color w:val="auto"/>
          <w:highlight w:val="none"/>
          <w:lang w:val="en-US" w:eastAsia="zh-CN"/>
        </w:rPr>
        <w:t>第二章 技术需求书</w:t>
      </w:r>
      <w:bookmarkEnd w:id="195"/>
      <w:bookmarkStart w:id="196" w:name="_Toc13112"/>
      <w:bookmarkStart w:id="197" w:name="_Toc24679"/>
      <w:bookmarkStart w:id="198" w:name="_Toc14462"/>
      <w:bookmarkStart w:id="199" w:name="_Toc31278"/>
    </w:p>
    <w:p>
      <w:pPr>
        <w:pStyle w:val="5"/>
        <w:bidi w:val="0"/>
        <w:rPr>
          <w:rFonts w:eastAsia="宋体"/>
          <w:color w:val="auto"/>
          <w:highlight w:val="none"/>
        </w:rPr>
      </w:pPr>
      <w:r>
        <w:rPr>
          <w:rFonts w:hint="eastAsia"/>
          <w:color w:val="auto"/>
          <w:highlight w:val="none"/>
          <w:lang w:val="en-US" w:eastAsia="zh-CN"/>
        </w:rPr>
        <w:t>一</w:t>
      </w:r>
      <w:r>
        <w:rPr>
          <w:rFonts w:hint="eastAsia" w:eastAsia="宋体"/>
          <w:color w:val="auto"/>
          <w:highlight w:val="none"/>
          <w:lang w:val="en-US" w:eastAsia="zh-CN"/>
        </w:rPr>
        <w:t>、</w:t>
      </w:r>
      <w:r>
        <w:rPr>
          <w:rFonts w:hint="eastAsia" w:eastAsia="宋体"/>
          <w:color w:val="auto"/>
          <w:highlight w:val="none"/>
        </w:rPr>
        <w:t>技术标准和要求</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1、本招标项目的材料、施工、验收须达到现行中华人民共和国以及省、自治区、直辖市、市或行业的工程建设标准、规范的要求。</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2、施工要求：</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2.1.所采用的材料、设备必须满足国家有关技术操作规程的要求。</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2.2施工组织方案需列明保证施工进度计划实施及保证质量、安全生产、文明施工、环境保护的措施；中标（成交）供应商应结合自身的实际情况制定合理的施工进度计划。</w:t>
      </w:r>
    </w:p>
    <w:p>
      <w:pPr>
        <w:spacing w:after="0" w:line="360" w:lineRule="auto"/>
        <w:ind w:firstLine="420" w:firstLineChars="20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2.3.结合施工现场的实际情况进行施工组织设计（如须采用较复杂的施工技术的施工方案），施工中因施工方案及施工措施所引起的费用由中标（成交）供应商负责。</w:t>
      </w:r>
    </w:p>
    <w:p>
      <w:pPr>
        <w:bidi w:val="0"/>
        <w:rPr>
          <w:color w:val="auto"/>
          <w:highlight w:val="none"/>
        </w:rPr>
      </w:pPr>
    </w:p>
    <w:p>
      <w:pPr>
        <w:pStyle w:val="5"/>
        <w:bidi w:val="0"/>
        <w:rPr>
          <w:rFonts w:hint="eastAsia" w:eastAsia="宋体"/>
          <w:color w:val="auto"/>
          <w:highlight w:val="none"/>
        </w:rPr>
      </w:pPr>
      <w:r>
        <w:rPr>
          <w:rFonts w:hint="eastAsia"/>
          <w:color w:val="auto"/>
          <w:highlight w:val="none"/>
          <w:lang w:val="en-US" w:eastAsia="zh-CN"/>
        </w:rPr>
        <w:t>二</w:t>
      </w:r>
      <w:r>
        <w:rPr>
          <w:rFonts w:hint="eastAsia" w:eastAsia="宋体"/>
          <w:color w:val="auto"/>
          <w:highlight w:val="none"/>
          <w:lang w:val="en-US" w:eastAsia="zh-CN"/>
        </w:rPr>
        <w:t>、</w:t>
      </w:r>
      <w:r>
        <w:rPr>
          <w:rFonts w:hint="eastAsia" w:eastAsia="宋体"/>
          <w:color w:val="auto"/>
          <w:highlight w:val="none"/>
        </w:rPr>
        <w:t>质量保证</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1、自项目竣工验收合格之日起算，在质保期内因质量问题以及工程竣工未交付采购人之前因中标（成交）供应商保管不力而导致的返工、翻工、维修等各项相关费用均由中标（成交）供应商承担。</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在施工过程中，中标（成交）供应商必须保证质量，选用的材料和施工质量要求符合合同所列标准。如中标（成交）供应商投标时承诺的技术标准高于采购人要求，则按中标（成交）供应商投标文件的要求标准提供产品及施工。</w:t>
      </w:r>
    </w:p>
    <w:p>
      <w:pPr>
        <w:spacing w:after="0" w:line="360" w:lineRule="auto"/>
        <w:ind w:firstLine="420" w:firstLineChars="200"/>
        <w:textAlignment w:val="baseline"/>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3、中标（成交）供应商应建立并实施符合工程各项要求的质量管理体系，如因中标（成交）供应商原因，使得项目工作受到影响，相应责任由中标（成交）供应商承担</w:t>
      </w:r>
      <w:r>
        <w:rPr>
          <w:rFonts w:hint="eastAsia" w:ascii="宋体" w:hAnsi="宋体" w:eastAsia="宋体" w:cs="宋体"/>
          <w:color w:val="auto"/>
          <w:sz w:val="21"/>
          <w:szCs w:val="21"/>
          <w:highlight w:val="none"/>
          <w:lang w:eastAsia="zh-CN"/>
        </w:rPr>
        <w:t>。</w:t>
      </w:r>
    </w:p>
    <w:p>
      <w:pPr>
        <w:pStyle w:val="7"/>
        <w:rPr>
          <w:color w:val="auto"/>
          <w:highlight w:val="none"/>
        </w:rPr>
      </w:pPr>
    </w:p>
    <w:p>
      <w:pPr>
        <w:pStyle w:val="5"/>
        <w:bidi w:val="0"/>
        <w:rPr>
          <w:rFonts w:hint="eastAsia" w:eastAsia="宋体"/>
          <w:color w:val="auto"/>
          <w:highlight w:val="none"/>
        </w:rPr>
      </w:pPr>
      <w:r>
        <w:rPr>
          <w:rFonts w:hint="eastAsia"/>
          <w:color w:val="auto"/>
          <w:highlight w:val="none"/>
          <w:lang w:val="en-US" w:eastAsia="zh-CN"/>
        </w:rPr>
        <w:t>三</w:t>
      </w:r>
      <w:r>
        <w:rPr>
          <w:rFonts w:hint="eastAsia" w:eastAsia="宋体"/>
          <w:color w:val="auto"/>
          <w:highlight w:val="none"/>
          <w:lang w:val="en-US" w:eastAsia="zh-CN"/>
        </w:rPr>
        <w:t>、</w:t>
      </w:r>
      <w:r>
        <w:rPr>
          <w:rFonts w:hint="eastAsia" w:eastAsia="宋体"/>
          <w:color w:val="auto"/>
          <w:highlight w:val="none"/>
        </w:rPr>
        <w:t>服务企业应当履行下列义务</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1、遵守国家法律、法规和政策，遵守社会公德，自觉维护建筑市场秩序。</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2、遵守诚实信用原则，积极与采购人建立良好合作关系，认真履行服务合同。</w:t>
      </w:r>
    </w:p>
    <w:p>
      <w:pPr>
        <w:spacing w:after="0" w:line="360" w:lineRule="auto"/>
        <w:ind w:firstLine="420" w:firstLineChars="20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3、严格服从管理要求，自觉接受履约评价。</w:t>
      </w:r>
    </w:p>
    <w:p>
      <w:pPr>
        <w:bidi w:val="0"/>
        <w:rPr>
          <w:rFonts w:hint="eastAsia"/>
          <w:color w:val="auto"/>
          <w:highlight w:val="none"/>
        </w:rPr>
      </w:pPr>
    </w:p>
    <w:p>
      <w:pPr>
        <w:pStyle w:val="5"/>
        <w:numPr>
          <w:ilvl w:val="0"/>
          <w:numId w:val="0"/>
        </w:numPr>
        <w:bidi w:val="0"/>
        <w:rPr>
          <w:rFonts w:hint="eastAsia" w:eastAsia="宋体"/>
          <w:color w:val="auto"/>
          <w:highlight w:val="none"/>
          <w:lang w:val="en-US" w:eastAsia="zh-CN"/>
        </w:rPr>
      </w:pPr>
      <w:r>
        <w:rPr>
          <w:rFonts w:hint="eastAsia"/>
          <w:color w:val="auto"/>
          <w:highlight w:val="none"/>
          <w:lang w:val="en-US" w:eastAsia="zh-CN"/>
        </w:rPr>
        <w:t>四、</w:t>
      </w:r>
      <w:r>
        <w:rPr>
          <w:rFonts w:hint="eastAsia" w:eastAsia="宋体"/>
          <w:color w:val="auto"/>
          <w:highlight w:val="none"/>
          <w:lang w:val="en-US" w:eastAsia="zh-CN"/>
        </w:rPr>
        <w:t>工程量清单</w:t>
      </w:r>
    </w:p>
    <w:p>
      <w:pPr>
        <w:numPr>
          <w:ilvl w:val="0"/>
          <w:numId w:val="0"/>
        </w:numPr>
        <w:rPr>
          <w:rFonts w:hint="eastAsia"/>
          <w:color w:val="auto"/>
          <w:highlight w:val="none"/>
          <w:lang w:val="en-US" w:eastAsia="zh-CN"/>
        </w:rPr>
      </w:pPr>
      <w:r>
        <w:rPr>
          <w:rFonts w:hint="eastAsia"/>
          <w:color w:val="auto"/>
          <w:highlight w:val="none"/>
          <w:lang w:val="en-US" w:eastAsia="zh-CN"/>
        </w:rPr>
        <w:t>1、装饰工程</w:t>
      </w:r>
    </w:p>
    <w:tbl>
      <w:tblPr>
        <w:tblStyle w:val="22"/>
        <w:tblW w:w="0" w:type="auto"/>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8"/>
        <w:gridCol w:w="1320"/>
        <w:gridCol w:w="4050"/>
        <w:gridCol w:w="1154"/>
        <w:gridCol w:w="9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18"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32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项目名称</w:t>
            </w:r>
          </w:p>
        </w:tc>
        <w:tc>
          <w:tcPr>
            <w:tcW w:w="405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项目特征描述</w:t>
            </w:r>
          </w:p>
        </w:tc>
        <w:tc>
          <w:tcPr>
            <w:tcW w:w="115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计量单位</w:t>
            </w:r>
          </w:p>
        </w:tc>
        <w:tc>
          <w:tcPr>
            <w:tcW w:w="951"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18"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32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405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15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95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818"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32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405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15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95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trPr>
        <w:tc>
          <w:tcPr>
            <w:tcW w:w="81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拆除工程</w:t>
            </w:r>
          </w:p>
        </w:tc>
        <w:tc>
          <w:tcPr>
            <w:tcW w:w="4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auto"/>
                <w:sz w:val="21"/>
                <w:szCs w:val="21"/>
                <w:highlight w:val="none"/>
                <w:u w:val="none"/>
              </w:rPr>
            </w:pP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auto"/>
                <w:sz w:val="21"/>
                <w:szCs w:val="21"/>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81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平面块料拆除</w:t>
            </w:r>
          </w:p>
        </w:tc>
        <w:tc>
          <w:tcPr>
            <w:tcW w:w="4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1.平面块料拆除 块料面层 水泥砂浆结合层 铲除找平层 人工费+200</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2.拆除废料外运 人工装自卸汽车运 3km内 实际运距(km):20</w:t>
            </w: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225.55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81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砖砌体拆除</w:t>
            </w:r>
          </w:p>
        </w:tc>
        <w:tc>
          <w:tcPr>
            <w:tcW w:w="4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1.墙体拆除 砖砌墙体 实心砖墙</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2.拆除废料外运 人工装自卸汽车运 3km内 实际运距(km):20</w:t>
            </w: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m3</w:t>
            </w:r>
          </w:p>
        </w:tc>
        <w:tc>
          <w:tcPr>
            <w:tcW w:w="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36.501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81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开门窗洞口</w:t>
            </w:r>
          </w:p>
        </w:tc>
        <w:tc>
          <w:tcPr>
            <w:tcW w:w="4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1.开门窗洞口 180墙 合并制作子目 砌筑用水泥砂浆(配合比) 中砂 M7.5</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2.拆除废料外运 人工装自卸汽车运 3km内 实际运距(km):20</w:t>
            </w: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81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金属门窗拆除 2.5m2以内</w:t>
            </w:r>
          </w:p>
        </w:tc>
        <w:tc>
          <w:tcPr>
            <w:tcW w:w="4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1.门窗拆除(整樘) 金属 2.5m2以内 </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2.拆除废料外运 人工装自卸汽车运 运距(km):20</w:t>
            </w: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15.089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81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金属门窗拆除 2.5-4m2以内</w:t>
            </w:r>
          </w:p>
        </w:tc>
        <w:tc>
          <w:tcPr>
            <w:tcW w:w="4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1.门窗拆除(整樘) 金属 2.5-4m2以内</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2.拆除废料外运 人工装自卸汽车运 运距(km):20</w:t>
            </w: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1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砌筑工程</w:t>
            </w:r>
          </w:p>
        </w:tc>
        <w:tc>
          <w:tcPr>
            <w:tcW w:w="4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auto"/>
                <w:sz w:val="21"/>
                <w:szCs w:val="21"/>
                <w:highlight w:val="none"/>
                <w:u w:val="none"/>
              </w:rPr>
            </w:pP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auto"/>
                <w:sz w:val="21"/>
                <w:szCs w:val="21"/>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81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蒸压加气混凝土砌块内墙 墙体厚度 20cm</w:t>
            </w:r>
          </w:p>
        </w:tc>
        <w:tc>
          <w:tcPr>
            <w:tcW w:w="4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1.蒸压加气混凝土砌块内墙 墙体厚度 20cm 合并制作子目 砌筑用水泥砂浆(配合比) 中砂 M7.5</w:t>
            </w: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m3</w:t>
            </w:r>
          </w:p>
        </w:tc>
        <w:tc>
          <w:tcPr>
            <w:tcW w:w="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0.3208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81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蒸压加气混凝土砌块内墙 墙体厚度 10cm</w:t>
            </w:r>
          </w:p>
        </w:tc>
        <w:tc>
          <w:tcPr>
            <w:tcW w:w="4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1.蒸压加气混凝土砌块内墙 墙体厚度 10cm 合并制作子目 砌筑用水泥砂浆(配合比) 中砂 M7.5</w:t>
            </w: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m3</w:t>
            </w:r>
          </w:p>
        </w:tc>
        <w:tc>
          <w:tcPr>
            <w:tcW w:w="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10.1072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81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过梁 C30</w:t>
            </w:r>
          </w:p>
        </w:tc>
        <w:tc>
          <w:tcPr>
            <w:tcW w:w="4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1.现浇建筑物混凝土 圈、过、弧形梁 合并制作子目 普通预拌混凝土 碎石粒径综合考虑 C30</w:t>
            </w: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m3</w:t>
            </w:r>
          </w:p>
        </w:tc>
        <w:tc>
          <w:tcPr>
            <w:tcW w:w="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1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门窗工程</w:t>
            </w:r>
          </w:p>
        </w:tc>
        <w:tc>
          <w:tcPr>
            <w:tcW w:w="4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auto"/>
                <w:sz w:val="21"/>
                <w:szCs w:val="21"/>
                <w:highlight w:val="none"/>
                <w:u w:val="none"/>
              </w:rPr>
            </w:pP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auto"/>
                <w:sz w:val="21"/>
                <w:szCs w:val="21"/>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81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铝合金玻璃门（1.8m*2.2m）</w:t>
            </w:r>
          </w:p>
        </w:tc>
        <w:tc>
          <w:tcPr>
            <w:tcW w:w="4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1.地弹门安装 铝合金玻璃门</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2.特殊五金安装 拉手安装 长度30以下</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3.特殊五金安装 地弹簧</w:t>
            </w: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81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隐形门</w:t>
            </w:r>
          </w:p>
        </w:tc>
        <w:tc>
          <w:tcPr>
            <w:tcW w:w="4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1.特殊五金安装 门磁吸安装</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2.特殊五金安装 天地轴承</w:t>
            </w: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81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成品实木门</w:t>
            </w:r>
          </w:p>
        </w:tc>
        <w:tc>
          <w:tcPr>
            <w:tcW w:w="4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1.成品实木门</w:t>
            </w: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81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铝合金窗</w:t>
            </w:r>
          </w:p>
        </w:tc>
        <w:tc>
          <w:tcPr>
            <w:tcW w:w="4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1.平开窗安装 换为【平板玻璃8】</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2.铝合金单扇平开窗38系列</w:t>
            </w: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81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楼地面装饰工程</w:t>
            </w:r>
          </w:p>
        </w:tc>
        <w:tc>
          <w:tcPr>
            <w:tcW w:w="4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auto"/>
                <w:sz w:val="21"/>
                <w:szCs w:val="21"/>
                <w:highlight w:val="none"/>
                <w:u w:val="none"/>
              </w:rPr>
            </w:pP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auto"/>
                <w:sz w:val="21"/>
                <w:szCs w:val="21"/>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81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块料楼地面</w:t>
            </w:r>
          </w:p>
        </w:tc>
        <w:tc>
          <w:tcPr>
            <w:tcW w:w="4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1、防滑抛光砖地砖800*800</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2、50mm厚1：3水泥砂浆找平</w:t>
            </w: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234.41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81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不锈钢踢脚线</w:t>
            </w:r>
          </w:p>
        </w:tc>
        <w:tc>
          <w:tcPr>
            <w:tcW w:w="4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1.不锈钢踢脚线</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2.宽度10cm</w:t>
            </w: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12.393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81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墙、柱面装饰与隔断、幕墙工程</w:t>
            </w:r>
          </w:p>
        </w:tc>
        <w:tc>
          <w:tcPr>
            <w:tcW w:w="4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auto"/>
                <w:sz w:val="21"/>
                <w:szCs w:val="21"/>
                <w:highlight w:val="none"/>
                <w:u w:val="none"/>
              </w:rPr>
            </w:pP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auto"/>
                <w:sz w:val="21"/>
                <w:szCs w:val="21"/>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81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墙面一般抹灰</w:t>
            </w:r>
          </w:p>
        </w:tc>
        <w:tc>
          <w:tcPr>
            <w:tcW w:w="4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1、20mm厚1：2.5水泥砂浆抹灰</w:t>
            </w: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192.522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81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全玻(无框玻璃)幕墙</w:t>
            </w:r>
          </w:p>
        </w:tc>
        <w:tc>
          <w:tcPr>
            <w:tcW w:w="4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1.平面(含折线)铝合金玻璃幕墙 楼层高3.2m,玻璃分格(宽×高)1050×1600 全明框 换为【钢化玻璃12】</w:t>
            </w: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106.985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81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幕墙上悬窗增加费</w:t>
            </w:r>
          </w:p>
        </w:tc>
        <w:tc>
          <w:tcPr>
            <w:tcW w:w="4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1.平面(含折线)铝合金玻璃幕墙 幕墙上悬窗增加费</w:t>
            </w: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81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墙面装饰板（E5剖面）</w:t>
            </w:r>
          </w:p>
        </w:tc>
        <w:tc>
          <w:tcPr>
            <w:tcW w:w="4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1.轻钢龙骨 中距(mm) 竖603横1500</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2.阻燃板基层 9mm</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3.玻璃棉毡隔离层</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4.饰面层 拼纹造型</w:t>
            </w: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81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墙面装饰板（E6剖面）</w:t>
            </w:r>
          </w:p>
        </w:tc>
        <w:tc>
          <w:tcPr>
            <w:tcW w:w="4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1.轻钢龙骨 中距(mm) 竖603横1500</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2.饰面层 拼纹造型</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3.金属饰线(直线) 玻璃胶粘贴 宽度30mm以内</w:t>
            </w: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62.12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81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墙面装饰板（G7剖面）</w:t>
            </w:r>
          </w:p>
        </w:tc>
        <w:tc>
          <w:tcPr>
            <w:tcW w:w="4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1.轻钢龙骨 中距(mm) 竖603横1500</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2.阻燃板基层 9mm</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3.玻璃棉毡隔离层</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4.饰面层 拼纹造型</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5.墙柱面 普通壁纸 对花</w:t>
            </w: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81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墙面装饰板（H8剖面）</w:t>
            </w:r>
          </w:p>
        </w:tc>
        <w:tc>
          <w:tcPr>
            <w:tcW w:w="4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1.轻钢龙骨 中距(mm) 竖603横1500</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2.饰面层 GRC复合墙板</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3.金属饰线(直线) 玻璃胶粘贴 宽度30mm以内</w:t>
            </w: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1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大理石背景墙</w:t>
            </w:r>
          </w:p>
        </w:tc>
        <w:tc>
          <w:tcPr>
            <w:tcW w:w="4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1.挂贴大理石背景墙</w:t>
            </w: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81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400*800墙砖</w:t>
            </w:r>
          </w:p>
        </w:tc>
        <w:tc>
          <w:tcPr>
            <w:tcW w:w="4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1.墙面镶贴陶瓷面砖400*800</w:t>
            </w: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81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天棚工程</w:t>
            </w:r>
          </w:p>
        </w:tc>
        <w:tc>
          <w:tcPr>
            <w:tcW w:w="4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auto"/>
                <w:sz w:val="21"/>
                <w:szCs w:val="21"/>
                <w:highlight w:val="none"/>
                <w:u w:val="none"/>
              </w:rPr>
            </w:pP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auto"/>
                <w:sz w:val="21"/>
                <w:szCs w:val="21"/>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81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吊顶天棚</w:t>
            </w:r>
          </w:p>
        </w:tc>
        <w:tc>
          <w:tcPr>
            <w:tcW w:w="4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1.阶梯型天棚 轻钢龙骨</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2.阶梯型天棚 胶合板 直线型</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3.阶梯型天棚 直线型 石膏板</w:t>
            </w: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233.66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81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灯光孔(每个面积在m2以内)开孔 0.02</w:t>
            </w:r>
          </w:p>
        </w:tc>
        <w:tc>
          <w:tcPr>
            <w:tcW w:w="4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1.灯光孔、风口(每个面积在m2以内)开孔 0.02</w:t>
            </w: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81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灯光孔(每个面积在m2以内)开孔 0.1</w:t>
            </w:r>
          </w:p>
        </w:tc>
        <w:tc>
          <w:tcPr>
            <w:tcW w:w="4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1.灯光孔、风口(每个面积在m2以内)开孔 0.1</w:t>
            </w: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81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灯光孔(每个面积在m2以内)开孔 0.8</w:t>
            </w:r>
          </w:p>
        </w:tc>
        <w:tc>
          <w:tcPr>
            <w:tcW w:w="4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1.灯光孔、风口(每个面积在m2以内)开孔 0.5</w:t>
            </w: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81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油漆、涂料、裱糊工程</w:t>
            </w:r>
          </w:p>
        </w:tc>
        <w:tc>
          <w:tcPr>
            <w:tcW w:w="4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auto"/>
                <w:sz w:val="21"/>
                <w:szCs w:val="21"/>
                <w:highlight w:val="none"/>
                <w:u w:val="none"/>
              </w:rPr>
            </w:pP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auto"/>
                <w:sz w:val="21"/>
                <w:szCs w:val="21"/>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81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乳胶漆天棚</w:t>
            </w:r>
          </w:p>
        </w:tc>
        <w:tc>
          <w:tcPr>
            <w:tcW w:w="4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1.成品腻子粉(一般型)Y型 天棚面 满刮一遍 实际腻子遍数(遍):3</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2.乳胶漆底油二遍面油二遍 抹灰面 天棚面 实际面漆遍数(遍):3</w:t>
            </w: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269.63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81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乳胶漆墙面</w:t>
            </w:r>
          </w:p>
        </w:tc>
        <w:tc>
          <w:tcPr>
            <w:tcW w:w="4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1.成品腻子粉(一般型)Y型 墙面 满刮一遍 实际腻子遍数(遍):3</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2.乳胶漆底油二遍面油二遍 抹灰面 墙柱面 实际面漆遍数(遍):3</w:t>
            </w: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91.182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81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其他装饰工程</w:t>
            </w:r>
          </w:p>
        </w:tc>
        <w:tc>
          <w:tcPr>
            <w:tcW w:w="4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auto"/>
                <w:sz w:val="21"/>
                <w:szCs w:val="21"/>
                <w:highlight w:val="none"/>
                <w:u w:val="none"/>
              </w:rPr>
            </w:pP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auto"/>
                <w:sz w:val="21"/>
                <w:szCs w:val="21"/>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81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不锈钢装饰线条</w:t>
            </w:r>
          </w:p>
        </w:tc>
        <w:tc>
          <w:tcPr>
            <w:tcW w:w="4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1.金属饰线(直线) 玻璃胶粘贴 宽度120mm</w:t>
            </w: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81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展览柜子</w:t>
            </w:r>
          </w:p>
        </w:tc>
        <w:tc>
          <w:tcPr>
            <w:tcW w:w="4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1.展览柜子</w:t>
            </w: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1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低柜</w:t>
            </w:r>
          </w:p>
        </w:tc>
        <w:tc>
          <w:tcPr>
            <w:tcW w:w="4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1.低柜</w:t>
            </w: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1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吊柜</w:t>
            </w:r>
          </w:p>
        </w:tc>
        <w:tc>
          <w:tcPr>
            <w:tcW w:w="4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1.吊柜</w:t>
            </w: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1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措施项目</w:t>
            </w:r>
          </w:p>
        </w:tc>
        <w:tc>
          <w:tcPr>
            <w:tcW w:w="4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auto"/>
                <w:sz w:val="21"/>
                <w:szCs w:val="21"/>
                <w:highlight w:val="none"/>
                <w:u w:val="none"/>
              </w:rPr>
            </w:pP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auto"/>
                <w:sz w:val="21"/>
                <w:szCs w:val="21"/>
                <w:highlight w:val="none"/>
                <w:u w:val="none"/>
              </w:rPr>
            </w:pPr>
          </w:p>
        </w:tc>
        <w:tc>
          <w:tcPr>
            <w:tcW w:w="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81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墙柱面活动脚手架</w:t>
            </w:r>
          </w:p>
        </w:tc>
        <w:tc>
          <w:tcPr>
            <w:tcW w:w="4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1.墙柱面活动脚手架</w:t>
            </w: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488.635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81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天棚活动脚手架</w:t>
            </w:r>
          </w:p>
        </w:tc>
        <w:tc>
          <w:tcPr>
            <w:tcW w:w="4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1.天棚活动脚手架</w:t>
            </w: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234.41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1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w:t>
            </w:r>
          </w:p>
        </w:tc>
        <w:tc>
          <w:tcPr>
            <w:tcW w:w="13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过梁模板</w:t>
            </w:r>
          </w:p>
        </w:tc>
        <w:tc>
          <w:tcPr>
            <w:tcW w:w="4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1.圈梁模板 支模高度3.6m</w:t>
            </w: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5.5556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1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37</w:t>
            </w:r>
          </w:p>
        </w:tc>
        <w:tc>
          <w:tcPr>
            <w:tcW w:w="53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措施项目费</w:t>
            </w: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项</w:t>
            </w:r>
          </w:p>
        </w:tc>
        <w:tc>
          <w:tcPr>
            <w:tcW w:w="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r>
    </w:tbl>
    <w:p>
      <w:pPr>
        <w:bidi w:val="0"/>
        <w:rPr>
          <w:rFonts w:hint="eastAsia"/>
          <w:color w:val="auto"/>
          <w:highlight w:val="none"/>
          <w:lang w:val="en-US" w:eastAsia="zh-CN"/>
        </w:rPr>
      </w:pPr>
      <w:r>
        <w:rPr>
          <w:rFonts w:hint="eastAsia"/>
          <w:color w:val="auto"/>
          <w:highlight w:val="none"/>
          <w:lang w:val="en-US" w:eastAsia="zh-CN"/>
        </w:rPr>
        <w:t>2、安装工程</w:t>
      </w:r>
    </w:p>
    <w:tbl>
      <w:tblPr>
        <w:tblStyle w:val="22"/>
        <w:tblW w:w="0" w:type="auto"/>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98"/>
        <w:gridCol w:w="1340"/>
        <w:gridCol w:w="4060"/>
        <w:gridCol w:w="1160"/>
        <w:gridCol w:w="10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98"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34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项目名称</w:t>
            </w:r>
          </w:p>
        </w:tc>
        <w:tc>
          <w:tcPr>
            <w:tcW w:w="40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项目特征描述</w:t>
            </w:r>
          </w:p>
        </w:tc>
        <w:tc>
          <w:tcPr>
            <w:tcW w:w="11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计量单位</w:t>
            </w:r>
          </w:p>
        </w:tc>
        <w:tc>
          <w:tcPr>
            <w:tcW w:w="106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98"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34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40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1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06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98"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34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40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1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06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3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电气</w:t>
            </w:r>
          </w:p>
        </w:tc>
        <w:tc>
          <w:tcPr>
            <w:tcW w:w="40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auto"/>
                <w:sz w:val="21"/>
                <w:szCs w:val="21"/>
                <w:highlight w:val="none"/>
                <w:u w:val="none"/>
              </w:rPr>
            </w:pPr>
          </w:p>
        </w:tc>
        <w:tc>
          <w:tcPr>
            <w:tcW w:w="11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auto"/>
                <w:sz w:val="21"/>
                <w:szCs w:val="21"/>
                <w:highlight w:val="none"/>
                <w:u w:val="none"/>
              </w:rPr>
            </w:pPr>
          </w:p>
        </w:tc>
        <w:tc>
          <w:tcPr>
            <w:tcW w:w="10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3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配电箱</w:t>
            </w:r>
          </w:p>
        </w:tc>
        <w:tc>
          <w:tcPr>
            <w:tcW w:w="40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1.名称:配电箱AL1</w:t>
            </w:r>
          </w:p>
        </w:tc>
        <w:tc>
          <w:tcPr>
            <w:tcW w:w="11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0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7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3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4寸LED 明装筒灯</w:t>
            </w:r>
          </w:p>
        </w:tc>
        <w:tc>
          <w:tcPr>
            <w:tcW w:w="40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1.名称:4寸LED 明装筒灯</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2.规格:9W</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3.安装形式:明装</w:t>
            </w:r>
          </w:p>
        </w:tc>
        <w:tc>
          <w:tcPr>
            <w:tcW w:w="11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0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7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3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4寸LED筒灯</w:t>
            </w:r>
          </w:p>
        </w:tc>
        <w:tc>
          <w:tcPr>
            <w:tcW w:w="40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1.名称:4寸LED筒灯</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2.规格:9W</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3.安装形式:嵌入式</w:t>
            </w:r>
          </w:p>
        </w:tc>
        <w:tc>
          <w:tcPr>
            <w:tcW w:w="11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0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3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LED灯带</w:t>
            </w:r>
          </w:p>
        </w:tc>
        <w:tc>
          <w:tcPr>
            <w:tcW w:w="40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 LED灯带</w:t>
            </w:r>
          </w:p>
        </w:tc>
        <w:tc>
          <w:tcPr>
            <w:tcW w:w="11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10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3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带接地插孔单相五孔插座</w:t>
            </w:r>
          </w:p>
        </w:tc>
        <w:tc>
          <w:tcPr>
            <w:tcW w:w="40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1.名称:带接地插孔单相五孔插座</w:t>
            </w:r>
          </w:p>
        </w:tc>
        <w:tc>
          <w:tcPr>
            <w:tcW w:w="11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10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7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13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防水 带接地插孔单相五孔插座</w:t>
            </w:r>
          </w:p>
        </w:tc>
        <w:tc>
          <w:tcPr>
            <w:tcW w:w="40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1.名称:防水 带接地插孔单相五孔插座</w:t>
            </w:r>
          </w:p>
        </w:tc>
        <w:tc>
          <w:tcPr>
            <w:tcW w:w="11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10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13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暗装双极开关</w:t>
            </w:r>
          </w:p>
        </w:tc>
        <w:tc>
          <w:tcPr>
            <w:tcW w:w="40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1.名称:暗装双极开关</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2.规格:16A250V</w:t>
            </w:r>
          </w:p>
        </w:tc>
        <w:tc>
          <w:tcPr>
            <w:tcW w:w="11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10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13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暗装三极开关</w:t>
            </w:r>
          </w:p>
        </w:tc>
        <w:tc>
          <w:tcPr>
            <w:tcW w:w="40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1.名称:暗装三极开关</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2.规格:16A250V</w:t>
            </w:r>
          </w:p>
        </w:tc>
        <w:tc>
          <w:tcPr>
            <w:tcW w:w="11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10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13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配管</w:t>
            </w:r>
          </w:p>
        </w:tc>
        <w:tc>
          <w:tcPr>
            <w:tcW w:w="40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1.名称:塑料电线管</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2.规格:PC20</w:t>
            </w:r>
          </w:p>
        </w:tc>
        <w:tc>
          <w:tcPr>
            <w:tcW w:w="11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10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323.54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3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配线</w:t>
            </w:r>
          </w:p>
        </w:tc>
        <w:tc>
          <w:tcPr>
            <w:tcW w:w="40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1.名称:塑料电线管</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2.规格:PC25</w:t>
            </w:r>
          </w:p>
        </w:tc>
        <w:tc>
          <w:tcPr>
            <w:tcW w:w="11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10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13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配线</w:t>
            </w:r>
          </w:p>
        </w:tc>
        <w:tc>
          <w:tcPr>
            <w:tcW w:w="40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1.名称:绝缘电线</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2.规格:ZR-BV-2.5</w:t>
            </w:r>
          </w:p>
        </w:tc>
        <w:tc>
          <w:tcPr>
            <w:tcW w:w="11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10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970.62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13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配线</w:t>
            </w:r>
          </w:p>
        </w:tc>
        <w:tc>
          <w:tcPr>
            <w:tcW w:w="40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1.名称:绝缘电线</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2.规格:ZR-BV-4.0</w:t>
            </w:r>
          </w:p>
        </w:tc>
        <w:tc>
          <w:tcPr>
            <w:tcW w:w="11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10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13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配线</w:t>
            </w:r>
          </w:p>
        </w:tc>
        <w:tc>
          <w:tcPr>
            <w:tcW w:w="40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1.名称:绝缘电线</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2.规格:ZR-BV-6.0</w:t>
            </w:r>
          </w:p>
        </w:tc>
        <w:tc>
          <w:tcPr>
            <w:tcW w:w="11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10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13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接线盒</w:t>
            </w:r>
          </w:p>
        </w:tc>
        <w:tc>
          <w:tcPr>
            <w:tcW w:w="40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1.名称:接线盒安装 开关(插座)盒 暗装</w:t>
            </w:r>
          </w:p>
        </w:tc>
        <w:tc>
          <w:tcPr>
            <w:tcW w:w="11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10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13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接线盒</w:t>
            </w:r>
          </w:p>
        </w:tc>
        <w:tc>
          <w:tcPr>
            <w:tcW w:w="40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1.名称:接线盒安装 接线盒 暗装</w:t>
            </w:r>
          </w:p>
        </w:tc>
        <w:tc>
          <w:tcPr>
            <w:tcW w:w="11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10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7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13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送配电装置系统</w:t>
            </w:r>
          </w:p>
        </w:tc>
        <w:tc>
          <w:tcPr>
            <w:tcW w:w="40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1.名称:送配电装置系统调试 (综合) 1kV以下交流供电</w:t>
            </w:r>
          </w:p>
        </w:tc>
        <w:tc>
          <w:tcPr>
            <w:tcW w:w="11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系统</w:t>
            </w:r>
          </w:p>
        </w:tc>
        <w:tc>
          <w:tcPr>
            <w:tcW w:w="10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3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弱电</w:t>
            </w:r>
          </w:p>
        </w:tc>
        <w:tc>
          <w:tcPr>
            <w:tcW w:w="40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auto"/>
                <w:sz w:val="21"/>
                <w:szCs w:val="21"/>
                <w:highlight w:val="none"/>
                <w:u w:val="none"/>
              </w:rPr>
            </w:pPr>
          </w:p>
        </w:tc>
        <w:tc>
          <w:tcPr>
            <w:tcW w:w="11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auto"/>
                <w:sz w:val="21"/>
                <w:szCs w:val="21"/>
                <w:highlight w:val="none"/>
                <w:u w:val="none"/>
              </w:rPr>
            </w:pPr>
          </w:p>
        </w:tc>
        <w:tc>
          <w:tcPr>
            <w:tcW w:w="10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7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13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宽带网接口</w:t>
            </w:r>
          </w:p>
        </w:tc>
        <w:tc>
          <w:tcPr>
            <w:tcW w:w="40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1.名称:宽带网接口</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2.安装方式:面板底距地0.3m</w:t>
            </w:r>
          </w:p>
        </w:tc>
        <w:tc>
          <w:tcPr>
            <w:tcW w:w="11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10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13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视頻传输导口</w:t>
            </w:r>
          </w:p>
        </w:tc>
        <w:tc>
          <w:tcPr>
            <w:tcW w:w="40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1.名称:视頻传输导口</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2.安装方式:台面底部</w:t>
            </w:r>
          </w:p>
        </w:tc>
        <w:tc>
          <w:tcPr>
            <w:tcW w:w="11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10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13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六类网线</w:t>
            </w:r>
          </w:p>
        </w:tc>
        <w:tc>
          <w:tcPr>
            <w:tcW w:w="40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1.名称:六类网线</w:t>
            </w:r>
          </w:p>
        </w:tc>
        <w:tc>
          <w:tcPr>
            <w:tcW w:w="11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10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165.05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13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给排水</w:t>
            </w:r>
          </w:p>
        </w:tc>
        <w:tc>
          <w:tcPr>
            <w:tcW w:w="40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auto"/>
                <w:sz w:val="21"/>
                <w:szCs w:val="21"/>
                <w:highlight w:val="none"/>
                <w:u w:val="none"/>
              </w:rPr>
            </w:pPr>
          </w:p>
        </w:tc>
        <w:tc>
          <w:tcPr>
            <w:tcW w:w="11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auto"/>
                <w:sz w:val="21"/>
                <w:szCs w:val="21"/>
                <w:highlight w:val="none"/>
                <w:u w:val="none"/>
              </w:rPr>
            </w:pPr>
          </w:p>
        </w:tc>
        <w:tc>
          <w:tcPr>
            <w:tcW w:w="10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13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不锈钢洗手盆</w:t>
            </w:r>
          </w:p>
        </w:tc>
        <w:tc>
          <w:tcPr>
            <w:tcW w:w="40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1.材质:不锈钢洗手盆</w:t>
            </w:r>
          </w:p>
        </w:tc>
        <w:tc>
          <w:tcPr>
            <w:tcW w:w="11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组</w:t>
            </w:r>
          </w:p>
        </w:tc>
        <w:tc>
          <w:tcPr>
            <w:tcW w:w="10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13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螺纹阀门</w:t>
            </w:r>
          </w:p>
        </w:tc>
        <w:tc>
          <w:tcPr>
            <w:tcW w:w="40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1.类型:螺纹阀门</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2.规格、压力等级:DN20</w:t>
            </w:r>
          </w:p>
        </w:tc>
        <w:tc>
          <w:tcPr>
            <w:tcW w:w="11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10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7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13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PPR给水管</w:t>
            </w:r>
          </w:p>
        </w:tc>
        <w:tc>
          <w:tcPr>
            <w:tcW w:w="40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1.安装部位:室内</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2.材质、规格:PPR给水管DN20</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3.连接形式:热熔连接</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4.压力试验及吹、洗设计要求:冲洗消毒</w:t>
            </w:r>
          </w:p>
        </w:tc>
        <w:tc>
          <w:tcPr>
            <w:tcW w:w="11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10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7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13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PPR给水管</w:t>
            </w:r>
          </w:p>
        </w:tc>
        <w:tc>
          <w:tcPr>
            <w:tcW w:w="40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1.安装部位:室内</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2.材质、规格:PPR给水管DN25</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3.连接形式:热熔连接</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4.压力试验及吹、洗设计要求:冲洗消毒</w:t>
            </w:r>
          </w:p>
        </w:tc>
        <w:tc>
          <w:tcPr>
            <w:tcW w:w="11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10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7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13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塑料管</w:t>
            </w:r>
          </w:p>
        </w:tc>
        <w:tc>
          <w:tcPr>
            <w:tcW w:w="40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1.安装部位:室内</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2.材质、规格:PVC排水管DN75</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3.连接形式:粘接</w:t>
            </w:r>
          </w:p>
        </w:tc>
        <w:tc>
          <w:tcPr>
            <w:tcW w:w="11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10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73.64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0" w:hRule="atLeast"/>
        </w:trPr>
        <w:tc>
          <w:tcPr>
            <w:tcW w:w="7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25</w:t>
            </w:r>
          </w:p>
        </w:tc>
        <w:tc>
          <w:tcPr>
            <w:tcW w:w="54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措施项目费</w:t>
            </w:r>
          </w:p>
        </w:tc>
        <w:tc>
          <w:tcPr>
            <w:tcW w:w="11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项</w:t>
            </w:r>
          </w:p>
        </w:tc>
        <w:tc>
          <w:tcPr>
            <w:tcW w:w="10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r>
    </w:tbl>
    <w:p>
      <w:pPr>
        <w:bidi w:val="0"/>
        <w:rPr>
          <w:rFonts w:hint="default"/>
          <w:color w:val="auto"/>
          <w:highlight w:val="none"/>
          <w:lang w:val="en-US" w:eastAsia="zh-CN"/>
        </w:rPr>
      </w:pPr>
    </w:p>
    <w:p>
      <w:pPr>
        <w:pStyle w:val="7"/>
        <w:rPr>
          <w:color w:val="auto"/>
          <w:highlight w:val="none"/>
        </w:rPr>
      </w:pPr>
    </w:p>
    <w:p>
      <w:pPr>
        <w:spacing w:after="0" w:line="360" w:lineRule="auto"/>
        <w:ind w:firstLine="422" w:firstLineChars="200"/>
        <w:rPr>
          <w:rFonts w:ascii="宋体" w:hAnsi="宋体" w:eastAsia="宋体" w:cs="Times New Roman"/>
          <w:b/>
          <w:bCs/>
          <w:color w:val="auto"/>
          <w:sz w:val="21"/>
          <w:szCs w:val="21"/>
          <w:highlight w:val="none"/>
        </w:rPr>
      </w:pPr>
    </w:p>
    <w:p>
      <w:pPr>
        <w:spacing w:after="0" w:line="360" w:lineRule="auto"/>
        <w:ind w:firstLine="422" w:firstLineChars="200"/>
        <w:rPr>
          <w:rFonts w:hint="eastAsia"/>
          <w:color w:val="auto"/>
          <w:sz w:val="28"/>
          <w:szCs w:val="28"/>
          <w:highlight w:val="none"/>
        </w:rPr>
      </w:pPr>
      <w:r>
        <w:rPr>
          <w:rFonts w:hint="eastAsia" w:ascii="宋体" w:hAnsi="宋体" w:eastAsia="宋体" w:cs="Times New Roman"/>
          <w:b/>
          <w:bCs/>
          <w:color w:val="auto"/>
          <w:sz w:val="21"/>
          <w:szCs w:val="21"/>
          <w:highlight w:val="none"/>
        </w:rPr>
        <w:t>注：不满足</w:t>
      </w:r>
      <w:r>
        <w:rPr>
          <w:rFonts w:hint="eastAsia" w:ascii="宋体" w:hAnsi="宋体" w:cs="Times New Roman"/>
          <w:b/>
          <w:bCs/>
          <w:color w:val="auto"/>
          <w:sz w:val="21"/>
          <w:szCs w:val="21"/>
          <w:highlight w:val="none"/>
          <w:lang w:eastAsia="zh-CN"/>
        </w:rPr>
        <w:t>磋商文件</w:t>
      </w:r>
      <w:r>
        <w:rPr>
          <w:rFonts w:hint="eastAsia" w:ascii="宋体" w:hAnsi="宋体" w:eastAsia="宋体" w:cs="Times New Roman"/>
          <w:b/>
          <w:bCs/>
          <w:color w:val="auto"/>
          <w:sz w:val="21"/>
          <w:szCs w:val="21"/>
          <w:highlight w:val="none"/>
        </w:rPr>
        <w:t>中 “★”条款的</w:t>
      </w:r>
      <w:r>
        <w:rPr>
          <w:rFonts w:hint="eastAsia" w:ascii="宋体" w:hAnsi="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将作无效</w:t>
      </w:r>
      <w:r>
        <w:rPr>
          <w:rFonts w:hint="eastAsia" w:ascii="宋体" w:hAnsi="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处理。</w:t>
      </w:r>
      <w:bookmarkEnd w:id="196"/>
      <w:bookmarkEnd w:id="197"/>
      <w:bookmarkEnd w:id="198"/>
      <w:bookmarkEnd w:id="199"/>
      <w:bookmarkStart w:id="200" w:name="_Toc21448"/>
      <w:bookmarkStart w:id="201" w:name="_Toc12485"/>
    </w:p>
    <w:p>
      <w:pPr>
        <w:bidi w:val="0"/>
        <w:rPr>
          <w:rFonts w:hint="eastAsia" w:eastAsia="宋体"/>
          <w:color w:val="auto"/>
          <w:highlight w:val="none"/>
          <w:lang w:eastAsia="zh-CN"/>
        </w:rPr>
      </w:pPr>
    </w:p>
    <w:p>
      <w:pPr>
        <w:rPr>
          <w:rFonts w:hint="eastAsia" w:eastAsia="宋体"/>
          <w:color w:val="auto"/>
          <w:highlight w:val="none"/>
          <w:lang w:eastAsia="zh-CN"/>
        </w:rPr>
      </w:pPr>
    </w:p>
    <w:p>
      <w:pPr>
        <w:pStyle w:val="7"/>
        <w:rPr>
          <w:rFonts w:hint="eastAsia" w:eastAsia="宋体"/>
          <w:color w:val="auto"/>
          <w:highlight w:val="none"/>
          <w:lang w:eastAsia="zh-CN"/>
        </w:rPr>
      </w:pPr>
    </w:p>
    <w:p>
      <w:pPr>
        <w:pStyle w:val="8"/>
        <w:rPr>
          <w:rFonts w:hint="eastAsia" w:eastAsia="宋体"/>
          <w:color w:val="auto"/>
          <w:highlight w:val="none"/>
          <w:lang w:eastAsia="zh-CN"/>
        </w:rPr>
      </w:pPr>
    </w:p>
    <w:p>
      <w:pPr>
        <w:pStyle w:val="8"/>
        <w:rPr>
          <w:rFonts w:hint="eastAsia" w:eastAsia="宋体"/>
          <w:color w:val="auto"/>
          <w:highlight w:val="none"/>
          <w:lang w:eastAsia="zh-CN"/>
        </w:rPr>
      </w:pPr>
    </w:p>
    <w:p>
      <w:pPr>
        <w:pStyle w:val="8"/>
        <w:rPr>
          <w:rFonts w:hint="eastAsia" w:eastAsia="宋体"/>
          <w:color w:val="auto"/>
          <w:highlight w:val="none"/>
          <w:lang w:eastAsia="zh-CN"/>
        </w:rPr>
      </w:pPr>
    </w:p>
    <w:p>
      <w:pPr>
        <w:pStyle w:val="8"/>
        <w:rPr>
          <w:rFonts w:hint="eastAsia" w:eastAsia="宋体"/>
          <w:color w:val="auto"/>
          <w:highlight w:val="none"/>
          <w:lang w:eastAsia="zh-CN"/>
        </w:rPr>
      </w:pPr>
    </w:p>
    <w:p>
      <w:pPr>
        <w:pStyle w:val="3"/>
        <w:spacing w:before="0" w:after="0" w:line="240" w:lineRule="auto"/>
        <w:rPr>
          <w:color w:val="auto"/>
          <w:sz w:val="28"/>
          <w:szCs w:val="28"/>
          <w:highlight w:val="none"/>
        </w:rPr>
      </w:pPr>
      <w:bookmarkStart w:id="202" w:name="_Toc17329"/>
      <w:r>
        <w:rPr>
          <w:rFonts w:hint="eastAsia"/>
          <w:color w:val="auto"/>
          <w:sz w:val="28"/>
          <w:szCs w:val="28"/>
          <w:highlight w:val="none"/>
        </w:rPr>
        <w:t>第</w:t>
      </w:r>
      <w:r>
        <w:rPr>
          <w:rFonts w:hint="eastAsia"/>
          <w:color w:val="auto"/>
          <w:sz w:val="28"/>
          <w:szCs w:val="28"/>
          <w:highlight w:val="none"/>
          <w:lang w:val="en-US" w:eastAsia="zh-CN"/>
        </w:rPr>
        <w:t>六</w:t>
      </w:r>
      <w:r>
        <w:rPr>
          <w:rFonts w:hint="eastAsia"/>
          <w:color w:val="auto"/>
          <w:sz w:val="28"/>
          <w:szCs w:val="28"/>
          <w:highlight w:val="none"/>
        </w:rPr>
        <w:t>部分 合同格式（仅供参考）</w:t>
      </w:r>
      <w:bookmarkEnd w:id="200"/>
      <w:bookmarkEnd w:id="201"/>
      <w:bookmarkEnd w:id="202"/>
      <w:bookmarkStart w:id="203" w:name="_Toc21155"/>
      <w:bookmarkStart w:id="204" w:name="_Toc13430"/>
      <w:bookmarkStart w:id="205" w:name="_Toc1534"/>
    </w:p>
    <w:p>
      <w:pPr>
        <w:pStyle w:val="4"/>
        <w:spacing w:before="0" w:after="0" w:line="240" w:lineRule="auto"/>
        <w:jc w:val="center"/>
        <w:rPr>
          <w:rFonts w:ascii="宋体" w:hAnsi="宋体" w:eastAsia="宋体" w:cs="宋体"/>
          <w:color w:val="auto"/>
          <w:highlight w:val="none"/>
        </w:rPr>
      </w:pPr>
      <w:bookmarkStart w:id="206" w:name="_Toc19575"/>
      <w:bookmarkStart w:id="207" w:name="_Toc29470"/>
      <w:bookmarkStart w:id="208" w:name="_Toc16730"/>
      <w:r>
        <w:rPr>
          <w:rFonts w:hint="eastAsia" w:ascii="宋体" w:hAnsi="宋体" w:eastAsia="宋体" w:cs="宋体"/>
          <w:color w:val="auto"/>
          <w:highlight w:val="none"/>
        </w:rPr>
        <w:t>合同格式</w:t>
      </w:r>
      <w:bookmarkEnd w:id="203"/>
      <w:bookmarkEnd w:id="204"/>
      <w:bookmarkEnd w:id="205"/>
      <w:bookmarkEnd w:id="206"/>
      <w:bookmarkEnd w:id="207"/>
      <w:bookmarkEnd w:id="208"/>
    </w:p>
    <w:p>
      <w:pPr>
        <w:widowControl/>
        <w:adjustRightInd w:val="0"/>
        <w:snapToGrid w:val="0"/>
        <w:spacing w:after="200" w:line="420" w:lineRule="atLeast"/>
        <w:ind w:right="56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合同编号：</w:t>
      </w:r>
    </w:p>
    <w:p>
      <w:pPr>
        <w:widowControl/>
        <w:adjustRightInd w:val="0"/>
        <w:snapToGrid w:val="0"/>
        <w:spacing w:after="200" w:line="420" w:lineRule="atLeast"/>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甲方：</w:t>
      </w:r>
    </w:p>
    <w:p>
      <w:pPr>
        <w:widowControl/>
        <w:adjustRightInd w:val="0"/>
        <w:snapToGrid w:val="0"/>
        <w:spacing w:after="200" w:line="420" w:lineRule="atLeast"/>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乙方：“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”为成交单位</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受甲方委托，</w:t>
      </w:r>
      <w:r>
        <w:rPr>
          <w:rFonts w:hint="eastAsia" w:ascii="宋体" w:hAnsi="宋体" w:eastAsia="宋体" w:cs="宋体"/>
          <w:color w:val="auto"/>
          <w:kern w:val="0"/>
          <w:sz w:val="21"/>
          <w:szCs w:val="21"/>
          <w:highlight w:val="none"/>
          <w:u w:val="single"/>
        </w:rPr>
        <w:t xml:space="preserve">           (采购代理机构)</w:t>
      </w:r>
      <w:r>
        <w:rPr>
          <w:rFonts w:hint="eastAsia" w:ascii="宋体" w:hAnsi="宋体" w:eastAsia="宋体" w:cs="宋体"/>
          <w:color w:val="auto"/>
          <w:kern w:val="0"/>
          <w:sz w:val="21"/>
          <w:szCs w:val="21"/>
          <w:highlight w:val="none"/>
        </w:rPr>
        <w:t>组织对</w:t>
      </w:r>
      <w:r>
        <w:rPr>
          <w:rFonts w:hint="eastAsia" w:ascii="宋体" w:hAnsi="宋体" w:eastAsia="宋体" w:cs="宋体"/>
          <w:color w:val="auto"/>
          <w:kern w:val="0"/>
          <w:sz w:val="21"/>
          <w:szCs w:val="21"/>
          <w:highlight w:val="none"/>
          <w:u w:val="single"/>
        </w:rPr>
        <w:t xml:space="preserve">         （项目名称）</w:t>
      </w:r>
      <w:r>
        <w:rPr>
          <w:rFonts w:hint="eastAsia" w:ascii="宋体" w:hAnsi="宋体" w:eastAsia="宋体" w:cs="宋体"/>
          <w:color w:val="auto"/>
          <w:kern w:val="0"/>
          <w:sz w:val="21"/>
          <w:szCs w:val="21"/>
          <w:highlight w:val="none"/>
        </w:rPr>
        <w:t>采购项目（采购编号为</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）进行采购，于</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年</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月</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日通过磋商，经磋商小组评定乙方</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为成交单位。为了保护甲、乙双方合法权益，根据《中华人民共和国政府采购法》及其实施条例、《中华人民共和国民法典》，在平等自愿的基础上，按照下面的条款和条件，签署本合同。</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第一条 合同项目</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1、项目名称：                              ；</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2、采购编号：                   。</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第二条 合同组成</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1、合同文件组成内容包括：本合同书 、成交通知书、响应文件（含澄清内容）、磋商文件（含磋商文件澄清通知）等。</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第三条 服务内容、标准及要求</w:t>
      </w:r>
    </w:p>
    <w:p>
      <w:pPr>
        <w:widowControl/>
        <w:adjustRightInd w:val="0"/>
        <w:snapToGrid w:val="0"/>
        <w:spacing w:line="360" w:lineRule="auto"/>
        <w:jc w:val="left"/>
        <w:rPr>
          <w:rFonts w:ascii="宋体" w:hAnsi="宋体" w:eastAsia="宋体" w:cs="宋体"/>
          <w:color w:val="auto"/>
          <w:sz w:val="21"/>
          <w:szCs w:val="21"/>
          <w:highlight w:val="none"/>
          <w:u w:val="single"/>
          <w:shd w:val="clear" w:color="auto" w:fill="FFFFFF"/>
        </w:rPr>
      </w:pPr>
      <w:r>
        <w:rPr>
          <w:rFonts w:hint="eastAsia" w:ascii="宋体" w:hAnsi="宋体" w:eastAsia="宋体" w:cs="宋体"/>
          <w:color w:val="auto"/>
          <w:kern w:val="0"/>
          <w:sz w:val="21"/>
          <w:szCs w:val="21"/>
          <w:highlight w:val="none"/>
          <w:shd w:val="clear" w:color="auto" w:fill="FFFFFF"/>
        </w:rPr>
        <w:t>1、采购内容：</w:t>
      </w:r>
      <w:r>
        <w:rPr>
          <w:rFonts w:hint="eastAsia" w:ascii="宋体" w:hAnsi="宋体" w:eastAsia="宋体" w:cs="宋体"/>
          <w:color w:val="auto"/>
          <w:kern w:val="0"/>
          <w:sz w:val="21"/>
          <w:szCs w:val="21"/>
          <w:highlight w:val="none"/>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2、采购标准：</w:t>
      </w:r>
      <w:r>
        <w:rPr>
          <w:rFonts w:hint="eastAsia" w:ascii="宋体" w:hAnsi="宋体" w:eastAsia="宋体" w:cs="宋体"/>
          <w:color w:val="auto"/>
          <w:kern w:val="0"/>
          <w:sz w:val="21"/>
          <w:szCs w:val="21"/>
          <w:highlight w:val="none"/>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3、采购要求：</w:t>
      </w:r>
      <w:r>
        <w:rPr>
          <w:rFonts w:hint="eastAsia" w:ascii="宋体" w:hAnsi="宋体" w:eastAsia="宋体" w:cs="宋体"/>
          <w:color w:val="auto"/>
          <w:kern w:val="0"/>
          <w:sz w:val="21"/>
          <w:szCs w:val="21"/>
          <w:highlight w:val="none"/>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4、具体采购内容采购标准及要求以磋商文件用户需求书及乙方响应文件承诺条款及方案为准。</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第四条 价格</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1、合同总价包含：人工费、材料费、设备使用费、各种税费、保险费及合同实施过程中的不可预见费用等全部费用，按本次招标范围及成交价一次包干，结算时不作调整。</w:t>
      </w:r>
    </w:p>
    <w:p>
      <w:pPr>
        <w:widowControl/>
        <w:adjustRightInd w:val="0"/>
        <w:snapToGrid w:val="0"/>
        <w:spacing w:line="360" w:lineRule="auto"/>
        <w:ind w:firstLine="399" w:firstLineChars="19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2、合同总价：（人民币）大写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pPr>
        <w:widowControl/>
        <w:adjustRightInd w:val="0"/>
        <w:snapToGrid w:val="0"/>
        <w:spacing w:line="360" w:lineRule="auto"/>
        <w:ind w:firstLine="399" w:firstLineChars="19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3、本合同价为固定不变价。</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第五条 服务期限及地点</w:t>
      </w:r>
    </w:p>
    <w:p>
      <w:pPr>
        <w:widowControl/>
        <w:adjustRightInd w:val="0"/>
        <w:snapToGrid w:val="0"/>
        <w:spacing w:line="360" w:lineRule="auto"/>
        <w:ind w:firstLine="495" w:firstLineChars="236"/>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1、服务期：  年，合同生效之日自       年  月  日至     年  月  日止。</w:t>
      </w:r>
    </w:p>
    <w:p>
      <w:pPr>
        <w:widowControl/>
        <w:adjustRightInd w:val="0"/>
        <w:snapToGrid w:val="0"/>
        <w:spacing w:line="360" w:lineRule="auto"/>
        <w:ind w:firstLine="495" w:firstLineChars="236"/>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2、服务地点：              或甲方指定地点。</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第六条 付款方式</w:t>
      </w:r>
    </w:p>
    <w:p>
      <w:pPr>
        <w:pStyle w:val="21"/>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1、本合同的付款方式为：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cs="宋体"/>
          <w:b/>
          <w:color w:val="auto"/>
          <w:sz w:val="21"/>
          <w:szCs w:val="21"/>
          <w:highlight w:val="none"/>
        </w:rPr>
      </w:pPr>
      <w:r>
        <w:rPr>
          <w:rFonts w:hint="eastAsia" w:ascii="宋体" w:hAnsi="宋体" w:eastAsia="宋体" w:cs="宋体"/>
          <w:b/>
          <w:color w:val="auto"/>
          <w:kern w:val="0"/>
          <w:sz w:val="21"/>
          <w:szCs w:val="21"/>
          <w:highlight w:val="none"/>
        </w:rPr>
        <w:t>第七条 竣工与验收</w:t>
      </w:r>
    </w:p>
    <w:p>
      <w:pPr>
        <w:pStyle w:val="21"/>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w:t>
      </w:r>
      <w:r>
        <w:rPr>
          <w:rFonts w:hint="eastAsia" w:ascii="宋体" w:hAnsi="宋体"/>
          <w:color w:val="auto"/>
          <w:sz w:val="21"/>
          <w:szCs w:val="21"/>
          <w:highlight w:val="none"/>
          <w:lang w:val="en-US" w:eastAsia="zh-CN"/>
        </w:rPr>
        <w:t>采购</w:t>
      </w:r>
      <w:r>
        <w:rPr>
          <w:rFonts w:hint="eastAsia" w:ascii="宋体" w:hAnsi="宋体"/>
          <w:color w:val="auto"/>
          <w:sz w:val="21"/>
          <w:szCs w:val="21"/>
          <w:highlight w:val="none"/>
        </w:rPr>
        <w:t>文件及本合同的有关规定制定的方案进行验收，并按国家有关规定、规范进行。</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w:t>
      </w:r>
      <w:r>
        <w:rPr>
          <w:rFonts w:hint="eastAsia" w:ascii="宋体" w:hAnsi="宋体" w:eastAsia="宋体" w:cs="Times New Roman"/>
          <w:color w:val="auto"/>
          <w:sz w:val="21"/>
          <w:szCs w:val="21"/>
          <w:highlight w:val="none"/>
        </w:rPr>
        <w:t>与验收。</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3、对验收不合格的部分，乙方应在甲方规定时间内及时整改完善直至合格。</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4、乙方</w:t>
      </w:r>
      <w:r>
        <w:rPr>
          <w:rFonts w:hint="eastAsia" w:ascii="宋体" w:hAnsi="宋体" w:eastAsia="宋体" w:cs="Times New Roman"/>
          <w:color w:val="auto"/>
          <w:sz w:val="21"/>
          <w:szCs w:val="21"/>
          <w:highlight w:val="none"/>
        </w:rPr>
        <w:t>保证向</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提供的所有设计文件均自主设计的，不存在知识产权方面的纠纷。</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5、乙方的</w:t>
      </w:r>
      <w:r>
        <w:rPr>
          <w:rFonts w:hint="eastAsia" w:ascii="宋体" w:hAnsi="宋体" w:eastAsia="宋体" w:cs="Times New Roman"/>
          <w:color w:val="auto"/>
          <w:sz w:val="21"/>
          <w:szCs w:val="21"/>
          <w:highlight w:val="none"/>
        </w:rPr>
        <w:t>设计文件应达到一定的高度、深度和广度，应严格按照</w:t>
      </w:r>
      <w:r>
        <w:rPr>
          <w:rFonts w:hint="eastAsia" w:ascii="宋体" w:hAnsi="宋体" w:eastAsia="宋体" w:cs="Times New Roman"/>
          <w:color w:val="auto"/>
          <w:sz w:val="21"/>
          <w:szCs w:val="21"/>
          <w:highlight w:val="none"/>
          <w:lang w:val="en-US" w:eastAsia="zh-CN"/>
        </w:rPr>
        <w:t>采购</w:t>
      </w:r>
      <w:r>
        <w:rPr>
          <w:rFonts w:hint="eastAsia" w:ascii="宋体" w:hAnsi="宋体" w:eastAsia="宋体" w:cs="Times New Roman"/>
          <w:color w:val="auto"/>
          <w:sz w:val="21"/>
          <w:szCs w:val="21"/>
          <w:highlight w:val="none"/>
        </w:rPr>
        <w:t>文件的内容、规模和要求进行设计。设计中必须贯彻 “完整性、统一性、先进性”和“经济、高效、安全”的基本原则，同时应充分考虑智慧道路路网的整体智慧需求及前沿技术的应用。</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6、</w:t>
      </w:r>
      <w:r>
        <w:rPr>
          <w:rFonts w:hint="eastAsia" w:ascii="宋体" w:hAnsi="宋体" w:eastAsia="宋体" w:cs="Times New Roman"/>
          <w:color w:val="auto"/>
          <w:sz w:val="21"/>
          <w:szCs w:val="21"/>
          <w:highlight w:val="none"/>
        </w:rPr>
        <w:t>设计中引用、套用国家和部颁相关专业的设计规范、标准及新的相关专业的技术标准和要求时，应准确引用和套用。</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7、</w:t>
      </w:r>
      <w:r>
        <w:rPr>
          <w:rFonts w:hint="eastAsia" w:ascii="宋体" w:hAnsi="宋体" w:eastAsia="宋体" w:cs="Times New Roman"/>
          <w:color w:val="auto"/>
          <w:sz w:val="21"/>
          <w:szCs w:val="21"/>
          <w:highlight w:val="none"/>
        </w:rPr>
        <w:t>设计文件达到的深度应能全面指导施工。设计说明内容应包括各项设计图纸，设计依据、设计范围、建设地点及现有道路现状等，并说明本工程需要配合及注意解决的问题、并附主要设备及材料表，说明内容应全面。</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8、乙方的</w:t>
      </w:r>
      <w:r>
        <w:rPr>
          <w:rFonts w:hint="eastAsia" w:ascii="宋体" w:hAnsi="宋体" w:eastAsia="宋体" w:cs="Times New Roman"/>
          <w:color w:val="auto"/>
          <w:sz w:val="21"/>
          <w:szCs w:val="21"/>
          <w:highlight w:val="none"/>
        </w:rPr>
        <w:t>设计文件应对施工中的安全注意事项进行说明。</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9、乙方的</w:t>
      </w:r>
      <w:r>
        <w:rPr>
          <w:rFonts w:hint="eastAsia" w:ascii="宋体" w:hAnsi="宋体" w:eastAsia="宋体" w:cs="Times New Roman"/>
          <w:color w:val="auto"/>
          <w:sz w:val="21"/>
          <w:szCs w:val="21"/>
          <w:highlight w:val="none"/>
        </w:rPr>
        <w:t>设计文件的编印应符合规范化、标准化的要求，包括：设计说明书页张篇幅及各号图纸大小篇幅应符合国家标准规定尺寸；设计文件册的封面必须能表示出工程设计项目的全名、分册编号及工程名称。设计文件的分册由</w:t>
      </w:r>
      <w:r>
        <w:rPr>
          <w:rFonts w:hint="eastAsia" w:ascii="宋体" w:hAnsi="宋体" w:eastAsia="宋体" w:cs="Times New Roman"/>
          <w:color w:val="auto"/>
          <w:sz w:val="21"/>
          <w:szCs w:val="21"/>
          <w:highlight w:val="none"/>
          <w:lang w:val="en-US" w:eastAsia="zh-CN"/>
        </w:rPr>
        <w:t>甲乙双方</w:t>
      </w:r>
      <w:r>
        <w:rPr>
          <w:rFonts w:hint="eastAsia" w:ascii="宋体" w:hAnsi="宋体" w:eastAsia="宋体" w:cs="Times New Roman"/>
          <w:color w:val="auto"/>
          <w:sz w:val="21"/>
          <w:szCs w:val="21"/>
          <w:highlight w:val="none"/>
        </w:rPr>
        <w:t>协商后决定。</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10、乙方</w:t>
      </w:r>
      <w:r>
        <w:rPr>
          <w:rFonts w:hint="eastAsia" w:ascii="宋体" w:hAnsi="宋体" w:eastAsia="宋体" w:cs="Times New Roman"/>
          <w:color w:val="auto"/>
          <w:sz w:val="21"/>
          <w:szCs w:val="21"/>
          <w:highlight w:val="none"/>
        </w:rPr>
        <w:t>设计文件的编制和装订应利于</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归档保存及保养。</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11、</w:t>
      </w:r>
      <w:r>
        <w:rPr>
          <w:rFonts w:hint="eastAsia" w:ascii="宋体" w:hAnsi="宋体" w:eastAsia="宋体" w:cs="Times New Roman"/>
          <w:color w:val="auto"/>
          <w:sz w:val="21"/>
          <w:szCs w:val="21"/>
          <w:highlight w:val="none"/>
        </w:rPr>
        <w:t>接到设计任务后，按合同要求工期完成初步设计及施工图设计,并通过</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审核确认。</w:t>
      </w:r>
    </w:p>
    <w:p>
      <w:pPr>
        <w:widowControl/>
        <w:adjustRightInd w:val="0"/>
        <w:snapToGrid w:val="0"/>
        <w:spacing w:line="360" w:lineRule="auto"/>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第八条 税和关税</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1、中国政府根据现行税法对甲方征收的与本合同有关的一切税费均应由甲方承担。</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2、中国政府根据现行税法规定对乙方或其雇员征收的与本合同有关的一切税费应由乙方承担。</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3、在中国境外发生的与本合同执行有关的一切税费均应由乙方承担。</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第九条 其它约定</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1、严禁转包，未经甲方书面同意不得分包。</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2、乙方全部工作人员，须符合东莞市政府用工标准要求。</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3、乙方服务人员进行服务期间的过失或故意行为，造成甲方经济损失的，由乙方负责赔偿。</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4、服务人员的劳动关系隶属乙方，乙方负责服务人员的工资、节假日和超时加班补助费、社会保险、住宿、伙食等。</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5、乙方负责本项目服务人员购买因意外身故或伤残和因意外事故住院治疗保险，并负责办理一切保险赔偿手续。</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第十条 违约责任</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1、合同双方任何一方不履行合同条款或不按合同约定履行条款的其它情况，均属违约，由违约方承担违约责任，赔偿因其违约造成的损失，并支付合同价款总额   %的违约金。</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2、由于乙方的原因，导致双方签订的合同终止，乙方因此而遭受的损失，将由乙方独立承担，甲方对此不负任何责任，也不作任何赔偿。</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第十一条 争议的解决</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1、凡与本合同有关而引起的一切争议，甲乙双方应首先通过友好协商解决，如经协商后仍不能达成协议时，任何一方可以向甲方所在地人民法院提出诉讼。</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2、本合同发生的诉讼管辖地为东莞市有管辖权的法院。</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3、在进行法院审理期间，除提交法院审理的事项外，合同其他部分仍继续履行。</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4、本合同按照中华人民共和国的法律进行解释。</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第十二条 合同生效</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1、本合同由双方法定代表人或委托代理人签字盖章后立即生效，具有同等法律效力，合同有效期随服务期结束而自然终止。</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2、本合同一式    份，其中甲方    份、乙方    份，采购代理机构 壹 份（须在合同签订之日起7个工作日内递交）。</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第十三条 其它</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1、本合同未尽事宜，双方可签订补充合同，补充合同与所有附件均为合同的有效组成部分，与本合同具有同等法律效力。</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本合同合计   页A4纸张，缺页之合同为无效合同。</w:t>
      </w:r>
    </w:p>
    <w:p>
      <w:pPr>
        <w:pStyle w:val="7"/>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以下无正文</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甲方（盖章）：                      乙方（盖章）：</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法定代表(签字)：                   法定代表(签字)：</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地址：                             地址： </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电话：                             电话：</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传真：</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传真：</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开户银行：</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开户银行：</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账号：                             账号：</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签约时间：</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签约地点：</w:t>
      </w:r>
    </w:p>
    <w:p>
      <w:pPr>
        <w:rPr>
          <w:rFonts w:ascii="宋体" w:hAnsi="宋体" w:eastAsia="宋体"/>
          <w:b/>
          <w:color w:val="auto"/>
          <w:sz w:val="21"/>
          <w:szCs w:val="21"/>
          <w:highlight w:val="none"/>
        </w:rPr>
      </w:pP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此仅为合同书样本，成交供应商需根据实际情况和甲方签订相应的合同！</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pPr>
        <w:pStyle w:val="3"/>
        <w:spacing w:before="0" w:after="0" w:line="240" w:lineRule="auto"/>
        <w:rPr>
          <w:color w:val="auto"/>
          <w:sz w:val="28"/>
          <w:szCs w:val="28"/>
          <w:highlight w:val="none"/>
        </w:rPr>
      </w:pPr>
      <w:bookmarkStart w:id="209" w:name="_Toc23749"/>
      <w:bookmarkStart w:id="210" w:name="_Toc15158"/>
      <w:bookmarkStart w:id="211" w:name="_Toc31587"/>
      <w:r>
        <w:rPr>
          <w:rFonts w:hint="eastAsia"/>
          <w:color w:val="auto"/>
          <w:sz w:val="28"/>
          <w:szCs w:val="28"/>
          <w:highlight w:val="none"/>
        </w:rPr>
        <w:t>第</w:t>
      </w:r>
      <w:r>
        <w:rPr>
          <w:rFonts w:hint="eastAsia"/>
          <w:color w:val="auto"/>
          <w:sz w:val="28"/>
          <w:szCs w:val="28"/>
          <w:highlight w:val="none"/>
          <w:lang w:val="en-US" w:eastAsia="zh-CN"/>
        </w:rPr>
        <w:t>七</w:t>
      </w:r>
      <w:r>
        <w:rPr>
          <w:rFonts w:hint="eastAsia"/>
          <w:color w:val="auto"/>
          <w:sz w:val="28"/>
          <w:szCs w:val="28"/>
          <w:highlight w:val="none"/>
        </w:rPr>
        <w:t xml:space="preserve">部分  </w:t>
      </w:r>
      <w:r>
        <w:rPr>
          <w:rFonts w:hint="eastAsia"/>
          <w:color w:val="auto"/>
          <w:sz w:val="28"/>
          <w:szCs w:val="28"/>
          <w:highlight w:val="none"/>
          <w:lang w:eastAsia="zh-CN"/>
        </w:rPr>
        <w:t>响应文件</w:t>
      </w:r>
      <w:r>
        <w:rPr>
          <w:rFonts w:hint="eastAsia"/>
          <w:color w:val="auto"/>
          <w:sz w:val="28"/>
          <w:szCs w:val="28"/>
          <w:highlight w:val="none"/>
        </w:rPr>
        <w:t>格式</w:t>
      </w:r>
      <w:bookmarkEnd w:id="209"/>
      <w:bookmarkEnd w:id="210"/>
      <w:bookmarkEnd w:id="211"/>
    </w:p>
    <w:p>
      <w:pPr>
        <w:rPr>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12" w:name="_Toc26830"/>
      <w:bookmarkStart w:id="213" w:name="_Toc2434"/>
      <w:bookmarkStart w:id="214" w:name="_Toc6790"/>
      <w:r>
        <w:rPr>
          <w:rFonts w:hint="eastAsia"/>
          <w:color w:val="auto"/>
          <w:highlight w:val="none"/>
          <w:lang w:eastAsia="zh-CN"/>
        </w:rPr>
        <w:t>响应文件</w:t>
      </w:r>
      <w:r>
        <w:rPr>
          <w:rFonts w:hint="eastAsia"/>
          <w:color w:val="auto"/>
          <w:highlight w:val="none"/>
        </w:rPr>
        <w:t>目录</w:t>
      </w:r>
      <w:bookmarkEnd w:id="212"/>
      <w:bookmarkEnd w:id="213"/>
      <w:bookmarkEnd w:id="214"/>
    </w:p>
    <w:p>
      <w:pPr>
        <w:jc w:val="center"/>
        <w:rPr>
          <w:rFonts w:ascii="黑体" w:eastAsia="黑体"/>
          <w:color w:val="auto"/>
          <w:sz w:val="32"/>
          <w:szCs w:val="32"/>
          <w:highlight w:val="none"/>
        </w:rPr>
      </w:pPr>
    </w:p>
    <w:p>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15" w:name="_Toc18893"/>
      <w:bookmarkStart w:id="216" w:name="_Toc28116"/>
      <w:bookmarkStart w:id="217" w:name="_Toc25502"/>
      <w:r>
        <w:rPr>
          <w:rFonts w:hint="eastAsia"/>
          <w:color w:val="auto"/>
          <w:highlight w:val="none"/>
        </w:rPr>
        <w:t>评分标准索引表</w:t>
      </w:r>
      <w:bookmarkEnd w:id="215"/>
      <w:bookmarkEnd w:id="216"/>
      <w:bookmarkEnd w:id="217"/>
    </w:p>
    <w:p>
      <w:pPr>
        <w:adjustRightInd/>
        <w:snapToGrid/>
        <w:spacing w:line="276" w:lineRule="auto"/>
        <w:rPr>
          <w:rFonts w:ascii="宋体" w:hAnsi="宋体" w:eastAsia="宋体"/>
          <w:color w:val="auto"/>
          <w:sz w:val="21"/>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2"/>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评分内容</w:t>
            </w:r>
          </w:p>
        </w:tc>
        <w:tc>
          <w:tcPr>
            <w:tcW w:w="5028"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评分细则</w:t>
            </w:r>
          </w:p>
        </w:tc>
        <w:tc>
          <w:tcPr>
            <w:tcW w:w="2126"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29"/>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7"/>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numPr>
          <w:ilvl w:val="0"/>
          <w:numId w:val="20"/>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可按实际情况自行制订评分标准索引表。</w:t>
      </w:r>
    </w:p>
    <w:p>
      <w:pPr>
        <w:pStyle w:val="7"/>
        <w:spacing w:before="0"/>
        <w:ind w:left="0"/>
        <w:rPr>
          <w:color w:val="auto"/>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218" w:name="_Toc22080"/>
      <w:bookmarkStart w:id="219" w:name="_Toc19057"/>
      <w:bookmarkStart w:id="220" w:name="_Toc30640"/>
      <w:r>
        <w:rPr>
          <w:rFonts w:hint="eastAsia"/>
          <w:color w:val="auto"/>
          <w:highlight w:val="none"/>
          <w:lang w:val="en-US" w:eastAsia="zh-CN"/>
        </w:rPr>
        <w:t>第一章价格文件</w:t>
      </w:r>
      <w:bookmarkEnd w:id="218"/>
      <w:bookmarkEnd w:id="219"/>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1" w:name="_Toc4168"/>
      <w:bookmarkStart w:id="222" w:name="_Toc29262"/>
      <w:r>
        <w:rPr>
          <w:rFonts w:hint="eastAsia"/>
          <w:color w:val="auto"/>
          <w:highlight w:val="none"/>
          <w:lang w:val="en-US" w:eastAsia="zh-CN"/>
        </w:rPr>
        <w:t>一、报价一览表</w:t>
      </w:r>
      <w:bookmarkEnd w:id="221"/>
      <w:bookmarkEnd w:id="222"/>
    </w:p>
    <w:p>
      <w:pPr>
        <w:spacing w:line="360" w:lineRule="auto"/>
        <w:rPr>
          <w:color w:val="auto"/>
          <w:highlight w:val="none"/>
        </w:rPr>
      </w:pPr>
    </w:p>
    <w:tbl>
      <w:tblPr>
        <w:tblStyle w:val="22"/>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大写金额和小写金额两种方式</w:t>
      </w:r>
      <w:r>
        <w:rPr>
          <w:rFonts w:ascii="宋体" w:hAnsi="宋体" w:eastAsia="宋体"/>
          <w:color w:val="auto"/>
          <w:sz w:val="21"/>
          <w:szCs w:val="21"/>
          <w:highlight w:val="none"/>
        </w:rPr>
        <w:t>表示的</w:t>
      </w:r>
      <w:r>
        <w:rPr>
          <w:rFonts w:hint="eastAsia" w:ascii="宋体" w:hAnsi="宋体"/>
          <w:color w:val="auto"/>
          <w:sz w:val="21"/>
          <w:szCs w:val="21"/>
          <w:highlight w:val="none"/>
          <w:lang w:eastAsia="zh-CN"/>
        </w:rPr>
        <w:t>响应</w:t>
      </w:r>
      <w:r>
        <w:rPr>
          <w:rFonts w:ascii="宋体" w:hAnsi="宋体" w:eastAsia="宋体"/>
          <w:color w:val="auto"/>
          <w:sz w:val="21"/>
          <w:szCs w:val="21"/>
          <w:highlight w:val="none"/>
        </w:rPr>
        <w:t>总价</w:t>
      </w:r>
      <w:r>
        <w:rPr>
          <w:rFonts w:hint="eastAsia" w:ascii="宋体" w:hAnsi="宋体" w:eastAsia="宋体"/>
          <w:color w:val="auto"/>
          <w:sz w:val="21"/>
          <w:szCs w:val="21"/>
          <w:highlight w:val="none"/>
        </w:rPr>
        <w:t>，报价保留小数点后两位。</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总价大小写不一致，以大写为准。</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总价必须准确唯一且应包含</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要求的所有费用。</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须知的规定密封标记并与《授权委托书》</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bidi w:val="0"/>
        <w:rPr>
          <w:rFonts w:hint="eastAsia"/>
          <w:color w:val="auto"/>
          <w:highlight w:val="none"/>
        </w:rPr>
      </w:pPr>
    </w:p>
    <w:p>
      <w:pPr>
        <w:pStyle w:val="7"/>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color w:val="auto"/>
          <w:highlight w:val="none"/>
        </w:rPr>
      </w:pPr>
    </w:p>
    <w:p>
      <w:pPr>
        <w:pStyle w:val="7"/>
        <w:rPr>
          <w:color w:val="auto"/>
          <w:highlight w:val="none"/>
        </w:rPr>
      </w:pPr>
    </w:p>
    <w:p>
      <w:pPr>
        <w:pStyle w:val="8"/>
        <w:rPr>
          <w:color w:val="auto"/>
          <w:highlight w:val="none"/>
        </w:rPr>
      </w:pPr>
    </w:p>
    <w:p>
      <w:pPr>
        <w:rPr>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3" w:name="_Toc31062"/>
      <w:bookmarkStart w:id="224" w:name="_Toc29258"/>
      <w:r>
        <w:rPr>
          <w:rFonts w:hint="eastAsia"/>
          <w:color w:val="auto"/>
          <w:highlight w:val="none"/>
          <w:lang w:val="en-US" w:eastAsia="zh-CN"/>
        </w:rPr>
        <w:t>二、报价明细表</w:t>
      </w:r>
      <w:bookmarkEnd w:id="223"/>
      <w:bookmarkEnd w:id="224"/>
    </w:p>
    <w:p>
      <w:pPr>
        <w:pStyle w:val="29"/>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单位：元</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规格型号</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r>
              <w:rPr>
                <w:rFonts w:hint="eastAsia" w:ascii="宋体" w:hAnsi="宋体" w:eastAsia="宋体"/>
                <w:color w:val="auto"/>
                <w:sz w:val="21"/>
                <w:szCs w:val="21"/>
                <w:highlight w:val="none"/>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bl>
    <w:p>
      <w:pPr>
        <w:rPr>
          <w:rFonts w:ascii="宋体" w:hAnsi="宋体" w:eastAsia="宋体" w:cs="宋体"/>
          <w:b/>
          <w:color w:val="auto"/>
          <w:sz w:val="21"/>
          <w:szCs w:val="21"/>
          <w:highlight w:val="none"/>
        </w:rPr>
      </w:pPr>
    </w:p>
    <w:p>
      <w:pPr>
        <w:bidi w:val="0"/>
        <w:rPr>
          <w:color w:val="auto"/>
          <w:highlight w:val="none"/>
        </w:rPr>
      </w:pP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rPr>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p>
    <w:p>
      <w:pPr>
        <w:pStyle w:val="29"/>
        <w:rPr>
          <w:rFonts w:ascii="黑体" w:eastAsia="黑体"/>
          <w:color w:val="auto"/>
          <w:sz w:val="32"/>
          <w:szCs w:val="32"/>
          <w:highlight w:val="none"/>
        </w:rPr>
      </w:pPr>
    </w:p>
    <w:p>
      <w:pPr>
        <w:pStyle w:val="29"/>
        <w:rPr>
          <w:rFonts w:ascii="黑体" w:eastAsia="黑体"/>
          <w:color w:val="auto"/>
          <w:sz w:val="32"/>
          <w:szCs w:val="32"/>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5" w:name="_Toc20974"/>
      <w:bookmarkStart w:id="226" w:name="_Toc14734"/>
      <w:r>
        <w:rPr>
          <w:rFonts w:hint="eastAsia"/>
          <w:color w:val="auto"/>
          <w:highlight w:val="none"/>
          <w:lang w:val="en-US" w:eastAsia="zh-CN"/>
        </w:rPr>
        <w:t>三、小型或微型企业（货物/服务/承担的工程）明细表</w:t>
      </w:r>
      <w:bookmarkEnd w:id="225"/>
      <w:bookmarkEnd w:id="226"/>
    </w:p>
    <w:tbl>
      <w:tblPr>
        <w:tblStyle w:val="22"/>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053" w:type="dxa"/>
            <w:tcBorders>
              <w:tl2br w:val="nil"/>
              <w:tr2bl w:val="nil"/>
            </w:tcBorders>
            <w:vAlign w:val="center"/>
          </w:tcPr>
          <w:p>
            <w:pPr>
              <w:spacing w:after="0"/>
              <w:ind w:hanging="148"/>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品牌</w:t>
            </w: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850" w:type="dxa"/>
            <w:tcBorders>
              <w:tl2br w:val="nil"/>
              <w:tr2bl w:val="nil"/>
            </w:tcBorders>
            <w:vAlign w:val="center"/>
          </w:tcPr>
          <w:p>
            <w:pPr>
              <w:spacing w:after="0"/>
              <w:jc w:val="center"/>
              <w:textAlignment w:val="bottom"/>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制造商</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053" w:type="dxa"/>
            <w:gridSpan w:val="7"/>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pStyle w:val="32"/>
        <w:spacing w:after="0" w:line="360" w:lineRule="auto"/>
        <w:ind w:firstLine="0" w:firstLineChars="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bidi w:val="0"/>
        <w:rPr>
          <w:rFonts w:hint="eastAsia"/>
          <w:color w:val="auto"/>
          <w:highlight w:val="none"/>
        </w:rPr>
      </w:pPr>
    </w:p>
    <w:p>
      <w:pPr>
        <w:spacing w:after="0"/>
        <w:rPr>
          <w:rStyle w:val="42"/>
          <w:rFonts w:hint="eastAsia"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在“货物</w:t>
      </w:r>
      <w:r>
        <w:rPr>
          <w:rStyle w:val="42"/>
          <w:rFonts w:hint="eastAsia" w:ascii="宋体" w:hAnsi="宋体" w:eastAsia="宋体" w:cs="宋体"/>
          <w:b/>
          <w:color w:val="auto"/>
          <w:sz w:val="21"/>
          <w:szCs w:val="21"/>
          <w:highlight w:val="none"/>
          <w:lang w:val="en-US" w:eastAsia="zh-CN"/>
        </w:rPr>
        <w:t>/</w:t>
      </w:r>
      <w:r>
        <w:rPr>
          <w:rStyle w:val="42"/>
          <w:rFonts w:hint="eastAsia" w:ascii="宋体" w:hAnsi="宋体" w:eastAsia="宋体" w:cs="宋体"/>
          <w:b/>
          <w:color w:val="auto"/>
          <w:sz w:val="21"/>
          <w:szCs w:val="21"/>
          <w:highlight w:val="none"/>
        </w:rPr>
        <w:t>服务报价</w:t>
      </w:r>
      <w:r>
        <w:rPr>
          <w:rStyle w:val="42"/>
          <w:rFonts w:hint="eastAsia" w:ascii="宋体" w:hAnsi="宋体" w:eastAsia="宋体" w:cs="宋体"/>
          <w:b/>
          <w:color w:val="auto"/>
          <w:sz w:val="21"/>
          <w:szCs w:val="21"/>
          <w:highlight w:val="none"/>
          <w:lang w:val="en-US" w:eastAsia="zh-CN"/>
        </w:rPr>
        <w:t>明细</w:t>
      </w:r>
      <w:r>
        <w:rPr>
          <w:rStyle w:val="42"/>
          <w:rFonts w:hint="eastAsia" w:ascii="宋体" w:hAnsi="宋体" w:eastAsia="宋体" w:cs="宋体"/>
          <w:b/>
          <w:color w:val="auto"/>
          <w:sz w:val="21"/>
          <w:szCs w:val="21"/>
          <w:highlight w:val="none"/>
        </w:rPr>
        <w:t>表”中的报价内容中，如有属于</w:t>
      </w:r>
      <w:r>
        <w:rPr>
          <w:rFonts w:hint="eastAsia" w:ascii="宋体" w:hAnsi="宋体" w:eastAsia="宋体" w:cs="宋体"/>
          <w:b/>
          <w:color w:val="auto"/>
          <w:sz w:val="21"/>
          <w:szCs w:val="21"/>
          <w:highlight w:val="none"/>
        </w:rPr>
        <w:t>小型</w:t>
      </w:r>
      <w:r>
        <w:rPr>
          <w:rFonts w:hint="eastAsia" w:ascii="宋体" w:hAnsi="宋体" w:eastAsia="宋体" w:cs="宋体"/>
          <w:b/>
          <w:color w:val="auto"/>
          <w:sz w:val="21"/>
          <w:szCs w:val="21"/>
          <w:highlight w:val="none"/>
          <w:lang w:val="en-US" w:eastAsia="zh-CN"/>
        </w:rPr>
        <w:t>或</w:t>
      </w:r>
      <w:r>
        <w:rPr>
          <w:rFonts w:hint="eastAsia" w:ascii="宋体" w:hAnsi="宋体" w:eastAsia="宋体" w:cs="宋体"/>
          <w:b/>
          <w:color w:val="auto"/>
          <w:sz w:val="21"/>
          <w:szCs w:val="21"/>
          <w:highlight w:val="none"/>
        </w:rPr>
        <w:t>微型企业产品（货物</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服务</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承担的工程）的，必须在此表单独列明，否则在计算价格得分时不予以相应的扣除</w:t>
      </w:r>
      <w:r>
        <w:rPr>
          <w:rStyle w:val="42"/>
          <w:rFonts w:hint="eastAsia" w:ascii="宋体" w:hAnsi="宋体" w:eastAsia="宋体" w:cs="宋体"/>
          <w:b/>
          <w:color w:val="auto"/>
          <w:sz w:val="21"/>
          <w:szCs w:val="21"/>
          <w:highlight w:val="none"/>
        </w:rPr>
        <w:t>；</w:t>
      </w:r>
    </w:p>
    <w:p>
      <w:pPr>
        <w:pStyle w:val="32"/>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黑体" w:eastAsia="黑体"/>
          <w:color w:val="auto"/>
          <w:sz w:val="32"/>
          <w:szCs w:val="32"/>
          <w:highlight w:val="none"/>
        </w:rPr>
      </w:pPr>
      <w:r>
        <w:rPr>
          <w:rStyle w:val="42"/>
          <w:rFonts w:hint="eastAsia" w:ascii="宋体" w:hAnsi="宋体" w:eastAsia="宋体" w:cs="宋体"/>
          <w:b/>
          <w:color w:val="auto"/>
          <w:sz w:val="21"/>
          <w:szCs w:val="21"/>
          <w:highlight w:val="none"/>
        </w:rPr>
        <w:t>2、</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应该如实填写，如</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所投产品中无小型</w:t>
      </w:r>
      <w:r>
        <w:rPr>
          <w:rStyle w:val="42"/>
          <w:rFonts w:hint="eastAsia" w:ascii="宋体" w:hAnsi="宋体" w:eastAsia="宋体" w:cs="宋体"/>
          <w:b/>
          <w:color w:val="auto"/>
          <w:sz w:val="21"/>
          <w:szCs w:val="21"/>
          <w:highlight w:val="none"/>
          <w:lang w:val="en-US" w:eastAsia="zh-CN"/>
        </w:rPr>
        <w:t>或</w:t>
      </w:r>
      <w:r>
        <w:rPr>
          <w:rStyle w:val="42"/>
          <w:rFonts w:hint="eastAsia" w:ascii="宋体" w:hAnsi="宋体" w:eastAsia="宋体" w:cs="宋体"/>
          <w:b/>
          <w:color w:val="auto"/>
          <w:sz w:val="21"/>
          <w:szCs w:val="21"/>
          <w:highlight w:val="none"/>
        </w:rPr>
        <w:t>微型企业产品的，请留空或删除此表！</w:t>
      </w: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7" w:name="_Toc17483"/>
      <w:bookmarkStart w:id="228" w:name="_Toc16718"/>
      <w:r>
        <w:rPr>
          <w:rFonts w:hint="eastAsia"/>
          <w:color w:val="auto"/>
          <w:highlight w:val="none"/>
          <w:lang w:val="en-US" w:eastAsia="zh-CN"/>
        </w:rPr>
        <w:t>四、节能产品或环境标志产品明细表</w:t>
      </w:r>
      <w:bookmarkEnd w:id="227"/>
      <w:bookmarkEnd w:id="228"/>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266" w:type="dxa"/>
            <w:gridSpan w:val="6"/>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pStyle w:val="29"/>
        <w:rPr>
          <w:rFonts w:hint="eastAsia"/>
          <w:color w:val="auto"/>
          <w:highlight w:val="none"/>
        </w:rPr>
      </w:pPr>
    </w:p>
    <w:p>
      <w:pPr>
        <w:tabs>
          <w:tab w:val="left" w:pos="284"/>
        </w:tabs>
        <w:spacing w:after="0"/>
        <w:rPr>
          <w:rStyle w:val="42"/>
          <w:rFonts w:hint="eastAsia"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pPr>
        <w:keepNext w:val="0"/>
        <w:keepLines w:val="0"/>
        <w:pageBreakBefore w:val="0"/>
        <w:widowControl/>
        <w:tabs>
          <w:tab w:val="left" w:pos="284"/>
        </w:tabs>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在“货物</w:t>
      </w:r>
      <w:r>
        <w:rPr>
          <w:rStyle w:val="42"/>
          <w:rFonts w:hint="eastAsia" w:ascii="宋体" w:hAnsi="宋体" w:eastAsia="宋体" w:cs="宋体"/>
          <w:b/>
          <w:color w:val="auto"/>
          <w:sz w:val="21"/>
          <w:szCs w:val="21"/>
          <w:highlight w:val="none"/>
          <w:lang w:val="en-US" w:eastAsia="zh-CN"/>
        </w:rPr>
        <w:t>/</w:t>
      </w:r>
      <w:r>
        <w:rPr>
          <w:rStyle w:val="42"/>
          <w:rFonts w:hint="eastAsia" w:ascii="宋体" w:hAnsi="宋体" w:eastAsia="宋体" w:cs="宋体"/>
          <w:b/>
          <w:color w:val="auto"/>
          <w:sz w:val="21"/>
          <w:szCs w:val="21"/>
          <w:highlight w:val="none"/>
        </w:rPr>
        <w:t>服务报价</w:t>
      </w:r>
      <w:r>
        <w:rPr>
          <w:rStyle w:val="42"/>
          <w:rFonts w:hint="eastAsia" w:ascii="宋体" w:hAnsi="宋体" w:eastAsia="宋体" w:cs="宋体"/>
          <w:b/>
          <w:color w:val="auto"/>
          <w:sz w:val="21"/>
          <w:szCs w:val="21"/>
          <w:highlight w:val="none"/>
          <w:lang w:val="en-US" w:eastAsia="zh-CN"/>
        </w:rPr>
        <w:t>明细</w:t>
      </w:r>
      <w:r>
        <w:rPr>
          <w:rStyle w:val="42"/>
          <w:rFonts w:hint="eastAsia" w:ascii="宋体" w:hAnsi="宋体" w:eastAsia="宋体" w:cs="宋体"/>
          <w:b/>
          <w:color w:val="auto"/>
          <w:sz w:val="21"/>
          <w:szCs w:val="21"/>
          <w:highlight w:val="none"/>
        </w:rPr>
        <w:t>表”中的报价内容中，如有属于节能产品或环境标志产的，必须在此表单独列明且提供相应的证明材料，否则在计算价格得分时不予以相应的扣除；</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ascii="微软雅黑" w:hAnsi="微软雅黑" w:cs="微软雅黑"/>
          <w:b/>
          <w:color w:val="auto"/>
          <w:sz w:val="28"/>
          <w:szCs w:val="28"/>
          <w:highlight w:val="none"/>
        </w:rPr>
      </w:pPr>
      <w:r>
        <w:rPr>
          <w:rStyle w:val="42"/>
          <w:rFonts w:hint="eastAsia" w:ascii="宋体" w:hAnsi="宋体" w:eastAsia="宋体" w:cs="宋体"/>
          <w:b/>
          <w:color w:val="auto"/>
          <w:sz w:val="21"/>
          <w:szCs w:val="21"/>
          <w:highlight w:val="none"/>
        </w:rPr>
        <w:t>2、</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应该如实填写，如</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所投产品中无节能或环保产品的，请留空或删除此表！</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9" w:name="_Toc8170"/>
      <w:bookmarkStart w:id="230" w:name="_Toc10853"/>
      <w:r>
        <w:rPr>
          <w:rFonts w:hint="eastAsia"/>
          <w:color w:val="auto"/>
          <w:highlight w:val="none"/>
          <w:lang w:val="en-US" w:eastAsia="zh-CN"/>
        </w:rPr>
        <w:t>五、中小企业声明函</w:t>
      </w:r>
      <w:bookmarkEnd w:id="229"/>
      <w:bookmarkEnd w:id="230"/>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中小企业声明函（货物）</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采购活动，提供的货物全部由符合政策要求的中小企业制造。相关企业</w:t>
      </w:r>
      <w:r>
        <w:rPr>
          <w:rFonts w:hint="eastAsia" w:asciiTheme="minorEastAsia" w:hAnsiTheme="minorEastAsia" w:eastAsiaTheme="minorEastAsia" w:cstheme="minorEastAsia"/>
          <w:color w:val="auto"/>
          <w:sz w:val="21"/>
          <w:szCs w:val="21"/>
          <w:highlight w:val="none"/>
          <w:u w:val="single"/>
          <w:lang w:val="en-US" w:eastAsia="zh-CN"/>
        </w:rPr>
        <w:t>（含联合体中的中小企业、签订分包意向协议的中小企业）</w:t>
      </w:r>
      <w:r>
        <w:rPr>
          <w:rFonts w:hint="eastAsia" w:asciiTheme="minorEastAsia" w:hAnsiTheme="minorEastAsia" w:eastAsiaTheme="minorEastAsia" w:cstheme="minorEastAsia"/>
          <w:color w:val="auto"/>
          <w:sz w:val="21"/>
          <w:szCs w:val="21"/>
          <w:highlight w:val="none"/>
          <w:u w:val="none"/>
          <w:lang w:val="en-US" w:eastAsia="zh-CN"/>
        </w:rPr>
        <w:t>的具体情况如下：</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u w:val="none"/>
          <w:lang w:val="en-US" w:eastAsia="zh-CN"/>
        </w:rPr>
        <w:footnoteReference w:id="0"/>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7"/>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不属于规定的中小企业范围，或提供的产品不是中小企业制造的，则无需提供此表。</w:t>
      </w:r>
      <w:r>
        <w:rPr>
          <w:rFonts w:hint="eastAsia" w:ascii="宋体" w:hAnsi="宋体" w:eastAsia="宋体"/>
          <w:color w:val="auto"/>
          <w:sz w:val="21"/>
          <w:szCs w:val="21"/>
          <w:highlight w:val="none"/>
        </w:rPr>
        <w:br w:type="page"/>
      </w:r>
    </w:p>
    <w:p>
      <w:pPr>
        <w:keepNext w:val="0"/>
        <w:keepLines w:val="0"/>
        <w:pageBreakBefore w:val="0"/>
        <w:widowControl/>
        <w:kinsoku/>
        <w:wordWrap/>
        <w:overflowPunct/>
        <w:topLinePunct w:val="0"/>
        <w:autoSpaceDE/>
        <w:autoSpaceDN/>
        <w:bidi w:val="0"/>
        <w:adjustRightInd w:val="0"/>
        <w:snapToGrid w:val="0"/>
        <w:spacing w:after="0" w:line="48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中小企业声明函（工程、服务）</w:t>
      </w:r>
    </w:p>
    <w:p>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eastAsiaTheme="minorEastAsia"/>
          <w:color w:val="auto"/>
          <w:highlight w:val="non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u w:val="none"/>
          <w:lang w:val="en-US" w:eastAsia="zh-CN"/>
        </w:rPr>
        <w:footnoteReference w:id="1"/>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不属于规定的中小企业范围，或提供的产品不是中小企业制造的，则无需提供此表。</w:t>
      </w:r>
      <w:r>
        <w:rPr>
          <w:rFonts w:hint="eastAsia" w:ascii="宋体" w:hAnsi="宋体" w:eastAsia="宋体"/>
          <w:color w:val="auto"/>
          <w:sz w:val="21"/>
          <w:szCs w:val="21"/>
          <w:highlight w:val="none"/>
        </w:rPr>
        <w:br w:type="page"/>
      </w:r>
    </w:p>
    <w:p>
      <w:pP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说明</w:t>
      </w:r>
      <w:r>
        <w:rPr>
          <w:rFonts w:hint="eastAsia" w:ascii="宋体" w:hAnsi="宋体" w:eastAsia="宋体"/>
          <w:b/>
          <w:bCs/>
          <w:color w:val="auto"/>
          <w:sz w:val="21"/>
          <w:szCs w:val="21"/>
          <w:highlight w:val="none"/>
        </w:rPr>
        <w:t>：</w:t>
      </w:r>
    </w:p>
    <w:p>
      <w:pPr>
        <w:spacing w:after="0" w:line="480" w:lineRule="auto"/>
        <w:ind w:firstLine="422" w:firstLineChars="20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应根据</w:t>
      </w:r>
      <w:r>
        <w:rPr>
          <w:rFonts w:hint="eastAsia" w:ascii="宋体" w:hAnsi="宋体" w:eastAsia="宋体"/>
          <w:b/>
          <w:bCs/>
          <w:color w:val="auto"/>
          <w:sz w:val="21"/>
          <w:szCs w:val="21"/>
          <w:highlight w:val="none"/>
          <w:lang w:eastAsia="zh-CN"/>
        </w:rPr>
        <w:t>《政府采购促进中小企业发展管理办法》的通知（财库〔2020〕46号）</w:t>
      </w:r>
      <w:r>
        <w:rPr>
          <w:rFonts w:hint="eastAsia" w:ascii="宋体" w:hAnsi="宋体" w:eastAsia="宋体"/>
          <w:b/>
          <w:bCs/>
          <w:color w:val="auto"/>
          <w:sz w:val="21"/>
          <w:szCs w:val="21"/>
          <w:highlight w:val="none"/>
        </w:rPr>
        <w:t>的有关规定如实填写此表。（监狱企业视同小型、微型企业，监狱企业参加政府采购活动时，应当提供由省级以上监狱管理局、戒毒管理局(含新疆生产建设兵团)出具的属于监狱企业的证明文件）</w:t>
      </w:r>
    </w:p>
    <w:p>
      <w:pPr>
        <w:spacing w:after="0" w:line="480" w:lineRule="auto"/>
        <w:ind w:firstLine="422" w:firstLineChars="200"/>
        <w:rPr>
          <w:rFonts w:ascii="楷体_GB2312" w:eastAsia="楷体_GB2312"/>
          <w:b/>
          <w:bCs/>
          <w:color w:val="auto"/>
          <w:sz w:val="24"/>
          <w:highlight w:val="none"/>
        </w:rPr>
      </w:pP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rPr>
        <w:t>、</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应该在《报价明细表》中单独列明属于小型和微型企业产品（货物、承担的工程或者服务）的报价，若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1" w:name="_Toc312"/>
      <w:bookmarkStart w:id="232" w:name="_Toc8560"/>
      <w:r>
        <w:rPr>
          <w:rFonts w:hint="eastAsia"/>
          <w:color w:val="auto"/>
          <w:highlight w:val="none"/>
          <w:lang w:val="en-US" w:eastAsia="zh-CN"/>
        </w:rPr>
        <w:t>六、残疾人福利性单位声明函</w:t>
      </w:r>
      <w:bookmarkEnd w:id="231"/>
      <w:bookmarkEnd w:id="232"/>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本单位对上述声明的真实性负责。如有虚假，将依法承担相应责任。</w:t>
      </w:r>
    </w:p>
    <w:p>
      <w:pPr>
        <w:spacing w:after="0" w:line="480" w:lineRule="auto"/>
        <w:jc w:val="right"/>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单位名称（盖章）：</w:t>
      </w:r>
      <w:bookmarkStart w:id="233" w:name="_Toc509927455"/>
      <w:bookmarkStart w:id="234" w:name="_Toc30247"/>
      <w:bookmarkStart w:id="235" w:name="_Toc20910"/>
      <w:bookmarkStart w:id="236" w:name="_Toc22970"/>
      <w:bookmarkStart w:id="237" w:name="_Toc509844825"/>
      <w:bookmarkStart w:id="238" w:name="_Toc508958703"/>
      <w:bookmarkStart w:id="239" w:name="_Toc508960153"/>
      <w:bookmarkStart w:id="240" w:name="_Toc510171693"/>
      <w:bookmarkStart w:id="241" w:name="_Toc509479530"/>
      <w:bookmarkStart w:id="242" w:name="_Toc17761"/>
      <w:bookmarkStart w:id="243" w:name="_Toc30277"/>
      <w:bookmarkStart w:id="244" w:name="_Toc508898066"/>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  期：</w:t>
      </w:r>
      <w:bookmarkEnd w:id="233"/>
      <w:bookmarkEnd w:id="234"/>
      <w:bookmarkEnd w:id="235"/>
      <w:bookmarkEnd w:id="236"/>
      <w:bookmarkEnd w:id="237"/>
      <w:bookmarkEnd w:id="238"/>
      <w:bookmarkEnd w:id="239"/>
      <w:bookmarkEnd w:id="240"/>
      <w:bookmarkEnd w:id="241"/>
      <w:bookmarkEnd w:id="242"/>
      <w:bookmarkEnd w:id="243"/>
      <w:bookmarkEnd w:id="244"/>
    </w:p>
    <w:p>
      <w:pPr>
        <w:pStyle w:val="7"/>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bookmarkStart w:id="245" w:name="_Toc508898067"/>
      <w:bookmarkStart w:id="246" w:name="_Toc26216"/>
      <w:bookmarkStart w:id="247" w:name="_Toc509844826"/>
      <w:bookmarkStart w:id="248" w:name="_Toc31520"/>
      <w:bookmarkStart w:id="249" w:name="_Toc508958704"/>
      <w:bookmarkStart w:id="250" w:name="_Toc21053"/>
      <w:bookmarkStart w:id="251" w:name="_Toc509927456"/>
      <w:bookmarkStart w:id="252" w:name="_Toc510171694"/>
      <w:bookmarkStart w:id="253" w:name="_Toc509479531"/>
      <w:bookmarkStart w:id="254" w:name="_Toc508960154"/>
      <w:bookmarkStart w:id="255" w:name="_Toc28527"/>
      <w:bookmarkStart w:id="256" w:name="_Toc5447"/>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（1）符合《财政部 民政部 中国残疾人联合会关于促进残疾人就业政府采购政策的通知》（财库〔2017〕 141号）规定条件的残疾人福利性单位应当提供《残疾人福利性单位声明函》。</w:t>
      </w:r>
      <w:bookmarkEnd w:id="245"/>
      <w:bookmarkEnd w:id="246"/>
      <w:bookmarkEnd w:id="247"/>
      <w:bookmarkEnd w:id="248"/>
      <w:bookmarkEnd w:id="249"/>
      <w:bookmarkEnd w:id="250"/>
      <w:bookmarkEnd w:id="251"/>
      <w:bookmarkEnd w:id="252"/>
      <w:bookmarkEnd w:id="253"/>
      <w:bookmarkEnd w:id="254"/>
      <w:bookmarkEnd w:id="255"/>
      <w:bookmarkEnd w:id="256"/>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57" w:name="_Toc24848"/>
      <w:bookmarkStart w:id="258" w:name="_Toc508960155"/>
      <w:bookmarkStart w:id="259" w:name="_Toc508958705"/>
      <w:bookmarkStart w:id="260" w:name="_Toc28126"/>
      <w:bookmarkStart w:id="261" w:name="_Toc14653"/>
      <w:bookmarkStart w:id="262" w:name="_Toc510171695"/>
      <w:bookmarkStart w:id="263" w:name="_Toc509927457"/>
      <w:bookmarkStart w:id="264" w:name="_Toc508898068"/>
      <w:bookmarkStart w:id="265" w:name="_Toc509479532"/>
      <w:bookmarkStart w:id="266" w:name="_Toc509844827"/>
      <w:bookmarkStart w:id="267" w:name="_Toc28626"/>
      <w:bookmarkStart w:id="268" w:name="_Toc9148"/>
      <w:r>
        <w:rPr>
          <w:rFonts w:hint="eastAsia" w:ascii="宋体" w:hAnsi="宋体" w:eastAsia="宋体"/>
          <w:color w:val="auto"/>
          <w:sz w:val="21"/>
          <w:szCs w:val="21"/>
          <w:highlight w:val="none"/>
        </w:rPr>
        <w:t>（2）</w:t>
      </w:r>
      <w:r>
        <w:rPr>
          <w:rFonts w:hint="eastAsia" w:ascii="宋体" w:hAnsi="宋体"/>
          <w:color w:val="auto"/>
          <w:sz w:val="21"/>
          <w:szCs w:val="21"/>
          <w:highlight w:val="none"/>
          <w:lang w:eastAsia="zh-CN"/>
        </w:rPr>
        <w:t>成交人</w:t>
      </w:r>
      <w:r>
        <w:rPr>
          <w:rFonts w:hint="eastAsia" w:ascii="宋体" w:hAnsi="宋体" w:eastAsia="宋体"/>
          <w:color w:val="auto"/>
          <w:sz w:val="21"/>
          <w:szCs w:val="21"/>
          <w:highlight w:val="none"/>
        </w:rPr>
        <w:t>为残疾人福利性单位的，采购代理机构将随中标结果同时公告其《残疾人福利性单位声明函》，接受社会监督。</w:t>
      </w:r>
      <w:bookmarkEnd w:id="257"/>
      <w:bookmarkEnd w:id="258"/>
      <w:bookmarkEnd w:id="259"/>
      <w:bookmarkEnd w:id="260"/>
      <w:bookmarkEnd w:id="261"/>
      <w:bookmarkEnd w:id="262"/>
      <w:bookmarkEnd w:id="263"/>
      <w:bookmarkEnd w:id="264"/>
      <w:bookmarkEnd w:id="265"/>
      <w:bookmarkEnd w:id="266"/>
      <w:bookmarkEnd w:id="267"/>
      <w:bookmarkEnd w:id="268"/>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69" w:name="_Toc7858"/>
      <w:bookmarkStart w:id="270" w:name="_Toc9837"/>
      <w:bookmarkStart w:id="271" w:name="_Toc28044"/>
      <w:bookmarkStart w:id="272" w:name="_Toc510171696"/>
      <w:bookmarkStart w:id="273" w:name="_Toc508898069"/>
      <w:bookmarkStart w:id="274" w:name="_Toc508958706"/>
      <w:bookmarkStart w:id="275" w:name="_Toc509479533"/>
      <w:bookmarkStart w:id="276" w:name="_Toc28686"/>
      <w:bookmarkStart w:id="277" w:name="_Toc508960156"/>
      <w:bookmarkStart w:id="278" w:name="_Toc509927458"/>
      <w:bookmarkStart w:id="279" w:name="_Toc509844828"/>
      <w:bookmarkStart w:id="280" w:name="_Toc22981"/>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提供的《残疾人福利性单位声明函》与事实不符的，依照《政府采购法》第七十七条第一款的规定追究法律责任。</w:t>
      </w:r>
      <w:bookmarkEnd w:id="269"/>
      <w:bookmarkEnd w:id="270"/>
      <w:bookmarkEnd w:id="271"/>
      <w:bookmarkEnd w:id="272"/>
      <w:bookmarkEnd w:id="273"/>
      <w:bookmarkEnd w:id="274"/>
      <w:bookmarkEnd w:id="275"/>
      <w:bookmarkEnd w:id="276"/>
      <w:bookmarkEnd w:id="277"/>
      <w:bookmarkEnd w:id="278"/>
      <w:bookmarkEnd w:id="279"/>
      <w:bookmarkEnd w:id="280"/>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81" w:name="_Toc18843"/>
      <w:bookmarkStart w:id="282" w:name="_Toc508898070"/>
      <w:bookmarkStart w:id="283" w:name="_Toc5289"/>
      <w:bookmarkStart w:id="284" w:name="_Toc510171697"/>
      <w:bookmarkStart w:id="285" w:name="_Toc508958707"/>
      <w:bookmarkStart w:id="286" w:name="_Toc509927459"/>
      <w:bookmarkStart w:id="287" w:name="_Toc509479534"/>
      <w:bookmarkStart w:id="288" w:name="_Toc509844829"/>
      <w:bookmarkStart w:id="289" w:name="_Toc508960157"/>
      <w:r>
        <w:rPr>
          <w:rFonts w:hint="eastAsia" w:ascii="宋体" w:hAnsi="宋体" w:eastAsia="宋体"/>
          <w:color w:val="auto"/>
          <w:sz w:val="21"/>
          <w:szCs w:val="21"/>
          <w:highlight w:val="none"/>
        </w:rPr>
        <w:t>（4）残疾人福利性单位视同小型、微型企业，享受评审中价格扣除。残疾人福利性单位属于小型、微型企业的，不重复享受政策。</w:t>
      </w:r>
      <w:bookmarkEnd w:id="281"/>
      <w:bookmarkEnd w:id="282"/>
      <w:bookmarkEnd w:id="283"/>
      <w:bookmarkEnd w:id="284"/>
      <w:bookmarkEnd w:id="285"/>
      <w:bookmarkEnd w:id="286"/>
      <w:bookmarkEnd w:id="287"/>
      <w:bookmarkEnd w:id="288"/>
      <w:bookmarkEnd w:id="289"/>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（5）若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eastAsia="宋体"/>
          <w:bCs/>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90" w:name="_Toc23948"/>
      <w:bookmarkStart w:id="291" w:name="_Toc2486"/>
      <w:r>
        <w:rPr>
          <w:rFonts w:hint="eastAsia"/>
          <w:color w:val="auto"/>
          <w:highlight w:val="none"/>
          <w:lang w:val="en-US" w:eastAsia="zh-CN"/>
        </w:rPr>
        <w:t>第二章商务文件</w:t>
      </w:r>
      <w:bookmarkEnd w:id="290"/>
      <w:bookmarkEnd w:id="291"/>
    </w:p>
    <w:bookmarkEnd w:id="220"/>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2" w:name="_Toc4151"/>
      <w:bookmarkStart w:id="293" w:name="_Toc23787"/>
      <w:r>
        <w:rPr>
          <w:rFonts w:hint="eastAsia"/>
          <w:color w:val="auto"/>
          <w:highlight w:val="none"/>
          <w:lang w:val="en-US" w:eastAsia="zh-CN"/>
        </w:rPr>
        <w:t>一、响应函</w:t>
      </w:r>
      <w:bookmarkEnd w:id="292"/>
      <w:bookmarkEnd w:id="293"/>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spacing w:after="0" w:line="360" w:lineRule="auto"/>
        <w:rPr>
          <w:rFonts w:ascii="宋体" w:hAnsi="宋体" w:eastAsia="宋体"/>
          <w:color w:val="auto"/>
          <w:sz w:val="21"/>
          <w:szCs w:val="21"/>
          <w:highlight w:val="none"/>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u w:val="single"/>
        </w:rPr>
        <w:t>（</w:t>
      </w:r>
      <w:r>
        <w:rPr>
          <w:rFonts w:hint="eastAsia" w:ascii="宋体" w:hAnsi="宋体"/>
          <w:color w:val="auto"/>
          <w:sz w:val="21"/>
          <w:szCs w:val="21"/>
          <w:highlight w:val="none"/>
          <w:u w:val="single"/>
          <w:lang w:eastAsia="zh-CN"/>
        </w:rPr>
        <w:t>供应商</w:t>
      </w:r>
      <w:r>
        <w:rPr>
          <w:rFonts w:hint="eastAsia" w:ascii="宋体" w:hAnsi="宋体" w:eastAsia="宋体"/>
          <w:color w:val="auto"/>
          <w:sz w:val="21"/>
          <w:szCs w:val="21"/>
          <w:highlight w:val="none"/>
          <w:u w:val="single"/>
        </w:rPr>
        <w:t>名称、地址）</w:t>
      </w:r>
      <w:r>
        <w:rPr>
          <w:rFonts w:hint="eastAsia" w:ascii="宋体" w:eastAsia="宋体" w:cs="宋体"/>
          <w:color w:val="auto"/>
          <w:sz w:val="22"/>
          <w:szCs w:val="22"/>
          <w:highlight w:val="none"/>
        </w:rPr>
        <w:t>进行有关本次</w:t>
      </w:r>
      <w:r>
        <w:rPr>
          <w:rFonts w:hint="eastAsia" w:ascii="宋体" w:cs="宋体"/>
          <w:color w:val="auto"/>
          <w:sz w:val="22"/>
          <w:szCs w:val="22"/>
          <w:highlight w:val="none"/>
          <w:lang w:eastAsia="zh-CN"/>
        </w:rPr>
        <w:t>磋商</w:t>
      </w:r>
      <w:r>
        <w:rPr>
          <w:rFonts w:hint="eastAsia" w:ascii="宋体" w:eastAsia="宋体" w:cs="宋体"/>
          <w:color w:val="auto"/>
          <w:sz w:val="22"/>
          <w:szCs w:val="22"/>
          <w:highlight w:val="none"/>
        </w:rPr>
        <w:t>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highlight w:val="none"/>
        </w:rPr>
      </w:pPr>
      <w:r>
        <w:rPr>
          <w:rFonts w:hint="eastAsia" w:ascii="宋体" w:eastAsia="宋体" w:cs="宋体"/>
          <w:color w:val="auto"/>
          <w:sz w:val="22"/>
          <w:szCs w:val="22"/>
          <w:highlight w:val="none"/>
        </w:rPr>
        <w:t>在此提交的</w:t>
      </w:r>
      <w:r>
        <w:rPr>
          <w:rFonts w:hint="eastAsia" w:ascii="宋体" w:cs="宋体"/>
          <w:color w:val="auto"/>
          <w:sz w:val="22"/>
          <w:szCs w:val="22"/>
          <w:highlight w:val="none"/>
          <w:lang w:eastAsia="zh-CN"/>
        </w:rPr>
        <w:t>响应文件</w:t>
      </w:r>
      <w:r>
        <w:rPr>
          <w:rFonts w:hint="eastAsia" w:ascii="宋体" w:eastAsia="宋体" w:cs="宋体"/>
          <w:color w:val="auto"/>
          <w:sz w:val="22"/>
          <w:szCs w:val="22"/>
          <w:highlight w:val="none"/>
        </w:rPr>
        <w:t>，正本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w:t>
      </w:r>
      <w:r>
        <w:rPr>
          <w:rFonts w:hint="eastAsia" w:ascii="宋体" w:cs="宋体"/>
          <w:color w:val="auto"/>
          <w:sz w:val="22"/>
          <w:szCs w:val="22"/>
          <w:highlight w:val="none"/>
          <w:lang w:eastAsia="zh-CN"/>
        </w:rPr>
        <w:t>报价</w:t>
      </w:r>
      <w:r>
        <w:rPr>
          <w:rFonts w:hint="eastAsia" w:ascii="宋体" w:eastAsia="宋体" w:cs="宋体"/>
          <w:color w:val="auto"/>
          <w:sz w:val="22"/>
          <w:szCs w:val="22"/>
          <w:highlight w:val="none"/>
        </w:rPr>
        <w:t>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lang w:val="en-US" w:eastAsia="zh-CN"/>
        </w:rPr>
        <w:t>已</w:t>
      </w:r>
      <w:r>
        <w:rPr>
          <w:rFonts w:hint="eastAsia" w:ascii="新宋体" w:hAnsi="新宋体" w:eastAsia="新宋体"/>
          <w:color w:val="auto"/>
          <w:sz w:val="22"/>
          <w:highlight w:val="none"/>
          <w:lang w:val="zh-CN"/>
        </w:rPr>
        <w:t>完全明白磋商文件的所有条款要求，并重申以下几点：</w:t>
      </w:r>
    </w:p>
    <w:p>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我方将按</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 xml:space="preserve">的规定履行合同责任和义务。 </w:t>
      </w:r>
    </w:p>
    <w:p>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个日历日。</w:t>
      </w:r>
    </w:p>
    <w:p>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本公司同意按照贵公司可能提出的要求而提供与</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有关的任何其它数据、信息或资料。</w:t>
      </w:r>
    </w:p>
    <w:p>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本公司如果中标，将保证履行</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及其澄清、修改文件（如果有）中的全部责任和义务，按质、按量、按期完成《采购需求书》及《合同书》中的全部任务。</w:t>
      </w:r>
    </w:p>
    <w:p>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与本</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有关的一切正式信函请寄：</w:t>
      </w:r>
    </w:p>
    <w:p>
      <w:pPr>
        <w:spacing w:after="0" w:line="360" w:lineRule="auto"/>
        <w:rPr>
          <w:rFonts w:hint="eastAsia" w:ascii="宋体" w:hAnsi="宋体" w:eastAsia="宋体"/>
          <w:color w:val="auto"/>
          <w:sz w:val="21"/>
          <w:szCs w:val="21"/>
          <w:highlight w:val="none"/>
        </w:rPr>
      </w:pPr>
    </w:p>
    <w:p>
      <w:pP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邮箱</w:t>
      </w:r>
      <w:r>
        <w:rPr>
          <w:rFonts w:hint="eastAsia" w:ascii="宋体" w:hAnsi="宋体" w:eastAsia="宋体"/>
          <w:color w:val="auto"/>
          <w:sz w:val="21"/>
          <w:szCs w:val="21"/>
          <w:highlight w:val="none"/>
        </w:rPr>
        <w:t>：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w:t>
      </w:r>
    </w:p>
    <w:p>
      <w:pPr>
        <w:spacing w:after="0" w:line="360" w:lineRule="auto"/>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 xml:space="preserve">代表签字： </w:t>
      </w:r>
      <w:r>
        <w:rPr>
          <w:rFonts w:hint="eastAsia" w:ascii="宋体" w:hAnsi="宋体" w:eastAsia="宋体"/>
          <w:color w:val="auto"/>
          <w:sz w:val="21"/>
          <w:szCs w:val="21"/>
          <w:highlight w:val="none"/>
          <w:lang w:val="en-US" w:eastAsia="zh-CN"/>
        </w:rPr>
        <w:t xml:space="preserve">                   </w:t>
      </w:r>
    </w:p>
    <w:p>
      <w:pPr>
        <w:spacing w:after="0" w:line="360" w:lineRule="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lang w:eastAsia="zh-CN"/>
        </w:rPr>
        <w:t>名称（加盖公章）</w:t>
      </w:r>
      <w:r>
        <w:rPr>
          <w:rFonts w:hint="eastAsia" w:ascii="宋体" w:hAnsi="宋体" w:eastAsia="宋体"/>
          <w:color w:val="auto"/>
          <w:sz w:val="21"/>
          <w:szCs w:val="21"/>
          <w:highlight w:val="none"/>
        </w:rPr>
        <w:t xml:space="preserve">：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adjustRightInd/>
        <w:snapToGrid/>
        <w:spacing w:line="276" w:lineRule="auto"/>
        <w:rPr>
          <w:color w:val="auto"/>
          <w:highlight w:val="none"/>
        </w:rPr>
      </w:pPr>
      <w:r>
        <w:rPr>
          <w:color w:val="auto"/>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4" w:name="_Toc15719"/>
      <w:bookmarkStart w:id="295" w:name="_Toc27961"/>
      <w:r>
        <w:rPr>
          <w:rFonts w:hint="eastAsia"/>
          <w:color w:val="auto"/>
          <w:highlight w:val="none"/>
          <w:lang w:val="en-US" w:eastAsia="zh-CN"/>
        </w:rPr>
        <w:t>二、资格申明函</w:t>
      </w:r>
      <w:bookmarkEnd w:id="294"/>
      <w:bookmarkEnd w:id="295"/>
    </w:p>
    <w:p>
      <w:pPr>
        <w:pStyle w:val="35"/>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val="en-US" w:eastAsia="zh-CN"/>
        </w:rPr>
        <w:t>致</w:t>
      </w: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hint="eastAsia" w:ascii="宋体" w:hAnsi="宋体"/>
          <w:color w:val="auto"/>
          <w:sz w:val="21"/>
          <w:szCs w:val="21"/>
          <w:highlight w:val="none"/>
          <w:lang w:eastAsia="zh-CN"/>
        </w:rPr>
        <w:t>磋商</w:t>
      </w:r>
      <w:r>
        <w:rPr>
          <w:rFonts w:ascii="宋体" w:hAnsi="宋体" w:eastAsia="宋体"/>
          <w:color w:val="auto"/>
          <w:sz w:val="21"/>
          <w:szCs w:val="21"/>
          <w:highlight w:val="none"/>
        </w:rPr>
        <w:t>邀请，参与</w:t>
      </w:r>
      <w:r>
        <w:rPr>
          <w:rFonts w:hint="eastAsia" w:ascii="宋体" w:hAnsi="宋体"/>
          <w:color w:val="auto"/>
          <w:sz w:val="21"/>
          <w:szCs w:val="21"/>
          <w:highlight w:val="none"/>
          <w:lang w:eastAsia="zh-CN"/>
        </w:rPr>
        <w:t>报价</w:t>
      </w:r>
      <w:r>
        <w:rPr>
          <w:rFonts w:ascii="宋体" w:hAnsi="宋体" w:eastAsia="宋体"/>
          <w:color w:val="auto"/>
          <w:sz w:val="21"/>
          <w:szCs w:val="21"/>
          <w:highlight w:val="none"/>
        </w:rPr>
        <w:t>，提供用户需求书中规定的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w:t>
      </w:r>
      <w:r>
        <w:rPr>
          <w:rFonts w:hint="eastAsia" w:ascii="宋体" w:hAnsi="宋体"/>
          <w:color w:val="auto"/>
          <w:sz w:val="21"/>
          <w:szCs w:val="21"/>
          <w:highlight w:val="none"/>
          <w:lang w:eastAsia="zh-CN"/>
        </w:rPr>
        <w:t>磋商文件</w:t>
      </w:r>
      <w:r>
        <w:rPr>
          <w:rFonts w:ascii="宋体" w:hAnsi="宋体" w:eastAsia="宋体"/>
          <w:color w:val="auto"/>
          <w:sz w:val="21"/>
          <w:szCs w:val="21"/>
          <w:highlight w:val="none"/>
        </w:rPr>
        <w:t>要求提交所附资格文件且声明和保证如下：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我方具备《中华人民共和国政府采购法》第二十二条资格条件</w:t>
      </w:r>
      <w:r>
        <w:rPr>
          <w:rFonts w:hint="eastAsia" w:ascii="宋体" w:hAnsi="宋体" w:eastAsia="宋体"/>
          <w:color w:val="auto"/>
          <w:sz w:val="21"/>
          <w:szCs w:val="21"/>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（一）具有独立承担民事责任的能力；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（二）具有良好的商业信誉和健全的财务会计制度；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（三）具有履行合同所必需的设备和专业技术能力；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（四）有依法缴纳税收和社会保障资金的良好记录；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（五）参加政府采购活动前三年内，在经营活动中没有重大违法记录；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（六）法律、行政法规规定的其他条件。 </w:t>
      </w:r>
    </w:p>
    <w:p>
      <w:pPr>
        <w:numPr>
          <w:ilvl w:val="0"/>
          <w:numId w:val="0"/>
        </w:num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lang w:val="en-US" w:eastAsia="zh-CN"/>
        </w:rPr>
        <w:t>、我方</w:t>
      </w:r>
      <w:r>
        <w:rPr>
          <w:rFonts w:hint="eastAsia" w:ascii="宋体" w:hAnsi="宋体" w:eastAsia="宋体"/>
          <w:color w:val="auto"/>
          <w:sz w:val="21"/>
          <w:szCs w:val="21"/>
          <w:highlight w:val="none"/>
        </w:rPr>
        <w:t>已清楚</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所有要求及有关规定；并承诺参加本次政府采购活动中，如有违法、违规、弄虚作假行为，所造成的损失、不良后果及法律责任，一律由我方承担；</w:t>
      </w:r>
    </w:p>
    <w:p>
      <w:pPr>
        <w:pStyle w:val="35"/>
        <w:spacing w:line="500" w:lineRule="atLeast"/>
        <w:ind w:firstLine="3517" w:firstLineChars="1675"/>
        <w:rPr>
          <w:rFonts w:ascii="宋体" w:eastAsia="宋体"/>
          <w:color w:val="auto"/>
          <w:sz w:val="21"/>
          <w:szCs w:val="21"/>
          <w:highlight w:val="none"/>
        </w:rPr>
      </w:pP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jc w:val="both"/>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color w:val="auto"/>
          <w:highlight w:val="none"/>
        </w:rPr>
      </w:pPr>
    </w:p>
    <w:p>
      <w:pPr>
        <w:rPr>
          <w:color w:val="auto"/>
          <w:highlight w:val="none"/>
        </w:rPr>
      </w:pPr>
      <w:bookmarkStart w:id="296" w:name="_Toc16412"/>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7" w:name="_Toc21273"/>
      <w:bookmarkStart w:id="298" w:name="_Toc21335"/>
      <w:r>
        <w:rPr>
          <w:rFonts w:hint="eastAsia"/>
          <w:color w:val="auto"/>
          <w:highlight w:val="none"/>
          <w:lang w:val="en-US" w:eastAsia="zh-CN"/>
        </w:rPr>
        <w:t>三、在参与政府采购活动前三年未有重大违法记录、没有不良信用记录的声明函</w:t>
      </w:r>
      <w:bookmarkEnd w:id="297"/>
      <w:bookmarkEnd w:id="298"/>
    </w:p>
    <w:p>
      <w:pPr>
        <w:spacing w:after="0" w:line="360" w:lineRule="auto"/>
        <w:ind w:firstLine="420" w:firstLineChars="200"/>
        <w:rPr>
          <w:rFonts w:ascii="宋体" w:hAnsi="宋体" w:eastAsia="宋体" w:cs="宋体"/>
          <w:color w:val="auto"/>
          <w:sz w:val="21"/>
          <w:szCs w:val="21"/>
          <w:highlight w:val="none"/>
        </w:rPr>
      </w:pP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w:t>
      </w: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）政府采购活动前三年内（设立不满三年的从设立之日计算），在经营活动中没有因违法经营受到刑事处罚或者责令停产停业、吊销许可证或者执照、较大数额罚款等行政处罚。至本项目提交</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截止时间止未被列入“信用中国”网站及“中国政府采购网”失信被执行人、重大税收违法案件当事人名单、政府采购严重违法失信行为记录名单。</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lang w:eastAsia="zh-CN"/>
        </w:rPr>
        <w:t>名称（加盖公章）</w:t>
      </w:r>
      <w:r>
        <w:rPr>
          <w:rFonts w:hint="eastAsia" w:ascii="宋体" w:hAnsi="宋体" w:eastAsia="宋体" w:cs="宋体"/>
          <w:color w:val="auto"/>
          <w:sz w:val="21"/>
          <w:szCs w:val="21"/>
          <w:highlight w:val="none"/>
        </w:rPr>
        <w:t>：</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96"/>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9" w:name="_Toc32128"/>
      <w:bookmarkStart w:id="300" w:name="_Toc13243"/>
      <w:r>
        <w:rPr>
          <w:rFonts w:hint="eastAsia"/>
          <w:color w:val="auto"/>
          <w:highlight w:val="none"/>
          <w:lang w:val="en-US" w:eastAsia="zh-CN"/>
        </w:rPr>
        <w:t>四、法定代表人证明书</w:t>
      </w:r>
      <w:bookmarkEnd w:id="299"/>
      <w:bookmarkEnd w:id="300"/>
    </w:p>
    <w:p>
      <w:pPr>
        <w:pStyle w:val="35"/>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5"/>
        <w:spacing w:line="420" w:lineRule="atLeast"/>
        <w:ind w:firstLine="433"/>
        <w:rPr>
          <w:rFonts w:ascii="宋体" w:eastAsia="宋体"/>
          <w:color w:val="auto"/>
          <w:sz w:val="21"/>
          <w:szCs w:val="21"/>
          <w:highlight w:val="none"/>
        </w:rPr>
      </w:pPr>
    </w:p>
    <w:p>
      <w:pPr>
        <w:pStyle w:val="35"/>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u w:val="single"/>
          <w:lang w:eastAsia="zh-CN"/>
        </w:rPr>
        <w:t>供应商</w:t>
      </w:r>
      <w:r>
        <w:rPr>
          <w:rFonts w:hint="eastAsia" w:ascii="宋体" w:eastAsia="宋体"/>
          <w:color w:val="auto"/>
          <w:sz w:val="21"/>
          <w:szCs w:val="21"/>
          <w:highlight w:val="none"/>
          <w:u w:val="single"/>
        </w:rPr>
        <w:t xml:space="preserve">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ind w:firstLine="420" w:firstLineChars="200"/>
        <w:rPr>
          <w:rFonts w:ascii="宋体" w:hAnsi="宋体" w:eastAsia="宋体"/>
          <w:color w:val="auto"/>
          <w:sz w:val="21"/>
          <w:szCs w:val="21"/>
          <w:highlight w:val="none"/>
        </w:rPr>
      </w:pPr>
    </w:p>
    <w:p>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w:t>
      </w:r>
      <w:r>
        <w:rPr>
          <w:rFonts w:hint="eastAsia" w:ascii="宋体" w:hAnsi="宋体" w:eastAsia="宋体"/>
          <w:color w:val="auto"/>
          <w:sz w:val="21"/>
          <w:szCs w:val="21"/>
          <w:highlight w:val="none"/>
        </w:rPr>
        <w:t>附法人代表身份证复印件。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5"/>
              <w:spacing w:line="460" w:lineRule="exact"/>
              <w:ind w:firstLine="0" w:firstLineChars="0"/>
              <w:jc w:val="center"/>
              <w:rPr>
                <w:rFonts w:ascii="宋体" w:eastAsia="宋体"/>
                <w:color w:val="auto"/>
                <w:sz w:val="22"/>
                <w:highlight w:val="none"/>
              </w:rPr>
            </w:pPr>
            <w:r>
              <w:rPr>
                <w:rFonts w:hint="eastAsia" w:ascii="宋体" w:hAnsi="宋体" w:eastAsia="宋体"/>
                <w:color w:val="auto"/>
                <w:sz w:val="21"/>
                <w:szCs w:val="21"/>
                <w:highlight w:val="none"/>
              </w:rPr>
              <w:t>法人代表身份证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01" w:name="_Toc11689"/>
      <w:bookmarkStart w:id="302" w:name="_Toc5918"/>
      <w:r>
        <w:rPr>
          <w:rFonts w:hint="eastAsia"/>
          <w:color w:val="auto"/>
          <w:highlight w:val="none"/>
          <w:lang w:val="en-US" w:eastAsia="zh-CN"/>
        </w:rPr>
        <w:t>五、法定代表人授权书</w:t>
      </w:r>
      <w:bookmarkEnd w:id="301"/>
      <w:bookmarkEnd w:id="302"/>
    </w:p>
    <w:p>
      <w:pPr>
        <w:pStyle w:val="35"/>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5"/>
        <w:spacing w:line="420" w:lineRule="atLeast"/>
        <w:ind w:firstLine="433"/>
        <w:rPr>
          <w:rFonts w:ascii="宋体" w:eastAsia="宋体"/>
          <w:color w:val="auto"/>
          <w:sz w:val="21"/>
          <w:szCs w:val="21"/>
          <w:highlight w:val="none"/>
        </w:rPr>
      </w:pP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本授权书声明：本人</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系</w:t>
      </w:r>
      <w:r>
        <w:rPr>
          <w:rFonts w:hint="eastAsia" w:ascii="宋体" w:hAnsi="宋体" w:eastAsia="宋体" w:cs="Times New Roman"/>
          <w:color w:val="auto"/>
          <w:sz w:val="21"/>
          <w:szCs w:val="21"/>
          <w:highlight w:val="none"/>
          <w:u w:val="single"/>
        </w:rPr>
        <w:t xml:space="preserve">     （</w:t>
      </w:r>
      <w:r>
        <w:rPr>
          <w:rFonts w:hint="eastAsia" w:ascii="宋体" w:hAnsi="宋体" w:cs="Times New Roman"/>
          <w:color w:val="auto"/>
          <w:sz w:val="21"/>
          <w:szCs w:val="21"/>
          <w:highlight w:val="none"/>
          <w:u w:val="single"/>
          <w:lang w:eastAsia="zh-CN"/>
        </w:rPr>
        <w:t>供应商</w:t>
      </w:r>
      <w:r>
        <w:rPr>
          <w:rFonts w:hint="eastAsia" w:ascii="宋体" w:hAnsi="宋体" w:eastAsia="宋体" w:cs="Times New Roman"/>
          <w:color w:val="auto"/>
          <w:sz w:val="21"/>
          <w:szCs w:val="21"/>
          <w:highlight w:val="none"/>
          <w:u w:val="single"/>
        </w:rPr>
        <w:t xml:space="preserve">名称）    </w:t>
      </w:r>
      <w:r>
        <w:rPr>
          <w:rFonts w:hint="eastAsia" w:ascii="宋体" w:hAnsi="宋体" w:eastAsia="宋体" w:cs="Times New Roman"/>
          <w:color w:val="auto"/>
          <w:sz w:val="21"/>
          <w:szCs w:val="21"/>
          <w:highlight w:val="none"/>
        </w:rPr>
        <w:t>的法定代表人，现委托</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为我方合法代理人。代理人根据授权，以我方名义签署、澄清、说明、补正、递交、撤回、修改</w:t>
      </w:r>
      <w:r>
        <w:rPr>
          <w:rFonts w:hint="eastAsia" w:ascii="宋体" w:hAnsi="宋体" w:eastAsia="宋体" w:cs="Times New Roman"/>
          <w:color w:val="auto"/>
          <w:sz w:val="21"/>
          <w:szCs w:val="21"/>
          <w:highlight w:val="none"/>
          <w:u w:val="single"/>
        </w:rPr>
        <w:t xml:space="preserve"> （项目名称）</w:t>
      </w:r>
      <w:r>
        <w:rPr>
          <w:rFonts w:hint="eastAsia" w:ascii="宋体" w:hAnsi="宋体" w:eastAsia="宋体" w:cs="Times New Roman"/>
          <w:color w:val="auto"/>
          <w:sz w:val="21"/>
          <w:szCs w:val="21"/>
          <w:highlight w:val="none"/>
        </w:rPr>
        <w:t>（项目编号：</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w:t>
      </w:r>
      <w:r>
        <w:rPr>
          <w:rFonts w:hint="eastAsia" w:ascii="宋体" w:hAnsi="宋体" w:cs="Times New Roman"/>
          <w:color w:val="auto"/>
          <w:sz w:val="21"/>
          <w:szCs w:val="21"/>
          <w:highlight w:val="none"/>
          <w:lang w:eastAsia="zh-CN"/>
        </w:rPr>
        <w:t>响应文件</w:t>
      </w:r>
      <w:r>
        <w:rPr>
          <w:rFonts w:hint="eastAsia" w:ascii="宋体" w:hAnsi="宋体" w:eastAsia="宋体" w:cs="Times New Roman"/>
          <w:color w:val="auto"/>
          <w:sz w:val="21"/>
          <w:szCs w:val="21"/>
          <w:highlight w:val="none"/>
        </w:rPr>
        <w:t>、签订合同和处理有关事宜，其法律后果由我方承担。</w:t>
      </w:r>
    </w:p>
    <w:p>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val="en-US" w:eastAsia="zh-CN"/>
        </w:rPr>
        <w:t>联系方式</w:t>
      </w:r>
      <w:r>
        <w:rPr>
          <w:rFonts w:hint="eastAsia"/>
          <w:color w:val="auto"/>
          <w:highlight w:val="none"/>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pStyle w:val="35"/>
        <w:spacing w:line="460" w:lineRule="exact"/>
        <w:ind w:firstLine="433"/>
        <w:rPr>
          <w:rFonts w:ascii="宋体" w:eastAsia="宋体"/>
          <w:color w:val="auto"/>
          <w:sz w:val="21"/>
          <w:szCs w:val="21"/>
          <w:highlight w:val="none"/>
        </w:rPr>
      </w:pPr>
    </w:p>
    <w:p>
      <w:pPr>
        <w:ind w:firstLine="420" w:firstLineChars="200"/>
        <w:rPr>
          <w:rFonts w:eastAsia="宋体"/>
          <w:color w:val="auto"/>
          <w:highlight w:val="none"/>
        </w:rPr>
      </w:pPr>
      <w:r>
        <w:rPr>
          <w:rFonts w:hint="eastAsia" w:ascii="宋体" w:hAnsi="宋体" w:eastAsia="宋体"/>
          <w:color w:val="auto"/>
          <w:sz w:val="21"/>
          <w:szCs w:val="21"/>
          <w:highlight w:val="none"/>
          <w:lang w:val="en-US" w:eastAsia="zh-CN"/>
        </w:rPr>
        <w:t>注：须附</w:t>
      </w:r>
      <w:r>
        <w:rPr>
          <w:rFonts w:hint="eastAsia" w:ascii="宋体" w:hAnsi="宋体" w:eastAsia="宋体"/>
          <w:color w:val="auto"/>
          <w:sz w:val="21"/>
          <w:szCs w:val="21"/>
          <w:highlight w:val="none"/>
        </w:rPr>
        <w:t>被授权人身份证复印件。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PrEx>
        <w:trPr>
          <w:trHeight w:val="3627" w:hRule="atLeast"/>
          <w:jc w:val="center"/>
        </w:trPr>
        <w:tc>
          <w:tcPr>
            <w:tcW w:w="5732" w:type="dxa"/>
            <w:vAlign w:val="center"/>
          </w:tcPr>
          <w:p>
            <w:pPr>
              <w:adjustRightInd/>
              <w:snapToGrid/>
              <w:spacing w:line="276" w:lineRule="auto"/>
              <w:rPr>
                <w:rFonts w:ascii="宋体" w:eastAsia="宋体"/>
                <w:color w:val="auto"/>
                <w:sz w:val="22"/>
                <w:highlight w:val="none"/>
              </w:rPr>
            </w:pPr>
            <w:bookmarkStart w:id="303" w:name="_Toc22486"/>
            <w:r>
              <w:rPr>
                <w:rFonts w:hint="eastAsia" w:ascii="宋体" w:hAnsi="宋体" w:eastAsia="宋体"/>
                <w:color w:val="auto"/>
                <w:sz w:val="21"/>
                <w:szCs w:val="21"/>
                <w:highlight w:val="none"/>
              </w:rPr>
              <w:t>被授权人身份证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adjustRightInd/>
        <w:snapToGrid/>
        <w:spacing w:line="276" w:lineRule="auto"/>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r>
        <w:rPr>
          <w:rFonts w:hint="eastAsia" w:asci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4" w:name="_Toc24013"/>
      <w:bookmarkStart w:id="305" w:name="_Toc1197"/>
      <w:r>
        <w:rPr>
          <w:rFonts w:hint="eastAsia"/>
          <w:color w:val="auto"/>
          <w:highlight w:val="none"/>
          <w:lang w:val="en-US" w:eastAsia="zh-CN"/>
        </w:rPr>
        <w:t>六、供应商基本情况说明</w:t>
      </w:r>
      <w:bookmarkEnd w:id="304"/>
      <w:bookmarkEnd w:id="305"/>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color w:val="auto"/>
          <w:highlight w:val="none"/>
        </w:rPr>
      </w:pPr>
      <w:bookmarkStart w:id="306" w:name="_Toc11992"/>
      <w:bookmarkStart w:id="307" w:name="_Toc24210"/>
      <w:bookmarkStart w:id="308" w:name="_Toc17470"/>
      <w:bookmarkStart w:id="309" w:name="_Toc4926"/>
      <w:bookmarkStart w:id="310" w:name="_Toc5919"/>
      <w:bookmarkStart w:id="311" w:name="_Toc29995"/>
      <w:bookmarkStart w:id="312" w:name="_Toc1511"/>
      <w:r>
        <w:rPr>
          <w:rFonts w:hint="eastAsia"/>
          <w:color w:val="auto"/>
          <w:highlight w:val="none"/>
          <w:lang w:val="en-US" w:eastAsia="zh-CN"/>
        </w:rPr>
        <w:t>七、</w:t>
      </w:r>
      <w:r>
        <w:rPr>
          <w:rFonts w:hint="eastAsia"/>
          <w:color w:val="auto"/>
          <w:highlight w:val="none"/>
        </w:rPr>
        <w:t>营业执照</w:t>
      </w:r>
      <w:bookmarkEnd w:id="306"/>
      <w:bookmarkEnd w:id="307"/>
      <w:bookmarkEnd w:id="308"/>
      <w:bookmarkEnd w:id="309"/>
      <w:bookmarkEnd w:id="310"/>
      <w:bookmarkEnd w:id="311"/>
      <w:bookmarkEnd w:id="312"/>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303"/>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3" w:name="_Toc12706"/>
      <w:bookmarkStart w:id="314" w:name="_Toc29439"/>
      <w:r>
        <w:rPr>
          <w:rFonts w:hint="eastAsia"/>
          <w:color w:val="auto"/>
          <w:highlight w:val="none"/>
          <w:lang w:val="en-US" w:eastAsia="zh-CN"/>
        </w:rPr>
        <w:t>八、</w:t>
      </w:r>
      <w:r>
        <w:rPr>
          <w:rFonts w:hint="eastAsia"/>
          <w:color w:val="auto"/>
          <w:highlight w:val="none"/>
        </w:rPr>
        <w:t>特殊资格要求证明文件</w:t>
      </w:r>
      <w:bookmarkEnd w:id="313"/>
      <w:bookmarkEnd w:id="314"/>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若采购项目对供应商资格无特殊要求，可删除本格式。</w:t>
      </w: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5" w:name="_Toc23341"/>
      <w:bookmarkStart w:id="316" w:name="_Toc14482"/>
      <w:r>
        <w:rPr>
          <w:rFonts w:hint="eastAsia"/>
          <w:color w:val="auto"/>
          <w:highlight w:val="none"/>
          <w:lang w:val="en-US" w:eastAsia="zh-CN"/>
        </w:rPr>
        <w:t>九、</w:t>
      </w:r>
      <w:r>
        <w:rPr>
          <w:rFonts w:hint="eastAsia"/>
          <w:color w:val="auto"/>
          <w:highlight w:val="none"/>
        </w:rPr>
        <w:t>承诺书</w:t>
      </w:r>
      <w:bookmarkEnd w:id="315"/>
      <w:bookmarkEnd w:id="316"/>
    </w:p>
    <w:p>
      <w:pPr>
        <w:pStyle w:val="35"/>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5"/>
        <w:spacing w:line="420" w:lineRule="exact"/>
        <w:ind w:firstLine="455"/>
        <w:rPr>
          <w:rFonts w:hint="eastAsia" w:ascii="宋体" w:hAnsi="宋体" w:eastAsia="宋体" w:cs="宋体"/>
          <w:b w:val="0"/>
          <w:bCs w:val="0"/>
          <w:color w:val="auto"/>
          <w:sz w:val="21"/>
          <w:szCs w:val="21"/>
          <w:highlight w:val="none"/>
        </w:rPr>
      </w:pPr>
      <w:bookmarkStart w:id="317"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（项目名称）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r>
        <w:rPr>
          <w:rFonts w:hint="eastAsia" w:ascii="宋体" w:eastAsia="宋体" w:cs="宋体"/>
          <w:b w:val="0"/>
          <w:bCs w:val="0"/>
          <w:color w:val="auto"/>
          <w:sz w:val="21"/>
          <w:szCs w:val="21"/>
          <w:highlight w:val="none"/>
          <w:lang w:eastAsia="zh-CN"/>
        </w:rPr>
        <w:t>磋商文件</w:t>
      </w:r>
      <w:r>
        <w:rPr>
          <w:rFonts w:hint="eastAsia" w:ascii="宋体" w:hAnsi="宋体" w:eastAsia="宋体" w:cs="宋体"/>
          <w:b w:val="0"/>
          <w:bCs w:val="0"/>
          <w:color w:val="auto"/>
          <w:sz w:val="21"/>
          <w:szCs w:val="21"/>
          <w:highlight w:val="none"/>
        </w:rPr>
        <w:t>的所有内容（包括澄清，以及所有已提供的参考资料和有关附件），并完全理解上述文件所表达的意思，该项目递交</w:t>
      </w:r>
      <w:r>
        <w:rPr>
          <w:rFonts w:hint="eastAsia" w:ascii="宋体" w:eastAsia="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时间截止后，我方承诺不再对上述文件内容进行询问或质疑。</w:t>
      </w:r>
      <w:bookmarkEnd w:id="317"/>
      <w:r>
        <w:rPr>
          <w:rFonts w:hint="eastAsia" w:ascii="宋体" w:hAnsi="宋体" w:eastAsia="宋体" w:cs="宋体"/>
          <w:b w:val="0"/>
          <w:bCs w:val="0"/>
          <w:color w:val="auto"/>
          <w:sz w:val="21"/>
          <w:szCs w:val="21"/>
          <w:highlight w:val="none"/>
        </w:rPr>
        <w:cr/>
      </w:r>
    </w:p>
    <w:p>
      <w:pPr>
        <w:pStyle w:val="35"/>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8" w:name="_Toc13653"/>
      <w:bookmarkStart w:id="319" w:name="_Toc31815"/>
      <w:r>
        <w:rPr>
          <w:rFonts w:hint="eastAsia"/>
          <w:color w:val="auto"/>
          <w:highlight w:val="none"/>
          <w:lang w:val="en-US" w:eastAsia="zh-CN"/>
        </w:rPr>
        <w:t>十、招标代理服务费承诺书</w:t>
      </w:r>
      <w:bookmarkEnd w:id="318"/>
      <w:bookmarkEnd w:id="319"/>
    </w:p>
    <w:p>
      <w:pPr>
        <w:pStyle w:val="35"/>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我公司</w:t>
      </w:r>
      <w:r>
        <w:rPr>
          <w:rFonts w:hint="eastAsia" w:ascii="宋体" w:hAnsi="宋体" w:eastAsia="宋体" w:cs="宋体"/>
          <w:b w:val="0"/>
          <w:bCs w:val="0"/>
          <w:color w:val="auto"/>
          <w:sz w:val="21"/>
          <w:szCs w:val="21"/>
          <w:highlight w:val="none"/>
          <w:u w:val="single"/>
        </w:rPr>
        <w:t xml:space="preserve">   （</w:t>
      </w:r>
      <w:r>
        <w:rPr>
          <w:rFonts w:hint="eastAsia" w:hAnsi="宋体" w:cs="宋体"/>
          <w:b w:val="0"/>
          <w:bCs w:val="0"/>
          <w:color w:val="auto"/>
          <w:sz w:val="21"/>
          <w:szCs w:val="21"/>
          <w:highlight w:val="none"/>
          <w:u w:val="single"/>
          <w:lang w:eastAsia="zh-CN"/>
        </w:rPr>
        <w:t>供应商</w:t>
      </w:r>
      <w:r>
        <w:rPr>
          <w:rFonts w:hint="eastAsia" w:ascii="宋体" w:hAnsi="宋体" w:eastAsia="宋体" w:cs="宋体"/>
          <w:b w:val="0"/>
          <w:bCs w:val="0"/>
          <w:color w:val="auto"/>
          <w:sz w:val="21"/>
          <w:szCs w:val="21"/>
          <w:highlight w:val="none"/>
          <w:u w:val="single"/>
        </w:rPr>
        <w:t xml:space="preserve">名称）   </w:t>
      </w:r>
      <w:r>
        <w:rPr>
          <w:rFonts w:hint="eastAsia" w:ascii="宋体" w:hAnsi="宋体" w:eastAsia="宋体" w:cs="宋体"/>
          <w:b w:val="0"/>
          <w:bCs w:val="0"/>
          <w:color w:val="auto"/>
          <w:sz w:val="21"/>
          <w:szCs w:val="21"/>
          <w:highlight w:val="none"/>
        </w:rPr>
        <w:t>在参加贵司进行的</w:t>
      </w:r>
      <w:r>
        <w:rPr>
          <w:rFonts w:hint="eastAsia" w:ascii="宋体" w:hAnsi="宋体" w:eastAsia="宋体" w:cs="宋体"/>
          <w:b w:val="0"/>
          <w:bCs w:val="0"/>
          <w:color w:val="auto"/>
          <w:sz w:val="21"/>
          <w:szCs w:val="21"/>
          <w:highlight w:val="none"/>
          <w:u w:val="single"/>
        </w:rPr>
        <w:t xml:space="preserve">   （项目名称）  （项目编号：      ）（包号：  ）</w:t>
      </w:r>
      <w:r>
        <w:rPr>
          <w:rFonts w:hint="eastAsia" w:ascii="宋体" w:hAnsi="宋体" w:eastAsia="宋体" w:cs="宋体"/>
          <w:b w:val="0"/>
          <w:bCs w:val="0"/>
          <w:color w:val="auto"/>
          <w:sz w:val="21"/>
          <w:szCs w:val="21"/>
          <w:highlight w:val="none"/>
        </w:rPr>
        <w:t>招标中如获中标，我公司承诺</w:t>
      </w: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color w:val="auto"/>
          <w:sz w:val="21"/>
          <w:szCs w:val="21"/>
          <w:highlight w:val="none"/>
        </w:rPr>
        <w:t>本项目“采购结果公告”发布之日起15日内，向贵司一次性交纳招标代理服务费。</w:t>
      </w:r>
    </w:p>
    <w:p>
      <w:pPr>
        <w:bidi w:val="0"/>
        <w:ind w:firstLine="420" w:firstLineChars="200"/>
        <w:rPr>
          <w:rFonts w:hint="eastAsia"/>
          <w:color w:val="auto"/>
          <w:highlight w:val="none"/>
          <w:lang w:eastAsia="zh-CN"/>
        </w:rPr>
      </w:pPr>
      <w:r>
        <w:rPr>
          <w:rFonts w:hint="eastAsia"/>
          <w:color w:val="auto"/>
          <w:highlight w:val="none"/>
        </w:rPr>
        <w:t>特此承诺</w:t>
      </w:r>
      <w:r>
        <w:rPr>
          <w:rFonts w:hint="eastAsia"/>
          <w:color w:val="auto"/>
          <w:highlight w:val="none"/>
          <w:lang w:eastAsia="zh-CN"/>
        </w:rPr>
        <w:t>。</w:t>
      </w:r>
    </w:p>
    <w:p>
      <w:pPr>
        <w:jc w:val="center"/>
        <w:rPr>
          <w:rFonts w:hint="eastAsia" w:ascii="宋体" w:hAnsi="宋体" w:eastAsia="宋体" w:cs="宋体"/>
          <w:b w:val="0"/>
          <w:bCs w:val="0"/>
          <w:color w:val="auto"/>
          <w:sz w:val="21"/>
          <w:szCs w:val="21"/>
          <w:highlight w:val="none"/>
        </w:rPr>
      </w:pPr>
    </w:p>
    <w:p>
      <w:pPr>
        <w:bidi w:val="0"/>
        <w:rPr>
          <w:rFonts w:hint="eastAsia"/>
          <w:color w:val="auto"/>
          <w:highlight w:val="none"/>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0" w:name="_Toc1975"/>
      <w:bookmarkStart w:id="321" w:name="_Toc21582"/>
      <w:r>
        <w:rPr>
          <w:rFonts w:hint="eastAsia"/>
          <w:color w:val="auto"/>
          <w:highlight w:val="none"/>
          <w:lang w:val="en-US" w:eastAsia="zh-CN"/>
        </w:rPr>
        <w:t>十一、</w:t>
      </w:r>
      <w:r>
        <w:rPr>
          <w:rFonts w:hint="eastAsia"/>
          <w:color w:val="auto"/>
          <w:highlight w:val="none"/>
        </w:rPr>
        <w:t>商务条款偏离表</w:t>
      </w:r>
      <w:bookmarkEnd w:id="320"/>
      <w:bookmarkEnd w:id="321"/>
    </w:p>
    <w:tbl>
      <w:tblPr>
        <w:tblStyle w:val="22"/>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9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商务条款</w:t>
            </w:r>
            <w:r>
              <w:rPr>
                <w:rFonts w:hint="eastAsia" w:ascii="宋体" w:hAnsi="宋体" w:eastAsia="宋体"/>
                <w:color w:val="auto"/>
                <w:sz w:val="21"/>
                <w:szCs w:val="21"/>
                <w:highlight w:val="none"/>
              </w:rPr>
              <w:t>名称</w:t>
            </w:r>
          </w:p>
        </w:tc>
        <w:tc>
          <w:tcPr>
            <w:tcW w:w="1755"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w:t>
            </w:r>
          </w:p>
        </w:tc>
        <w:tc>
          <w:tcPr>
            <w:tcW w:w="192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偏离</w:t>
            </w:r>
            <w:r>
              <w:rPr>
                <w:rFonts w:hint="eastAsia" w:ascii="宋体" w:hAnsi="宋体" w:eastAsia="宋体"/>
                <w:color w:val="auto"/>
                <w:sz w:val="21"/>
                <w:szCs w:val="21"/>
                <w:highlight w:val="none"/>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商务要求，在“偏离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的商务内容做出了实质性的响应，并申明与</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资格、</w:t>
      </w:r>
      <w:r>
        <w:rPr>
          <w:rFonts w:hint="eastAsia" w:ascii="宋体" w:hAnsi="宋体" w:eastAsia="宋体"/>
          <w:color w:val="auto"/>
          <w:sz w:val="21"/>
          <w:szCs w:val="21"/>
          <w:highlight w:val="none"/>
          <w:lang w:val="en-US" w:eastAsia="zh-CN"/>
        </w:rPr>
        <w:t>合同期限、</w:t>
      </w:r>
      <w:r>
        <w:rPr>
          <w:rFonts w:hint="eastAsia" w:ascii="宋体" w:hAnsi="宋体" w:eastAsia="宋体"/>
          <w:color w:val="auto"/>
          <w:sz w:val="21"/>
          <w:szCs w:val="21"/>
          <w:highlight w:val="none"/>
        </w:rPr>
        <w:t>付款方式、</w:t>
      </w:r>
      <w:r>
        <w:rPr>
          <w:rFonts w:hint="eastAsia" w:ascii="宋体" w:hAnsi="宋体" w:eastAsia="宋体"/>
          <w:color w:val="auto"/>
          <w:sz w:val="21"/>
          <w:szCs w:val="21"/>
          <w:highlight w:val="none"/>
          <w:lang w:val="en-US" w:eastAsia="zh-CN"/>
        </w:rPr>
        <w:t>报价要求、</w:t>
      </w:r>
      <w:r>
        <w:rPr>
          <w:rFonts w:hint="eastAsia" w:ascii="宋体" w:hAnsi="宋体" w:eastAsia="宋体"/>
          <w:color w:val="auto"/>
          <w:sz w:val="21"/>
          <w:szCs w:val="21"/>
          <w:highlight w:val="none"/>
        </w:rPr>
        <w:t>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rFonts w:hint="eastAsia"/>
          <w:color w:val="auto"/>
          <w:highlight w:val="none"/>
        </w:rPr>
      </w:pPr>
      <w:r>
        <w:rPr>
          <w:color w:val="auto"/>
          <w:highlight w:val="none"/>
        </w:rPr>
        <w:br w:type="page"/>
      </w:r>
      <w:bookmarkStart w:id="322" w:name="_Toc32183"/>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3" w:name="_Toc7350"/>
      <w:bookmarkStart w:id="324" w:name="_Toc25391"/>
      <w:r>
        <w:rPr>
          <w:rFonts w:hint="eastAsia"/>
          <w:color w:val="auto"/>
          <w:highlight w:val="none"/>
          <w:lang w:val="en-US" w:eastAsia="zh-CN"/>
        </w:rPr>
        <w:t>十二、</w:t>
      </w:r>
      <w:r>
        <w:rPr>
          <w:rFonts w:hint="eastAsia"/>
          <w:color w:val="auto"/>
          <w:highlight w:val="none"/>
        </w:rPr>
        <w:t>业绩表</w:t>
      </w:r>
      <w:bookmarkEnd w:id="323"/>
      <w:bookmarkEnd w:id="324"/>
    </w:p>
    <w:tbl>
      <w:tblPr>
        <w:tblStyle w:val="22"/>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2"/>
        <w:spacing w:after="0"/>
        <w:rPr>
          <w:rFonts w:ascii="宋体" w:hAnsi="宋体" w:eastAsia="宋体"/>
          <w:color w:val="auto"/>
          <w:sz w:val="21"/>
          <w:szCs w:val="21"/>
          <w:highlight w:val="none"/>
        </w:rPr>
      </w:pPr>
    </w:p>
    <w:p>
      <w:pPr>
        <w:pStyle w:val="32"/>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须提供须提供证明资料，</w:t>
      </w:r>
      <w:r>
        <w:rPr>
          <w:rFonts w:hint="eastAsia" w:ascii="宋体" w:hAnsi="宋体" w:eastAsia="宋体"/>
          <w:color w:val="auto"/>
          <w:sz w:val="21"/>
          <w:szCs w:val="21"/>
          <w:highlight w:val="none"/>
        </w:rPr>
        <w:t>业绩表所列出的材料应为真实准确的，并应提供相关证明材料复印件加盖公章。</w:t>
      </w: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7"/>
        <w:rPr>
          <w:rFonts w:hint="eastAsia"/>
          <w:color w:val="auto"/>
          <w:highlight w:val="none"/>
        </w:rPr>
      </w:pPr>
    </w:p>
    <w:p>
      <w:pPr>
        <w:pStyle w:val="7"/>
        <w:ind w:left="0" w:leftChars="0" w:firstLine="0" w:firstLineChars="0"/>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highlight w:val="none"/>
        </w:rPr>
      </w:pPr>
      <w:bookmarkStart w:id="325" w:name="_Toc25650"/>
      <w:bookmarkStart w:id="326" w:name="_Toc14688"/>
      <w:r>
        <w:rPr>
          <w:rFonts w:hint="eastAsia"/>
          <w:color w:val="auto"/>
          <w:highlight w:val="none"/>
          <w:lang w:val="en-US" w:eastAsia="zh-CN"/>
        </w:rPr>
        <w:t>第三章技术文件</w:t>
      </w:r>
      <w:bookmarkEnd w:id="322"/>
      <w:bookmarkEnd w:id="325"/>
      <w:bookmarkEnd w:id="326"/>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7" w:name="_Toc13588"/>
      <w:bookmarkStart w:id="328" w:name="_Toc7092"/>
      <w:r>
        <w:rPr>
          <w:rFonts w:hint="eastAsia"/>
          <w:color w:val="auto"/>
          <w:highlight w:val="none"/>
          <w:lang w:val="en-US" w:eastAsia="zh-CN"/>
        </w:rPr>
        <w:t>一、</w:t>
      </w:r>
      <w:r>
        <w:rPr>
          <w:rFonts w:hint="eastAsia"/>
          <w:color w:val="auto"/>
          <w:highlight w:val="none"/>
        </w:rPr>
        <w:t>技术规格偏离表</w:t>
      </w:r>
      <w:bookmarkEnd w:id="327"/>
      <w:bookmarkEnd w:id="328"/>
    </w:p>
    <w:tbl>
      <w:tblPr>
        <w:tblStyle w:val="22"/>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磋商文件</w:t>
            </w:r>
            <w:r>
              <w:rPr>
                <w:rFonts w:hint="eastAsia" w:ascii="宋体" w:hAnsi="宋体" w:eastAsia="宋体" w:cs="宋体"/>
                <w:color w:val="auto"/>
                <w:sz w:val="21"/>
                <w:szCs w:val="21"/>
                <w:highlight w:val="none"/>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bl>
    <w:p>
      <w:pPr>
        <w:rPr>
          <w:rFonts w:ascii="宋体" w:hAnsi="宋体" w:eastAsia="宋体"/>
          <w:color w:val="auto"/>
          <w:sz w:val="21"/>
          <w:szCs w:val="21"/>
          <w:highlight w:val="none"/>
        </w:rPr>
      </w:pPr>
    </w:p>
    <w:p>
      <w:pPr>
        <w:bidi w:val="0"/>
        <w:rPr>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ind w:firstLine="178" w:firstLineChars="85"/>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color w:val="auto"/>
          <w:sz w:val="21"/>
          <w:szCs w:val="21"/>
          <w:highlight w:val="none"/>
          <w:lang w:eastAsia="zh-CN"/>
        </w:rPr>
        <w:t>磋商文件</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内容做出了实质性的响应，并申明与</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的偏差和例外。</w:t>
      </w:r>
    </w:p>
    <w:p>
      <w:pPr>
        <w:rPr>
          <w:rFonts w:hint="eastAsia" w:ascii="宋体" w:hAnsi="宋体" w:eastAsia="宋体"/>
          <w:color w:val="auto"/>
          <w:sz w:val="21"/>
          <w:szCs w:val="21"/>
          <w:highlight w:val="none"/>
        </w:rPr>
      </w:pPr>
    </w:p>
    <w:p>
      <w:pPr>
        <w:rPr>
          <w:rFonts w:ascii="宋体" w:hAnsi="宋体" w:eastAsia="宋体"/>
          <w:color w:val="auto"/>
          <w:sz w:val="21"/>
          <w:szCs w:val="21"/>
          <w:highlight w:val="none"/>
        </w:rPr>
      </w:pPr>
    </w:p>
    <w:p>
      <w:pPr>
        <w:spacing w:after="0" w:line="360" w:lineRule="auto"/>
        <w:rPr>
          <w:rFonts w:ascii="宋体" w:hAnsi="宋体" w:eastAsia="宋体"/>
          <w:color w:val="auto"/>
          <w:sz w:val="21"/>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29" w:name="_Toc17691"/>
      <w:r>
        <w:rPr>
          <w:rFonts w:hint="eastAsia" w:ascii="宋体" w:hAnsi="宋体" w:eastAsia="宋体"/>
          <w:color w:val="auto"/>
          <w:sz w:val="21"/>
          <w:szCs w:val="21"/>
          <w:highlight w:val="none"/>
        </w:rPr>
        <w:br w:type="page"/>
      </w:r>
      <w:bookmarkEnd w:id="329"/>
      <w:bookmarkStart w:id="330" w:name="_Toc4464"/>
      <w:bookmarkStart w:id="331" w:name="_Toc26078"/>
      <w:bookmarkStart w:id="332" w:name="_Toc6080"/>
      <w:bookmarkStart w:id="333" w:name="_Toc18668"/>
      <w:bookmarkStart w:id="334" w:name="_Toc1274"/>
      <w:bookmarkStart w:id="335" w:name="_Toc4827"/>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36" w:name="_Toc10734"/>
      <w:bookmarkStart w:id="337" w:name="_Toc28702"/>
      <w:r>
        <w:rPr>
          <w:rFonts w:hint="eastAsia"/>
          <w:color w:val="auto"/>
          <w:highlight w:val="none"/>
          <w:lang w:val="en-US" w:eastAsia="zh-CN"/>
        </w:rPr>
        <w:t>二、</w:t>
      </w:r>
      <w:r>
        <w:rPr>
          <w:rFonts w:hint="eastAsia"/>
          <w:color w:val="auto"/>
          <w:highlight w:val="none"/>
        </w:rPr>
        <w:t>重要技术参数（▲）响应表</w:t>
      </w:r>
      <w:bookmarkEnd w:id="330"/>
      <w:bookmarkEnd w:id="331"/>
      <w:bookmarkEnd w:id="332"/>
      <w:bookmarkEnd w:id="333"/>
      <w:bookmarkEnd w:id="334"/>
      <w:bookmarkEnd w:id="335"/>
      <w:bookmarkEnd w:id="336"/>
      <w:bookmarkEnd w:id="337"/>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38" w:name="_Toc27079"/>
            <w:bookmarkStart w:id="339" w:name="_Toc29560"/>
            <w:bookmarkStart w:id="340" w:name="_Toc2784"/>
            <w:bookmarkStart w:id="341" w:name="_Toc29642"/>
            <w:r>
              <w:rPr>
                <w:rFonts w:hint="eastAsia" w:ascii="宋体" w:hAnsi="宋体" w:eastAsia="宋体" w:cs="宋体"/>
                <w:b w:val="0"/>
                <w:bCs w:val="0"/>
                <w:color w:val="auto"/>
                <w:sz w:val="21"/>
                <w:szCs w:val="21"/>
                <w:highlight w:val="none"/>
                <w:lang w:val="en-US" w:eastAsia="zh-CN"/>
              </w:rPr>
              <w:t>序号</w:t>
            </w:r>
            <w:bookmarkEnd w:id="338"/>
            <w:bookmarkEnd w:id="339"/>
            <w:bookmarkEnd w:id="340"/>
            <w:bookmarkEnd w:id="341"/>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42" w:name="_Toc4304"/>
            <w:bookmarkStart w:id="343" w:name="_Toc15903"/>
            <w:bookmarkStart w:id="344" w:name="_Toc12049"/>
            <w:bookmarkStart w:id="345" w:name="_Toc26124"/>
            <w:bookmarkStart w:id="346" w:name="_Toc1016"/>
            <w:bookmarkStart w:id="347" w:name="_Toc21739"/>
            <w:bookmarkStart w:id="348" w:name="_Toc22448"/>
            <w:bookmarkStart w:id="349" w:name="_Toc15368"/>
            <w:bookmarkStart w:id="350" w:name="_Toc16872"/>
            <w:bookmarkStart w:id="351" w:name="_Toc6189"/>
            <w:bookmarkStart w:id="352" w:name="_Toc10045"/>
            <w:bookmarkStart w:id="353" w:name="_Toc14815"/>
            <w:bookmarkStart w:id="354" w:name="_Toc27090"/>
            <w:bookmarkStart w:id="355" w:name="_Toc2700"/>
            <w:bookmarkStart w:id="356" w:name="_Toc27442"/>
            <w:bookmarkStart w:id="357" w:name="_Toc8490"/>
            <w:bookmarkStart w:id="358" w:name="_Toc32531"/>
            <w:bookmarkStart w:id="359" w:name="_Toc19251"/>
            <w:bookmarkStart w:id="360" w:name="_Toc24662"/>
            <w:bookmarkStart w:id="361" w:name="_Toc8312"/>
            <w:bookmarkStart w:id="362" w:name="_Toc7333"/>
            <w:bookmarkStart w:id="363" w:name="_Toc22879"/>
            <w:bookmarkStart w:id="364" w:name="_Toc22917"/>
            <w:bookmarkStart w:id="365" w:name="_Toc21809"/>
            <w:r>
              <w:rPr>
                <w:rFonts w:hint="eastAsia" w:ascii="宋体" w:hAnsi="宋体" w:eastAsia="宋体" w:cs="宋体"/>
                <w:b w:val="0"/>
                <w:bCs w:val="0"/>
                <w:color w:val="auto"/>
                <w:sz w:val="21"/>
                <w:szCs w:val="21"/>
                <w:highlight w:val="none"/>
                <w:lang w:val="en-US" w:eastAsia="zh-CN"/>
              </w:rPr>
              <w:t>重要</w:t>
            </w:r>
            <w:r>
              <w:rPr>
                <w:rFonts w:hint="eastAsia" w:ascii="宋体" w:hAnsi="宋体" w:eastAsia="宋体" w:cs="宋体"/>
                <w:b w:val="0"/>
                <w:bCs w:val="0"/>
                <w:color w:val="auto"/>
                <w:sz w:val="21"/>
                <w:szCs w:val="21"/>
                <w:highlight w:val="none"/>
              </w:rPr>
              <w:t>技术参</w:t>
            </w:r>
            <w:r>
              <w:rPr>
                <w:rFonts w:hint="eastAsia" w:ascii="宋体" w:hAnsi="宋体" w:eastAsia="宋体" w:cs="宋体"/>
                <w:b w:val="0"/>
                <w:bCs w:val="0"/>
                <w:color w:val="auto"/>
                <w:sz w:val="21"/>
                <w:szCs w:val="21"/>
                <w:highlight w:val="none"/>
                <w:lang w:val="en-US" w:eastAsia="zh-CN"/>
              </w:rPr>
              <w:t>数评分条款</w:t>
            </w:r>
            <w:r>
              <w:rPr>
                <w:rFonts w:hint="eastAsia" w:ascii="宋体" w:hAnsi="宋体" w:eastAsia="宋体" w:cs="宋体"/>
                <w:b w:val="0"/>
                <w:bCs w:val="0"/>
                <w:color w:val="auto"/>
                <w:sz w:val="21"/>
                <w:szCs w:val="21"/>
                <w:highlight w:val="none"/>
              </w:rPr>
              <w:t>（▲）</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bookmarkEnd w:id="356"/>
          <w:bookmarkEnd w:id="357"/>
          <w:bookmarkEnd w:id="358"/>
          <w:bookmarkEnd w:id="359"/>
          <w:bookmarkEnd w:id="360"/>
          <w:bookmarkEnd w:id="361"/>
          <w:bookmarkEnd w:id="362"/>
          <w:bookmarkEnd w:id="363"/>
          <w:bookmarkEnd w:id="364"/>
          <w:bookmarkEnd w:id="365"/>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66" w:name="_Toc2408"/>
            <w:bookmarkStart w:id="367" w:name="_Toc10122"/>
            <w:bookmarkStart w:id="368" w:name="_Toc22153"/>
            <w:bookmarkStart w:id="369" w:name="_Toc21496"/>
            <w:r>
              <w:rPr>
                <w:rFonts w:hint="eastAsia" w:ascii="宋体" w:hAnsi="宋体" w:eastAsia="宋体" w:cs="宋体"/>
                <w:b w:val="0"/>
                <w:bCs w:val="0"/>
                <w:color w:val="auto"/>
                <w:kern w:val="0"/>
                <w:sz w:val="21"/>
                <w:szCs w:val="21"/>
                <w:highlight w:val="none"/>
                <w:lang w:eastAsia="zh-CN"/>
              </w:rPr>
              <w:t>响应文件</w:t>
            </w:r>
            <w:r>
              <w:rPr>
                <w:rFonts w:hint="eastAsia" w:ascii="宋体" w:hAnsi="宋体" w:eastAsia="宋体" w:cs="宋体"/>
                <w:b w:val="0"/>
                <w:bCs w:val="0"/>
                <w:color w:val="auto"/>
                <w:kern w:val="0"/>
                <w:sz w:val="21"/>
                <w:szCs w:val="21"/>
                <w:highlight w:val="none"/>
              </w:rPr>
              <w:t>响应内容</w:t>
            </w:r>
            <w:bookmarkEnd w:id="366"/>
            <w:bookmarkEnd w:id="367"/>
            <w:bookmarkEnd w:id="368"/>
            <w:bookmarkEnd w:id="369"/>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70" w:name="_Toc16003"/>
            <w:bookmarkStart w:id="371" w:name="_Toc16432"/>
            <w:bookmarkStart w:id="372" w:name="_Toc27285"/>
            <w:bookmarkStart w:id="373" w:name="_Toc29838"/>
            <w:bookmarkStart w:id="374" w:name="_Toc1330"/>
            <w:bookmarkStart w:id="375" w:name="_Toc27185"/>
            <w:bookmarkStart w:id="376" w:name="_Toc5992"/>
            <w:bookmarkStart w:id="377" w:name="_Toc3701"/>
            <w:bookmarkStart w:id="378" w:name="_Toc5563"/>
            <w:bookmarkStart w:id="379" w:name="_Toc1912"/>
            <w:bookmarkStart w:id="380" w:name="_Toc17642"/>
            <w:bookmarkStart w:id="381" w:name="_Toc20139"/>
            <w:bookmarkStart w:id="382" w:name="_Toc17296"/>
            <w:bookmarkStart w:id="383" w:name="_Toc20820"/>
            <w:r>
              <w:rPr>
                <w:rFonts w:hint="eastAsia" w:ascii="宋体" w:hAnsi="宋体" w:eastAsia="宋体" w:cs="宋体"/>
                <w:b w:val="0"/>
                <w:bCs w:val="0"/>
                <w:color w:val="auto"/>
                <w:sz w:val="21"/>
                <w:szCs w:val="21"/>
                <w:highlight w:val="none"/>
                <w:lang w:val="en-US" w:eastAsia="zh-CN"/>
              </w:rPr>
              <w:t>说明</w:t>
            </w:r>
            <w:bookmarkEnd w:id="370"/>
            <w:bookmarkEnd w:id="371"/>
            <w:bookmarkEnd w:id="372"/>
            <w:bookmarkEnd w:id="373"/>
          </w:p>
        </w:tc>
        <w:tc>
          <w:tcPr>
            <w:tcW w:w="1591"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84" w:name="_Toc857"/>
            <w:bookmarkStart w:id="385" w:name="_Toc31920"/>
            <w:bookmarkStart w:id="386" w:name="_Toc3520"/>
            <w:bookmarkStart w:id="387" w:name="_Toc19105"/>
            <w:r>
              <w:rPr>
                <w:rFonts w:hint="eastAsia" w:ascii="宋体" w:hAnsi="宋体" w:eastAsia="宋体" w:cs="宋体"/>
                <w:b w:val="0"/>
                <w:bCs w:val="0"/>
                <w:color w:val="auto"/>
                <w:sz w:val="21"/>
                <w:szCs w:val="21"/>
                <w:highlight w:val="none"/>
              </w:rPr>
              <w:t>页码范围</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bl>
    <w:p>
      <w:pPr>
        <w:pStyle w:val="32"/>
        <w:spacing w:after="0" w:line="360" w:lineRule="auto"/>
        <w:rPr>
          <w:rFonts w:ascii="宋体" w:hAnsi="宋体" w:eastAsia="宋体"/>
          <w:color w:val="auto"/>
          <w:sz w:val="21"/>
          <w:szCs w:val="21"/>
          <w:highlight w:val="none"/>
        </w:rPr>
      </w:pP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w:t>
      </w:r>
      <w:r>
        <w:rPr>
          <w:rFonts w:hint="eastAsia" w:ascii="宋体" w:hAnsi="宋体"/>
          <w:color w:val="auto"/>
          <w:sz w:val="21"/>
          <w:szCs w:val="21"/>
          <w:highlight w:val="none"/>
          <w:lang w:val="en-US" w:eastAsia="zh-CN"/>
        </w:rPr>
        <w:t>供应商</w:t>
      </w:r>
      <w:r>
        <w:rPr>
          <w:rFonts w:hint="eastAsia" w:ascii="宋体" w:hAnsi="宋体" w:eastAsia="宋体"/>
          <w:color w:val="auto"/>
          <w:sz w:val="21"/>
          <w:szCs w:val="21"/>
          <w:highlight w:val="none"/>
        </w:rPr>
        <w:t>应逐条对照</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重要评分条款，如实地说明响应情况。</w:t>
      </w: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若该重要技术参数（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）规定提交相关证明材料的，供应商应当提供，并附于本格式后。未按要求提供或提供不符合要求的证明材料，视为不满足，按评分标准进行扣分处理。</w:t>
      </w:r>
    </w:p>
    <w:p>
      <w:pPr>
        <w:pStyle w:val="32"/>
        <w:spacing w:after="0" w:line="360" w:lineRule="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3、</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磋商文件</w:t>
      </w:r>
      <w:r>
        <w:rPr>
          <w:rFonts w:hint="eastAsia" w:ascii="宋体" w:hAnsi="宋体" w:eastAsia="宋体"/>
          <w:b/>
          <w:bCs/>
          <w:color w:val="auto"/>
          <w:sz w:val="21"/>
          <w:szCs w:val="21"/>
          <w:highlight w:val="none"/>
        </w:rPr>
        <w:t>未设定重要技术参数（</w:t>
      </w:r>
      <w:r>
        <w:rPr>
          <w:rFonts w:hint="eastAsia" w:ascii="宋体" w:hAnsi="宋体" w:eastAsia="宋体" w:cs="Times New Roman"/>
          <w:b/>
          <w:bCs/>
          <w:color w:val="auto"/>
          <w:sz w:val="21"/>
          <w:szCs w:val="21"/>
          <w:highlight w:val="none"/>
        </w:rPr>
        <w:t>▲</w:t>
      </w:r>
      <w:r>
        <w:rPr>
          <w:rFonts w:hint="eastAsia" w:ascii="宋体" w:hAnsi="宋体" w:eastAsia="宋体"/>
          <w:b/>
          <w:bCs/>
          <w:color w:val="auto"/>
          <w:sz w:val="21"/>
          <w:szCs w:val="21"/>
          <w:highlight w:val="none"/>
        </w:rPr>
        <w:t>）评分条款的，可删除本格式。</w:t>
      </w:r>
    </w:p>
    <w:p>
      <w:pPr>
        <w:pStyle w:val="32"/>
        <w:spacing w:after="0" w:line="360" w:lineRule="auto"/>
        <w:rPr>
          <w:rFonts w:ascii="宋体" w:hAnsi="宋体" w:eastAsia="宋体"/>
          <w:color w:val="auto"/>
          <w:sz w:val="21"/>
          <w:szCs w:val="21"/>
          <w:highlight w:val="none"/>
        </w:rPr>
      </w:pPr>
    </w:p>
    <w:p>
      <w:pPr>
        <w:pStyle w:val="32"/>
        <w:numPr>
          <w:ilvl w:val="0"/>
          <w:numId w:val="22"/>
        </w:numPr>
        <w:spacing w:after="0"/>
        <w:rPr>
          <w:rFonts w:ascii="黑体" w:eastAsia="黑体"/>
          <w:color w:val="auto"/>
          <w:sz w:val="32"/>
          <w:szCs w:val="32"/>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88" w:name="_Toc25570"/>
      <w:bookmarkStart w:id="389" w:name="_Toc19349"/>
      <w:r>
        <w:rPr>
          <w:rFonts w:hint="eastAsia"/>
          <w:color w:val="auto"/>
          <w:highlight w:val="none"/>
          <w:lang w:val="en-US" w:eastAsia="zh-CN"/>
        </w:rPr>
        <w:t>三、</w:t>
      </w:r>
      <w:r>
        <w:rPr>
          <w:rFonts w:hint="eastAsia"/>
          <w:color w:val="auto"/>
          <w:highlight w:val="none"/>
        </w:rPr>
        <w:t>实质性条款（标记★）响应表</w:t>
      </w:r>
      <w:bookmarkEnd w:id="388"/>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磋商文件</w:t>
            </w:r>
            <w:r>
              <w:rPr>
                <w:rFonts w:hint="eastAsia" w:ascii="宋体" w:hAnsi="宋体" w:cs="宋体"/>
                <w:color w:val="auto"/>
                <w:kern w:val="0"/>
                <w:sz w:val="24"/>
                <w:szCs w:val="24"/>
                <w:highlight w:val="none"/>
              </w:rPr>
              <w:t>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响应文件</w:t>
            </w:r>
            <w:r>
              <w:rPr>
                <w:rFonts w:hint="eastAsia" w:ascii="宋体" w:hAnsi="宋体" w:cs="宋体"/>
                <w:color w:val="auto"/>
                <w:kern w:val="0"/>
                <w:sz w:val="24"/>
                <w:szCs w:val="24"/>
                <w:highlight w:val="none"/>
              </w:rPr>
              <w:t>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p>
    <w:p>
      <w:pPr>
        <w:bidi w:val="0"/>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bidi w:val="0"/>
        <w:rPr>
          <w:rFonts w:hint="eastAsia"/>
          <w:color w:val="auto"/>
          <w:highlight w:val="none"/>
          <w:lang w:val="en-US" w:eastAsia="zh-CN"/>
        </w:rPr>
      </w:pPr>
    </w:p>
    <w:p>
      <w:pPr>
        <w:bidi w:val="0"/>
        <w:rPr>
          <w:rFonts w:hint="eastAsia"/>
          <w:color w:val="auto"/>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color w:val="auto"/>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供应商应逐条对照</w:t>
      </w:r>
      <w:r>
        <w:rPr>
          <w:rFonts w:hint="eastAsia"/>
          <w:color w:val="auto"/>
          <w:highlight w:val="none"/>
          <w:lang w:eastAsia="zh-CN"/>
        </w:rPr>
        <w:t>磋商文件</w:t>
      </w:r>
      <w:r>
        <w:rPr>
          <w:rFonts w:hint="eastAsia"/>
          <w:color w:val="auto"/>
          <w:highlight w:val="none"/>
        </w:rPr>
        <w:t>实质性条款，如实地说明响应情况。不满足的按无效</w:t>
      </w:r>
      <w:r>
        <w:rPr>
          <w:rFonts w:hint="eastAsia"/>
          <w:color w:val="auto"/>
          <w:highlight w:val="none"/>
          <w:lang w:val="en-US" w:eastAsia="zh-CN"/>
        </w:rPr>
        <w:t>响应文件</w:t>
      </w:r>
      <w:r>
        <w:rPr>
          <w:rFonts w:hint="eastAsia"/>
          <w:color w:val="auto"/>
          <w:highlight w:val="none"/>
        </w:rPr>
        <w:t>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若该实质性条款规定提交相关证明材料的，供应商应当提供，并附于本格式后。未按要求提供或提供不符合要求的证明材料，视为不满足，按无效</w:t>
      </w:r>
      <w:r>
        <w:rPr>
          <w:rFonts w:hint="eastAsia"/>
          <w:color w:val="auto"/>
          <w:highlight w:val="none"/>
          <w:lang w:val="en-US" w:eastAsia="zh-CN"/>
        </w:rPr>
        <w:t>响应文件</w:t>
      </w:r>
      <w:r>
        <w:rPr>
          <w:rFonts w:hint="eastAsia"/>
          <w:color w:val="auto"/>
          <w:highlight w:val="none"/>
        </w:rPr>
        <w:t>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若</w:t>
      </w:r>
      <w:r>
        <w:rPr>
          <w:rFonts w:hint="eastAsia"/>
          <w:color w:val="auto"/>
          <w:highlight w:val="none"/>
          <w:lang w:eastAsia="zh-CN"/>
        </w:rPr>
        <w:t>磋商文件</w:t>
      </w:r>
      <w:r>
        <w:rPr>
          <w:rFonts w:hint="eastAsia"/>
          <w:color w:val="auto"/>
          <w:highlight w:val="none"/>
        </w:rPr>
        <w:t>未设定实质性条款的，可删除本格式。</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90" w:name="_Toc14250"/>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bookmarkEnd w:id="389"/>
      <w:bookmarkEnd w:id="390"/>
    </w:p>
    <w:p>
      <w:pP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val="en-US" w:eastAsia="zh-CN"/>
        </w:rPr>
        <w:t>根据用户需求及技术评审要求</w:t>
      </w:r>
      <w:r>
        <w:rPr>
          <w:rFonts w:hint="eastAsia" w:ascii="宋体" w:hAnsi="宋体" w:eastAsia="宋体"/>
          <w:color w:val="auto"/>
          <w:sz w:val="21"/>
          <w:szCs w:val="21"/>
          <w:highlight w:val="none"/>
        </w:rPr>
        <w:t>自行编写。</w:t>
      </w: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1" w:name="_Toc16328"/>
      <w:bookmarkStart w:id="392" w:name="_Toc16875"/>
      <w:r>
        <w:rPr>
          <w:rFonts w:hint="eastAsia"/>
          <w:color w:val="auto"/>
          <w:highlight w:val="none"/>
          <w:lang w:val="en-US" w:eastAsia="zh-CN"/>
        </w:rPr>
        <w:t>五、项目负责人及团队成员资料表</w:t>
      </w:r>
      <w:bookmarkEnd w:id="391"/>
      <w:bookmarkEnd w:id="392"/>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如本项目不涉及</w:t>
      </w:r>
      <w:r>
        <w:rPr>
          <w:rFonts w:hint="eastAsia" w:ascii="宋体" w:hAnsi="宋体"/>
          <w:color w:val="auto"/>
          <w:sz w:val="21"/>
          <w:szCs w:val="21"/>
          <w:highlight w:val="none"/>
          <w:lang w:val="en-US" w:eastAsia="zh-CN"/>
        </w:rPr>
        <w:t>人员</w:t>
      </w:r>
      <w:r>
        <w:rPr>
          <w:rFonts w:hint="eastAsia" w:ascii="宋体" w:hAnsi="宋体" w:eastAsia="宋体"/>
          <w:color w:val="auto"/>
          <w:sz w:val="21"/>
          <w:szCs w:val="21"/>
          <w:highlight w:val="none"/>
        </w:rPr>
        <w:t>内容，则无需提供此表。</w:t>
      </w:r>
    </w:p>
    <w:p>
      <w:pPr>
        <w:ind w:firstLine="178" w:firstLineChars="85"/>
        <w:rPr>
          <w:rFonts w:hint="eastAsia" w:ascii="宋体" w:hAnsi="宋体" w:eastAsia="宋体"/>
          <w:color w:val="auto"/>
          <w:sz w:val="21"/>
          <w:szCs w:val="21"/>
          <w:highlight w:val="none"/>
        </w:rPr>
      </w:pPr>
    </w:p>
    <w:p>
      <w:pPr>
        <w:pStyle w:val="7"/>
        <w:rPr>
          <w:rFonts w:hint="eastAsia"/>
          <w:color w:val="auto"/>
          <w:highlight w:val="none"/>
        </w:rPr>
      </w:pP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393" w:name="_Toc27978"/>
      <w:bookmarkStart w:id="394" w:name="_Toc15431"/>
      <w:r>
        <w:rPr>
          <w:rFonts w:hint="eastAsia"/>
          <w:color w:val="auto"/>
          <w:highlight w:val="none"/>
          <w:lang w:val="en-US" w:eastAsia="zh-CN"/>
        </w:rPr>
        <w:t>六、响应货物明细一览表</w:t>
      </w:r>
      <w:bookmarkEnd w:id="393"/>
      <w:bookmarkEnd w:id="394"/>
    </w:p>
    <w:tbl>
      <w:tblPr>
        <w:tblStyle w:val="22"/>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货物名称</w:t>
            </w: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品牌</w:t>
            </w: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货物型号</w:t>
            </w: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单位</w:t>
            </w:r>
          </w:p>
        </w:tc>
        <w:tc>
          <w:tcPr>
            <w:tcW w:w="738"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数量</w:t>
            </w:r>
          </w:p>
        </w:tc>
        <w:tc>
          <w:tcPr>
            <w:tcW w:w="1616"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技术参数</w:t>
            </w: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bl>
    <w:p>
      <w:pPr>
        <w:spacing w:after="0"/>
        <w:rPr>
          <w:color w:val="auto"/>
          <w:highlight w:val="none"/>
        </w:rPr>
      </w:pPr>
      <w:r>
        <w:rPr>
          <w:rFonts w:hint="eastAsia" w:ascii="宋体" w:hAnsi="宋体" w:eastAsia="宋体" w:cs="Times New Roman"/>
          <w:color w:val="auto"/>
          <w:sz w:val="21"/>
          <w:szCs w:val="21"/>
          <w:highlight w:val="none"/>
        </w:rPr>
        <w:t>注：</w:t>
      </w:r>
      <w:r>
        <w:rPr>
          <w:rFonts w:hint="eastAsia" w:ascii="宋体" w:hAnsi="宋体" w:eastAsia="宋体"/>
          <w:color w:val="auto"/>
          <w:sz w:val="21"/>
          <w:szCs w:val="21"/>
          <w:highlight w:val="none"/>
        </w:rPr>
        <w:t>如本项目不涉及此表内容，则无需提供此表。</w:t>
      </w:r>
    </w:p>
    <w:p>
      <w:pPr>
        <w:rPr>
          <w:rFonts w:hint="eastAsia" w:ascii="宋体" w:hAnsi="宋体" w:eastAsia="宋体" w:cs="Times New Roman"/>
          <w:color w:val="auto"/>
          <w:sz w:val="21"/>
          <w:szCs w:val="21"/>
          <w:highlight w:val="none"/>
        </w:rPr>
      </w:pPr>
    </w:p>
    <w:p>
      <w:pPr>
        <w:rPr>
          <w:rFonts w:hint="eastAsia" w:ascii="宋体" w:hAnsi="宋体" w:eastAsia="宋体" w:cs="Times New Roman"/>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highlight w:val="none"/>
        </w:rPr>
      </w:pPr>
      <w:r>
        <w:rPr>
          <w:rFonts w:hint="eastAsia" w:ascii="宋体" w:hAnsi="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盖章：</w:t>
      </w: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5" w:name="_Toc31841"/>
      <w:r>
        <w:rPr>
          <w:rFonts w:hint="eastAsia"/>
          <w:color w:val="auto"/>
          <w:highlight w:val="none"/>
          <w:lang w:val="en-US" w:eastAsia="zh-CN"/>
        </w:rPr>
        <w:t>七、政府采购履约担保函</w:t>
      </w:r>
      <w:bookmarkEnd w:id="395"/>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1．将中标项目转让给他人，或者在</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（1）此格式为履约担保函格式，无需在</w:t>
      </w:r>
      <w:r>
        <w:rPr>
          <w:rFonts w:hint="eastAsia" w:ascii="宋体" w:hAnsi="宋体"/>
          <w:color w:val="auto"/>
          <w:sz w:val="21"/>
          <w:szCs w:val="21"/>
          <w:highlight w:val="none"/>
          <w:lang w:eastAsia="zh-CN"/>
        </w:rPr>
        <w:t>响应文件</w:t>
      </w:r>
      <w:r>
        <w:rPr>
          <w:rFonts w:hint="eastAsia" w:ascii="宋体" w:hAnsi="宋体" w:eastAsia="宋体"/>
          <w:color w:val="auto"/>
          <w:sz w:val="21"/>
          <w:szCs w:val="21"/>
          <w:highlight w:val="none"/>
        </w:rPr>
        <w:t>中提供此格式。</w:t>
      </w:r>
    </w:p>
    <w:p>
      <w:pPr>
        <w:pStyle w:val="7"/>
        <w:rPr>
          <w:color w:val="auto"/>
          <w:highlight w:val="none"/>
        </w:rPr>
      </w:pPr>
    </w:p>
    <w:p>
      <w:pPr>
        <w:bidi w:val="0"/>
        <w:rPr>
          <w:color w:val="auto"/>
          <w:highlight w:val="none"/>
        </w:rPr>
      </w:pPr>
      <w:r>
        <w:rPr>
          <w:color w:val="auto"/>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6" w:name="_Toc17348"/>
      <w:bookmarkStart w:id="397" w:name="_Toc26782"/>
      <w:r>
        <w:rPr>
          <w:rFonts w:hint="eastAsia"/>
          <w:color w:val="auto"/>
          <w:highlight w:val="none"/>
          <w:lang w:val="en-US" w:eastAsia="zh-CN"/>
        </w:rPr>
        <w:t>第四章报价信封（单独封装）</w:t>
      </w:r>
      <w:bookmarkEnd w:id="396"/>
      <w:bookmarkEnd w:id="397"/>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（2）法人代表授权书</w:t>
      </w:r>
      <w:r>
        <w:rPr>
          <w:rFonts w:hint="eastAsia"/>
          <w:color w:val="auto"/>
          <w:highlight w:val="none"/>
          <w:lang w:val="en-US" w:eastAsia="zh-CN"/>
        </w:rPr>
        <w:t>及</w:t>
      </w:r>
      <w:r>
        <w:rPr>
          <w:rFonts w:hint="eastAsia"/>
          <w:color w:val="auto"/>
          <w:highlight w:val="none"/>
        </w:rPr>
        <w:t>被授权代表身份证（复印件加盖公章）；</w:t>
      </w: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rFonts w:hint="eastAsia"/>
          <w:color w:val="auto"/>
          <w:highlight w:val="none"/>
        </w:rPr>
      </w:pPr>
      <w:bookmarkStart w:id="398" w:name="_Toc11182"/>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9" w:name="_Toc13881"/>
      <w:bookmarkStart w:id="400" w:name="_Toc22736"/>
      <w:r>
        <w:rPr>
          <w:rFonts w:hint="eastAsia"/>
          <w:color w:val="auto"/>
          <w:highlight w:val="none"/>
          <w:lang w:val="en-US" w:eastAsia="zh-CN"/>
        </w:rPr>
        <w:t>第五章联合体共同报价协议书（如有需要）</w:t>
      </w:r>
      <w:bookmarkEnd w:id="399"/>
      <w:bookmarkEnd w:id="400"/>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u w:val="single"/>
          <w:lang w:eastAsia="zh-CN"/>
        </w:rPr>
      </w:pPr>
      <w:r>
        <w:rPr>
          <w:rFonts w:hint="eastAsia" w:ascii="宋体" w:hAnsi="宋体" w:eastAsia="宋体" w:cs="宋体"/>
          <w:color w:val="auto"/>
          <w:kern w:val="0"/>
          <w:sz w:val="21"/>
          <w:szCs w:val="21"/>
          <w:highlight w:val="none"/>
          <w:u w:val="single"/>
        </w:rPr>
        <w:t>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w:t>
      </w:r>
      <w:r>
        <w:rPr>
          <w:rFonts w:hint="eastAsia" w:ascii="宋体" w:hAnsi="宋体" w:eastAsia="宋体" w:cs="宋体"/>
          <w:color w:val="auto"/>
          <w:kern w:val="0"/>
          <w:sz w:val="21"/>
          <w:szCs w:val="21"/>
          <w:highlight w:val="none"/>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kern w:val="0"/>
          <w:sz w:val="21"/>
          <w:szCs w:val="21"/>
          <w:highlight w:val="none"/>
        </w:rPr>
        <w:t>共同组成一个联合体，</w:t>
      </w:r>
      <w:r>
        <w:rPr>
          <w:rFonts w:hint="eastAsia" w:ascii="宋体" w:hAnsi="宋体" w:eastAsia="宋体" w:cs="宋体"/>
          <w:color w:val="auto"/>
          <w:kern w:val="10"/>
          <w:sz w:val="21"/>
          <w:szCs w:val="21"/>
          <w:highlight w:val="none"/>
        </w:rPr>
        <w:t>以一个</w:t>
      </w:r>
      <w:r>
        <w:rPr>
          <w:rFonts w:hint="eastAsia" w:ascii="宋体" w:hAnsi="宋体" w:cs="宋体"/>
          <w:color w:val="auto"/>
          <w:kern w:val="10"/>
          <w:sz w:val="21"/>
          <w:szCs w:val="21"/>
          <w:highlight w:val="none"/>
          <w:lang w:eastAsia="zh-CN"/>
        </w:rPr>
        <w:t>报价</w:t>
      </w:r>
      <w:r>
        <w:rPr>
          <w:rFonts w:hint="eastAsia" w:ascii="宋体" w:hAnsi="宋体" w:eastAsia="宋体" w:cs="宋体"/>
          <w:color w:val="auto"/>
          <w:kern w:val="10"/>
          <w:sz w:val="21"/>
          <w:szCs w:val="21"/>
          <w:highlight w:val="none"/>
        </w:rPr>
        <w:t>供应商的身份共同</w:t>
      </w:r>
      <w:r>
        <w:rPr>
          <w:rFonts w:hint="eastAsia" w:ascii="宋体" w:hAnsi="宋体" w:eastAsia="宋体" w:cs="宋体"/>
          <w:color w:val="auto"/>
          <w:kern w:val="0"/>
          <w:sz w:val="21"/>
          <w:szCs w:val="21"/>
          <w:highlight w:val="none"/>
        </w:rPr>
        <w:t>参加</w:t>
      </w:r>
      <w:r>
        <w:rPr>
          <w:rFonts w:hint="eastAsia" w:ascii="宋体" w:hAnsi="宋体" w:eastAsia="宋体" w:cs="宋体"/>
          <w:color w:val="auto"/>
          <w:kern w:val="0"/>
          <w:sz w:val="21"/>
          <w:szCs w:val="21"/>
          <w:highlight w:val="none"/>
          <w:u w:val="single"/>
        </w:rPr>
        <w:t>（采购项目名称）</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（采购项目编号）</w:t>
      </w:r>
      <w:r>
        <w:rPr>
          <w:rFonts w:hint="eastAsia" w:ascii="宋体" w:hAnsi="宋体" w:eastAsia="宋体" w:cs="宋体"/>
          <w:color w:val="auto"/>
          <w:kern w:val="0"/>
          <w:sz w:val="21"/>
          <w:szCs w:val="21"/>
          <w:highlight w:val="none"/>
        </w:rPr>
        <w:t>的</w:t>
      </w:r>
      <w:r>
        <w:rPr>
          <w:rFonts w:hint="eastAsia" w:ascii="宋体" w:hAnsi="宋体" w:cs="宋体"/>
          <w:color w:val="auto"/>
          <w:kern w:val="0"/>
          <w:sz w:val="21"/>
          <w:szCs w:val="21"/>
          <w:highlight w:val="none"/>
          <w:lang w:eastAsia="zh-CN"/>
        </w:rPr>
        <w:t>报价</w:t>
      </w:r>
      <w:r>
        <w:rPr>
          <w:rFonts w:hint="eastAsia" w:ascii="宋体" w:hAnsi="宋体" w:eastAsia="宋体" w:cs="宋体"/>
          <w:color w:val="auto"/>
          <w:kern w:val="0"/>
          <w:sz w:val="21"/>
          <w:szCs w:val="21"/>
          <w:highlight w:val="none"/>
        </w:rPr>
        <w:t>响应。</w:t>
      </w:r>
      <w:r>
        <w:rPr>
          <w:rFonts w:hint="eastAsia" w:ascii="宋体" w:hAnsi="宋体" w:eastAsia="宋体" w:cs="宋体"/>
          <w:color w:val="auto"/>
          <w:sz w:val="21"/>
          <w:szCs w:val="21"/>
          <w:highlight w:val="none"/>
        </w:rPr>
        <w:t>经协商一致，就本</w:t>
      </w:r>
      <w:r>
        <w:rPr>
          <w:rFonts w:hint="eastAsia" w:ascii="宋体" w:hAnsi="宋体" w:eastAsia="宋体" w:cs="宋体"/>
          <w:color w:val="auto"/>
          <w:kern w:val="10"/>
          <w:sz w:val="21"/>
          <w:szCs w:val="21"/>
          <w:highlight w:val="none"/>
        </w:rPr>
        <w:t>项目的</w:t>
      </w:r>
      <w:r>
        <w:rPr>
          <w:rFonts w:hint="eastAsia" w:ascii="宋体" w:hAnsi="宋体" w:cs="宋体"/>
          <w:color w:val="auto"/>
          <w:kern w:val="10"/>
          <w:sz w:val="21"/>
          <w:szCs w:val="21"/>
          <w:highlight w:val="none"/>
          <w:lang w:eastAsia="zh-CN"/>
        </w:rPr>
        <w:t>报价</w:t>
      </w:r>
      <w:r>
        <w:rPr>
          <w:rFonts w:hint="eastAsia" w:ascii="宋体" w:hAnsi="宋体" w:eastAsia="宋体" w:cs="宋体"/>
          <w:color w:val="auto"/>
          <w:kern w:val="10"/>
          <w:sz w:val="21"/>
          <w:szCs w:val="21"/>
          <w:highlight w:val="none"/>
        </w:rPr>
        <w:t>响应和合同实施阶段的有关事务</w:t>
      </w:r>
      <w:r>
        <w:rPr>
          <w:rFonts w:hint="eastAsia" w:ascii="宋体" w:hAnsi="宋体" w:eastAsia="宋体" w:cs="宋体"/>
          <w:color w:val="auto"/>
          <w:kern w:val="0"/>
          <w:sz w:val="21"/>
          <w:szCs w:val="21"/>
          <w:highlight w:val="none"/>
        </w:rPr>
        <w:t>订立协议如下</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sz w:val="21"/>
          <w:szCs w:val="21"/>
          <w:highlight w:val="none"/>
        </w:rPr>
        <w:t>作为联合体成员，若中标、成交，联合体各方共同与采购人签订政府采购合同。其中</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是联合体牵头方，</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w:t>
      </w:r>
      <w:r>
        <w:rPr>
          <w:rFonts w:hint="eastAsia" w:ascii="宋体" w:hAnsi="宋体" w:cs="宋体"/>
          <w:color w:val="auto"/>
          <w:sz w:val="21"/>
          <w:szCs w:val="21"/>
          <w:highlight w:val="none"/>
          <w:lang w:eastAsia="zh-CN"/>
        </w:rPr>
        <w:t>报价</w:t>
      </w:r>
      <w:r>
        <w:rPr>
          <w:rFonts w:hint="eastAsia" w:ascii="宋体" w:hAnsi="宋体" w:eastAsia="宋体" w:cs="宋体"/>
          <w:color w:val="auto"/>
          <w:sz w:val="21"/>
          <w:szCs w:val="21"/>
          <w:highlight w:val="none"/>
        </w:rPr>
        <w:t>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w:t>
      </w:r>
      <w:r>
        <w:rPr>
          <w:rFonts w:hint="eastAsia" w:ascii="宋体" w:hAnsi="宋体" w:eastAsia="宋体" w:cs="宋体"/>
          <w:color w:val="auto"/>
          <w:sz w:val="21"/>
          <w:szCs w:val="21"/>
          <w:highlight w:val="none"/>
          <w:u w:val="single"/>
        </w:rPr>
        <w:t>　（公司全称）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（请填写：小型、微型）</w:t>
      </w:r>
      <w:r>
        <w:rPr>
          <w:rFonts w:hint="eastAsia" w:ascii="宋体" w:hAnsi="宋体" w:eastAsia="宋体" w:cs="宋体"/>
          <w:color w:val="auto"/>
          <w:sz w:val="21"/>
          <w:szCs w:val="21"/>
          <w:highlight w:val="none"/>
        </w:rPr>
        <w:t>企业，将承担合同总金额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五、</w:t>
      </w:r>
      <w:r>
        <w:rPr>
          <w:rFonts w:hint="eastAsia" w:ascii="宋体" w:hAnsi="宋体" w:eastAsia="宋体" w:cs="宋体"/>
          <w:color w:val="auto"/>
          <w:sz w:val="21"/>
          <w:szCs w:val="21"/>
          <w:highlight w:val="none"/>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六、本协议书一式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份，随响应文件装订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份，联合体成员各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甲公司全称：（盖章） </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乙公司全称：（盖章）</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p>
    <w:bookmarkEnd w:id="398"/>
    <w:p>
      <w:pPr>
        <w:spacing w:after="0" w:line="360" w:lineRule="auto"/>
        <w:jc w:val="both"/>
        <w:rPr>
          <w:rFonts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color w:val="auto"/>
          <w:highlight w:val="none"/>
        </w:rPr>
      </w:pP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pPr>
        <w:pStyle w:val="7"/>
        <w:rPr>
          <w:color w:val="auto"/>
          <w:highlight w:val="none"/>
        </w:rPr>
      </w:pPr>
    </w:p>
    <w:p>
      <w:pPr>
        <w:spacing w:after="0" w:line="360" w:lineRule="auto"/>
        <w:rPr>
          <w:color w:val="auto"/>
          <w:highlight w:val="none"/>
        </w:rPr>
      </w:pPr>
    </w:p>
    <w:p>
      <w:pPr>
        <w:pStyle w:val="7"/>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spacing w:after="0"/>
        <w:jc w:val="both"/>
        <w:rPr>
          <w:rFonts w:hint="eastAsia" w:ascii="黑体" w:hAnsi="黑体" w:eastAsia="黑体" w:cs="黑体"/>
          <w:color w:val="auto"/>
          <w:sz w:val="36"/>
          <w:szCs w:val="36"/>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获取磋商文件登记表</w:t>
      </w:r>
    </w:p>
    <w:tbl>
      <w:tblPr>
        <w:tblStyle w:val="22"/>
        <w:tblW w:w="4998" w:type="pct"/>
        <w:tblInd w:w="0" w:type="dxa"/>
        <w:shd w:val="clear" w:color="auto" w:fill="auto"/>
        <w:tblLayout w:type="fixed"/>
        <w:tblCellMar>
          <w:top w:w="0" w:type="dxa"/>
          <w:left w:w="108" w:type="dxa"/>
          <w:bottom w:w="0" w:type="dxa"/>
          <w:right w:w="108" w:type="dxa"/>
        </w:tblCellMar>
      </w:tblPr>
      <w:tblGrid>
        <w:gridCol w:w="2769"/>
        <w:gridCol w:w="2355"/>
        <w:gridCol w:w="1440"/>
        <w:gridCol w:w="1955"/>
      </w:tblGrid>
      <w:tr>
        <w:tblPrEx>
          <w:shd w:val="clear" w:color="auto" w:fill="auto"/>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项目包号</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手机</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年    月    日    时    分</w:t>
            </w:r>
          </w:p>
        </w:tc>
      </w:tr>
      <w:tr>
        <w:tblPrEx>
          <w:shd w:val="clear" w:color="auto" w:fill="auto"/>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承诺:</w:t>
            </w:r>
          </w:p>
          <w:p>
            <w:pPr>
              <w:keepNext w:val="0"/>
              <w:keepLines w:val="0"/>
              <w:pageBreakBefore w:val="0"/>
              <w:widowControl/>
              <w:numPr>
                <w:ilvl w:val="0"/>
                <w:numId w:val="23"/>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本公司对招标文件的内容已经了解，并自愿购买该招标文件。</w:t>
            </w:r>
          </w:p>
          <w:p>
            <w:pPr>
              <w:keepNext w:val="0"/>
              <w:keepLines w:val="0"/>
              <w:pageBreakBefore w:val="0"/>
              <w:widowControl/>
              <w:numPr>
                <w:ilvl w:val="0"/>
                <w:numId w:val="23"/>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本公司对提供的所有资料的真实性、有效性承担责任。</w:t>
            </w:r>
          </w:p>
          <w:p>
            <w:pPr>
              <w:keepNext w:val="0"/>
              <w:keepLines w:val="0"/>
              <w:pageBreakBefore w:val="0"/>
              <w:widowControl/>
              <w:numPr>
                <w:ilvl w:val="0"/>
                <w:numId w:val="23"/>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 xml:space="preserve">招标文件领取人签名: </w:t>
            </w:r>
            <w:r>
              <w:rPr>
                <w:rFonts w:hint="eastAsia" w:ascii="宋体" w:hAnsi="宋体" w:eastAsia="宋体" w:cs="宋体"/>
                <w:i w:val="0"/>
                <w:iCs w:val="0"/>
                <w:color w:val="auto"/>
                <w:kern w:val="0"/>
                <w:sz w:val="28"/>
                <w:szCs w:val="28"/>
                <w:highlight w:val="none"/>
                <w:u w:val="single"/>
                <w:lang w:val="en-US" w:eastAsia="zh-CN" w:bidi="ar"/>
              </w:rPr>
              <w:t xml:space="preserve">     </w:t>
            </w:r>
            <w:r>
              <w:rPr>
                <w:rFonts w:hint="eastAsia" w:ascii="宋体" w:hAnsi="宋体" w:eastAsia="宋体" w:cs="宋体"/>
                <w:i w:val="0"/>
                <w:iCs w:val="0"/>
                <w:color w:val="auto"/>
                <w:kern w:val="0"/>
                <w:sz w:val="28"/>
                <w:szCs w:val="28"/>
                <w:highlight w:val="none"/>
                <w:u w:val="none"/>
                <w:vertAlign w:val="subscript"/>
                <w:lang w:val="en-US" w:eastAsia="zh-CN" w:bidi="ar"/>
              </w:rPr>
              <w:t xml:space="preserve"> </w:t>
            </w:r>
            <w:r>
              <w:rPr>
                <w:rFonts w:hint="eastAsia" w:ascii="宋体" w:hAnsi="宋体" w:eastAsia="宋体" w:cs="宋体"/>
                <w:i w:val="0"/>
                <w:iCs w:val="0"/>
                <w:color w:val="auto"/>
                <w:kern w:val="0"/>
                <w:sz w:val="28"/>
                <w:szCs w:val="28"/>
                <w:highlight w:val="none"/>
                <w:u w:val="none"/>
                <w:lang w:val="en-US" w:eastAsia="zh-CN" w:bidi="ar"/>
              </w:rPr>
              <w:t xml:space="preserve">              </w:t>
            </w:r>
            <w:r>
              <w:rPr>
                <w:rFonts w:hint="eastAsia" w:ascii="宋体" w:hAnsi="宋体" w:eastAsia="宋体" w:cs="宋体"/>
                <w:i w:val="0"/>
                <w:iCs w:val="0"/>
                <w:color w:val="auto"/>
                <w:kern w:val="0"/>
                <w:sz w:val="28"/>
                <w:szCs w:val="28"/>
                <w:highlight w:val="none"/>
                <w:u w:val="single"/>
                <w:lang w:val="en-US" w:eastAsia="zh-CN" w:bidi="ar"/>
              </w:rPr>
              <w:t xml:space="preserve">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人民币</w:t>
            </w:r>
            <w:r>
              <w:rPr>
                <w:rFonts w:hint="eastAsia" w:ascii="宋体" w:hAnsi="宋体" w:cs="宋体"/>
                <w:i w:val="0"/>
                <w:iCs w:val="0"/>
                <w:color w:val="auto"/>
                <w:kern w:val="0"/>
                <w:sz w:val="28"/>
                <w:szCs w:val="28"/>
                <w:highlight w:val="none"/>
                <w:u w:val="none"/>
                <w:lang w:val="en-US" w:eastAsia="zh-CN" w:bidi="ar"/>
              </w:rPr>
              <w:t>200</w:t>
            </w:r>
            <w:r>
              <w:rPr>
                <w:rFonts w:hint="eastAsia" w:ascii="宋体" w:hAnsi="宋体" w:eastAsia="宋体" w:cs="宋体"/>
                <w:i w:val="0"/>
                <w:iCs w:val="0"/>
                <w:color w:val="auto"/>
                <w:kern w:val="0"/>
                <w:sz w:val="28"/>
                <w:szCs w:val="28"/>
                <w:highlight w:val="none"/>
                <w:u w:val="none"/>
                <w:lang w:val="en-US" w:eastAsia="zh-CN" w:bidi="ar"/>
              </w:rPr>
              <w:t>元/份</w:t>
            </w:r>
          </w:p>
        </w:tc>
      </w:tr>
    </w:tbl>
    <w:p>
      <w:pPr>
        <w:pStyle w:val="8"/>
        <w:ind w:left="0" w:leftChars="0" w:firstLine="0" w:firstLineChars="0"/>
        <w:rPr>
          <w:color w:val="auto"/>
          <w:highlight w:val="none"/>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3"/>
                      <w:rPr>
                        <w:rFonts w:hint="eastAsia" w:eastAsia="宋体"/>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3"/>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eastAsia="宋体"/>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9"/>
        <w:snapToGrid w:val="0"/>
        <w:rPr>
          <w:rFonts w:hint="eastAsia" w:eastAsia="微软雅黑"/>
          <w:lang w:eastAsia="zh-CN"/>
        </w:rPr>
      </w:pPr>
      <w:r>
        <w:rPr>
          <w:rStyle w:val="28"/>
        </w:rPr>
        <w:footnoteRef/>
      </w:r>
      <w:r>
        <w:t xml:space="preserve"> </w:t>
      </w:r>
      <w:r>
        <w:rPr>
          <w:rFonts w:hint="eastAsia"/>
          <w:lang w:eastAsia="zh-CN"/>
        </w:rPr>
        <w:t>从业人员、营业人员、资产总额填报上一年度数据，无上一年度数据的新成立企业可不填报。</w:t>
      </w:r>
    </w:p>
  </w:footnote>
  <w:footnote w:id="1">
    <w:p>
      <w:pPr>
        <w:pStyle w:val="19"/>
        <w:snapToGrid w:val="0"/>
      </w:pPr>
      <w:r>
        <w:rPr>
          <w:rStyle w:val="28"/>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34B0D"/>
    <w:multiLevelType w:val="singleLevel"/>
    <w:tmpl w:val="89D34B0D"/>
    <w:lvl w:ilvl="0" w:tentative="0">
      <w:start w:val="1"/>
      <w:numFmt w:val="chineseCounting"/>
      <w:suff w:val="nothing"/>
      <w:lvlText w:val="（%1）"/>
      <w:lvlJc w:val="left"/>
      <w:pPr>
        <w:ind w:left="0" w:firstLine="420"/>
      </w:pPr>
      <w:rPr>
        <w:rFonts w:hint="eastAsia"/>
      </w:rPr>
    </w:lvl>
  </w:abstractNum>
  <w:abstractNum w:abstractNumId="1">
    <w:nsid w:val="9179EE29"/>
    <w:multiLevelType w:val="singleLevel"/>
    <w:tmpl w:val="9179EE29"/>
    <w:lvl w:ilvl="0" w:tentative="0">
      <w:start w:val="1"/>
      <w:numFmt w:val="chineseCounting"/>
      <w:suff w:val="nothing"/>
      <w:lvlText w:val="（%1）"/>
      <w:lvlJc w:val="left"/>
      <w:pPr>
        <w:ind w:left="0" w:firstLine="420"/>
      </w:pPr>
      <w:rPr>
        <w:rFonts w:hint="eastAsia"/>
      </w:rPr>
    </w:lvl>
  </w:abstractNum>
  <w:abstractNum w:abstractNumId="2">
    <w:nsid w:val="93587489"/>
    <w:multiLevelType w:val="singleLevel"/>
    <w:tmpl w:val="93587489"/>
    <w:lvl w:ilvl="0" w:tentative="0">
      <w:start w:val="1"/>
      <w:numFmt w:val="decimal"/>
      <w:suff w:val="nothing"/>
      <w:lvlText w:val="%1、"/>
      <w:lvlJc w:val="left"/>
    </w:lvl>
  </w:abstractNum>
  <w:abstractNum w:abstractNumId="3">
    <w:nsid w:val="A9B5F2C3"/>
    <w:multiLevelType w:val="singleLevel"/>
    <w:tmpl w:val="A9B5F2C3"/>
    <w:lvl w:ilvl="0" w:tentative="0">
      <w:start w:val="1"/>
      <w:numFmt w:val="chineseCounting"/>
      <w:suff w:val="nothing"/>
      <w:lvlText w:val="（%1）"/>
      <w:lvlJc w:val="left"/>
      <w:pPr>
        <w:ind w:left="0" w:firstLine="420"/>
      </w:pPr>
      <w:rPr>
        <w:rFonts w:hint="eastAsia"/>
      </w:rPr>
    </w:lvl>
  </w:abstractNum>
  <w:abstractNum w:abstractNumId="4">
    <w:nsid w:val="AE4BBCA9"/>
    <w:multiLevelType w:val="singleLevel"/>
    <w:tmpl w:val="AE4BBCA9"/>
    <w:lvl w:ilvl="0" w:tentative="0">
      <w:start w:val="1"/>
      <w:numFmt w:val="chineseCounting"/>
      <w:suff w:val="nothing"/>
      <w:lvlText w:val="（%1）"/>
      <w:lvlJc w:val="left"/>
      <w:pPr>
        <w:ind w:left="0" w:firstLine="420"/>
      </w:pPr>
      <w:rPr>
        <w:rFonts w:hint="eastAsia"/>
      </w:rPr>
    </w:lvl>
  </w:abstractNum>
  <w:abstractNum w:abstractNumId="5">
    <w:nsid w:val="C390C518"/>
    <w:multiLevelType w:val="singleLevel"/>
    <w:tmpl w:val="C390C518"/>
    <w:lvl w:ilvl="0" w:tentative="0">
      <w:start w:val="1"/>
      <w:numFmt w:val="chineseCounting"/>
      <w:suff w:val="nothing"/>
      <w:lvlText w:val="（%1）"/>
      <w:lvlJc w:val="left"/>
      <w:pPr>
        <w:ind w:left="0" w:firstLine="420"/>
      </w:pPr>
      <w:rPr>
        <w:rFonts w:hint="eastAsia"/>
      </w:rPr>
    </w:lvl>
  </w:abstractNum>
  <w:abstractNum w:abstractNumId="6">
    <w:nsid w:val="C519C6EB"/>
    <w:multiLevelType w:val="singleLevel"/>
    <w:tmpl w:val="C519C6EB"/>
    <w:lvl w:ilvl="0" w:tentative="0">
      <w:start w:val="1"/>
      <w:numFmt w:val="chineseCounting"/>
      <w:suff w:val="nothing"/>
      <w:lvlText w:val="（%1）"/>
      <w:lvlJc w:val="left"/>
      <w:pPr>
        <w:ind w:left="0" w:firstLine="420"/>
      </w:pPr>
      <w:rPr>
        <w:rFonts w:hint="eastAsia"/>
      </w:rPr>
    </w:lvl>
  </w:abstractNum>
  <w:abstractNum w:abstractNumId="7">
    <w:nsid w:val="CBB10C87"/>
    <w:multiLevelType w:val="singleLevel"/>
    <w:tmpl w:val="CBB10C87"/>
    <w:lvl w:ilvl="0" w:tentative="0">
      <w:start w:val="1"/>
      <w:numFmt w:val="chineseCounting"/>
      <w:suff w:val="nothing"/>
      <w:lvlText w:val="（%1）"/>
      <w:lvlJc w:val="left"/>
      <w:pPr>
        <w:ind w:left="0" w:firstLine="420"/>
      </w:pPr>
      <w:rPr>
        <w:rFonts w:hint="eastAsia"/>
      </w:rPr>
    </w:lvl>
  </w:abstractNum>
  <w:abstractNum w:abstractNumId="8">
    <w:nsid w:val="CFF174A5"/>
    <w:multiLevelType w:val="singleLevel"/>
    <w:tmpl w:val="CFF174A5"/>
    <w:lvl w:ilvl="0" w:tentative="0">
      <w:start w:val="1"/>
      <w:numFmt w:val="decimal"/>
      <w:suff w:val="nothing"/>
      <w:lvlText w:val="%1、"/>
      <w:lvlJc w:val="left"/>
    </w:lvl>
  </w:abstractNum>
  <w:abstractNum w:abstractNumId="9">
    <w:nsid w:val="F75A158C"/>
    <w:multiLevelType w:val="singleLevel"/>
    <w:tmpl w:val="F75A158C"/>
    <w:lvl w:ilvl="0" w:tentative="0">
      <w:start w:val="1"/>
      <w:numFmt w:val="chineseCounting"/>
      <w:suff w:val="nothing"/>
      <w:lvlText w:val="（%1）"/>
      <w:lvlJc w:val="left"/>
      <w:pPr>
        <w:ind w:left="0" w:firstLine="420"/>
      </w:pPr>
      <w:rPr>
        <w:rFonts w:hint="eastAsia"/>
      </w:rPr>
    </w:lvl>
  </w:abstractNum>
  <w:abstractNum w:abstractNumId="10">
    <w:nsid w:val="F8DC71CB"/>
    <w:multiLevelType w:val="multilevel"/>
    <w:tmpl w:val="F8DC71CB"/>
    <w:lvl w:ilvl="0" w:tentative="0">
      <w:start w:val="1"/>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1">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9F15884"/>
    <w:multiLevelType w:val="singleLevel"/>
    <w:tmpl w:val="09F15884"/>
    <w:lvl w:ilvl="0" w:tentative="0">
      <w:start w:val="1"/>
      <w:numFmt w:val="chineseCounting"/>
      <w:suff w:val="nothing"/>
      <w:lvlText w:val="（%1）"/>
      <w:lvlJc w:val="left"/>
      <w:pPr>
        <w:ind w:left="0" w:firstLine="420"/>
      </w:pPr>
      <w:rPr>
        <w:rFonts w:hint="eastAsia"/>
      </w:rPr>
    </w:lvl>
  </w:abstractNum>
  <w:abstractNum w:abstractNumId="13">
    <w:nsid w:val="0FC50A68"/>
    <w:multiLevelType w:val="singleLevel"/>
    <w:tmpl w:val="0FC50A68"/>
    <w:lvl w:ilvl="0" w:tentative="0">
      <w:start w:val="1"/>
      <w:numFmt w:val="chineseCounting"/>
      <w:suff w:val="nothing"/>
      <w:lvlText w:val="（%1）"/>
      <w:lvlJc w:val="left"/>
      <w:pPr>
        <w:ind w:left="0" w:firstLine="420"/>
      </w:pPr>
      <w:rPr>
        <w:rFonts w:hint="eastAsia"/>
      </w:rPr>
    </w:lvl>
  </w:abstractNum>
  <w:abstractNum w:abstractNumId="14">
    <w:nsid w:val="18194041"/>
    <w:multiLevelType w:val="singleLevel"/>
    <w:tmpl w:val="18194041"/>
    <w:lvl w:ilvl="0" w:tentative="0">
      <w:start w:val="1"/>
      <w:numFmt w:val="chineseCounting"/>
      <w:suff w:val="nothing"/>
      <w:lvlText w:val="（%1）"/>
      <w:lvlJc w:val="left"/>
      <w:pPr>
        <w:ind w:left="0" w:firstLine="420"/>
      </w:pPr>
      <w:rPr>
        <w:rFonts w:hint="eastAsia"/>
      </w:rPr>
    </w:lvl>
  </w:abstractNum>
  <w:abstractNum w:abstractNumId="15">
    <w:nsid w:val="316010E5"/>
    <w:multiLevelType w:val="singleLevel"/>
    <w:tmpl w:val="316010E5"/>
    <w:lvl w:ilvl="0" w:tentative="0">
      <w:start w:val="1"/>
      <w:numFmt w:val="decimal"/>
      <w:suff w:val="nothing"/>
      <w:lvlText w:val="%1．"/>
      <w:lvlJc w:val="left"/>
    </w:lvl>
  </w:abstractNum>
  <w:abstractNum w:abstractNumId="16">
    <w:nsid w:val="3AA531BF"/>
    <w:multiLevelType w:val="singleLevel"/>
    <w:tmpl w:val="3AA531BF"/>
    <w:lvl w:ilvl="0" w:tentative="0">
      <w:start w:val="1"/>
      <w:numFmt w:val="chineseCounting"/>
      <w:suff w:val="nothing"/>
      <w:lvlText w:val="（%1）"/>
      <w:lvlJc w:val="left"/>
      <w:pPr>
        <w:ind w:left="0" w:firstLine="420"/>
      </w:pPr>
      <w:rPr>
        <w:rFonts w:hint="eastAsia"/>
      </w:rPr>
    </w:lvl>
  </w:abstractNum>
  <w:abstractNum w:abstractNumId="17">
    <w:nsid w:val="3B1B8417"/>
    <w:multiLevelType w:val="singleLevel"/>
    <w:tmpl w:val="3B1B8417"/>
    <w:lvl w:ilvl="0" w:tentative="0">
      <w:start w:val="1"/>
      <w:numFmt w:val="decimal"/>
      <w:suff w:val="nothing"/>
      <w:lvlText w:val="%1、"/>
      <w:lvlJc w:val="left"/>
    </w:lvl>
  </w:abstractNum>
  <w:abstractNum w:abstractNumId="18">
    <w:nsid w:val="49F65E66"/>
    <w:multiLevelType w:val="multilevel"/>
    <w:tmpl w:val="49F65E66"/>
    <w:lvl w:ilvl="0" w:tentative="0">
      <w:start w:val="2"/>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ascii="宋体" w:hAnsi="宋体" w:eastAsia="宋体" w:cs="宋体"/>
      </w:rPr>
    </w:lvl>
    <w:lvl w:ilvl="3" w:tentative="0">
      <w:start w:val="1"/>
      <w:numFmt w:val="decimal"/>
      <w:lvlText w:val="%1.%2.%3.%4."/>
      <w:lvlJc w:val="left"/>
      <w:pPr>
        <w:ind w:left="850" w:hanging="850"/>
      </w:pPr>
      <w:rPr>
        <w:rFonts w:hint="default" w:ascii="宋体" w:hAnsi="宋体"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9">
    <w:nsid w:val="5ED241A3"/>
    <w:multiLevelType w:val="singleLevel"/>
    <w:tmpl w:val="5ED241A3"/>
    <w:lvl w:ilvl="0" w:tentative="0">
      <w:start w:val="1"/>
      <w:numFmt w:val="chineseCounting"/>
      <w:suff w:val="nothing"/>
      <w:lvlText w:val="（%1）"/>
      <w:lvlJc w:val="left"/>
      <w:pPr>
        <w:ind w:left="0" w:firstLine="420"/>
      </w:pPr>
      <w:rPr>
        <w:rFonts w:hint="eastAsia"/>
      </w:rPr>
    </w:lvl>
  </w:abstractNum>
  <w:abstractNum w:abstractNumId="20">
    <w:nsid w:val="6825E712"/>
    <w:multiLevelType w:val="singleLevel"/>
    <w:tmpl w:val="6825E712"/>
    <w:lvl w:ilvl="0" w:tentative="0">
      <w:start w:val="1"/>
      <w:numFmt w:val="chineseCounting"/>
      <w:suff w:val="nothing"/>
      <w:lvlText w:val="（%1）"/>
      <w:lvlJc w:val="left"/>
      <w:pPr>
        <w:ind w:left="0" w:firstLine="420"/>
      </w:pPr>
      <w:rPr>
        <w:rFonts w:hint="eastAsia"/>
      </w:rPr>
    </w:lvl>
  </w:abstractNum>
  <w:abstractNum w:abstractNumId="21">
    <w:nsid w:val="6E5CE7BD"/>
    <w:multiLevelType w:val="singleLevel"/>
    <w:tmpl w:val="6E5CE7BD"/>
    <w:lvl w:ilvl="0" w:tentative="0">
      <w:start w:val="1"/>
      <w:numFmt w:val="chineseCounting"/>
      <w:suff w:val="nothing"/>
      <w:lvlText w:val="%1、"/>
      <w:lvlJc w:val="left"/>
      <w:rPr>
        <w:rFonts w:hint="eastAsia"/>
      </w:rPr>
    </w:lvl>
  </w:abstractNum>
  <w:abstractNum w:abstractNumId="22">
    <w:nsid w:val="7C4D1C4B"/>
    <w:multiLevelType w:val="multilevel"/>
    <w:tmpl w:val="7C4D1C4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21"/>
  </w:num>
  <w:num w:numId="2">
    <w:abstractNumId w:val="17"/>
  </w:num>
  <w:num w:numId="3">
    <w:abstractNumId w:val="10"/>
  </w:num>
  <w:num w:numId="4">
    <w:abstractNumId w:val="22"/>
  </w:num>
  <w:num w:numId="5">
    <w:abstractNumId w:val="18"/>
  </w:num>
  <w:num w:numId="6">
    <w:abstractNumId w:val="4"/>
  </w:num>
  <w:num w:numId="7">
    <w:abstractNumId w:val="5"/>
  </w:num>
  <w:num w:numId="8">
    <w:abstractNumId w:val="0"/>
  </w:num>
  <w:num w:numId="9">
    <w:abstractNumId w:val="1"/>
  </w:num>
  <w:num w:numId="10">
    <w:abstractNumId w:val="16"/>
  </w:num>
  <w:num w:numId="11">
    <w:abstractNumId w:val="14"/>
  </w:num>
  <w:num w:numId="12">
    <w:abstractNumId w:val="7"/>
  </w:num>
  <w:num w:numId="13">
    <w:abstractNumId w:val="6"/>
  </w:num>
  <w:num w:numId="14">
    <w:abstractNumId w:val="19"/>
  </w:num>
  <w:num w:numId="15">
    <w:abstractNumId w:val="3"/>
  </w:num>
  <w:num w:numId="16">
    <w:abstractNumId w:val="9"/>
  </w:num>
  <w:num w:numId="17">
    <w:abstractNumId w:val="12"/>
  </w:num>
  <w:num w:numId="18">
    <w:abstractNumId w:val="13"/>
  </w:num>
  <w:num w:numId="19">
    <w:abstractNumId w:val="20"/>
  </w:num>
  <w:num w:numId="20">
    <w:abstractNumId w:val="8"/>
  </w:num>
  <w:num w:numId="21">
    <w:abstractNumId w:val="11"/>
  </w:num>
  <w:num w:numId="22">
    <w:abstractNumId w:val="2"/>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4"/>
    <w:footnote w:id="5"/>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1YzMxYjlkNjI3YTY0NWM4NzJjZGI3NDYxYWQzZjg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23B0"/>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272C0"/>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1B6F64"/>
    <w:rsid w:val="024E2E49"/>
    <w:rsid w:val="02A741FD"/>
    <w:rsid w:val="02C16E5D"/>
    <w:rsid w:val="02D964CF"/>
    <w:rsid w:val="02DC3F04"/>
    <w:rsid w:val="0340787C"/>
    <w:rsid w:val="03707410"/>
    <w:rsid w:val="037F03E3"/>
    <w:rsid w:val="03A0770F"/>
    <w:rsid w:val="03A27BF9"/>
    <w:rsid w:val="03A448B8"/>
    <w:rsid w:val="03A4578A"/>
    <w:rsid w:val="03AD071E"/>
    <w:rsid w:val="03D10969"/>
    <w:rsid w:val="04DF1036"/>
    <w:rsid w:val="050F6021"/>
    <w:rsid w:val="05A97DEC"/>
    <w:rsid w:val="05C81981"/>
    <w:rsid w:val="06BC41F2"/>
    <w:rsid w:val="06DF3DBD"/>
    <w:rsid w:val="07197D08"/>
    <w:rsid w:val="071C2CFD"/>
    <w:rsid w:val="071E5C55"/>
    <w:rsid w:val="073A47CB"/>
    <w:rsid w:val="073F7319"/>
    <w:rsid w:val="07536A42"/>
    <w:rsid w:val="07595F41"/>
    <w:rsid w:val="07615EC0"/>
    <w:rsid w:val="077005AB"/>
    <w:rsid w:val="078F4581"/>
    <w:rsid w:val="07995C5E"/>
    <w:rsid w:val="07BE179A"/>
    <w:rsid w:val="07BF027F"/>
    <w:rsid w:val="08031A31"/>
    <w:rsid w:val="081A5CC7"/>
    <w:rsid w:val="08A276E5"/>
    <w:rsid w:val="09061A75"/>
    <w:rsid w:val="09087948"/>
    <w:rsid w:val="09182241"/>
    <w:rsid w:val="09242E62"/>
    <w:rsid w:val="093C069F"/>
    <w:rsid w:val="09417888"/>
    <w:rsid w:val="095909FF"/>
    <w:rsid w:val="09855177"/>
    <w:rsid w:val="09870F93"/>
    <w:rsid w:val="09D658E4"/>
    <w:rsid w:val="09F1637C"/>
    <w:rsid w:val="0A25628F"/>
    <w:rsid w:val="0A290B50"/>
    <w:rsid w:val="0AA534D5"/>
    <w:rsid w:val="0AA650EB"/>
    <w:rsid w:val="0AB8066A"/>
    <w:rsid w:val="0AF47339"/>
    <w:rsid w:val="0B22594B"/>
    <w:rsid w:val="0B6709D0"/>
    <w:rsid w:val="0B797387"/>
    <w:rsid w:val="0BC044BE"/>
    <w:rsid w:val="0BDF26F7"/>
    <w:rsid w:val="0C264099"/>
    <w:rsid w:val="0C2B4952"/>
    <w:rsid w:val="0C7B2220"/>
    <w:rsid w:val="0D527BA9"/>
    <w:rsid w:val="0D890E47"/>
    <w:rsid w:val="0DC64A00"/>
    <w:rsid w:val="0DFC60BA"/>
    <w:rsid w:val="0DFF4FAE"/>
    <w:rsid w:val="0E236A8E"/>
    <w:rsid w:val="0E4249F1"/>
    <w:rsid w:val="0F6C5A53"/>
    <w:rsid w:val="0F7C5FF6"/>
    <w:rsid w:val="0FC63FBD"/>
    <w:rsid w:val="106C564D"/>
    <w:rsid w:val="107B7B8F"/>
    <w:rsid w:val="107C67CE"/>
    <w:rsid w:val="108F06C9"/>
    <w:rsid w:val="109D68CB"/>
    <w:rsid w:val="10A949B8"/>
    <w:rsid w:val="10C54639"/>
    <w:rsid w:val="11200D07"/>
    <w:rsid w:val="11DA73AF"/>
    <w:rsid w:val="12C60D80"/>
    <w:rsid w:val="12E71C6B"/>
    <w:rsid w:val="131F7A3A"/>
    <w:rsid w:val="132645D0"/>
    <w:rsid w:val="13455ABC"/>
    <w:rsid w:val="1370322B"/>
    <w:rsid w:val="13B27845"/>
    <w:rsid w:val="13BE469F"/>
    <w:rsid w:val="13F87121"/>
    <w:rsid w:val="141A03E1"/>
    <w:rsid w:val="143B2E0B"/>
    <w:rsid w:val="14672B11"/>
    <w:rsid w:val="14892735"/>
    <w:rsid w:val="14CC769D"/>
    <w:rsid w:val="14CF59E6"/>
    <w:rsid w:val="15735E00"/>
    <w:rsid w:val="157D38E3"/>
    <w:rsid w:val="15D359D7"/>
    <w:rsid w:val="15D81E0F"/>
    <w:rsid w:val="161771F3"/>
    <w:rsid w:val="16222D6D"/>
    <w:rsid w:val="163C77BE"/>
    <w:rsid w:val="16632F86"/>
    <w:rsid w:val="1679588C"/>
    <w:rsid w:val="16994962"/>
    <w:rsid w:val="169E6A82"/>
    <w:rsid w:val="16A71041"/>
    <w:rsid w:val="16AA24BF"/>
    <w:rsid w:val="16F72341"/>
    <w:rsid w:val="17680CAB"/>
    <w:rsid w:val="176E4128"/>
    <w:rsid w:val="1783371F"/>
    <w:rsid w:val="17E62B67"/>
    <w:rsid w:val="180C0192"/>
    <w:rsid w:val="180F4499"/>
    <w:rsid w:val="18221ECE"/>
    <w:rsid w:val="190B7894"/>
    <w:rsid w:val="19135859"/>
    <w:rsid w:val="19A2789F"/>
    <w:rsid w:val="1A3109F9"/>
    <w:rsid w:val="1A460CF5"/>
    <w:rsid w:val="1A7F297D"/>
    <w:rsid w:val="1AB16AC1"/>
    <w:rsid w:val="1B034A52"/>
    <w:rsid w:val="1B1F34AD"/>
    <w:rsid w:val="1B8D5DC6"/>
    <w:rsid w:val="1BA7712F"/>
    <w:rsid w:val="1BFE1D3B"/>
    <w:rsid w:val="1C2775EC"/>
    <w:rsid w:val="1C750ECE"/>
    <w:rsid w:val="1CA22168"/>
    <w:rsid w:val="1D0836D7"/>
    <w:rsid w:val="1D196139"/>
    <w:rsid w:val="1D3A2A58"/>
    <w:rsid w:val="1DB85900"/>
    <w:rsid w:val="1DF051AF"/>
    <w:rsid w:val="1E010AF7"/>
    <w:rsid w:val="1E0178EB"/>
    <w:rsid w:val="1E301173"/>
    <w:rsid w:val="1E38333E"/>
    <w:rsid w:val="1E5C7612"/>
    <w:rsid w:val="1EA40BB4"/>
    <w:rsid w:val="1F43381C"/>
    <w:rsid w:val="1F84495C"/>
    <w:rsid w:val="1FA4148D"/>
    <w:rsid w:val="1FA86F5D"/>
    <w:rsid w:val="20121621"/>
    <w:rsid w:val="201A421D"/>
    <w:rsid w:val="20341172"/>
    <w:rsid w:val="204E554F"/>
    <w:rsid w:val="20590035"/>
    <w:rsid w:val="20C35213"/>
    <w:rsid w:val="20FC799E"/>
    <w:rsid w:val="22154DDD"/>
    <w:rsid w:val="22213E42"/>
    <w:rsid w:val="22336873"/>
    <w:rsid w:val="23175889"/>
    <w:rsid w:val="2373706C"/>
    <w:rsid w:val="238C2182"/>
    <w:rsid w:val="239015D1"/>
    <w:rsid w:val="23BB4E7D"/>
    <w:rsid w:val="23C172D6"/>
    <w:rsid w:val="23F04F64"/>
    <w:rsid w:val="24814CBE"/>
    <w:rsid w:val="24AC168B"/>
    <w:rsid w:val="258C3BEC"/>
    <w:rsid w:val="25A92CDD"/>
    <w:rsid w:val="25E44366"/>
    <w:rsid w:val="25E576CC"/>
    <w:rsid w:val="260E3862"/>
    <w:rsid w:val="262569FC"/>
    <w:rsid w:val="26344C98"/>
    <w:rsid w:val="26E009A8"/>
    <w:rsid w:val="26F56CE2"/>
    <w:rsid w:val="27435D49"/>
    <w:rsid w:val="27A34F71"/>
    <w:rsid w:val="27B36A67"/>
    <w:rsid w:val="27EB0D9B"/>
    <w:rsid w:val="286602C8"/>
    <w:rsid w:val="28665C95"/>
    <w:rsid w:val="28872B17"/>
    <w:rsid w:val="28A64522"/>
    <w:rsid w:val="28CC5B40"/>
    <w:rsid w:val="28FB7971"/>
    <w:rsid w:val="290B3EB9"/>
    <w:rsid w:val="291418C2"/>
    <w:rsid w:val="2950768C"/>
    <w:rsid w:val="297A5FC4"/>
    <w:rsid w:val="2A1113BC"/>
    <w:rsid w:val="2A1E2AFB"/>
    <w:rsid w:val="2A586210"/>
    <w:rsid w:val="2A8D4F8F"/>
    <w:rsid w:val="2A911082"/>
    <w:rsid w:val="2A917B34"/>
    <w:rsid w:val="2AE3766F"/>
    <w:rsid w:val="2B7E4054"/>
    <w:rsid w:val="2BF22742"/>
    <w:rsid w:val="2C987C56"/>
    <w:rsid w:val="2CFF149A"/>
    <w:rsid w:val="2D201865"/>
    <w:rsid w:val="2D352080"/>
    <w:rsid w:val="2D4B5CEA"/>
    <w:rsid w:val="2D652658"/>
    <w:rsid w:val="2DC80C49"/>
    <w:rsid w:val="2DCA6355"/>
    <w:rsid w:val="2DF0699F"/>
    <w:rsid w:val="2DF36FAB"/>
    <w:rsid w:val="2E166748"/>
    <w:rsid w:val="2E556F01"/>
    <w:rsid w:val="2E8E20B4"/>
    <w:rsid w:val="2ED06066"/>
    <w:rsid w:val="2ED1223D"/>
    <w:rsid w:val="2EE470F7"/>
    <w:rsid w:val="2F000139"/>
    <w:rsid w:val="2F561B8A"/>
    <w:rsid w:val="2F9F42DC"/>
    <w:rsid w:val="2FE04319"/>
    <w:rsid w:val="2FF37AB3"/>
    <w:rsid w:val="30AD49F0"/>
    <w:rsid w:val="30FF27D2"/>
    <w:rsid w:val="311573CF"/>
    <w:rsid w:val="31170995"/>
    <w:rsid w:val="31264A30"/>
    <w:rsid w:val="31884E67"/>
    <w:rsid w:val="31A0275E"/>
    <w:rsid w:val="31B7357A"/>
    <w:rsid w:val="31E14405"/>
    <w:rsid w:val="31ED6B08"/>
    <w:rsid w:val="31F915C9"/>
    <w:rsid w:val="322650EA"/>
    <w:rsid w:val="32610CE6"/>
    <w:rsid w:val="328464CE"/>
    <w:rsid w:val="32AB70C5"/>
    <w:rsid w:val="32DC33E0"/>
    <w:rsid w:val="335D0AF5"/>
    <w:rsid w:val="33614D0F"/>
    <w:rsid w:val="3370088C"/>
    <w:rsid w:val="33A3154A"/>
    <w:rsid w:val="33DC2F78"/>
    <w:rsid w:val="3428227C"/>
    <w:rsid w:val="343B1793"/>
    <w:rsid w:val="34672D35"/>
    <w:rsid w:val="35260F83"/>
    <w:rsid w:val="35602226"/>
    <w:rsid w:val="356B72E7"/>
    <w:rsid w:val="3572424F"/>
    <w:rsid w:val="35FC3844"/>
    <w:rsid w:val="36794DEF"/>
    <w:rsid w:val="36AD519D"/>
    <w:rsid w:val="36B57705"/>
    <w:rsid w:val="37406AD8"/>
    <w:rsid w:val="374F1A0B"/>
    <w:rsid w:val="37A103ED"/>
    <w:rsid w:val="37EA5E6E"/>
    <w:rsid w:val="37FF016F"/>
    <w:rsid w:val="38427C0B"/>
    <w:rsid w:val="387C5ABE"/>
    <w:rsid w:val="389B3A1E"/>
    <w:rsid w:val="38EB6119"/>
    <w:rsid w:val="399E320F"/>
    <w:rsid w:val="39DE33DA"/>
    <w:rsid w:val="39FA5B4A"/>
    <w:rsid w:val="39FE0BE9"/>
    <w:rsid w:val="3A3C1AAF"/>
    <w:rsid w:val="3A4B7CC1"/>
    <w:rsid w:val="3A51228C"/>
    <w:rsid w:val="3A552E60"/>
    <w:rsid w:val="3A5D642F"/>
    <w:rsid w:val="3AB210FC"/>
    <w:rsid w:val="3ACE216B"/>
    <w:rsid w:val="3AD95C13"/>
    <w:rsid w:val="3B261E51"/>
    <w:rsid w:val="3B973F88"/>
    <w:rsid w:val="3BC95762"/>
    <w:rsid w:val="3BCD72F7"/>
    <w:rsid w:val="3C414142"/>
    <w:rsid w:val="3C9121FF"/>
    <w:rsid w:val="3CE114D9"/>
    <w:rsid w:val="3CF737A2"/>
    <w:rsid w:val="3CF7509A"/>
    <w:rsid w:val="3D10295A"/>
    <w:rsid w:val="3E0572FD"/>
    <w:rsid w:val="3E1A5292"/>
    <w:rsid w:val="3E5A7FE7"/>
    <w:rsid w:val="3EC8179E"/>
    <w:rsid w:val="3EF66B2E"/>
    <w:rsid w:val="3F217914"/>
    <w:rsid w:val="3FD70BB0"/>
    <w:rsid w:val="3FFB55AC"/>
    <w:rsid w:val="401C5F9D"/>
    <w:rsid w:val="401C690C"/>
    <w:rsid w:val="401D7195"/>
    <w:rsid w:val="406C71E8"/>
    <w:rsid w:val="40A51286"/>
    <w:rsid w:val="40CE3DC0"/>
    <w:rsid w:val="40D7455A"/>
    <w:rsid w:val="40E743E5"/>
    <w:rsid w:val="4110038E"/>
    <w:rsid w:val="413015F5"/>
    <w:rsid w:val="41734CBA"/>
    <w:rsid w:val="41DD7057"/>
    <w:rsid w:val="420F7A65"/>
    <w:rsid w:val="4216611A"/>
    <w:rsid w:val="423E300F"/>
    <w:rsid w:val="425656C8"/>
    <w:rsid w:val="4257273C"/>
    <w:rsid w:val="425D7213"/>
    <w:rsid w:val="42677B61"/>
    <w:rsid w:val="42756DB0"/>
    <w:rsid w:val="42B21AD2"/>
    <w:rsid w:val="42DA7D24"/>
    <w:rsid w:val="42FD694D"/>
    <w:rsid w:val="434A6D8F"/>
    <w:rsid w:val="4397723B"/>
    <w:rsid w:val="43D522BF"/>
    <w:rsid w:val="43FA5777"/>
    <w:rsid w:val="44044D92"/>
    <w:rsid w:val="441C1611"/>
    <w:rsid w:val="44212CEC"/>
    <w:rsid w:val="443C440B"/>
    <w:rsid w:val="443F7DBF"/>
    <w:rsid w:val="44514F52"/>
    <w:rsid w:val="448965CB"/>
    <w:rsid w:val="44C5497E"/>
    <w:rsid w:val="44FA2D53"/>
    <w:rsid w:val="4571374F"/>
    <w:rsid w:val="458B1BB0"/>
    <w:rsid w:val="45A67760"/>
    <w:rsid w:val="4611075B"/>
    <w:rsid w:val="46214818"/>
    <w:rsid w:val="467A0297"/>
    <w:rsid w:val="468B7125"/>
    <w:rsid w:val="46C4691F"/>
    <w:rsid w:val="47841568"/>
    <w:rsid w:val="479D1D34"/>
    <w:rsid w:val="47B609C0"/>
    <w:rsid w:val="47CF543E"/>
    <w:rsid w:val="48044F7F"/>
    <w:rsid w:val="482D31EA"/>
    <w:rsid w:val="485970A0"/>
    <w:rsid w:val="48847961"/>
    <w:rsid w:val="48A41906"/>
    <w:rsid w:val="48B65C71"/>
    <w:rsid w:val="48BB5EC4"/>
    <w:rsid w:val="48F303D7"/>
    <w:rsid w:val="492837FF"/>
    <w:rsid w:val="492E6A57"/>
    <w:rsid w:val="49B86103"/>
    <w:rsid w:val="4A0030EE"/>
    <w:rsid w:val="4A243364"/>
    <w:rsid w:val="4AB75B3A"/>
    <w:rsid w:val="4AC36065"/>
    <w:rsid w:val="4B560086"/>
    <w:rsid w:val="4B7501F5"/>
    <w:rsid w:val="4B8C2DEB"/>
    <w:rsid w:val="4BFA3C9F"/>
    <w:rsid w:val="4C0E3379"/>
    <w:rsid w:val="4C107F48"/>
    <w:rsid w:val="4C3277BC"/>
    <w:rsid w:val="4C686851"/>
    <w:rsid w:val="4CC353EB"/>
    <w:rsid w:val="4CDB1AE6"/>
    <w:rsid w:val="4CF36F3C"/>
    <w:rsid w:val="4CFC69A5"/>
    <w:rsid w:val="4D4F67BA"/>
    <w:rsid w:val="4D603399"/>
    <w:rsid w:val="4D867EE1"/>
    <w:rsid w:val="4DBC4C65"/>
    <w:rsid w:val="4DF6568D"/>
    <w:rsid w:val="4E2E1A80"/>
    <w:rsid w:val="4E550010"/>
    <w:rsid w:val="4E5F14CB"/>
    <w:rsid w:val="4ED95E04"/>
    <w:rsid w:val="4EED7FC5"/>
    <w:rsid w:val="4F3705F8"/>
    <w:rsid w:val="4FAC3540"/>
    <w:rsid w:val="4FBB12F4"/>
    <w:rsid w:val="4FCF1583"/>
    <w:rsid w:val="4FFA7625"/>
    <w:rsid w:val="501B0BF9"/>
    <w:rsid w:val="507D2599"/>
    <w:rsid w:val="50904151"/>
    <w:rsid w:val="5096229D"/>
    <w:rsid w:val="50B44FCE"/>
    <w:rsid w:val="50DC4184"/>
    <w:rsid w:val="51475B39"/>
    <w:rsid w:val="514C3EA7"/>
    <w:rsid w:val="519849E5"/>
    <w:rsid w:val="51B36892"/>
    <w:rsid w:val="51E44D3C"/>
    <w:rsid w:val="524A036B"/>
    <w:rsid w:val="52506DA7"/>
    <w:rsid w:val="529D471C"/>
    <w:rsid w:val="533B2B84"/>
    <w:rsid w:val="535F3BF1"/>
    <w:rsid w:val="537A7243"/>
    <w:rsid w:val="539C1B81"/>
    <w:rsid w:val="53AA6184"/>
    <w:rsid w:val="53AE750F"/>
    <w:rsid w:val="53EB0895"/>
    <w:rsid w:val="53F263AD"/>
    <w:rsid w:val="54693932"/>
    <w:rsid w:val="549A6BFA"/>
    <w:rsid w:val="54A6423F"/>
    <w:rsid w:val="54E72921"/>
    <w:rsid w:val="55806F07"/>
    <w:rsid w:val="55A44ACC"/>
    <w:rsid w:val="55FA2961"/>
    <w:rsid w:val="565E7F4F"/>
    <w:rsid w:val="56775789"/>
    <w:rsid w:val="56857D06"/>
    <w:rsid w:val="56914056"/>
    <w:rsid w:val="569F0E63"/>
    <w:rsid w:val="56DB613D"/>
    <w:rsid w:val="573810DA"/>
    <w:rsid w:val="57FC2169"/>
    <w:rsid w:val="58096275"/>
    <w:rsid w:val="580E4560"/>
    <w:rsid w:val="581C04F1"/>
    <w:rsid w:val="582E6EF7"/>
    <w:rsid w:val="58434392"/>
    <w:rsid w:val="584E30E6"/>
    <w:rsid w:val="59014D02"/>
    <w:rsid w:val="592E16F6"/>
    <w:rsid w:val="597B384D"/>
    <w:rsid w:val="59996DA8"/>
    <w:rsid w:val="59AC3CE9"/>
    <w:rsid w:val="59C30F1B"/>
    <w:rsid w:val="5A0D5854"/>
    <w:rsid w:val="5A20156F"/>
    <w:rsid w:val="5A2A32CF"/>
    <w:rsid w:val="5A9847F3"/>
    <w:rsid w:val="5AC7121C"/>
    <w:rsid w:val="5AD90B8D"/>
    <w:rsid w:val="5AE12927"/>
    <w:rsid w:val="5B2243E9"/>
    <w:rsid w:val="5B4E1A44"/>
    <w:rsid w:val="5B666742"/>
    <w:rsid w:val="5B6919B0"/>
    <w:rsid w:val="5B873201"/>
    <w:rsid w:val="5B89551D"/>
    <w:rsid w:val="5B967767"/>
    <w:rsid w:val="5B9E55DE"/>
    <w:rsid w:val="5BEB3C95"/>
    <w:rsid w:val="5C1D18D2"/>
    <w:rsid w:val="5C286807"/>
    <w:rsid w:val="5C446BC8"/>
    <w:rsid w:val="5C4C687B"/>
    <w:rsid w:val="5C7C2768"/>
    <w:rsid w:val="5CB23AE6"/>
    <w:rsid w:val="5CF55792"/>
    <w:rsid w:val="5CFD533A"/>
    <w:rsid w:val="5D2F72C2"/>
    <w:rsid w:val="5D893B14"/>
    <w:rsid w:val="5E2810D5"/>
    <w:rsid w:val="5E2B7D62"/>
    <w:rsid w:val="5E71411E"/>
    <w:rsid w:val="5EA06921"/>
    <w:rsid w:val="5ED5006A"/>
    <w:rsid w:val="5F236957"/>
    <w:rsid w:val="5F576E4B"/>
    <w:rsid w:val="5F5D4EDE"/>
    <w:rsid w:val="5F7A2C30"/>
    <w:rsid w:val="5FBE370A"/>
    <w:rsid w:val="5FD62906"/>
    <w:rsid w:val="60292845"/>
    <w:rsid w:val="60403E3A"/>
    <w:rsid w:val="61027308"/>
    <w:rsid w:val="612E1A5D"/>
    <w:rsid w:val="614F559F"/>
    <w:rsid w:val="616A73F6"/>
    <w:rsid w:val="61816046"/>
    <w:rsid w:val="62182687"/>
    <w:rsid w:val="62391564"/>
    <w:rsid w:val="62816669"/>
    <w:rsid w:val="62BA0953"/>
    <w:rsid w:val="62D03A7C"/>
    <w:rsid w:val="62F16BCB"/>
    <w:rsid w:val="62F648FE"/>
    <w:rsid w:val="63341DB1"/>
    <w:rsid w:val="63447612"/>
    <w:rsid w:val="63907004"/>
    <w:rsid w:val="639A73C1"/>
    <w:rsid w:val="63A10995"/>
    <w:rsid w:val="63A573AB"/>
    <w:rsid w:val="63C23EFA"/>
    <w:rsid w:val="63E52E10"/>
    <w:rsid w:val="643A070A"/>
    <w:rsid w:val="644C573D"/>
    <w:rsid w:val="64660CBB"/>
    <w:rsid w:val="648667A7"/>
    <w:rsid w:val="64DB383A"/>
    <w:rsid w:val="65032F85"/>
    <w:rsid w:val="65136B50"/>
    <w:rsid w:val="657E2A35"/>
    <w:rsid w:val="6588751C"/>
    <w:rsid w:val="65A94E9D"/>
    <w:rsid w:val="65C60A92"/>
    <w:rsid w:val="65C7105B"/>
    <w:rsid w:val="65F3550D"/>
    <w:rsid w:val="662203DD"/>
    <w:rsid w:val="66576253"/>
    <w:rsid w:val="666B723B"/>
    <w:rsid w:val="6678045A"/>
    <w:rsid w:val="66DD6702"/>
    <w:rsid w:val="679406CB"/>
    <w:rsid w:val="67C35C0B"/>
    <w:rsid w:val="681233D2"/>
    <w:rsid w:val="681D5EE5"/>
    <w:rsid w:val="68652AB3"/>
    <w:rsid w:val="688B6C68"/>
    <w:rsid w:val="689F1926"/>
    <w:rsid w:val="68AD17BB"/>
    <w:rsid w:val="68D94D22"/>
    <w:rsid w:val="692B2E4A"/>
    <w:rsid w:val="694303FB"/>
    <w:rsid w:val="696A0B34"/>
    <w:rsid w:val="698D6A17"/>
    <w:rsid w:val="69A233E7"/>
    <w:rsid w:val="69EE3535"/>
    <w:rsid w:val="69F954C1"/>
    <w:rsid w:val="6A2031B6"/>
    <w:rsid w:val="6A440C53"/>
    <w:rsid w:val="6A882AD0"/>
    <w:rsid w:val="6AC61F6F"/>
    <w:rsid w:val="6ADE74F0"/>
    <w:rsid w:val="6B1002C0"/>
    <w:rsid w:val="6B1F5CFA"/>
    <w:rsid w:val="6B723594"/>
    <w:rsid w:val="6B805156"/>
    <w:rsid w:val="6B9A1267"/>
    <w:rsid w:val="6BD50977"/>
    <w:rsid w:val="6BEA2A9B"/>
    <w:rsid w:val="6C9C0875"/>
    <w:rsid w:val="6C9D1F03"/>
    <w:rsid w:val="6CAA3931"/>
    <w:rsid w:val="6D3933CA"/>
    <w:rsid w:val="6D7B61EC"/>
    <w:rsid w:val="6DD049FF"/>
    <w:rsid w:val="6E09491E"/>
    <w:rsid w:val="6E0D3655"/>
    <w:rsid w:val="6E5F4465"/>
    <w:rsid w:val="6E8C54DA"/>
    <w:rsid w:val="6EBC0603"/>
    <w:rsid w:val="6EF11E03"/>
    <w:rsid w:val="6F111C62"/>
    <w:rsid w:val="6F2176E5"/>
    <w:rsid w:val="6F3053CA"/>
    <w:rsid w:val="6F36242A"/>
    <w:rsid w:val="6F3D0943"/>
    <w:rsid w:val="6F592303"/>
    <w:rsid w:val="6F5F5B74"/>
    <w:rsid w:val="6F8F583F"/>
    <w:rsid w:val="6F9B1C65"/>
    <w:rsid w:val="6FD47A25"/>
    <w:rsid w:val="6FF44026"/>
    <w:rsid w:val="6FFB146E"/>
    <w:rsid w:val="701A5C74"/>
    <w:rsid w:val="706516C3"/>
    <w:rsid w:val="70864A71"/>
    <w:rsid w:val="70896E68"/>
    <w:rsid w:val="70FE3F45"/>
    <w:rsid w:val="714556B4"/>
    <w:rsid w:val="715B60E9"/>
    <w:rsid w:val="71E96309"/>
    <w:rsid w:val="71EA1FED"/>
    <w:rsid w:val="72284A0C"/>
    <w:rsid w:val="72854629"/>
    <w:rsid w:val="72C16204"/>
    <w:rsid w:val="730313F6"/>
    <w:rsid w:val="731E1007"/>
    <w:rsid w:val="73370D24"/>
    <w:rsid w:val="7359268C"/>
    <w:rsid w:val="739503EB"/>
    <w:rsid w:val="73A05B28"/>
    <w:rsid w:val="73C07D69"/>
    <w:rsid w:val="73E352ED"/>
    <w:rsid w:val="749E2255"/>
    <w:rsid w:val="74B42AE4"/>
    <w:rsid w:val="750A429D"/>
    <w:rsid w:val="75167F59"/>
    <w:rsid w:val="755D38A7"/>
    <w:rsid w:val="755F5A0F"/>
    <w:rsid w:val="75614792"/>
    <w:rsid w:val="75784473"/>
    <w:rsid w:val="757E044C"/>
    <w:rsid w:val="75977BC3"/>
    <w:rsid w:val="75B161B3"/>
    <w:rsid w:val="75E470E3"/>
    <w:rsid w:val="76736B32"/>
    <w:rsid w:val="76E3765E"/>
    <w:rsid w:val="76F016FB"/>
    <w:rsid w:val="76FC2AFA"/>
    <w:rsid w:val="77310AF7"/>
    <w:rsid w:val="773F0836"/>
    <w:rsid w:val="77653671"/>
    <w:rsid w:val="778546CC"/>
    <w:rsid w:val="77B56730"/>
    <w:rsid w:val="77C04A8B"/>
    <w:rsid w:val="77D85DB3"/>
    <w:rsid w:val="780252A0"/>
    <w:rsid w:val="78027772"/>
    <w:rsid w:val="78A50513"/>
    <w:rsid w:val="78EE1700"/>
    <w:rsid w:val="793B7339"/>
    <w:rsid w:val="796518DD"/>
    <w:rsid w:val="796C2EB5"/>
    <w:rsid w:val="796E0C55"/>
    <w:rsid w:val="797C5614"/>
    <w:rsid w:val="79AA0532"/>
    <w:rsid w:val="79F70999"/>
    <w:rsid w:val="79FE1DDD"/>
    <w:rsid w:val="7A075767"/>
    <w:rsid w:val="7A212062"/>
    <w:rsid w:val="7A282A11"/>
    <w:rsid w:val="7A9E3ACF"/>
    <w:rsid w:val="7AB90FF6"/>
    <w:rsid w:val="7AC21562"/>
    <w:rsid w:val="7AD474A4"/>
    <w:rsid w:val="7B115232"/>
    <w:rsid w:val="7B401C35"/>
    <w:rsid w:val="7B416BDC"/>
    <w:rsid w:val="7B5350AD"/>
    <w:rsid w:val="7B6867EB"/>
    <w:rsid w:val="7B697C89"/>
    <w:rsid w:val="7B7635D5"/>
    <w:rsid w:val="7B8D34C3"/>
    <w:rsid w:val="7B971D84"/>
    <w:rsid w:val="7BF32F03"/>
    <w:rsid w:val="7C1724A5"/>
    <w:rsid w:val="7C8E3CCF"/>
    <w:rsid w:val="7CA54112"/>
    <w:rsid w:val="7CE50CE4"/>
    <w:rsid w:val="7D2E5ABF"/>
    <w:rsid w:val="7DCA1E7A"/>
    <w:rsid w:val="7E2142A2"/>
    <w:rsid w:val="7E4F5384"/>
    <w:rsid w:val="7E5A6DFA"/>
    <w:rsid w:val="7E7B0BF2"/>
    <w:rsid w:val="7E7C7A78"/>
    <w:rsid w:val="7E8D75B6"/>
    <w:rsid w:val="7EA34F14"/>
    <w:rsid w:val="7EB2417D"/>
    <w:rsid w:val="7EF760EE"/>
    <w:rsid w:val="7F2A21E7"/>
    <w:rsid w:val="7F613A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1"/>
    <w:unhideWhenUsed/>
    <w:qFormat/>
    <w:uiPriority w:val="9"/>
    <w:pPr>
      <w:keepNext/>
      <w:keepLines/>
      <w:spacing w:line="360" w:lineRule="auto"/>
      <w:outlineLvl w:val="2"/>
    </w:pPr>
    <w:rPr>
      <w:rFonts w:eastAsia="宋体"/>
      <w:b/>
      <w:bCs/>
      <w:sz w:val="28"/>
      <w:szCs w:val="32"/>
    </w:rPr>
  </w:style>
  <w:style w:type="paragraph" w:styleId="5">
    <w:name w:val="heading 4"/>
    <w:basedOn w:val="1"/>
    <w:next w:val="1"/>
    <w:link w:val="33"/>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style>
  <w:style w:type="paragraph" w:styleId="7">
    <w:name w:val="Body Text"/>
    <w:basedOn w:val="1"/>
    <w:next w:val="8"/>
    <w:qFormat/>
    <w:uiPriority w:val="1"/>
    <w:pPr>
      <w:spacing w:before="161"/>
      <w:ind w:left="120"/>
    </w:pPr>
    <w:rPr>
      <w:rFonts w:ascii="宋体" w:hAnsi="宋体" w:eastAsia="宋体" w:cs="宋体"/>
      <w:sz w:val="24"/>
      <w:lang w:val="zh-CN" w:bidi="zh-CN"/>
    </w:rPr>
  </w:style>
  <w:style w:type="paragraph" w:styleId="8">
    <w:name w:val="Body Text First Indent"/>
    <w:basedOn w:val="7"/>
    <w:unhideWhenUsed/>
    <w:qFormat/>
    <w:uiPriority w:val="99"/>
    <w:pPr>
      <w:ind w:firstLine="420" w:firstLineChars="100"/>
    </w:pPr>
    <w:rPr>
      <w:rFonts w:ascii="Times New Roman" w:hAnsi="Times New Roman" w:cs="Times New Roman"/>
    </w:rPr>
  </w:style>
  <w:style w:type="paragraph" w:styleId="9">
    <w:name w:val="toc 3"/>
    <w:basedOn w:val="1"/>
    <w:next w:val="1"/>
    <w:unhideWhenUsed/>
    <w:qFormat/>
    <w:uiPriority w:val="39"/>
    <w:pPr>
      <w:tabs>
        <w:tab w:val="right" w:leader="dot" w:pos="8296"/>
      </w:tabs>
      <w:ind w:left="838" w:leftChars="381"/>
    </w:pPr>
    <w:rPr>
      <w:sz w:val="21"/>
      <w:szCs w:val="21"/>
    </w:rPr>
  </w:style>
  <w:style w:type="paragraph" w:styleId="10">
    <w:name w:val="Plain Text"/>
    <w:basedOn w:val="1"/>
    <w:link w:val="44"/>
    <w:qFormat/>
    <w:uiPriority w:val="0"/>
    <w:pPr>
      <w:widowControl w:val="0"/>
      <w:adjustRightInd/>
      <w:snapToGrid/>
      <w:spacing w:after="0"/>
      <w:jc w:val="both"/>
    </w:pPr>
    <w:rPr>
      <w:rFonts w:ascii="宋体" w:hAnsi="Courier New" w:eastAsia="宋体" w:cs="Times New Roman"/>
      <w:b/>
      <w:kern w:val="2"/>
      <w:sz w:val="21"/>
      <w:szCs w:val="20"/>
    </w:rPr>
  </w:style>
  <w:style w:type="paragraph" w:styleId="11">
    <w:name w:val="Body Text Indent 2"/>
    <w:basedOn w:val="1"/>
    <w:qFormat/>
    <w:uiPriority w:val="0"/>
    <w:pPr>
      <w:ind w:firstLine="539" w:firstLineChars="174"/>
    </w:pPr>
    <w:rPr>
      <w:rFonts w:ascii="仿宋_GB2312" w:eastAsia="仿宋_GB2312"/>
      <w:sz w:val="31"/>
    </w:rPr>
  </w:style>
  <w:style w:type="paragraph" w:styleId="12">
    <w:name w:val="Balloon Text"/>
    <w:basedOn w:val="1"/>
    <w:link w:val="47"/>
    <w:semiHidden/>
    <w:unhideWhenUsed/>
    <w:qFormat/>
    <w:uiPriority w:val="99"/>
    <w:pPr>
      <w:spacing w:after="0"/>
    </w:pPr>
    <w:rPr>
      <w:sz w:val="18"/>
      <w:szCs w:val="18"/>
    </w:rPr>
  </w:style>
  <w:style w:type="paragraph" w:styleId="13">
    <w:name w:val="footer"/>
    <w:basedOn w:val="1"/>
    <w:link w:val="46"/>
    <w:unhideWhenUsed/>
    <w:qFormat/>
    <w:uiPriority w:val="99"/>
    <w:pPr>
      <w:tabs>
        <w:tab w:val="center" w:pos="4153"/>
        <w:tab w:val="right" w:pos="8306"/>
      </w:tabs>
    </w:pPr>
    <w:rPr>
      <w:sz w:val="18"/>
      <w:szCs w:val="18"/>
    </w:rPr>
  </w:style>
  <w:style w:type="paragraph" w:styleId="14">
    <w:name w:val="header"/>
    <w:basedOn w:val="1"/>
    <w:link w:val="45"/>
    <w:unhideWhenUsed/>
    <w:qFormat/>
    <w:uiPriority w:val="99"/>
    <w:pPr>
      <w:pBdr>
        <w:bottom w:val="single" w:color="auto" w:sz="6" w:space="1"/>
      </w:pBdr>
      <w:tabs>
        <w:tab w:val="center" w:pos="4153"/>
        <w:tab w:val="right" w:pos="8306"/>
      </w:tabs>
      <w:jc w:val="center"/>
    </w:pPr>
    <w:rPr>
      <w:sz w:val="18"/>
      <w:szCs w:val="18"/>
    </w:rPr>
  </w:style>
  <w:style w:type="paragraph" w:styleId="15">
    <w:name w:val="toc 1"/>
    <w:basedOn w:val="1"/>
    <w:next w:val="1"/>
    <w:semiHidden/>
    <w:unhideWhenUsed/>
    <w:qFormat/>
    <w:uiPriority w:val="39"/>
  </w:style>
  <w:style w:type="paragraph" w:styleId="16">
    <w:name w:val="toc 4"/>
    <w:basedOn w:val="1"/>
    <w:next w:val="1"/>
    <w:unhideWhenUsed/>
    <w:qFormat/>
    <w:uiPriority w:val="39"/>
    <w:pPr>
      <w:tabs>
        <w:tab w:val="right" w:leader="dot" w:pos="8296"/>
      </w:tabs>
      <w:spacing w:after="120"/>
      <w:ind w:left="1320" w:leftChars="600"/>
    </w:pPr>
  </w:style>
  <w:style w:type="paragraph" w:styleId="17">
    <w:name w:val="index heading"/>
    <w:basedOn w:val="1"/>
    <w:next w:val="18"/>
    <w:qFormat/>
    <w:uiPriority w:val="0"/>
    <w:rPr>
      <w:rFonts w:ascii="Times New Roman" w:hAnsi="Times New Roman"/>
      <w:szCs w:val="20"/>
    </w:rPr>
  </w:style>
  <w:style w:type="paragraph" w:styleId="18">
    <w:name w:val="index 1"/>
    <w:basedOn w:val="1"/>
    <w:next w:val="1"/>
    <w:unhideWhenUsed/>
    <w:qFormat/>
    <w:uiPriority w:val="99"/>
  </w:style>
  <w:style w:type="paragraph" w:styleId="19">
    <w:name w:val="footnote text"/>
    <w:basedOn w:val="1"/>
    <w:semiHidden/>
    <w:unhideWhenUsed/>
    <w:qFormat/>
    <w:uiPriority w:val="99"/>
    <w:pPr>
      <w:snapToGrid w:val="0"/>
      <w:jc w:val="left"/>
    </w:pPr>
    <w:rPr>
      <w:sz w:val="18"/>
    </w:rPr>
  </w:style>
  <w:style w:type="paragraph" w:styleId="20">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1">
    <w:name w:val="Normal (Web)"/>
    <w:basedOn w:val="1"/>
    <w:link w:val="49"/>
    <w:qFormat/>
    <w:uiPriority w:val="0"/>
    <w:pPr>
      <w:widowControl w:val="0"/>
      <w:adjustRightInd/>
      <w:snapToGrid/>
      <w:spacing w:after="0"/>
      <w:jc w:val="both"/>
    </w:pPr>
    <w:rPr>
      <w:rFonts w:eastAsia="宋体" w:asciiTheme="minorHAnsi" w:hAnsiTheme="minorHAnsi"/>
      <w:kern w:val="2"/>
      <w:sz w:val="24"/>
      <w:szCs w:val="24"/>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Emphasis"/>
    <w:basedOn w:val="24"/>
    <w:qFormat/>
    <w:uiPriority w:val="20"/>
    <w:rPr>
      <w:i/>
      <w:iCs/>
    </w:rPr>
  </w:style>
  <w:style w:type="character" w:styleId="26">
    <w:name w:val="Hyperlink"/>
    <w:qFormat/>
    <w:uiPriority w:val="99"/>
    <w:rPr>
      <w:rFonts w:hint="eastAsia" w:ascii="宋体" w:hAnsi="宋体" w:eastAsia="宋体" w:cs="宋体"/>
      <w:b/>
      <w:color w:val="0031C1"/>
      <w:kern w:val="0"/>
      <w:sz w:val="18"/>
      <w:szCs w:val="18"/>
      <w:u w:val="none"/>
      <w:lang w:eastAsia="en-US"/>
    </w:rPr>
  </w:style>
  <w:style w:type="character" w:styleId="27">
    <w:name w:val="annotation reference"/>
    <w:basedOn w:val="24"/>
    <w:semiHidden/>
    <w:unhideWhenUsed/>
    <w:qFormat/>
    <w:uiPriority w:val="99"/>
    <w:rPr>
      <w:sz w:val="21"/>
      <w:szCs w:val="21"/>
    </w:rPr>
  </w:style>
  <w:style w:type="character" w:styleId="28">
    <w:name w:val="footnote reference"/>
    <w:basedOn w:val="24"/>
    <w:semiHidden/>
    <w:unhideWhenUsed/>
    <w:qFormat/>
    <w:uiPriority w:val="99"/>
    <w:rPr>
      <w:vertAlign w:val="superscript"/>
    </w:rPr>
  </w:style>
  <w:style w:type="paragraph" w:customStyle="1" w:styleId="29">
    <w:name w:val="表格文字"/>
    <w:basedOn w:val="1"/>
    <w:qFormat/>
    <w:uiPriority w:val="0"/>
    <w:pPr>
      <w:autoSpaceDE/>
      <w:autoSpaceDN/>
      <w:adjustRightInd/>
      <w:spacing w:before="25" w:after="25"/>
    </w:pPr>
    <w:rPr>
      <w:rFonts w:ascii="Times New Roman"/>
      <w:bCs/>
      <w:spacing w:val="10"/>
      <w:szCs w:val="20"/>
    </w:rPr>
  </w:style>
  <w:style w:type="character" w:customStyle="1" w:styleId="30">
    <w:name w:val="标题 2 Char"/>
    <w:basedOn w:val="24"/>
    <w:link w:val="3"/>
    <w:qFormat/>
    <w:uiPriority w:val="9"/>
    <w:rPr>
      <w:rFonts w:asciiTheme="majorHAnsi" w:hAnsiTheme="majorHAnsi" w:eastAsiaTheme="majorEastAsia" w:cstheme="majorBidi"/>
      <w:b/>
      <w:bCs/>
      <w:sz w:val="32"/>
      <w:szCs w:val="32"/>
    </w:rPr>
  </w:style>
  <w:style w:type="character" w:customStyle="1" w:styleId="31">
    <w:name w:val="标题 3 Char"/>
    <w:basedOn w:val="24"/>
    <w:link w:val="4"/>
    <w:qFormat/>
    <w:uiPriority w:val="9"/>
    <w:rPr>
      <w:rFonts w:ascii="Tahoma" w:hAnsi="Tahoma" w:eastAsia="宋体"/>
      <w:b/>
      <w:bCs/>
      <w:sz w:val="28"/>
      <w:szCs w:val="32"/>
    </w:rPr>
  </w:style>
  <w:style w:type="paragraph" w:styleId="32">
    <w:name w:val="List Paragraph"/>
    <w:basedOn w:val="1"/>
    <w:qFormat/>
    <w:uiPriority w:val="34"/>
    <w:pPr>
      <w:ind w:firstLine="420" w:firstLineChars="200"/>
    </w:pPr>
  </w:style>
  <w:style w:type="character" w:customStyle="1" w:styleId="33">
    <w:name w:val="标题 4 Char"/>
    <w:basedOn w:val="24"/>
    <w:link w:val="5"/>
    <w:qFormat/>
    <w:uiPriority w:val="9"/>
    <w:rPr>
      <w:rFonts w:eastAsia="宋体" w:asciiTheme="majorAscii" w:hAnsiTheme="majorAscii" w:cstheme="majorBidi"/>
      <w:b/>
      <w:bCs/>
      <w:sz w:val="24"/>
      <w:szCs w:val="28"/>
    </w:rPr>
  </w:style>
  <w:style w:type="character" w:customStyle="1" w:styleId="34">
    <w:name w:val="正文缩进2格 Char"/>
    <w:link w:val="35"/>
    <w:qFormat/>
    <w:uiPriority w:val="0"/>
    <w:rPr>
      <w:rFonts w:ascii="仿宋_GB2312" w:hAnsi="宋体" w:eastAsia="仿宋_GB2312"/>
      <w:kern w:val="2"/>
      <w:sz w:val="31"/>
    </w:rPr>
  </w:style>
  <w:style w:type="paragraph" w:customStyle="1" w:styleId="35">
    <w:name w:val="正文缩进2格"/>
    <w:basedOn w:val="1"/>
    <w:link w:val="34"/>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6">
    <w:name w:val="正文缩进4格"/>
    <w:basedOn w:val="35"/>
    <w:qFormat/>
    <w:uiPriority w:val="0"/>
    <w:pPr>
      <w:ind w:left="2" w:firstLine="538" w:firstLineChars="192"/>
    </w:pPr>
    <w:rPr>
      <w:color w:val="0000FF"/>
      <w:sz w:val="28"/>
    </w:rPr>
  </w:style>
  <w:style w:type="character" w:customStyle="1" w:styleId="37">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8">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39">
    <w:name w:val="标题1"/>
    <w:qFormat/>
    <w:uiPriority w:val="0"/>
    <w:rPr>
      <w:rFonts w:ascii="Times New Roman" w:hAnsi="Times New Roman" w:eastAsia="宋体" w:cs="Times New Roman"/>
      <w:b/>
      <w:kern w:val="0"/>
      <w:sz w:val="24"/>
      <w:szCs w:val="20"/>
      <w:lang w:eastAsia="en-US"/>
    </w:rPr>
  </w:style>
  <w:style w:type="character" w:customStyle="1" w:styleId="40">
    <w:name w:val="标题 3.1 Char"/>
    <w:link w:val="41"/>
    <w:qFormat/>
    <w:uiPriority w:val="0"/>
    <w:rPr>
      <w:rFonts w:ascii="宋体" w:hAnsi="宋体" w:eastAsia="宋体"/>
      <w:b/>
      <w:color w:val="FF0000"/>
      <w:kern w:val="2"/>
      <w:sz w:val="32"/>
    </w:rPr>
  </w:style>
  <w:style w:type="paragraph" w:customStyle="1" w:styleId="41">
    <w:name w:val="标题 3.1"/>
    <w:basedOn w:val="4"/>
    <w:link w:val="40"/>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2">
    <w:name w:val="样式 楷体_GB2312 小四"/>
    <w:qFormat/>
    <w:uiPriority w:val="0"/>
    <w:rPr>
      <w:rFonts w:ascii="楷体_GB2312" w:hAnsi="楷体_GB2312" w:eastAsia="仿宋_GB2312"/>
      <w:sz w:val="24"/>
    </w:rPr>
  </w:style>
  <w:style w:type="character" w:customStyle="1" w:styleId="43">
    <w:name w:val="纯文本 Char"/>
    <w:qFormat/>
    <w:uiPriority w:val="0"/>
    <w:rPr>
      <w:rFonts w:ascii="宋体" w:hAnsi="Courier New" w:eastAsia="宋体" w:cs="Times New Roman"/>
      <w:b/>
      <w:kern w:val="2"/>
      <w:sz w:val="21"/>
      <w:szCs w:val="20"/>
    </w:rPr>
  </w:style>
  <w:style w:type="character" w:customStyle="1" w:styleId="44">
    <w:name w:val="纯文本 Char1"/>
    <w:basedOn w:val="24"/>
    <w:link w:val="10"/>
    <w:semiHidden/>
    <w:qFormat/>
    <w:uiPriority w:val="99"/>
    <w:rPr>
      <w:rFonts w:ascii="宋体" w:hAnsi="Courier New" w:eastAsia="宋体" w:cs="Courier New"/>
      <w:sz w:val="21"/>
      <w:szCs w:val="21"/>
    </w:rPr>
  </w:style>
  <w:style w:type="character" w:customStyle="1" w:styleId="45">
    <w:name w:val="页眉 Char"/>
    <w:basedOn w:val="24"/>
    <w:link w:val="14"/>
    <w:qFormat/>
    <w:uiPriority w:val="99"/>
    <w:rPr>
      <w:rFonts w:ascii="Tahoma" w:hAnsi="Tahoma"/>
      <w:sz w:val="18"/>
      <w:szCs w:val="18"/>
    </w:rPr>
  </w:style>
  <w:style w:type="character" w:customStyle="1" w:styleId="46">
    <w:name w:val="页脚 Char"/>
    <w:basedOn w:val="24"/>
    <w:link w:val="13"/>
    <w:qFormat/>
    <w:uiPriority w:val="99"/>
    <w:rPr>
      <w:rFonts w:ascii="Tahoma" w:hAnsi="Tahoma"/>
      <w:sz w:val="18"/>
      <w:szCs w:val="18"/>
    </w:rPr>
  </w:style>
  <w:style w:type="character" w:customStyle="1" w:styleId="47">
    <w:name w:val="批注框文本 Char"/>
    <w:basedOn w:val="24"/>
    <w:link w:val="12"/>
    <w:semiHidden/>
    <w:qFormat/>
    <w:uiPriority w:val="99"/>
    <w:rPr>
      <w:rFonts w:ascii="Tahoma" w:hAnsi="Tahoma"/>
      <w:sz w:val="18"/>
      <w:szCs w:val="18"/>
    </w:rPr>
  </w:style>
  <w:style w:type="paragraph" w:customStyle="1" w:styleId="48">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49">
    <w:name w:val="普通(网站) Char"/>
    <w:link w:val="21"/>
    <w:qFormat/>
    <w:uiPriority w:val="0"/>
    <w:rPr>
      <w:rFonts w:eastAsia="宋体"/>
      <w:kern w:val="2"/>
      <w:sz w:val="24"/>
      <w:szCs w:val="24"/>
    </w:rPr>
  </w:style>
  <w:style w:type="paragraph" w:customStyle="1" w:styleId="50">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1">
    <w:name w:val="p141"/>
    <w:qFormat/>
    <w:uiPriority w:val="0"/>
    <w:rPr>
      <w:sz w:val="21"/>
      <w:szCs w:val="21"/>
    </w:rPr>
  </w:style>
  <w:style w:type="paragraph" w:customStyle="1" w:styleId="52">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3">
    <w:name w:val="正文无缩进"/>
    <w:basedOn w:val="35"/>
    <w:qFormat/>
    <w:uiPriority w:val="0"/>
    <w:pPr>
      <w:ind w:firstLine="0" w:firstLineChars="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79</Pages>
  <Words>33179</Words>
  <Characters>34651</Characters>
  <Lines>264</Lines>
  <Paragraphs>74</Paragraphs>
  <TotalTime>4</TotalTime>
  <ScaleCrop>false</ScaleCrop>
  <LinksUpToDate>false</LinksUpToDate>
  <CharactersWithSpaces>37138</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admin</cp:lastModifiedBy>
  <cp:lastPrinted>2021-04-23T09:50:00Z</cp:lastPrinted>
  <dcterms:modified xsi:type="dcterms:W3CDTF">2022-07-25T04:19:23Z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DEAB68F8B36B40FD9478E3D7C6D629D6</vt:lpwstr>
  </property>
</Properties>
</file>