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GDZT2022131A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东莞高级中学</w:t>
            </w:r>
            <w:r>
              <w:rPr>
                <w:rFonts w:hint="eastAsia" w:ascii="黑体" w:hAnsi="黑体" w:eastAsia="黑体" w:cs="黑体"/>
                <w:bCs/>
                <w:color w:val="auto"/>
                <w:sz w:val="32"/>
                <w:szCs w:val="24"/>
                <w:highlight w:val="none"/>
              </w:rPr>
              <w:t>多媒体课室智慧互动平台采购项目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bCs/>
          <w:color w:val="auto"/>
          <w:sz w:val="21"/>
          <w:szCs w:val="21"/>
          <w:highlight w:val="none"/>
          <w:u w:val="single"/>
          <w:lang w:val="en-US" w:eastAsia="zh-CN"/>
        </w:rPr>
        <w:t>东莞高级中学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东莞高级中学</w:t>
      </w:r>
      <w:r>
        <w:rPr>
          <w:rFonts w:hint="eastAsia" w:ascii="宋体" w:hAnsi="宋体" w:eastAsia="宋体"/>
          <w:b/>
          <w:bCs/>
          <w:color w:val="auto"/>
          <w:sz w:val="21"/>
          <w:szCs w:val="21"/>
          <w:highlight w:val="none"/>
          <w:u w:val="single"/>
        </w:rPr>
        <w:t>多媒体课室智慧互动平台采购项目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编号：GDZT2022131A；</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东莞高级中学</w:t>
      </w:r>
      <w:r>
        <w:rPr>
          <w:rFonts w:hint="eastAsia" w:ascii="宋体" w:hAnsi="宋体" w:eastAsia="宋体"/>
          <w:color w:val="auto"/>
          <w:sz w:val="21"/>
          <w:szCs w:val="21"/>
          <w:highlight w:val="none"/>
          <w:lang w:val="en-US" w:eastAsia="zh-CN"/>
        </w:rPr>
        <w:t>多媒体课室智慧互动平台采购项目；</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4662"/>
        <w:gridCol w:w="659"/>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318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4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0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318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b/>
                <w:bCs/>
                <w:color w:val="auto"/>
                <w:sz w:val="21"/>
                <w:szCs w:val="21"/>
                <w:highlight w:val="none"/>
                <w:lang w:val="en-US" w:eastAsia="zh-CN"/>
              </w:rPr>
              <w:t>东莞高级中学多媒体课室智慧互动平台采购项目</w:t>
            </w:r>
          </w:p>
        </w:tc>
        <w:tc>
          <w:tcPr>
            <w:tcW w:w="4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0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678,140.68</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val="en-US" w:eastAsia="zh-CN"/>
        </w:rPr>
      </w:pPr>
      <w:r>
        <w:rPr>
          <w:rFonts w:hint="eastAsia"/>
          <w:color w:val="auto"/>
          <w:highlight w:val="none"/>
          <w:lang w:val="en-US" w:eastAsia="zh-CN"/>
        </w:rPr>
        <w:t>无</w:t>
      </w:r>
    </w:p>
    <w:p>
      <w:pPr>
        <w:bidi w:val="0"/>
        <w:rPr>
          <w:rFonts w:hint="eastAsia"/>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22</w:t>
      </w:r>
      <w:r>
        <w:rPr>
          <w:rFonts w:hint="eastAsia" w:ascii="宋体" w:hAnsi="宋体" w:eastAsia="宋体"/>
          <w:bCs/>
          <w:color w:val="auto"/>
          <w:sz w:val="21"/>
          <w:szCs w:val="21"/>
          <w:highlight w:val="none"/>
        </w:rPr>
        <w:t>日上午9：00～9：30。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22</w:t>
      </w:r>
      <w:bookmarkStart w:id="385" w:name="_GoBack"/>
      <w:bookmarkEnd w:id="385"/>
      <w:r>
        <w:rPr>
          <w:rFonts w:hint="eastAsia" w:ascii="宋体" w:hAnsi="宋体" w:eastAsia="宋体"/>
          <w:bCs/>
          <w:color w:val="auto"/>
          <w:sz w:val="21"/>
          <w:szCs w:val="21"/>
          <w:highlight w:val="none"/>
        </w:rPr>
        <w:t>日上午9时30分。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采购人联系人：邝老师</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地址：广东省东莞市南城区伟业路180号</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22654449</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
        <w:spacing w:before="0" w:after="0" w:line="240" w:lineRule="auto"/>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投标人具有教学（或智能化）设备</w:t>
            </w:r>
            <w:r>
              <w:rPr>
                <w:rFonts w:hint="eastAsia" w:ascii="宋体" w:hAnsi="宋体" w:eastAsia="宋体" w:cs="宋体"/>
                <w:bCs/>
                <w:color w:val="auto"/>
                <w:sz w:val="21"/>
                <w:szCs w:val="21"/>
                <w:highlight w:val="none"/>
                <w:lang w:val="en-US" w:eastAsia="zh-CN"/>
              </w:rPr>
              <w:t>类</w:t>
            </w:r>
            <w:r>
              <w:rPr>
                <w:rFonts w:hint="eastAsia" w:ascii="宋体" w:hAnsi="宋体" w:eastAsia="宋体" w:cs="宋体"/>
                <w:bCs/>
                <w:color w:val="auto"/>
                <w:sz w:val="21"/>
                <w:szCs w:val="21"/>
                <w:highlight w:val="none"/>
                <w:lang w:val="zh-CN" w:eastAsia="zh-CN"/>
              </w:rPr>
              <w:t xml:space="preserve">业绩的，每提供一个合同业绩得4分，本项最高得12分。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注：须提供合同复印件并加盖投标人公章，</w:t>
            </w:r>
            <w:r>
              <w:rPr>
                <w:rFonts w:hint="eastAsia" w:ascii="宋体" w:hAnsi="宋体" w:eastAsia="宋体" w:cs="宋体"/>
                <w:bCs/>
                <w:color w:val="auto"/>
                <w:sz w:val="21"/>
                <w:szCs w:val="21"/>
                <w:highlight w:val="none"/>
                <w:lang w:val="en-US" w:eastAsia="zh-CN"/>
              </w:rPr>
              <w:t>否则不得分</w:t>
            </w:r>
            <w:r>
              <w:rPr>
                <w:rFonts w:hint="eastAsia" w:ascii="宋体" w:hAnsi="宋体" w:eastAsia="宋体" w:cs="宋体"/>
                <w:bCs/>
                <w:color w:val="auto"/>
                <w:sz w:val="21"/>
                <w:szCs w:val="21"/>
                <w:highlight w:val="none"/>
                <w:lang w:val="zh-CN" w:eastAsia="zh-CN"/>
              </w:rPr>
              <w:t xml:space="preserve">。 </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eastAsia="zh-CN"/>
              </w:rPr>
            </w:pPr>
            <w:r>
              <w:rPr>
                <w:rFonts w:hint="eastAsia" w:ascii="宋体" w:hAnsi="宋体" w:eastAsia="宋体" w:cs="宋体"/>
                <w:bCs/>
                <w:color w:val="auto"/>
                <w:kern w:val="2"/>
                <w:sz w:val="21"/>
                <w:szCs w:val="21"/>
                <w:highlight w:val="none"/>
                <w:lang w:val="zh-CN"/>
              </w:rPr>
              <w:t>根据投标人提供的服务响应时间承诺进行</w:t>
            </w:r>
            <w:r>
              <w:rPr>
                <w:rFonts w:hint="eastAsia" w:ascii="宋体" w:hAnsi="宋体" w:eastAsia="宋体" w:cs="宋体"/>
                <w:bCs/>
                <w:color w:val="auto"/>
                <w:kern w:val="2"/>
                <w:sz w:val="21"/>
                <w:szCs w:val="21"/>
                <w:highlight w:val="none"/>
                <w:lang w:val="en-US"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zh-CN" w:eastAsia="zh-CN"/>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（4）投标人未承诺或承诺在接到采购人通知后超过</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小时到现场，不得分。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kern w:val="2"/>
                <w:sz w:val="21"/>
                <w:szCs w:val="21"/>
                <w:highlight w:val="none"/>
                <w:lang w:val="zh-CN"/>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lef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技术参数响应情况</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对所投产品的技术参数响应情况（对应用户需求书主要货物技术指标要求标注“▲”的参数为重要参数，如果负偏离或不响应，则每项扣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分，扣完</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分为止）。</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①对用户需求中的带“▲”技术指标条款，用户需求书要求提供证明资料的，则投标文件中须提供对应产品参数的证明资料并加盖投标人公章；</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（投标人必须按所投产品实际参数进行响应，否则视为提供虚假材料谋取中标资格。）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项目实施方案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根据投标人提供的项目实施方案（包括但不限于供货方案、安装方案、人员配备方案等）进行综合评审：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方案完整合理，可行性强，有利于项目实施的，得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方案较为完整，合理性、可行性较强，对项目实施有一定促进作用的，得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方案基本完整，合理性、可行性一般，对项目实施有一定促进作用的，得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lang w:val="zh-CN" w:eastAsia="zh-CN"/>
              </w:rPr>
              <w:t>完整，合理性、可行性</w:t>
            </w:r>
            <w:r>
              <w:rPr>
                <w:rFonts w:hint="eastAsia" w:ascii="宋体" w:hAnsi="宋体" w:eastAsia="宋体" w:cs="宋体"/>
                <w:color w:val="auto"/>
                <w:sz w:val="21"/>
                <w:szCs w:val="21"/>
                <w:highlight w:val="none"/>
                <w:lang w:val="en-US" w:eastAsia="zh-CN"/>
              </w:rPr>
              <w:t>差</w:t>
            </w:r>
            <w:r>
              <w:rPr>
                <w:rFonts w:hint="eastAsia" w:ascii="宋体" w:hAnsi="宋体" w:eastAsia="宋体" w:cs="宋体"/>
                <w:color w:val="auto"/>
                <w:sz w:val="21"/>
                <w:szCs w:val="21"/>
                <w:highlight w:val="none"/>
                <w:lang w:val="zh-CN" w:eastAsia="zh-CN"/>
              </w:rPr>
              <w:t>，对项目实施</w:t>
            </w: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 xml:space="preserve">促进作用的，得1分；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产品使用培训方案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根据投标人提供的产品使用培训方案进行综合评审： </w:t>
            </w:r>
          </w:p>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方案科学合理完整，可操作性强，针对性强，得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eastAsia="zh-CN"/>
              </w:rPr>
              <w:t>分；</w:t>
            </w:r>
          </w:p>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方案科学</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合理完整，可操作性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方案基本完整，可操作性一般，针对性一般，得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 xml:space="preserve">分； 方案不完整，可操作性差，针对性差，得1分； </w:t>
            </w:r>
          </w:p>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 xml:space="preserve">未提供对应方案不得分。 </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整体进度计划及工期保证措施</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根据投标人提供的整体进度计划及工期保证措施进行综合评审：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进度计划及工期保证措施科学完整合理，可行性强，可操作性强，针对性强，得8分；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进度计划及工期保证措施</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完整合理，可行性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强，可操作性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进度计划及工期保证措施基本完整，可行性一般，可操作性一般，得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 xml:space="preserve">进度计划及工期保证措施不完整，可行性差，可操作性差，得1分；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根据投标人提供的售后服务进行综合评审：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方案完整合理，可行性强，有利于项目实施的，得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方案较为完整，合理性、可行性较强，对项目实施有一定促进作用的，得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方案基本完整，合理性、可行性一般，有一定促进作用的，得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lang w:val="zh-CN" w:eastAsia="zh-CN"/>
              </w:rPr>
              <w:t>完整，合理性、可行性</w:t>
            </w:r>
            <w:r>
              <w:rPr>
                <w:rFonts w:hint="eastAsia" w:ascii="宋体" w:hAnsi="宋体" w:eastAsia="宋体" w:cs="宋体"/>
                <w:color w:val="auto"/>
                <w:sz w:val="21"/>
                <w:szCs w:val="21"/>
                <w:highlight w:val="none"/>
                <w:lang w:val="en-US" w:eastAsia="zh-CN"/>
              </w:rPr>
              <w:t>差</w:t>
            </w:r>
            <w:r>
              <w:rPr>
                <w:rFonts w:hint="eastAsia" w:ascii="宋体" w:hAnsi="宋体" w:eastAsia="宋体" w:cs="宋体"/>
                <w:color w:val="auto"/>
                <w:sz w:val="21"/>
                <w:szCs w:val="21"/>
                <w:highlight w:val="none"/>
                <w:lang w:val="zh-CN" w:eastAsia="zh-CN"/>
              </w:rPr>
              <w:t>，对项目实施没有促进作用的，得1分；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highlight w:val="none"/>
        </w:rPr>
      </w:pPr>
      <w:r>
        <w:rPr>
          <w:rFonts w:hint="eastAsia"/>
          <w:color w:val="auto"/>
          <w:highlight w:val="none"/>
        </w:rPr>
        <w:br w:type="page"/>
      </w:r>
    </w:p>
    <w:p>
      <w:pPr>
        <w:pStyle w:val="2"/>
        <w:spacing w:before="0" w:after="0" w:line="240" w:lineRule="auto"/>
        <w:rPr>
          <w:color w:val="auto"/>
          <w:sz w:val="24"/>
          <w:szCs w:val="24"/>
          <w:highlight w:val="none"/>
        </w:rPr>
      </w:pPr>
      <w:bookmarkStart w:id="17" w:name="_Toc2479"/>
      <w:bookmarkStart w:id="18" w:name="_Toc30638"/>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3095"/>
      <w:bookmarkStart w:id="22" w:name="_Toc19746"/>
      <w:bookmarkStart w:id="23" w:name="_Toc1110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18488"/>
      <w:bookmarkStart w:id="25" w:name="_Toc22803"/>
      <w:bookmarkStart w:id="26" w:name="_Toc22847"/>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13400"/>
      <w:bookmarkStart w:id="28" w:name="_Toc16848"/>
      <w:bookmarkStart w:id="29" w:name="_Toc21002"/>
      <w:r>
        <w:rPr>
          <w:rFonts w:hint="eastAsia" w:ascii="宋体" w:hAnsi="宋体" w:eastAsia="宋体"/>
          <w:color w:val="auto"/>
          <w:sz w:val="21"/>
          <w:szCs w:val="21"/>
          <w:highlight w:val="none"/>
        </w:rPr>
        <w:t>2.</w:t>
      </w:r>
      <w:bookmarkStart w:id="30" w:name="_Toc382049092"/>
      <w:bookmarkStart w:id="31" w:name="_Toc1530"/>
      <w:bookmarkStart w:id="32" w:name="_Toc303084246"/>
      <w:bookmarkStart w:id="33" w:name="_Toc298847174"/>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2996"/>
      <w:bookmarkStart w:id="35" w:name="_Toc9710"/>
      <w:bookmarkStart w:id="36" w:name="_Toc3780"/>
      <w:r>
        <w:rPr>
          <w:rFonts w:hint="eastAsia" w:ascii="宋体" w:hAnsi="宋体" w:eastAsia="宋体"/>
          <w:color w:val="auto"/>
          <w:sz w:val="21"/>
          <w:szCs w:val="21"/>
          <w:highlight w:val="none"/>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3909"/>
      <w:bookmarkStart w:id="38" w:name="_Toc15945"/>
      <w:bookmarkStart w:id="39" w:name="_Toc12536"/>
      <w:r>
        <w:rPr>
          <w:rFonts w:hint="eastAsia" w:ascii="宋体" w:hAnsi="宋体" w:eastAsia="宋体"/>
          <w:color w:val="auto"/>
          <w:sz w:val="21"/>
          <w:szCs w:val="21"/>
          <w:highlight w:val="none"/>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19532"/>
      <w:bookmarkStart w:id="42" w:name="_Toc25040"/>
      <w:r>
        <w:rPr>
          <w:rFonts w:hint="eastAsia" w:ascii="宋体" w:hAnsi="宋体" w:eastAsia="宋体"/>
          <w:color w:val="auto"/>
          <w:sz w:val="21"/>
          <w:szCs w:val="21"/>
          <w:highlight w:val="none"/>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31885"/>
      <w:bookmarkStart w:id="44" w:name="_Toc21930"/>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6571"/>
      <w:bookmarkStart w:id="48" w:name="_Toc1381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7997"/>
      <w:bookmarkStart w:id="58" w:name="_Toc14217"/>
      <w:r>
        <w:rPr>
          <w:rFonts w:hint="eastAsia" w:ascii="宋体" w:hAnsi="宋体" w:eastAsia="宋体"/>
          <w:color w:val="auto"/>
          <w:sz w:val="21"/>
          <w:szCs w:val="21"/>
          <w:highlight w:val="none"/>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4773"/>
      <w:bookmarkStart w:id="60" w:name="_Toc23726"/>
      <w:bookmarkStart w:id="61" w:name="_Toc16712"/>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7434"/>
      <w:bookmarkStart w:id="64" w:name="_Toc28092"/>
      <w:r>
        <w:rPr>
          <w:rFonts w:hint="eastAsia" w:ascii="宋体" w:hAnsi="宋体" w:eastAsia="宋体"/>
          <w:color w:val="auto"/>
          <w:sz w:val="21"/>
          <w:szCs w:val="21"/>
          <w:highlight w:val="none"/>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7934854"/>
      <w:bookmarkStart w:id="66" w:name="_Toc7728"/>
      <w:bookmarkStart w:id="67" w:name="_Toc303084256"/>
      <w:bookmarkStart w:id="68" w:name="_Toc382049103"/>
      <w:bookmarkStart w:id="69" w:name="_Toc18999"/>
      <w:bookmarkStart w:id="70" w:name="_Toc28866"/>
      <w:bookmarkStart w:id="71" w:name="_Toc12145"/>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0189"/>
      <w:bookmarkStart w:id="73" w:name="_Toc21747"/>
      <w:bookmarkStart w:id="74" w:name="_Toc3882"/>
      <w:r>
        <w:rPr>
          <w:rFonts w:hint="eastAsia" w:ascii="宋体" w:hAnsi="宋体" w:eastAsia="宋体"/>
          <w:color w:val="auto"/>
          <w:sz w:val="21"/>
          <w:szCs w:val="21"/>
          <w:highlight w:val="none"/>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7847"/>
      <w:bookmarkStart w:id="77" w:name="_Toc259"/>
      <w:bookmarkStart w:id="78" w:name="_Toc17188"/>
      <w:r>
        <w:rPr>
          <w:rFonts w:hint="eastAsia" w:ascii="宋体" w:hAnsi="宋体" w:eastAsia="宋体"/>
          <w:color w:val="auto"/>
          <w:sz w:val="21"/>
          <w:szCs w:val="21"/>
          <w:highlight w:val="none"/>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8911"/>
      <w:bookmarkStart w:id="80" w:name="_Toc27724"/>
      <w:bookmarkStart w:id="81" w:name="_Toc16535"/>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30815"/>
      <w:bookmarkStart w:id="85" w:name="_Toc19520"/>
      <w:bookmarkStart w:id="86" w:name="_Toc22169"/>
      <w:r>
        <w:rPr>
          <w:rFonts w:hint="eastAsia" w:ascii="宋体" w:hAnsi="宋体" w:eastAsia="宋体"/>
          <w:color w:val="auto"/>
          <w:sz w:val="21"/>
          <w:szCs w:val="21"/>
          <w:highlight w:val="none"/>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highlight w:val="none"/>
          <w:lang w:eastAsia="zh-CN"/>
        </w:rPr>
      </w:pPr>
      <w:bookmarkStart w:id="87" w:name="_Toc30257"/>
      <w:bookmarkStart w:id="88" w:name="_Toc12456"/>
      <w:bookmarkStart w:id="89" w:name="_Toc25817"/>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r>
        <w:rPr>
          <w:rFonts w:hint="eastAsia" w:ascii="宋体" w:hAnsi="宋体" w:eastAsia="宋体"/>
          <w:color w:val="auto"/>
          <w:sz w:val="21"/>
          <w:szCs w:val="21"/>
          <w:highlight w:val="none"/>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3200"/>
      <w:bookmarkStart w:id="92" w:name="_Toc31124"/>
      <w:bookmarkStart w:id="93" w:name="_Toc24109"/>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82049111"/>
      <w:bookmarkStart w:id="95" w:name="_Toc303084264"/>
      <w:bookmarkStart w:id="96" w:name="_Toc29590"/>
      <w:bookmarkStart w:id="97" w:name="_Toc24997"/>
      <w:bookmarkStart w:id="98" w:name="_Toc23678"/>
      <w:bookmarkStart w:id="99" w:name="_Toc473"/>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7473"/>
      <w:bookmarkStart w:id="101" w:name="_Toc8628"/>
      <w:bookmarkStart w:id="102" w:name="_Toc17417"/>
      <w:r>
        <w:rPr>
          <w:rFonts w:hint="eastAsia" w:ascii="宋体" w:hAnsi="宋体" w:eastAsia="宋体"/>
          <w:color w:val="auto"/>
          <w:sz w:val="21"/>
          <w:szCs w:val="21"/>
          <w:highlight w:val="none"/>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8526"/>
      <w:bookmarkStart w:id="104" w:name="_Toc19649"/>
      <w:bookmarkStart w:id="105" w:name="_Toc13212"/>
      <w:r>
        <w:rPr>
          <w:rFonts w:hint="eastAsia" w:ascii="宋体" w:hAnsi="宋体" w:eastAsia="宋体"/>
          <w:color w:val="auto"/>
          <w:sz w:val="21"/>
          <w:szCs w:val="21"/>
          <w:highlight w:val="none"/>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7689"/>
      <w:bookmarkStart w:id="107" w:name="_Toc9777"/>
      <w:bookmarkStart w:id="108" w:name="_Toc5900"/>
      <w:bookmarkStart w:id="109" w:name="_Toc303084265"/>
      <w:bookmarkStart w:id="110" w:name="_Toc23477"/>
      <w:bookmarkStart w:id="111" w:name="_Toc382049112"/>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1133"/>
      <w:bookmarkStart w:id="113" w:name="_Toc15569"/>
      <w:bookmarkStart w:id="114" w:name="_Toc6003"/>
      <w:r>
        <w:rPr>
          <w:rFonts w:hint="eastAsia" w:ascii="宋体" w:hAnsi="宋体" w:eastAsia="宋体"/>
          <w:color w:val="auto"/>
          <w:sz w:val="21"/>
          <w:szCs w:val="21"/>
          <w:highlight w:val="none"/>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29574"/>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8458"/>
      <w:bookmarkStart w:id="119" w:name="_Toc24251"/>
      <w:bookmarkStart w:id="120" w:name="_Toc27700"/>
      <w:r>
        <w:rPr>
          <w:rFonts w:hint="eastAsia" w:ascii="宋体" w:hAnsi="宋体" w:eastAsia="宋体"/>
          <w:color w:val="auto"/>
          <w:sz w:val="21"/>
          <w:szCs w:val="21"/>
          <w:highlight w:val="none"/>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5524"/>
      <w:bookmarkStart w:id="123" w:name="_Toc4921"/>
      <w:r>
        <w:rPr>
          <w:rFonts w:hint="eastAsia" w:ascii="宋体" w:hAnsi="宋体" w:eastAsia="宋体"/>
          <w:color w:val="auto"/>
          <w:sz w:val="21"/>
          <w:szCs w:val="21"/>
          <w:highlight w:val="none"/>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26402"/>
      <w:bookmarkStart w:id="126" w:name="_Toc15231"/>
      <w:r>
        <w:rPr>
          <w:rFonts w:hint="eastAsia" w:ascii="宋体" w:hAnsi="宋体" w:eastAsia="宋体"/>
          <w:color w:val="auto"/>
          <w:sz w:val="21"/>
          <w:szCs w:val="21"/>
          <w:highlight w:val="none"/>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6745"/>
      <w:bookmarkStart w:id="129" w:name="_Toc18436"/>
      <w:r>
        <w:rPr>
          <w:rFonts w:hint="eastAsia" w:ascii="宋体" w:hAnsi="宋体" w:eastAsia="宋体"/>
          <w:color w:val="auto"/>
          <w:sz w:val="21"/>
          <w:szCs w:val="21"/>
          <w:highlight w:val="none"/>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7673"/>
      <w:bookmarkStart w:id="131" w:name="_Toc21742"/>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17683"/>
      <w:bookmarkStart w:id="134" w:name="_Toc7593"/>
      <w:bookmarkStart w:id="135" w:name="_Toc22192"/>
      <w:r>
        <w:rPr>
          <w:rFonts w:hint="eastAsia" w:ascii="宋体" w:hAnsi="宋体" w:eastAsia="宋体"/>
          <w:color w:val="auto"/>
          <w:sz w:val="21"/>
          <w:szCs w:val="21"/>
          <w:highlight w:val="none"/>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22591"/>
      <w:bookmarkStart w:id="138" w:name="_Toc12115"/>
      <w:bookmarkStart w:id="139" w:name="_Toc382049120"/>
      <w:bookmarkStart w:id="140" w:name="_Toc20328"/>
      <w:bookmarkStart w:id="141" w:name="_Toc31141"/>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42" w:name="_Toc5528"/>
      <w:bookmarkStart w:id="143" w:name="_Toc12251"/>
      <w:bookmarkStart w:id="144"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508284011"/>
      <w:bookmarkStart w:id="146" w:name="_Toc27817"/>
      <w:bookmarkStart w:id="147" w:name="_Toc17778"/>
      <w:bookmarkStart w:id="148" w:name="_Toc6696"/>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508284013"/>
      <w:bookmarkStart w:id="150" w:name="_Toc12440"/>
      <w:bookmarkStart w:id="151" w:name="_Toc29283"/>
      <w:bookmarkStart w:id="152" w:name="_Toc23136"/>
      <w:r>
        <w:rPr>
          <w:rFonts w:hint="eastAsia" w:ascii="宋体" w:hAnsi="宋体" w:eastAsia="宋体"/>
          <w:color w:val="auto"/>
          <w:sz w:val="21"/>
          <w:szCs w:val="21"/>
          <w:highlight w:val="none"/>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7279"/>
      <w:bookmarkStart w:id="154" w:name="_Toc22262"/>
      <w:bookmarkStart w:id="155" w:name="_Toc22451"/>
      <w:r>
        <w:rPr>
          <w:rFonts w:hint="eastAsia" w:ascii="宋体" w:hAnsi="宋体" w:eastAsia="宋体"/>
          <w:color w:val="auto"/>
          <w:sz w:val="21"/>
          <w:szCs w:val="21"/>
          <w:highlight w:val="none"/>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25756"/>
      <w:bookmarkStart w:id="157" w:name="_Toc7405"/>
      <w:bookmarkStart w:id="158" w:name="_Toc29009"/>
      <w:bookmarkStart w:id="159" w:name="_Toc2744"/>
      <w:bookmarkStart w:id="160" w:name="_Toc382049124"/>
      <w:bookmarkStart w:id="161" w:name="_Toc303084277"/>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2" w:name="_Toc20699"/>
      <w:bookmarkStart w:id="163" w:name="_Toc7360"/>
      <w:bookmarkStart w:id="164" w:name="_Toc13694"/>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5498"/>
      <w:bookmarkStart w:id="166" w:name="_Toc17974"/>
      <w:bookmarkStart w:id="167" w:name="_Toc22900"/>
      <w:r>
        <w:rPr>
          <w:rFonts w:hint="eastAsia" w:ascii="宋体" w:hAnsi="宋体" w:eastAsia="宋体"/>
          <w:color w:val="auto"/>
          <w:sz w:val="21"/>
          <w:szCs w:val="21"/>
          <w:highlight w:val="none"/>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2767"/>
      <w:bookmarkStart w:id="169" w:name="_Toc8234"/>
      <w:bookmarkStart w:id="170" w:name="_Toc11264"/>
      <w:r>
        <w:rPr>
          <w:rFonts w:hint="eastAsia" w:ascii="宋体" w:hAnsi="宋体" w:eastAsia="宋体"/>
          <w:color w:val="auto"/>
          <w:sz w:val="21"/>
          <w:szCs w:val="21"/>
          <w:highlight w:val="none"/>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71" w:name="_Toc24383"/>
      <w:bookmarkStart w:id="172" w:name="_Toc5690"/>
      <w:bookmarkStart w:id="173"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21187"/>
      <w:bookmarkStart w:id="175" w:name="_Toc6548"/>
      <w:bookmarkStart w:id="176" w:name="_Toc10082"/>
      <w:r>
        <w:rPr>
          <w:rFonts w:hint="eastAsia" w:ascii="宋体" w:hAnsi="宋体" w:eastAsia="宋体"/>
          <w:color w:val="auto"/>
          <w:sz w:val="21"/>
          <w:szCs w:val="21"/>
          <w:highlight w:val="none"/>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rFonts w:hint="eastAsia"/>
          <w:color w:val="auto"/>
          <w:sz w:val="28"/>
          <w:szCs w:val="28"/>
          <w:highlight w:val="none"/>
        </w:rPr>
      </w:pPr>
      <w:bookmarkStart w:id="177" w:name="_Toc31854"/>
      <w:bookmarkStart w:id="178" w:name="_Toc7011"/>
      <w:bookmarkStart w:id="179"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r>
        <w:rPr>
          <w:rFonts w:hint="eastAsia" w:ascii="宋体" w:hAnsi="宋体"/>
          <w:color w:val="auto"/>
          <w:highlight w:val="none"/>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2"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合同生效后20天内完工（完工是指设备安装、调试、试运行、验收等）。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合同签订后，采购人支付中标单位50%预付款，设备采购与安装项目经双方验收并完成结算后支付至合同结算价的</w:t>
            </w:r>
            <w:r>
              <w:rPr>
                <w:rFonts w:hint="eastAsia" w:ascii="宋体" w:hAnsi="宋体" w:cs="宋体"/>
                <w:color w:val="auto"/>
                <w:sz w:val="21"/>
                <w:szCs w:val="21"/>
                <w:highlight w:val="none"/>
                <w:lang w:val="en-US" w:eastAsia="zh-CN"/>
              </w:rPr>
              <w:t>100</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货物产地及</w:t>
            </w:r>
            <w:r>
              <w:rPr>
                <w:rFonts w:hint="eastAsia" w:ascii="宋体" w:hAnsi="宋体" w:cs="宋体"/>
                <w:color w:val="auto"/>
                <w:sz w:val="21"/>
                <w:szCs w:val="21"/>
                <w:highlight w:val="none"/>
                <w:lang w:val="en-US" w:eastAsia="zh-CN"/>
              </w:rPr>
              <w:t>验收</w:t>
            </w:r>
            <w:r>
              <w:rPr>
                <w:rFonts w:hint="default" w:ascii="宋体" w:hAnsi="宋体" w:eastAsia="宋体" w:cs="宋体"/>
                <w:color w:val="auto"/>
                <w:sz w:val="21"/>
                <w:szCs w:val="21"/>
                <w:highlight w:val="none"/>
                <w:lang w:val="en-US" w:eastAsia="zh-CN"/>
              </w:rPr>
              <w:t>标准</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1．中标人保证其所提供的货物为全新的产品。</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2．本合同所指的货物及服务应符合中华人民共和国国家标准或行业标准。如果中华人民共和国没有相关标准的，则采用货物来源国适用的官方标准。这些标准必须是有关机构发布的最新版本的标准。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包装、保险及发运、保管要求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设备材料的包装必须是制造商原厂包装，其包装均应有良好的防湿、防锈、防潮、防雨、防腐及防碰撞的措施。凡由于包装不良造成的损失和由此产生的费用均由投标人承担。</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中标人负责将设备材料货到现场过程中的全部运输，包括装卸车、货物现场的搬运。</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各种设备必须提供装箱清单，按装箱清单验收货物。</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货物在现场的保管由中标人负责，直至项目安装、验收完毕。</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货物在系统安装调试验收合格前的保险由中标人负责，中标人负责其派出的现场服务人员人身意外保险。</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设备至采购人指定的使用现场的包装、保险及发运等环节和费用均由中标人负责。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质保期及售后服务要求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货物质保期</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验收合格证书之日起</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rPr>
              <w:t>年，质保期内中标人必须进行质量“三包”，对质保期内中标人对所供货物实行包修、包换、包退、包维护保养，期满后可同时提供终身有偿维修保养服务。</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质保期内，如设备或零部件因非人为因素出现故障而造成短期停用时，则质保期和免费维修期相应顺延。如停用时间累计超过60天则质保期重新计算。</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中标人必须提供7×24小时电话服务热线，保证在接到采购人电话后12小时内响应，在响应后24小时内到达现场，并在48小时内完成解决方案。若在72小时内仍未能有效解决，中标人须免费提供同档次的设备予采购人临时使用</w:t>
            </w:r>
            <w:r>
              <w:rPr>
                <w:rFonts w:hint="eastAsia" w:ascii="宋体" w:hAnsi="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其他要求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单位必须为</w:t>
            </w:r>
            <w:r>
              <w:rPr>
                <w:rFonts w:hint="eastAsia" w:ascii="宋体" w:hAnsi="宋体" w:eastAsia="宋体" w:cs="宋体"/>
                <w:color w:val="auto"/>
                <w:sz w:val="21"/>
                <w:szCs w:val="21"/>
                <w:highlight w:val="none"/>
                <w:lang w:val="en-US" w:eastAsia="zh-CN"/>
              </w:rPr>
              <w:t>广东政府采购智慧云平台电子卖场中的集中采购的</w:t>
            </w:r>
            <w:r>
              <w:rPr>
                <w:rFonts w:hint="eastAsia" w:ascii="宋体" w:hAnsi="宋体" w:cs="宋体"/>
                <w:color w:val="auto"/>
                <w:sz w:val="21"/>
                <w:szCs w:val="21"/>
                <w:highlight w:val="none"/>
                <w:lang w:val="en-US" w:eastAsia="zh-CN"/>
              </w:rPr>
              <w:t>集采商城</w:t>
            </w:r>
            <w:r>
              <w:rPr>
                <w:rFonts w:hint="eastAsia" w:ascii="宋体" w:hAnsi="宋体" w:eastAsia="宋体" w:cs="宋体"/>
                <w:color w:val="auto"/>
                <w:sz w:val="21"/>
                <w:szCs w:val="21"/>
                <w:highlight w:val="none"/>
                <w:lang w:val="en-US" w:eastAsia="zh-CN"/>
              </w:rPr>
              <w:t>目录内</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如未进入目录，则须</w:t>
            </w:r>
            <w:r>
              <w:rPr>
                <w:rFonts w:hint="eastAsia" w:ascii="宋体" w:hAnsi="宋体" w:eastAsia="宋体" w:cs="宋体"/>
                <w:color w:val="auto"/>
                <w:sz w:val="21"/>
                <w:szCs w:val="21"/>
                <w:highlight w:val="none"/>
              </w:rPr>
              <w:t>作出单独承诺，</w:t>
            </w:r>
            <w:r>
              <w:rPr>
                <w:rFonts w:hint="eastAsia" w:ascii="宋体" w:hAnsi="宋体" w:eastAsia="宋体" w:cs="宋体"/>
                <w:color w:val="auto"/>
                <w:sz w:val="21"/>
                <w:szCs w:val="21"/>
                <w:highlight w:val="none"/>
                <w:lang w:val="en-US" w:eastAsia="zh-CN"/>
              </w:rPr>
              <w:t>中标后五个工作日内办理相关手续</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否则</w:t>
            </w:r>
            <w:r>
              <w:rPr>
                <w:rFonts w:hint="eastAsia" w:ascii="宋体" w:hAnsi="宋体" w:eastAsia="宋体" w:cs="宋体"/>
                <w:color w:val="auto"/>
                <w:sz w:val="21"/>
                <w:szCs w:val="21"/>
                <w:highlight w:val="none"/>
              </w:rPr>
              <w:t>采购人有权取消其中标资格。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rFonts w:hint="eastAsia"/>
          <w:color w:val="auto"/>
          <w:highlight w:val="none"/>
          <w:lang w:val="en-US" w:eastAsia="zh-CN"/>
        </w:rPr>
      </w:pPr>
    </w:p>
    <w:p>
      <w:pPr>
        <w:bidi w:val="0"/>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ascii="宋体" w:hAnsi="宋体"/>
          <w:color w:val="auto"/>
          <w:highlight w:val="none"/>
          <w:lang w:val="en-US" w:eastAsia="zh-CN"/>
        </w:rPr>
      </w:pPr>
      <w:bookmarkStart w:id="181" w:name="_Toc19316"/>
      <w:r>
        <w:rPr>
          <w:rFonts w:hint="eastAsia" w:ascii="宋体" w:hAnsi="宋体"/>
          <w:color w:val="auto"/>
          <w:highlight w:val="none"/>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81"/>
    </w:p>
    <w:p>
      <w:pPr>
        <w:shd w:val="clear"/>
        <w:snapToGrid w:val="0"/>
        <w:spacing w:line="360" w:lineRule="auto"/>
        <w:ind w:left="361" w:hanging="361" w:hangingChars="150"/>
        <w:outlineLvl w:val="3"/>
        <w:rPr>
          <w:rFonts w:hint="eastAsia" w:ascii="宋体" w:hAnsi="宋体"/>
          <w:color w:val="auto"/>
          <w:sz w:val="24"/>
          <w:highlight w:val="none"/>
        </w:rPr>
      </w:pPr>
      <w:bookmarkStart w:id="182" w:name="_Toc14462"/>
      <w:bookmarkStart w:id="183" w:name="_Toc24679"/>
      <w:bookmarkStart w:id="184" w:name="_Toc31278"/>
      <w:bookmarkStart w:id="185" w:name="_Toc13112"/>
      <w:r>
        <w:rPr>
          <w:rFonts w:hint="eastAsia" w:ascii="宋体" w:hAnsi="宋体"/>
          <w:b/>
          <w:color w:val="auto"/>
          <w:sz w:val="24"/>
          <w:highlight w:val="none"/>
          <w:lang w:val="en-US" w:eastAsia="zh-CN"/>
        </w:rPr>
        <w:t>一</w:t>
      </w:r>
      <w:r>
        <w:rPr>
          <w:rFonts w:hint="eastAsia" w:ascii="宋体" w:hAnsi="宋体"/>
          <w:b/>
          <w:color w:val="auto"/>
          <w:sz w:val="24"/>
          <w:highlight w:val="none"/>
        </w:rPr>
        <w:t>、项目基本要求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1、投标人必须承诺提供厂商原装、全新的、符合用户提出的有关质量标准的设备、货物。</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2、所有货物在开箱检验时必须完好，无破损，配置与装箱单相符。货物外观清洁，标记编号以及盘面显示等字体清晰，明确。</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3、对于影响货物正常工作的必要组成部分，无论在技术规范中指出与否，投标人都应提供并在投标文件中明确列出。</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4、投标人必须保证产品符合相关验收标准，并通过验收后，再移交采购人。</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5、投标人所投设备应符合中华人民共和国有关规范和安全要求；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、投标人须负责投标货物的设计、制造、运输、验收、培训；</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7、投标报价应包含货物的制造、运输、验收、试运行和售后服务、培训等的全包价（含税）；</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8、本项目为一个整体，投标人必须对本项目整体进行投标，不能只对其中一部分货物进行投标，且要提供详细的技术资料；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9、投标人提供的产品必须符合招标文件要求的技术参数及功能要求</w:t>
      </w:r>
      <w:r>
        <w:rPr>
          <w:rFonts w:hint="eastAsia" w:ascii="宋体" w:hAnsi="宋体"/>
          <w:color w:val="auto"/>
          <w:szCs w:val="21"/>
          <w:highlight w:val="none"/>
          <w:lang w:eastAsia="zh-CN"/>
        </w:rPr>
        <w:t>。</w:t>
      </w:r>
    </w:p>
    <w:p>
      <w:pPr>
        <w:shd w:val="clear"/>
        <w:snapToGrid w:val="0"/>
        <w:spacing w:line="360" w:lineRule="auto"/>
        <w:ind w:left="361" w:hanging="361" w:hangingChars="150"/>
        <w:rPr>
          <w:rFonts w:hint="eastAsia" w:ascii="宋体" w:hAnsi="宋体"/>
          <w:b/>
          <w:color w:val="auto"/>
          <w:sz w:val="24"/>
          <w:highlight w:val="none"/>
        </w:rPr>
      </w:pPr>
    </w:p>
    <w:p>
      <w:pPr>
        <w:shd w:val="clear"/>
        <w:snapToGrid w:val="0"/>
        <w:spacing w:line="360" w:lineRule="auto"/>
        <w:ind w:left="361" w:hanging="361" w:hangingChars="150"/>
        <w:outlineLvl w:val="3"/>
        <w:rPr>
          <w:rFonts w:hint="eastAsia" w:ascii="宋体" w:hAnsi="宋体"/>
          <w:b/>
          <w:color w:val="auto"/>
          <w:sz w:val="24"/>
          <w:highlight w:val="none"/>
        </w:rPr>
      </w:pPr>
      <w:r>
        <w:rPr>
          <w:rFonts w:hint="eastAsia" w:ascii="宋体" w:hAnsi="宋体"/>
          <w:b/>
          <w:color w:val="auto"/>
          <w:sz w:val="24"/>
          <w:highlight w:val="none"/>
          <w:lang w:val="en-US" w:eastAsia="zh-CN"/>
        </w:rPr>
        <w:t>二</w:t>
      </w:r>
      <w:r>
        <w:rPr>
          <w:rFonts w:hint="eastAsia" w:ascii="宋体" w:hAnsi="宋体"/>
          <w:b/>
          <w:color w:val="auto"/>
          <w:sz w:val="24"/>
          <w:highlight w:val="none"/>
        </w:rPr>
        <w:t>、项目采购清单及技术参数</w:t>
      </w:r>
    </w:p>
    <w:tbl>
      <w:tblPr>
        <w:tblStyle w:val="2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6"/>
        <w:gridCol w:w="810"/>
        <w:gridCol w:w="6273"/>
        <w:gridCol w:w="512"/>
        <w:gridCol w:w="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6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47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项目名称</w:t>
            </w:r>
          </w:p>
        </w:tc>
        <w:tc>
          <w:tcPr>
            <w:tcW w:w="367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项目特征描述</w:t>
            </w:r>
          </w:p>
        </w:tc>
        <w:tc>
          <w:tcPr>
            <w:tcW w:w="30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计量单位</w:t>
            </w:r>
          </w:p>
        </w:tc>
        <w:tc>
          <w:tcPr>
            <w:tcW w:w="28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6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47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367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30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28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color w:val="auto"/>
                <w:sz w:val="21"/>
                <w:szCs w:val="21"/>
                <w:highlight w:val="none"/>
                <w:shd w:val="clear"/>
              </w:rPr>
              <w:t>●</w:t>
            </w:r>
            <w:r>
              <w:rPr>
                <w:rFonts w:hint="eastAsia" w:ascii="宋体" w:hAnsi="宋体" w:eastAsia="宋体" w:cs="宋体"/>
                <w:i w:val="0"/>
                <w:iCs w:val="0"/>
                <w:color w:val="000000"/>
                <w:kern w:val="0"/>
                <w:sz w:val="21"/>
                <w:szCs w:val="21"/>
                <w:highlight w:val="none"/>
                <w:u w:val="none"/>
                <w:lang w:val="en-US" w:eastAsia="zh-CN" w:bidi="ar"/>
              </w:rPr>
              <w:t>智慧黑板一体机</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（一）整体设计：</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1.整机采用三拼接平面一体化设计，无推拉式结构及外露连接线，外观简洁。整机尺寸宽度不小于4200mm，高度不小于1200mm。</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2.整机前朝向面板支持教师用作黑板书写板书。主屏与两侧屏幕均支持普通粉笔、液体粉笔、水溶性粉笔等直接书写。</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3.中央主屏幕显示采用≥86英寸UHD超高清LED液晶屏，屏幕分辨率不低于3840*2160，显示比例16:9，主屏具备防眩光效果。</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4.整机屏幕与屏幕保护层全贴合，减少显示面板与玻璃间的偏光、散射，画面显示更加清晰通透、可视角度更广。</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整机屏幕边缘采用超薄金属圆角包边防护，整机背板采用金属材质，有效屏蔽内部电路器件辐射；防潮耐盐雾蚀锈，适应多种教学环境。6.整机电磁兼容性符合浪涌（冲击）抗扰度、静电放电抗扰度、射频电磁场辐射抗扰度、电快速瞬变脉冲群抗扰度、射频场感应的传导抗扰度等标准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（二）电视系统：</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1.侧置输入接口具备 2 路 HDMI、1 路RS232，侧置输出接口具备 1 路音频输出、1 路触控输出 USB。</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前置输入接口具备3路USB 接口（包括1路TypeC、2 路USB）。</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2.屏幕显示灰度分辨等级达到128灰阶以上，保证画面显示效果细腻。</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3.钢化玻璃厚度≤4mm，钢化玻璃表面硬度≥9H。</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4.支持Windows教学系统下进行20点触控。</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（三）主要功能：</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1.主副屏采用免工具拆卸安全卡扣拼接，适用于不同墙体拼接加固。通过免工具拆卸卡扣前翻打开内嵌模块电脑侧的副屏，打开后可通过自带支撑架支撑，无需拆卸副屏即可对整机进行维护。</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2.整机内置2.1声道音响，前朝向（避免中高音损失）15W中高音扬声器2个，后朝向20W低音扬声器1个，额定总功率50W。</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3.▲整机支持机身前置物理按键一键启动录屏功能，可将屏幕中显示的课件、音频等内容与老师人声同步录制。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4.整机具有减滤蓝光功能，可通过前置物理功能按键方式一键启用减滤蓝光模式。</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5.整机采用左右双侧边栏虚拟按键方式，通过侧边栏可调用音量+/-、亮度+/-、批注、主页、半屏。</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6.</w:t>
            </w:r>
            <w:r>
              <w:rPr>
                <w:rFonts w:hint="eastAsia" w:ascii="宋体" w:hAnsi="宋体" w:eastAsia="宋体" w:cs="宋体"/>
                <w:color w:val="auto"/>
                <w:sz w:val="21"/>
                <w:szCs w:val="21"/>
                <w:highlight w:val="none"/>
              </w:rPr>
              <w:t>▲</w:t>
            </w:r>
            <w:r>
              <w:rPr>
                <w:rFonts w:hint="eastAsia" w:ascii="宋体" w:hAnsi="宋体" w:eastAsia="宋体" w:cs="宋体"/>
                <w:i w:val="0"/>
                <w:iCs w:val="0"/>
                <w:color w:val="000000"/>
                <w:kern w:val="0"/>
                <w:sz w:val="21"/>
                <w:szCs w:val="21"/>
                <w:highlight w:val="none"/>
                <w:u w:val="none"/>
                <w:lang w:val="en-US" w:eastAsia="zh-CN" w:bidi="ar"/>
              </w:rPr>
              <w:t>支持半屏模式，将Windows显示画面上半部分下拉到显示屏的下半部分显示，可以正常触控操作Windows系统。点击非Windows显示画面区域，即可退出该模式，无需其他设置。</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7.整机内置非独立的高清摄像头，支持远程巡课应用，摄像头像素数≥800万，对角角度≥120°。</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8.整机支持机身前置物理按键一键切换画面显示比例（4：3与16:9），便于对不同页面比例的PPT课件实现全屏展示。</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9.具备智能手势识别功能，在任意信号源通道下可识别五指上、下、左、右方向手势滑动并调用响应功能，支持将各手势滑动方向自定义设置为无操作、熄屏、批注、桌面、半屏模式。</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10.整机可实时显示设备温度，根据温度高低显示不同颜色进行提示，方便电教人员对设备进行日常的管理维护。</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11.整机内置无线网络模块，采用全向前置信号接发设计，网络信号接发源不局限在整机后方某一方向某一位置，无任何外接、转接天线及网卡可实现正常网络连接。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12.整机处于关机通电状态，外接电脑显示信号通过传输线连接至整机时，整机可智能识别外接电脑设备信号输入并自动开机。</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13.外接电脑设备连接整机且触摸信号联通时，外接电脑设备可直接读取整机前置USB接口的移动存储设备数据，连接整机前置USB接口的翻页笔、无线键鼠等外接设备可直接使用于外接电脑，无需重复部署。</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14.外接电脑设备连接整机且触摸信号连通时，外接电脑设备可直接读取整机前置USB接口的移动存储设备数据。连接整机前置USB接口的翻页笔、无线键鼠可直接使用于外接电脑。</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15.同一物理按键完成安卓嵌入式系统、Windows教学系统和节能熄屏操作，通过轻按按键实现节能熄屏/唤醒，长按按键实现关机。</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16.▲整机具备前置Type-C接口，通过Type-C接口实现音视频输入，外接电脑设备通过TypeC线连接至整机TypeC口，即可把外接电脑设备画面投到整机上，同时在整机上操作画面，可实现触摸电脑的操作，无需再连接触控USB线。</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（四）嵌入式系统：</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1.▲嵌入式系统版本不低于Android9.0，内存≥2GB，存储空间≥8GB。</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2.整机在任意通道下支持手势擦除功能，可通过手势识别调出板擦擦除批注内容，且板擦面积大小根据手与屏幕的接触面积自动调整。</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嵌入式系统内置互动白板支持十笔书写及手掌擦除（擦除面积根据手掌与屏幕的接触面大小自动调整），支持十种以上图形工具，白板书写内容可导出PDF、iwb、svg等格式。支持单点书写和多点书写的切换，满足老师的不同使用习惯。</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4.整机支持任意通道画面冻结放大，在任意通道下可将屏幕画面冻结并进行局部放大，放大后画面支持自由拖拽调整位置。</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5.嵌入式白板支持对已经书写的批注、形状的颜色进行更换，便于教师回顾重点内容。</w:t>
            </w:r>
          </w:p>
          <w:p>
            <w:pPr>
              <w:keepNext w:val="0"/>
              <w:keepLines w:val="0"/>
              <w:widowControl/>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6.Wi-Fi工作距离不低于 12米，AP热点工作距离不低于12米。</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（五）内置电脑模块：</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1.▲PC模块可抽拉式插入整机，可实现无单独接线的插拔。</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2.▲和整机的连接采用万兆级接口，传输速率≥10Gbps。</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3.处理器：不低于Intel 8代酷睿系列i5，8G DDR4笔记本内存或以上配置，256G或以上SSD固态硬盘。</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4.▲采用按压式卡扣，无需工具就可快速拆卸电脑模块</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（六）设备运维系统：</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1、管理平台采用B/S混合云架构设计，无需本地额外部署服务器等设备即可实现对教学信息化设备运行数据的监测</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3、管理平台为学校提供专属识别代码，可支持交互智能设备在广域网环境下，输入专属代码接入管理平台即可在通过管理平台可开启或关闭指定交互智能设备的任意磁盘分区数据还原（冰点）保护。</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管理平台实时监测已连接的交互智能设备状态，支持不少于10台设备的略缩预览以及单设备全屏查看；可远程监测交互智能设备开关机状态、CPU温度、CPU使用率、硬盘空间、硬盘使用状况、内存容量、内存使用率、受控端系统版本、设备ID等设备数据。</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5、管理平台实时显示交互智能设备异常的告警提示，并同步将异常信息推送至管理员移动端工作平台。</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管理平台支持对设备进行打铃，支持立即、定时和循环操作，用户可上传自定义铃声至铃声库，支持MP3、WMA、MIDI格式，添加铃声时，可试听，可设置打铃时长。支持同时添加20个不同时间的循环铃声，用于设置学校全天上下课铃声。</w:t>
            </w:r>
          </w:p>
          <w:p>
            <w:pPr>
              <w:keepNext w:val="0"/>
              <w:keepLines w:val="0"/>
              <w:widowControl/>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7、管理平台可远程对运行状态下的交互智能设备批量进行本地系统启动盘的冻结、解冻（冰点保护）。重启设备后，被冻结后本地系统启动盘的数据及系统更改等均会自动恢复至冻结前状态，管理平台可开启或关闭指定交互智能设备的任意磁盘分区数据还原（冰点）保护。</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8、管理平台可开启或关闭全校所有设备的弹窗拦截功能，可随时查看所有弹窗拦截的设备数和历史拦截的条数，可远程批量拦截弹窗，适用于所有关联本学校的交互智能设备。</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数据分析</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管理平台显示设备使用情况数据报表，包括实时在线设备数、今日活跃人数、使用学科数、异常条数、设备使用时段、设备使用时长分布、软件使用次数、用户活跃数、不同学科使用频次占比等，方便管理员检查设备使用情况。</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10、管理平台支持多层级权限管理，可将多类型的设备管理权限分配给多个管理员，由多个管理员共同管理；顶级管理员可添加普通管理员并修改普通管理员的权限。</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11、移动管理平台：提供免安装且兼容Android、IOS等主流移动终端的移动管理平台，无需反复登录移动浏览器，可实时查看开机设备数、关机设备数等信息化运行数据。可对已连接的交互智能设备进行实时关机、开机和重启操作</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12、移动管理平台可实时监测已连接的交互智能设备，远程查看设备的开关机状态、CPU温度、CPU使用率、开机时间等设备详情。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移动管理平台可查看已连接设备运行异常数据，异常类型包含温度过高、CPU占用率过高、待机时间过长等，支持按年级筛选查看设备异常数据并对异常设备进行管控。设备发生异常时，移动管理平台自动发送异常信息提醒管理员，包括设备超过4小时无人使用异常、未准点关机异常。</w:t>
            </w:r>
          </w:p>
          <w:p>
            <w:pPr>
              <w:keepNext w:val="0"/>
              <w:keepLines w:val="0"/>
              <w:widowControl/>
              <w:suppressLineNumbers w:val="0"/>
              <w:spacing w:line="360" w:lineRule="auto"/>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▲14、提供教学专用广告屏蔽工具。支持高强度屏蔽拦截，对全部软件应用弹窗进行无差别拦截。</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智能书写笔</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1.支持主动电容笔书写，书写时手掌掌托接触屏幕时不会对笔的书写造成干扰，提高授课效率。</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2.电容笔笔身配置不少于四个物理按键，具备翻页、模拟激光笔、智能语音控制功能，兼顾触摸书写以及远程操控的握持姿态，兼容白板软件、PPT、PDF等多种演示软件课件的远程翻页控制。</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3.电容笔内置高精度陀螺仪，具备模拟激光笔功能，可通过笔身按钮激活陀螺仪模拟激光功能，适用于加载防眩光设计的教学显示设备。</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电容笔支持按键唤醒语音识别，唤醒语音识别时，可直接通过语音打开PC内已安装的应用，可直接通过语音调用网络搜索引擎搜索查询相应资料，可进行语音转写输入，支持语音控制屏幕黑屏、亮屏，音量大小调整，返回桌面，截屏，关机等操作。</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智慧互动操作系统</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一、白板教学软件：</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1.支持在线备课功能；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2.支持边写边擦功能；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3.软件自带内置浏览器；</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4.支持图片裁切功能；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5.支持快捷抠图功能；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6.支持实物展台；</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二、移动授课系统：</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1.可与交互智能平板实现无线连接，可对连接的设备进行密码的权限管理，兼容多用户接入智能平板，支持Android4.0及ioS7.0以上版本系统；</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2.大小屏同步显示时支持同步放大功能；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3.支持服务端生成热点功能；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4.支持拍摄图片增强功能；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5.支持多图对比展示功能。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三、备授课一体化软件：</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1.要求独立于白板教学软件之外的单独软件，具有备课模式及授课模式，且操作界面根据备课和授课使用场景不同而区别设计；</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2.支持老师个人账号注册登录使用，也可通过USB key进行身份快速识别登陆；</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3.支持课件云同步；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4.提供智能选词填空的课堂活动模式；</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壁挂式实物展台</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 壁挂式安装，防盗防破坏。</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无锐角无利边设计，有效防止师生碰伤、划伤。</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采用三折叠开合式托板，展开后托板尺寸≥A4面积，收起时小巧不占空间，高效利用挂墙面积。</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 采用USB高速接口，单根USB线实现供电、高清数据传输需求。</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 采用800W像素自动对焦摄像头，可拍摄A4画幅。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 采用PDAF相位对焦技术，自动对焦速度低于300ms，减少对焦过程时间，提高教学效率。</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无线麦</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1、手持式无线麦克风为教师提供更自然的扩声工具。</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2、流线外观，吸汗防滑材质，轻量化设计，适于长时间握持。</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3、双持结构设计，教师可直接手持使用，也可接驳的头戴麦克风使用。</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4、充电10分钟，扩音两节课，满电续航6小时，拥有极致的续航能力。</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功放音响</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1.采用功放及有源音箱一体化设计。</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2.双音箱配对，采用木质材质，保证声音还原度。</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3.输出额定功率: 2*20W。</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4.端口：电源*1、Line in*1、Line out*1、U盘接口*1。</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5.支持专业无线麦克风接收技术数字U段无线麦克风扩音接收，有效避开wifi干扰。</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6.配置独立音频数字信号处理芯片，支持啸叫抑制功能。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7.支持蓝牙无线接收，方便老师分享移动设备上的音频。蓝牙支持密码模式，防止学生连接。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8.支持安卓手机通过蓝牙无线连接音箱，实现控制有源音箱的音量、设置蓝牙名称、设置蓝牙密码等功能，方便教师对音箱的管控。</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9.支持扩音和输入音源叠加输出，方便与录播系统结合，或者通过串联功放支持更大环境扩音。</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音箱具有SRRC无线电发射设备型号核准证，符合无线电管理规定和技术标准。</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键盘鼠标</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键鼠套装无线办公键盘鼠标套装防泼溅电脑链盘鼠标键盘黑色。</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41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 其它</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000000"/>
                <w:sz w:val="21"/>
                <w:szCs w:val="21"/>
                <w:highlight w:val="none"/>
                <w:u w:val="none"/>
              </w:rPr>
            </w:pP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凿(压)槽</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1.名称:凿(压)槽及修补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2.规格:70*70</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教室配件拆除</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1.拆卸黑板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2.搬运指定地点</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3.拆卸线槽</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间</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教室配件拆除</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1.拆卸音响</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2.拆卸原有的电视</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3.搬运指定地点</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间</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插座</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1.名称:二+三+三孔插座</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接线盒</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1.名称:接线盒</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2.安装形式:暗装</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USB一分三带网口</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1.名称:USB一分三带网口</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2.用于教室讲台的有线鼠标键盘</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配线</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1.名称:电气配线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2.配线形式:线槽配线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3.规格:WDZ-BYJ-2.5</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4.材质:铜芯</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5.配线部位:按实考虑</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HDMI线</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1.名称:HDMI线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2.配线形式:线槽内敷设</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3.1米用于讲台延长至显示器、用于一体机链接至讲台显示器</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HDMI直通头</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1.名称:HDMI直通头</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USB延长线</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1.名称:USB延长线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2.配线形式:线槽内敷设</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3.用于一体机连接至讲台</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线槽</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1.名称:六分线槽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用于整合线路 </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线槽</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1.名称:不锈钢地槽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2.规格:1.5m/条</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配管</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1.名称:黄腊管</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用于线路拐弯处包裹保护线路（0.5米每间教室） </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显示设备</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1.名称:21.5寸显示器</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bl>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rFonts w:hint="eastAsia"/>
          <w:color w:val="auto"/>
          <w:sz w:val="28"/>
          <w:szCs w:val="28"/>
          <w:highlight w:val="none"/>
        </w:rPr>
      </w:pPr>
      <w:bookmarkStart w:id="188" w:name="_Toc12014"/>
      <w:r>
        <w:rPr>
          <w:rFonts w:hint="eastAsia"/>
          <w:color w:val="auto"/>
          <w:sz w:val="28"/>
          <w:szCs w:val="28"/>
          <w:highlight w:val="none"/>
        </w:rPr>
        <w:br w:type="page"/>
      </w:r>
    </w:p>
    <w:p>
      <w:pPr>
        <w:pStyle w:val="2"/>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6"/>
      <w:bookmarkEnd w:id="187"/>
      <w:bookmarkEnd w:id="188"/>
      <w:bookmarkStart w:id="189" w:name="_Toc13430"/>
      <w:bookmarkStart w:id="190" w:name="_Toc1534"/>
      <w:bookmarkStart w:id="191" w:name="_Toc21155"/>
    </w:p>
    <w:p>
      <w:pPr>
        <w:pStyle w:val="4"/>
        <w:spacing w:before="0" w:after="0" w:line="240" w:lineRule="auto"/>
        <w:jc w:val="center"/>
        <w:rPr>
          <w:rFonts w:ascii="宋体" w:hAnsi="宋体" w:eastAsia="宋体" w:cs="宋体"/>
          <w:color w:val="auto"/>
          <w:highlight w:val="none"/>
        </w:rPr>
      </w:pPr>
      <w:bookmarkStart w:id="192" w:name="_Toc19575"/>
      <w:bookmarkStart w:id="193" w:name="_Toc16730"/>
      <w:bookmarkStart w:id="194" w:name="_Toc8880"/>
      <w:r>
        <w:rPr>
          <w:rFonts w:hint="eastAsia" w:ascii="宋体" w:hAnsi="宋体" w:eastAsia="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5"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highlight w:val="none"/>
        </w:rPr>
      </w:pPr>
      <w:bookmarkStart w:id="196"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7" w:name="_Toc86481569"/>
      <w:r>
        <w:rPr>
          <w:rFonts w:hint="eastAsia" w:ascii="宋体" w:hAnsi="宋体" w:eastAsia="宋体"/>
          <w:b/>
          <w:color w:val="auto"/>
          <w:sz w:val="21"/>
          <w:szCs w:val="21"/>
          <w:highlight w:val="none"/>
        </w:rPr>
        <w:t>第十二条 合同生效</w:t>
      </w:r>
      <w:bookmarkEnd w:id="197"/>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6"/>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198" w:name="_Toc1478"/>
      <w:bookmarkStart w:id="199" w:name="_Toc31587"/>
      <w:bookmarkStart w:id="200"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8"/>
      <w:bookmarkEnd w:id="199"/>
      <w:bookmarkEnd w:id="200"/>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9"/>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7" w:name="_Toc22080"/>
      <w:bookmarkStart w:id="208" w:name="_Toc8194"/>
      <w:bookmarkStart w:id="209" w:name="_Toc30640"/>
      <w:r>
        <w:rPr>
          <w:rFonts w:hint="eastAsia"/>
          <w:color w:val="auto"/>
          <w:highlight w:val="none"/>
          <w:lang w:val="en-US" w:eastAsia="zh-CN"/>
        </w:rPr>
        <w:t>第一章价格文件</w:t>
      </w:r>
      <w:bookmarkEnd w:id="207"/>
      <w:bookmarkEnd w:id="20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0" w:name="_Toc19750"/>
      <w:bookmarkStart w:id="211" w:name="_Toc4168"/>
      <w:r>
        <w:rPr>
          <w:rFonts w:hint="eastAsia"/>
          <w:color w:val="auto"/>
          <w:highlight w:val="none"/>
          <w:lang w:val="en-US" w:eastAsia="zh-CN"/>
        </w:rPr>
        <w:t>一、唱标一览表</w:t>
      </w:r>
      <w:bookmarkEnd w:id="210"/>
      <w:bookmarkEnd w:id="211"/>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2" w:name="_Toc31172"/>
      <w:bookmarkStart w:id="213" w:name="_Toc31062"/>
      <w:r>
        <w:rPr>
          <w:rFonts w:hint="eastAsia"/>
          <w:color w:val="auto"/>
          <w:highlight w:val="none"/>
          <w:lang w:val="en-US" w:eastAsia="zh-CN"/>
        </w:rPr>
        <w:t>二、报价明细表</w:t>
      </w:r>
      <w:bookmarkEnd w:id="212"/>
      <w:bookmarkEnd w:id="213"/>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4" w:name="_Toc20974"/>
      <w:bookmarkStart w:id="215" w:name="_Toc23355"/>
      <w:r>
        <w:rPr>
          <w:rFonts w:hint="eastAsia"/>
          <w:color w:val="auto"/>
          <w:highlight w:val="none"/>
          <w:lang w:val="en-US" w:eastAsia="zh-CN"/>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6" w:name="_Toc13970"/>
      <w:bookmarkStart w:id="217" w:name="_Toc16718"/>
      <w:r>
        <w:rPr>
          <w:rFonts w:hint="eastAsia"/>
          <w:color w:val="auto"/>
          <w:highlight w:val="none"/>
          <w:lang w:val="en-US" w:eastAsia="zh-CN"/>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17482"/>
      <w:bookmarkStart w:id="219" w:name="_Toc10853"/>
      <w:r>
        <w:rPr>
          <w:rFonts w:hint="eastAsia"/>
          <w:color w:val="auto"/>
          <w:highlight w:val="none"/>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7959"/>
      <w:bookmarkStart w:id="221" w:name="_Toc8560"/>
      <w:r>
        <w:rPr>
          <w:rFonts w:hint="eastAsia"/>
          <w:color w:val="auto"/>
          <w:highlight w:val="none"/>
          <w:lang w:val="en-US" w:eastAsia="zh-CN"/>
        </w:rPr>
        <w:t>六、残疾人福利性单位声明函</w:t>
      </w:r>
      <w:bookmarkEnd w:id="220"/>
      <w:bookmarkEnd w:id="221"/>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2" w:name="_Toc509844825"/>
      <w:bookmarkStart w:id="223" w:name="_Toc509479530"/>
      <w:bookmarkStart w:id="224" w:name="_Toc508960153"/>
      <w:bookmarkStart w:id="225" w:name="_Toc30247"/>
      <w:bookmarkStart w:id="226" w:name="_Toc20910"/>
      <w:bookmarkStart w:id="227" w:name="_Toc17761"/>
      <w:bookmarkStart w:id="228" w:name="_Toc508958703"/>
      <w:bookmarkStart w:id="229" w:name="_Toc510171693"/>
      <w:bookmarkStart w:id="230" w:name="_Toc30277"/>
      <w:bookmarkStart w:id="231" w:name="_Toc508898066"/>
      <w:bookmarkStart w:id="232" w:name="_Toc22970"/>
      <w:bookmarkStart w:id="233" w:name="_Toc509927455"/>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4" w:name="_Toc510171694"/>
      <w:bookmarkStart w:id="235" w:name="_Toc509479531"/>
      <w:bookmarkStart w:id="236" w:name="_Toc31520"/>
      <w:bookmarkStart w:id="237" w:name="_Toc509844826"/>
      <w:bookmarkStart w:id="238" w:name="_Toc508898067"/>
      <w:bookmarkStart w:id="239" w:name="_Toc26216"/>
      <w:bookmarkStart w:id="240" w:name="_Toc21053"/>
      <w:bookmarkStart w:id="241" w:name="_Toc5447"/>
      <w:bookmarkStart w:id="242" w:name="_Toc508958704"/>
      <w:bookmarkStart w:id="243" w:name="_Toc509927456"/>
      <w:bookmarkStart w:id="244" w:name="_Toc508960154"/>
      <w:bookmarkStart w:id="245" w:name="_Toc28527"/>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46" w:name="_Toc509479532"/>
      <w:bookmarkStart w:id="247" w:name="_Toc509844827"/>
      <w:bookmarkStart w:id="248" w:name="_Toc510171695"/>
      <w:bookmarkStart w:id="249" w:name="_Toc508960155"/>
      <w:bookmarkStart w:id="250" w:name="_Toc9148"/>
      <w:bookmarkStart w:id="251" w:name="_Toc24848"/>
      <w:bookmarkStart w:id="252" w:name="_Toc28626"/>
      <w:bookmarkStart w:id="253" w:name="_Toc508898068"/>
      <w:bookmarkStart w:id="254" w:name="_Toc508958705"/>
      <w:bookmarkStart w:id="255" w:name="_Toc14653"/>
      <w:bookmarkStart w:id="256" w:name="_Toc28126"/>
      <w:bookmarkStart w:id="257" w:name="_Toc509927457"/>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8" w:name="_Toc28044"/>
      <w:bookmarkStart w:id="259" w:name="_Toc510171696"/>
      <w:bookmarkStart w:id="260" w:name="_Toc9837"/>
      <w:bookmarkStart w:id="261" w:name="_Toc28686"/>
      <w:bookmarkStart w:id="262" w:name="_Toc509927458"/>
      <w:bookmarkStart w:id="263" w:name="_Toc509479533"/>
      <w:bookmarkStart w:id="264" w:name="_Toc509844828"/>
      <w:bookmarkStart w:id="265" w:name="_Toc7858"/>
      <w:bookmarkStart w:id="266" w:name="_Toc22981"/>
      <w:bookmarkStart w:id="267" w:name="_Toc508960156"/>
      <w:bookmarkStart w:id="268" w:name="_Toc508898069"/>
      <w:bookmarkStart w:id="269" w:name="_Toc508958706"/>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0" w:name="_Toc509479534"/>
      <w:bookmarkStart w:id="271" w:name="_Toc509844829"/>
      <w:bookmarkStart w:id="272" w:name="_Toc508898070"/>
      <w:bookmarkStart w:id="273" w:name="_Toc509927459"/>
      <w:bookmarkStart w:id="274" w:name="_Toc508958707"/>
      <w:bookmarkStart w:id="275" w:name="_Toc18843"/>
      <w:bookmarkStart w:id="276" w:name="_Toc5289"/>
      <w:bookmarkStart w:id="277" w:name="_Toc510171697"/>
      <w:bookmarkStart w:id="278" w:name="_Toc50896015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79" w:name="_Toc23948"/>
      <w:bookmarkStart w:id="280" w:name="_Toc6471"/>
      <w:r>
        <w:rPr>
          <w:rFonts w:hint="eastAsia"/>
          <w:color w:val="auto"/>
          <w:highlight w:val="none"/>
          <w:lang w:val="en-US" w:eastAsia="zh-CN"/>
        </w:rPr>
        <w:t>第二章商务文件</w:t>
      </w:r>
      <w:bookmarkEnd w:id="279"/>
      <w:bookmarkEnd w:id="280"/>
    </w:p>
    <w:bookmarkEnd w:id="209"/>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1" w:name="_Toc1952"/>
      <w:bookmarkStart w:id="282" w:name="_Toc23787"/>
      <w:r>
        <w:rPr>
          <w:rFonts w:hint="eastAsia"/>
          <w:color w:val="auto"/>
          <w:highlight w:val="none"/>
          <w:lang w:val="en-US" w:eastAsia="zh-CN"/>
        </w:rPr>
        <w:t>一、投标函</w:t>
      </w:r>
      <w:bookmarkEnd w:id="281"/>
      <w:bookmarkEnd w:id="282"/>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3" w:name="_Toc15719"/>
      <w:bookmarkStart w:id="284" w:name="_Toc28616"/>
      <w:r>
        <w:rPr>
          <w:rFonts w:hint="eastAsia"/>
          <w:color w:val="auto"/>
          <w:highlight w:val="none"/>
          <w:lang w:val="en-US" w:eastAsia="zh-CN"/>
        </w:rPr>
        <w:t>二、资格申明函</w:t>
      </w:r>
      <w:bookmarkEnd w:id="283"/>
      <w:bookmarkEnd w:id="284"/>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85"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6" w:name="_Toc21273"/>
      <w:bookmarkStart w:id="287" w:name="_Toc32742"/>
      <w:r>
        <w:rPr>
          <w:rFonts w:hint="eastAsia"/>
          <w:color w:val="auto"/>
          <w:highlight w:val="none"/>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8" w:name="_Toc13243"/>
      <w:bookmarkStart w:id="289" w:name="_Toc3894"/>
      <w:r>
        <w:rPr>
          <w:rFonts w:hint="eastAsia"/>
          <w:color w:val="auto"/>
          <w:highlight w:val="none"/>
          <w:lang w:val="en-US" w:eastAsia="zh-CN"/>
        </w:rPr>
        <w:t>四、法定代表人证明书</w:t>
      </w:r>
      <w:bookmarkEnd w:id="288"/>
      <w:bookmarkEnd w:id="289"/>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0" w:name="_Toc5626"/>
      <w:bookmarkStart w:id="291" w:name="_Toc5918"/>
      <w:r>
        <w:rPr>
          <w:rFonts w:hint="eastAsia"/>
          <w:color w:val="auto"/>
          <w:highlight w:val="none"/>
          <w:lang w:val="en-US" w:eastAsia="zh-CN"/>
        </w:rPr>
        <w:t>五、法定代表人授权书</w:t>
      </w:r>
      <w:bookmarkEnd w:id="290"/>
      <w:bookmarkEnd w:id="291"/>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2"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3" w:name="_Toc18562"/>
      <w:bookmarkStart w:id="294" w:name="_Toc24013"/>
      <w:r>
        <w:rPr>
          <w:rFonts w:hint="eastAsia"/>
          <w:color w:val="auto"/>
          <w:highlight w:val="none"/>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5" w:name="_Toc24210"/>
      <w:bookmarkStart w:id="296" w:name="_Toc29995"/>
      <w:bookmarkStart w:id="297" w:name="_Toc5919"/>
      <w:bookmarkStart w:id="298" w:name="_Toc28067"/>
      <w:bookmarkStart w:id="299" w:name="_Toc17470"/>
      <w:bookmarkStart w:id="300" w:name="_Toc4926"/>
      <w:bookmarkStart w:id="301" w:name="_Toc1511"/>
      <w:r>
        <w:rPr>
          <w:rFonts w:hint="eastAsia"/>
          <w:color w:val="auto"/>
          <w:highlight w:val="none"/>
          <w:lang w:val="en-US" w:eastAsia="zh-CN"/>
        </w:rPr>
        <w:t>七、</w:t>
      </w:r>
      <w:r>
        <w:rPr>
          <w:rFonts w:hint="eastAsia"/>
          <w:color w:val="auto"/>
          <w:highlight w:val="none"/>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2" w:name="_Toc29439"/>
      <w:bookmarkStart w:id="303" w:name="_Toc21638"/>
      <w:r>
        <w:rPr>
          <w:rFonts w:hint="eastAsia"/>
          <w:color w:val="auto"/>
          <w:highlight w:val="none"/>
          <w:lang w:val="en-US" w:eastAsia="zh-CN"/>
        </w:rPr>
        <w:t>八、</w:t>
      </w:r>
      <w:r>
        <w:rPr>
          <w:rFonts w:hint="eastAsia"/>
          <w:color w:val="auto"/>
          <w:highlight w:val="none"/>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3341"/>
      <w:bookmarkStart w:id="305" w:name="_Toc14263"/>
      <w:r>
        <w:rPr>
          <w:rFonts w:hint="eastAsia"/>
          <w:color w:val="auto"/>
          <w:highlight w:val="none"/>
          <w:lang w:val="en-US" w:eastAsia="zh-CN"/>
        </w:rPr>
        <w:t>九、</w:t>
      </w:r>
      <w:r>
        <w:rPr>
          <w:rFonts w:hint="eastAsia"/>
          <w:color w:val="auto"/>
          <w:highlight w:val="none"/>
        </w:rPr>
        <w:t>承诺书</w:t>
      </w:r>
      <w:bookmarkEnd w:id="304"/>
      <w:bookmarkEnd w:id="305"/>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13653"/>
      <w:bookmarkStart w:id="308" w:name="_Toc13955"/>
      <w:r>
        <w:rPr>
          <w:rFonts w:hint="eastAsia"/>
          <w:color w:val="auto"/>
          <w:highlight w:val="none"/>
          <w:lang w:val="en-US" w:eastAsia="zh-CN"/>
        </w:rPr>
        <w:t>十、招标代理服务费承诺书</w:t>
      </w:r>
      <w:bookmarkEnd w:id="307"/>
      <w:bookmarkEnd w:id="308"/>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1975"/>
      <w:bookmarkStart w:id="310" w:name="_Toc12598"/>
      <w:r>
        <w:rPr>
          <w:rFonts w:hint="eastAsia"/>
          <w:color w:val="auto"/>
          <w:highlight w:val="none"/>
          <w:lang w:val="en-US" w:eastAsia="zh-CN"/>
        </w:rPr>
        <w:t>十一、</w:t>
      </w:r>
      <w:r>
        <w:rPr>
          <w:rFonts w:hint="eastAsia"/>
          <w:color w:val="auto"/>
          <w:highlight w:val="none"/>
        </w:rPr>
        <w:t>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1"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2" w:name="_Toc25391"/>
      <w:bookmarkStart w:id="313" w:name="_Toc19276"/>
      <w:r>
        <w:rPr>
          <w:rFonts w:hint="eastAsia"/>
          <w:color w:val="auto"/>
          <w:highlight w:val="none"/>
          <w:lang w:val="en-US" w:eastAsia="zh-CN"/>
        </w:rPr>
        <w:t>十二、</w:t>
      </w:r>
      <w:r>
        <w:rPr>
          <w:rFonts w:hint="eastAsia"/>
          <w:color w:val="auto"/>
          <w:highlight w:val="none"/>
        </w:rPr>
        <w:t>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4" w:name="_Toc20520"/>
      <w:bookmarkStart w:id="315" w:name="_Toc14688"/>
      <w:r>
        <w:rPr>
          <w:rFonts w:hint="eastAsia"/>
          <w:color w:val="auto"/>
          <w:highlight w:val="none"/>
          <w:lang w:val="en-US" w:eastAsia="zh-CN"/>
        </w:rPr>
        <w:t>第三章技术文件</w:t>
      </w:r>
      <w:bookmarkEnd w:id="311"/>
      <w:bookmarkEnd w:id="314"/>
      <w:bookmarkEnd w:id="31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7092"/>
      <w:bookmarkStart w:id="317" w:name="_Toc13097"/>
      <w:r>
        <w:rPr>
          <w:rFonts w:hint="eastAsia"/>
          <w:color w:val="auto"/>
          <w:highlight w:val="none"/>
          <w:lang w:val="en-US" w:eastAsia="zh-CN"/>
        </w:rPr>
        <w:t>一、</w:t>
      </w:r>
      <w:r>
        <w:rPr>
          <w:rFonts w:hint="eastAsia"/>
          <w:color w:val="auto"/>
          <w:highlight w:val="none"/>
        </w:rPr>
        <w:t>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eastAsia="宋体"/>
          <w:color w:val="auto"/>
          <w:sz w:val="21"/>
          <w:szCs w:val="21"/>
          <w:highlight w:val="none"/>
        </w:rPr>
        <w:br w:type="page"/>
      </w:r>
      <w:bookmarkEnd w:id="318"/>
      <w:bookmarkStart w:id="319" w:name="_Toc4827"/>
      <w:bookmarkStart w:id="320" w:name="_Toc18668"/>
      <w:bookmarkStart w:id="321" w:name="_Toc1274"/>
      <w:bookmarkStart w:id="322" w:name="_Toc26078"/>
      <w:bookmarkStart w:id="323" w:name="_Toc4464"/>
      <w:bookmarkStart w:id="324" w:name="_Toc608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5" w:name="_Toc10734"/>
      <w:bookmarkStart w:id="326" w:name="_Toc13461"/>
      <w:r>
        <w:rPr>
          <w:rFonts w:hint="eastAsia"/>
          <w:color w:val="auto"/>
          <w:highlight w:val="none"/>
          <w:lang w:val="en-US" w:eastAsia="zh-CN"/>
        </w:rPr>
        <w:t>二、</w:t>
      </w:r>
      <w:r>
        <w:rPr>
          <w:rFonts w:hint="eastAsia"/>
          <w:color w:val="auto"/>
          <w:highlight w:val="none"/>
        </w:rPr>
        <w:t>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27" w:name="_Toc29642"/>
            <w:bookmarkStart w:id="328" w:name="_Toc29560"/>
            <w:bookmarkStart w:id="329" w:name="_Toc27079"/>
            <w:r>
              <w:rPr>
                <w:rFonts w:hint="eastAsia" w:ascii="宋体" w:hAnsi="宋体" w:eastAsia="宋体" w:cs="宋体"/>
                <w:b w:val="0"/>
                <w:bCs w:val="0"/>
                <w:color w:val="auto"/>
                <w:sz w:val="21"/>
                <w:szCs w:val="21"/>
                <w:highlight w:val="none"/>
                <w:lang w:val="en-US" w:eastAsia="zh-CN"/>
              </w:rPr>
              <w:t>序号</w:t>
            </w:r>
            <w:bookmarkEnd w:id="327"/>
            <w:bookmarkEnd w:id="328"/>
            <w:bookmarkEnd w:id="329"/>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0" w:name="_Toc15903"/>
            <w:bookmarkStart w:id="331" w:name="_Toc15368"/>
            <w:bookmarkStart w:id="332" w:name="_Toc27090"/>
            <w:bookmarkStart w:id="333" w:name="_Toc2700"/>
            <w:bookmarkStart w:id="334" w:name="_Toc4304"/>
            <w:bookmarkStart w:id="335" w:name="_Toc10045"/>
            <w:bookmarkStart w:id="336" w:name="_Toc21739"/>
            <w:bookmarkStart w:id="337" w:name="_Toc1016"/>
            <w:bookmarkStart w:id="338" w:name="_Toc26124"/>
            <w:bookmarkStart w:id="339" w:name="_Toc14815"/>
            <w:bookmarkStart w:id="340" w:name="_Toc22448"/>
            <w:bookmarkStart w:id="341" w:name="_Toc16872"/>
            <w:bookmarkStart w:id="342" w:name="_Toc12049"/>
            <w:bookmarkStart w:id="343" w:name="_Toc22917"/>
            <w:bookmarkStart w:id="344" w:name="_Toc21809"/>
            <w:bookmarkStart w:id="345" w:name="_Toc24662"/>
            <w:bookmarkStart w:id="346" w:name="_Toc19251"/>
            <w:bookmarkStart w:id="347" w:name="_Toc8490"/>
            <w:bookmarkStart w:id="348" w:name="_Toc8312"/>
            <w:bookmarkStart w:id="349" w:name="_Toc27442"/>
            <w:bookmarkStart w:id="350" w:name="_Toc22879"/>
            <w:bookmarkStart w:id="351" w:name="_Toc7333"/>
            <w:bookmarkStart w:id="352" w:name="_Toc32531"/>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3" w:name="_Toc10122"/>
            <w:bookmarkStart w:id="354" w:name="_Toc2408"/>
            <w:bookmarkStart w:id="355" w:name="_Toc22153"/>
            <w:r>
              <w:rPr>
                <w:rFonts w:hint="eastAsia" w:ascii="宋体" w:hAnsi="宋体" w:eastAsia="宋体" w:cs="宋体"/>
                <w:b w:val="0"/>
                <w:bCs w:val="0"/>
                <w:color w:val="auto"/>
                <w:kern w:val="0"/>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6" w:name="_Toc16003"/>
            <w:bookmarkStart w:id="357" w:name="_Toc27285"/>
            <w:bookmarkStart w:id="358" w:name="_Toc29838"/>
            <w:bookmarkStart w:id="359" w:name="_Toc3701"/>
            <w:bookmarkStart w:id="360" w:name="_Toc27185"/>
            <w:bookmarkStart w:id="361" w:name="_Toc1912"/>
            <w:bookmarkStart w:id="362" w:name="_Toc1330"/>
            <w:bookmarkStart w:id="363" w:name="_Toc17296"/>
            <w:bookmarkStart w:id="364" w:name="_Toc20820"/>
            <w:bookmarkStart w:id="365" w:name="_Toc5992"/>
            <w:bookmarkStart w:id="366" w:name="_Toc17642"/>
            <w:bookmarkStart w:id="367" w:name="_Toc20139"/>
            <w:bookmarkStart w:id="368" w:name="_Toc5563"/>
            <w:r>
              <w:rPr>
                <w:rFonts w:hint="eastAsia" w:ascii="宋体" w:hAnsi="宋体" w:eastAsia="宋体" w:cs="宋体"/>
                <w:b w:val="0"/>
                <w:bCs w:val="0"/>
                <w:color w:val="auto"/>
                <w:sz w:val="21"/>
                <w:szCs w:val="21"/>
                <w:highlight w:val="none"/>
                <w:lang w:val="en-US" w:eastAsia="zh-CN"/>
              </w:rPr>
              <w:t>说明</w:t>
            </w:r>
            <w:bookmarkEnd w:id="356"/>
            <w:bookmarkEnd w:id="357"/>
            <w:bookmarkEnd w:id="358"/>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9" w:name="_Toc3520"/>
            <w:bookmarkStart w:id="370" w:name="_Toc19105"/>
            <w:bookmarkStart w:id="371" w:name="_Toc857"/>
            <w:r>
              <w:rPr>
                <w:rFonts w:hint="eastAsia" w:ascii="宋体" w:hAnsi="宋体" w:eastAsia="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11"/>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2" w:name="_Toc27139"/>
      <w:bookmarkStart w:id="373" w:name="_Toc19349"/>
      <w:r>
        <w:rPr>
          <w:rFonts w:hint="eastAsia"/>
          <w:color w:val="auto"/>
          <w:highlight w:val="none"/>
          <w:lang w:val="en-US" w:eastAsia="zh-CN"/>
        </w:rPr>
        <w:t>三、</w:t>
      </w:r>
      <w:r>
        <w:rPr>
          <w:rFonts w:hint="eastAsia"/>
          <w:color w:val="auto"/>
          <w:highlight w:val="none"/>
        </w:rPr>
        <w:t>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4"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3"/>
      <w:bookmarkEnd w:id="374"/>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5" w:name="_Toc16328"/>
      <w:bookmarkStart w:id="376" w:name="_Toc26880"/>
      <w:r>
        <w:rPr>
          <w:rFonts w:hint="eastAsia"/>
          <w:color w:val="auto"/>
          <w:highlight w:val="none"/>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77" w:name="_Toc26980"/>
      <w:bookmarkStart w:id="378" w:name="_Toc15431"/>
      <w:r>
        <w:rPr>
          <w:rFonts w:hint="eastAsia"/>
          <w:color w:val="auto"/>
          <w:highlight w:val="none"/>
          <w:lang w:val="en-US" w:eastAsia="zh-CN"/>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9" w:name="_Toc6961"/>
      <w:r>
        <w:rPr>
          <w:rFonts w:hint="eastAsia"/>
          <w:color w:val="auto"/>
          <w:highlight w:val="none"/>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0" w:name="_Toc26772"/>
      <w:bookmarkStart w:id="381" w:name="_Toc26782"/>
      <w:r>
        <w:rPr>
          <w:rFonts w:hint="eastAsia"/>
          <w:color w:val="auto"/>
          <w:highlight w:val="none"/>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2"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3" w:name="_Toc22736"/>
      <w:bookmarkStart w:id="384" w:name="_Toc2710"/>
      <w:r>
        <w:rPr>
          <w:rFonts w:hint="eastAsia"/>
          <w:color w:val="auto"/>
          <w:highlight w:val="none"/>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2"/>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9061A75"/>
    <w:rsid w:val="09182241"/>
    <w:rsid w:val="09242E62"/>
    <w:rsid w:val="093C069F"/>
    <w:rsid w:val="09417888"/>
    <w:rsid w:val="098308A7"/>
    <w:rsid w:val="09855177"/>
    <w:rsid w:val="09870F93"/>
    <w:rsid w:val="09D658E4"/>
    <w:rsid w:val="09F1637C"/>
    <w:rsid w:val="0A244DAE"/>
    <w:rsid w:val="0A25628F"/>
    <w:rsid w:val="0AA534D5"/>
    <w:rsid w:val="0AA650EB"/>
    <w:rsid w:val="0AB8066A"/>
    <w:rsid w:val="0AF47339"/>
    <w:rsid w:val="0B22594B"/>
    <w:rsid w:val="0B797387"/>
    <w:rsid w:val="0B8B2381"/>
    <w:rsid w:val="0BC044BE"/>
    <w:rsid w:val="0BDF26F7"/>
    <w:rsid w:val="0C264099"/>
    <w:rsid w:val="0C2B4952"/>
    <w:rsid w:val="0C7B2220"/>
    <w:rsid w:val="0CE70809"/>
    <w:rsid w:val="0D742C8E"/>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E3010"/>
    <w:rsid w:val="13B27845"/>
    <w:rsid w:val="13BE469F"/>
    <w:rsid w:val="13F87121"/>
    <w:rsid w:val="141A03E1"/>
    <w:rsid w:val="143B2E0B"/>
    <w:rsid w:val="14492F3F"/>
    <w:rsid w:val="14672B11"/>
    <w:rsid w:val="14892735"/>
    <w:rsid w:val="14CC769D"/>
    <w:rsid w:val="157D38E3"/>
    <w:rsid w:val="15D359D7"/>
    <w:rsid w:val="15D81E0F"/>
    <w:rsid w:val="15EF298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B2EA3"/>
    <w:rsid w:val="1B8D5DC6"/>
    <w:rsid w:val="1BFE1D3B"/>
    <w:rsid w:val="1C2775EC"/>
    <w:rsid w:val="1C750ECE"/>
    <w:rsid w:val="1CA22168"/>
    <w:rsid w:val="1CBB71B1"/>
    <w:rsid w:val="1D0836D7"/>
    <w:rsid w:val="1D196139"/>
    <w:rsid w:val="1D3B0115"/>
    <w:rsid w:val="1D5E524D"/>
    <w:rsid w:val="1DB85900"/>
    <w:rsid w:val="1DF051AF"/>
    <w:rsid w:val="1E010AF7"/>
    <w:rsid w:val="1E0178EB"/>
    <w:rsid w:val="1E301173"/>
    <w:rsid w:val="1E371DEE"/>
    <w:rsid w:val="1E38333E"/>
    <w:rsid w:val="1E5C7612"/>
    <w:rsid w:val="1EA40BB4"/>
    <w:rsid w:val="1F43381C"/>
    <w:rsid w:val="1FA4148D"/>
    <w:rsid w:val="20121621"/>
    <w:rsid w:val="201A421D"/>
    <w:rsid w:val="2033053A"/>
    <w:rsid w:val="20341172"/>
    <w:rsid w:val="204E554F"/>
    <w:rsid w:val="20590035"/>
    <w:rsid w:val="20C35213"/>
    <w:rsid w:val="20FC799E"/>
    <w:rsid w:val="21D13530"/>
    <w:rsid w:val="22070E0E"/>
    <w:rsid w:val="22154DDD"/>
    <w:rsid w:val="22213E42"/>
    <w:rsid w:val="22336873"/>
    <w:rsid w:val="23175889"/>
    <w:rsid w:val="238C2182"/>
    <w:rsid w:val="239015D1"/>
    <w:rsid w:val="23BB4E7D"/>
    <w:rsid w:val="23C172D6"/>
    <w:rsid w:val="23ED155D"/>
    <w:rsid w:val="23F0419C"/>
    <w:rsid w:val="23F04F64"/>
    <w:rsid w:val="24814CBE"/>
    <w:rsid w:val="24AC168B"/>
    <w:rsid w:val="258C3BEC"/>
    <w:rsid w:val="25E576CC"/>
    <w:rsid w:val="25FE725E"/>
    <w:rsid w:val="260E3862"/>
    <w:rsid w:val="262569FC"/>
    <w:rsid w:val="26344C98"/>
    <w:rsid w:val="26F33D2A"/>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AFF6B90"/>
    <w:rsid w:val="2B7E4054"/>
    <w:rsid w:val="2BC90BB2"/>
    <w:rsid w:val="2BF22742"/>
    <w:rsid w:val="2C987C56"/>
    <w:rsid w:val="2CFF149A"/>
    <w:rsid w:val="2D201865"/>
    <w:rsid w:val="2D4B5CEA"/>
    <w:rsid w:val="2D652658"/>
    <w:rsid w:val="2DC80C49"/>
    <w:rsid w:val="2DCA6355"/>
    <w:rsid w:val="2DF0699F"/>
    <w:rsid w:val="2E166748"/>
    <w:rsid w:val="2E3050C3"/>
    <w:rsid w:val="2E556F01"/>
    <w:rsid w:val="2E8E20B4"/>
    <w:rsid w:val="2ED06066"/>
    <w:rsid w:val="2ED1223D"/>
    <w:rsid w:val="2EE470F7"/>
    <w:rsid w:val="2F000139"/>
    <w:rsid w:val="2F561B8A"/>
    <w:rsid w:val="2F9F42DC"/>
    <w:rsid w:val="2FE04319"/>
    <w:rsid w:val="2FF37AB3"/>
    <w:rsid w:val="308C7755"/>
    <w:rsid w:val="30F018B1"/>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492604B"/>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9B050B"/>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A02A07"/>
    <w:rsid w:val="49B86103"/>
    <w:rsid w:val="4A0030EE"/>
    <w:rsid w:val="4AC36065"/>
    <w:rsid w:val="4B1A0A44"/>
    <w:rsid w:val="4B560086"/>
    <w:rsid w:val="4B7501F5"/>
    <w:rsid w:val="4B8C2DEB"/>
    <w:rsid w:val="4BFA3C9F"/>
    <w:rsid w:val="4C0E3379"/>
    <w:rsid w:val="4C107F48"/>
    <w:rsid w:val="4C3277BC"/>
    <w:rsid w:val="4C686851"/>
    <w:rsid w:val="4C7A01BF"/>
    <w:rsid w:val="4C837643"/>
    <w:rsid w:val="4C892830"/>
    <w:rsid w:val="4CB25875"/>
    <w:rsid w:val="4CC353EB"/>
    <w:rsid w:val="4CF36F3C"/>
    <w:rsid w:val="4D4F67BA"/>
    <w:rsid w:val="4D603399"/>
    <w:rsid w:val="4D867EE1"/>
    <w:rsid w:val="4DBC4C65"/>
    <w:rsid w:val="4DF6568D"/>
    <w:rsid w:val="4E2E1A80"/>
    <w:rsid w:val="4E550010"/>
    <w:rsid w:val="4E5F14CB"/>
    <w:rsid w:val="4F0B67EE"/>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2976873"/>
    <w:rsid w:val="533B2B84"/>
    <w:rsid w:val="537A7243"/>
    <w:rsid w:val="539C1B81"/>
    <w:rsid w:val="53AA6184"/>
    <w:rsid w:val="53AE750F"/>
    <w:rsid w:val="53D83428"/>
    <w:rsid w:val="53EB0895"/>
    <w:rsid w:val="53F263AD"/>
    <w:rsid w:val="54693932"/>
    <w:rsid w:val="549A6BFA"/>
    <w:rsid w:val="54E72921"/>
    <w:rsid w:val="5548397D"/>
    <w:rsid w:val="55806F07"/>
    <w:rsid w:val="55F152A8"/>
    <w:rsid w:val="55FA2961"/>
    <w:rsid w:val="565E3E0E"/>
    <w:rsid w:val="565E7F4F"/>
    <w:rsid w:val="56775789"/>
    <w:rsid w:val="56857D06"/>
    <w:rsid w:val="56914056"/>
    <w:rsid w:val="569F0E63"/>
    <w:rsid w:val="56DB613D"/>
    <w:rsid w:val="573810DA"/>
    <w:rsid w:val="57C81948"/>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9E03B7"/>
    <w:rsid w:val="5EA06921"/>
    <w:rsid w:val="5EB56C6A"/>
    <w:rsid w:val="5ED5006A"/>
    <w:rsid w:val="5F4D6A3F"/>
    <w:rsid w:val="5F576E4B"/>
    <w:rsid w:val="5F5D4EDE"/>
    <w:rsid w:val="5F7A2C30"/>
    <w:rsid w:val="5FBE370A"/>
    <w:rsid w:val="60292845"/>
    <w:rsid w:val="61027308"/>
    <w:rsid w:val="612E1A5D"/>
    <w:rsid w:val="61816046"/>
    <w:rsid w:val="62182687"/>
    <w:rsid w:val="62391564"/>
    <w:rsid w:val="62816669"/>
    <w:rsid w:val="62BA0953"/>
    <w:rsid w:val="62D03A7C"/>
    <w:rsid w:val="62D4635F"/>
    <w:rsid w:val="62F16BCB"/>
    <w:rsid w:val="62F648FE"/>
    <w:rsid w:val="63341DB1"/>
    <w:rsid w:val="63447612"/>
    <w:rsid w:val="63907004"/>
    <w:rsid w:val="63A10995"/>
    <w:rsid w:val="63C23EFA"/>
    <w:rsid w:val="643A070A"/>
    <w:rsid w:val="644C573D"/>
    <w:rsid w:val="648667A7"/>
    <w:rsid w:val="64DB383A"/>
    <w:rsid w:val="64E4673E"/>
    <w:rsid w:val="65032F85"/>
    <w:rsid w:val="65136B50"/>
    <w:rsid w:val="657E2A35"/>
    <w:rsid w:val="65A94E9D"/>
    <w:rsid w:val="65AF3FB6"/>
    <w:rsid w:val="65C60A92"/>
    <w:rsid w:val="662203DD"/>
    <w:rsid w:val="666B723B"/>
    <w:rsid w:val="6678045A"/>
    <w:rsid w:val="667F7104"/>
    <w:rsid w:val="669302EF"/>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A33D21"/>
    <w:rsid w:val="6AC61F6F"/>
    <w:rsid w:val="6ADE74F0"/>
    <w:rsid w:val="6B1002C0"/>
    <w:rsid w:val="6B1F5CFA"/>
    <w:rsid w:val="6B723594"/>
    <w:rsid w:val="6B805156"/>
    <w:rsid w:val="6BD50977"/>
    <w:rsid w:val="6BEA2A9B"/>
    <w:rsid w:val="6C2216A6"/>
    <w:rsid w:val="6C9C0875"/>
    <w:rsid w:val="6C9D1F03"/>
    <w:rsid w:val="6CAA3931"/>
    <w:rsid w:val="6D3933CA"/>
    <w:rsid w:val="6D7B61EC"/>
    <w:rsid w:val="6DC3266E"/>
    <w:rsid w:val="6DD049FF"/>
    <w:rsid w:val="6E09491E"/>
    <w:rsid w:val="6E0D3655"/>
    <w:rsid w:val="6E5F4465"/>
    <w:rsid w:val="6E8C54DA"/>
    <w:rsid w:val="6EF11E03"/>
    <w:rsid w:val="6F111C62"/>
    <w:rsid w:val="6F1F692C"/>
    <w:rsid w:val="6F2030BB"/>
    <w:rsid w:val="6F2176E5"/>
    <w:rsid w:val="6F3053CA"/>
    <w:rsid w:val="6F592303"/>
    <w:rsid w:val="6F5F5B74"/>
    <w:rsid w:val="6F9660A0"/>
    <w:rsid w:val="6F9B1C65"/>
    <w:rsid w:val="6FD47A25"/>
    <w:rsid w:val="6FF44026"/>
    <w:rsid w:val="6FFB146E"/>
    <w:rsid w:val="701A5C74"/>
    <w:rsid w:val="706516C3"/>
    <w:rsid w:val="70864A71"/>
    <w:rsid w:val="70896E68"/>
    <w:rsid w:val="714556B4"/>
    <w:rsid w:val="71503ABD"/>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6D4B37"/>
    <w:rsid w:val="7B8D34C3"/>
    <w:rsid w:val="7B971D84"/>
    <w:rsid w:val="7BF32F03"/>
    <w:rsid w:val="7C1724A5"/>
    <w:rsid w:val="7C8E3CCF"/>
    <w:rsid w:val="7CA54112"/>
    <w:rsid w:val="7CE50CE4"/>
    <w:rsid w:val="7CF2585D"/>
    <w:rsid w:val="7CF35052"/>
    <w:rsid w:val="7D2177E3"/>
    <w:rsid w:val="7D2E5ABF"/>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2"/>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84</Pages>
  <Words>36275</Words>
  <Characters>37596</Characters>
  <Lines>264</Lines>
  <Paragraphs>74</Paragraphs>
  <TotalTime>3</TotalTime>
  <ScaleCrop>false</ScaleCrop>
  <LinksUpToDate>false</LinksUpToDate>
  <CharactersWithSpaces>39834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2022-07-06T03:31:13Z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5541D24D1789450CB4F03C32526F72C4</vt:lpwstr>
  </property>
</Properties>
</file>