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rFonts w:hint="eastAsia" w:ascii="黑体" w:hAnsi="黑体" w:eastAsia="黑体" w:cs="黑体"/>
          <w:b w:val="0"/>
          <w:bCs/>
          <w:color w:val="auto"/>
          <w:spacing w:val="57"/>
          <w:sz w:val="72"/>
          <w:szCs w:val="72"/>
          <w:highlight w:val="none"/>
        </w:rPr>
      </w:pPr>
      <w:r>
        <w:rPr>
          <w:rFonts w:hint="eastAsia" w:ascii="黑体" w:hAnsi="黑体" w:eastAsia="黑体" w:cs="黑体"/>
          <w:b w:val="0"/>
          <w:bCs/>
          <w:color w:val="auto"/>
          <w:spacing w:val="57"/>
          <w:sz w:val="72"/>
          <w:szCs w:val="72"/>
          <w:highlight w:val="none"/>
        </w:rPr>
        <w:t>竞争性磋商文件</w:t>
      </w:r>
    </w:p>
    <w:p>
      <w:pPr>
        <w:jc w:val="center"/>
        <w:rPr>
          <w:rFonts w:hint="eastAsia"/>
          <w:color w:val="auto"/>
          <w:highlight w:val="none"/>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2"/>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2"/>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p>
      <w:pPr>
        <w:pStyle w:val="21"/>
        <w:ind w:left="0" w:leftChars="0" w:firstLine="0" w:firstLineChars="0"/>
        <w:rPr>
          <w:rFonts w:hint="eastAsia" w:ascii="黑体" w:eastAsia="黑体"/>
          <w:color w:val="auto"/>
          <w:szCs w:val="21"/>
          <w:highlight w:val="none"/>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GDZT2022133B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7"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东莞市石排镇水贝李屋股份经济合作社1250kVA变压器安装工程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东莞市石排镇水贝李屋股份经济合作社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请各供应商在制作</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时认真阅读本</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建议供应商将</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正本、副本、</w:t>
      </w:r>
      <w:r>
        <w:rPr>
          <w:rFonts w:hint="eastAsia" w:ascii="宋体" w:hAnsi="宋体" w:cs="宋体"/>
          <w:b/>
          <w:bCs w:val="0"/>
          <w:color w:val="auto"/>
          <w:sz w:val="21"/>
          <w:szCs w:val="21"/>
          <w:highlight w:val="none"/>
          <w:u w:val="none"/>
          <w:lang w:eastAsia="zh-CN"/>
        </w:rPr>
        <w:t>报价</w:t>
      </w:r>
      <w:r>
        <w:rPr>
          <w:rFonts w:hint="eastAsia" w:ascii="宋体" w:hAnsi="宋体" w:eastAsia="宋体" w:cs="宋体"/>
          <w:b/>
          <w:bCs w:val="0"/>
          <w:color w:val="auto"/>
          <w:sz w:val="21"/>
          <w:szCs w:val="21"/>
          <w:highlight w:val="none"/>
          <w:u w:val="none"/>
        </w:rPr>
        <w:t>信封分别密封包装，并按照</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w:t>
      </w:r>
      <w:r>
        <w:rPr>
          <w:rFonts w:hint="eastAsia" w:ascii="宋体" w:hAnsi="宋体" w:cs="宋体"/>
          <w:b/>
          <w:bCs w:val="0"/>
          <w:color w:val="auto"/>
          <w:sz w:val="21"/>
          <w:szCs w:val="21"/>
          <w:highlight w:val="none"/>
          <w:u w:val="none"/>
          <w:lang w:eastAsia="zh-CN"/>
        </w:rPr>
        <w:t>供应商</w:t>
      </w:r>
      <w:r>
        <w:rPr>
          <w:rFonts w:hint="eastAsia" w:ascii="宋体" w:hAnsi="宋体" w:eastAsia="宋体" w:cs="宋体"/>
          <w:b/>
          <w:bCs w:val="0"/>
          <w:color w:val="auto"/>
          <w:sz w:val="21"/>
          <w:szCs w:val="21"/>
          <w:highlight w:val="none"/>
          <w:u w:val="none"/>
        </w:rPr>
        <w:t xml:space="preserve">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的递交”中相关要求进行提交，避免因密封包装不符合要求而导致</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cs="宋体"/>
          <w:b/>
          <w:bCs w:val="0"/>
          <w:color w:val="auto"/>
          <w:sz w:val="21"/>
          <w:szCs w:val="21"/>
          <w:highlight w:val="none"/>
          <w:u w:val="none"/>
          <w:lang w:val="en-US" w:eastAsia="zh-CN"/>
        </w:rPr>
        <w:t>报价</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是否已按</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w:t>
      </w:r>
      <w:r>
        <w:rPr>
          <w:rFonts w:hint="eastAsia" w:ascii="宋体" w:hAnsi="宋体" w:cs="宋体"/>
          <w:b/>
          <w:bCs w:val="0"/>
          <w:color w:val="auto"/>
          <w:sz w:val="21"/>
          <w:szCs w:val="21"/>
          <w:highlight w:val="none"/>
          <w:u w:val="none"/>
          <w:lang w:val="en-US" w:eastAsia="zh-CN"/>
        </w:rPr>
        <w:t>响应文件</w:t>
      </w:r>
      <w:r>
        <w:rPr>
          <w:rFonts w:hint="eastAsia" w:ascii="宋体" w:hAnsi="宋体" w:eastAsia="宋体" w:cs="宋体"/>
          <w:b/>
          <w:bCs w:val="0"/>
          <w:color w:val="auto"/>
          <w:sz w:val="21"/>
          <w:szCs w:val="21"/>
          <w:highlight w:val="none"/>
          <w:u w:val="none"/>
        </w:rPr>
        <w:t>无效</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递交截止时间之前30分钟内到达开标地点</w:t>
      </w:r>
      <w:r>
        <w:rPr>
          <w:rFonts w:hint="eastAsia" w:ascii="宋体" w:hAnsi="宋体" w:eastAsia="宋体" w:cs="宋体"/>
          <w:b/>
          <w:bCs w:val="0"/>
          <w:color w:val="auto"/>
          <w:sz w:val="21"/>
          <w:szCs w:val="21"/>
          <w:highlight w:val="none"/>
          <w:u w:val="none"/>
          <w:lang w:eastAsia="zh-CN"/>
        </w:rPr>
        <w:t>，</w:t>
      </w:r>
      <w:r>
        <w:rPr>
          <w:rFonts w:hint="eastAsia" w:ascii="宋体" w:hAnsi="宋体" w:cs="宋体"/>
          <w:b/>
          <w:bCs w:val="0"/>
          <w:color w:val="auto"/>
          <w:sz w:val="21"/>
          <w:szCs w:val="21"/>
          <w:highlight w:val="none"/>
          <w:u w:val="none"/>
          <w:lang w:val="en-US" w:eastAsia="zh-CN"/>
        </w:rPr>
        <w:t>响应</w:t>
      </w:r>
      <w:r>
        <w:rPr>
          <w:rFonts w:hint="eastAsia" w:ascii="宋体" w:hAnsi="宋体" w:eastAsia="宋体" w:cs="宋体"/>
          <w:b/>
          <w:bCs w:val="0"/>
          <w:color w:val="auto"/>
          <w:sz w:val="21"/>
          <w:szCs w:val="21"/>
          <w:highlight w:val="none"/>
          <w:u w:val="none"/>
          <w:lang w:eastAsia="zh-CN"/>
        </w:rPr>
        <w:t>截止时间一到，本公司不接收任何</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为了提高政府采购效率，节约社会交易成本与时间，希望领购了</w:t>
      </w:r>
      <w:r>
        <w:rPr>
          <w:rFonts w:hint="eastAsia" w:ascii="宋体" w:hAnsi="宋体" w:cs="宋体"/>
          <w:b/>
          <w:bCs w:val="0"/>
          <w:color w:val="auto"/>
          <w:sz w:val="21"/>
          <w:szCs w:val="21"/>
          <w:highlight w:val="none"/>
          <w:u w:val="none"/>
          <w:lang w:eastAsia="zh-CN"/>
        </w:rPr>
        <w:t>磋商文件</w:t>
      </w:r>
      <w:r>
        <w:rPr>
          <w:rFonts w:hint="eastAsia" w:ascii="宋体" w:hAnsi="宋体" w:eastAsia="宋体" w:cs="宋体"/>
          <w:b/>
          <w:bCs w:val="0"/>
          <w:color w:val="auto"/>
          <w:sz w:val="21"/>
          <w:szCs w:val="21"/>
          <w:highlight w:val="none"/>
          <w:u w:val="none"/>
        </w:rPr>
        <w:t>而决定不参加本项目的供应商，在</w:t>
      </w:r>
      <w:r>
        <w:rPr>
          <w:rFonts w:hint="eastAsia" w:ascii="宋体" w:hAnsi="宋体" w:cs="宋体"/>
          <w:b/>
          <w:bCs w:val="0"/>
          <w:color w:val="auto"/>
          <w:sz w:val="21"/>
          <w:szCs w:val="21"/>
          <w:highlight w:val="none"/>
          <w:u w:val="none"/>
          <w:lang w:eastAsia="zh-CN"/>
        </w:rPr>
        <w:t>响应文件</w:t>
      </w:r>
      <w:r>
        <w:rPr>
          <w:rFonts w:hint="eastAsia" w:ascii="宋体" w:hAnsi="宋体" w:eastAsia="宋体" w:cs="宋体"/>
          <w:b/>
          <w:bCs w:val="0"/>
          <w:color w:val="auto"/>
          <w:sz w:val="21"/>
          <w:szCs w:val="21"/>
          <w:highlight w:val="none"/>
          <w:u w:val="none"/>
        </w:rPr>
        <w:t>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w:t>
      </w:r>
      <w:r>
        <w:rPr>
          <w:rFonts w:hint="eastAsia" w:ascii="宋体" w:hAnsi="宋体" w:cs="宋体"/>
          <w:b/>
          <w:bCs w:val="0"/>
          <w:color w:val="auto"/>
          <w:sz w:val="21"/>
          <w:szCs w:val="21"/>
          <w:highlight w:val="none"/>
          <w:u w:val="none"/>
          <w:lang w:val="en-US" w:eastAsia="zh-CN"/>
        </w:rPr>
        <w:t>磋商</w:t>
      </w:r>
      <w:r>
        <w:rPr>
          <w:rFonts w:hint="eastAsia" w:ascii="宋体" w:hAnsi="宋体" w:eastAsia="宋体" w:cs="宋体"/>
          <w:b/>
          <w:bCs w:val="0"/>
          <w:color w:val="auto"/>
          <w:sz w:val="21"/>
          <w:szCs w:val="21"/>
          <w:highlight w:val="none"/>
          <w:u w:val="none"/>
        </w:rPr>
        <w:t>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highlight w:val="none"/>
          <w:u w:val="none"/>
          <w:lang w:val="en-US" w:eastAsia="zh-CN"/>
        </w:rPr>
      </w:pPr>
      <w:r>
        <w:rPr>
          <w:rFonts w:hint="eastAsia" w:ascii="宋体" w:hAnsi="宋体" w:eastAsia="宋体" w:cs="宋体"/>
          <w:b/>
          <w:bCs w:val="0"/>
          <w:color w:val="auto"/>
          <w:sz w:val="21"/>
          <w:szCs w:val="21"/>
          <w:highlight w:val="none"/>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eastAsia="宋体"/>
          <w:color w:val="auto"/>
          <w:sz w:val="40"/>
          <w:szCs w:val="40"/>
          <w:highlight w:val="none"/>
          <w:lang w:eastAsia="zh-CN"/>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3"/>
                    <a:stretch>
                      <a:fillRect/>
                    </a:stretch>
                  </pic:blipFill>
                  <pic:spPr>
                    <a:xfrm>
                      <a:off x="0" y="0"/>
                      <a:ext cx="5266690" cy="2573655"/>
                    </a:xfrm>
                    <a:prstGeom prst="rect">
                      <a:avLst/>
                    </a:prstGeom>
                  </pic:spPr>
                </pic:pic>
              </a:graphicData>
            </a:graphic>
          </wp:inline>
        </w:drawing>
      </w:r>
    </w:p>
    <w:p>
      <w:pPr>
        <w:rPr>
          <w:rFonts w:hint="eastAsia"/>
          <w:color w:val="auto"/>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_Toc14033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 xml:space="preserve">第一部分 </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_Toc14033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磋商资料表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_Toc4043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  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_Toc17291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 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_Toc17291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 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 适用法律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 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_Toc5242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 关于联合体报价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_Toc5242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 关于分支机构报价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_Toc18108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 保密及其它注意事项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_Toc18108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_Toc25468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磋商文件说明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_Toc25468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_Toc21439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 采购文件构成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_Toc21439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响应文件的编制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_Toc19833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 响应文件的语言及度量衡单位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_Toc19833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_Toc18228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 响应文件编制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_Toc18228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 响应文件的内容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 响应文件格式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 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本项目不需提供</w:t>
      </w:r>
      <w:r>
        <w:rPr>
          <w:rFonts w:hint="eastAsia" w:ascii="宋体" w:hAnsi="宋体" w:eastAsia="宋体" w:cs="宋体"/>
          <w:color w:val="auto"/>
          <w:sz w:val="21"/>
          <w:szCs w:val="21"/>
          <w:highlight w:val="none"/>
        </w:rPr>
        <w:t>磋商保证金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 ★报价（响应文件）有效期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_Toc7006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 响应文件的密封和标记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 响应文件的递交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 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_Toc3401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磋商、评审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_Toc3401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 签到及评审方法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_Toc10080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 磋商小组</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_Toc10080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_Toc17157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 对响应文件的初审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_Toc17157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_Toc18895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 技术商务磋商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 最终报价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 综合评分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_Toc30725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 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_Toc30725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确定成交供应商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 确定成交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_Toc3941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 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_Toc3941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 原件核查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_Toc29067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_Toc18000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 签订合同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_Toc18000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_Toc18663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 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_Toc18663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_Toc20114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 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_Toc20114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第九章</w:t>
      </w:r>
      <w:r>
        <w:rPr>
          <w:rFonts w:hint="eastAsia" w:ascii="宋体" w:hAnsi="宋体" w:eastAsia="宋体" w:cs="宋体"/>
          <w:color w:val="auto"/>
          <w:sz w:val="21"/>
          <w:szCs w:val="21"/>
          <w:highlight w:val="none"/>
        </w:rPr>
        <w:t>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_Toc26991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 成交服务费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_Toc26991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第十章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 磋商文件的解释权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_Toc19981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_Toc19981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_Toc15158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 xml:space="preserve">部分  </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_Toc19057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一、报价一览表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_Toc14734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一、响应函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_Toc21335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_Toc21335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_Toc32128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_Toc11689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六、供应商基本情况说明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_Toc12706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_Toc12706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_Toc14482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_Toc14482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_Toc21582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_Toc7350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_Toc7350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_Toc13588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_Toc13588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_Toc25570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_Toc25570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_Toc16875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_Toc16875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_Toc27978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六、响应货物明细一览表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_Toc31841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七</w:t>
      </w:r>
      <w:r>
        <w:rPr>
          <w:rFonts w:hint="eastAsia" w:ascii="宋体" w:hAnsi="宋体" w:eastAsia="宋体" w:cs="宋体"/>
          <w:color w:val="auto"/>
          <w:sz w:val="21"/>
          <w:szCs w:val="21"/>
          <w:highlight w:val="none"/>
          <w:lang w:val="en-US" w:eastAsia="zh-CN"/>
        </w:rPr>
        <w:t>、政府采购履约担保函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_Toc17348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第四章报价信封（单独封装）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_Toc17348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_Toc13881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第五章联合体共同报价协议书（如有需要）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_Toc13881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p>
    <w:p>
      <w:pPr>
        <w:pStyle w:val="4"/>
        <w:spacing w:before="0" w:after="0" w:line="240" w:lineRule="auto"/>
        <w:rPr>
          <w:color w:val="auto"/>
          <w:sz w:val="28"/>
          <w:szCs w:val="28"/>
          <w:highlight w:val="none"/>
        </w:rPr>
      </w:pPr>
      <w:bookmarkStart w:id="0" w:name="_Toc14033"/>
      <w:bookmarkStart w:id="1" w:name="_Toc17306"/>
      <w:r>
        <w:rPr>
          <w:rFonts w:hint="eastAsia"/>
          <w:color w:val="auto"/>
          <w:sz w:val="28"/>
          <w:szCs w:val="28"/>
          <w:highlight w:val="none"/>
        </w:rPr>
        <w:t xml:space="preserve">第一部分 </w:t>
      </w:r>
      <w:r>
        <w:rPr>
          <w:rFonts w:hint="eastAsia"/>
          <w:color w:val="auto"/>
          <w:sz w:val="28"/>
          <w:szCs w:val="28"/>
          <w:highlight w:val="none"/>
          <w:lang w:eastAsia="zh-CN"/>
        </w:rPr>
        <w:t>磋商</w:t>
      </w:r>
      <w:r>
        <w:rPr>
          <w:rFonts w:hint="eastAsia"/>
          <w:color w:val="auto"/>
          <w:sz w:val="28"/>
          <w:szCs w:val="28"/>
          <w:highlight w:val="none"/>
        </w:rPr>
        <w:t>邀请</w:t>
      </w:r>
      <w:bookmarkEnd w:id="0"/>
      <w:bookmarkEnd w:id="1"/>
    </w:p>
    <w:p>
      <w:pPr>
        <w:pStyle w:val="5"/>
        <w:spacing w:before="0" w:after="0" w:line="360" w:lineRule="auto"/>
        <w:jc w:val="center"/>
        <w:rPr>
          <w:rFonts w:ascii="宋体" w:hAnsi="宋体" w:eastAsia="宋体" w:cs="宋体"/>
          <w:color w:val="auto"/>
          <w:highlight w:val="none"/>
        </w:rPr>
      </w:pPr>
      <w:bookmarkStart w:id="2" w:name="_Toc8850"/>
      <w:bookmarkStart w:id="3" w:name="_Toc1420"/>
      <w:bookmarkStart w:id="4" w:name="_Toc7988"/>
      <w:r>
        <w:rPr>
          <w:rFonts w:hint="eastAsia" w:ascii="宋体" w:hAnsi="宋体" w:cs="宋体"/>
          <w:color w:val="auto"/>
          <w:highlight w:val="none"/>
          <w:lang w:eastAsia="zh-CN"/>
        </w:rPr>
        <w:t>磋商</w:t>
      </w:r>
      <w:r>
        <w:rPr>
          <w:rFonts w:hint="eastAsia" w:ascii="宋体" w:hAnsi="宋体" w:eastAsia="宋体" w:cs="宋体"/>
          <w:color w:val="auto"/>
          <w:highlight w:val="none"/>
        </w:rPr>
        <w:t>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b/>
          <w:color w:val="auto"/>
          <w:sz w:val="21"/>
          <w:szCs w:val="21"/>
          <w:highlight w:val="none"/>
          <w:u w:val="single"/>
          <w:lang w:eastAsia="zh-CN"/>
        </w:rPr>
        <w:t>东莞市石排镇水贝李屋股份经济合作社</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b/>
          <w:color w:val="auto"/>
          <w:sz w:val="21"/>
          <w:szCs w:val="21"/>
          <w:highlight w:val="none"/>
          <w:u w:val="single"/>
          <w:lang w:eastAsia="zh-CN"/>
        </w:rPr>
        <w:t>东莞市石排镇水贝李屋股份经济合作社1250kVA变压器安装工程</w:t>
      </w:r>
      <w:r>
        <w:rPr>
          <w:rFonts w:hint="eastAsia" w:ascii="宋体" w:hAnsi="宋体" w:eastAsia="宋体" w:cs="Times New Roman"/>
          <w:color w:val="auto"/>
          <w:sz w:val="21"/>
          <w:szCs w:val="21"/>
          <w:highlight w:val="none"/>
        </w:rPr>
        <w:t>进行国内</w:t>
      </w:r>
      <w:r>
        <w:rPr>
          <w:rFonts w:hint="eastAsia" w:ascii="宋体" w:hAnsi="宋体" w:cs="Times New Roman"/>
          <w:color w:val="auto"/>
          <w:sz w:val="21"/>
          <w:szCs w:val="21"/>
          <w:highlight w:val="none"/>
          <w:lang w:eastAsia="zh-CN"/>
        </w:rPr>
        <w:t>竞争性磋商</w:t>
      </w:r>
      <w:r>
        <w:rPr>
          <w:rFonts w:hint="eastAsia" w:ascii="宋体" w:hAnsi="宋体" w:eastAsia="宋体" w:cs="Times New Roman"/>
          <w:color w:val="auto"/>
          <w:sz w:val="21"/>
          <w:szCs w:val="21"/>
          <w:highlight w:val="none"/>
        </w:rPr>
        <w:t>采购</w:t>
      </w:r>
      <w:r>
        <w:rPr>
          <w:rFonts w:hint="eastAsia" w:ascii="宋体" w:hAnsi="宋体" w:eastAsia="宋体"/>
          <w:color w:val="auto"/>
          <w:sz w:val="21"/>
          <w:szCs w:val="21"/>
          <w:highlight w:val="none"/>
        </w:rPr>
        <w:t>，欢迎符合</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要求的国内</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参加</w:t>
      </w:r>
      <w:r>
        <w:rPr>
          <w:rFonts w:hint="eastAsia" w:hAnsi="宋体"/>
          <w:color w:val="auto"/>
          <w:szCs w:val="21"/>
          <w:highlight w:val="none"/>
        </w:rPr>
        <w:t>参与本次政府采购活动</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编号：GDZT2022133B；</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b/>
          <w:color w:val="auto"/>
          <w:sz w:val="21"/>
          <w:szCs w:val="21"/>
          <w:highlight w:val="none"/>
          <w:u w:val="single"/>
          <w:lang w:eastAsia="zh-CN"/>
        </w:rPr>
        <w:t>东莞市石排镇水贝李屋股份经济合作社1250kVA变压器安装工程</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2"/>
        <w:tblW w:w="47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32"/>
        <w:gridCol w:w="1332"/>
        <w:gridCol w:w="1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8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94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包组内容</w:t>
            </w:r>
          </w:p>
        </w:tc>
        <w:tc>
          <w:tcPr>
            <w:tcW w:w="84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数量</w:t>
            </w:r>
          </w:p>
        </w:tc>
        <w:tc>
          <w:tcPr>
            <w:tcW w:w="92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8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94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b/>
                <w:color w:val="auto"/>
                <w:sz w:val="21"/>
                <w:szCs w:val="21"/>
                <w:highlight w:val="none"/>
                <w:u w:val="single"/>
                <w:lang w:eastAsia="zh-CN"/>
              </w:rPr>
              <w:t>东莞市石排镇水贝李屋股份经济合作社1250kVA变压器安装工程</w:t>
            </w:r>
          </w:p>
        </w:tc>
        <w:tc>
          <w:tcPr>
            <w:tcW w:w="84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920"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highlight w:val="none"/>
                <w:lang w:val="en-US" w:eastAsia="zh-CN"/>
              </w:rPr>
            </w:pPr>
            <w:r>
              <w:rPr>
                <w:rFonts w:hint="eastAsia" w:ascii="宋体" w:hAnsi="宋体" w:eastAsia="宋体"/>
                <w:b/>
                <w:color w:val="auto"/>
                <w:sz w:val="21"/>
                <w:szCs w:val="21"/>
                <w:highlight w:val="none"/>
                <w:u w:val="single"/>
              </w:rPr>
              <w:t>8</w:t>
            </w:r>
            <w:r>
              <w:rPr>
                <w:rFonts w:hint="eastAsia" w:ascii="宋体" w:hAnsi="宋体"/>
                <w:b/>
                <w:color w:val="auto"/>
                <w:sz w:val="21"/>
                <w:szCs w:val="21"/>
                <w:highlight w:val="none"/>
                <w:u w:val="single"/>
                <w:lang w:val="en-US" w:eastAsia="zh-CN"/>
              </w:rPr>
              <w:t>57</w:t>
            </w:r>
            <w:r>
              <w:rPr>
                <w:rFonts w:hint="eastAsia" w:ascii="宋体" w:hAnsi="宋体" w:eastAsia="宋体"/>
                <w:b/>
                <w:color w:val="auto"/>
                <w:sz w:val="21"/>
                <w:szCs w:val="21"/>
                <w:highlight w:val="none"/>
                <w:u w:val="single"/>
              </w:rPr>
              <w:t>,</w:t>
            </w:r>
            <w:r>
              <w:rPr>
                <w:rFonts w:hint="eastAsia" w:ascii="宋体" w:hAnsi="宋体"/>
                <w:b/>
                <w:color w:val="auto"/>
                <w:sz w:val="21"/>
                <w:szCs w:val="21"/>
                <w:highlight w:val="none"/>
                <w:u w:val="single"/>
                <w:lang w:val="en-US" w:eastAsia="zh-CN"/>
              </w:rPr>
              <w:t>8</w:t>
            </w:r>
            <w:r>
              <w:rPr>
                <w:rFonts w:hint="eastAsia" w:ascii="宋体" w:hAnsi="宋体" w:eastAsia="宋体"/>
                <w:b/>
                <w:color w:val="auto"/>
                <w:sz w:val="21"/>
                <w:szCs w:val="21"/>
                <w:highlight w:val="none"/>
                <w:u w:val="single"/>
              </w:rPr>
              <w:t>6</w:t>
            </w:r>
            <w:r>
              <w:rPr>
                <w:rFonts w:hint="eastAsia" w:ascii="宋体" w:hAnsi="宋体"/>
                <w:b/>
                <w:color w:val="auto"/>
                <w:sz w:val="21"/>
                <w:szCs w:val="21"/>
                <w:highlight w:val="none"/>
                <w:u w:val="single"/>
                <w:lang w:val="en-US" w:eastAsia="zh-CN"/>
              </w:rPr>
              <w:t>0</w:t>
            </w:r>
            <w:r>
              <w:rPr>
                <w:rFonts w:hint="eastAsia" w:ascii="宋体" w:hAnsi="宋体" w:eastAsia="宋体"/>
                <w:b/>
                <w:color w:val="auto"/>
                <w:sz w:val="21"/>
                <w:szCs w:val="21"/>
                <w:highlight w:val="none"/>
                <w:u w:val="single"/>
              </w:rPr>
              <w:t>.</w:t>
            </w:r>
            <w:r>
              <w:rPr>
                <w:rFonts w:hint="eastAsia" w:ascii="宋体" w:hAnsi="宋体"/>
                <w:b/>
                <w:color w:val="auto"/>
                <w:sz w:val="21"/>
                <w:szCs w:val="21"/>
                <w:highlight w:val="none"/>
                <w:u w:val="single"/>
                <w:lang w:val="en-US" w:eastAsia="zh-CN"/>
              </w:rPr>
              <w:t>00</w:t>
            </w:r>
            <w:r>
              <w:rPr>
                <w:rFonts w:hint="eastAsia" w:ascii="宋体" w:hAnsi="宋体" w:eastAsia="宋体"/>
                <w:color w:val="auto"/>
                <w:sz w:val="21"/>
                <w:szCs w:val="21"/>
                <w:highlight w:val="none"/>
              </w:rPr>
              <w:t>元</w:t>
            </w:r>
          </w:p>
        </w:tc>
      </w:tr>
    </w:tbl>
    <w:p>
      <w:pPr>
        <w:spacing w:after="0" w:line="360" w:lineRule="auto"/>
        <w:ind w:firstLine="413" w:firstLineChars="196"/>
        <w:rPr>
          <w:rFonts w:hint="eastAsia" w:ascii="宋体" w:hAnsi="宋体" w:eastAsia="宋体"/>
          <w:b/>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的单位负责人为同一人或者存在直接控股、管理关系的不同</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，不得参加同一合同项下的政府采购活动。为本项目提供整体设计、规范编制或者项目管理、监理、检测等服务的</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)“政府采购严重违法失信行为信息记录”中的禁止参加政府采购活动期间。以代理机构于</w:t>
      </w:r>
      <w:r>
        <w:rPr>
          <w:rFonts w:hint="eastAsia" w:ascii="宋体" w:hAnsi="宋体"/>
          <w:color w:val="auto"/>
          <w:sz w:val="21"/>
          <w:szCs w:val="21"/>
          <w:highlight w:val="none"/>
          <w:lang w:val="en-US" w:eastAsia="zh-CN"/>
        </w:rPr>
        <w:t>响应</w:t>
      </w:r>
      <w:r>
        <w:rPr>
          <w:rFonts w:hint="eastAsia" w:ascii="宋体" w:hAnsi="宋体" w:eastAsia="宋体"/>
          <w:color w:val="auto"/>
          <w:sz w:val="21"/>
          <w:szCs w:val="21"/>
          <w:highlight w:val="none"/>
        </w:rPr>
        <w:t>截止日当天在“信用中国”网站及中国政府采购网查询结果为准，如相关失信记录已失效，</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2、特殊要求：</w:t>
      </w:r>
    </w:p>
    <w:p>
      <w:pPr>
        <w:keepNext w:val="0"/>
        <w:keepLines w:val="0"/>
        <w:pageBreakBefore w:val="0"/>
        <w:widowControl/>
        <w:kinsoku/>
        <w:wordWrap/>
        <w:overflowPunct/>
        <w:topLinePunct w:val="0"/>
        <w:autoSpaceDE/>
        <w:autoSpaceDN/>
        <w:bidi w:val="0"/>
        <w:adjustRightInd w:val="0"/>
        <w:snapToGrid w:val="0"/>
        <w:spacing w:after="0" w:line="360" w:lineRule="auto"/>
        <w:ind w:firstLine="411" w:firstLineChars="196"/>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（1）具有《承装（修）、试电力设施许可证》证书，或送（输）变电工程专业承包企业资质，或电力工程施工总承包资质证书。</w:t>
      </w:r>
    </w:p>
    <w:p>
      <w:pPr>
        <w:bidi w:val="0"/>
        <w:rPr>
          <w:rFonts w:hint="eastAsia"/>
          <w:color w:val="auto"/>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w:t>
      </w:r>
      <w:r>
        <w:rPr>
          <w:rFonts w:hint="eastAsia" w:ascii="宋体" w:hAnsi="宋体"/>
          <w:b/>
          <w:color w:val="auto"/>
          <w:sz w:val="21"/>
          <w:szCs w:val="21"/>
          <w:highlight w:val="none"/>
          <w:lang w:eastAsia="zh-CN"/>
        </w:rPr>
        <w:t>磋商文件</w:t>
      </w:r>
      <w:r>
        <w:rPr>
          <w:rFonts w:hint="eastAsia" w:ascii="宋体" w:hAnsi="宋体" w:eastAsia="宋体"/>
          <w:b/>
          <w:color w:val="auto"/>
          <w:sz w:val="21"/>
          <w:szCs w:val="21"/>
          <w:highlight w:val="none"/>
        </w:rPr>
        <w:t>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w:t>
      </w:r>
      <w:r>
        <w:rPr>
          <w:rFonts w:ascii="宋体" w:hAnsi="宋体" w:eastAsia="宋体"/>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日起至202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olor w:val="auto"/>
          <w:sz w:val="21"/>
          <w:szCs w:val="21"/>
          <w:highlight w:val="none"/>
          <w:lang w:val="en-US" w:eastAsia="zh-CN"/>
        </w:rPr>
        <w:t>7</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8</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可自行打印</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登记表”进行填写并带到现场进行领购，并现场领取发票。（</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领购价：人民币</w:t>
      </w:r>
      <w:r>
        <w:rPr>
          <w:rFonts w:hint="eastAsia" w:ascii="宋体" w:hAnsi="宋体"/>
          <w:color w:val="auto"/>
          <w:sz w:val="21"/>
          <w:szCs w:val="21"/>
          <w:highlight w:val="none"/>
          <w:lang w:val="en-US" w:eastAsia="zh-CN"/>
        </w:rPr>
        <w:t>300</w:t>
      </w:r>
      <w:r>
        <w:rPr>
          <w:rFonts w:hint="eastAsia" w:ascii="宋体" w:hAnsi="宋体" w:eastAsia="宋体"/>
          <w:color w:val="auto"/>
          <w:sz w:val="21"/>
          <w:szCs w:val="21"/>
          <w:highlight w:val="none"/>
        </w:rPr>
        <w:t>元整）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eastAsia="宋体"/>
          <w:color w:val="auto"/>
          <w:sz w:val="21"/>
          <w:szCs w:val="21"/>
          <w:highlight w:val="none"/>
          <w:lang w:eastAsia="zh-CN"/>
        </w:rPr>
        <w:t>简海欣</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在领购</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时须提供如下证明材料：《营业执照》复印件（加盖公章）或《事业单位法人证书》复印件（加盖公章）或其他主体证书复印件（加盖公章），自然人参加</w:t>
      </w:r>
      <w:r>
        <w:rPr>
          <w:rFonts w:hint="eastAsia" w:ascii="宋体" w:hAnsi="宋体"/>
          <w:color w:val="auto"/>
          <w:sz w:val="21"/>
          <w:szCs w:val="21"/>
          <w:highlight w:val="none"/>
          <w:lang w:val="en-US" w:eastAsia="zh-CN"/>
        </w:rPr>
        <w:t>报价</w:t>
      </w:r>
      <w:r>
        <w:rPr>
          <w:rFonts w:hint="eastAsia" w:ascii="宋体" w:hAnsi="宋体" w:eastAsia="宋体"/>
          <w:color w:val="auto"/>
          <w:sz w:val="21"/>
          <w:szCs w:val="21"/>
          <w:highlight w:val="none"/>
        </w:rPr>
        <w:t>须提供自然人的身份证明材料</w:t>
      </w:r>
      <w:r>
        <w:rPr>
          <w:rFonts w:hint="eastAsia" w:ascii="宋体" w:hAnsi="宋体" w:eastAsia="宋体"/>
          <w:color w:val="auto"/>
          <w:sz w:val="21"/>
          <w:szCs w:val="21"/>
          <w:highlight w:val="none"/>
          <w:lang w:eastAsia="zh-CN"/>
        </w:rPr>
        <w:t>。</w:t>
      </w:r>
    </w:p>
    <w:p>
      <w:pPr>
        <w:bidi w:val="0"/>
        <w:rPr>
          <w:rFonts w:hint="eastAsia"/>
          <w:color w:val="auto"/>
          <w:highlight w:val="none"/>
          <w:lang w:eastAsia="zh-CN"/>
        </w:rPr>
      </w:pPr>
    </w:p>
    <w:p>
      <w:pPr>
        <w:spacing w:after="0" w:line="360" w:lineRule="auto"/>
        <w:ind w:firstLine="413" w:firstLineChars="196"/>
        <w:rPr>
          <w:rFonts w:hint="default"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lang w:val="en-US" w:eastAsia="zh-CN"/>
        </w:rPr>
        <w:t>四</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lang w:val="en-US" w:eastAsia="zh-CN"/>
        </w:rPr>
        <w:t>五</w:t>
      </w:r>
      <w:r>
        <w:rPr>
          <w:rFonts w:hint="eastAsia" w:ascii="宋体" w:hAnsi="宋体" w:eastAsia="宋体"/>
          <w:b/>
          <w:color w:val="auto"/>
          <w:sz w:val="21"/>
          <w:szCs w:val="21"/>
          <w:highlight w:val="none"/>
        </w:rPr>
        <w:t>、</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w:t>
      </w:r>
      <w:r>
        <w:rPr>
          <w:rFonts w:hint="eastAsia" w:ascii="宋体" w:hAnsi="宋体"/>
          <w:bCs/>
          <w:color w:val="auto"/>
          <w:sz w:val="21"/>
          <w:szCs w:val="21"/>
          <w:highlight w:val="none"/>
          <w:lang w:eastAsia="zh-CN"/>
        </w:rPr>
        <w:t>响应文件</w:t>
      </w:r>
      <w:r>
        <w:rPr>
          <w:rFonts w:hint="eastAsia" w:ascii="宋体" w:hAnsi="宋体" w:eastAsia="宋体"/>
          <w:bCs/>
          <w:color w:val="auto"/>
          <w:sz w:val="21"/>
          <w:szCs w:val="21"/>
          <w:highlight w:val="none"/>
        </w:rPr>
        <w:t>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12</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14</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3</w:t>
      </w:r>
      <w:r>
        <w:rPr>
          <w:rFonts w:hint="eastAsia" w:ascii="宋体" w:hAnsi="宋体" w:eastAsia="宋体"/>
          <w:bCs/>
          <w:color w:val="auto"/>
          <w:sz w:val="21"/>
          <w:szCs w:val="21"/>
          <w:highlight w:val="none"/>
        </w:rPr>
        <w:t>0～</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hint="eastAsia" w:ascii="宋体" w:hAnsi="宋体"/>
          <w:bCs/>
          <w:color w:val="auto"/>
          <w:sz w:val="21"/>
          <w:szCs w:val="21"/>
          <w:highlight w:val="none"/>
          <w:lang w:val="en-US" w:eastAsia="zh-CN"/>
        </w:rPr>
        <w:t>响应</w:t>
      </w:r>
      <w:r>
        <w:rPr>
          <w:rFonts w:ascii="宋体" w:hAnsi="宋体" w:eastAsia="宋体"/>
          <w:bCs/>
          <w:color w:val="auto"/>
          <w:sz w:val="21"/>
          <w:szCs w:val="21"/>
          <w:highlight w:val="none"/>
        </w:rPr>
        <w:t>截止</w:t>
      </w:r>
      <w:r>
        <w:rPr>
          <w:rFonts w:hint="eastAsia" w:ascii="宋体" w:hAnsi="宋体" w:eastAsia="宋体"/>
          <w:bCs/>
          <w:color w:val="auto"/>
          <w:sz w:val="21"/>
          <w:szCs w:val="21"/>
          <w:highlight w:val="none"/>
        </w:rPr>
        <w:t>及开标时间：</w:t>
      </w: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bCs/>
          <w:color w:val="auto"/>
          <w:sz w:val="21"/>
          <w:szCs w:val="21"/>
          <w:highlight w:val="none"/>
          <w:lang w:val="en-US" w:eastAsia="zh-CN"/>
        </w:rPr>
        <w:t>7</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12</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下</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15</w:t>
      </w:r>
      <w:r>
        <w:rPr>
          <w:rFonts w:hint="eastAsia" w:ascii="宋体" w:hAnsi="宋体" w:eastAsia="宋体"/>
          <w:bCs/>
          <w:color w:val="auto"/>
          <w:sz w:val="21"/>
          <w:szCs w:val="21"/>
          <w:highlight w:val="none"/>
        </w:rPr>
        <w:t>时</w:t>
      </w:r>
      <w:r>
        <w:rPr>
          <w:rFonts w:hint="eastAsia" w:ascii="宋体" w:hAnsi="宋体"/>
          <w:bCs/>
          <w:color w:val="auto"/>
          <w:sz w:val="21"/>
          <w:szCs w:val="21"/>
          <w:highlight w:val="none"/>
          <w:lang w:val="en-US" w:eastAsia="zh-CN"/>
        </w:rPr>
        <w:t>0</w:t>
      </w:r>
      <w:r>
        <w:rPr>
          <w:rFonts w:hint="eastAsia" w:ascii="宋体" w:hAnsi="宋体" w:eastAsia="宋体"/>
          <w:bCs/>
          <w:color w:val="auto"/>
          <w:sz w:val="21"/>
          <w:szCs w:val="21"/>
          <w:highlight w:val="none"/>
        </w:rPr>
        <w:t>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hint="eastAsia" w:ascii="宋体" w:hAnsi="宋体" w:eastAsia="宋体"/>
          <w:color w:val="auto"/>
          <w:sz w:val="21"/>
          <w:szCs w:val="21"/>
          <w:highlight w:val="none"/>
        </w:rPr>
        <w:t>接收响应文件地点</w:t>
      </w:r>
      <w:r>
        <w:rPr>
          <w:rFonts w:ascii="宋体" w:hAnsi="宋体" w:eastAsia="宋体"/>
          <w:bCs/>
          <w:color w:val="auto"/>
          <w:sz w:val="21"/>
          <w:szCs w:val="21"/>
          <w:highlight w:val="none"/>
        </w:rPr>
        <w:t>：</w:t>
      </w:r>
      <w:r>
        <w:rPr>
          <w:rFonts w:hint="eastAsia" w:ascii="宋体" w:hAnsi="宋体"/>
          <w:color w:val="auto"/>
          <w:sz w:val="21"/>
          <w:szCs w:val="21"/>
          <w:highlight w:val="none"/>
          <w:lang w:eastAsia="zh-CN"/>
        </w:rPr>
        <w:t>东莞市石排镇人民政府(石排大道497号)原市民办事中心二楼会议室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eastAsia="宋体"/>
          <w:b/>
          <w:color w:val="auto"/>
          <w:sz w:val="21"/>
          <w:szCs w:val="21"/>
          <w:highlight w:val="none"/>
          <w:lang w:val="en-US" w:eastAsia="zh-CN"/>
        </w:rPr>
        <w:t>六</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采购人联系人：李工</w:t>
      </w:r>
    </w:p>
    <w:p>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w:t>
      </w:r>
      <w:r>
        <w:rPr>
          <w:rFonts w:hint="eastAsia" w:ascii="宋体" w:hAnsi="宋体"/>
          <w:bCs/>
          <w:color w:val="auto"/>
          <w:sz w:val="21"/>
          <w:szCs w:val="21"/>
          <w:highlight w:val="none"/>
          <w:lang w:val="en-US" w:eastAsia="zh-CN"/>
        </w:rPr>
        <w:t>东莞市石排镇</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联系电话：0769</w:t>
      </w:r>
      <w:r>
        <w:rPr>
          <w:rFonts w:hint="eastAsia" w:ascii="宋体" w:hAnsi="宋体"/>
          <w:bCs/>
          <w:color w:val="auto"/>
          <w:sz w:val="21"/>
          <w:szCs w:val="21"/>
          <w:highlight w:val="none"/>
          <w:lang w:val="en-US" w:eastAsia="zh-CN"/>
        </w:rPr>
        <w:t>-</w:t>
      </w:r>
      <w:r>
        <w:rPr>
          <w:rFonts w:hint="eastAsia" w:ascii="宋体" w:hAnsi="宋体" w:eastAsia="宋体"/>
          <w:bCs/>
          <w:color w:val="auto"/>
          <w:sz w:val="21"/>
          <w:szCs w:val="21"/>
          <w:highlight w:val="none"/>
        </w:rPr>
        <w:t>86593002</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rFonts w:hint="default" w:eastAsia="宋体"/>
          <w:color w:val="auto"/>
          <w:highlight w:val="none"/>
          <w:lang w:val="en-US" w:eastAsia="zh-CN"/>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rPr>
          <w:color w:val="auto"/>
          <w:highlight w:val="none"/>
        </w:rPr>
      </w:pPr>
    </w:p>
    <w:p>
      <w:pPr>
        <w:ind w:right="752" w:rightChars="358"/>
        <w:jc w:val="both"/>
        <w:rPr>
          <w:color w:val="auto"/>
          <w:highlight w:val="none"/>
        </w:rPr>
      </w:pP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eastAsia="宋体"/>
          <w:color w:val="auto"/>
          <w:sz w:val="21"/>
          <w:szCs w:val="21"/>
          <w:highlight w:val="none"/>
        </w:rPr>
        <w:t>202</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rPr>
        <w:t>年</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月</w:t>
      </w:r>
    </w:p>
    <w:p>
      <w:pPr>
        <w:pStyle w:val="2"/>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rPr>
          <w:rFonts w:hint="eastAsia"/>
          <w:color w:val="auto"/>
          <w:sz w:val="28"/>
          <w:szCs w:val="28"/>
          <w:highlight w:val="none"/>
          <w:lang w:val="en-US" w:eastAsia="zh-CN"/>
        </w:rPr>
      </w:pPr>
      <w:bookmarkStart w:id="5" w:name="_Toc31060"/>
      <w:bookmarkStart w:id="6" w:name="_Toc28550"/>
      <w:r>
        <w:rPr>
          <w:rFonts w:hint="eastAsia"/>
          <w:color w:val="auto"/>
          <w:sz w:val="28"/>
          <w:szCs w:val="28"/>
          <w:highlight w:val="none"/>
          <w:lang w:val="en-US" w:eastAsia="zh-CN"/>
        </w:rPr>
        <w:br w:type="page"/>
      </w:r>
    </w:p>
    <w:p>
      <w:pPr>
        <w:pStyle w:val="4"/>
        <w:spacing w:before="0" w:after="0" w:line="240" w:lineRule="auto"/>
        <w:rPr>
          <w:rFonts w:hint="eastAsia"/>
          <w:color w:val="auto"/>
          <w:sz w:val="28"/>
          <w:szCs w:val="28"/>
          <w:highlight w:val="none"/>
          <w:lang w:val="en-US" w:eastAsia="zh-CN"/>
        </w:rPr>
      </w:pPr>
      <w:r>
        <w:rPr>
          <w:rFonts w:hint="eastAsia"/>
          <w:color w:val="auto"/>
          <w:sz w:val="28"/>
          <w:szCs w:val="28"/>
          <w:highlight w:val="none"/>
          <w:lang w:val="en-US" w:eastAsia="zh-CN"/>
        </w:rPr>
        <w:t>第二部分</w:t>
      </w:r>
      <w:bookmarkStart w:id="7" w:name="_Toc20683"/>
      <w:r>
        <w:rPr>
          <w:rFonts w:hint="eastAsia"/>
          <w:color w:val="auto"/>
          <w:sz w:val="28"/>
          <w:szCs w:val="28"/>
          <w:highlight w:val="none"/>
          <w:lang w:val="en-US" w:eastAsia="zh-CN"/>
        </w:rPr>
        <w:t xml:space="preserve"> 磋商资料表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1</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货物</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服务</w:t>
            </w:r>
            <w:r>
              <w:rPr>
                <w:rFonts w:hint="eastAsia" w:ascii="宋体" w:hAnsi="宋体" w:eastAsia="宋体"/>
                <w:bCs/>
                <w:color w:val="auto"/>
                <w:sz w:val="21"/>
                <w:szCs w:val="21"/>
                <w:highlight w:val="none"/>
                <w:lang w:val="en-US" w:eastAsia="zh-CN"/>
              </w:rPr>
              <w:sym w:font="Wingdings" w:char="00A8"/>
            </w:r>
            <w:r>
              <w:rPr>
                <w:rFonts w:hint="eastAsia" w:ascii="宋体" w:hAnsi="宋体" w:eastAsia="宋体"/>
                <w:bCs/>
                <w:color w:val="auto"/>
                <w:sz w:val="21"/>
                <w:szCs w:val="21"/>
                <w:highlight w:val="none"/>
                <w:lang w:val="en-US" w:eastAsia="zh-CN"/>
              </w:rPr>
              <w:t xml:space="preserve">  工程</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lang w:val="en-US" w:eastAsia="zh-CN"/>
              </w:rPr>
              <w:t>所属行业：</w:t>
            </w:r>
            <w:r>
              <w:rPr>
                <w:rFonts w:hint="eastAsia" w:ascii="宋体" w:hAnsi="宋体"/>
                <w:bCs/>
                <w:color w:val="auto"/>
                <w:sz w:val="21"/>
                <w:szCs w:val="21"/>
                <w:highlight w:val="none"/>
                <w:lang w:val="en-US" w:eastAsia="zh-CN"/>
              </w:rPr>
              <w:t>建筑业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2</w:t>
            </w: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
                <w:color w:val="auto"/>
                <w:sz w:val="21"/>
                <w:szCs w:val="21"/>
                <w:highlight w:val="none"/>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bCs/>
                <w:color w:val="auto"/>
                <w:sz w:val="21"/>
                <w:szCs w:val="21"/>
                <w:highlight w:val="none"/>
              </w:rPr>
            </w:pPr>
            <w:r>
              <w:rPr>
                <w:rFonts w:hint="eastAsia" w:ascii="宋体" w:hAnsi="宋体" w:eastAsia="宋体"/>
                <w:bCs/>
                <w:color w:val="auto"/>
                <w:sz w:val="21"/>
                <w:szCs w:val="21"/>
                <w:highlight w:val="none"/>
                <w:lang w:eastAsia="zh-CN"/>
              </w:rPr>
              <w:t>是</w:t>
            </w:r>
            <w:r>
              <w:rPr>
                <w:rFonts w:hint="eastAsia" w:ascii="宋体" w:hAnsi="宋体" w:eastAsia="宋体"/>
                <w:bCs/>
                <w:color w:val="auto"/>
                <w:sz w:val="21"/>
                <w:szCs w:val="21"/>
                <w:highlight w:val="none"/>
              </w:rPr>
              <w:sym w:font="Wingdings" w:char="00A8"/>
            </w:r>
            <w:r>
              <w:rPr>
                <w:rFonts w:hint="eastAsia" w:ascii="宋体" w:hAnsi="宋体" w:eastAsia="宋体"/>
                <w:bCs/>
                <w:color w:val="auto"/>
                <w:sz w:val="21"/>
                <w:szCs w:val="21"/>
                <w:highlight w:val="none"/>
                <w:lang w:val="en-US" w:eastAsia="zh-CN"/>
              </w:rPr>
              <w:t xml:space="preserve">    否</w:t>
            </w:r>
            <w:r>
              <w:rPr>
                <w:rFonts w:hint="eastAsia" w:ascii="宋体" w:hAnsi="宋体" w:eastAsia="宋体"/>
                <w:bCs/>
                <w:color w:val="auto"/>
                <w:sz w:val="21"/>
                <w:szCs w:val="21"/>
                <w:highlight w:val="none"/>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3</w:t>
            </w:r>
          </w:p>
        </w:tc>
        <w:tc>
          <w:tcPr>
            <w:tcW w:w="7532" w:type="dxa"/>
            <w:gridSpan w:val="4"/>
            <w:vAlign w:val="center"/>
          </w:tcPr>
          <w:p>
            <w:pPr>
              <w:spacing w:after="0"/>
              <w:rPr>
                <w:rFonts w:hint="eastAsia" w:ascii="宋体" w:hAnsi="宋体" w:eastAsia="宋体"/>
                <w:b/>
                <w:color w:val="auto"/>
                <w:sz w:val="21"/>
                <w:szCs w:val="21"/>
                <w:highlight w:val="none"/>
                <w:lang w:eastAsia="zh-CN"/>
              </w:rPr>
            </w:pPr>
            <w:r>
              <w:rPr>
                <w:rFonts w:hint="eastAsia" w:ascii="宋体" w:hAnsi="宋体" w:eastAsia="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default" w:ascii="宋体" w:hAnsi="宋体" w:eastAsia="宋体"/>
                <w:b/>
                <w:color w:val="auto"/>
                <w:sz w:val="21"/>
                <w:szCs w:val="21"/>
                <w:highlight w:val="none"/>
                <w:lang w:val="en-US" w:eastAsia="zh-CN"/>
              </w:rPr>
            </w:pPr>
            <w:r>
              <w:rPr>
                <w:rFonts w:hint="eastAsia" w:ascii="宋体" w:hAnsi="宋体" w:eastAsia="宋体"/>
                <w:color w:val="auto"/>
                <w:sz w:val="21"/>
                <w:szCs w:val="21"/>
                <w:highlight w:val="none"/>
                <w:lang w:eastAsia="zh-CN"/>
              </w:rPr>
              <w:t>自筹</w:t>
            </w:r>
            <w:r>
              <w:rPr>
                <w:rFonts w:hint="eastAsia" w:ascii="宋体" w:hAnsi="宋体" w:eastAsia="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4</w:t>
            </w:r>
          </w:p>
        </w:tc>
        <w:tc>
          <w:tcPr>
            <w:tcW w:w="7532" w:type="dxa"/>
            <w:gridSpan w:val="4"/>
            <w:vAlign w:val="center"/>
          </w:tcPr>
          <w:p>
            <w:pPr>
              <w:spacing w:after="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highlight w:val="none"/>
              </w:rPr>
            </w:pPr>
          </w:p>
        </w:tc>
        <w:tc>
          <w:tcPr>
            <w:tcW w:w="7532" w:type="dxa"/>
            <w:gridSpan w:val="4"/>
            <w:vAlign w:val="center"/>
          </w:tcPr>
          <w:p>
            <w:pPr>
              <w:spacing w:after="0"/>
              <w:rPr>
                <w:rFonts w:hint="eastAsia" w:ascii="宋体" w:hAnsi="宋体" w:eastAsia="宋体"/>
                <w:color w:val="auto"/>
                <w:sz w:val="21"/>
                <w:szCs w:val="21"/>
                <w:highlight w:val="none"/>
                <w:lang w:val="en-US" w:eastAsia="zh-CN"/>
              </w:rPr>
            </w:pPr>
            <w:r>
              <w:rPr>
                <w:rFonts w:hint="eastAsia" w:ascii="宋体" w:hAnsi="宋体" w:eastAsia="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5</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6</w:t>
            </w:r>
          </w:p>
        </w:tc>
        <w:tc>
          <w:tcPr>
            <w:tcW w:w="7532" w:type="dxa"/>
            <w:gridSpan w:val="4"/>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841"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二、</w:t>
            </w: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7</w:t>
            </w: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rPr>
                <w:rFonts w:ascii="宋体" w:hAnsi="宋体" w:eastAsia="宋体"/>
                <w:b/>
                <w:color w:val="auto"/>
                <w:sz w:val="21"/>
                <w:szCs w:val="21"/>
                <w:highlight w:val="none"/>
              </w:rPr>
            </w:pPr>
            <w:r>
              <w:rPr>
                <w:rFonts w:hint="eastAsia" w:ascii="宋体" w:hAnsi="宋体" w:eastAsia="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9</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10</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“●”为核心产品</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本项目无核心产品</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val="en-US" w:eastAsia="zh-CN"/>
              </w:rPr>
              <w:t>11</w:t>
            </w:r>
          </w:p>
        </w:tc>
        <w:tc>
          <w:tcPr>
            <w:tcW w:w="7532" w:type="dxa"/>
            <w:gridSpan w:val="4"/>
            <w:vAlign w:val="center"/>
          </w:tcPr>
          <w:p>
            <w:pPr>
              <w:spacing w:after="0"/>
              <w:jc w:val="both"/>
              <w:rPr>
                <w:rFonts w:hint="default" w:ascii="宋体" w:hAnsi="宋体" w:eastAsia="宋体"/>
                <w:b/>
                <w:color w:val="auto"/>
                <w:sz w:val="21"/>
                <w:szCs w:val="21"/>
                <w:highlight w:val="none"/>
                <w:lang w:val="en-US" w:eastAsia="zh-CN"/>
              </w:rPr>
            </w:pP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r>
              <w:rPr>
                <w:rFonts w:hint="eastAsia" w:ascii="宋体" w:hAnsi="宋体"/>
                <w:b/>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2</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b/>
                <w:color w:val="auto"/>
                <w:sz w:val="21"/>
                <w:szCs w:val="21"/>
                <w:highlight w:val="none"/>
              </w:rPr>
              <w:t>报价（响应文件）有效期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3</w:t>
            </w:r>
          </w:p>
        </w:tc>
        <w:tc>
          <w:tcPr>
            <w:tcW w:w="7532" w:type="dxa"/>
            <w:gridSpan w:val="4"/>
            <w:vAlign w:val="center"/>
          </w:tcPr>
          <w:p>
            <w:pPr>
              <w:spacing w:after="0"/>
              <w:jc w:val="center"/>
              <w:rPr>
                <w:rFonts w:ascii="宋体" w:hAnsi="宋体" w:eastAsia="宋体"/>
                <w:color w:val="auto"/>
                <w:sz w:val="21"/>
                <w:szCs w:val="21"/>
                <w:highlight w:val="none"/>
              </w:rPr>
            </w:pPr>
            <w:r>
              <w:rPr>
                <w:rFonts w:hint="eastAsia" w:ascii="宋体" w:hAnsi="宋体" w:eastAsia="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信用中国</w:t>
            </w:r>
          </w:p>
        </w:tc>
        <w:tc>
          <w:tcPr>
            <w:tcW w:w="3766" w:type="dxa"/>
            <w:gridSpan w:val="2"/>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3766" w:type="dxa"/>
            <w:gridSpan w:val="2"/>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https://www.creditchina.gov.cn/</w:t>
            </w:r>
          </w:p>
        </w:tc>
        <w:tc>
          <w:tcPr>
            <w:tcW w:w="3766" w:type="dxa"/>
            <w:gridSpan w:val="2"/>
            <w:vAlign w:val="center"/>
          </w:tcPr>
          <w:p>
            <w:pPr>
              <w:spacing w:after="0"/>
              <w:jc w:val="center"/>
              <w:rPr>
                <w:rFonts w:ascii="宋体" w:hAnsi="宋体" w:eastAsia="宋体"/>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4</w:t>
            </w:r>
          </w:p>
        </w:tc>
        <w:tc>
          <w:tcPr>
            <w:tcW w:w="7532" w:type="dxa"/>
            <w:gridSpan w:val="4"/>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应提交以下</w:t>
            </w:r>
            <w:r>
              <w:rPr>
                <w:rFonts w:hint="eastAsia" w:ascii="宋体" w:hAnsi="宋体"/>
                <w:b/>
                <w:color w:val="auto"/>
                <w:sz w:val="21"/>
                <w:szCs w:val="21"/>
                <w:highlight w:val="none"/>
                <w:lang w:eastAsia="zh-CN"/>
              </w:rPr>
              <w:t>响应文件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类型</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eastAsia="zh-CN"/>
              </w:rPr>
              <w:t>报价</w:t>
            </w:r>
            <w:r>
              <w:rPr>
                <w:rFonts w:hint="eastAsia" w:ascii="宋体" w:hAnsi="宋体" w:eastAsia="宋体"/>
                <w:b/>
                <w:color w:val="auto"/>
                <w:sz w:val="21"/>
                <w:szCs w:val="21"/>
                <w:highlight w:val="none"/>
                <w:lang w:eastAsia="zh-CN"/>
              </w:rPr>
              <w:t>文件</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正本</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b/>
                <w:color w:val="auto"/>
                <w:sz w:val="21"/>
                <w:szCs w:val="21"/>
                <w:highlight w:val="none"/>
                <w:lang w:eastAsia="zh-CN"/>
              </w:rPr>
              <w:t>响应文件</w:t>
            </w:r>
            <w:r>
              <w:rPr>
                <w:rFonts w:hint="eastAsia" w:ascii="宋体" w:hAnsi="宋体" w:eastAsia="宋体"/>
                <w:b/>
                <w:color w:val="auto"/>
                <w:sz w:val="21"/>
                <w:szCs w:val="21"/>
                <w:highlight w:val="none"/>
              </w:rPr>
              <w:t>副本</w:t>
            </w:r>
          </w:p>
        </w:tc>
        <w:tc>
          <w:tcPr>
            <w:tcW w:w="4924" w:type="dxa"/>
            <w:gridSpan w:val="3"/>
            <w:vAlign w:val="center"/>
          </w:tcPr>
          <w:p>
            <w:pPr>
              <w:spacing w:after="0"/>
              <w:jc w:val="center"/>
              <w:rPr>
                <w:rFonts w:hint="eastAsia" w:ascii="宋体" w:hAnsi="宋体" w:eastAsia="宋体"/>
                <w:b/>
                <w:color w:val="auto"/>
                <w:sz w:val="21"/>
                <w:szCs w:val="21"/>
                <w:highlight w:val="none"/>
                <w:lang w:eastAsia="zh-CN"/>
              </w:rPr>
            </w:pPr>
            <w:r>
              <w:rPr>
                <w:rFonts w:hint="eastAsia" w:ascii="宋体" w:hAnsi="宋体"/>
                <w:b/>
                <w:color w:val="auto"/>
                <w:sz w:val="21"/>
                <w:szCs w:val="21"/>
                <w:highlight w:val="none"/>
                <w:lang w:val="en-US" w:eastAsia="zh-CN"/>
              </w:rPr>
              <w:t>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2608" w:type="dxa"/>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电子文档</w:t>
            </w:r>
          </w:p>
        </w:tc>
        <w:tc>
          <w:tcPr>
            <w:tcW w:w="4924" w:type="dxa"/>
            <w:gridSpan w:val="3"/>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5</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b/>
                <w:color w:val="auto"/>
                <w:sz w:val="21"/>
                <w:szCs w:val="21"/>
                <w:highlight w:val="none"/>
              </w:rPr>
              <w:t>小型或微型企业、监狱企业、残疾人福利性单位</w:t>
            </w:r>
            <w:r>
              <w:rPr>
                <w:rFonts w:hint="eastAsia" w:ascii="宋体" w:hAnsi="宋体"/>
                <w:b/>
                <w:color w:val="auto"/>
                <w:sz w:val="21"/>
                <w:szCs w:val="21"/>
                <w:highlight w:val="none"/>
                <w:lang w:eastAsia="zh-CN"/>
              </w:rPr>
              <w:t>磋商</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工程类5%</w:t>
            </w:r>
            <w:r>
              <w:rPr>
                <w:rFonts w:hint="eastAsia" w:ascii="宋体" w:hAnsi="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color w:val="auto"/>
                <w:sz w:val="21"/>
                <w:szCs w:val="21"/>
                <w:highlight w:val="none"/>
                <w:lang w:eastAsia="zh-CN"/>
              </w:rPr>
              <w:t>供应商</w:t>
            </w:r>
            <w:r>
              <w:rPr>
                <w:rFonts w:hint="eastAsia" w:ascii="宋体" w:hAnsi="宋体" w:eastAsia="宋体"/>
                <w:b/>
                <w:color w:val="auto"/>
                <w:sz w:val="21"/>
                <w:szCs w:val="21"/>
                <w:highlight w:val="none"/>
              </w:rPr>
              <w:t>符合须知“优惠政策”中联合体规定的</w:t>
            </w:r>
            <w:r>
              <w:rPr>
                <w:rFonts w:hint="eastAsia" w:ascii="宋体" w:hAnsi="宋体"/>
                <w:b/>
                <w:color w:val="auto"/>
                <w:sz w:val="21"/>
                <w:szCs w:val="21"/>
                <w:highlight w:val="none"/>
                <w:lang w:eastAsia="zh-CN"/>
              </w:rPr>
              <w:t>响应</w:t>
            </w:r>
            <w:r>
              <w:rPr>
                <w:rFonts w:hint="eastAsia" w:ascii="宋体" w:hAnsi="宋体" w:eastAsia="宋体"/>
                <w:b/>
                <w:color w:val="auto"/>
                <w:sz w:val="21"/>
                <w:szCs w:val="21"/>
                <w:highlight w:val="none"/>
              </w:rPr>
              <w:t>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对于联合协议或者分包意向协议约定小微企业的合同份额占到合同总金额30%以上的，报价给予</w:t>
            </w:r>
            <w:r>
              <w:rPr>
                <w:rFonts w:hint="default" w:ascii="宋体" w:hAnsi="宋体" w:eastAsia="宋体"/>
                <w:b/>
                <w:bCs/>
                <w:color w:val="auto"/>
                <w:sz w:val="21"/>
                <w:szCs w:val="21"/>
                <w:highlight w:val="none"/>
                <w:u w:val="single"/>
              </w:rPr>
              <w:t>2%</w:t>
            </w:r>
            <w:r>
              <w:rPr>
                <w:rFonts w:hint="eastAsia" w:ascii="宋体" w:hAnsi="宋体" w:eastAsia="宋体"/>
                <w:color w:val="auto"/>
                <w:sz w:val="21"/>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所投产品为获得节能产品认证或环境标志产品认证证书的价格折扣标准（相关规定详见</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highlight w:val="none"/>
              </w:rPr>
            </w:pPr>
            <w:r>
              <w:rPr>
                <w:rFonts w:hint="eastAsia" w:ascii="宋体" w:hAnsi="宋体" w:eastAsia="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shd w:val="clear" w:color="auto" w:fill="auto"/>
            <w:vAlign w:val="center"/>
          </w:tcPr>
          <w:p>
            <w:pPr>
              <w:spacing w:after="0"/>
              <w:jc w:val="both"/>
              <w:rPr>
                <w:rFonts w:ascii="宋体" w:hAnsi="宋体" w:eastAsia="宋体"/>
                <w:b/>
                <w:color w:val="auto"/>
                <w:sz w:val="21"/>
                <w:szCs w:val="21"/>
                <w:highlight w:val="none"/>
              </w:rPr>
            </w:pPr>
            <w:r>
              <w:rPr>
                <w:rFonts w:hint="eastAsia" w:ascii="宋体" w:hAnsi="宋体" w:eastAsia="宋体"/>
                <w:color w:val="auto"/>
                <w:sz w:val="21"/>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val="en-US" w:eastAsia="zh-CN"/>
              </w:rPr>
              <w:t>8</w:t>
            </w:r>
          </w:p>
        </w:tc>
        <w:tc>
          <w:tcPr>
            <w:tcW w:w="7532" w:type="dxa"/>
            <w:gridSpan w:val="4"/>
            <w:vAlign w:val="center"/>
          </w:tcPr>
          <w:p>
            <w:pPr>
              <w:spacing w:after="0"/>
              <w:jc w:val="both"/>
              <w:rPr>
                <w:rFonts w:ascii="宋体" w:hAnsi="宋体" w:eastAsia="宋体"/>
                <w:b/>
                <w:color w:val="auto"/>
                <w:sz w:val="21"/>
                <w:szCs w:val="21"/>
                <w:highlight w:val="none"/>
              </w:rPr>
            </w:pPr>
            <w:r>
              <w:rPr>
                <w:rFonts w:hint="eastAsia" w:ascii="宋体" w:hAnsi="宋体"/>
                <w:b/>
                <w:color w:val="auto"/>
                <w:sz w:val="21"/>
                <w:szCs w:val="21"/>
                <w:highlight w:val="none"/>
                <w:lang w:eastAsia="zh-CN"/>
              </w:rPr>
              <w:t>成交</w:t>
            </w:r>
            <w:r>
              <w:rPr>
                <w:rFonts w:hint="eastAsia" w:ascii="宋体" w:hAnsi="宋体" w:eastAsia="宋体"/>
                <w:b/>
                <w:color w:val="auto"/>
                <w:sz w:val="21"/>
                <w:szCs w:val="21"/>
                <w:highlight w:val="none"/>
              </w:rPr>
              <w:t>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成交</w:t>
            </w:r>
            <w:r>
              <w:rPr>
                <w:rFonts w:hint="eastAsia" w:ascii="宋体" w:hAnsi="宋体" w:eastAsia="宋体"/>
                <w:color w:val="auto"/>
                <w:sz w:val="21"/>
                <w:szCs w:val="21"/>
                <w:highlight w:val="none"/>
              </w:rPr>
              <w:t>服务费根据国家计委[计价格[2002]1980号]文和国家发改委[发改价格[2011]534号]文及相关规定向</w:t>
            </w:r>
            <w:r>
              <w:rPr>
                <w:rFonts w:hint="eastAsia" w:ascii="宋体" w:hAnsi="宋体"/>
                <w:color w:val="auto"/>
                <w:sz w:val="21"/>
                <w:szCs w:val="21"/>
                <w:highlight w:val="none"/>
                <w:lang w:eastAsia="zh-CN"/>
              </w:rPr>
              <w:t>成交</w:t>
            </w:r>
            <w:r>
              <w:rPr>
                <w:rFonts w:hint="eastAsia" w:ascii="宋体" w:hAnsi="宋体" w:eastAsia="宋体"/>
                <w:color w:val="auto"/>
                <w:sz w:val="21"/>
                <w:szCs w:val="21"/>
                <w:highlight w:val="none"/>
              </w:rPr>
              <w:t>单位收取，按差额定率累进法计算，以</w:t>
            </w:r>
            <w:r>
              <w:rPr>
                <w:rFonts w:hint="eastAsia" w:ascii="宋体" w:hAnsi="宋体"/>
                <w:color w:val="auto"/>
                <w:sz w:val="21"/>
                <w:szCs w:val="21"/>
                <w:highlight w:val="none"/>
                <w:lang w:eastAsia="zh-CN"/>
              </w:rPr>
              <w:t>成交</w:t>
            </w:r>
            <w:r>
              <w:rPr>
                <w:rFonts w:hint="eastAsia" w:ascii="宋体" w:hAnsi="宋体" w:eastAsia="宋体"/>
                <w:color w:val="auto"/>
                <w:sz w:val="21"/>
                <w:szCs w:val="21"/>
                <w:highlight w:val="none"/>
              </w:rPr>
              <w:t>通知书中确定的</w:t>
            </w:r>
            <w:r>
              <w:rPr>
                <w:rFonts w:hint="eastAsia" w:ascii="宋体" w:hAnsi="宋体"/>
                <w:color w:val="auto"/>
                <w:sz w:val="21"/>
                <w:szCs w:val="21"/>
                <w:highlight w:val="none"/>
                <w:lang w:eastAsia="zh-CN"/>
              </w:rPr>
              <w:t>成交</w:t>
            </w:r>
            <w:r>
              <w:rPr>
                <w:rFonts w:hint="eastAsia" w:ascii="宋体" w:hAnsi="宋体" w:eastAsia="宋体"/>
                <w:color w:val="auto"/>
                <w:sz w:val="21"/>
                <w:szCs w:val="21"/>
                <w:highlight w:val="none"/>
              </w:rPr>
              <w:t>总金额作为收费的计算依据；</w:t>
            </w:r>
            <w:r>
              <w:rPr>
                <w:rFonts w:hint="eastAsia" w:ascii="宋体" w:hAnsi="宋体"/>
                <w:color w:val="auto"/>
                <w:sz w:val="21"/>
                <w:szCs w:val="21"/>
                <w:highlight w:val="none"/>
                <w:lang w:eastAsia="zh-CN"/>
              </w:rPr>
              <w:t>成交</w:t>
            </w:r>
            <w:r>
              <w:rPr>
                <w:rFonts w:hint="eastAsia" w:ascii="宋体" w:hAnsi="宋体" w:eastAsia="宋体"/>
                <w:color w:val="auto"/>
                <w:sz w:val="21"/>
                <w:szCs w:val="21"/>
                <w:highlight w:val="none"/>
              </w:rPr>
              <w:t>服务费最低收费标准为</w:t>
            </w:r>
            <w:r>
              <w:rPr>
                <w:rFonts w:hint="eastAsia" w:ascii="宋体" w:hAnsi="宋体"/>
                <w:color w:val="auto"/>
                <w:sz w:val="21"/>
                <w:szCs w:val="21"/>
                <w:highlight w:val="none"/>
                <w:lang w:val="en-US" w:eastAsia="zh-CN"/>
              </w:rPr>
              <w:t>陆</w:t>
            </w:r>
            <w:r>
              <w:rPr>
                <w:rFonts w:hint="eastAsia" w:ascii="宋体" w:hAnsi="宋体" w:eastAsia="宋体"/>
                <w:color w:val="auto"/>
                <w:sz w:val="21"/>
                <w:szCs w:val="21"/>
                <w:highlight w:val="none"/>
              </w:rPr>
              <w:t>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highlight w:val="none"/>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w:t>
            </w:r>
            <w:r>
              <w:rPr>
                <w:rFonts w:hint="eastAsia" w:ascii="宋体" w:hAnsi="宋体" w:eastAsia="宋体"/>
                <w:color w:val="auto"/>
                <w:sz w:val="21"/>
                <w:szCs w:val="21"/>
                <w:highlight w:val="none"/>
              </w:rPr>
              <w:t>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收 款 人：</w:t>
            </w:r>
            <w:r>
              <w:rPr>
                <w:rFonts w:hint="eastAsia" w:ascii="宋体" w:hAnsi="宋体" w:eastAsia="宋体"/>
                <w:color w:val="auto"/>
                <w:sz w:val="21"/>
                <w:szCs w:val="21"/>
                <w:highlight w:val="none"/>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注：本表关于要采购项目的具体资料，是对</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须知的具体补充和修改，如有矛盾，应以本资料表为准。</w:t>
            </w:r>
          </w:p>
        </w:tc>
      </w:tr>
    </w:tbl>
    <w:p>
      <w:pPr>
        <w:bidi w:val="0"/>
        <w:rPr>
          <w:rFonts w:hint="eastAsia"/>
          <w:color w:val="auto"/>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rPr>
          <w:rFonts w:hint="eastAsia" w:ascii="宋体" w:hAnsi="宋体" w:eastAsia="宋体" w:cs="宋体"/>
          <w:color w:val="auto"/>
          <w:sz w:val="21"/>
          <w:szCs w:val="21"/>
          <w:highlight w:val="none"/>
        </w:rPr>
      </w:pPr>
    </w:p>
    <w:p>
      <w:pPr>
        <w:pStyle w:val="21"/>
        <w:ind w:left="0" w:leftChars="0" w:firstLine="0" w:firstLineChars="0"/>
        <w:rPr>
          <w:rFonts w:hint="eastAsia" w:ascii="宋体" w:hAnsi="宋体" w:eastAsia="宋体" w:cs="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bookmarkStart w:id="8" w:name="_Toc4043"/>
      <w:bookmarkStart w:id="9" w:name="_Toc13473"/>
      <w:bookmarkStart w:id="10" w:name="_Hlk55300595"/>
      <w:bookmarkStart w:id="11" w:name="_Toc9572"/>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5"/>
        <w:spacing w:before="0" w:after="0" w:line="240" w:lineRule="auto"/>
        <w:jc w:val="center"/>
        <w:rPr>
          <w:rFonts w:ascii="宋体" w:hAnsi="宋体" w:eastAsia="宋体" w:cs="宋体"/>
          <w:color w:val="auto"/>
          <w:sz w:val="24"/>
          <w:szCs w:val="24"/>
          <w:highlight w:val="none"/>
        </w:rPr>
      </w:pPr>
      <w:bookmarkStart w:id="15" w:name="_Toc462"/>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价格分计算方法：满足</w:t>
            </w:r>
            <w:r>
              <w:rPr>
                <w:rFonts w:hint="eastAsia" w:ascii="宋体" w:hAnsi="宋体" w:eastAsia="宋体" w:cs="宋体"/>
                <w:bCs/>
                <w:color w:val="auto"/>
                <w:sz w:val="21"/>
                <w:szCs w:val="21"/>
                <w:highlight w:val="none"/>
                <w:lang w:val="zh-CN" w:eastAsia="zh-CN"/>
              </w:rPr>
              <w:t>磋商文件</w:t>
            </w:r>
            <w:r>
              <w:rPr>
                <w:rFonts w:hint="eastAsia" w:ascii="宋体" w:hAnsi="宋体" w:eastAsia="宋体" w:cs="宋体"/>
                <w:bCs/>
                <w:color w:val="auto"/>
                <w:sz w:val="21"/>
                <w:szCs w:val="21"/>
                <w:highlight w:val="none"/>
                <w:lang w:val="zh-CN"/>
              </w:rPr>
              <w:t>要求且价格最低的</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报价为评标基准价，其价格分为满分。其他</w:t>
            </w:r>
            <w:r>
              <w:rPr>
                <w:rFonts w:hint="eastAsia" w:ascii="宋体" w:hAnsi="宋体" w:eastAsia="宋体" w:cs="宋体"/>
                <w:bCs/>
                <w:color w:val="auto"/>
                <w:sz w:val="21"/>
                <w:szCs w:val="21"/>
                <w:highlight w:val="none"/>
                <w:lang w:val="zh-CN" w:eastAsia="zh-CN"/>
              </w:rPr>
              <w:t>供应商</w:t>
            </w:r>
            <w:r>
              <w:rPr>
                <w:rFonts w:hint="eastAsia" w:ascii="宋体" w:hAnsi="宋体" w:eastAsia="宋体" w:cs="宋体"/>
                <w:bCs/>
                <w:color w:val="auto"/>
                <w:sz w:val="21"/>
                <w:szCs w:val="21"/>
                <w:highlight w:val="none"/>
                <w:lang w:val="zh-CN"/>
              </w:rPr>
              <w:t>的价格分统一按照下列公式计算：</w:t>
            </w:r>
          </w:p>
          <w:p>
            <w:pPr>
              <w:pStyle w:val="35"/>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报价得分=(评标基准价／</w:t>
            </w:r>
            <w:r>
              <w:rPr>
                <w:rFonts w:hint="eastAsia" w:ascii="宋体" w:hAnsi="宋体" w:eastAsia="宋体" w:cs="宋体"/>
                <w:bCs/>
                <w:color w:val="auto"/>
                <w:sz w:val="21"/>
                <w:szCs w:val="21"/>
                <w:highlight w:val="none"/>
                <w:lang w:val="zh-CN" w:eastAsia="zh-CN"/>
              </w:rPr>
              <w:t>响应</w:t>
            </w:r>
            <w:r>
              <w:rPr>
                <w:rFonts w:hint="eastAsia" w:ascii="宋体" w:hAnsi="宋体" w:eastAsia="宋体" w:cs="宋体"/>
                <w:bCs/>
                <w:color w:val="auto"/>
                <w:sz w:val="21"/>
                <w:szCs w:val="21"/>
                <w:highlight w:val="none"/>
                <w:lang w:val="zh-CN"/>
              </w:rPr>
              <w:t>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651"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企业实力</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具有国家认证认可的监督管理部门批准设立的认证机构颁发的质量管理体系认证证书、环境管理体系认证证书、职业健康安全管理体系认证证书，每个得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分，最高得</w:t>
            </w:r>
            <w:r>
              <w:rPr>
                <w:rFonts w:hint="eastAsia" w:ascii="宋体" w:hAnsi="宋体" w:eastAsia="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须提供上述有效期</w:t>
            </w:r>
            <w:r>
              <w:rPr>
                <w:rFonts w:hint="eastAsia" w:ascii="宋体" w:hAnsi="宋体" w:cs="宋体"/>
                <w:bCs/>
                <w:color w:val="auto"/>
                <w:sz w:val="21"/>
                <w:szCs w:val="21"/>
                <w:highlight w:val="none"/>
                <w:lang w:val="en-US" w:eastAsia="zh-CN"/>
              </w:rPr>
              <w:t>内</w:t>
            </w:r>
            <w:r>
              <w:rPr>
                <w:rFonts w:hint="eastAsia" w:ascii="宋体" w:hAnsi="宋体" w:eastAsia="宋体" w:cs="宋体"/>
                <w:bCs/>
                <w:color w:val="auto"/>
                <w:sz w:val="21"/>
                <w:szCs w:val="21"/>
                <w:highlight w:val="none"/>
              </w:rPr>
              <w:t>的证书复印件加盖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51"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供应商</w:t>
            </w:r>
            <w:r>
              <w:rPr>
                <w:rFonts w:hint="eastAsia" w:ascii="宋体" w:hAnsi="宋体" w:eastAsia="宋体" w:cs="宋体"/>
                <w:bCs/>
                <w:color w:val="auto"/>
                <w:sz w:val="21"/>
                <w:szCs w:val="21"/>
                <w:highlight w:val="none"/>
                <w:lang w:eastAsia="zh-CN"/>
              </w:rPr>
              <w:t>具有</w:t>
            </w:r>
            <w:r>
              <w:rPr>
                <w:rFonts w:hint="eastAsia" w:ascii="宋体" w:hAnsi="宋体" w:eastAsia="宋体" w:cs="宋体"/>
                <w:bCs/>
                <w:color w:val="auto"/>
                <w:sz w:val="21"/>
                <w:szCs w:val="21"/>
                <w:highlight w:val="none"/>
              </w:rPr>
              <w:t>的</w:t>
            </w:r>
            <w:r>
              <w:rPr>
                <w:rFonts w:hint="eastAsia" w:ascii="宋体" w:hAnsi="宋体" w:cs="宋体"/>
                <w:bCs/>
                <w:color w:val="auto"/>
                <w:sz w:val="21"/>
                <w:szCs w:val="21"/>
                <w:highlight w:val="none"/>
                <w:lang w:val="en-US" w:eastAsia="zh-CN"/>
              </w:rPr>
              <w:t>供电或</w:t>
            </w:r>
            <w:r>
              <w:rPr>
                <w:rFonts w:hint="eastAsia" w:ascii="宋体" w:hAnsi="宋体" w:eastAsia="宋体" w:cs="宋体"/>
                <w:bCs/>
                <w:color w:val="auto"/>
                <w:sz w:val="21"/>
                <w:szCs w:val="21"/>
                <w:highlight w:val="none"/>
              </w:rPr>
              <w:t>配电设备类业绩</w:t>
            </w:r>
            <w:r>
              <w:rPr>
                <w:rFonts w:hint="eastAsia" w:ascii="宋体" w:hAnsi="宋体" w:cs="宋体"/>
                <w:bCs/>
                <w:color w:val="auto"/>
                <w:sz w:val="21"/>
                <w:szCs w:val="21"/>
                <w:highlight w:val="none"/>
                <w:lang w:val="en-US" w:eastAsia="zh-CN"/>
              </w:rPr>
              <w:t>的</w:t>
            </w:r>
            <w:r>
              <w:rPr>
                <w:rFonts w:hint="eastAsia" w:ascii="宋体" w:hAnsi="宋体" w:eastAsia="宋体" w:cs="宋体"/>
                <w:bCs/>
                <w:color w:val="auto"/>
                <w:sz w:val="21"/>
                <w:szCs w:val="21"/>
                <w:highlight w:val="none"/>
              </w:rPr>
              <w:t>，每提供一个合同业绩得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分，本项最高得</w:t>
            </w:r>
            <w:r>
              <w:rPr>
                <w:rFonts w:hint="eastAsia" w:ascii="宋体" w:hAns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spacing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注：须提供有效业绩合同复印件加盖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提供的服务响应时间承诺进行评分。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小时内到现场，得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小时内到现场，得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承诺在接到采购人通知后</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小时内到现场，得1分；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承诺在接到采购人通知后超过</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小时到现场，不得分。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注：须</w:t>
            </w:r>
            <w:r>
              <w:rPr>
                <w:rFonts w:hint="eastAsia" w:ascii="宋体" w:hAnsi="宋体" w:eastAsia="宋体" w:cs="宋体"/>
                <w:bCs/>
                <w:color w:val="auto"/>
                <w:sz w:val="21"/>
                <w:szCs w:val="21"/>
                <w:highlight w:val="none"/>
              </w:rPr>
              <w:t>提供服务承诺书并加盖</w:t>
            </w:r>
            <w:r>
              <w:rPr>
                <w:rFonts w:hint="eastAsia" w:asci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eastAsia="宋体" w:cs="宋体"/>
                <w:bCs/>
                <w:color w:val="auto"/>
                <w:sz w:val="21"/>
                <w:szCs w:val="21"/>
                <w:highlight w:val="none"/>
                <w:lang w:eastAsia="zh-CN"/>
              </w:rPr>
              <w:t>，</w:t>
            </w:r>
            <w:r>
              <w:rPr>
                <w:rFonts w:hint="eastAsia" w:ascii="宋体" w:eastAsia="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总体施工方案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施工方案存在缺漏，方案针对性和合理性一般，基本满足本项目需求，得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未提供对应方案不得分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进度保障计划方案</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制定的进度保障计划方案进行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方案详尽完整、科学合理、有利于项目实施的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方案</w:t>
            </w:r>
            <w:r>
              <w:rPr>
                <w:rFonts w:hint="eastAsia" w:ascii="宋体" w:hAnsi="宋体" w:eastAsia="宋体" w:cs="宋体"/>
                <w:bCs/>
                <w:color w:val="auto"/>
                <w:sz w:val="21"/>
                <w:szCs w:val="21"/>
                <w:highlight w:val="none"/>
              </w:rPr>
              <w:t>具备合理可行的进度保障计划的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得4分；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方案缺乏合理性或可行性的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未提供对应方案不得分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安全文明施工制度及保障措施</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制定的安全文明施工制度及保障措施进行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保障措施详尽完整、科学合理，制度严谨规范、能高效地保障项目实施的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保障措施完整、合理性较高，制度较规范、有利于保障项目实施的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保障措施及制度缺乏可行性及完整性的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项目质量控制和检验方法</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根据</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所提供施工方案的详细性、合理性、针对性等进行综合评审：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施工方案详细完整合理，方案针对性高，切合本项目需求，得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施工方案存在缺漏，方案针对性和合理性一般，基本满足本项目需求，得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施工方案缺漏较多，方案针对性和合理性较差，得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分。</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未提供对应方案不得分</w:t>
            </w:r>
            <w:r>
              <w:rPr>
                <w:rFonts w:hint="eastAsia" w:ascii="宋体" w:hAnsi="宋体" w:eastAsia="宋体" w:cs="宋体"/>
                <w:bCs/>
                <w:color w:val="auto"/>
                <w:sz w:val="21"/>
                <w:szCs w:val="21"/>
                <w:highlight w:val="none"/>
                <w:lang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90" w:type="dxa"/>
            <w:vMerge w:val="restart"/>
            <w:tcBorders>
              <w:top w:val="single" w:color="auto" w:sz="4" w:space="0"/>
              <w:left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技术力量</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拟派本项目的项目负责人（仅指一人）：</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项目负责人具有注册建造师证书的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得3分。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须提供上述人员的相关证书及</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为其缴纳最近12个月内任意1个月[不含开标当月]的社保证明，复印件加盖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p>
        </w:tc>
        <w:tc>
          <w:tcPr>
            <w:tcW w:w="1290" w:type="dxa"/>
            <w:vMerge w:val="continue"/>
            <w:tcBorders>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highlight w:val="none"/>
              </w:rPr>
            </w:pP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拟派本项目的其他人员（项目负责人除外）：</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①具有电气（力）类或机电工程类工程师证书的，中级或以上的每个得2分，最高得4分，其他不得分。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②具有安全生产考核合格证书（证书信息须为安全生产专职人员或以上，即“建安C”类或以上）的得</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rPr>
              <w:t>须提供上述人员的相关证书及</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为其缴纳最近12个月内任意1个月[不含开标当月]的社保证明，复印件加盖</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公章</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应急预案及服务承诺</w:t>
            </w:r>
          </w:p>
        </w:tc>
        <w:tc>
          <w:tcPr>
            <w:tcW w:w="5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cs="宋体"/>
                <w:bCs/>
                <w:color w:val="auto"/>
                <w:sz w:val="21"/>
                <w:szCs w:val="21"/>
                <w:highlight w:val="none"/>
                <w:lang w:eastAsia="zh-CN"/>
              </w:rPr>
              <w:t>供应商</w:t>
            </w:r>
            <w:r>
              <w:rPr>
                <w:rFonts w:hint="eastAsia" w:ascii="宋体" w:hAnsi="宋体" w:eastAsia="宋体" w:cs="宋体"/>
                <w:bCs/>
                <w:color w:val="auto"/>
                <w:sz w:val="21"/>
                <w:szCs w:val="21"/>
                <w:highlight w:val="none"/>
              </w:rPr>
              <w:t>针对本项目制定的应急预案及服务承诺方案进行</w:t>
            </w:r>
            <w:r>
              <w:rPr>
                <w:rFonts w:hint="eastAsia" w:ascii="宋体" w:hAnsi="宋体" w:eastAsia="宋体" w:cs="宋体"/>
                <w:color w:val="auto"/>
                <w:sz w:val="21"/>
                <w:szCs w:val="21"/>
                <w:highlight w:val="none"/>
                <w:lang w:val="zh-CN"/>
              </w:rPr>
              <w:t>综合评审：</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应急预案及应对措施科学合理，服务承诺方案详尽完整、可行性高的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8</w:t>
            </w:r>
            <w:r>
              <w:rPr>
                <w:rFonts w:hint="eastAsia" w:ascii="宋体" w:hAnsi="宋体" w:eastAsia="宋体" w:cs="宋体"/>
                <w:bCs/>
                <w:color w:val="auto"/>
                <w:sz w:val="21"/>
                <w:szCs w:val="21"/>
                <w:highlight w:val="none"/>
              </w:rPr>
              <w:t>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具备应急预案及应对措施，服务承诺方案完整的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得4分；</w:t>
            </w:r>
          </w:p>
          <w:p>
            <w:pPr>
              <w:keepNext w:val="0"/>
              <w:keepLines w:val="0"/>
              <w:pageBreakBefore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应急方案措施完整性或可行性差的</w:t>
            </w:r>
            <w:r>
              <w:rPr>
                <w:rFonts w:hint="eastAsia" w:ascii="宋体" w:hAnsi="宋体" w:cs="宋体"/>
                <w:bCs/>
                <w:color w:val="auto"/>
                <w:sz w:val="21"/>
                <w:szCs w:val="21"/>
                <w:highlight w:val="none"/>
                <w:lang w:eastAsia="zh-CN"/>
              </w:rPr>
              <w:t>，</w:t>
            </w:r>
            <w:r>
              <w:rPr>
                <w:rFonts w:hint="eastAsia" w:ascii="宋体" w:hAnsi="宋体" w:eastAsia="宋体" w:cs="宋体"/>
                <w:bCs/>
                <w:color w:val="auto"/>
                <w:sz w:val="21"/>
                <w:szCs w:val="21"/>
                <w:highlight w:val="none"/>
              </w:rPr>
              <w:t>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pPr>
              <w:pStyle w:val="35"/>
              <w:keepNext w:val="0"/>
              <w:keepLines w:val="0"/>
              <w:pageBreakBefore w:val="0"/>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rPr>
              <w:t>未提供不得分。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keepNext w:val="0"/>
              <w:keepLines w:val="0"/>
              <w:pageBreakBefore w:val="0"/>
              <w:kinsoku/>
              <w:wordWrap/>
              <w:overflowPunct/>
              <w:topLinePunct w:val="0"/>
              <w:autoSpaceDE/>
              <w:autoSpaceDN/>
              <w:bidi w:val="0"/>
              <w:spacing w:after="0" w:line="240" w:lineRule="auto"/>
              <w:ind w:left="0" w:leftChars="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5"/>
              <w:keepNext w:val="0"/>
              <w:keepLines w:val="0"/>
              <w:pageBreakBefore w:val="0"/>
              <w:kinsoku/>
              <w:wordWrap/>
              <w:overflowPunct/>
              <w:topLinePunct w:val="0"/>
              <w:autoSpaceDE/>
              <w:autoSpaceDN/>
              <w:bidi w:val="0"/>
              <w:spacing w:after="0" w:line="240" w:lineRule="auto"/>
              <w:ind w:left="0" w:leftChars="0" w:firstLine="0" w:firstLineChars="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w:t>
            </w:r>
            <w:r>
              <w:rPr>
                <w:rFonts w:hint="eastAsia" w:ascii="宋体" w:eastAsia="宋体" w:cs="宋体"/>
                <w:b/>
                <w:color w:val="auto"/>
                <w:sz w:val="21"/>
                <w:szCs w:val="21"/>
                <w:highlight w:val="none"/>
                <w:lang w:eastAsia="zh-CN"/>
              </w:rPr>
              <w:t>供应商</w:t>
            </w:r>
            <w:r>
              <w:rPr>
                <w:rFonts w:hint="eastAsia" w:ascii="宋体" w:hAnsi="宋体" w:eastAsia="宋体" w:cs="宋体"/>
                <w:b/>
                <w:color w:val="auto"/>
                <w:sz w:val="21"/>
                <w:szCs w:val="21"/>
                <w:highlight w:val="none"/>
              </w:rPr>
              <w:t>公章，否则不得分。</w:t>
            </w:r>
          </w:p>
        </w:tc>
      </w:tr>
    </w:tbl>
    <w:p>
      <w:pPr>
        <w:bidi w:val="0"/>
        <w:rPr>
          <w:rFonts w:hint="eastAsia"/>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479"/>
      <w:bookmarkStart w:id="18" w:name="_Toc29685"/>
      <w:bookmarkStart w:id="19" w:name="_Toc24511"/>
      <w:bookmarkStart w:id="20" w:name="_Toc14146"/>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 xml:space="preserve">部分 </w:t>
      </w:r>
      <w:r>
        <w:rPr>
          <w:rFonts w:hint="eastAsia"/>
          <w:color w:val="auto"/>
          <w:sz w:val="28"/>
          <w:szCs w:val="28"/>
          <w:highlight w:val="none"/>
          <w:lang w:eastAsia="zh-CN"/>
        </w:rPr>
        <w:t>供应商</w:t>
      </w:r>
      <w:r>
        <w:rPr>
          <w:rFonts w:hint="eastAsia"/>
          <w:color w:val="auto"/>
          <w:sz w:val="28"/>
          <w:szCs w:val="28"/>
          <w:highlight w:val="none"/>
        </w:rPr>
        <w:t>须知</w:t>
      </w:r>
      <w:bookmarkEnd w:id="17"/>
      <w:bookmarkEnd w:id="18"/>
      <w:bookmarkEnd w:id="19"/>
    </w:p>
    <w:p>
      <w:pPr>
        <w:pStyle w:val="4"/>
        <w:keepNext w:val="0"/>
        <w:keepLines w:val="0"/>
        <w:spacing w:before="0" w:after="0" w:line="360" w:lineRule="auto"/>
        <w:jc w:val="center"/>
        <w:rPr>
          <w:rFonts w:ascii="宋体" w:hAnsi="宋体" w:eastAsia="宋体"/>
          <w:color w:val="auto"/>
          <w:sz w:val="24"/>
          <w:szCs w:val="21"/>
          <w:highlight w:val="none"/>
        </w:rPr>
      </w:pPr>
      <w:bookmarkStart w:id="21" w:name="_Toc24057"/>
      <w:bookmarkStart w:id="22" w:name="_Toc28014"/>
      <w:bookmarkStart w:id="23" w:name="_Toc6968687"/>
      <w:bookmarkStart w:id="24" w:name="_Toc102277756"/>
      <w:bookmarkStart w:id="25" w:name="_Toc466786434"/>
      <w:bookmarkStart w:id="26" w:name="_Toc507407359"/>
      <w:bookmarkStart w:id="27" w:name="_Toc6882675"/>
      <w:bookmarkStart w:id="28" w:name="_Toc467987807"/>
      <w:bookmarkStart w:id="29" w:name="_Toc480010692"/>
      <w:bookmarkStart w:id="30" w:name="_Toc467236724"/>
      <w:bookmarkStart w:id="31" w:name="_Toc480020241"/>
      <w:bookmarkStart w:id="32" w:name="_Toc468157520"/>
      <w:bookmarkStart w:id="33" w:name="_Toc468606013"/>
      <w:bookmarkStart w:id="34" w:name="_Toc479991566"/>
      <w:bookmarkStart w:id="35" w:name="_Toc48207756"/>
      <w:bookmarkStart w:id="36" w:name="_Toc480171863"/>
      <w:bookmarkStart w:id="37" w:name="_Toc480021037"/>
      <w:bookmarkStart w:id="38" w:name="_Toc458262599"/>
      <w:r>
        <w:rPr>
          <w:rFonts w:hint="eastAsia" w:ascii="宋体" w:hAnsi="宋体" w:eastAsia="宋体"/>
          <w:color w:val="auto"/>
          <w:sz w:val="24"/>
          <w:szCs w:val="21"/>
          <w:highlight w:val="none"/>
          <w:lang w:val="en-US" w:eastAsia="zh-CN"/>
        </w:rPr>
        <w:t>第一章</w:t>
      </w:r>
      <w:r>
        <w:rPr>
          <w:rFonts w:hint="eastAsia" w:ascii="宋体" w:hAnsi="宋体" w:eastAsia="宋体"/>
          <w:color w:val="auto"/>
          <w:sz w:val="24"/>
          <w:szCs w:val="21"/>
          <w:highlight w:val="none"/>
        </w:rPr>
        <w:t>说  明</w:t>
      </w:r>
      <w:bookmarkEnd w:id="21"/>
      <w:bookmarkEnd w:id="22"/>
      <w:bookmarkEnd w:id="23"/>
      <w:bookmarkEnd w:id="24"/>
      <w:bookmarkEnd w:id="25"/>
      <w:bookmarkEnd w:id="26"/>
      <w:bookmarkEnd w:id="27"/>
    </w:p>
    <w:p>
      <w:pPr>
        <w:pStyle w:val="5"/>
        <w:keepNext w:val="0"/>
        <w:keepLines w:val="0"/>
        <w:numPr>
          <w:ilvl w:val="0"/>
          <w:numId w:val="3"/>
        </w:numPr>
        <w:adjustRightInd/>
        <w:spacing w:before="0" w:after="0" w:line="360" w:lineRule="auto"/>
        <w:rPr>
          <w:rFonts w:hAnsi="宋体"/>
          <w:color w:val="auto"/>
          <w:sz w:val="21"/>
          <w:szCs w:val="21"/>
          <w:highlight w:val="none"/>
        </w:rPr>
      </w:pPr>
      <w:bookmarkStart w:id="39" w:name="_Toc17291"/>
      <w:bookmarkStart w:id="40" w:name="_Toc475249114"/>
      <w:bookmarkStart w:id="41" w:name="_Toc10228"/>
      <w:r>
        <w:rPr>
          <w:rFonts w:hint="eastAsia" w:hAnsi="宋体"/>
          <w:color w:val="auto"/>
          <w:sz w:val="21"/>
          <w:szCs w:val="21"/>
          <w:highlight w:val="none"/>
        </w:rPr>
        <w:t>适用范围</w:t>
      </w:r>
      <w:bookmarkEnd w:id="39"/>
      <w:bookmarkEnd w:id="40"/>
      <w:bookmarkEnd w:id="41"/>
    </w:p>
    <w:p>
      <w:pPr>
        <w:numPr>
          <w:ilvl w:val="1"/>
          <w:numId w:val="4"/>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本磋商文件仅适用于本次采购邀请中所叙述的项目。</w:t>
      </w:r>
    </w:p>
    <w:p>
      <w:pPr>
        <w:jc w:val="left"/>
        <w:rPr>
          <w:rFonts w:ascii="宋体" w:hAnsi="宋体" w:eastAsia="宋体" w:cs="宋体"/>
          <w:color w:val="auto"/>
          <w:sz w:val="21"/>
          <w:szCs w:val="21"/>
          <w:highlight w:val="none"/>
        </w:rPr>
      </w:pPr>
      <w:bookmarkStart w:id="42" w:name="_Toc475249115"/>
    </w:p>
    <w:p>
      <w:pPr>
        <w:pStyle w:val="5"/>
        <w:keepNext w:val="0"/>
        <w:keepLines w:val="0"/>
        <w:numPr>
          <w:ilvl w:val="0"/>
          <w:numId w:val="3"/>
        </w:numPr>
        <w:adjustRightInd/>
        <w:spacing w:before="0" w:after="0" w:line="360" w:lineRule="auto"/>
        <w:rPr>
          <w:rFonts w:hAnsi="宋体"/>
          <w:color w:val="auto"/>
          <w:sz w:val="21"/>
          <w:szCs w:val="21"/>
          <w:highlight w:val="none"/>
        </w:rPr>
      </w:pPr>
      <w:bookmarkStart w:id="43" w:name="_Toc8868"/>
      <w:bookmarkStart w:id="44" w:name="_Toc22176"/>
      <w:r>
        <w:rPr>
          <w:rFonts w:hint="eastAsia" w:hAnsi="宋体"/>
          <w:color w:val="auto"/>
          <w:sz w:val="21"/>
          <w:szCs w:val="21"/>
          <w:highlight w:val="none"/>
        </w:rPr>
        <w:t>定义</w:t>
      </w:r>
      <w:bookmarkEnd w:id="42"/>
      <w:bookmarkEnd w:id="43"/>
      <w:bookmarkEnd w:id="44"/>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是指依法进行政府采购的国家机关、事业单位</w:t>
      </w:r>
      <w:r>
        <w:rPr>
          <w:rFonts w:hint="eastAsia" w:ascii="宋体" w:hAnsi="宋体" w:eastAsia="宋体"/>
          <w:color w:val="auto"/>
          <w:sz w:val="21"/>
          <w:szCs w:val="21"/>
          <w:highlight w:val="none"/>
        </w:rPr>
        <w:t>等</w:t>
      </w:r>
      <w:r>
        <w:rPr>
          <w:rFonts w:ascii="宋体" w:hAnsi="宋体" w:eastAsia="宋体"/>
          <w:color w:val="auto"/>
          <w:sz w:val="21"/>
          <w:szCs w:val="21"/>
          <w:highlight w:val="none"/>
        </w:rPr>
        <w:t>团体组织</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“采购代理机构”是指广东政通招标有限公司。</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“供应商”指根据磋商文件要求进行文件领购并向采购代理机构提交响应文件参与本项目的法人。</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“法人”是依法在国内进行注册并具有民事权利能力和民事行为能力，依法独立享有民事权利和承担民事义务的组织。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“货物”是指</w:t>
      </w:r>
      <w:r>
        <w:rPr>
          <w:rFonts w:ascii="宋体" w:hAnsi="宋体" w:eastAsia="宋体"/>
          <w:color w:val="auto"/>
          <w:sz w:val="21"/>
          <w:szCs w:val="21"/>
          <w:highlight w:val="none"/>
        </w:rPr>
        <w:t>各种形态和种类的物品，包括原材料、燃料、设备、产品等</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除货物和工程以外的其他政府采购对象</w:t>
      </w:r>
      <w:r>
        <w:rPr>
          <w:rFonts w:hint="eastAsia" w:ascii="宋体" w:hAnsi="宋体" w:eastAsia="宋体"/>
          <w:color w:val="auto"/>
          <w:sz w:val="21"/>
          <w:szCs w:val="21"/>
          <w:highlight w:val="none"/>
        </w:rPr>
        <w:t>。</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“工程”是指建设工程，包括建筑物和构筑物的新建、改建、扩建及其相关的装修、拆除、修缮等。</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“语言”是指采购文件的语言为简体中文。</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“日期”是指公历日。</w:t>
      </w:r>
    </w:p>
    <w:p>
      <w:pPr>
        <w:numPr>
          <w:ilvl w:val="1"/>
          <w:numId w:val="5"/>
        </w:numPr>
        <w:autoSpaceDE w:val="0"/>
        <w:autoSpaceDN w:val="0"/>
        <w:spacing w:line="360" w:lineRule="auto"/>
        <w:jc w:val="left"/>
        <w:textAlignment w:val="baseline"/>
        <w:rPr>
          <w:rFonts w:ascii="宋体" w:hAnsi="宋体" w:eastAsia="宋体"/>
          <w:color w:val="auto"/>
          <w:sz w:val="21"/>
          <w:szCs w:val="21"/>
          <w:highlight w:val="none"/>
        </w:rPr>
      </w:pPr>
      <w:r>
        <w:rPr>
          <w:rFonts w:hint="eastAsia" w:ascii="宋体" w:hAnsi="宋体" w:eastAsia="宋体"/>
          <w:color w:val="auto"/>
          <w:sz w:val="21"/>
          <w:szCs w:val="21"/>
          <w:highlight w:val="none"/>
        </w:rPr>
        <w:t>“时间”是指北京时间。</w:t>
      </w:r>
    </w:p>
    <w:p>
      <w:pPr>
        <w:rPr>
          <w:rFonts w:ascii="宋体" w:hAnsi="宋体" w:eastAsia="宋体" w:cs="宋体"/>
          <w:color w:val="auto"/>
          <w:sz w:val="21"/>
          <w:szCs w:val="21"/>
          <w:highlight w:val="none"/>
        </w:rPr>
      </w:pPr>
      <w:bookmarkStart w:id="45" w:name="_Toc110953831"/>
      <w:bookmarkStart w:id="46" w:name="_Toc6882676"/>
      <w:bookmarkStart w:id="47" w:name="_Toc466786435"/>
      <w:bookmarkStart w:id="48" w:name="_Toc102277757"/>
      <w:bookmarkStart w:id="49" w:name="_Toc507407360"/>
      <w:bookmarkStart w:id="50" w:name="_Toc6968688"/>
    </w:p>
    <w:p>
      <w:pPr>
        <w:pStyle w:val="5"/>
        <w:keepNext w:val="0"/>
        <w:keepLines w:val="0"/>
        <w:numPr>
          <w:ilvl w:val="0"/>
          <w:numId w:val="3"/>
        </w:numPr>
        <w:adjustRightInd/>
        <w:spacing w:before="0" w:after="0" w:line="360" w:lineRule="auto"/>
        <w:rPr>
          <w:rFonts w:hAnsi="宋体"/>
          <w:color w:val="auto"/>
          <w:sz w:val="21"/>
          <w:szCs w:val="21"/>
          <w:highlight w:val="none"/>
        </w:rPr>
      </w:pPr>
      <w:bookmarkStart w:id="51" w:name="_Toc31412"/>
      <w:bookmarkStart w:id="52" w:name="_Toc1083"/>
      <w:r>
        <w:rPr>
          <w:rFonts w:hint="eastAsia" w:hAnsi="宋体"/>
          <w:color w:val="auto"/>
          <w:sz w:val="21"/>
          <w:szCs w:val="21"/>
          <w:highlight w:val="none"/>
        </w:rPr>
        <w:t>适用法律</w:t>
      </w:r>
      <w:bookmarkEnd w:id="45"/>
      <w:bookmarkEnd w:id="51"/>
      <w:bookmarkEnd w:id="5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供应商和采购代理机构均应当遵守《中华人民共和国政府采购法》、《中华人民共和国政府采购法实施条例》、《财政部关于印发&lt;政府采购竞争性磋商采购方式管理暂行办法&gt;的通知》（财库[2014]214号）及相关法律法规。</w:t>
      </w:r>
    </w:p>
    <w:p>
      <w:pPr>
        <w:rPr>
          <w:color w:val="auto"/>
          <w:highlight w:val="none"/>
        </w:rPr>
      </w:pPr>
      <w:bookmarkStart w:id="53" w:name="_Toc110953832"/>
    </w:p>
    <w:p>
      <w:pPr>
        <w:pStyle w:val="5"/>
        <w:keepNext w:val="0"/>
        <w:keepLines w:val="0"/>
        <w:numPr>
          <w:ilvl w:val="0"/>
          <w:numId w:val="3"/>
        </w:numPr>
        <w:adjustRightInd/>
        <w:spacing w:before="0" w:after="0" w:line="360" w:lineRule="auto"/>
        <w:rPr>
          <w:rFonts w:hAnsi="宋体"/>
          <w:color w:val="auto"/>
          <w:sz w:val="21"/>
          <w:szCs w:val="21"/>
          <w:highlight w:val="none"/>
        </w:rPr>
      </w:pPr>
      <w:bookmarkStart w:id="54" w:name="_Toc18833"/>
      <w:bookmarkStart w:id="55" w:name="_Toc15452"/>
      <w:r>
        <w:rPr>
          <w:rFonts w:hint="eastAsia" w:hAnsi="宋体"/>
          <w:color w:val="auto"/>
          <w:sz w:val="21"/>
          <w:szCs w:val="21"/>
          <w:highlight w:val="none"/>
        </w:rPr>
        <w:t>知识产权</w:t>
      </w:r>
      <w:bookmarkEnd w:id="53"/>
      <w:bookmarkEnd w:id="54"/>
      <w:bookmarkEnd w:id="55"/>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采购人享有本项目实施过程中产生的知识成果及知识产权。</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供应商如欲在项目实施过程中采用自有知识成果，需在响应文件中声明，并提供相关知识产权证明文件。使用该知识成果后，供应商需提供开发接口和开发手册等技术文档。</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采购货物为计算机办公设备或含有计算机办公设备时，供应商提供的产品必须是预装正版操作系统软件的计算机产品。</w:t>
      </w:r>
    </w:p>
    <w:p>
      <w:pPr>
        <w:numPr>
          <w:ilvl w:val="1"/>
          <w:numId w:val="3"/>
        </w:numPr>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供应商提供的服务、货物经认定存在侵权行为的，其响应文件无效，并上报相关监管部门。</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56" w:name="_Toc29484"/>
      <w:bookmarkStart w:id="57" w:name="_Toc5242"/>
      <w:bookmarkStart w:id="58" w:name="_Toc110953833"/>
      <w:r>
        <w:rPr>
          <w:rFonts w:hint="eastAsia" w:hAnsi="宋体"/>
          <w:color w:val="auto"/>
          <w:sz w:val="21"/>
          <w:szCs w:val="21"/>
          <w:highlight w:val="none"/>
        </w:rPr>
        <w:t>关于联合体报价</w:t>
      </w:r>
      <w:bookmarkEnd w:id="56"/>
      <w:bookmarkEnd w:id="5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对接受联合体报价的项目：两个以上的自然人、法人或者其他组织可以组成一个联合体，以一个供应商的身份共同参加政府采购。</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以联合体形式参与项目的供应商在领购磋商文件时，应提供所有联合体组成成员的营业执照复印件，并加盖各联合体组成成员的公章。</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联合体各方均应当符合《政府采购法》第二十二条规定的条件。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采购人根据采购项目的特殊要求规定供应商特定条件的，联合体各方中至少应当有一方符合采购人规定的特定条件。</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各方之间应当签订联合体协议并在响应文件内提交，明确约定联合体各方承担的工作和相应的责任。联合体各方签订联合体协议后，不得再以自己名义单独在同一项目中报价，也不得组成新的联合体参加同一项目的磋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供应商为联合体的，可以由联合体中的任意一方交纳保证金，其交纳的保证金对联合体各方均具有约束力。</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联合体中有同类资质的供应商按照联合体分工承担相同工作的，应当按照资质等级较低的联合体成员确定资质等级。</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以联合体形式参加政府采购活动，联合体各方均为中小企业的，联合体视同中小企业。其中，联合体各方均为小微企业的，联合体视同小微企业。双方均应提供《中小企业声明函》。</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除联合体协议明确授权盖章单位外，联合体报价时响应文件中所有要求盖章的地方均须加盖联合体所有组成成员的公章，否则该处盖章无效。</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进行评分时，业绩、奖项等的认定和评分根据联合体协议约定的各方承担的工作和相应责任，确定一方打分，不累加打分，若评分项中有明确以哪方为打分主体，则按要求进行评分；评审标准不明确或难以明确以哪一方计算评分情况时，则按主体方情况评分。</w:t>
      </w:r>
    </w:p>
    <w:p>
      <w:pPr>
        <w:bidi w:val="0"/>
        <w:rPr>
          <w:color w:val="auto"/>
          <w:highlight w:val="none"/>
        </w:rPr>
      </w:pPr>
    </w:p>
    <w:bookmarkEnd w:id="58"/>
    <w:p>
      <w:pPr>
        <w:pStyle w:val="5"/>
        <w:keepNext w:val="0"/>
        <w:keepLines w:val="0"/>
        <w:numPr>
          <w:ilvl w:val="0"/>
          <w:numId w:val="3"/>
        </w:numPr>
        <w:adjustRightInd/>
        <w:spacing w:before="0" w:after="0" w:line="360" w:lineRule="auto"/>
        <w:rPr>
          <w:rFonts w:hAnsi="宋体"/>
          <w:color w:val="auto"/>
          <w:sz w:val="21"/>
          <w:szCs w:val="21"/>
          <w:highlight w:val="none"/>
        </w:rPr>
      </w:pPr>
      <w:bookmarkStart w:id="59" w:name="_Toc25157"/>
      <w:bookmarkStart w:id="60" w:name="_Toc2836"/>
      <w:r>
        <w:rPr>
          <w:rFonts w:hint="eastAsia" w:hAnsi="宋体"/>
          <w:color w:val="auto"/>
          <w:sz w:val="21"/>
          <w:szCs w:val="21"/>
          <w:highlight w:val="none"/>
        </w:rPr>
        <w:t>关于分支机构报价</w:t>
      </w:r>
      <w:bookmarkEnd w:id="59"/>
      <w:bookmarkEnd w:id="60"/>
    </w:p>
    <w:p>
      <w:pPr>
        <w:numPr>
          <w:ilvl w:val="1"/>
          <w:numId w:val="3"/>
        </w:numPr>
        <w:spacing w:line="360" w:lineRule="auto"/>
        <w:rPr>
          <w:rFonts w:ascii="宋体" w:hAnsi="宋体" w:eastAsia="宋体" w:cs="宋体"/>
          <w:color w:val="auto"/>
          <w:sz w:val="21"/>
          <w:szCs w:val="21"/>
          <w:highlight w:val="none"/>
        </w:rPr>
      </w:pPr>
      <w:bookmarkStart w:id="61" w:name="_Toc98126295"/>
      <w:bookmarkStart w:id="62" w:name="_Toc98126220"/>
      <w:r>
        <w:rPr>
          <w:rFonts w:hint="eastAsia" w:ascii="宋体" w:hAnsi="宋体" w:eastAsia="宋体" w:cs="宋体"/>
          <w:color w:val="auto"/>
          <w:sz w:val="21"/>
          <w:szCs w:val="21"/>
          <w:highlight w:val="none"/>
        </w:rPr>
        <w:t>对可接受分支机构报价的项目，分支机构报价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61"/>
      <w:bookmarkEnd w:id="62"/>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63" w:name="_Toc18108"/>
      <w:bookmarkStart w:id="64" w:name="_Toc16198"/>
      <w:bookmarkStart w:id="65" w:name="_Toc110953834"/>
      <w:r>
        <w:rPr>
          <w:rFonts w:hint="eastAsia" w:hAnsi="宋体"/>
          <w:color w:val="auto"/>
          <w:sz w:val="21"/>
          <w:szCs w:val="21"/>
          <w:highlight w:val="none"/>
        </w:rPr>
        <w:t>保密及其它注意事项</w:t>
      </w:r>
      <w:bookmarkEnd w:id="63"/>
      <w:bookmarkEnd w:id="64"/>
      <w:bookmarkEnd w:id="65"/>
    </w:p>
    <w:p>
      <w:pPr>
        <w:numPr>
          <w:ilvl w:val="1"/>
          <w:numId w:val="3"/>
        </w:numPr>
        <w:spacing w:line="360" w:lineRule="auto"/>
        <w:rPr>
          <w:rFonts w:ascii="宋体" w:hAnsi="宋体" w:eastAsia="宋体" w:cs="宋体"/>
          <w:color w:val="auto"/>
          <w:sz w:val="21"/>
          <w:szCs w:val="21"/>
          <w:highlight w:val="none"/>
        </w:rPr>
      </w:pPr>
      <w:bookmarkStart w:id="66" w:name="_Toc98126297"/>
      <w:bookmarkStart w:id="67" w:name="_Toc98126222"/>
      <w:r>
        <w:rPr>
          <w:rFonts w:hint="eastAsia" w:ascii="宋体" w:hAnsi="宋体" w:eastAsia="宋体" w:cs="宋体"/>
          <w:color w:val="auto"/>
          <w:sz w:val="21"/>
          <w:szCs w:val="21"/>
          <w:highlight w:val="none"/>
        </w:rPr>
        <w:t>凡参与采购工作的有关人员均应自觉接受有关主管部门的监督，不得向他人透露可能影响公平竞争的有关情况。</w:t>
      </w:r>
      <w:bookmarkEnd w:id="66"/>
      <w:bookmarkEnd w:id="67"/>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开启响应文件后，凡与审查、澄清、评估和比较有关资料以及评审意见等，均不得向供应商及与评审无关的其他人透露。在采购工作结束后，与评审情况有接触的任何人，不得将评审情况扩散出磋商小组人员之外。</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在评审期间，供应商不得向磋商小组成员询问评审情况，不得进行旨在影响评审结果的活动。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供应商应承担所有与准备和参加报价有关的费用。不论报价的结果如何，采购代理机构和采购人均无义务和责任承担这些费用。</w:t>
      </w:r>
    </w:p>
    <w:p>
      <w:pPr>
        <w:spacing w:line="360" w:lineRule="auto"/>
        <w:ind w:firstLine="420" w:firstLineChars="200"/>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68" w:name="_Toc23588"/>
      <w:bookmarkStart w:id="69" w:name="_Toc25468"/>
      <w:r>
        <w:rPr>
          <w:rFonts w:hint="eastAsia" w:ascii="宋体" w:hAnsi="宋体" w:eastAsia="宋体"/>
          <w:color w:val="auto"/>
          <w:sz w:val="24"/>
          <w:szCs w:val="21"/>
          <w:highlight w:val="none"/>
          <w:lang w:val="en-US" w:eastAsia="zh-CN"/>
        </w:rPr>
        <w:t>第二章</w:t>
      </w:r>
      <w:r>
        <w:rPr>
          <w:rFonts w:hint="eastAsia" w:ascii="宋体" w:hAnsi="宋体" w:eastAsia="宋体"/>
          <w:color w:val="auto"/>
          <w:sz w:val="24"/>
          <w:szCs w:val="21"/>
          <w:highlight w:val="none"/>
        </w:rPr>
        <w:t>磋商文件说明</w:t>
      </w:r>
      <w:bookmarkEnd w:id="46"/>
      <w:bookmarkEnd w:id="47"/>
      <w:bookmarkEnd w:id="48"/>
      <w:bookmarkEnd w:id="49"/>
      <w:bookmarkEnd w:id="50"/>
      <w:bookmarkEnd w:id="68"/>
      <w:bookmarkEnd w:id="69"/>
    </w:p>
    <w:p>
      <w:pPr>
        <w:pStyle w:val="5"/>
        <w:keepNext w:val="0"/>
        <w:keepLines w:val="0"/>
        <w:numPr>
          <w:ilvl w:val="0"/>
          <w:numId w:val="3"/>
        </w:numPr>
        <w:adjustRightInd/>
        <w:spacing w:before="0" w:after="0" w:line="360" w:lineRule="auto"/>
        <w:rPr>
          <w:rFonts w:hAnsi="宋体"/>
          <w:color w:val="auto"/>
          <w:sz w:val="21"/>
          <w:szCs w:val="21"/>
          <w:highlight w:val="none"/>
        </w:rPr>
      </w:pPr>
      <w:bookmarkStart w:id="70" w:name="_Toc110953836"/>
      <w:bookmarkStart w:id="71" w:name="_Toc4511"/>
      <w:bookmarkStart w:id="72" w:name="_Toc21439"/>
      <w:bookmarkStart w:id="73" w:name="_Toc507407361"/>
      <w:bookmarkStart w:id="74" w:name="_Toc466786436"/>
      <w:bookmarkStart w:id="75" w:name="_Toc6882677"/>
      <w:bookmarkStart w:id="76" w:name="_Toc102277758"/>
      <w:bookmarkStart w:id="77" w:name="_Toc6968689"/>
      <w:r>
        <w:rPr>
          <w:rFonts w:hint="eastAsia" w:hAnsi="宋体"/>
          <w:color w:val="auto"/>
          <w:sz w:val="21"/>
          <w:szCs w:val="21"/>
          <w:highlight w:val="none"/>
        </w:rPr>
        <w:t>采购文件构成</w:t>
      </w:r>
      <w:bookmarkEnd w:id="70"/>
      <w:bookmarkEnd w:id="71"/>
      <w:bookmarkEnd w:id="72"/>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采购文件由下列文件以及在采购过程中发出的澄清更正文件组成：</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磋商邀请函；</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磋商资料表；</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供应商须知；</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用户需求；</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合同书格式；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响应文件格式；</w:t>
      </w:r>
    </w:p>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在采购过程中由集中采购机构发出的澄清更正文件等。</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采购文件的澄清更正：</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对采购文件进行必要的澄清更正的，澄清或者修改的内容可能影响响应文件编制的，于提交首次响应文件截止之日5日前在指定媒体上发布公告，并通知所有报名及购买采购文件的供应商，该澄清更正的内容为采购文件的组成部分。</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采购期间，供应商有义务上网查看，公告一经上网发布，即视为送达。因供应商未及时上网查看而造成的所有后果，由供应商自行承担。</w:t>
      </w:r>
    </w:p>
    <w:p>
      <w:pPr>
        <w:numPr>
          <w:ilvl w:val="0"/>
          <w:numId w:val="7"/>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根据采购的具体情况，采购代理机构可延长响应文件递交截止时间和磋商时间，并将变更时间在指定媒体上发布公告及通知所有报名及购买采购文件的供应商。</w:t>
      </w:r>
    </w:p>
    <w:p>
      <w:pPr>
        <w:pStyle w:val="2"/>
        <w:rPr>
          <w:rFonts w:ascii="宋体" w:hAnsi="宋体" w:eastAsia="宋体" w:cs="宋体"/>
          <w:color w:val="auto"/>
          <w:sz w:val="21"/>
          <w:szCs w:val="21"/>
          <w:highlight w:val="none"/>
        </w:rPr>
      </w:pPr>
    </w:p>
    <w:bookmarkEnd w:id="73"/>
    <w:bookmarkEnd w:id="74"/>
    <w:bookmarkEnd w:id="75"/>
    <w:bookmarkEnd w:id="76"/>
    <w:bookmarkEnd w:id="77"/>
    <w:p>
      <w:pPr>
        <w:pStyle w:val="4"/>
        <w:keepNext w:val="0"/>
        <w:keepLines w:val="0"/>
        <w:spacing w:before="0" w:after="0" w:line="360" w:lineRule="auto"/>
        <w:jc w:val="center"/>
        <w:rPr>
          <w:rFonts w:ascii="宋体" w:hAnsi="宋体" w:eastAsia="宋体"/>
          <w:color w:val="auto"/>
          <w:sz w:val="24"/>
          <w:szCs w:val="21"/>
          <w:highlight w:val="none"/>
        </w:rPr>
      </w:pPr>
      <w:bookmarkStart w:id="78" w:name="_Toc110953838"/>
      <w:bookmarkStart w:id="79" w:name="_Toc158"/>
      <w:bookmarkStart w:id="80" w:name="_Toc25500"/>
      <w:bookmarkStart w:id="81" w:name="_Toc6882678"/>
      <w:bookmarkStart w:id="82" w:name="_Toc466786437"/>
      <w:bookmarkStart w:id="83" w:name="_Toc6968690"/>
      <w:bookmarkStart w:id="84" w:name="_Toc102277759"/>
      <w:bookmarkStart w:id="85" w:name="_Toc507407362"/>
      <w:r>
        <w:rPr>
          <w:rFonts w:hint="eastAsia" w:ascii="宋体" w:hAnsi="宋体" w:eastAsia="宋体"/>
          <w:color w:val="auto"/>
          <w:sz w:val="24"/>
          <w:szCs w:val="21"/>
          <w:highlight w:val="none"/>
          <w:lang w:val="en-US" w:eastAsia="zh-CN"/>
        </w:rPr>
        <w:t>第三章</w:t>
      </w:r>
      <w:r>
        <w:rPr>
          <w:rFonts w:hint="eastAsia" w:ascii="宋体" w:hAnsi="宋体" w:eastAsia="宋体"/>
          <w:color w:val="auto"/>
          <w:sz w:val="24"/>
          <w:szCs w:val="21"/>
          <w:highlight w:val="none"/>
        </w:rPr>
        <w:t>响应文件的</w:t>
      </w:r>
      <w:bookmarkEnd w:id="78"/>
      <w:r>
        <w:rPr>
          <w:rFonts w:hint="eastAsia" w:ascii="宋体" w:hAnsi="宋体" w:eastAsia="宋体"/>
          <w:color w:val="auto"/>
          <w:sz w:val="24"/>
          <w:szCs w:val="21"/>
          <w:highlight w:val="none"/>
        </w:rPr>
        <w:t>编制</w:t>
      </w:r>
      <w:bookmarkEnd w:id="79"/>
      <w:bookmarkEnd w:id="80"/>
    </w:p>
    <w:p>
      <w:pPr>
        <w:pStyle w:val="5"/>
        <w:keepNext w:val="0"/>
        <w:keepLines w:val="0"/>
        <w:numPr>
          <w:ilvl w:val="0"/>
          <w:numId w:val="3"/>
        </w:numPr>
        <w:adjustRightInd/>
        <w:spacing w:before="0" w:after="0" w:line="360" w:lineRule="auto"/>
        <w:rPr>
          <w:rFonts w:hAnsi="宋体"/>
          <w:color w:val="auto"/>
          <w:sz w:val="21"/>
          <w:szCs w:val="21"/>
          <w:highlight w:val="none"/>
        </w:rPr>
      </w:pPr>
      <w:bookmarkStart w:id="86" w:name="_Toc4681"/>
      <w:bookmarkStart w:id="87" w:name="_Toc19833"/>
      <w:bookmarkStart w:id="88" w:name="_Toc110953839"/>
      <w:r>
        <w:rPr>
          <w:rFonts w:hint="eastAsia" w:hAnsi="宋体"/>
          <w:color w:val="auto"/>
          <w:sz w:val="21"/>
          <w:szCs w:val="21"/>
          <w:highlight w:val="none"/>
        </w:rPr>
        <w:t>响应文件的语言及度量衡单位</w:t>
      </w:r>
      <w:bookmarkEnd w:id="86"/>
      <w:bookmarkEnd w:id="87"/>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提交的响应文件以及供应商与集中采购机构就有关报价的所有来往函电均应使用中文。供应商提交的支持文件或印刷的资料可以用另一种语言，但相应内容应附有中文翻译本，两种语言不一致时以中文翻译本为准</w:t>
      </w:r>
      <w:r>
        <w:rPr>
          <w:rFonts w:hint="eastAsia" w:ascii="宋体" w:hAnsi="宋体" w:eastAsia="宋体"/>
          <w:color w:val="auto"/>
          <w:sz w:val="21"/>
          <w:szCs w:val="21"/>
          <w:highlight w:val="none"/>
        </w:rPr>
        <w:t>（中文译本应由翻译机构盖章或者翻译人员签名确认，否则按无效处理）</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除非采购文件在技术规格中另有规定，供应商在采购文件中及其与采购代理机构和采购人所有往来文件中的所有计量单位均应采用中华人民共和国法定计量单位。</w:t>
      </w:r>
    </w:p>
    <w:p>
      <w:pPr>
        <w:bidi w:val="0"/>
        <w:rPr>
          <w:color w:val="auto"/>
          <w:highlight w:val="none"/>
        </w:rPr>
      </w:pPr>
    </w:p>
    <w:bookmarkEnd w:id="88"/>
    <w:p>
      <w:pPr>
        <w:pStyle w:val="5"/>
        <w:keepNext w:val="0"/>
        <w:keepLines w:val="0"/>
        <w:numPr>
          <w:ilvl w:val="0"/>
          <w:numId w:val="3"/>
        </w:numPr>
        <w:adjustRightInd/>
        <w:spacing w:before="0" w:after="0" w:line="360" w:lineRule="auto"/>
        <w:rPr>
          <w:rFonts w:hAnsi="宋体"/>
          <w:color w:val="auto"/>
          <w:sz w:val="21"/>
          <w:szCs w:val="21"/>
          <w:highlight w:val="none"/>
        </w:rPr>
      </w:pPr>
      <w:bookmarkStart w:id="89" w:name="_Toc25730"/>
      <w:bookmarkStart w:id="90" w:name="_Toc18228"/>
      <w:r>
        <w:rPr>
          <w:rFonts w:hint="eastAsia" w:hAnsi="宋体"/>
          <w:color w:val="auto"/>
          <w:sz w:val="21"/>
          <w:szCs w:val="21"/>
          <w:highlight w:val="none"/>
        </w:rPr>
        <w:t>响应文件编制</w:t>
      </w:r>
      <w:bookmarkEnd w:id="89"/>
      <w:bookmarkEnd w:id="90"/>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认真阅读、并充分理解采购文件的全部内容（包括所有的补充、修改内容、重要事项、格式、条款和技术规范、参数及要求等），并应完整、真实、准确的填写采购文件中规定的所有内容。供应商没有按照采购文件要求提交全部资料，或者报价没有对采购文件在各方面都作出实质性响应是供应商的风险，有可能导致其报价被拒绝，或被认定为无效响应或被确定为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供应商必须对响应文件所提供的全部资料的真实性承担法律责任，并无条件接受采购人或采购代理机构及政府采购监督管理部门等对其中任何资料进行核实的要求。</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如果因为供应商响应文件填报的内容不详，或没有提供采购文件中所要求的全部资料及数据，由此造成的后果，其责任由供应商承担。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磋商小组进行供应商授权代表人身份审查及供应商报价审查，供应商应将首次报价一览表及授权委托书单独密封提交，并在信封上标明“报价文件”字样。供应商的法定代表人参加磋商时，须开具法定代表人证明书，按上述要求一并密封提交。“报价文件”份数及签章等要求与响应文件正本相同（1份）。</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供应商应按响应文件的</w:t>
      </w:r>
      <w:r>
        <w:rPr>
          <w:rFonts w:hint="eastAsia" w:ascii="宋体" w:hAnsi="宋体" w:eastAsia="宋体"/>
          <w:color w:val="auto"/>
          <w:sz w:val="21"/>
          <w:szCs w:val="21"/>
          <w:highlight w:val="none"/>
        </w:rPr>
        <w:t>用户需求中的要求进行一次报价</w:t>
      </w:r>
      <w:r>
        <w:rPr>
          <w:rFonts w:hint="eastAsia" w:ascii="宋体" w:hAnsi="宋体" w:eastAsia="宋体"/>
          <w:bCs/>
          <w:color w:val="auto"/>
          <w:sz w:val="21"/>
          <w:szCs w:val="21"/>
          <w:highlight w:val="none"/>
        </w:rPr>
        <w:t>；</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供应商所提供的货物和服务均应以人民币</w:t>
      </w:r>
      <w:r>
        <w:rPr>
          <w:rFonts w:hint="eastAsia" w:ascii="宋体" w:hAnsi="宋体" w:eastAsia="宋体"/>
          <w:color w:val="auto"/>
          <w:sz w:val="21"/>
          <w:szCs w:val="21"/>
          <w:highlight w:val="none"/>
        </w:rPr>
        <w:t>（或相关费率）</w:t>
      </w:r>
      <w:r>
        <w:rPr>
          <w:rFonts w:hint="eastAsia" w:ascii="宋体" w:hAnsi="宋体" w:eastAsia="宋体"/>
          <w:bCs/>
          <w:color w:val="auto"/>
          <w:sz w:val="21"/>
          <w:szCs w:val="21"/>
          <w:highlight w:val="none"/>
        </w:rPr>
        <w:t>报价（具体报价要求详见用户需求）；</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报价应包含完成本次采购所有服务内容的费用，包含各种税务费及合同实施过程中的全部费用；</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经磋商后，供应商所报的最后磋商报价在合同执行过程中是固定不变的，不得以任何理由予以变更；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供应商只能就单个项目提供唯一的方案和报价，不接受选择性的方案和报价，方案或报价不是唯一的响应文件作无效处理；</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最终报价文件为供应商响应文件组成的一部分，其报价有效期应与响应文件有效期保持一致；</w:t>
      </w:r>
    </w:p>
    <w:p>
      <w:pPr>
        <w:numPr>
          <w:ilvl w:val="0"/>
          <w:numId w:val="8"/>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小组认为供应商的报价明显低于其他通过初审的供应商的报价，有可能影响产品质量或者不能诚信履约的，应当要求其在磋商现场合理的时间内提供书面说明，必要时提交相关证明材料；供应商不能证明其报价合理性的，磋商小组应当将其作为无效报价处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bCs/>
          <w:color w:val="auto"/>
          <w:sz w:val="21"/>
          <w:szCs w:val="21"/>
          <w:highlight w:val="none"/>
        </w:rPr>
        <w:t>供应商名称与供应商公章不一致，若供应商名称已进行变更，应在响应文件中提供相应的证明材料并加盖公章，否则响应文件无效。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响应文件密封、标记及内容与本项目采购信息不符，导致无法分辨所参与项目为本项目的，响应文件无效。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除供应商对错处作必要修改外，响应文件中不允许涂改或改写。任何行间插字、涂改和增删，必须由供应商的法定代表人或委托代理人在修改处签字或加盖公章才有效，否则其该处内容无效。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响应文件的签署：未按采购文件要求或未按响应文件所要求格式对响应文件进行签署授权的，其报价无效。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电报、电话、传真、电子邮件形式的响应文件概不接受。</w:t>
      </w:r>
    </w:p>
    <w:p>
      <w:pPr>
        <w:spacing w:line="360" w:lineRule="auto"/>
        <w:rPr>
          <w:rFonts w:ascii="宋体" w:hAnsi="宋体" w:eastAsia="宋体"/>
          <w:bCs/>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1" w:name="_Toc110953840"/>
      <w:bookmarkStart w:id="92" w:name="_Toc26897"/>
      <w:bookmarkStart w:id="93" w:name="_Toc11910"/>
      <w:r>
        <w:rPr>
          <w:rFonts w:hint="eastAsia" w:hAnsi="宋体"/>
          <w:color w:val="auto"/>
          <w:sz w:val="21"/>
          <w:szCs w:val="21"/>
          <w:highlight w:val="none"/>
        </w:rPr>
        <w:t>响应文件的内容</w:t>
      </w:r>
      <w:bookmarkEnd w:id="91"/>
      <w:bookmarkEnd w:id="92"/>
      <w:bookmarkEnd w:id="9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证明供应商合格和资格的文件。</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响应文件格式中要求必须提供的表格。</w:t>
      </w:r>
    </w:p>
    <w:p>
      <w:pPr>
        <w:spacing w:line="360" w:lineRule="auto"/>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4" w:name="_Toc110953841"/>
      <w:bookmarkStart w:id="95" w:name="_Toc1662"/>
      <w:bookmarkStart w:id="96" w:name="_Toc15387"/>
      <w:r>
        <w:rPr>
          <w:rFonts w:hint="eastAsia" w:hAnsi="宋体"/>
          <w:color w:val="auto"/>
          <w:sz w:val="21"/>
          <w:szCs w:val="21"/>
          <w:highlight w:val="none"/>
        </w:rPr>
        <w:t>响应文件格式</w:t>
      </w:r>
      <w:bookmarkEnd w:id="94"/>
      <w:bookmarkEnd w:id="95"/>
      <w:bookmarkEnd w:id="96"/>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供应商应将响应文件装订成册，并制作“响应文件目录”。响应文件格式中要求必须提交的文件或表格，各供应商可以根据实际情况增加内容，但不得擅自减少有关内容。响应文件的完整性是评审的内容之一。</w:t>
      </w:r>
    </w:p>
    <w:p>
      <w:pPr>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7" w:name="_Toc1898"/>
      <w:bookmarkStart w:id="98" w:name="_Toc21656"/>
      <w:r>
        <w:rPr>
          <w:rFonts w:hint="eastAsia" w:hAnsi="宋体"/>
          <w:color w:val="auto"/>
          <w:sz w:val="21"/>
          <w:szCs w:val="21"/>
          <w:highlight w:val="none"/>
        </w:rPr>
        <w:t>磋商保证金</w:t>
      </w:r>
      <w:bookmarkEnd w:id="97"/>
      <w:bookmarkEnd w:id="98"/>
      <w:r>
        <w:rPr>
          <w:rFonts w:hint="eastAsia" w:hAnsi="宋体"/>
          <w:color w:val="auto"/>
          <w:sz w:val="21"/>
          <w:szCs w:val="21"/>
          <w:highlight w:val="none"/>
          <w:lang w:eastAsia="zh-CN"/>
        </w:rPr>
        <w:t>（</w:t>
      </w:r>
      <w:r>
        <w:rPr>
          <w:rFonts w:hint="eastAsia" w:ascii="宋体" w:hAnsi="宋体"/>
          <w:b/>
          <w:color w:val="auto"/>
          <w:sz w:val="21"/>
          <w:szCs w:val="21"/>
          <w:highlight w:val="none"/>
          <w:lang w:val="en-US" w:eastAsia="zh-CN"/>
        </w:rPr>
        <w:t>本项目不需提供</w:t>
      </w:r>
      <w:r>
        <w:rPr>
          <w:rFonts w:hint="eastAsia" w:hAnsi="宋体"/>
          <w:color w:val="auto"/>
          <w:sz w:val="21"/>
          <w:szCs w:val="21"/>
          <w:highlight w:val="none"/>
        </w:rPr>
        <w:t>磋商保证金</w:t>
      </w:r>
      <w:r>
        <w:rPr>
          <w:rFonts w:hint="eastAsia" w:hAnsi="宋体"/>
          <w:color w:val="auto"/>
          <w:sz w:val="21"/>
          <w:szCs w:val="21"/>
          <w:highlight w:val="none"/>
          <w:lang w:eastAsia="zh-CN"/>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磋商保证金金额与采购文件要求金额保持一致（详见磋商资料表）。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供应商应按磋商资料表中规定数额及法律规定的时间按相应包号保证金金额要求一次性提交磋商保证金，以多次汇入达到采购文件要求金额的磋商保证金无效。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磋商保证金有效期与响应文件有效期保持一致。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缴纳磋商保证金的供应商与参与本项目的供应商名称必须一致，非参与本项目的供应商缴纳的磋商保证金无效。</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采用银行转账、电汇方式提交的,付至采购代理机构指定账户上。 (详见磋商资料表)</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担保是指由担保机构为供应商交纳磋商保证金向采购人或者采购代理机构提供的保证担保。供应商在响应有效期内撤回响应文件或成交后不签订政府采购合同的，由担保机构按照担保函的约定履行支付磋商保证金的责任。</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采用担保函提交的，应符合下列规定：</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担保函有效期应与响应文件有效期一致；</w:t>
      </w:r>
    </w:p>
    <w:p>
      <w:pPr>
        <w:pStyle w:val="2"/>
        <w:keepNext w:val="0"/>
        <w:keepLines w:val="0"/>
        <w:pageBreakBefore w:val="0"/>
        <w:widowControl/>
        <w:numPr>
          <w:ilvl w:val="0"/>
          <w:numId w:val="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担保金额应与本项目的磋商保证金一致；</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保证金不接受现金方式（包括以存现方式）提交，未按要求提交磋商保证金的供应商其响应文件作无效处理。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未成交的供应商保证金在采购结果公示发出后5个工作日内退还，成交供应商的保证金在采购合同签订后5个工作日内退还。</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为方便退还未成交的供应商保证金，供应商应制作《磋商保证金汇入情况说明》随响应文件一并递交。</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有下列情形之一的，磋商保证金不予退还：</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供应商在提交响应文件截止时间后撤回响应文件的；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供应商在响应文件中提供虚假材料的；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除因不可抗力或磋商文件（本文件）、询价通知书（本文件）认可的情形以外，成交供应商不与采购人签订合同的；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供应商与采购人、其他供应商或者采购代理机构恶意串通的；</w:t>
      </w:r>
    </w:p>
    <w:p>
      <w:pPr>
        <w:pStyle w:val="2"/>
        <w:keepNext w:val="0"/>
        <w:keepLines w:val="0"/>
        <w:pageBreakBefore w:val="0"/>
        <w:widowControl/>
        <w:numPr>
          <w:ilvl w:val="0"/>
          <w:numId w:val="10"/>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采购文件规定的其他情形。</w:t>
      </w:r>
    </w:p>
    <w:p>
      <w:pPr>
        <w:spacing w:line="480" w:lineRule="exact"/>
        <w:ind w:firstLine="480" w:firstLineChars="200"/>
        <w:rPr>
          <w:rFonts w:ascii="宋体" w:hAnsi="宋体" w:eastAsia="宋体"/>
          <w:color w:val="auto"/>
          <w:sz w:val="24"/>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99" w:name="_Toc480021054"/>
      <w:bookmarkStart w:id="100" w:name="_Toc480010709"/>
      <w:bookmarkStart w:id="101" w:name="_Toc110953842"/>
      <w:bookmarkStart w:id="102" w:name="_Toc468606030"/>
      <w:bookmarkStart w:id="103" w:name="_Toc479991583"/>
      <w:bookmarkStart w:id="104" w:name="_Toc10456"/>
      <w:bookmarkStart w:id="105" w:name="_Toc468157537"/>
      <w:bookmarkStart w:id="106" w:name="_Toc467236741"/>
      <w:bookmarkStart w:id="107" w:name="_Toc467987824"/>
      <w:bookmarkStart w:id="108" w:name="_Toc25734"/>
      <w:bookmarkStart w:id="109" w:name="_Toc480020258"/>
      <w:bookmarkStart w:id="110" w:name="_Toc503758471"/>
      <w:bookmarkStart w:id="111" w:name="_Toc480171880"/>
      <w:bookmarkStart w:id="112" w:name="_Toc454701382"/>
      <w:bookmarkStart w:id="113" w:name="_Toc458262615"/>
      <w:r>
        <w:rPr>
          <w:rFonts w:hint="eastAsia" w:hAnsi="宋体"/>
          <w:color w:val="auto"/>
          <w:sz w:val="21"/>
          <w:szCs w:val="21"/>
          <w:highlight w:val="none"/>
        </w:rPr>
        <w:t>★报价（响应文件）有效期</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响应文件从开启响应文件之日起，报价（响应文件）有效期为</w:t>
      </w:r>
      <w:r>
        <w:rPr>
          <w:rFonts w:hint="eastAsia" w:ascii="宋体" w:hAnsi="宋体" w:eastAsia="宋体"/>
          <w:bCs/>
          <w:color w:val="auto"/>
          <w:sz w:val="21"/>
          <w:szCs w:val="21"/>
          <w:highlight w:val="none"/>
          <w:lang w:eastAsia="zh-CN"/>
        </w:rPr>
        <w:t>90个日历日</w:t>
      </w:r>
      <w:r>
        <w:rPr>
          <w:rFonts w:hint="eastAsia" w:ascii="宋体" w:hAnsi="宋体" w:eastAsia="宋体"/>
          <w:bCs/>
          <w:color w:val="auto"/>
          <w:sz w:val="21"/>
          <w:szCs w:val="21"/>
          <w:highlight w:val="none"/>
        </w:rPr>
        <w:t>。</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特殊情况下，采购代理机构可于响应有效期期满之前，要求供应商同意延长响应有效期，要求与答复均应为书面形式。对于同意该要求的供应商，既不要求也不允许其修改响应文件。</w:t>
      </w:r>
    </w:p>
    <w:p>
      <w:pPr>
        <w:pStyle w:val="2"/>
        <w:rPr>
          <w:rFonts w:ascii="宋体" w:hAnsi="宋体" w:eastAsia="宋体" w:cs="宋体"/>
          <w:color w:val="auto"/>
          <w:sz w:val="21"/>
          <w:szCs w:val="21"/>
          <w:highlight w:val="none"/>
        </w:rPr>
      </w:pPr>
    </w:p>
    <w:bookmarkEnd w:id="81"/>
    <w:bookmarkEnd w:id="82"/>
    <w:bookmarkEnd w:id="83"/>
    <w:bookmarkEnd w:id="84"/>
    <w:bookmarkEnd w:id="85"/>
    <w:p>
      <w:pPr>
        <w:pStyle w:val="4"/>
        <w:keepNext w:val="0"/>
        <w:keepLines w:val="0"/>
        <w:spacing w:before="0" w:after="0" w:line="360" w:lineRule="auto"/>
        <w:jc w:val="center"/>
        <w:rPr>
          <w:rFonts w:ascii="宋体" w:hAnsi="宋体" w:eastAsia="宋体"/>
          <w:color w:val="auto"/>
          <w:sz w:val="24"/>
          <w:szCs w:val="21"/>
          <w:highlight w:val="none"/>
        </w:rPr>
      </w:pPr>
      <w:bookmarkStart w:id="114" w:name="_Toc110953843"/>
      <w:bookmarkStart w:id="115" w:name="_Toc32392"/>
      <w:bookmarkStart w:id="116" w:name="_Toc7006"/>
      <w:bookmarkStart w:id="117" w:name="_Toc6882679"/>
      <w:bookmarkStart w:id="118" w:name="_Toc6968691"/>
      <w:bookmarkStart w:id="119" w:name="_Toc102277760"/>
      <w:bookmarkStart w:id="120" w:name="_Toc507407363"/>
      <w:bookmarkStart w:id="121" w:name="_Toc466786438"/>
      <w:r>
        <w:rPr>
          <w:rFonts w:hint="eastAsia" w:ascii="宋体" w:hAnsi="宋体" w:eastAsia="宋体"/>
          <w:color w:val="auto"/>
          <w:sz w:val="24"/>
          <w:szCs w:val="21"/>
          <w:highlight w:val="none"/>
          <w:lang w:val="en-US" w:eastAsia="zh-CN"/>
        </w:rPr>
        <w:t>第四章</w:t>
      </w:r>
      <w:r>
        <w:rPr>
          <w:rFonts w:hint="eastAsia" w:ascii="宋体" w:hAnsi="宋体" w:eastAsia="宋体"/>
          <w:color w:val="auto"/>
          <w:sz w:val="24"/>
          <w:szCs w:val="21"/>
          <w:highlight w:val="none"/>
        </w:rPr>
        <w:t>响应文件的递交</w:t>
      </w:r>
      <w:bookmarkEnd w:id="114"/>
      <w:bookmarkEnd w:id="115"/>
      <w:bookmarkEnd w:id="116"/>
    </w:p>
    <w:p>
      <w:pPr>
        <w:pStyle w:val="5"/>
        <w:keepNext w:val="0"/>
        <w:keepLines w:val="0"/>
        <w:numPr>
          <w:ilvl w:val="0"/>
          <w:numId w:val="3"/>
        </w:numPr>
        <w:adjustRightInd/>
        <w:spacing w:before="0" w:after="0" w:line="360" w:lineRule="auto"/>
        <w:rPr>
          <w:rFonts w:hAnsi="宋体"/>
          <w:color w:val="auto"/>
          <w:sz w:val="21"/>
          <w:szCs w:val="21"/>
          <w:highlight w:val="none"/>
        </w:rPr>
      </w:pPr>
      <w:bookmarkStart w:id="122" w:name="_Toc110953844"/>
      <w:bookmarkStart w:id="123" w:name="_Toc13611"/>
      <w:bookmarkStart w:id="124" w:name="_Toc4400"/>
      <w:r>
        <w:rPr>
          <w:rFonts w:hint="eastAsia" w:hAnsi="宋体"/>
          <w:color w:val="auto"/>
          <w:sz w:val="21"/>
          <w:szCs w:val="21"/>
          <w:highlight w:val="none"/>
        </w:rPr>
        <w:t>响应文件的密封和标记</w:t>
      </w:r>
      <w:bookmarkEnd w:id="122"/>
      <w:bookmarkEnd w:id="123"/>
      <w:bookmarkEnd w:id="124"/>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供应商应当对响应文件进行装订，价格文件、商务文件、技术文件可</w:t>
      </w:r>
      <w:r>
        <w:rPr>
          <w:rFonts w:hint="eastAsia" w:ascii="宋体" w:hAnsi="宋体" w:eastAsia="宋体"/>
          <w:bCs/>
          <w:color w:val="auto"/>
          <w:sz w:val="21"/>
          <w:szCs w:val="21"/>
          <w:highlight w:val="none"/>
          <w:lang w:val="en-US" w:eastAsia="zh-CN"/>
        </w:rPr>
        <w:t>合装订</w:t>
      </w:r>
      <w:r>
        <w:rPr>
          <w:rFonts w:hint="eastAsia" w:ascii="宋体" w:hAnsi="宋体" w:eastAsia="宋体"/>
          <w:bCs/>
          <w:color w:val="auto"/>
          <w:sz w:val="21"/>
          <w:szCs w:val="21"/>
          <w:highlight w:val="none"/>
        </w:rPr>
        <w:t>为一册，也可根据自身需要分册</w:t>
      </w:r>
      <w:r>
        <w:rPr>
          <w:rFonts w:hint="eastAsia" w:ascii="宋体" w:hAnsi="宋体" w:eastAsia="宋体"/>
          <w:bCs/>
          <w:color w:val="auto"/>
          <w:sz w:val="21"/>
          <w:szCs w:val="21"/>
          <w:highlight w:val="none"/>
          <w:lang w:val="en-US" w:eastAsia="zh-CN"/>
        </w:rPr>
        <w:t>装订，</w:t>
      </w:r>
      <w:r>
        <w:rPr>
          <w:rFonts w:hint="eastAsia" w:ascii="宋体" w:hAnsi="宋体" w:eastAsia="宋体"/>
          <w:bCs/>
          <w:color w:val="auto"/>
          <w:sz w:val="21"/>
          <w:szCs w:val="21"/>
          <w:highlight w:val="none"/>
        </w:rPr>
        <w:t>对未经装订的响应文件可能发生的文件散落或缺损，由此产生的后果由供应商承担。</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响应文件正本均须用不褪色墨水书写或打印。响应文件的副本可采用响应文件的正本复印件，每套响应文件应当标明“正本”、“副本”的字样。响应文件的【正本】及所有【副本】的封面及骑缝均须加盖供应商公章（文件每页盖章等同于盖骑缝章）。若正本与副本不符，以正本为准。</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联合体响应文件的【正本】及【副本】的封面及骑缝均须加盖所有联合体组成成员的公章。（文件每页盖章等同于盖骑缝章）</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供应商可将响应文件正本和所有的副本分开密封装在单独的信封中，且在信封上标明“正本”“副本”字样。然后再将所有信封封装在一个外层信封中。</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bCs/>
          <w:color w:val="auto"/>
          <w:sz w:val="21"/>
          <w:szCs w:val="21"/>
          <w:highlight w:val="none"/>
        </w:rPr>
        <w:t>电子文件内容包括：由供应商自行制作的与正本文件一致的所有文件。</w:t>
      </w:r>
      <w:r>
        <w:rPr>
          <w:rFonts w:ascii="宋体" w:hAnsi="宋体" w:eastAsia="宋体"/>
          <w:color w:val="auto"/>
          <w:sz w:val="21"/>
          <w:szCs w:val="21"/>
          <w:highlight w:val="none"/>
        </w:rPr>
        <w:t>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，与正本密封包装，随正本提交。</w:t>
      </w:r>
      <w:r>
        <w:rPr>
          <w:rFonts w:hint="eastAsia" w:ascii="宋体" w:hAnsi="宋体" w:eastAsia="宋体"/>
          <w:bCs/>
          <w:color w:val="auto"/>
          <w:sz w:val="21"/>
          <w:szCs w:val="21"/>
          <w:highlight w:val="none"/>
        </w:rPr>
        <w:t>电报、电话、传真、电子邮件形式的电子响应文件概不接受。</w:t>
      </w:r>
    </w:p>
    <w:p>
      <w:pPr>
        <w:numPr>
          <w:ilvl w:val="1"/>
          <w:numId w:val="3"/>
        </w:numPr>
        <w:spacing w:line="360" w:lineRule="auto"/>
        <w:rPr>
          <w:rFonts w:ascii="宋体" w:hAnsi="宋体" w:eastAsia="宋体"/>
          <w:bCs/>
          <w:color w:val="auto"/>
          <w:sz w:val="21"/>
          <w:szCs w:val="21"/>
          <w:highlight w:val="none"/>
        </w:rPr>
      </w:pPr>
      <w:r>
        <w:rPr>
          <w:rFonts w:hint="eastAsia" w:ascii="宋体" w:hAnsi="宋体" w:eastAsia="宋体"/>
          <w:color w:val="auto"/>
          <w:sz w:val="21"/>
          <w:szCs w:val="21"/>
          <w:highlight w:val="none"/>
        </w:rPr>
        <w:t>所有的信封均应注明：</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收件人：广东政通招标有限公司</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25" w:name="_Toc6425"/>
      <w:bookmarkStart w:id="126" w:name="_Toc5658"/>
      <w:bookmarkStart w:id="127" w:name="_Toc110953845"/>
      <w:r>
        <w:rPr>
          <w:rFonts w:hint="eastAsia" w:hAnsi="宋体"/>
          <w:color w:val="auto"/>
          <w:sz w:val="21"/>
          <w:szCs w:val="21"/>
          <w:highlight w:val="none"/>
        </w:rPr>
        <w:t>响应文件的递交</w:t>
      </w:r>
      <w:bookmarkEnd w:id="125"/>
      <w:bookmarkEnd w:id="126"/>
      <w:bookmarkEnd w:id="12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所有经密封的响应文件及单独密封的报价文件都必须在响应截止时间之前送至采购代理机构。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报价文件作为响应文件组成的一部分，采购文件所规定的初审事项适用于报价文件。</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采用透明包装进行密封或未进行密封的响应文件；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密封破损导致响应文件内容直接或间接泄露的响应文件；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密封信封上项目编号错误的响应文件；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未进行项目报名的供应商（以采购代理机构报名表及报名发票为准）递交的响应文件；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项目名称出现严重歧义或未标注所参与项目信息导致无法分辨所参与项目为本项目的响应文件；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未递交磋商保证金供应商递交的响应文件；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采用传真、电传的响应文件；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多个包号的一并密封的响应文件；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迟交的响应文件；</w:t>
      </w:r>
    </w:p>
    <w:p>
      <w:pPr>
        <w:pStyle w:val="2"/>
        <w:keepNext w:val="0"/>
        <w:keepLines w:val="0"/>
        <w:pageBreakBefore w:val="0"/>
        <w:widowControl/>
        <w:numPr>
          <w:ilvl w:val="0"/>
          <w:numId w:val="11"/>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磋商文件规定的其他情形。</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采购代理机构对所有响应文件的误投或提前启封概不负责。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供应商同时参加几个包磋商时必须按采购文件要求按包号分别制作响应文件，分别密封递交。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递交的响应文件中所提供的通讯方式应保持联络畅通，因联系不上而导致的所有后果由供应商自行承担。</w:t>
      </w:r>
    </w:p>
    <w:p>
      <w:pPr>
        <w:bidi w:val="0"/>
        <w:rPr>
          <w:color w:val="auto"/>
          <w:highlight w:val="none"/>
        </w:rPr>
      </w:pPr>
    </w:p>
    <w:p>
      <w:pPr>
        <w:pStyle w:val="5"/>
        <w:keepNext w:val="0"/>
        <w:keepLines w:val="0"/>
        <w:numPr>
          <w:ilvl w:val="0"/>
          <w:numId w:val="3"/>
        </w:numPr>
        <w:adjustRightInd/>
        <w:spacing w:before="0" w:after="0" w:line="360" w:lineRule="auto"/>
        <w:rPr>
          <w:rFonts w:hAnsi="宋体" w:cs="宋体"/>
          <w:color w:val="auto"/>
          <w:sz w:val="21"/>
          <w:szCs w:val="21"/>
          <w:highlight w:val="none"/>
        </w:rPr>
      </w:pPr>
      <w:bookmarkStart w:id="128" w:name="_Toc8440"/>
      <w:bookmarkStart w:id="129" w:name="_Toc23533"/>
      <w:r>
        <w:rPr>
          <w:rFonts w:hint="eastAsia" w:hAnsi="宋体"/>
          <w:color w:val="auto"/>
          <w:sz w:val="21"/>
          <w:szCs w:val="21"/>
          <w:highlight w:val="none"/>
        </w:rPr>
        <w:t>样品（如需提交）</w:t>
      </w:r>
      <w:bookmarkEnd w:id="128"/>
      <w:bookmarkEnd w:id="12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如有必要，采购代理机构可以要求供应商提供本服务项目涉及的部分设备或产品样品，供应商在磋商时应提交《样品清单》。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为方便评审，供应商在提供样品时，应在所提供的样品表面显著位置标注供应商的名称、包号、样品名称、采购文件规定的服务或货物编号。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响应文件的一部分，除非另有说明，成交单位的样品将作为履约验收标准的参考不再退还，未成交单位须在采购结果公示发布后五个工作日内，前往采购代理机构领取样品，逾期不领，采购代理机构将不承担样品的保管责任，由此引发的样品丢失、毁损，采购代理机构不予负责。</w:t>
      </w:r>
    </w:p>
    <w:p>
      <w:pPr>
        <w:spacing w:line="360" w:lineRule="auto"/>
        <w:rPr>
          <w:rFonts w:ascii="宋体" w:hAnsi="宋体" w:eastAsia="宋体" w:cs="宋体"/>
          <w:color w:val="auto"/>
          <w:sz w:val="21"/>
          <w:szCs w:val="21"/>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30" w:name="_Toc3401"/>
      <w:bookmarkStart w:id="131" w:name="_Toc30009"/>
      <w:r>
        <w:rPr>
          <w:rFonts w:hint="eastAsia" w:ascii="宋体" w:hAnsi="宋体" w:eastAsia="宋体"/>
          <w:color w:val="auto"/>
          <w:sz w:val="24"/>
          <w:szCs w:val="21"/>
          <w:highlight w:val="none"/>
          <w:lang w:val="en-US" w:eastAsia="zh-CN"/>
        </w:rPr>
        <w:t>第五章</w:t>
      </w:r>
      <w:bookmarkEnd w:id="117"/>
      <w:bookmarkEnd w:id="118"/>
      <w:bookmarkEnd w:id="119"/>
      <w:bookmarkEnd w:id="120"/>
      <w:bookmarkEnd w:id="121"/>
      <w:r>
        <w:rPr>
          <w:rFonts w:hint="eastAsia" w:ascii="宋体" w:hAnsi="宋体" w:eastAsia="宋体"/>
          <w:color w:val="auto"/>
          <w:sz w:val="24"/>
          <w:szCs w:val="21"/>
          <w:highlight w:val="none"/>
        </w:rPr>
        <w:t>磋商、评审</w:t>
      </w:r>
      <w:bookmarkEnd w:id="130"/>
      <w:bookmarkEnd w:id="131"/>
    </w:p>
    <w:p>
      <w:pPr>
        <w:pStyle w:val="5"/>
        <w:keepNext w:val="0"/>
        <w:keepLines w:val="0"/>
        <w:numPr>
          <w:ilvl w:val="0"/>
          <w:numId w:val="3"/>
        </w:numPr>
        <w:adjustRightInd/>
        <w:spacing w:before="0" w:after="0" w:line="360" w:lineRule="auto"/>
        <w:rPr>
          <w:rFonts w:hAnsi="宋体"/>
          <w:color w:val="auto"/>
          <w:sz w:val="21"/>
          <w:szCs w:val="21"/>
          <w:highlight w:val="none"/>
        </w:rPr>
      </w:pPr>
      <w:bookmarkStart w:id="132" w:name="_Toc28590"/>
      <w:bookmarkStart w:id="133" w:name="_Toc8137"/>
      <w:r>
        <w:rPr>
          <w:rFonts w:hint="eastAsia" w:hAnsi="宋体"/>
          <w:color w:val="auto"/>
          <w:sz w:val="21"/>
          <w:szCs w:val="21"/>
          <w:highlight w:val="none"/>
        </w:rPr>
        <w:t>签到及评审方法</w:t>
      </w:r>
      <w:bookmarkEnd w:id="132"/>
      <w:bookmarkEnd w:id="133"/>
    </w:p>
    <w:p>
      <w:pPr>
        <w:numPr>
          <w:ilvl w:val="1"/>
          <w:numId w:val="3"/>
        </w:numPr>
        <w:spacing w:line="360" w:lineRule="auto"/>
        <w:rPr>
          <w:rFonts w:ascii="宋体" w:hAnsi="宋体" w:eastAsia="宋体"/>
          <w:color w:val="auto"/>
          <w:sz w:val="21"/>
          <w:szCs w:val="21"/>
          <w:highlight w:val="none"/>
        </w:rPr>
      </w:pPr>
      <w:bookmarkStart w:id="134" w:name="_Toc475249135"/>
      <w:bookmarkStart w:id="135" w:name="_Toc475249138"/>
      <w:r>
        <w:rPr>
          <w:rFonts w:hint="eastAsia" w:ascii="宋体" w:hAnsi="宋体" w:eastAsia="宋体"/>
          <w:color w:val="auto"/>
          <w:sz w:val="21"/>
          <w:szCs w:val="21"/>
          <w:highlight w:val="none"/>
        </w:rPr>
        <w:t>供应商应在《磋商邀请函》规定的日期、时间和地点递交响应文件并进行现场签到。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递交响应文件时间截止后，由参与磋商的供应商代表或者其推选的代表检查响应文件的密封情况，经确认密封完好后的响应文件不当众予以拆封，不宣读第一次报价和响应文件的其它主要内容。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本项目采用综合评分法。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通过资格性和符合性审查的有效供应商方有资格提交最终报价及进入综合评审。</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根据财库〔2015〕124 号，在采购过程中符合要求的供应商只有 2 家的，竞争性磋商采购活动继续进行。</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6" w:name="_Toc10080"/>
      <w:bookmarkStart w:id="137" w:name="_Toc10800"/>
      <w:r>
        <w:rPr>
          <w:rFonts w:hint="eastAsia" w:hAnsi="宋体"/>
          <w:color w:val="auto"/>
          <w:sz w:val="21"/>
          <w:szCs w:val="21"/>
          <w:highlight w:val="none"/>
        </w:rPr>
        <w:t>磋商小组</w:t>
      </w:r>
      <w:bookmarkEnd w:id="134"/>
      <w:bookmarkEnd w:id="136"/>
      <w:bookmarkEnd w:id="13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本次采购依法组建磋商小组。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磋商小组将按照采购文件确定的评审方法进行评审。对采购文件中描述有歧义或前后不一致的地方，磋商小组有权按法律法规的规定进行评判，但对同一条款的评判应适用于每个供应商。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从递交响应文件截止到签订合同，凡与审查、澄清、评审和供应商响应文件有关的资料，均不得向任何供应商及与磋商无关的其他人透露。</w:t>
      </w:r>
    </w:p>
    <w:p>
      <w:pPr>
        <w:spacing w:line="360" w:lineRule="auto"/>
        <w:rPr>
          <w:rFonts w:ascii="宋体" w:hAnsi="宋体" w:eastAsia="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38" w:name="_Toc37121259"/>
      <w:bookmarkStart w:id="139" w:name="_Toc17157"/>
      <w:bookmarkStart w:id="140" w:name="_Toc17978"/>
      <w:bookmarkStart w:id="141" w:name="_Toc535141844"/>
      <w:r>
        <w:rPr>
          <w:rFonts w:hint="eastAsia" w:hAnsi="宋体"/>
          <w:color w:val="auto"/>
          <w:sz w:val="21"/>
          <w:szCs w:val="21"/>
          <w:highlight w:val="none"/>
        </w:rPr>
        <w:t>对响应文件的初审</w:t>
      </w:r>
      <w:bookmarkEnd w:id="138"/>
      <w:bookmarkEnd w:id="139"/>
      <w:bookmarkEnd w:id="140"/>
      <w:bookmarkEnd w:id="141"/>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开启响应文件后，采购代理机构将组织磋商小组对响应文件进行初审，初审包括资格性审查和符合性审查。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资格性审查是指依据法律规定和磋商文件的规定，对响应文件中的资格证明等进行审查，确定供应商是否具备响应资格。</w:t>
      </w:r>
      <w:r>
        <w:rPr>
          <w:rFonts w:hint="eastAsia" w:ascii="宋体" w:hAnsi="宋体" w:eastAsia="宋体"/>
          <w:b/>
          <w:color w:val="auto"/>
          <w:sz w:val="21"/>
          <w:szCs w:val="21"/>
          <w:highlight w:val="none"/>
        </w:rPr>
        <w:t>资格性检查中发现下列情形之一的，其报价及响应文件作无效处理。</w:t>
      </w:r>
    </w:p>
    <w:p>
      <w:pPr>
        <w:numPr>
          <w:ilvl w:val="0"/>
          <w:numId w:val="12"/>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资格瑕疵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包括但不限于：①资格证明文件未提供或不符合采购文件要求的；</w:t>
      </w:r>
      <w:r>
        <w:rPr>
          <w:rFonts w:ascii="宋体" w:hAnsi="宋体" w:eastAsia="宋体"/>
          <w:color w:val="auto"/>
          <w:sz w:val="21"/>
          <w:szCs w:val="21"/>
          <w:highlight w:val="none"/>
        </w:rPr>
        <w:t xml:space="preserve"> </w:t>
      </w:r>
      <w:r>
        <w:rPr>
          <w:rFonts w:hint="eastAsia" w:ascii="宋体" w:hAnsi="宋体" w:eastAsia="宋体"/>
          <w:color w:val="auto"/>
          <w:sz w:val="21"/>
          <w:szCs w:val="21"/>
          <w:highlight w:val="none"/>
        </w:rPr>
        <w:t>②资格证明文件有效期过期的；③《营业执照》复印件（加盖公章）或《事业单位法人证书》复印件（加盖公章）或其他主体证书复印件（加盖公章）未提供或有效期过期的；④提供的资质材料模糊不清导致无法辨认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性审查是指依据磋商文件的规定，从响应文件的有效性、完整性和对磋商文件的响应程度进行审查，以确定是否对磋商文件的实质性要求作出响应，包括审查响应文件是否完整，有否计算错误，文件签署是否合格等。</w:t>
      </w:r>
      <w:r>
        <w:rPr>
          <w:rFonts w:hint="eastAsia" w:ascii="宋体" w:hAnsi="宋体" w:eastAsia="宋体"/>
          <w:b/>
          <w:color w:val="auto"/>
          <w:sz w:val="21"/>
          <w:szCs w:val="21"/>
          <w:highlight w:val="none"/>
        </w:rPr>
        <w:t>符合性检查中发现下列情形之一的，其报价及响应文件作无效处理。</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响应文件的有效性、完整性瑕疵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的数量、制作不符合要求、响应文件内容与采购内容不符的（包括但不限于响应文件项目采购项目编号错误，响应文件项目名称错误导致无法分辨所报价项目为本项目的）；②响应文件中要求签字的内容无法定代表人或其授权代表签字，或签字人无法定代表人有效授权的；③签字盖章不符合采购文件要求的；④响应文件内容有严重缺漏项的；⑤响应文件的关键内容字迹模糊、无法辨认的；⑥响应文件（报价）有效期不符合文件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技术响应瑕疵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响应文件不满足采购文件中加注星号（★）的主要参数要求或加注星号的主要参数无技术资料支持的；②一般参数超出允许偏离的最大范围或最高项数的；③响应文件技术响应与事实不符或虚假应标的；④《技术规格偏离表》未提供的；⑤将一个包中的内容拆开响应的；⑥供应商对同一货物或服务报价时，方案不唯一；⑦明显不符合技术规格、技术标准要求的；⑧其他未实质性响应采购文件技术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商务响应瑕疵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采购文件加注星号（★）的商务要求负偏离的；②完成期（包括但不限于：工期，服务期，交货期等）未满足采购文件要求的；③响应文件载明的货物包装方式、检验标准和方法不符合采购文件要求，采购人无法接受的；④《商务条款偏离表》未提供的；⑤采购文件附有采购人不能接受的条件的；⑥其他未实质性响应磋商文件商务要求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报价瑕疵</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包括但不限于：①一次报价或最终报价超过本采购文件明确的项目预算或文件明确的最高限价；②未按采购文件要求进行报价的；③报价内容或报价格式不符合采购文件要求的；④报价有严重缺漏项的。</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违规行为</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包括但不限于：①以他人的名义报价、串通投标、以行贿手段谋取成交或者以其他弄虚作假方式响应磋商的；②扰乱磋商评审秩序，干扰采购工作正常进行的。③存在经磋商小组认定的其他违规违法行为。</w:t>
      </w:r>
    </w:p>
    <w:p>
      <w:pPr>
        <w:numPr>
          <w:ilvl w:val="0"/>
          <w:numId w:val="1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法律法规及磋商文件中规定的其它情形</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根据项目情况，磋商小组有权决定采购文件中“可能导致废标”或“可能导致其报价被拒绝”等具体条款是否实施“废标”或“投标被拒绝”，但对同一条款的裁决应适用于每个供应商。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磋商过程中，供应商提交的澄清文件和最终响应文件，由供应商法定代表人或授权代表签署后生效，供应商应受其约束。因此，该签字人参加磋商时需出示有效的身份证明文件，否则，其签字的澄清文件和最终响应（报价）文件无效。</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对响应文件进行详细评估之前，磋商小组将审查每份响应文件是否实质上响应了采购文件的要求。实质性响应的响应应该是与磋商文件要求的全部条款、条件和规格相符，没有重大偏离的响应。对关键条文的偏离、保留或反对，例如关于适用法律、税及关税等的偏离将被认为是实质上的偏离，而纠正这些偏离将影响到其他提交实质性响应响应的供应商的公平竞争地位。</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磋商小组确定响应文件的响应性，只根据响应文件本身的内容，而不寻找外部的证据。</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实质上没有响应磋商文件要求的响应文件将被拒绝。供应商不得通过修正或撤销不合要求的偏离或保留从而使其响应成为实质上的响应。</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2" w:name="_Toc29665"/>
      <w:bookmarkStart w:id="143" w:name="_Toc18895"/>
      <w:r>
        <w:rPr>
          <w:rFonts w:hint="eastAsia" w:hAnsi="宋体"/>
          <w:color w:val="auto"/>
          <w:sz w:val="21"/>
          <w:szCs w:val="21"/>
          <w:highlight w:val="none"/>
        </w:rPr>
        <w:t>技术商务</w:t>
      </w:r>
      <w:bookmarkEnd w:id="142"/>
      <w:r>
        <w:rPr>
          <w:rFonts w:hint="eastAsia" w:hAnsi="宋体"/>
          <w:color w:val="auto"/>
          <w:sz w:val="21"/>
          <w:szCs w:val="21"/>
          <w:highlight w:val="none"/>
        </w:rPr>
        <w:t>磋商</w:t>
      </w:r>
      <w:bookmarkEnd w:id="14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磋商小组所有成员应当集中与单一供应商分别进行磋商，并给予所有参加磋商的供应商平等的磋商机会。其磋商顺序以供应商签到顺序为准。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磋商使用语言为中文。</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磋商小组将拒绝与出现以下情况的供应商授权代表进行磋商：</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供应商授权代表无有效授权的；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供应商响应文件中的授权代表与现场进行磋商的授权代表不一致的；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法人参加磋商但无法定代表人证明书的；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授权代表现场不能出具可证明其身份信息的证件或文件的；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供应商一次报价超出采购文件所规定的预算或最高限价的；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扰乱磋商秩序，干扰采购工作正常进行的；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olor w:val="auto"/>
          <w:sz w:val="21"/>
          <w:szCs w:val="21"/>
          <w:highlight w:val="none"/>
        </w:rPr>
        <w:t>直接或间接影响其他供应商进行最终报价的；</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磋商小组认定为违规的情况；</w:t>
      </w:r>
    </w:p>
    <w:p>
      <w:pPr>
        <w:pStyle w:val="2"/>
        <w:keepNext w:val="0"/>
        <w:keepLines w:val="0"/>
        <w:pageBreakBefore w:val="0"/>
        <w:widowControl/>
        <w:numPr>
          <w:ilvl w:val="0"/>
          <w:numId w:val="14"/>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采购文件规定的其他情况。</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磋商小组与供应商分别进行磋商（除特殊情况外，磋商小组仅对各供应商进行一轮磋商）。在磋商过程中，磋商小组应当严格遵循保密原则，未经供应商同意不得向任何人透露当事人技术、价格和其他重要信息。</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的修正：磋商小组调整或修改采购需求内容时，应取得磋商小组的一致同意，并以书面形式通知所有参加磋商的供应商。但任何形式的决定须以符合公平、公正原则和有利于项目的顺利实施为前提。对磋商文件作出的实质性变动是磋商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当按照磋商文件的变动情况和磋商小组的要求重新提交响应文件（或补充以书面材料），并由其法定代表人或授权代表签字或者加盖公章。由授权代表签字的，应当附法定代表人授权书。供应商为自然人的，应当由本人签字并附身份证明。补充文件是响应文件的组成部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4" w:name="_Toc30797"/>
      <w:bookmarkStart w:id="145" w:name="_Toc5492"/>
      <w:r>
        <w:rPr>
          <w:rFonts w:hint="eastAsia" w:hAnsi="宋体"/>
          <w:color w:val="auto"/>
          <w:sz w:val="21"/>
          <w:szCs w:val="21"/>
          <w:highlight w:val="none"/>
        </w:rPr>
        <w:t>最终报价</w:t>
      </w:r>
      <w:bookmarkEnd w:id="144"/>
      <w:bookmarkEnd w:id="14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文件能够详细列明采购标的的技术、服务要求的，磋商结束后，磋商小组应当要求所有实质性响应的供应商在规定时间内提交最终报价（最终报价时间视磋商进程由磋商小组决定）。最后报价是供应商响应文件的有效组成部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通过初审，但未在规定时间内进行最终报价的供应商，其报价文件上的报价视为其最终报价。</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已提交响应文件的供应商，在提交最后报价之前，可以根据磋商情况退出磋商。响应文件不予退还，磋商保证金按采购文件规定进行退还。退出磋商的供应商不进入综合评分环节。</w:t>
      </w:r>
    </w:p>
    <w:p>
      <w:pPr>
        <w:bidi w:val="0"/>
        <w:rPr>
          <w:color w:val="auto"/>
          <w:highlight w:val="none"/>
        </w:rPr>
      </w:pPr>
    </w:p>
    <w:bookmarkEnd w:id="135"/>
    <w:p>
      <w:pPr>
        <w:pStyle w:val="5"/>
        <w:keepNext w:val="0"/>
        <w:keepLines w:val="0"/>
        <w:numPr>
          <w:ilvl w:val="0"/>
          <w:numId w:val="3"/>
        </w:numPr>
        <w:adjustRightInd/>
        <w:spacing w:before="0" w:after="0" w:line="360" w:lineRule="auto"/>
        <w:rPr>
          <w:rFonts w:hAnsi="宋体"/>
          <w:color w:val="auto"/>
          <w:sz w:val="21"/>
          <w:szCs w:val="21"/>
          <w:highlight w:val="none"/>
        </w:rPr>
      </w:pPr>
      <w:bookmarkStart w:id="146" w:name="_Toc19157"/>
      <w:bookmarkStart w:id="147" w:name="_Toc2794"/>
      <w:r>
        <w:rPr>
          <w:rFonts w:hint="eastAsia" w:hAnsi="宋体"/>
          <w:color w:val="auto"/>
          <w:sz w:val="21"/>
          <w:szCs w:val="21"/>
          <w:highlight w:val="none"/>
        </w:rPr>
        <w:t>综合评分</w:t>
      </w:r>
      <w:bookmarkEnd w:id="146"/>
      <w:bookmarkEnd w:id="14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经磋商确定最终采购需求和提交最后报价的供应商后，由磋商小组采用综合评分法对提交最后报价的供应商的响应文件和最后报价进行综合评分。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价格评审：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以各供应商最终报价进行评审；</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报价错误修正原则：</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①大写金额与小写金额不一致的，以大写金额为准；总价金额与按单价汇总金额不一致的，以单价金额计算结果为准；单价金额小数点有明显错位的，应以总价为准，并修改单价；同时出现上述两种以上不一致的，按照前款规定的顺序修正。修正价后的价格作为核实价。</w:t>
      </w:r>
    </w:p>
    <w:p>
      <w:pPr>
        <w:pStyle w:val="2"/>
        <w:keepNext w:val="0"/>
        <w:keepLines w:val="0"/>
        <w:pageBreakBefore w:val="0"/>
        <w:widowControl/>
        <w:kinsoku/>
        <w:wordWrap/>
        <w:overflowPunct/>
        <w:topLinePunct w:val="0"/>
        <w:autoSpaceDE/>
        <w:autoSpaceDN/>
        <w:bidi w:val="0"/>
        <w:adjustRightInd w:val="0"/>
        <w:snapToGrid w:val="0"/>
        <w:spacing w:before="0"/>
        <w:ind w:left="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② 以上修正后的报价应当经报价供应商采用书面形式，并加盖公章，或者由法定代表人或其授权的代表签字确认，并对报价供应商产生约束力，报价供应商不确认的，其报价无效。</w:t>
      </w:r>
    </w:p>
    <w:p>
      <w:pPr>
        <w:pStyle w:val="2"/>
        <w:keepNext w:val="0"/>
        <w:keepLines w:val="0"/>
        <w:pageBreakBefore w:val="0"/>
        <w:widowControl/>
        <w:numPr>
          <w:ilvl w:val="0"/>
          <w:numId w:val="15"/>
        </w:numPr>
        <w:kinsoku/>
        <w:wordWrap/>
        <w:overflowPunct/>
        <w:topLinePunct w:val="0"/>
        <w:autoSpaceDE/>
        <w:autoSpaceDN/>
        <w:bidi w:val="0"/>
        <w:adjustRightInd w:val="0"/>
        <w:snapToGrid w:val="0"/>
        <w:spacing w:before="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对报价服务报价漏项的，作非实质性响应处理。</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技术商务评审要求详见《商务技术评分及价格权重表》。</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对通过资格审查、符合性审查及进行最终报价的供应商的响应文件进行详细评审。磋商小组对每一响应文件进行详细的商务评审、技术评审。按照评审程序的规定和依据评分标准，对每个供应商响应文件的技术、商务状况及其对采购文件要求的响应情况进行评议和比较，评出其技术评分和商务评分。根据采购文件规定评出得分，将价格得分、商务得分、技术得分相加得出最终评标得分（最终评标得分分值按四舍五入原则精确到小数点后两位）。</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使用综合评分法的采购项目，核心产品提供相同品牌产品且通过资格审查、符合性审查的不同供应商参加同一合同项下报价的，按一家供应商计算，评审后得分最高的同品牌供应商获得成交供应商推荐资格。</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核心产品提供相同品牌产品且通过资格审查、符合性审查的不同供应商参加同一合同项下报价且评审得分相同的，按照评审因素的技术评审得分最高的供应商为排名第一的成交候选人，其他同品牌供应商不作为成交候选人。</w:t>
      </w:r>
    </w:p>
    <w:p>
      <w:pPr>
        <w:numPr>
          <w:ilvl w:val="1"/>
          <w:numId w:val="3"/>
        </w:numPr>
        <w:spacing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用综合评分法的，评标结果按评审后得分由高到低顺序排列。得分相同的，按最终报价由低到高顺序排列。得分且最终报价相同的并列，响应文件满足采购文件全部实质性要求，且按照评审因素的量化指标评审得分最高的供应商为排名第一的成交候选人。</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48" w:name="_Toc30725"/>
      <w:bookmarkStart w:id="149" w:name="_Toc23560"/>
      <w:r>
        <w:rPr>
          <w:rFonts w:hint="eastAsia" w:hAnsi="宋体"/>
          <w:color w:val="auto"/>
          <w:sz w:val="21"/>
          <w:szCs w:val="21"/>
          <w:highlight w:val="none"/>
        </w:rPr>
        <w:t>优惠政策</w:t>
      </w:r>
      <w:bookmarkEnd w:id="148"/>
      <w:bookmarkEnd w:id="149"/>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对小型或微型企业、监狱企业、残疾人福利性单位</w:t>
      </w:r>
      <w:r>
        <w:rPr>
          <w:rFonts w:hint="eastAsia" w:ascii="宋体" w:hAnsi="宋体"/>
          <w:color w:val="auto"/>
          <w:sz w:val="21"/>
          <w:szCs w:val="21"/>
          <w:highlight w:val="none"/>
          <w:lang w:eastAsia="zh-CN"/>
        </w:rPr>
        <w:t>报价</w:t>
      </w:r>
      <w:r>
        <w:rPr>
          <w:rFonts w:hint="eastAsia" w:ascii="宋体" w:hAnsi="宋体" w:eastAsia="宋体"/>
          <w:color w:val="auto"/>
          <w:sz w:val="21"/>
          <w:szCs w:val="21"/>
          <w:highlight w:val="none"/>
        </w:rPr>
        <w:t>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磋商文件中磋商文件格式提出《中小企业声明函》）残疾人福利性单位、监狱企业（注：参加政府采购活动的监狱企业必须提供由省级以上监狱管理局、戒毒管理局(含新疆生产建设兵团)出具的监狱企业证明文件）视同小型、微型企业。</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供应商为小型或微型企业且</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产品含小型或微型企业产品时，其对应产品价格的扣除详见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供应商同时为小型、微型企业、监狱企业、残疾人福利性单位任两种或以上情况的，评审中只享受一次价格扣除，不重复进行价格扣除。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符合享受政府采购支持政策的残疾人福利性单位划分标准（根据财政部 民政部 中国残疾人联合会关于促进残疾人就业政府采购政策的通知(财库[2017]141号)）：</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安置的残疾人占本单位在职职工人数的比例不低于25%（含25%），并且安置的残疾人人数不少于10人（含10人）；</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依法与安置的每位残疾人签订了一年以上（含一年）的劳动合同或服务协议；</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为安置的每位残疾人按月足额缴纳了基本养老保险、基本医疗保险、失业保险、工伤保险和生育保险等社会保险费；</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通过银行等金融机构向安置的每位残疾人，按月支付了不低于单位所在区县适用的经省级人民政府批准的月最低工资标准的工资；</w:t>
      </w:r>
    </w:p>
    <w:p>
      <w:pPr>
        <w:pStyle w:val="2"/>
        <w:keepNext w:val="0"/>
        <w:keepLines w:val="0"/>
        <w:pageBreakBefore w:val="0"/>
        <w:widowControl/>
        <w:numPr>
          <w:ilvl w:val="0"/>
          <w:numId w:val="16"/>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提供本单位制造的货物、承担的工程或者服务（以下简称产品），或者提供其他残疾人福利性单位制造的货物（不包括使用非残疾人福利性单位注册商标的货物）。</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对节能产品或环境标志产品的扶持：</w:t>
      </w:r>
    </w:p>
    <w:p>
      <w:pPr>
        <w:spacing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根据《关于调整优化节能产品、环境标志产品政府采购执行机制的通知》（财库〔2020〕9号）及《转发财政部 发展改革委 生态环境部 市场监管总局关于调整优化节能产品 环境标志产品政府采购执行机制的通知》（粤财采购函〔2020〕1号）的规定，对提供节能产品或环境标志产品的</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单位的价格给予一定比例扣除（扣除比例详见</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资料表）。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提供节能产品或环境标志产品的供应商其产品应符合以下规定：</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所投产品属于《节能产品政府采购品目清单》或《环境标志产品政府采购品目清单》的，供应商应如实填写《节能产品或环境标志产品列价表》并提供在有效期内的“节能产品认证证书”或“环境标志产品认证证书”。</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所投节能产品或环境标志产品其认证证书的认证机构应属于《市场监管总局关于发布参与实施政府采购节能产品、环境标志产品认证机构名录的公告（2020年第16号）》公告中所公示的认证机构，若供应商所提供的产品认证证书其认证机构不属于以上公示中的机构，则视为无效认证，不给予价格扣除优惠。</w:t>
      </w:r>
    </w:p>
    <w:p>
      <w:pPr>
        <w:pStyle w:val="2"/>
        <w:keepNext w:val="0"/>
        <w:keepLines w:val="0"/>
        <w:pageBreakBefore w:val="0"/>
        <w:widowControl/>
        <w:numPr>
          <w:ilvl w:val="0"/>
          <w:numId w:val="17"/>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若用户需求中含有《节能产品政府采购品目清单》中的政府强制采购产品，供应商应根据要求提供所对应的节能产品，否则做</w:t>
      </w:r>
      <w:r>
        <w:rPr>
          <w:rFonts w:hint="eastAsia" w:cs="宋体"/>
          <w:color w:val="auto"/>
          <w:sz w:val="21"/>
          <w:szCs w:val="21"/>
          <w:highlight w:val="none"/>
          <w:lang w:eastAsia="zh-CN"/>
        </w:rPr>
        <w:t>响应</w:t>
      </w:r>
      <w:r>
        <w:rPr>
          <w:rFonts w:hint="eastAsia" w:ascii="宋体" w:hAnsi="宋体" w:eastAsia="宋体" w:cs="宋体"/>
          <w:color w:val="auto"/>
          <w:sz w:val="21"/>
          <w:szCs w:val="21"/>
          <w:highlight w:val="none"/>
        </w:rPr>
        <w:t>无效处理。</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0" w:name="_Toc1066"/>
      <w:bookmarkStart w:id="151" w:name="_Toc21886"/>
      <w:r>
        <w:rPr>
          <w:rFonts w:hint="eastAsia" w:ascii="宋体" w:hAnsi="宋体" w:eastAsia="宋体"/>
          <w:color w:val="auto"/>
          <w:sz w:val="24"/>
          <w:szCs w:val="21"/>
          <w:highlight w:val="none"/>
          <w:lang w:val="en-US" w:eastAsia="zh-CN"/>
        </w:rPr>
        <w:t>第六章</w:t>
      </w:r>
      <w:r>
        <w:rPr>
          <w:rFonts w:hint="eastAsia" w:ascii="宋体" w:hAnsi="宋体" w:eastAsia="宋体"/>
          <w:color w:val="auto"/>
          <w:sz w:val="24"/>
          <w:szCs w:val="21"/>
          <w:highlight w:val="none"/>
        </w:rPr>
        <w:t>确定成交供应商</w:t>
      </w:r>
      <w:bookmarkEnd w:id="150"/>
      <w:bookmarkEnd w:id="151"/>
    </w:p>
    <w:p>
      <w:pPr>
        <w:pStyle w:val="5"/>
        <w:keepNext w:val="0"/>
        <w:keepLines w:val="0"/>
        <w:numPr>
          <w:ilvl w:val="0"/>
          <w:numId w:val="3"/>
        </w:numPr>
        <w:adjustRightInd/>
        <w:spacing w:before="0" w:after="0" w:line="360" w:lineRule="auto"/>
        <w:rPr>
          <w:rFonts w:hAnsi="宋体"/>
          <w:color w:val="auto"/>
          <w:sz w:val="21"/>
          <w:szCs w:val="21"/>
          <w:highlight w:val="none"/>
        </w:rPr>
      </w:pPr>
      <w:bookmarkStart w:id="152" w:name="_Toc29068"/>
      <w:bookmarkStart w:id="153" w:name="_Toc19359"/>
      <w:r>
        <w:rPr>
          <w:rFonts w:hint="eastAsia" w:hAnsi="宋体"/>
          <w:color w:val="auto"/>
          <w:sz w:val="21"/>
          <w:szCs w:val="21"/>
          <w:highlight w:val="none"/>
        </w:rPr>
        <w:t>确定成交</w:t>
      </w:r>
      <w:bookmarkEnd w:id="152"/>
      <w:bookmarkEnd w:id="153"/>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磋商小组完成评审工作后，出具评审报告，推荐3名以上成交候选供应商。符合法律法规允许的情况的，可以推荐2家成交候选供应商。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采购人从成交候选供应商名单中按照综合得分排序确定1名成交供应商。</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4" w:name="_Toc17569"/>
      <w:bookmarkStart w:id="155" w:name="_Toc3941"/>
      <w:r>
        <w:rPr>
          <w:rFonts w:hint="eastAsia" w:hAnsi="宋体"/>
          <w:color w:val="auto"/>
          <w:sz w:val="21"/>
          <w:szCs w:val="21"/>
          <w:highlight w:val="none"/>
        </w:rPr>
        <w:t>发布采购结果</w:t>
      </w:r>
      <w:bookmarkEnd w:id="154"/>
      <w:bookmarkEnd w:id="155"/>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磋商小组提出评标书面报告和推荐成交意见报采购人确认后，采购代理机构将在指定的信息发布媒体上发布公告。</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公告期限为1个工作日。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结果公示发布后，成交单位应及时领取成交通知书。《成交通知书》是合同的一个组成部分，《成交通知书》对采购人和成交供应商均具有同等法律效力。</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成交供应商无正当理由不得放弃中标，因成交供应商放弃中标而对采购人造成的损失由放弃中标的成交供应商承担。</w:t>
      </w:r>
    </w:p>
    <w:p>
      <w:pPr>
        <w:pStyle w:val="2"/>
        <w:rPr>
          <w:rFonts w:ascii="宋体" w:hAnsi="宋体" w:eastAsia="宋体" w:cs="宋体"/>
          <w:color w:val="auto"/>
          <w:sz w:val="21"/>
          <w:szCs w:val="21"/>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56" w:name="_Toc29067"/>
      <w:bookmarkStart w:id="157" w:name="_Toc32414"/>
      <w:r>
        <w:rPr>
          <w:rFonts w:hint="eastAsia" w:hAnsi="宋体"/>
          <w:color w:val="auto"/>
          <w:sz w:val="21"/>
          <w:szCs w:val="21"/>
          <w:highlight w:val="none"/>
        </w:rPr>
        <w:t>原件核查</w:t>
      </w:r>
      <w:bookmarkEnd w:id="156"/>
      <w:bookmarkEnd w:id="157"/>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采购结果发布后，采购代理机构及采购人有权对成交的供应商进行原件核查。成交供应商应在五个工作日内递交相关资质原件到采购代理机构办公地址或采购人指定地址进行核查。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成交供应商有下列情形之一的，取消中标资格：</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在规定时间内递交的原件数量、内容与采购人、采购代理机构要求不一致的；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numPr>
          <w:ilvl w:val="0"/>
          <w:numId w:val="18"/>
        </w:numPr>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结果发布后，采购代理机构及采购人有权根据磋商小组的建议或要求，对递交了响应文件的未成交的供应商进行原件核查。供应商应在采购代理机构或采购人发出纸质通知五个工作日内将原件递交到采购代理机构办公地址或采购人指定地址进行核查。</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供应商有下列情形之一的，响应文件作无效处理，其报价无效：</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拒绝采购人或采购代理机构原件核查要求的；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未在规定时间内将原件递交到到采购代理机构办公地址或采购人指定地址进行核查的；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在规定时间内递交的原件数量、内容不符合采购人、采购代理机构要求的；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因原件续期、更改等原因不能按时递交原件且未能在规定时间内提供相应部门开具的变更、续期等证明的；</w:t>
      </w:r>
    </w:p>
    <w:p>
      <w:pPr>
        <w:pStyle w:val="2"/>
        <w:keepNext w:val="0"/>
        <w:keepLines w:val="0"/>
        <w:pageBreakBefore w:val="0"/>
        <w:widowControl/>
        <w:numPr>
          <w:ilvl w:val="0"/>
          <w:numId w:val="19"/>
        </w:numPr>
        <w:kinsoku/>
        <w:wordWrap/>
        <w:overflowPunct/>
        <w:topLinePunct w:val="0"/>
        <w:autoSpaceDE/>
        <w:autoSpaceDN/>
        <w:bidi w:val="0"/>
        <w:adjustRightInd w:val="0"/>
        <w:snapToGrid w:val="0"/>
        <w:spacing w:before="0"/>
        <w:ind w:firstLine="42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经查原件，响应文件内容有造假行为的。</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若供应商出现虚假应标情况，响应文件作无效处理，其报价、成交无效。并根据相关法律上报相关监管部门。</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58" w:name="_Toc31756"/>
      <w:bookmarkStart w:id="159" w:name="_Toc37756778"/>
      <w:bookmarkStart w:id="160" w:name="_Toc110953852"/>
      <w:bookmarkStart w:id="161" w:name="_Toc3829"/>
      <w:bookmarkStart w:id="162" w:name="_Toc475249143"/>
      <w:r>
        <w:rPr>
          <w:rFonts w:hint="eastAsia" w:ascii="宋体" w:hAnsi="宋体" w:eastAsia="宋体"/>
          <w:color w:val="auto"/>
          <w:sz w:val="24"/>
          <w:szCs w:val="21"/>
          <w:highlight w:val="none"/>
          <w:lang w:val="en-US" w:eastAsia="zh-CN"/>
        </w:rPr>
        <w:t>第七章</w:t>
      </w:r>
      <w:r>
        <w:rPr>
          <w:rFonts w:hint="eastAsia" w:ascii="宋体" w:hAnsi="宋体" w:eastAsia="宋体"/>
          <w:color w:val="auto"/>
          <w:sz w:val="24"/>
          <w:szCs w:val="21"/>
          <w:highlight w:val="none"/>
        </w:rPr>
        <w:t>签订合同</w:t>
      </w:r>
      <w:bookmarkEnd w:id="158"/>
      <w:bookmarkEnd w:id="159"/>
      <w:bookmarkEnd w:id="160"/>
      <w:bookmarkEnd w:id="161"/>
    </w:p>
    <w:p>
      <w:pPr>
        <w:pStyle w:val="5"/>
        <w:keepNext w:val="0"/>
        <w:keepLines w:val="0"/>
        <w:numPr>
          <w:ilvl w:val="0"/>
          <w:numId w:val="3"/>
        </w:numPr>
        <w:adjustRightInd/>
        <w:spacing w:before="0" w:after="0" w:line="360" w:lineRule="auto"/>
        <w:rPr>
          <w:rFonts w:hAnsi="宋体"/>
          <w:color w:val="auto"/>
          <w:sz w:val="21"/>
          <w:szCs w:val="21"/>
          <w:highlight w:val="none"/>
        </w:rPr>
      </w:pPr>
      <w:bookmarkStart w:id="163" w:name="_Toc18000"/>
      <w:bookmarkStart w:id="164" w:name="_Toc29253"/>
      <w:r>
        <w:rPr>
          <w:rFonts w:hint="eastAsia" w:hAnsi="宋体"/>
          <w:color w:val="auto"/>
          <w:sz w:val="21"/>
          <w:szCs w:val="21"/>
          <w:highlight w:val="none"/>
        </w:rPr>
        <w:t>签订合同</w:t>
      </w:r>
      <w:bookmarkEnd w:id="163"/>
      <w:bookmarkEnd w:id="16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采购人与成交供应商应当在成交通知书发出之日起30日内，按照采购文件确定的事项签订政府采购合同。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合同内容不得与磋商文件和响应文件内容有实质性偏离。</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合同签订之日起2个工作日内，成交供应商应将所签订的合同副本（加盖公章）交至广东政通招标有限公司归档。</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在评审结束当天至合同履行结束，若因不可抗力的因素（如国家出台新法律法规等）造成资质的变动，成交供应商应以纸质版形式通知采购人。若资质变动导致成交供应商不再具备履行合同资质要求，采购人有权中止合同。</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拒绝签订政府采购合同的，采购人可以按照评审报告中推荐的其他成交候选人以由高到低原则确定其他供应商作为成交供应商并签订政府采购合同，也可以重新开展采购活动。拒绝签订政府采购合同的成交供应商不得参加对该项目重新开展的采购活动。</w:t>
      </w:r>
    </w:p>
    <w:p>
      <w:pPr>
        <w:bidi w:val="0"/>
        <w:rPr>
          <w:color w:val="auto"/>
          <w:highlight w:val="none"/>
        </w:rPr>
      </w:pPr>
    </w:p>
    <w:p>
      <w:pPr>
        <w:pStyle w:val="4"/>
        <w:keepNext w:val="0"/>
        <w:keepLines w:val="0"/>
        <w:spacing w:before="0" w:after="0" w:line="360" w:lineRule="auto"/>
        <w:jc w:val="center"/>
        <w:rPr>
          <w:rFonts w:ascii="宋体" w:hAnsi="宋体" w:eastAsia="宋体"/>
          <w:color w:val="auto"/>
          <w:sz w:val="24"/>
          <w:szCs w:val="21"/>
          <w:highlight w:val="none"/>
        </w:rPr>
      </w:pPr>
      <w:bookmarkStart w:id="165" w:name="_Toc8165"/>
      <w:bookmarkStart w:id="166" w:name="_Toc12802"/>
      <w:r>
        <w:rPr>
          <w:rFonts w:hint="eastAsia" w:ascii="宋体" w:hAnsi="宋体" w:eastAsia="宋体"/>
          <w:color w:val="auto"/>
          <w:sz w:val="24"/>
          <w:szCs w:val="21"/>
          <w:highlight w:val="none"/>
          <w:lang w:val="en-US" w:eastAsia="zh-CN"/>
        </w:rPr>
        <w:t>第八章</w:t>
      </w:r>
      <w:r>
        <w:rPr>
          <w:rFonts w:hint="eastAsia" w:ascii="宋体" w:hAnsi="宋体" w:eastAsia="宋体"/>
          <w:color w:val="auto"/>
          <w:sz w:val="24"/>
          <w:szCs w:val="21"/>
          <w:highlight w:val="none"/>
        </w:rPr>
        <w:t>询问或质疑</w:t>
      </w:r>
      <w:bookmarkEnd w:id="165"/>
      <w:bookmarkEnd w:id="166"/>
    </w:p>
    <w:p>
      <w:pPr>
        <w:pStyle w:val="5"/>
        <w:keepNext w:val="0"/>
        <w:keepLines w:val="0"/>
        <w:numPr>
          <w:ilvl w:val="0"/>
          <w:numId w:val="3"/>
        </w:numPr>
        <w:adjustRightInd/>
        <w:spacing w:before="0" w:after="0" w:line="360" w:lineRule="auto"/>
        <w:rPr>
          <w:rFonts w:hAnsi="宋体"/>
          <w:color w:val="auto"/>
          <w:sz w:val="21"/>
          <w:szCs w:val="21"/>
          <w:highlight w:val="none"/>
        </w:rPr>
      </w:pPr>
      <w:bookmarkStart w:id="167" w:name="_Toc18663"/>
      <w:bookmarkStart w:id="168" w:name="_Toc452"/>
      <w:r>
        <w:rPr>
          <w:rFonts w:hint="eastAsia" w:hAnsi="宋体"/>
          <w:color w:val="auto"/>
          <w:sz w:val="21"/>
          <w:szCs w:val="21"/>
          <w:highlight w:val="none"/>
        </w:rPr>
        <w:t>询问</w:t>
      </w:r>
      <w:bookmarkEnd w:id="167"/>
      <w:bookmarkEnd w:id="168"/>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供应商对政府采购活动事项（采购文件、采购过程和采购结果）有疑问的，可以按规定向采购代理机构提出询问。</w:t>
      </w:r>
    </w:p>
    <w:p>
      <w:pPr>
        <w:bidi w:val="0"/>
        <w:rPr>
          <w:color w:val="auto"/>
          <w:highlight w:val="none"/>
        </w:rPr>
      </w:pPr>
    </w:p>
    <w:p>
      <w:pPr>
        <w:pStyle w:val="5"/>
        <w:keepNext w:val="0"/>
        <w:keepLines w:val="0"/>
        <w:numPr>
          <w:ilvl w:val="0"/>
          <w:numId w:val="3"/>
        </w:numPr>
        <w:adjustRightInd/>
        <w:spacing w:before="0" w:after="0" w:line="360" w:lineRule="auto"/>
        <w:rPr>
          <w:rFonts w:hAnsi="宋体"/>
          <w:color w:val="auto"/>
          <w:sz w:val="21"/>
          <w:szCs w:val="21"/>
          <w:highlight w:val="none"/>
        </w:rPr>
      </w:pPr>
      <w:bookmarkStart w:id="169" w:name="_Toc17155"/>
      <w:bookmarkStart w:id="170" w:name="_Toc20114"/>
      <w:r>
        <w:rPr>
          <w:rFonts w:hint="eastAsia" w:hAnsi="宋体"/>
          <w:color w:val="auto"/>
          <w:sz w:val="21"/>
          <w:szCs w:val="21"/>
          <w:highlight w:val="none"/>
        </w:rPr>
        <w:t>质疑</w:t>
      </w:r>
      <w:bookmarkEnd w:id="169"/>
      <w:bookmarkEnd w:id="17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提出质疑的供应商应当是参与所质疑项目采购活动的供应商或是在规定的时间内已依法获取其可质疑的磋商文件的潜在供应商。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磋商文件、采购过程、成交或者成交结果使自己的权益受到损害的，可以在知道或者应知其权益受到损害之日起7个工作日内，以书面形式向采购人、采购代理机构提出质疑。超过规定时间提交的质疑函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供应商在法定质疑期内须一次性提出针对同一采购程序环节的质疑，对同一采购程序环节的二次质疑采购代理机构不予受理。</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应将磋商文件所规定的纸质版形式（质疑须提交以下资料并加盖供应商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磋商邀请书）。供应商以电话、传真或电邮形式提交的质疑属于无效质疑。</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供应商提出质疑应当提交质疑函和必要的证明材料（须注明法律依据），因缺少相关证明材料或证明材料存在不真实而导致的后果由供应商自行承担。</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不涉及对供应商利益造成损害的相关内容，不能作为质疑内容提交。</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投诉人有下列行为之一的，属于虚假、恶意投诉，由财政部门列入不良行为记录名单，禁止其1至3年内参加全国范围内的政府采购活动：</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（一）捏造事实;</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（二）提供虚假材料;</w:t>
      </w:r>
    </w:p>
    <w:p>
      <w:pPr>
        <w:tabs>
          <w:tab w:val="left" w:pos="907"/>
        </w:tabs>
        <w:spacing w:line="360" w:lineRule="auto"/>
        <w:ind w:left="567"/>
        <w:rPr>
          <w:rFonts w:ascii="宋体" w:hAnsi="宋体" w:eastAsia="宋体"/>
          <w:color w:val="auto"/>
          <w:sz w:val="21"/>
          <w:szCs w:val="21"/>
          <w:highlight w:val="none"/>
        </w:rPr>
      </w:pPr>
      <w:r>
        <w:rPr>
          <w:rFonts w:hint="eastAsia" w:ascii="宋体" w:hAnsi="宋体" w:eastAsia="宋体"/>
          <w:color w:val="auto"/>
          <w:sz w:val="21"/>
          <w:szCs w:val="21"/>
          <w:highlight w:val="none"/>
        </w:rPr>
        <w:t>（三）以非法手段取得证明材料。证据来源的合法性存在明显疑问，投诉人无法证明其取得方式合法的，视为以非法手段取得证明材料。</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以联合体形式参加政府采购活动的，其质疑应当由组成联合体的所有供应商共同提出。</w:t>
      </w:r>
    </w:p>
    <w:p>
      <w:pPr>
        <w:bidi w:val="0"/>
        <w:rPr>
          <w:color w:val="auto"/>
          <w:highlight w:val="none"/>
        </w:rPr>
      </w:pPr>
    </w:p>
    <w:bookmarkEnd w:id="162"/>
    <w:p>
      <w:pPr>
        <w:pStyle w:val="4"/>
        <w:keepNext w:val="0"/>
        <w:keepLines w:val="0"/>
        <w:spacing w:before="0" w:after="0" w:line="360" w:lineRule="auto"/>
        <w:jc w:val="center"/>
        <w:rPr>
          <w:rFonts w:ascii="宋体" w:hAnsi="宋体" w:eastAsia="宋体"/>
          <w:color w:val="auto"/>
          <w:sz w:val="24"/>
          <w:szCs w:val="21"/>
          <w:highlight w:val="none"/>
        </w:rPr>
      </w:pPr>
      <w:bookmarkStart w:id="171" w:name="_Toc5474"/>
      <w:bookmarkStart w:id="172" w:name="_Toc5551"/>
      <w:r>
        <w:rPr>
          <w:rFonts w:hint="eastAsia" w:ascii="宋体" w:hAnsi="宋体" w:eastAsia="宋体"/>
          <w:color w:val="auto"/>
          <w:sz w:val="24"/>
          <w:szCs w:val="21"/>
          <w:highlight w:val="none"/>
          <w:lang w:val="en-US" w:eastAsia="zh-CN"/>
        </w:rPr>
        <w:t>第九章</w:t>
      </w:r>
      <w:r>
        <w:rPr>
          <w:rFonts w:hint="eastAsia" w:ascii="宋体" w:hAnsi="宋体" w:eastAsia="宋体"/>
          <w:color w:val="auto"/>
          <w:sz w:val="24"/>
          <w:szCs w:val="21"/>
          <w:highlight w:val="none"/>
        </w:rPr>
        <w:t>成交服务费</w:t>
      </w:r>
      <w:bookmarkEnd w:id="171"/>
      <w:bookmarkEnd w:id="172"/>
    </w:p>
    <w:p>
      <w:pPr>
        <w:pStyle w:val="5"/>
        <w:keepNext w:val="0"/>
        <w:keepLines w:val="0"/>
        <w:numPr>
          <w:ilvl w:val="0"/>
          <w:numId w:val="3"/>
        </w:numPr>
        <w:adjustRightInd/>
        <w:spacing w:before="0" w:after="0" w:line="360" w:lineRule="auto"/>
        <w:rPr>
          <w:rFonts w:hAnsi="宋体"/>
          <w:color w:val="auto"/>
          <w:sz w:val="21"/>
          <w:szCs w:val="21"/>
          <w:highlight w:val="none"/>
        </w:rPr>
      </w:pPr>
      <w:bookmarkStart w:id="173" w:name="_Toc26991"/>
      <w:bookmarkStart w:id="174" w:name="_Toc9437"/>
      <w:r>
        <w:rPr>
          <w:rFonts w:hint="eastAsia" w:hAnsi="宋体"/>
          <w:color w:val="auto"/>
          <w:sz w:val="21"/>
          <w:szCs w:val="21"/>
          <w:highlight w:val="none"/>
        </w:rPr>
        <w:t>成交服务费</w:t>
      </w:r>
      <w:bookmarkEnd w:id="173"/>
      <w:bookmarkEnd w:id="174"/>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成交供应商须向招标代理机构按如下标准和规定交纳成交服务费。</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以《成交通知书》中规定的成交总金额作为收费的计算基数。</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成交服务费按照国家计委关于印发《招标代理服务收费管理暂行办法》的通知（计价格[2002]1980号)和《国家发展改革委关于降低部门建设项目收费标准规范收费行为等有关问题的通知》(发改价格[2011]534)的规定标准服务类收取，成交服务费最低收费标准为伍仟元整。</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服务费的货币为人民币。</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服务费应由成交人在采购结果公示发出之后，成交通知书发出前交纳，不在报价中单列。</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服务费以转账或现金的形式支付，</w:t>
      </w:r>
      <w:bookmarkStart w:id="175" w:name="_Ref179619574"/>
      <w:r>
        <w:rPr>
          <w:rFonts w:hint="eastAsia" w:ascii="宋体" w:hAnsi="宋体" w:eastAsia="宋体"/>
          <w:color w:val="auto"/>
          <w:sz w:val="21"/>
          <w:szCs w:val="21"/>
          <w:highlight w:val="none"/>
        </w:rPr>
        <w:t>成交人应按照磋商文件中的规定交纳成交服务费。</w:t>
      </w:r>
      <w:bookmarkEnd w:id="175"/>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招标代理服务费汇入账号：</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收 款 人：广东政通招标有限公司</w:t>
      </w:r>
    </w:p>
    <w:p>
      <w:pPr>
        <w:spacing w:line="360" w:lineRule="auto"/>
        <w:ind w:firstLine="567"/>
        <w:rPr>
          <w:rFonts w:ascii="宋体" w:hAnsi="宋体" w:eastAsia="宋体"/>
          <w:color w:val="auto"/>
          <w:sz w:val="21"/>
          <w:szCs w:val="21"/>
          <w:highlight w:val="none"/>
        </w:rPr>
      </w:pPr>
      <w:r>
        <w:rPr>
          <w:rFonts w:hint="eastAsia" w:ascii="宋体" w:hAnsi="宋体" w:eastAsia="宋体"/>
          <w:color w:val="auto"/>
          <w:sz w:val="21"/>
          <w:szCs w:val="21"/>
          <w:highlight w:val="none"/>
        </w:rPr>
        <w:t>开户银行：广发银行股份有限公司东莞南城支行</w:t>
      </w:r>
    </w:p>
    <w:p>
      <w:pPr>
        <w:spacing w:line="360" w:lineRule="auto"/>
        <w:ind w:firstLine="567"/>
        <w:rPr>
          <w:rFonts w:hint="eastAsia" w:ascii="宋体" w:hAnsi="宋体" w:eastAsia="宋体"/>
          <w:color w:val="auto"/>
          <w:sz w:val="21"/>
          <w:szCs w:val="21"/>
          <w:highlight w:val="none"/>
        </w:rPr>
      </w:pPr>
      <w:r>
        <w:rPr>
          <w:rFonts w:hint="eastAsia" w:ascii="宋体" w:hAnsi="宋体" w:eastAsia="宋体"/>
          <w:color w:val="auto"/>
          <w:sz w:val="21"/>
          <w:szCs w:val="21"/>
          <w:highlight w:val="none"/>
        </w:rPr>
        <w:t>账　　号：9550880331235700173</w:t>
      </w:r>
    </w:p>
    <w:p>
      <w:pPr>
        <w:bidi w:val="0"/>
        <w:rPr>
          <w:color w:val="auto"/>
          <w:highlight w:val="none"/>
        </w:rPr>
      </w:pPr>
    </w:p>
    <w:bookmarkEnd w:id="28"/>
    <w:bookmarkEnd w:id="29"/>
    <w:bookmarkEnd w:id="30"/>
    <w:bookmarkEnd w:id="31"/>
    <w:bookmarkEnd w:id="32"/>
    <w:bookmarkEnd w:id="33"/>
    <w:bookmarkEnd w:id="34"/>
    <w:bookmarkEnd w:id="35"/>
    <w:bookmarkEnd w:id="36"/>
    <w:bookmarkEnd w:id="37"/>
    <w:bookmarkEnd w:id="38"/>
    <w:p>
      <w:pPr>
        <w:pStyle w:val="4"/>
        <w:keepNext w:val="0"/>
        <w:keepLines w:val="0"/>
        <w:spacing w:before="0" w:after="0" w:line="360" w:lineRule="auto"/>
        <w:jc w:val="center"/>
        <w:rPr>
          <w:rFonts w:ascii="宋体" w:hAnsi="宋体" w:eastAsia="宋体"/>
          <w:color w:val="auto"/>
          <w:sz w:val="24"/>
          <w:szCs w:val="21"/>
          <w:highlight w:val="none"/>
        </w:rPr>
      </w:pPr>
      <w:bookmarkStart w:id="176" w:name="_Toc18389"/>
      <w:bookmarkStart w:id="177" w:name="_Toc7834"/>
      <w:bookmarkStart w:id="178" w:name="_Toc476976198"/>
      <w:bookmarkStart w:id="179" w:name="_Toc51939456"/>
      <w:bookmarkStart w:id="180" w:name="_Toc457975339"/>
      <w:bookmarkStart w:id="181" w:name="_Toc486671570"/>
      <w:bookmarkStart w:id="182" w:name="_Toc56353011"/>
      <w:bookmarkStart w:id="183" w:name="_Toc52021538"/>
      <w:bookmarkStart w:id="184" w:name="_Toc467236766"/>
      <w:bookmarkStart w:id="185" w:name="_Toc467050236"/>
      <w:bookmarkStart w:id="186" w:name="_Toc467049706"/>
      <w:bookmarkStart w:id="187" w:name="_Toc52027926"/>
      <w:bookmarkStart w:id="188" w:name="_Toc51756491"/>
      <w:r>
        <w:rPr>
          <w:rFonts w:hint="eastAsia" w:ascii="宋体" w:hAnsi="宋体" w:eastAsia="宋体"/>
          <w:color w:val="auto"/>
          <w:sz w:val="24"/>
          <w:szCs w:val="21"/>
          <w:highlight w:val="none"/>
          <w:lang w:val="en-US" w:eastAsia="zh-CN"/>
        </w:rPr>
        <w:t>第十章</w:t>
      </w:r>
      <w:r>
        <w:rPr>
          <w:rFonts w:hint="eastAsia" w:ascii="宋体" w:hAnsi="宋体" w:eastAsia="宋体"/>
          <w:color w:val="auto"/>
          <w:sz w:val="24"/>
          <w:szCs w:val="21"/>
          <w:highlight w:val="none"/>
        </w:rPr>
        <w:t>其他</w:t>
      </w:r>
      <w:bookmarkEnd w:id="176"/>
      <w:bookmarkEnd w:id="177"/>
    </w:p>
    <w:p>
      <w:pPr>
        <w:pStyle w:val="5"/>
        <w:keepNext w:val="0"/>
        <w:keepLines w:val="0"/>
        <w:numPr>
          <w:ilvl w:val="0"/>
          <w:numId w:val="3"/>
        </w:numPr>
        <w:adjustRightInd/>
        <w:spacing w:before="0" w:after="0" w:line="360" w:lineRule="auto"/>
        <w:rPr>
          <w:rFonts w:hAnsi="宋体"/>
          <w:color w:val="auto"/>
          <w:sz w:val="21"/>
          <w:szCs w:val="21"/>
          <w:highlight w:val="none"/>
        </w:rPr>
      </w:pPr>
      <w:bookmarkStart w:id="189" w:name="_Toc31522"/>
      <w:bookmarkStart w:id="190" w:name="_Toc10953"/>
      <w:r>
        <w:rPr>
          <w:rFonts w:hint="eastAsia" w:hAnsi="宋体"/>
          <w:color w:val="auto"/>
          <w:sz w:val="21"/>
          <w:szCs w:val="21"/>
          <w:highlight w:val="none"/>
        </w:rPr>
        <w:t>磋商文件的解释权</w:t>
      </w:r>
      <w:bookmarkEnd w:id="189"/>
      <w:bookmarkEnd w:id="190"/>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采购文件版本号：广东政通20210</w:t>
      </w:r>
      <w:r>
        <w:rPr>
          <w:rFonts w:hint="eastAsia" w:ascii="宋体" w:hAnsi="宋体"/>
          <w:color w:val="auto"/>
          <w:sz w:val="21"/>
          <w:szCs w:val="21"/>
          <w:highlight w:val="none"/>
          <w:lang w:val="en-US" w:eastAsia="zh-CN"/>
        </w:rPr>
        <w:t>618</w:t>
      </w:r>
      <w:r>
        <w:rPr>
          <w:rFonts w:hint="eastAsia" w:ascii="宋体" w:hAnsi="宋体" w:eastAsia="宋体"/>
          <w:color w:val="auto"/>
          <w:sz w:val="21"/>
          <w:szCs w:val="21"/>
          <w:highlight w:val="none"/>
        </w:rPr>
        <w:t>。</w:t>
      </w:r>
    </w:p>
    <w:p>
      <w:pPr>
        <w:numPr>
          <w:ilvl w:val="1"/>
          <w:numId w:val="3"/>
        </w:numPr>
        <w:spacing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本采购文件是根据国家有关法律、法规以及政府采购管理有关规定和参照国际惯例编制，解释权属本采购代理机构。</w:t>
      </w:r>
    </w:p>
    <w:p>
      <w:pPr>
        <w:bidi w:val="0"/>
        <w:rPr>
          <w:color w:val="auto"/>
          <w:highlight w:val="none"/>
        </w:rPr>
      </w:pPr>
      <w:r>
        <w:rPr>
          <w:color w:val="auto"/>
          <w:highlight w:val="none"/>
        </w:rPr>
        <w:br w:type="page"/>
      </w:r>
      <w:bookmarkEnd w:id="178"/>
      <w:bookmarkEnd w:id="179"/>
      <w:bookmarkEnd w:id="180"/>
      <w:bookmarkEnd w:id="181"/>
      <w:bookmarkEnd w:id="182"/>
      <w:bookmarkEnd w:id="183"/>
      <w:bookmarkEnd w:id="184"/>
      <w:bookmarkEnd w:id="185"/>
      <w:bookmarkEnd w:id="186"/>
      <w:bookmarkEnd w:id="187"/>
      <w:bookmarkEnd w:id="188"/>
    </w:p>
    <w:bookmarkEnd w:id="20"/>
    <w:p>
      <w:pPr>
        <w:pStyle w:val="4"/>
        <w:spacing w:before="0" w:after="0" w:line="240" w:lineRule="auto"/>
        <w:rPr>
          <w:rFonts w:hint="eastAsia"/>
          <w:color w:val="auto"/>
          <w:sz w:val="28"/>
          <w:szCs w:val="28"/>
          <w:highlight w:val="none"/>
        </w:rPr>
      </w:pPr>
      <w:bookmarkStart w:id="191" w:name="_Toc7011"/>
      <w:bookmarkStart w:id="192" w:name="_Toc3162"/>
      <w:bookmarkStart w:id="193" w:name="_Toc31854"/>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91"/>
      <w:bookmarkEnd w:id="192"/>
      <w:bookmarkEnd w:id="193"/>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color w:val="auto"/>
          <w:highlight w:val="none"/>
          <w:lang w:val="en-US" w:eastAsia="zh-CN"/>
        </w:rPr>
      </w:pPr>
      <w:bookmarkStart w:id="194" w:name="_Toc31162"/>
      <w:bookmarkStart w:id="195" w:name="_Toc21448"/>
      <w:bookmarkStart w:id="196" w:name="_Toc12485"/>
      <w:r>
        <w:rPr>
          <w:rFonts w:hint="eastAsia" w:ascii="宋体" w:hAnsi="宋体"/>
          <w:color w:val="auto"/>
          <w:highlight w:val="none"/>
          <w:lang w:val="en-US" w:eastAsia="zh-CN"/>
        </w:rPr>
        <w:t>第一章 商务需求书</w:t>
      </w:r>
      <w:bookmarkEnd w:id="194"/>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3"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w:t>
            </w:r>
            <w:r>
              <w:rPr>
                <w:rFonts w:hint="eastAsia" w:ascii="宋体" w:hAnsi="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lang w:val="en-US" w:eastAsia="zh-CN"/>
              </w:rPr>
              <w:t>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供货要求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1、所需工具设施物料由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自备、自费运到现场，完工后自费搬走。</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2、签订合同后，</w:t>
            </w:r>
            <w:r>
              <w:rPr>
                <w:rFonts w:hint="eastAsia" w:ascii="宋体" w:hAnsi="宋体" w:cs="宋体"/>
                <w:color w:val="auto"/>
                <w:sz w:val="21"/>
                <w:szCs w:val="21"/>
                <w:highlight w:val="none"/>
                <w:u w:val="none"/>
                <w:lang w:val="en-US" w:eastAsia="zh-CN"/>
              </w:rPr>
              <w:t>60</w:t>
            </w:r>
            <w:r>
              <w:rPr>
                <w:rFonts w:hint="eastAsia" w:ascii="宋体" w:hAnsi="宋体" w:eastAsia="宋体" w:cs="宋体"/>
                <w:color w:val="auto"/>
                <w:sz w:val="21"/>
                <w:szCs w:val="21"/>
                <w:highlight w:val="none"/>
                <w:lang w:eastAsia="zh-CN"/>
              </w:rPr>
              <w:t>天内完成（包括供货、施工、安装、调试、验收工作）。</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3、调试：按国家相关验收规范进行，分阶段进行调试。</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4、项目的实施工作全部由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lang w:eastAsia="zh-CN"/>
              </w:rPr>
              <w:t>负责，但必须在</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的指定人员的参与下进行。投标文件中须给出的具体供货和验收方法，在实际实施前必须先经</w:t>
            </w:r>
            <w:r>
              <w:rPr>
                <w:rFonts w:hint="eastAsia" w:ascii="宋体" w:hAnsi="宋体" w:cs="宋体"/>
                <w:color w:val="auto"/>
                <w:sz w:val="21"/>
                <w:szCs w:val="21"/>
                <w:highlight w:val="none"/>
                <w:lang w:eastAsia="zh-CN"/>
              </w:rPr>
              <w:t>采购人</w:t>
            </w:r>
            <w:r>
              <w:rPr>
                <w:rFonts w:hint="eastAsia" w:ascii="宋体" w:hAnsi="宋体" w:eastAsia="宋体" w:cs="宋体"/>
                <w:color w:val="auto"/>
                <w:sz w:val="21"/>
                <w:szCs w:val="21"/>
                <w:highlight w:val="none"/>
                <w:lang w:eastAsia="zh-CN"/>
              </w:rPr>
              <w:t>同意方可进行。调试的原始记录须经各方签字后作为验收的文件之一。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9"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合同签订后，主要仪器设备送至采购人现场并经清点签收后，支付合同总额的30%；设备安装完毕，经采购方初步验收合格后，支付合同总额30%，经试运行及相关主管部门验收合格后支付合同金额的35%，剩余5%将在质保期满后支付。</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2、货款按约定的方式支付，</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凭以下有效的文件向采购人提出支付货款的申请：</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①合同；②</w:t>
            </w:r>
            <w:r>
              <w:rPr>
                <w:rFonts w:hint="eastAsia" w:ascii="宋体" w:hAnsi="宋体" w:cs="宋体"/>
                <w:color w:val="auto"/>
                <w:sz w:val="21"/>
                <w:szCs w:val="21"/>
                <w:highlight w:val="none"/>
                <w:lang w:val="en-US" w:eastAsia="zh-CN"/>
              </w:rPr>
              <w:t>成交人</w:t>
            </w:r>
            <w:r>
              <w:rPr>
                <w:rFonts w:hint="eastAsia" w:ascii="宋体" w:hAnsi="宋体" w:eastAsia="宋体" w:cs="宋体"/>
                <w:color w:val="auto"/>
                <w:sz w:val="21"/>
                <w:szCs w:val="21"/>
                <w:highlight w:val="none"/>
                <w:lang w:val="en-US" w:eastAsia="zh-CN"/>
              </w:rPr>
              <w:t>开具的正式发票；③中标通知书。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质保要求</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1、质保期为壹年。供货并安装完毕，并经</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验收合格</w:t>
            </w:r>
            <w:r>
              <w:rPr>
                <w:rFonts w:hint="eastAsia" w:ascii="宋体" w:hAnsi="宋体" w:eastAsia="宋体" w:cs="宋体"/>
                <w:color w:val="auto"/>
                <w:sz w:val="21"/>
                <w:szCs w:val="21"/>
                <w:highlight w:val="none"/>
                <w:lang w:val="en-US" w:eastAsia="zh-CN"/>
              </w:rPr>
              <w:t>通电</w:t>
            </w:r>
            <w:r>
              <w:rPr>
                <w:rFonts w:hint="eastAsia" w:ascii="宋体" w:hAnsi="宋体" w:eastAsia="宋体" w:cs="宋体"/>
                <w:color w:val="auto"/>
                <w:sz w:val="21"/>
                <w:szCs w:val="21"/>
                <w:highlight w:val="none"/>
              </w:rPr>
              <w:t>之日起进入质保期。</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2、在质保期内由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负责对设备进行维护保养，排除故障，无偿提供非操作不当及非外部原因造成的部件、配件的更换。质保期内，所有维修服务均为上门服务，由此产生的费用均不再收取（质保期内，由</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免费提供必要的备品备件及服务）。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3、故障保修响应时间为：2小时内响应到用户现场。如果故障在检修8小时后仍无法排除，</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应在24小时内提供不低于故障产品规格型号档次的备用产品供用户使用，直至故障产品修复。对于重大紧急故障，</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技术人员在2小时内到达最终用户现场免费服务。</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4、质保期内，</w:t>
            </w:r>
            <w:r>
              <w:rPr>
                <w:rFonts w:hint="eastAsia" w:ascii="宋体" w:hAnsi="宋体" w:cs="宋体"/>
                <w:color w:val="auto"/>
                <w:sz w:val="21"/>
                <w:szCs w:val="21"/>
                <w:highlight w:val="none"/>
                <w:lang w:eastAsia="zh-CN"/>
              </w:rPr>
              <w:t>成交人</w:t>
            </w:r>
            <w:r>
              <w:rPr>
                <w:rFonts w:hint="eastAsia" w:ascii="宋体" w:hAnsi="宋体" w:eastAsia="宋体" w:cs="宋体"/>
                <w:color w:val="auto"/>
                <w:sz w:val="21"/>
                <w:szCs w:val="21"/>
                <w:highlight w:val="none"/>
              </w:rPr>
              <w:t>须每月派人上门按照国家现行的有关维修保养规范进行系统、全面的维修和保养，检查各系统的各功能和情况是否正常使用，发现问题及时处理，每次检测均要书面记录，并经双方签字认可，留作存档备查。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采购人配合事项</w:t>
            </w:r>
          </w:p>
        </w:tc>
        <w:tc>
          <w:tcPr>
            <w:tcW w:w="6466" w:type="dxa"/>
            <w:vAlign w:val="center"/>
          </w:tcPr>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1、踏勘现场：本项目不组织</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统一对项目现场进行踏勘，有需要的</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可自行进行踏勘，以便获取编制投标文件和签署合同所需的所有资料。踏勘现场所发生的费用由</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自己承担。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在投标文件中要列明在项目实施过程中要求采购人提供的合理配合条件。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实质响应合同各条款。</w:t>
            </w:r>
          </w:p>
        </w:tc>
      </w:tr>
    </w:tbl>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bidi w:val="0"/>
        <w:rPr>
          <w:rFonts w:hint="eastAsia"/>
          <w:color w:val="auto"/>
          <w:highlight w:val="none"/>
          <w:lang w:val="en-US" w:eastAsia="zh-CN"/>
        </w:rPr>
      </w:pPr>
    </w:p>
    <w:p>
      <w:pPr>
        <w:rPr>
          <w:rFonts w:hint="eastAsia" w:ascii="宋体" w:hAnsi="宋体"/>
          <w:color w:val="auto"/>
          <w:highlight w:val="none"/>
          <w:lang w:val="en-US" w:eastAsia="zh-CN"/>
        </w:rPr>
      </w:pPr>
      <w:bookmarkStart w:id="197" w:name="_Toc19981"/>
      <w:r>
        <w:rPr>
          <w:rFonts w:hint="eastAsia" w:ascii="宋体" w:hAnsi="宋体"/>
          <w:color w:val="auto"/>
          <w:highlight w:val="none"/>
          <w:lang w:val="en-US" w:eastAsia="zh-CN"/>
        </w:rPr>
        <w:br w:type="page"/>
      </w:r>
    </w:p>
    <w:p>
      <w:pPr>
        <w:pStyle w:val="5"/>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97"/>
    </w:p>
    <w:p>
      <w:pPr>
        <w:bidi w:val="0"/>
        <w:outlineLvl w:val="3"/>
        <w:rPr>
          <w:rFonts w:hint="eastAsia"/>
          <w:b/>
          <w:bCs/>
          <w:color w:val="auto"/>
          <w:sz w:val="24"/>
          <w:szCs w:val="24"/>
          <w:highlight w:val="none"/>
        </w:rPr>
      </w:pPr>
      <w:r>
        <w:rPr>
          <w:rFonts w:hint="eastAsia"/>
          <w:b/>
          <w:bCs/>
          <w:color w:val="auto"/>
          <w:sz w:val="24"/>
          <w:szCs w:val="24"/>
          <w:highlight w:val="none"/>
        </w:rPr>
        <w:t>一、项目清单</w:t>
      </w:r>
    </w:p>
    <w:tbl>
      <w:tblPr>
        <w:tblStyle w:val="2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461"/>
        <w:gridCol w:w="2778"/>
        <w:gridCol w:w="2316"/>
        <w:gridCol w:w="741"/>
        <w:gridCol w:w="846"/>
        <w:gridCol w:w="13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0"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bookmarkStart w:id="401" w:name="_GoBack"/>
            <w:r>
              <w:rPr>
                <w:rFonts w:hint="eastAsia" w:ascii="宋体" w:hAnsi="宋体" w:eastAsia="宋体" w:cs="宋体"/>
                <w:i w:val="0"/>
                <w:iCs w:val="0"/>
                <w:color w:val="000000"/>
                <w:kern w:val="0"/>
                <w:sz w:val="21"/>
                <w:szCs w:val="21"/>
                <w:u w:val="none"/>
                <w:lang w:val="en-US" w:eastAsia="zh-CN" w:bidi="ar"/>
              </w:rPr>
              <w:t>序号</w:t>
            </w:r>
          </w:p>
        </w:tc>
        <w:tc>
          <w:tcPr>
            <w:tcW w:w="1629"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1358"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w:t>
            </w:r>
          </w:p>
        </w:tc>
        <w:tc>
          <w:tcPr>
            <w:tcW w:w="434"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496"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809"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油式变压器</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S13-M-1250/10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高压进线柜 G01</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XGN15-12-V</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断路器柜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高压出线柜 G03</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XGN15-12-V</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断路器柜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高压计量柜  G02</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XGN15-12-J</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负荷开关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低压进线柜 P01</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1250KVA-GCK</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低压补偿柜 P02\P03</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1250KVA-GCJ</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809"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静态补偿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低压出线柜 P04</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1250KVA-GCK</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0.4KV铜芯双塑线</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25mm</w:t>
            </w:r>
            <w:r>
              <w:rPr>
                <w:rFonts w:hint="eastAsia" w:ascii="宋体" w:hAnsi="宋体" w:eastAsia="宋体" w:cs="宋体"/>
                <w:i w:val="0"/>
                <w:iCs w:val="0"/>
                <w:color w:val="000000"/>
                <w:kern w:val="0"/>
                <w:sz w:val="21"/>
                <w:szCs w:val="21"/>
                <w:u w:val="none"/>
                <w:vertAlign w:val="superscript"/>
                <w:lang w:val="en-US" w:eastAsia="zh-CN" w:bidi="ar"/>
              </w:rPr>
              <w:t>2</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28"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铜芯电力电缆</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ZRYJV-400mm</w:t>
            </w:r>
            <w:r>
              <w:rPr>
                <w:rFonts w:hint="eastAsia" w:ascii="宋体" w:hAnsi="宋体" w:eastAsia="宋体" w:cs="宋体"/>
                <w:i w:val="0"/>
                <w:iCs w:val="0"/>
                <w:color w:val="000000"/>
                <w:kern w:val="0"/>
                <w:sz w:val="21"/>
                <w:szCs w:val="21"/>
                <w:u w:val="none"/>
                <w:vertAlign w:val="superscript"/>
                <w:lang w:val="en-US" w:eastAsia="zh-CN" w:bidi="ar"/>
              </w:rPr>
              <w:t>2</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236.00</w:t>
            </w:r>
          </w:p>
        </w:tc>
        <w:tc>
          <w:tcPr>
            <w:tcW w:w="809"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3（4*400）+2（1*400）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高压电缆</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YJV22-3*120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户内电缆终端头</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户外冷缩式终端头</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10KV架空绝缘钢芯铝绞线</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JKLGYJ-95/15</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88"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10KV户外防爆自动脱离型高压避雷器</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YH5W--17/50SPE</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0.4KV低压避雷器</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YH5W--0.5/2.6</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10KV高压隔离开关</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HGW9--10G/630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铁支架及铁构件</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100kg</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0.50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电缆保护管</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φ114*3000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陶担</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S-210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铜铝线夹</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JYL-600A</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力矩节能线夹</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502</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避雷器横担</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60*6*1600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接地引铁</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φ16*6000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杆型电缆支架</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15米</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杆型刀闸担</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低压出线支承架</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高压出线支承架</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镀锌元铁</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φ16*6000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低压触头接线铜板</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户内式支持绝缘子</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绝缘胶</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灭火器</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高压电缆标柱</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0.12*0.12*1m</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绝缘棒</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验电笔</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绝缘鞋</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绝缘手套</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安全标牌</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绝缘工具箱</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铜母排</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铜排夹具</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MNP-101</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0.4KV铜芯双塑线</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BVR-2.5mm</w:t>
            </w:r>
            <w:r>
              <w:rPr>
                <w:rFonts w:hint="eastAsia" w:ascii="宋体" w:hAnsi="宋体" w:eastAsia="宋体" w:cs="宋体"/>
                <w:i w:val="0"/>
                <w:iCs w:val="0"/>
                <w:color w:val="000000"/>
                <w:kern w:val="0"/>
                <w:sz w:val="21"/>
                <w:szCs w:val="21"/>
                <w:u w:val="none"/>
                <w:vertAlign w:val="superscript"/>
                <w:lang w:val="en-US" w:eastAsia="zh-CN" w:bidi="ar"/>
              </w:rPr>
              <w:t>2</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难燃塑料线槽</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14*24（4分）</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双联单按钮开关</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10A  250V</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3扁  10A</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插座</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2+3带开关  10A</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配电箱</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含开关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底盒</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温控开关</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光管支架</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光管</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排气扇</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400厘</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应急灯</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防沙网及围栏</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室内</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角铁地极</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L5*50*2500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热缩绝缘防护套(室内)</w:t>
            </w:r>
          </w:p>
        </w:tc>
        <w:tc>
          <w:tcPr>
            <w:tcW w:w="1358"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户外电缆支架绝缘护套</w:t>
            </w:r>
          </w:p>
        </w:tc>
        <w:tc>
          <w:tcPr>
            <w:tcW w:w="1358" w:type="pct"/>
            <w:tcBorders>
              <w:tl2br w:val="nil"/>
              <w:tr2bl w:val="nil"/>
            </w:tcBorders>
            <w:shd w:val="clear" w:color="auto" w:fill="auto"/>
            <w:vAlign w:val="center"/>
          </w:tcPr>
          <w:p>
            <w:pPr>
              <w:spacing w:line="360" w:lineRule="auto"/>
              <w:jc w:val="left"/>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台班费</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电力变压器系统调试 10kV以下变压器</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(容量kV·A以下)1250</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36"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送配电装置系统调试 </w:t>
            </w:r>
          </w:p>
        </w:tc>
        <w:tc>
          <w:tcPr>
            <w:tcW w:w="1358" w:type="pct"/>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1kV以下</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交流供电 (综合）</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20"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送配电装置系统调试 </w:t>
            </w:r>
          </w:p>
        </w:tc>
        <w:tc>
          <w:tcPr>
            <w:tcW w:w="1358" w:type="pct"/>
            <w:tcBorders>
              <w:tl2br w:val="nil"/>
              <w:tr2bl w:val="nil"/>
            </w:tcBorders>
            <w:shd w:val="clear" w:color="auto" w:fill="auto"/>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10kV以下</w:t>
            </w:r>
          </w:p>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交流供电 (综合）</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母线系统调试 </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(1kV以下)</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母线系统调试 </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(10kV以下)</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段</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避雷器调试 </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(10kV以下)</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电容器调试</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 (1kV以下)</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629" w:type="pct"/>
            <w:tcBorders>
              <w:tl2br w:val="nil"/>
              <w:tr2bl w:val="nil"/>
            </w:tcBorders>
            <w:shd w:val="clear" w:color="auto" w:fill="auto"/>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调试 接地网</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系统</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交流耐试验</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10kV电缆</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回路</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局放试验</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10kV电缆</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回路</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油式变压器基础</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座</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室外电缆沟</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166.00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室内电缆沟</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集油池</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电缆保护管砌砖</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白铁防雨罩</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不锈钢防鼠板</w:t>
            </w:r>
          </w:p>
        </w:tc>
        <w:tc>
          <w:tcPr>
            <w:tcW w:w="1358" w:type="pct"/>
            <w:tcBorders>
              <w:tl2br w:val="nil"/>
              <w:tr2bl w:val="nil"/>
            </w:tcBorders>
            <w:shd w:val="clear" w:color="auto" w:fill="auto"/>
            <w:noWrap/>
            <w:vAlign w:val="center"/>
          </w:tcPr>
          <w:p>
            <w:pPr>
              <w:spacing w:line="360" w:lineRule="auto"/>
              <w:jc w:val="center"/>
              <w:rPr>
                <w:rFonts w:hint="eastAsia" w:ascii="宋体" w:hAnsi="宋体" w:eastAsia="宋体" w:cs="宋体"/>
                <w:i w:val="0"/>
                <w:iCs w:val="0"/>
                <w:color w:val="000000"/>
                <w:sz w:val="21"/>
                <w:szCs w:val="21"/>
                <w:u w:val="none"/>
              </w:rPr>
            </w:pP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r>
              <w:rPr>
                <w:rStyle w:val="61"/>
                <w:rFonts w:hint="eastAsia" w:ascii="宋体" w:hAnsi="宋体" w:eastAsia="宋体" w:cs="宋体"/>
                <w:sz w:val="21"/>
                <w:szCs w:val="21"/>
                <w:lang w:val="en-US" w:eastAsia="zh-CN" w:bidi="ar"/>
              </w:rPr>
              <w:t>2</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5.04</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99" w:hRule="atLeast"/>
        </w:trPr>
        <w:tc>
          <w:tcPr>
            <w:tcW w:w="271" w:type="pct"/>
            <w:tcBorders>
              <w:tl2br w:val="nil"/>
              <w:tr2bl w:val="nil"/>
            </w:tcBorders>
            <w:shd w:val="clear" w:color="FFFFFF" w:fill="FFFFFF"/>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629" w:type="pct"/>
            <w:tcBorders>
              <w:tl2br w:val="nil"/>
              <w:tr2bl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开挖混凝土路面及修复</w:t>
            </w:r>
          </w:p>
        </w:tc>
        <w:tc>
          <w:tcPr>
            <w:tcW w:w="1358"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（50公分以下）</w:t>
            </w:r>
          </w:p>
        </w:tc>
        <w:tc>
          <w:tcPr>
            <w:tcW w:w="434"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496" w:type="pct"/>
            <w:tcBorders>
              <w:tl2br w:val="nil"/>
              <w:tr2bl w:val="nil"/>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105.00</w:t>
            </w:r>
          </w:p>
        </w:tc>
        <w:tc>
          <w:tcPr>
            <w:tcW w:w="809" w:type="pct"/>
            <w:tcBorders>
              <w:tl2br w:val="nil"/>
              <w:tr2bl w:val="nil"/>
            </w:tcBorders>
            <w:shd w:val="clear" w:color="FFFFFF" w:fill="FFFFFF"/>
            <w:vAlign w:val="center"/>
          </w:tcPr>
          <w:p>
            <w:pPr>
              <w:spacing w:line="360" w:lineRule="auto"/>
              <w:jc w:val="center"/>
              <w:rPr>
                <w:rFonts w:hint="eastAsia" w:ascii="宋体" w:hAnsi="宋体" w:eastAsia="宋体" w:cs="宋体"/>
                <w:i w:val="0"/>
                <w:iCs w:val="0"/>
                <w:color w:val="000000"/>
                <w:sz w:val="21"/>
                <w:szCs w:val="21"/>
                <w:u w:val="none"/>
              </w:rPr>
            </w:pPr>
          </w:p>
        </w:tc>
      </w:tr>
      <w:bookmarkEnd w:id="401"/>
    </w:tbl>
    <w:p>
      <w:pPr>
        <w:keepNext w:val="0"/>
        <w:keepLines w:val="0"/>
        <w:pageBreakBefore w:val="0"/>
        <w:widowControl/>
        <w:kinsoku/>
        <w:wordWrap/>
        <w:overflowPunct/>
        <w:topLinePunct w:val="0"/>
        <w:autoSpaceDE/>
        <w:autoSpaceDN/>
        <w:bidi w:val="0"/>
        <w:adjustRightInd w:val="0"/>
        <w:snapToGrid w:val="0"/>
        <w:ind w:firstLine="420" w:firstLineChars="200"/>
        <w:jc w:val="left"/>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ind w:firstLine="420" w:firstLineChars="200"/>
        <w:jc w:val="left"/>
        <w:textAlignment w:val="auto"/>
        <w:outlineLvl w:val="9"/>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以上清单仅供参考，具体以实际安装数量为准。</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须根据现场情况，综合考虑项目包含的一切费用，自行制定服务方案</w:t>
      </w:r>
      <w:r>
        <w:rPr>
          <w:rFonts w:hint="eastAsia" w:ascii="宋体" w:hAnsi="宋体" w:eastAsia="宋体" w:cs="宋体"/>
          <w:color w:val="auto"/>
          <w:sz w:val="21"/>
          <w:szCs w:val="21"/>
          <w:highlight w:val="none"/>
          <w:lang w:eastAsia="zh-CN"/>
        </w:rPr>
        <w:t>。</w:t>
      </w:r>
    </w:p>
    <w:p>
      <w:pPr>
        <w:bidi w:val="0"/>
        <w:ind w:firstLine="420" w:firstLineChars="200"/>
        <w:rPr>
          <w:rFonts w:hint="eastAsia"/>
          <w:color w:val="auto"/>
          <w:highlight w:val="none"/>
          <w:lang w:eastAsia="zh-CN"/>
        </w:rPr>
      </w:pPr>
      <w:r>
        <w:rPr>
          <w:rFonts w:hint="eastAsia" w:hAnsi="宋体"/>
          <w:b w:val="0"/>
          <w:bCs/>
          <w:color w:val="auto"/>
          <w:sz w:val="21"/>
          <w:szCs w:val="21"/>
          <w:highlight w:val="none"/>
          <w:lang w:val="en-US" w:eastAsia="zh-CN"/>
        </w:rPr>
        <w:t>（</w:t>
      </w:r>
      <w:r>
        <w:rPr>
          <w:rFonts w:hint="eastAsia" w:ascii="宋体" w:hAnsi="宋体" w:cs="宋体"/>
          <w:color w:val="auto"/>
          <w:sz w:val="21"/>
          <w:szCs w:val="21"/>
          <w:highlight w:val="none"/>
          <w:lang w:val="en-US" w:eastAsia="zh-CN"/>
        </w:rPr>
        <w:t>2</w:t>
      </w:r>
      <w:r>
        <w:rPr>
          <w:rFonts w:hint="eastAsia" w:hAnsi="宋体"/>
          <w:b w:val="0"/>
          <w:bCs/>
          <w:color w:val="auto"/>
          <w:sz w:val="21"/>
          <w:szCs w:val="21"/>
          <w:highlight w:val="none"/>
          <w:lang w:val="en-US" w:eastAsia="zh-CN"/>
        </w:rPr>
        <w:t>）配置要求仅供供应商参考，涉及具体品牌、型号、产地的产品，仅作为项目质量水平与配置的参考，在不低于此基准的前提下，供应商可以同档次或更优的同类产品替代。</w:t>
      </w:r>
    </w:p>
    <w:p>
      <w:pPr>
        <w:rPr>
          <w:rFonts w:hint="eastAsia"/>
          <w:color w:val="auto"/>
          <w:highlight w:val="none"/>
        </w:rPr>
      </w:pPr>
    </w:p>
    <w:p>
      <w:pPr>
        <w:bidi w:val="0"/>
        <w:outlineLvl w:val="3"/>
        <w:rPr>
          <w:rFonts w:hint="eastAsia"/>
          <w:b/>
          <w:bCs/>
          <w:color w:val="auto"/>
          <w:sz w:val="24"/>
          <w:szCs w:val="24"/>
          <w:highlight w:val="none"/>
          <w:lang w:eastAsia="zh-CN"/>
        </w:rPr>
      </w:pPr>
      <w:bookmarkStart w:id="198" w:name="_Toc31278"/>
      <w:bookmarkStart w:id="199" w:name="_Toc24679"/>
      <w:bookmarkStart w:id="200" w:name="_Toc14462"/>
      <w:bookmarkStart w:id="201" w:name="_Toc13112"/>
      <w:r>
        <w:rPr>
          <w:rFonts w:hint="eastAsia"/>
          <w:b/>
          <w:bCs/>
          <w:color w:val="auto"/>
          <w:sz w:val="24"/>
          <w:szCs w:val="24"/>
          <w:highlight w:val="none"/>
          <w:lang w:val="en-US" w:eastAsia="zh-CN"/>
        </w:rPr>
        <w:t>二</w:t>
      </w:r>
      <w:r>
        <w:rPr>
          <w:rFonts w:hint="eastAsia"/>
          <w:b/>
          <w:bCs/>
          <w:color w:val="auto"/>
          <w:sz w:val="24"/>
          <w:szCs w:val="24"/>
          <w:highlight w:val="none"/>
          <w:lang w:eastAsia="zh-CN"/>
        </w:rPr>
        <w:t>、其它</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zh-CN"/>
        </w:rPr>
        <w:t>供应商</w:t>
      </w:r>
      <w:r>
        <w:rPr>
          <w:rFonts w:hint="eastAsia" w:ascii="宋体" w:hAnsi="宋体" w:eastAsia="宋体" w:cs="宋体"/>
          <w:color w:val="auto"/>
          <w:sz w:val="21"/>
          <w:szCs w:val="21"/>
          <w:highlight w:val="none"/>
          <w:lang w:val="zh-CN"/>
        </w:rPr>
        <w:t>应根据采购要求，在投标文件中提供切实可行的实施服务方案。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在供货安装过程中必须采取足够的安全措施，确保施工的安全，并自行负责相关安全责任。</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在安装过程中，如需对场地作局部破损，必须在供货安装实施前取得采购人的书面同意，并承诺负责恢复原状，采购人不另行支付任何费用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4、报价须包含货物购置费、运至采购人指定地点的运输费、装卸费、保管费、售后服务费，以及所有相关税金等。</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5、项目过程中所产生的废弃材料（如废弃土方等）须由</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按安装相关规定自行安排处理，采购方将不再另外支付相关费用。</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6、项目未尽事宜将在采购合同中另行约定，</w:t>
      </w:r>
      <w:r>
        <w:rPr>
          <w:rFonts w:hint="eastAsia" w:ascii="宋体" w:hAnsi="宋体" w:cs="宋体"/>
          <w:color w:val="auto"/>
          <w:sz w:val="21"/>
          <w:szCs w:val="21"/>
          <w:highlight w:val="none"/>
          <w:lang w:eastAsia="zh-CN"/>
        </w:rPr>
        <w:t>成交单位</w:t>
      </w:r>
      <w:r>
        <w:rPr>
          <w:rFonts w:hint="eastAsia" w:ascii="宋体" w:hAnsi="宋体" w:eastAsia="宋体" w:cs="宋体"/>
          <w:color w:val="auto"/>
          <w:sz w:val="21"/>
          <w:szCs w:val="21"/>
          <w:highlight w:val="none"/>
        </w:rPr>
        <w:t>需无条件同意采购单位基于为顺利完成本项目所提出的各项合理要求。</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7、项目清单为本次采购最低要求，各供应商可以自行优化供货计划，为本项目设计最优投标方案。</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8、承包人需到供电公司完成本</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的报建，施工资质审核，施工方案审核，报停电计划，项目图纸电子化移交，施工前安全技术交底，工作票签发和验收等，在施工过程中完成电力电缆的试验，保证通电且取得验收合格证, 并完成</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的移交工作及拆除材料移交入仓手续，此过程产生的一切费用由承包人承担。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9、在施工过程中完成自动化设备的调试、验收，此过程产生的一切费用由承包人承担。</w:t>
      </w:r>
    </w:p>
    <w:p>
      <w:pPr>
        <w:keepNext w:val="0"/>
        <w:keepLines w:val="0"/>
        <w:pageBreakBefore w:val="0"/>
        <w:widowControl/>
        <w:tabs>
          <w:tab w:val="left" w:pos="0"/>
        </w:tabs>
        <w:kinsoku/>
        <w:wordWrap/>
        <w:overflowPunct/>
        <w:topLinePunct w:val="0"/>
        <w:autoSpaceDE/>
        <w:autoSpaceDN/>
        <w:bidi w:val="0"/>
        <w:adjustRightInd w:val="0"/>
        <w:snapToGrid w:val="0"/>
        <w:spacing w:after="0" w:line="360" w:lineRule="auto"/>
        <w:ind w:firstLine="210" w:firstLineChars="100"/>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★10、</w:t>
      </w:r>
      <w:r>
        <w:rPr>
          <w:rFonts w:hint="eastAsia" w:ascii="宋体" w:hAnsi="宋体" w:eastAsia="宋体" w:cs="宋体"/>
          <w:color w:val="auto"/>
          <w:sz w:val="21"/>
          <w:szCs w:val="21"/>
          <w:highlight w:val="none"/>
          <w:shd w:val="clear" w:color="auto" w:fill="auto"/>
          <w:lang w:val="en-US" w:eastAsia="zh-CN"/>
        </w:rPr>
        <w:t>中标后</w:t>
      </w:r>
      <w:r>
        <w:rPr>
          <w:rFonts w:hint="eastAsia" w:ascii="宋体" w:hAnsi="宋体" w:cs="宋体"/>
          <w:color w:val="auto"/>
          <w:sz w:val="21"/>
          <w:szCs w:val="21"/>
          <w:highlight w:val="none"/>
          <w:shd w:val="clear" w:color="auto" w:fill="auto"/>
          <w:lang w:val="en-US" w:eastAsia="zh-CN"/>
        </w:rPr>
        <w:t>成交单位</w:t>
      </w:r>
      <w:r>
        <w:rPr>
          <w:rFonts w:hint="eastAsia" w:ascii="宋体" w:hAnsi="宋体" w:eastAsia="宋体" w:cs="宋体"/>
          <w:color w:val="auto"/>
          <w:sz w:val="21"/>
          <w:szCs w:val="21"/>
          <w:highlight w:val="none"/>
          <w:shd w:val="clear" w:color="auto" w:fill="auto"/>
          <w:lang w:val="en-US" w:eastAsia="zh-CN"/>
        </w:rPr>
        <w:t>须到当地主管部门进行项目施工备案</w:t>
      </w:r>
      <w:r>
        <w:rPr>
          <w:rFonts w:hint="eastAsia" w:ascii="宋体" w:hAnsi="宋体" w:eastAsia="宋体" w:cs="宋体"/>
          <w:color w:val="auto"/>
          <w:sz w:val="21"/>
          <w:szCs w:val="21"/>
          <w:highlight w:val="none"/>
          <w:shd w:val="clear" w:color="auto" w:fill="auto"/>
        </w:rPr>
        <w:t>。</w:t>
      </w:r>
    </w:p>
    <w:p>
      <w:pPr>
        <w:numPr>
          <w:ilvl w:val="0"/>
          <w:numId w:val="20"/>
        </w:numPr>
        <w:spacing w:after="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招标文件的技术规格中指出的工艺、材料和设备的标准以及参照的品牌或型号仅起说明作用，并没有任何限制性。</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在投标中可以选用替代标准、品牌或型号，但这些替代要实质上满足或超过招标文件的要求。项目评审时，由评标委员会负责对</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提供的替代标准、品牌或型号的响应性进行审查。</w:t>
      </w:r>
    </w:p>
    <w:p>
      <w:pPr>
        <w:bidi w:val="0"/>
        <w:rPr>
          <w:color w:val="auto"/>
          <w:highlight w:val="none"/>
        </w:rPr>
      </w:pPr>
    </w:p>
    <w:p>
      <w:pPr>
        <w:spacing w:after="0" w:line="360" w:lineRule="auto"/>
        <w:ind w:firstLine="422" w:firstLineChars="200"/>
        <w:rPr>
          <w:rFonts w:hint="eastAsia"/>
          <w:color w:val="auto"/>
          <w:sz w:val="28"/>
          <w:szCs w:val="28"/>
          <w:highlight w:val="none"/>
        </w:rPr>
      </w:pPr>
      <w:r>
        <w:rPr>
          <w:rFonts w:hint="eastAsia" w:ascii="宋体" w:hAnsi="宋体" w:eastAsia="宋体" w:cs="Times New Roman"/>
          <w:b/>
          <w:bCs/>
          <w:color w:val="auto"/>
          <w:sz w:val="21"/>
          <w:szCs w:val="21"/>
          <w:highlight w:val="none"/>
        </w:rPr>
        <w:t>注：不满足</w:t>
      </w:r>
      <w:r>
        <w:rPr>
          <w:rFonts w:hint="eastAsia" w:ascii="宋体" w:hAnsi="宋体" w:cs="Times New Roman"/>
          <w:b/>
          <w:bCs/>
          <w:color w:val="auto"/>
          <w:sz w:val="21"/>
          <w:szCs w:val="21"/>
          <w:highlight w:val="none"/>
          <w:lang w:eastAsia="zh-CN"/>
        </w:rPr>
        <w:t>磋商文件</w:t>
      </w:r>
      <w:r>
        <w:rPr>
          <w:rFonts w:hint="eastAsia" w:ascii="宋体" w:hAnsi="宋体" w:eastAsia="宋体" w:cs="Times New Roman"/>
          <w:b/>
          <w:bCs/>
          <w:color w:val="auto"/>
          <w:sz w:val="21"/>
          <w:szCs w:val="21"/>
          <w:highlight w:val="none"/>
        </w:rPr>
        <w:t>中 “★”条款的</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将作无效</w:t>
      </w:r>
      <w:r>
        <w:rPr>
          <w:rFonts w:hint="eastAsia" w:ascii="宋体" w:hAnsi="宋体" w:cs="Times New Roman"/>
          <w:b/>
          <w:bCs/>
          <w:color w:val="auto"/>
          <w:sz w:val="21"/>
          <w:szCs w:val="21"/>
          <w:highlight w:val="none"/>
          <w:lang w:eastAsia="zh-CN"/>
        </w:rPr>
        <w:t>响应文件</w:t>
      </w:r>
      <w:r>
        <w:rPr>
          <w:rFonts w:hint="eastAsia" w:ascii="宋体" w:hAnsi="宋体" w:eastAsia="宋体" w:cs="Times New Roman"/>
          <w:b/>
          <w:bCs/>
          <w:color w:val="auto"/>
          <w:sz w:val="21"/>
          <w:szCs w:val="21"/>
          <w:highlight w:val="none"/>
        </w:rPr>
        <w:t>处理。</w:t>
      </w:r>
      <w:bookmarkEnd w:id="198"/>
      <w:bookmarkEnd w:id="199"/>
      <w:bookmarkEnd w:id="200"/>
      <w:bookmarkEnd w:id="201"/>
    </w:p>
    <w:p>
      <w:pPr>
        <w:rPr>
          <w:color w:val="auto"/>
          <w:highlight w:val="none"/>
        </w:rPr>
      </w:pPr>
    </w:p>
    <w:p>
      <w:pPr>
        <w:bidi w:val="0"/>
        <w:rPr>
          <w:rFonts w:hint="eastAsia"/>
          <w:color w:val="auto"/>
          <w:highlight w:val="none"/>
        </w:rPr>
      </w:pPr>
    </w:p>
    <w:p>
      <w:pPr>
        <w:rPr>
          <w:rFonts w:hint="eastAsia"/>
          <w:color w:val="auto"/>
          <w:sz w:val="28"/>
          <w:szCs w:val="28"/>
          <w:highlight w:val="none"/>
        </w:rPr>
      </w:pPr>
      <w:bookmarkStart w:id="202" w:name="_Toc17329"/>
      <w:r>
        <w:rPr>
          <w:rFonts w:hint="eastAsia"/>
          <w:color w:val="auto"/>
          <w:sz w:val="28"/>
          <w:szCs w:val="28"/>
          <w:highlight w:val="none"/>
        </w:rPr>
        <w:br w:type="page"/>
      </w:r>
    </w:p>
    <w:p>
      <w:pPr>
        <w:pStyle w:val="4"/>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95"/>
      <w:bookmarkEnd w:id="196"/>
      <w:bookmarkEnd w:id="202"/>
      <w:bookmarkStart w:id="203" w:name="_Toc1534"/>
      <w:bookmarkStart w:id="204" w:name="_Toc21155"/>
      <w:bookmarkStart w:id="205" w:name="_Toc13430"/>
    </w:p>
    <w:p>
      <w:pPr>
        <w:pStyle w:val="5"/>
        <w:spacing w:before="0" w:after="0" w:line="240" w:lineRule="auto"/>
        <w:jc w:val="center"/>
        <w:rPr>
          <w:rFonts w:ascii="宋体" w:hAnsi="宋体" w:eastAsia="宋体" w:cs="宋体"/>
          <w:color w:val="auto"/>
          <w:highlight w:val="none"/>
        </w:rPr>
      </w:pPr>
      <w:bookmarkStart w:id="206" w:name="_Toc19575"/>
      <w:bookmarkStart w:id="207" w:name="_Toc16730"/>
      <w:bookmarkStart w:id="208" w:name="_Toc29470"/>
      <w:r>
        <w:rPr>
          <w:rFonts w:hint="eastAsia" w:ascii="宋体" w:hAnsi="宋体" w:eastAsia="宋体" w:cs="宋体"/>
          <w:color w:val="auto"/>
          <w:highlight w:val="none"/>
        </w:rPr>
        <w:t>合同格式</w:t>
      </w:r>
      <w:bookmarkEnd w:id="203"/>
      <w:bookmarkEnd w:id="204"/>
      <w:bookmarkEnd w:id="205"/>
      <w:bookmarkEnd w:id="206"/>
      <w:bookmarkEnd w:id="207"/>
      <w:bookmarkEnd w:id="208"/>
    </w:p>
    <w:p>
      <w:pPr>
        <w:widowControl/>
        <w:adjustRightInd w:val="0"/>
        <w:snapToGrid w:val="0"/>
        <w:spacing w:after="200" w:line="420" w:lineRule="atLeast"/>
        <w:ind w:right="56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合同编号：</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w:t>
      </w:r>
    </w:p>
    <w:p>
      <w:pPr>
        <w:widowControl/>
        <w:adjustRightInd w:val="0"/>
        <w:snapToGrid w:val="0"/>
        <w:spacing w:after="200" w:line="420" w:lineRule="atLeast"/>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乙方：“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受甲方委托，</w:t>
      </w:r>
      <w:r>
        <w:rPr>
          <w:rFonts w:hint="eastAsia" w:ascii="宋体" w:hAnsi="宋体" w:eastAsia="宋体" w:cs="宋体"/>
          <w:color w:val="auto"/>
          <w:kern w:val="0"/>
          <w:sz w:val="21"/>
          <w:szCs w:val="21"/>
          <w:highlight w:val="none"/>
          <w:u w:val="single"/>
        </w:rPr>
        <w:t xml:space="preserve">           (采购代理机构)</w:t>
      </w:r>
      <w:r>
        <w:rPr>
          <w:rFonts w:hint="eastAsia" w:ascii="宋体" w:hAnsi="宋体" w:eastAsia="宋体" w:cs="宋体"/>
          <w:color w:val="auto"/>
          <w:kern w:val="0"/>
          <w:sz w:val="21"/>
          <w:szCs w:val="21"/>
          <w:highlight w:val="none"/>
        </w:rPr>
        <w:t>组织对</w:t>
      </w:r>
      <w:r>
        <w:rPr>
          <w:rFonts w:hint="eastAsia" w:ascii="宋体" w:hAnsi="宋体" w:eastAsia="宋体" w:cs="宋体"/>
          <w:color w:val="auto"/>
          <w:kern w:val="0"/>
          <w:sz w:val="21"/>
          <w:szCs w:val="21"/>
          <w:highlight w:val="none"/>
          <w:u w:val="single"/>
        </w:rPr>
        <w:t xml:space="preserve">         （项目名称）</w:t>
      </w:r>
      <w:r>
        <w:rPr>
          <w:rFonts w:hint="eastAsia" w:ascii="宋体" w:hAnsi="宋体" w:eastAsia="宋体" w:cs="宋体"/>
          <w:color w:val="auto"/>
          <w:kern w:val="0"/>
          <w:sz w:val="21"/>
          <w:szCs w:val="21"/>
          <w:highlight w:val="none"/>
        </w:rPr>
        <w:t>采购项目（采购编号为</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）进行采购，于</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月</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日通过磋商，经磋商小组评定乙方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为成交单位。为了保护甲、乙双方合法权益，根据《中华人民共和国政府采购法》及其实施条例、《中华人民共和国民法典》，在平等自愿的基础上，按照下面的条款和条件，签署本合同。</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第一条 合同项目</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1、项目名称：                              ；</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2、采购编号：                   。</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第二条 合同组成</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1、合同文件组成内容包括：本合同书 、成交通知书、响应文件（含澄清内容）、磋商文件（含磋商文件澄清通知）等。</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第三条 服务内容、标准及要求</w:t>
      </w:r>
    </w:p>
    <w:p>
      <w:pPr>
        <w:widowControl/>
        <w:adjustRightInd w:val="0"/>
        <w:snapToGrid w:val="0"/>
        <w:spacing w:line="360" w:lineRule="auto"/>
        <w:jc w:val="left"/>
        <w:rPr>
          <w:rFonts w:ascii="宋体" w:hAnsi="宋体" w:eastAsia="宋体" w:cs="宋体"/>
          <w:color w:val="auto"/>
          <w:sz w:val="21"/>
          <w:szCs w:val="21"/>
          <w:highlight w:val="none"/>
          <w:u w:val="single"/>
          <w:shd w:val="clear" w:color="auto" w:fill="FFFFFF"/>
        </w:rPr>
      </w:pPr>
      <w:r>
        <w:rPr>
          <w:rFonts w:hint="eastAsia" w:ascii="宋体" w:hAnsi="宋体" w:eastAsia="宋体" w:cs="宋体"/>
          <w:color w:val="auto"/>
          <w:kern w:val="0"/>
          <w:sz w:val="21"/>
          <w:szCs w:val="21"/>
          <w:highlight w:val="none"/>
          <w:shd w:val="clear" w:color="auto" w:fill="FFFFFF"/>
        </w:rPr>
        <w:t>1、采购内容：</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2、采购标准：</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3、采购要求：</w:t>
      </w:r>
      <w:r>
        <w:rPr>
          <w:rFonts w:hint="eastAsia" w:ascii="宋体" w:hAnsi="宋体" w:eastAsia="宋体" w:cs="宋体"/>
          <w:color w:val="auto"/>
          <w:kern w:val="0"/>
          <w:sz w:val="21"/>
          <w:szCs w:val="21"/>
          <w:highlight w:val="none"/>
          <w:u w:val="single"/>
          <w:shd w:val="clear" w:color="auto" w:fill="FFFFFF"/>
        </w:rPr>
        <w:t xml:space="preserve">                                                              。</w:t>
      </w:r>
    </w:p>
    <w:p>
      <w:pPr>
        <w:widowControl/>
        <w:adjustRightInd w:val="0"/>
        <w:snapToGrid w:val="0"/>
        <w:spacing w:line="360" w:lineRule="auto"/>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4、具体采购内容采购标准及要求以磋商文件用户需求书及乙方响应文件承诺条款及方案为准。</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第四条 价格</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1、合同总价包含：人工费、材料费、设备使用费、各种税费、保险费及合同实施过程中的不可预见费用等全部费用，按本次招标范围及成交价一次包干，结算时不作调整。</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2、合同总价：（人民币）大写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pPr>
        <w:widowControl/>
        <w:adjustRightInd w:val="0"/>
        <w:snapToGrid w:val="0"/>
        <w:spacing w:line="360" w:lineRule="auto"/>
        <w:ind w:firstLine="399" w:firstLineChars="19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3、本合同价为固定不变价。</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第五条 服务期限及地点</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1、服务期：  年，合同生效之日自       年  月  日至     年  月  日止。</w:t>
      </w:r>
    </w:p>
    <w:p>
      <w:pPr>
        <w:widowControl/>
        <w:adjustRightInd w:val="0"/>
        <w:snapToGrid w:val="0"/>
        <w:spacing w:line="360" w:lineRule="auto"/>
        <w:ind w:firstLine="495" w:firstLineChars="236"/>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2、服务地点：              或甲方指定地点。</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第六条 付款方式</w:t>
      </w:r>
    </w:p>
    <w:p>
      <w:pPr>
        <w:pStyle w:val="2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1、本合同的付款方式为：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cs="宋体"/>
          <w:b/>
          <w:color w:val="auto"/>
          <w:sz w:val="21"/>
          <w:szCs w:val="21"/>
          <w:highlight w:val="none"/>
        </w:rPr>
      </w:pPr>
      <w:r>
        <w:rPr>
          <w:rFonts w:hint="eastAsia" w:ascii="宋体" w:hAnsi="宋体" w:eastAsia="宋体" w:cs="宋体"/>
          <w:b/>
          <w:color w:val="auto"/>
          <w:kern w:val="0"/>
          <w:sz w:val="21"/>
          <w:szCs w:val="21"/>
          <w:highlight w:val="none"/>
        </w:rPr>
        <w:t>第七条 竣工与验收</w:t>
      </w:r>
    </w:p>
    <w:p>
      <w:pPr>
        <w:pStyle w:val="20"/>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文件及本合同的有关规定制定的方案进行验收，并按国家有关规定、规范进行。</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w:t>
      </w:r>
      <w:r>
        <w:rPr>
          <w:rFonts w:hint="eastAsia" w:ascii="宋体" w:hAnsi="宋体" w:eastAsia="宋体" w:cs="Times New Roman"/>
          <w:color w:val="auto"/>
          <w:sz w:val="21"/>
          <w:szCs w:val="21"/>
          <w:highlight w:val="none"/>
        </w:rPr>
        <w:t>与验收。</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3、对验收不合格的部分，乙方应在甲方规定时间内及时整改完善直至合格。</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4、乙方</w:t>
      </w:r>
      <w:r>
        <w:rPr>
          <w:rFonts w:hint="eastAsia" w:ascii="宋体" w:hAnsi="宋体" w:eastAsia="宋体" w:cs="Times New Roman"/>
          <w:color w:val="auto"/>
          <w:sz w:val="21"/>
          <w:szCs w:val="21"/>
          <w:highlight w:val="none"/>
        </w:rPr>
        <w:t>保证向</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提供的所有设计文件均自主设计的，不存在知识产权方面的纠纷。</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5、乙方的</w:t>
      </w:r>
      <w:r>
        <w:rPr>
          <w:rFonts w:hint="eastAsia" w:ascii="宋体" w:hAnsi="宋体" w:eastAsia="宋体" w:cs="Times New Roman"/>
          <w:color w:val="auto"/>
          <w:sz w:val="21"/>
          <w:szCs w:val="21"/>
          <w:highlight w:val="none"/>
        </w:rPr>
        <w:t>设计文件应达到一定的高度、深度和广度，应严格按照</w:t>
      </w:r>
      <w:r>
        <w:rPr>
          <w:rFonts w:hint="eastAsia" w:ascii="宋体" w:hAnsi="宋体" w:eastAsia="宋体" w:cs="Times New Roman"/>
          <w:color w:val="auto"/>
          <w:sz w:val="21"/>
          <w:szCs w:val="21"/>
          <w:highlight w:val="none"/>
          <w:lang w:val="en-US" w:eastAsia="zh-CN"/>
        </w:rPr>
        <w:t>采购</w:t>
      </w:r>
      <w:r>
        <w:rPr>
          <w:rFonts w:hint="eastAsia" w:ascii="宋体" w:hAnsi="宋体" w:eastAsia="宋体" w:cs="Times New Roman"/>
          <w:color w:val="auto"/>
          <w:sz w:val="21"/>
          <w:szCs w:val="21"/>
          <w:highlight w:val="none"/>
        </w:rPr>
        <w:t>文件的内容、规模和要求进行设计。设计中必须贯彻 “完整性、统一性、先进性”和“经济、高效、安全”的基本原则，同时应充分考虑智慧道路路网的整体智慧需求及前沿技术的应用。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设计中引用、套用国家和部颁相关专业的设计规范、标准及新的相关专业的技术标准和要求时，应准确引用和套用。</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设计文件达到的深度应能全面指导施工。设计说明内容应包括各项设计图纸，设计依据、设计范围、建设地点及现有道路现状等，并说明本工程需要配合及注意解决的问题、并附主要设备及材料表，说明内容应全面。</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8、乙方的</w:t>
      </w:r>
      <w:r>
        <w:rPr>
          <w:rFonts w:hint="eastAsia" w:ascii="宋体" w:hAnsi="宋体" w:eastAsia="宋体" w:cs="Times New Roman"/>
          <w:color w:val="auto"/>
          <w:sz w:val="21"/>
          <w:szCs w:val="21"/>
          <w:highlight w:val="none"/>
        </w:rPr>
        <w:t>设计文件应对施工中的安全注意事项进行说明。</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9、乙方的</w:t>
      </w:r>
      <w:r>
        <w:rPr>
          <w:rFonts w:hint="eastAsia" w:ascii="宋体" w:hAnsi="宋体" w:eastAsia="宋体" w:cs="Times New Roman"/>
          <w:color w:val="auto"/>
          <w:sz w:val="21"/>
          <w:szCs w:val="21"/>
          <w:highlight w:val="none"/>
        </w:rPr>
        <w:t>设计文件的编印应符合规范化、标准化的要求，包括：设计说明书页张篇幅及各号图纸大小篇幅应符合国家标准规定尺寸；设计文件册的封面必须能表示出工程设计项目的全名、分册编号及工程名称。设计文件的分册由</w:t>
      </w:r>
      <w:r>
        <w:rPr>
          <w:rFonts w:hint="eastAsia" w:ascii="宋体" w:hAnsi="宋体" w:eastAsia="宋体" w:cs="Times New Roman"/>
          <w:color w:val="auto"/>
          <w:sz w:val="21"/>
          <w:szCs w:val="21"/>
          <w:highlight w:val="none"/>
          <w:lang w:val="en-US" w:eastAsia="zh-CN"/>
        </w:rPr>
        <w:t>甲乙双方</w:t>
      </w:r>
      <w:r>
        <w:rPr>
          <w:rFonts w:hint="eastAsia" w:ascii="宋体" w:hAnsi="宋体" w:eastAsia="宋体" w:cs="Times New Roman"/>
          <w:color w:val="auto"/>
          <w:sz w:val="21"/>
          <w:szCs w:val="21"/>
          <w:highlight w:val="none"/>
        </w:rPr>
        <w:t>协商后决定。</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10、乙方</w:t>
      </w:r>
      <w:r>
        <w:rPr>
          <w:rFonts w:hint="eastAsia" w:ascii="宋体" w:hAnsi="宋体" w:eastAsia="宋体" w:cs="Times New Roman"/>
          <w:color w:val="auto"/>
          <w:sz w:val="21"/>
          <w:szCs w:val="21"/>
          <w:highlight w:val="none"/>
        </w:rPr>
        <w:t>设计文件的编制和装订应利于</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归档保存及保养。</w:t>
      </w:r>
    </w:p>
    <w:p>
      <w:pPr>
        <w:pStyle w:val="20"/>
        <w:spacing w:line="360" w:lineRule="auto"/>
        <w:ind w:firstLine="48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11、</w:t>
      </w:r>
      <w:r>
        <w:rPr>
          <w:rFonts w:hint="eastAsia" w:ascii="宋体" w:hAnsi="宋体" w:eastAsia="宋体" w:cs="Times New Roman"/>
          <w:color w:val="auto"/>
          <w:sz w:val="21"/>
          <w:szCs w:val="21"/>
          <w:highlight w:val="none"/>
        </w:rPr>
        <w:t>接到设计任务后，按合同要求工期完成初步设计及施工图设计,并通过</w:t>
      </w:r>
      <w:r>
        <w:rPr>
          <w:rFonts w:hint="eastAsia" w:ascii="宋体" w:hAnsi="宋体" w:eastAsia="宋体" w:cs="Times New Roman"/>
          <w:color w:val="auto"/>
          <w:sz w:val="21"/>
          <w:szCs w:val="21"/>
          <w:highlight w:val="none"/>
          <w:lang w:val="en-US" w:eastAsia="zh-CN"/>
        </w:rPr>
        <w:t>甲方</w:t>
      </w:r>
      <w:r>
        <w:rPr>
          <w:rFonts w:hint="eastAsia" w:ascii="宋体" w:hAnsi="宋体" w:eastAsia="宋体" w:cs="Times New Roman"/>
          <w:color w:val="auto"/>
          <w:sz w:val="21"/>
          <w:szCs w:val="21"/>
          <w:highlight w:val="none"/>
        </w:rPr>
        <w:t>审核确认。</w:t>
      </w:r>
    </w:p>
    <w:p>
      <w:pPr>
        <w:widowControl/>
        <w:adjustRightInd w:val="0"/>
        <w:snapToGrid w:val="0"/>
        <w:spacing w:line="360" w:lineRule="auto"/>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第八条 税和关税</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1、中国政府根据现行税法对甲方征收的与本合同有关的一切税费均应由甲方承担。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2、中国政府根据现行税法规定对乙方或其雇员征收的与本合同有关的一切税费应由乙方承担。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3、在中国境外发生的与本合同执行有关的一切税费均应由乙方承担。</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第九条 其它约定</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1、严禁转包，未经甲方书面同意不得分包。</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2、乙方全部工作人员，须符合东莞市政府用工标准要求。</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3、乙方服务人员进行服务期间的过失或故意行为，造成甲方经济损失的，由乙方负责赔偿。</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4、服务人员的劳动关系隶属乙方，乙方负责服务人员的工资、节假日和超时加班补助费、社会保险、住宿、伙食等。</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5、乙方负责本项目服务人员购买因意外身故或伤残和因意外事故住院治疗保险，并负责办理一切保险赔偿手续。</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第十条 违约责任</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1、合同双方任何一方不履行合同条款或不按合同约定履行条款的其它情况，均属违约，由违约方承担违约责任，赔偿因其违约造成的损失，并支付合同价款总额   %的违约金。</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2、由于乙方的原因，导致双方签订的合同终止，乙方因此而遭受的损失，将由乙方独立承担，甲方对此不负任何责任，也不作任何赔偿。</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第十一条 争议的解决</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1、凡与本合同有关而引起的一切争议，甲乙双方应首先通过友好协商解决，如经协商后仍不能达成协议时，任何一方可以向甲方所在地人民法院提出诉讼。</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2、本合同发生的诉讼管辖地为东莞市有管辖权的法院。</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3、在进行法院审理期间，除提交法院审理的事项外，合同其他部分仍继续履行。</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4、本合同按照中华人民共和国的法律进行解释。</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第十二条 合同生效</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1、本合同由双方法定代表人或委托代理人签字盖章后立即生效，具有同等法律效力，合同有效期随服务期结束而自然终止。</w:t>
      </w:r>
    </w:p>
    <w:p>
      <w:pPr>
        <w:widowControl/>
        <w:adjustRightInd w:val="0"/>
        <w:snapToGrid w:val="0"/>
        <w:spacing w:line="360" w:lineRule="auto"/>
        <w:ind w:firstLine="420" w:firstLineChars="200"/>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2、本合同一式    份，其中甲方    份、乙方    份，采购代理机构 壹 份（须在合同签订之日起7个工作日内递交）。</w:t>
      </w:r>
    </w:p>
    <w:p>
      <w:pPr>
        <w:widowControl/>
        <w:adjustRightInd w:val="0"/>
        <w:snapToGrid w:val="0"/>
        <w:spacing w:line="360" w:lineRule="auto"/>
        <w:ind w:firstLine="422" w:firstLineChars="200"/>
        <w:jc w:val="left"/>
        <w:rPr>
          <w:rFonts w:ascii="宋体" w:hAnsi="宋体" w:eastAsia="宋体" w:cs="宋体"/>
          <w:b/>
          <w:color w:val="auto"/>
          <w:kern w:val="0"/>
          <w:sz w:val="21"/>
          <w:szCs w:val="21"/>
          <w:highlight w:val="none"/>
        </w:rPr>
      </w:pPr>
    </w:p>
    <w:p>
      <w:pPr>
        <w:widowControl/>
        <w:adjustRightInd w:val="0"/>
        <w:snapToGrid w:val="0"/>
        <w:spacing w:line="360" w:lineRule="auto"/>
        <w:ind w:firstLine="422" w:firstLineChars="200"/>
        <w:jc w:val="left"/>
        <w:rPr>
          <w:rFonts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第十三条 其它</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1、本合同未尽事宜，双方可签订补充合同，补充合同与所有附件均为合同的有效组成部分，与本合同具有同等法律效力。</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widowControl/>
        <w:adjustRightInd w:val="0"/>
        <w:snapToGrid w:val="0"/>
        <w:spacing w:line="360" w:lineRule="auto"/>
        <w:ind w:firstLine="420" w:firstLineChars="200"/>
        <w:jc w:val="left"/>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本合同合计   页A4纸张，缺页之合同为无效合同。</w:t>
      </w:r>
    </w:p>
    <w:p>
      <w:pPr>
        <w:pStyle w:val="2"/>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以下无正文</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甲方（盖章）：                      乙方（盖章）：</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法定代表(签字)：                   法定代表(签字)：</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地址：                             地址： </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电话：                             电话：</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传真：</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传真：</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开户银行：</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开户银行：</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账号：                             账号：</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签约时间：</w:t>
      </w:r>
    </w:p>
    <w:p>
      <w:pPr>
        <w:widowControl/>
        <w:adjustRightInd w:val="0"/>
        <w:snapToGrid w:val="0"/>
        <w:spacing w:line="360" w:lineRule="auto"/>
        <w:jc w:val="left"/>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签约地点：</w:t>
      </w:r>
    </w:p>
    <w:p>
      <w:pPr>
        <w:rPr>
          <w:rFonts w:ascii="宋体" w:hAnsi="宋体" w:eastAsia="宋体"/>
          <w:b/>
          <w:color w:val="auto"/>
          <w:sz w:val="21"/>
          <w:szCs w:val="21"/>
          <w:highlight w:val="none"/>
        </w:rPr>
      </w:pP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此仅为合同书样本，成交供应商需根据实际情况和甲方签订相应的合同！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4"/>
        <w:spacing w:before="0" w:after="0" w:line="240" w:lineRule="auto"/>
        <w:rPr>
          <w:color w:val="auto"/>
          <w:sz w:val="28"/>
          <w:szCs w:val="28"/>
          <w:highlight w:val="none"/>
        </w:rPr>
      </w:pPr>
      <w:bookmarkStart w:id="209" w:name="_Toc15158"/>
      <w:bookmarkStart w:id="210" w:name="_Toc31587"/>
      <w:bookmarkStart w:id="211" w:name="_Toc23749"/>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 xml:space="preserve">部分  </w:t>
      </w:r>
      <w:r>
        <w:rPr>
          <w:rFonts w:hint="eastAsia"/>
          <w:color w:val="auto"/>
          <w:sz w:val="28"/>
          <w:szCs w:val="28"/>
          <w:highlight w:val="none"/>
          <w:lang w:eastAsia="zh-CN"/>
        </w:rPr>
        <w:t>响应文件</w:t>
      </w:r>
      <w:r>
        <w:rPr>
          <w:rFonts w:hint="eastAsia"/>
          <w:color w:val="auto"/>
          <w:sz w:val="28"/>
          <w:szCs w:val="28"/>
          <w:highlight w:val="none"/>
        </w:rPr>
        <w:t>格式</w:t>
      </w:r>
      <w:bookmarkEnd w:id="209"/>
      <w:bookmarkEnd w:id="210"/>
      <w:bookmarkEnd w:id="211"/>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2" w:name="_Toc2434"/>
      <w:bookmarkStart w:id="213" w:name="_Toc6790"/>
      <w:bookmarkStart w:id="214" w:name="_Toc26830"/>
      <w:r>
        <w:rPr>
          <w:rFonts w:hint="eastAsia"/>
          <w:color w:val="auto"/>
          <w:highlight w:val="none"/>
          <w:lang w:eastAsia="zh-CN"/>
        </w:rPr>
        <w:t>响应文件</w:t>
      </w:r>
      <w:r>
        <w:rPr>
          <w:rFonts w:hint="eastAsia"/>
          <w:color w:val="auto"/>
          <w:highlight w:val="none"/>
        </w:rPr>
        <w:t>目录</w:t>
      </w:r>
      <w:bookmarkEnd w:id="212"/>
      <w:bookmarkEnd w:id="213"/>
      <w:bookmarkEnd w:id="214"/>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15" w:name="_Toc25502"/>
      <w:bookmarkStart w:id="216" w:name="_Toc18893"/>
      <w:bookmarkStart w:id="217" w:name="_Toc28116"/>
      <w:r>
        <w:rPr>
          <w:rFonts w:hint="eastAsia"/>
          <w:color w:val="auto"/>
          <w:highlight w:val="none"/>
        </w:rPr>
        <w:t>评分标准索引表</w:t>
      </w:r>
      <w:bookmarkEnd w:id="215"/>
      <w:bookmarkEnd w:id="216"/>
      <w:bookmarkEnd w:id="217"/>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highlight w:val="none"/>
              </w:rPr>
            </w:pPr>
          </w:p>
        </w:tc>
        <w:tc>
          <w:tcPr>
            <w:tcW w:w="5028" w:type="dxa"/>
            <w:noWrap w:val="0"/>
            <w:vAlign w:val="center"/>
          </w:tcPr>
          <w:p>
            <w:pPr>
              <w:pStyle w:val="29"/>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21"/>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可按实际情况自行制订评分标准索引表。</w:t>
      </w:r>
    </w:p>
    <w:p>
      <w:pPr>
        <w:pStyle w:val="2"/>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18" w:name="_Toc22080"/>
      <w:bookmarkStart w:id="219" w:name="_Toc19057"/>
      <w:bookmarkStart w:id="220" w:name="_Toc30640"/>
      <w:r>
        <w:rPr>
          <w:rFonts w:hint="eastAsia"/>
          <w:color w:val="auto"/>
          <w:highlight w:val="none"/>
          <w:lang w:val="en-US" w:eastAsia="zh-CN"/>
        </w:rPr>
        <w:t>第一章价格文件</w:t>
      </w:r>
      <w:bookmarkEnd w:id="218"/>
      <w:bookmarkEnd w:id="219"/>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9262"/>
      <w:bookmarkStart w:id="222" w:name="_Toc4168"/>
      <w:r>
        <w:rPr>
          <w:rFonts w:hint="eastAsia"/>
          <w:color w:val="auto"/>
          <w:highlight w:val="none"/>
          <w:lang w:val="en-US" w:eastAsia="zh-CN"/>
        </w:rPr>
        <w:t>一、报价一览表</w:t>
      </w:r>
      <w:bookmarkEnd w:id="221"/>
      <w:bookmarkEnd w:id="222"/>
    </w:p>
    <w:p>
      <w:pPr>
        <w:spacing w:line="360" w:lineRule="auto"/>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注：1、</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总价栏须</w:t>
      </w:r>
      <w:r>
        <w:rPr>
          <w:rFonts w:ascii="宋体" w:hAnsi="宋体" w:eastAsia="宋体"/>
          <w:color w:val="auto"/>
          <w:sz w:val="21"/>
          <w:szCs w:val="21"/>
          <w:highlight w:val="none"/>
        </w:rPr>
        <w:t>用</w:t>
      </w:r>
      <w:r>
        <w:rPr>
          <w:rFonts w:hint="eastAsia" w:ascii="宋体" w:hAnsi="宋体" w:eastAsia="宋体"/>
          <w:color w:val="auto"/>
          <w:sz w:val="21"/>
          <w:szCs w:val="21"/>
          <w:highlight w:val="none"/>
        </w:rPr>
        <w:t>大写金额和小写金额两种方式</w:t>
      </w:r>
      <w:r>
        <w:rPr>
          <w:rFonts w:ascii="宋体" w:hAnsi="宋体" w:eastAsia="宋体"/>
          <w:color w:val="auto"/>
          <w:sz w:val="21"/>
          <w:szCs w:val="21"/>
          <w:highlight w:val="none"/>
        </w:rPr>
        <w:t>表示的</w:t>
      </w:r>
      <w:r>
        <w:rPr>
          <w:rFonts w:hint="eastAsia" w:ascii="宋体" w:hAnsi="宋体"/>
          <w:color w:val="auto"/>
          <w:sz w:val="21"/>
          <w:szCs w:val="21"/>
          <w:highlight w:val="none"/>
          <w:lang w:eastAsia="zh-CN"/>
        </w:rPr>
        <w:t>响应</w:t>
      </w:r>
      <w:r>
        <w:rPr>
          <w:rFonts w:ascii="宋体" w:hAnsi="宋体" w:eastAsia="宋体"/>
          <w:color w:val="auto"/>
          <w:sz w:val="21"/>
          <w:szCs w:val="21"/>
          <w:highlight w:val="none"/>
        </w:rPr>
        <w:t>总价</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总价大小写不一致，以大写为准。</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总价必须准确唯一且应包含</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bidi w:val="0"/>
        <w:rPr>
          <w:rFonts w:hint="eastAsia"/>
          <w:color w:val="auto"/>
          <w:highlight w:val="none"/>
        </w:rPr>
      </w:pPr>
    </w:p>
    <w:p>
      <w:pPr>
        <w:pStyle w:val="2"/>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color w:val="auto"/>
          <w:highlight w:val="none"/>
        </w:rPr>
      </w:pPr>
    </w:p>
    <w:p>
      <w:pPr>
        <w:pStyle w:val="2"/>
        <w:rPr>
          <w:color w:val="auto"/>
          <w:highlight w:val="none"/>
        </w:rPr>
      </w:pPr>
    </w:p>
    <w:p>
      <w:pPr>
        <w:rPr>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31062"/>
      <w:bookmarkStart w:id="224" w:name="_Toc29258"/>
      <w:r>
        <w:rPr>
          <w:rFonts w:hint="eastAsia"/>
          <w:color w:val="auto"/>
          <w:highlight w:val="none"/>
          <w:lang w:val="en-US" w:eastAsia="zh-CN"/>
        </w:rPr>
        <w:t>二、报价明细表</w:t>
      </w:r>
      <w:bookmarkEnd w:id="223"/>
      <w:bookmarkEnd w:id="224"/>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14734"/>
      <w:bookmarkStart w:id="226" w:name="_Toc20974"/>
      <w:r>
        <w:rPr>
          <w:rFonts w:hint="eastAsia"/>
          <w:color w:val="auto"/>
          <w:highlight w:val="none"/>
          <w:lang w:val="en-US" w:eastAsia="zh-CN"/>
        </w:rPr>
        <w:t>三、小型或微型企业（货物/服务/承担的工程）明细表</w:t>
      </w:r>
      <w:bookmarkEnd w:id="225"/>
      <w:bookmarkEnd w:id="226"/>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pStyle w:val="32"/>
        <w:spacing w:after="0" w:line="360" w:lineRule="auto"/>
        <w:ind w:firstLine="0" w:firstLineChars="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bidi w:val="0"/>
        <w:rPr>
          <w:rFonts w:hint="eastAsia"/>
          <w:color w:val="auto"/>
          <w:highlight w:val="none"/>
        </w:rPr>
      </w:pPr>
    </w:p>
    <w:p>
      <w:pPr>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w:t>
      </w:r>
      <w:r>
        <w:rPr>
          <w:rFonts w:hint="eastAsia" w:ascii="宋体" w:hAnsi="宋体" w:eastAsia="宋体" w:cs="宋体"/>
          <w:b/>
          <w:color w:val="auto"/>
          <w:sz w:val="21"/>
          <w:szCs w:val="21"/>
          <w:highlight w:val="none"/>
        </w:rPr>
        <w:t>小型</w:t>
      </w:r>
      <w:r>
        <w:rPr>
          <w:rFonts w:hint="eastAsia" w:ascii="宋体" w:hAnsi="宋体" w:eastAsia="宋体" w:cs="宋体"/>
          <w:b/>
          <w:color w:val="auto"/>
          <w:sz w:val="21"/>
          <w:szCs w:val="21"/>
          <w:highlight w:val="none"/>
          <w:lang w:val="en-US" w:eastAsia="zh-CN"/>
        </w:rPr>
        <w:t>或</w:t>
      </w:r>
      <w:r>
        <w:rPr>
          <w:rFonts w:hint="eastAsia" w:ascii="宋体" w:hAnsi="宋体" w:eastAsia="宋体" w:cs="宋体"/>
          <w:b/>
          <w:color w:val="auto"/>
          <w:sz w:val="21"/>
          <w:szCs w:val="21"/>
          <w:highlight w:val="none"/>
        </w:rPr>
        <w:t>微型企业产品（货物</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服务</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所投产品中无小型</w:t>
      </w:r>
      <w:r>
        <w:rPr>
          <w:rStyle w:val="42"/>
          <w:rFonts w:hint="eastAsia" w:ascii="宋体" w:hAnsi="宋体" w:eastAsia="宋体" w:cs="宋体"/>
          <w:b/>
          <w:color w:val="auto"/>
          <w:sz w:val="21"/>
          <w:szCs w:val="21"/>
          <w:highlight w:val="none"/>
          <w:lang w:val="en-US" w:eastAsia="zh-CN"/>
        </w:rPr>
        <w:t>或</w:t>
      </w:r>
      <w:r>
        <w:rPr>
          <w:rStyle w:val="42"/>
          <w:rFonts w:hint="eastAsia" w:ascii="宋体" w:hAnsi="宋体" w:eastAsia="宋体" w:cs="宋体"/>
          <w:b/>
          <w:color w:val="auto"/>
          <w:sz w:val="21"/>
          <w:szCs w:val="21"/>
          <w:highlight w:val="none"/>
        </w:rPr>
        <w:t>微型企业产品的，请留空或删除此表！</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7" w:name="_Toc17483"/>
      <w:bookmarkStart w:id="228" w:name="_Toc16718"/>
      <w:r>
        <w:rPr>
          <w:rFonts w:hint="eastAsia"/>
          <w:color w:val="auto"/>
          <w:highlight w:val="none"/>
          <w:lang w:val="en-US" w:eastAsia="zh-CN"/>
        </w:rPr>
        <w:t>四、节能产品或环境标志产品明细表</w:t>
      </w:r>
      <w:bookmarkEnd w:id="227"/>
      <w:bookmarkEnd w:id="22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highlight w:val="none"/>
              </w:rPr>
            </w:pPr>
          </w:p>
        </w:tc>
      </w:tr>
    </w:tbl>
    <w:p>
      <w:pPr>
        <w:spacing w:after="0"/>
        <w:rPr>
          <w:rFonts w:hint="eastAsia" w:ascii="宋体" w:hAnsi="宋体" w:eastAsia="宋体"/>
          <w:color w:val="auto"/>
          <w:sz w:val="21"/>
          <w:szCs w:val="21"/>
          <w:highlight w:val="none"/>
        </w:rPr>
      </w:pPr>
    </w:p>
    <w:p>
      <w:pPr>
        <w:spacing w:after="0"/>
        <w:rPr>
          <w:rFonts w:hint="eastAsia" w:ascii="宋体" w:hAnsi="宋体" w:eastAsia="宋体"/>
          <w:color w:val="auto"/>
          <w:sz w:val="21"/>
          <w:szCs w:val="21"/>
          <w:highlight w:val="none"/>
        </w:rPr>
      </w:pP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spacing w:after="0"/>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jc w:val="both"/>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日期：</w:t>
      </w:r>
    </w:p>
    <w:p>
      <w:pPr>
        <w:pStyle w:val="29"/>
        <w:rPr>
          <w:rFonts w:hint="eastAsia"/>
          <w:color w:val="auto"/>
          <w:highlight w:val="none"/>
        </w:rPr>
      </w:pPr>
    </w:p>
    <w:p>
      <w:pPr>
        <w:tabs>
          <w:tab w:val="left" w:pos="284"/>
        </w:tabs>
        <w:spacing w:after="0"/>
        <w:rPr>
          <w:rStyle w:val="42"/>
          <w:rFonts w:hint="eastAsia"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在“货物</w:t>
      </w:r>
      <w:r>
        <w:rPr>
          <w:rStyle w:val="42"/>
          <w:rFonts w:hint="eastAsia" w:ascii="宋体" w:hAnsi="宋体" w:eastAsia="宋体" w:cs="宋体"/>
          <w:b/>
          <w:color w:val="auto"/>
          <w:sz w:val="21"/>
          <w:szCs w:val="21"/>
          <w:highlight w:val="none"/>
          <w:lang w:val="en-US" w:eastAsia="zh-CN"/>
        </w:rPr>
        <w:t>/</w:t>
      </w:r>
      <w:r>
        <w:rPr>
          <w:rStyle w:val="42"/>
          <w:rFonts w:hint="eastAsia" w:ascii="宋体" w:hAnsi="宋体" w:eastAsia="宋体" w:cs="宋体"/>
          <w:b/>
          <w:color w:val="auto"/>
          <w:sz w:val="21"/>
          <w:szCs w:val="21"/>
          <w:highlight w:val="none"/>
        </w:rPr>
        <w:t>服务报价</w:t>
      </w:r>
      <w:r>
        <w:rPr>
          <w:rStyle w:val="42"/>
          <w:rFonts w:hint="eastAsia" w:ascii="宋体" w:hAnsi="宋体" w:eastAsia="宋体" w:cs="宋体"/>
          <w:b/>
          <w:color w:val="auto"/>
          <w:sz w:val="21"/>
          <w:szCs w:val="21"/>
          <w:highlight w:val="none"/>
          <w:lang w:val="en-US" w:eastAsia="zh-CN"/>
        </w:rPr>
        <w:t>明细</w:t>
      </w:r>
      <w:r>
        <w:rPr>
          <w:rStyle w:val="42"/>
          <w:rFonts w:hint="eastAsia" w:ascii="宋体" w:hAnsi="宋体" w:eastAsia="宋体" w:cs="宋体"/>
          <w:b/>
          <w:color w:val="auto"/>
          <w:sz w:val="21"/>
          <w:szCs w:val="21"/>
          <w:highlight w:val="none"/>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应该如实填写，如</w:t>
      </w:r>
      <w:r>
        <w:rPr>
          <w:rStyle w:val="42"/>
          <w:rFonts w:hint="eastAsia" w:ascii="宋体" w:hAnsi="宋体" w:cs="宋体"/>
          <w:b/>
          <w:color w:val="auto"/>
          <w:sz w:val="21"/>
          <w:szCs w:val="21"/>
          <w:highlight w:val="none"/>
          <w:lang w:eastAsia="zh-CN"/>
        </w:rPr>
        <w:t>供应商</w:t>
      </w:r>
      <w:r>
        <w:rPr>
          <w:rStyle w:val="42"/>
          <w:rFonts w:hint="eastAsia" w:ascii="宋体" w:hAnsi="宋体" w:eastAsia="宋体" w:cs="宋体"/>
          <w:b/>
          <w:color w:val="auto"/>
          <w:sz w:val="21"/>
          <w:szCs w:val="21"/>
          <w:highlight w:val="none"/>
        </w:rPr>
        <w:t>所投产品中无节能或环保产品的，请留空或删除此表！</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9" w:name="_Toc10853"/>
      <w:bookmarkStart w:id="230" w:name="_Toc8170"/>
      <w:r>
        <w:rPr>
          <w:rFonts w:hint="eastAsia"/>
          <w:color w:val="auto"/>
          <w:highlight w:val="none"/>
          <w:lang w:val="en-US" w:eastAsia="zh-CN"/>
        </w:rPr>
        <w:t>五、中小企业声明函</w:t>
      </w:r>
      <w:bookmarkEnd w:id="229"/>
      <w:bookmarkEnd w:id="230"/>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highlight w:val="none"/>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highlight w:val="none"/>
          <w:u w:val="none"/>
          <w:lang w:val="en-US" w:eastAsia="zh-CN"/>
        </w:rPr>
        <w:t>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0"/>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；制造商为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eastAsiaTheme="minorEastAsia"/>
          <w:color w:val="auto"/>
          <w:highlight w:val="none"/>
          <w:lang w:val="en-US" w:eastAsia="zh-CN"/>
        </w:rPr>
        <w:t xml:space="preserve">     </w:t>
      </w:r>
      <w:r>
        <w:rPr>
          <w:rFonts w:hint="eastAsia" w:asciiTheme="minorEastAsia" w:hAnsiTheme="minorEastAsia" w:eastAsiaTheme="minorEastAsia" w:cstheme="minorEastAsia"/>
          <w:color w:val="auto"/>
          <w:sz w:val="21"/>
          <w:szCs w:val="21"/>
          <w:highlight w:val="none"/>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highlight w:val="none"/>
          <w:u w:val="single"/>
          <w:lang w:val="en-US" w:eastAsia="zh-CN"/>
        </w:rPr>
        <w:t>（单位名称）</w:t>
      </w:r>
      <w:r>
        <w:rPr>
          <w:rFonts w:hint="eastAsia" w:asciiTheme="minorEastAsia" w:hAnsiTheme="minorEastAsia" w:eastAsiaTheme="minorEastAsia" w:cstheme="minorEastAsia"/>
          <w:color w:val="auto"/>
          <w:sz w:val="21"/>
          <w:szCs w:val="21"/>
          <w:highlight w:val="none"/>
          <w:u w:val="none"/>
          <w:lang w:val="en-US" w:eastAsia="zh-CN"/>
        </w:rPr>
        <w:t>的</w:t>
      </w:r>
      <w:r>
        <w:rPr>
          <w:rFonts w:hint="eastAsia" w:asciiTheme="minorEastAsia" w:hAnsiTheme="minorEastAsia" w:eastAsiaTheme="minorEastAsia" w:cstheme="minorEastAsia"/>
          <w:color w:val="auto"/>
          <w:sz w:val="21"/>
          <w:szCs w:val="21"/>
          <w:highlight w:val="none"/>
          <w:u w:val="single"/>
          <w:lang w:val="en-US" w:eastAsia="zh-CN"/>
        </w:rPr>
        <w:t>（项目名称）</w:t>
      </w:r>
      <w:r>
        <w:rPr>
          <w:rFonts w:hint="eastAsia" w:asciiTheme="minorEastAsia" w:hAnsiTheme="minorEastAsia" w:eastAsiaTheme="minorEastAsia" w:cstheme="minorEastAsia"/>
          <w:color w:val="auto"/>
          <w:sz w:val="21"/>
          <w:szCs w:val="21"/>
          <w:highlight w:val="none"/>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lang w:val="en-US" w:eastAsia="zh-CN"/>
        </w:rPr>
        <w:t xml:space="preserve">    1.</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u w:val="none"/>
          <w:lang w:val="en-US" w:eastAsia="zh-CN"/>
        </w:rPr>
        <w:footnoteReference w:id="1"/>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2.</w:t>
      </w:r>
      <w:r>
        <w:rPr>
          <w:rFonts w:hint="eastAsia" w:asciiTheme="minorEastAsia" w:hAnsiTheme="minorEastAsia" w:eastAsiaTheme="minorEastAsia" w:cstheme="minorEastAsia"/>
          <w:color w:val="auto"/>
          <w:sz w:val="21"/>
          <w:szCs w:val="21"/>
          <w:highlight w:val="none"/>
          <w:u w:val="single"/>
          <w:lang w:val="en-US" w:eastAsia="zh-CN"/>
        </w:rPr>
        <w:t>（标的名称）</w:t>
      </w:r>
      <w:r>
        <w:rPr>
          <w:rFonts w:hint="eastAsia" w:asciiTheme="minorEastAsia" w:hAnsiTheme="minorEastAsia" w:eastAsiaTheme="minorEastAsia" w:cstheme="minorEastAsia"/>
          <w:color w:val="auto"/>
          <w:sz w:val="21"/>
          <w:szCs w:val="21"/>
          <w:highlight w:val="none"/>
          <w:u w:val="none"/>
          <w:lang w:val="en-US" w:eastAsia="zh-CN"/>
        </w:rPr>
        <w:t>，属于</w:t>
      </w:r>
      <w:r>
        <w:rPr>
          <w:rFonts w:hint="eastAsia" w:asciiTheme="minorEastAsia" w:hAnsiTheme="minorEastAsia" w:eastAsiaTheme="minorEastAsia" w:cstheme="minorEastAsia"/>
          <w:color w:val="auto"/>
          <w:sz w:val="21"/>
          <w:szCs w:val="21"/>
          <w:highlight w:val="none"/>
          <w:u w:val="single"/>
          <w:lang w:val="en-US" w:eastAsia="zh-CN"/>
        </w:rPr>
        <w:t>（采购文件中明确的所属行业）行业</w:t>
      </w:r>
      <w:r>
        <w:rPr>
          <w:rFonts w:hint="eastAsia" w:asciiTheme="minorEastAsia" w:hAnsiTheme="minorEastAsia" w:eastAsiaTheme="minorEastAsia" w:cstheme="minorEastAsia"/>
          <w:color w:val="auto"/>
          <w:sz w:val="21"/>
          <w:szCs w:val="21"/>
          <w:highlight w:val="none"/>
          <w:u w:val="none"/>
          <w:lang w:val="en-US" w:eastAsia="zh-CN"/>
        </w:rPr>
        <w:t>；承建（承接）企业为</w:t>
      </w:r>
      <w:r>
        <w:rPr>
          <w:rFonts w:hint="eastAsia" w:asciiTheme="minorEastAsia" w:hAnsiTheme="minorEastAsia" w:eastAsiaTheme="minorEastAsia" w:cstheme="minorEastAsia"/>
          <w:color w:val="auto"/>
          <w:sz w:val="21"/>
          <w:szCs w:val="21"/>
          <w:highlight w:val="none"/>
          <w:u w:val="single"/>
          <w:lang w:val="en-US" w:eastAsia="zh-CN"/>
        </w:rPr>
        <w:t>（企业名称）</w:t>
      </w:r>
      <w:r>
        <w:rPr>
          <w:rFonts w:hint="eastAsia" w:asciiTheme="minorEastAsia" w:hAnsiTheme="minorEastAsia" w:eastAsiaTheme="minorEastAsia" w:cstheme="minorEastAsia"/>
          <w:color w:val="auto"/>
          <w:sz w:val="21"/>
          <w:szCs w:val="21"/>
          <w:highlight w:val="none"/>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eastAsia="zh-CN"/>
        </w:rPr>
        <w:t>（中型企业、小型企业、微型企业）</w:t>
      </w:r>
      <w:r>
        <w:rPr>
          <w:rFonts w:hint="eastAsia" w:asciiTheme="minorEastAsia" w:hAnsiTheme="minorEastAsia" w:eastAsiaTheme="minorEastAsia" w:cstheme="minorEastAsia"/>
          <w:color w:val="auto"/>
          <w:sz w:val="21"/>
          <w:szCs w:val="21"/>
          <w:highlight w:val="none"/>
          <w:u w:val="none"/>
          <w:lang w:val="en-US" w:eastAsia="zh-CN"/>
        </w:rPr>
        <w:t>；</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w:t>
      </w:r>
    </w:p>
    <w:p>
      <w:pPr>
        <w:bidi w:val="0"/>
        <w:ind w:firstLine="420" w:firstLineChars="200"/>
        <w:rPr>
          <w:rFonts w:hint="eastAsia"/>
          <w:color w:val="auto"/>
          <w:highlight w:val="none"/>
          <w:lang w:val="en-US" w:eastAsia="zh-CN"/>
        </w:rPr>
      </w:pPr>
      <w:r>
        <w:rPr>
          <w:rFonts w:hint="eastAsia"/>
          <w:color w:val="auto"/>
          <w:highlight w:val="none"/>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highlight w:val="none"/>
          <w:lang w:val="en-US" w:eastAsia="zh-CN"/>
        </w:rPr>
      </w:pPr>
      <w:r>
        <w:rPr>
          <w:rFonts w:hint="eastAsia"/>
          <w:color w:val="auto"/>
          <w:highlight w:val="none"/>
          <w:lang w:val="en-US" w:eastAsia="zh-CN"/>
        </w:rPr>
        <w:t>本企业对上诉声明内容的真实性负责。如有虚假，将依法承担相应责任。</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企业名称（盖章）：</w:t>
      </w:r>
    </w:p>
    <w:p>
      <w:pPr>
        <w:pStyle w:val="2"/>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val="en-US" w:eastAsia="zh-CN"/>
        </w:rPr>
        <w:t xml:space="preserve">                 日期：</w:t>
      </w: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rPr>
          <w:rFonts w:hint="eastAsia" w:ascii="宋体" w:hAnsi="宋体" w:eastAsia="宋体"/>
          <w:b/>
          <w:bCs/>
          <w:color w:val="auto"/>
          <w:sz w:val="21"/>
          <w:szCs w:val="21"/>
          <w:highlight w:val="none"/>
          <w:lang w:val="en-US" w:eastAsia="zh-CN"/>
        </w:rPr>
      </w:pPr>
    </w:p>
    <w:p>
      <w:pPr>
        <w:ind w:firstLine="422" w:firstLineChars="200"/>
        <w:rPr>
          <w:rFonts w:hint="eastAsia" w:ascii="宋体" w:hAnsi="宋体" w:eastAsia="宋体"/>
          <w:color w:val="auto"/>
          <w:sz w:val="21"/>
          <w:szCs w:val="21"/>
          <w:highlight w:val="none"/>
        </w:rPr>
      </w:pPr>
      <w:r>
        <w:rPr>
          <w:rFonts w:hint="eastAsia" w:ascii="宋体" w:hAnsi="宋体" w:eastAsia="宋体"/>
          <w:b/>
          <w:bCs/>
          <w:color w:val="auto"/>
          <w:sz w:val="21"/>
          <w:szCs w:val="21"/>
          <w:highlight w:val="none"/>
          <w:lang w:val="en-US" w:eastAsia="zh-CN"/>
        </w:rPr>
        <w:t>注：</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不属于规定的中小企业范围，或提供的产品不是中小企业制造的，则无需提供此表。</w:t>
      </w:r>
      <w:r>
        <w:rPr>
          <w:rFonts w:hint="eastAsia" w:ascii="宋体" w:hAnsi="宋体" w:eastAsia="宋体"/>
          <w:color w:val="auto"/>
          <w:sz w:val="21"/>
          <w:szCs w:val="21"/>
          <w:highlight w:val="none"/>
        </w:rPr>
        <w:br w:type="page"/>
      </w:r>
    </w:p>
    <w:p>
      <w:pPr>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说明</w:t>
      </w:r>
      <w:r>
        <w:rPr>
          <w:rFonts w:hint="eastAsia" w:ascii="宋体" w:hAnsi="宋体" w:eastAsia="宋体"/>
          <w:b/>
          <w:bCs/>
          <w:color w:val="auto"/>
          <w:sz w:val="21"/>
          <w:szCs w:val="21"/>
          <w:highlight w:val="none"/>
        </w:rPr>
        <w:t>：</w:t>
      </w:r>
    </w:p>
    <w:p>
      <w:pPr>
        <w:spacing w:after="0" w:line="480" w:lineRule="auto"/>
        <w:ind w:firstLine="422" w:firstLineChars="20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应根据</w:t>
      </w:r>
      <w:r>
        <w:rPr>
          <w:rFonts w:hint="eastAsia" w:ascii="宋体" w:hAnsi="宋体" w:eastAsia="宋体"/>
          <w:b/>
          <w:bCs/>
          <w:color w:val="auto"/>
          <w:sz w:val="21"/>
          <w:szCs w:val="21"/>
          <w:highlight w:val="none"/>
          <w:lang w:eastAsia="zh-CN"/>
        </w:rPr>
        <w:t>《政府采购促进中小企业发展管理办法》的通知（财库〔2020〕46号）</w:t>
      </w:r>
      <w:r>
        <w:rPr>
          <w:rFonts w:hint="eastAsia" w:ascii="宋体" w:hAnsi="宋体" w:eastAsia="宋体"/>
          <w:b/>
          <w:bCs/>
          <w:color w:val="auto"/>
          <w:sz w:val="21"/>
          <w:szCs w:val="21"/>
          <w:highlight w:val="none"/>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highlight w:val="none"/>
        </w:rPr>
      </w:pP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rPr>
        <w:t>、</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应该在《报价明细表》中单独列明属于小型和微型企业产品（货物、承担的工程或者服务）的报价，若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31" w:name="_Toc312"/>
      <w:bookmarkStart w:id="232" w:name="_Toc8560"/>
      <w:r>
        <w:rPr>
          <w:rFonts w:hint="eastAsia"/>
          <w:color w:val="auto"/>
          <w:highlight w:val="none"/>
          <w:lang w:val="en-US" w:eastAsia="zh-CN"/>
        </w:rPr>
        <w:t>六、残疾人福利性单位声明函</w:t>
      </w:r>
      <w:bookmarkEnd w:id="231"/>
      <w:bookmarkEnd w:id="232"/>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本单位对上述声明的真实性负责。如有虚假，将依法承担相应责任。</w:t>
      </w:r>
    </w:p>
    <w:p>
      <w:pPr>
        <w:spacing w:after="0" w:line="480" w:lineRule="auto"/>
        <w:jc w:val="right"/>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单位名称（盖章）：</w:t>
      </w:r>
      <w:bookmarkStart w:id="233" w:name="_Toc17761"/>
      <w:bookmarkStart w:id="234" w:name="_Toc509479530"/>
      <w:bookmarkStart w:id="235" w:name="_Toc508960153"/>
      <w:bookmarkStart w:id="236" w:name="_Toc22970"/>
      <w:bookmarkStart w:id="237" w:name="_Toc509927455"/>
      <w:bookmarkStart w:id="238" w:name="_Toc508958703"/>
      <w:bookmarkStart w:id="239" w:name="_Toc20910"/>
      <w:bookmarkStart w:id="240" w:name="_Toc509844825"/>
      <w:bookmarkStart w:id="241" w:name="_Toc510171693"/>
      <w:bookmarkStart w:id="242" w:name="_Toc508898066"/>
      <w:bookmarkStart w:id="243" w:name="_Toc30247"/>
      <w:bookmarkStart w:id="244" w:name="_Toc30277"/>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  期：</w:t>
      </w:r>
      <w:bookmarkEnd w:id="233"/>
      <w:bookmarkEnd w:id="234"/>
      <w:bookmarkEnd w:id="235"/>
      <w:bookmarkEnd w:id="236"/>
      <w:bookmarkEnd w:id="237"/>
      <w:bookmarkEnd w:id="238"/>
      <w:bookmarkEnd w:id="239"/>
      <w:bookmarkEnd w:id="240"/>
      <w:bookmarkEnd w:id="241"/>
      <w:bookmarkEnd w:id="242"/>
      <w:bookmarkEnd w:id="243"/>
      <w:bookmarkEnd w:id="244"/>
    </w:p>
    <w:p>
      <w:pPr>
        <w:pStyle w:val="2"/>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rPr>
      </w:pPr>
      <w:bookmarkStart w:id="245" w:name="_Toc508960154"/>
      <w:bookmarkStart w:id="246" w:name="_Toc509479531"/>
      <w:bookmarkStart w:id="247" w:name="_Toc5447"/>
      <w:bookmarkStart w:id="248" w:name="_Toc26216"/>
      <w:bookmarkStart w:id="249" w:name="_Toc509844826"/>
      <w:bookmarkStart w:id="250" w:name="_Toc31520"/>
      <w:bookmarkStart w:id="251" w:name="_Toc508958704"/>
      <w:bookmarkStart w:id="252" w:name="_Toc508898067"/>
      <w:bookmarkStart w:id="253" w:name="_Toc28527"/>
      <w:bookmarkStart w:id="254" w:name="_Toc509927456"/>
      <w:bookmarkStart w:id="255" w:name="_Toc21053"/>
      <w:bookmarkStart w:id="256" w:name="_Toc510171694"/>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（1）符合《财政部 民政部 中国残疾人联合会关于促进残疾人就业政府采购政策的通知》（财库〔2017〕 141号）规定条件的残疾人福利性单位应当提供《残疾人福利性单位声明函》。</w:t>
      </w:r>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57" w:name="_Toc510171695"/>
      <w:bookmarkStart w:id="258" w:name="_Toc28626"/>
      <w:bookmarkStart w:id="259" w:name="_Toc508898068"/>
      <w:bookmarkStart w:id="260" w:name="_Toc509927457"/>
      <w:bookmarkStart w:id="261" w:name="_Toc509844827"/>
      <w:bookmarkStart w:id="262" w:name="_Toc508960155"/>
      <w:bookmarkStart w:id="263" w:name="_Toc508958705"/>
      <w:bookmarkStart w:id="264" w:name="_Toc28126"/>
      <w:bookmarkStart w:id="265" w:name="_Toc509479532"/>
      <w:bookmarkStart w:id="266" w:name="_Toc24848"/>
      <w:bookmarkStart w:id="267" w:name="_Toc14653"/>
      <w:bookmarkStart w:id="268" w:name="_Toc9148"/>
      <w:r>
        <w:rPr>
          <w:rFonts w:hint="eastAsia" w:ascii="宋体" w:hAnsi="宋体" w:eastAsia="宋体"/>
          <w:color w:val="auto"/>
          <w:sz w:val="21"/>
          <w:szCs w:val="21"/>
          <w:highlight w:val="none"/>
        </w:rPr>
        <w:t>（2）</w:t>
      </w:r>
      <w:r>
        <w:rPr>
          <w:rFonts w:hint="eastAsia" w:ascii="宋体" w:hAnsi="宋体"/>
          <w:color w:val="auto"/>
          <w:sz w:val="21"/>
          <w:szCs w:val="21"/>
          <w:highlight w:val="none"/>
          <w:lang w:eastAsia="zh-CN"/>
        </w:rPr>
        <w:t>成交人</w:t>
      </w:r>
      <w:r>
        <w:rPr>
          <w:rFonts w:hint="eastAsia" w:ascii="宋体" w:hAnsi="宋体" w:eastAsia="宋体"/>
          <w:color w:val="auto"/>
          <w:sz w:val="21"/>
          <w:szCs w:val="21"/>
          <w:highlight w:val="none"/>
        </w:rPr>
        <w:t>为残疾人福利性单位的，采购代理机构将随中标结果同时公告其《残疾人福利性单位声明函》，接受社会监督。</w:t>
      </w:r>
      <w:bookmarkEnd w:id="257"/>
      <w:bookmarkEnd w:id="258"/>
      <w:bookmarkEnd w:id="259"/>
      <w:bookmarkEnd w:id="260"/>
      <w:bookmarkEnd w:id="261"/>
      <w:bookmarkEnd w:id="262"/>
      <w:bookmarkEnd w:id="263"/>
      <w:bookmarkEnd w:id="264"/>
      <w:bookmarkEnd w:id="265"/>
      <w:bookmarkEnd w:id="266"/>
      <w:bookmarkEnd w:id="267"/>
      <w:bookmarkEnd w:id="26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69" w:name="_Toc508960156"/>
      <w:bookmarkStart w:id="270" w:name="_Toc509844828"/>
      <w:bookmarkStart w:id="271" w:name="_Toc509479533"/>
      <w:bookmarkStart w:id="272" w:name="_Toc28044"/>
      <w:bookmarkStart w:id="273" w:name="_Toc510171696"/>
      <w:bookmarkStart w:id="274" w:name="_Toc9837"/>
      <w:bookmarkStart w:id="275" w:name="_Toc508958706"/>
      <w:bookmarkStart w:id="276" w:name="_Toc22981"/>
      <w:bookmarkStart w:id="277" w:name="_Toc7858"/>
      <w:bookmarkStart w:id="278" w:name="_Toc28686"/>
      <w:bookmarkStart w:id="279" w:name="_Toc509927458"/>
      <w:bookmarkStart w:id="280" w:name="_Toc508898069"/>
      <w:r>
        <w:rPr>
          <w:rFonts w:hint="eastAsia" w:ascii="宋体" w:hAnsi="宋体" w:eastAsia="宋体"/>
          <w:color w:val="auto"/>
          <w:sz w:val="21"/>
          <w:szCs w:val="21"/>
          <w:highlight w:val="none"/>
        </w:rPr>
        <w:t>（3）</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提供的《残疾人福利性单位声明函》与事实不符的，依照《政府采购法》第七十七条第一款的规定追究法律责任。</w:t>
      </w:r>
      <w:bookmarkEnd w:id="269"/>
      <w:bookmarkEnd w:id="270"/>
      <w:bookmarkEnd w:id="271"/>
      <w:bookmarkEnd w:id="272"/>
      <w:bookmarkEnd w:id="273"/>
      <w:bookmarkEnd w:id="274"/>
      <w:bookmarkEnd w:id="275"/>
      <w:bookmarkEnd w:id="276"/>
      <w:bookmarkEnd w:id="277"/>
      <w:bookmarkEnd w:id="278"/>
      <w:bookmarkEnd w:id="279"/>
      <w:bookmarkEnd w:id="280"/>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bookmarkStart w:id="281" w:name="_Toc509479534"/>
      <w:bookmarkStart w:id="282" w:name="_Toc509927459"/>
      <w:bookmarkStart w:id="283" w:name="_Toc18843"/>
      <w:bookmarkStart w:id="284" w:name="_Toc510171697"/>
      <w:bookmarkStart w:id="285" w:name="_Toc508960157"/>
      <w:bookmarkStart w:id="286" w:name="_Toc508898070"/>
      <w:bookmarkStart w:id="287" w:name="_Toc5289"/>
      <w:bookmarkStart w:id="288" w:name="_Toc508958707"/>
      <w:bookmarkStart w:id="289" w:name="_Toc509844829"/>
      <w:r>
        <w:rPr>
          <w:rFonts w:hint="eastAsia" w:ascii="宋体" w:hAnsi="宋体" w:eastAsia="宋体"/>
          <w:color w:val="auto"/>
          <w:sz w:val="21"/>
          <w:szCs w:val="21"/>
          <w:highlight w:val="none"/>
        </w:rPr>
        <w:t>（4）残疾人福利性单位视同小型、微型企业，享受评审中价格扣除。残疾人福利性单位属于小型、微型企业的，不重复享受政策。</w:t>
      </w:r>
      <w:bookmarkEnd w:id="281"/>
      <w:bookmarkEnd w:id="282"/>
      <w:bookmarkEnd w:id="283"/>
      <w:bookmarkEnd w:id="284"/>
      <w:bookmarkEnd w:id="285"/>
      <w:bookmarkEnd w:id="286"/>
      <w:bookmarkEnd w:id="287"/>
      <w:bookmarkEnd w:id="288"/>
      <w:bookmarkEnd w:id="289"/>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（5）若</w:t>
      </w:r>
      <w:r>
        <w:rPr>
          <w:rFonts w:hint="eastAsia" w:ascii="宋体" w:hAnsi="宋体"/>
          <w:b/>
          <w:bCs/>
          <w:color w:val="auto"/>
          <w:sz w:val="21"/>
          <w:szCs w:val="21"/>
          <w:highlight w:val="none"/>
          <w:lang w:eastAsia="zh-CN"/>
        </w:rPr>
        <w:t>供应商</w:t>
      </w:r>
      <w:r>
        <w:rPr>
          <w:rFonts w:hint="eastAsia" w:ascii="宋体" w:hAnsi="宋体" w:eastAsia="宋体"/>
          <w:b/>
          <w:bCs/>
          <w:color w:val="auto"/>
          <w:sz w:val="21"/>
          <w:szCs w:val="21"/>
          <w:highlight w:val="none"/>
        </w:rPr>
        <w:t>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eastAsia="宋体"/>
          <w:bCs/>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90" w:name="_Toc2486"/>
      <w:bookmarkStart w:id="291" w:name="_Toc23948"/>
      <w:r>
        <w:rPr>
          <w:rFonts w:hint="eastAsia"/>
          <w:color w:val="auto"/>
          <w:highlight w:val="none"/>
          <w:lang w:val="en-US" w:eastAsia="zh-CN"/>
        </w:rPr>
        <w:t>第二章商务文件</w:t>
      </w:r>
      <w:bookmarkEnd w:id="290"/>
      <w:bookmarkEnd w:id="291"/>
    </w:p>
    <w:bookmarkEnd w:id="220"/>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2" w:name="_Toc23787"/>
      <w:bookmarkStart w:id="293" w:name="_Toc4151"/>
      <w:r>
        <w:rPr>
          <w:rFonts w:hint="eastAsia"/>
          <w:color w:val="auto"/>
          <w:highlight w:val="none"/>
          <w:lang w:val="en-US" w:eastAsia="zh-CN"/>
        </w:rPr>
        <w:t>一、响应函</w:t>
      </w:r>
      <w:bookmarkEnd w:id="292"/>
      <w:bookmarkEnd w:id="293"/>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u w:val="single"/>
        </w:rPr>
        <w:t>（</w:t>
      </w:r>
      <w:r>
        <w:rPr>
          <w:rFonts w:hint="eastAsia" w:ascii="宋体" w:hAnsi="宋体"/>
          <w:color w:val="auto"/>
          <w:sz w:val="21"/>
          <w:szCs w:val="21"/>
          <w:highlight w:val="none"/>
          <w:u w:val="single"/>
          <w:lang w:eastAsia="zh-CN"/>
        </w:rPr>
        <w:t>供应商</w:t>
      </w:r>
      <w:r>
        <w:rPr>
          <w:rFonts w:hint="eastAsia" w:ascii="宋体" w:hAnsi="宋体" w:eastAsia="宋体"/>
          <w:color w:val="auto"/>
          <w:sz w:val="21"/>
          <w:szCs w:val="21"/>
          <w:highlight w:val="none"/>
          <w:u w:val="single"/>
        </w:rPr>
        <w:t>名称、地址）</w:t>
      </w:r>
      <w:r>
        <w:rPr>
          <w:rFonts w:hint="eastAsia" w:ascii="宋体" w:eastAsia="宋体" w:cs="宋体"/>
          <w:color w:val="auto"/>
          <w:sz w:val="22"/>
          <w:szCs w:val="22"/>
          <w:highlight w:val="none"/>
        </w:rPr>
        <w:t>进行有关本次</w:t>
      </w:r>
      <w:r>
        <w:rPr>
          <w:rFonts w:hint="eastAsia" w:ascii="宋体" w:cs="宋体"/>
          <w:color w:val="auto"/>
          <w:sz w:val="22"/>
          <w:szCs w:val="22"/>
          <w:highlight w:val="none"/>
          <w:lang w:eastAsia="zh-CN"/>
        </w:rPr>
        <w:t>磋商</w:t>
      </w:r>
      <w:r>
        <w:rPr>
          <w:rFonts w:hint="eastAsia" w:ascii="宋体" w:eastAsia="宋体" w:cs="宋体"/>
          <w:color w:val="auto"/>
          <w:sz w:val="22"/>
          <w:szCs w:val="22"/>
          <w:highlight w:val="none"/>
        </w:rPr>
        <w:t>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w:t>
      </w:r>
      <w:r>
        <w:rPr>
          <w:rFonts w:hint="eastAsia" w:ascii="宋体" w:cs="宋体"/>
          <w:color w:val="auto"/>
          <w:sz w:val="22"/>
          <w:szCs w:val="22"/>
          <w:highlight w:val="none"/>
          <w:lang w:eastAsia="zh-CN"/>
        </w:rPr>
        <w:t>响应文件</w:t>
      </w:r>
      <w:r>
        <w:rPr>
          <w:rFonts w:hint="eastAsia" w:ascii="宋体" w:eastAsia="宋体" w:cs="宋体"/>
          <w:color w:val="auto"/>
          <w:sz w:val="22"/>
          <w:szCs w:val="22"/>
          <w:highlight w:val="none"/>
        </w:rPr>
        <w:t>，正本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w:t>
      </w:r>
      <w:r>
        <w:rPr>
          <w:rFonts w:hint="eastAsia" w:ascii="宋体" w:cs="宋体"/>
          <w:color w:val="auto"/>
          <w:sz w:val="22"/>
          <w:szCs w:val="22"/>
          <w:highlight w:val="none"/>
          <w:lang w:eastAsia="zh-CN"/>
        </w:rPr>
        <w:t>报价</w:t>
      </w:r>
      <w:r>
        <w:rPr>
          <w:rFonts w:hint="eastAsia" w:ascii="宋体" w:eastAsia="宋体" w:cs="宋体"/>
          <w:color w:val="auto"/>
          <w:sz w:val="22"/>
          <w:szCs w:val="22"/>
          <w:highlight w:val="none"/>
        </w:rPr>
        <w:t>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完全明白磋商文件的所有条款要求，并重申以下几点：</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我方将按</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 xml:space="preserve">的规定履行合同责任和义务。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w:t>
      </w:r>
      <w:r>
        <w:rPr>
          <w:rFonts w:hint="eastAsia" w:ascii="宋体" w:hAnsi="宋体"/>
          <w:color w:val="auto"/>
          <w:sz w:val="21"/>
          <w:szCs w:val="21"/>
          <w:highlight w:val="none"/>
          <w:lang w:eastAsia="zh-CN"/>
        </w:rPr>
        <w:t>响应</w:t>
      </w:r>
      <w:r>
        <w:rPr>
          <w:rFonts w:hint="eastAsia" w:ascii="宋体" w:hAnsi="宋体" w:eastAsia="宋体"/>
          <w:color w:val="auto"/>
          <w:sz w:val="21"/>
          <w:szCs w:val="21"/>
          <w:highlight w:val="none"/>
        </w:rPr>
        <w:t>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有关的任何其它数据、信息或资料。</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及其澄清、修改文件（如果有）中的全部责任和义务，按质、按量、按期完成《采购需求书》及《合同书》中的全部任务。</w:t>
      </w:r>
    </w:p>
    <w:p>
      <w:pPr>
        <w:keepNext w:val="0"/>
        <w:keepLines w:val="0"/>
        <w:pageBreakBefore w:val="0"/>
        <w:widowControl w:val="0"/>
        <w:numPr>
          <w:ilvl w:val="0"/>
          <w:numId w:val="2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w:t>
      </w:r>
      <w:r>
        <w:rPr>
          <w:rFonts w:hint="eastAsia" w:ascii="宋体" w:hAnsi="宋体"/>
          <w:color w:val="auto"/>
          <w:sz w:val="21"/>
          <w:szCs w:val="21"/>
          <w:highlight w:val="none"/>
          <w:lang w:eastAsia="zh-CN"/>
        </w:rPr>
        <w:t>磋商</w:t>
      </w:r>
      <w:r>
        <w:rPr>
          <w:rFonts w:hint="eastAsia" w:ascii="宋体" w:hAnsi="宋体" w:eastAsia="宋体"/>
          <w:color w:val="auto"/>
          <w:sz w:val="21"/>
          <w:szCs w:val="21"/>
          <w:highlight w:val="none"/>
        </w:rPr>
        <w:t>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 xml:space="preserve">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lang w:eastAsia="zh-CN"/>
        </w:rPr>
        <w:t>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4" w:name="_Toc27961"/>
      <w:bookmarkStart w:id="295" w:name="_Toc15719"/>
      <w:r>
        <w:rPr>
          <w:rFonts w:hint="eastAsia"/>
          <w:color w:val="auto"/>
          <w:highlight w:val="none"/>
          <w:lang w:val="en-US" w:eastAsia="zh-CN"/>
        </w:rPr>
        <w:t>二、资格申明函</w:t>
      </w:r>
      <w:bookmarkEnd w:id="294"/>
      <w:bookmarkEnd w:id="295"/>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hint="eastAsia" w:ascii="宋体" w:hAnsi="宋体"/>
          <w:color w:val="auto"/>
          <w:sz w:val="21"/>
          <w:szCs w:val="21"/>
          <w:highlight w:val="none"/>
          <w:lang w:eastAsia="zh-CN"/>
        </w:rPr>
        <w:t>磋商</w:t>
      </w:r>
      <w:r>
        <w:rPr>
          <w:rFonts w:ascii="宋体" w:hAnsi="宋体" w:eastAsia="宋体"/>
          <w:color w:val="auto"/>
          <w:sz w:val="21"/>
          <w:szCs w:val="21"/>
          <w:highlight w:val="none"/>
        </w:rPr>
        <w:t>邀请，参与</w:t>
      </w:r>
      <w:r>
        <w:rPr>
          <w:rFonts w:hint="eastAsia" w:ascii="宋体" w:hAnsi="宋体"/>
          <w:color w:val="auto"/>
          <w:sz w:val="21"/>
          <w:szCs w:val="21"/>
          <w:highlight w:val="none"/>
          <w:lang w:eastAsia="zh-CN"/>
        </w:rPr>
        <w:t>报价</w:t>
      </w:r>
      <w:r>
        <w:rPr>
          <w:rFonts w:ascii="宋体" w:hAnsi="宋体" w:eastAsia="宋体"/>
          <w:color w:val="auto"/>
          <w:sz w:val="21"/>
          <w:szCs w:val="21"/>
          <w:highlight w:val="none"/>
        </w:rPr>
        <w:t>，提供用户需求书中规定的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w:t>
      </w:r>
      <w:r>
        <w:rPr>
          <w:rFonts w:hint="eastAsia" w:ascii="宋体" w:hAnsi="宋体"/>
          <w:color w:val="auto"/>
          <w:sz w:val="21"/>
          <w:szCs w:val="21"/>
          <w:highlight w:val="none"/>
          <w:lang w:eastAsia="zh-CN"/>
        </w:rPr>
        <w:t>磋商文件</w:t>
      </w:r>
      <w:r>
        <w:rPr>
          <w:rFonts w:ascii="宋体" w:hAnsi="宋体" w:eastAsia="宋体"/>
          <w:color w:val="auto"/>
          <w:sz w:val="21"/>
          <w:szCs w:val="21"/>
          <w:highlight w:val="none"/>
        </w:rPr>
        <w:t>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我方具备《中华人民共和国政府采购法》第二十二条资格条件</w:t>
      </w:r>
      <w:r>
        <w:rPr>
          <w:rFonts w:hint="eastAsia" w:ascii="宋体" w:hAnsi="宋体" w:eastAsia="宋体"/>
          <w:color w:val="auto"/>
          <w:sz w:val="21"/>
          <w:szCs w:val="21"/>
          <w:highlight w:val="none"/>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val="en-US" w:eastAsia="zh-CN"/>
        </w:rPr>
        <w:t>、我方</w:t>
      </w:r>
      <w:r>
        <w:rPr>
          <w:rFonts w:hint="eastAsia" w:ascii="宋体" w:hAnsi="宋体" w:eastAsia="宋体"/>
          <w:color w:val="auto"/>
          <w:sz w:val="21"/>
          <w:szCs w:val="21"/>
          <w:highlight w:val="none"/>
        </w:rPr>
        <w:t>已清楚</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2"/>
        <w:rPr>
          <w:color w:val="auto"/>
          <w:highlight w:val="none"/>
        </w:rPr>
      </w:pPr>
    </w:p>
    <w:p>
      <w:pPr>
        <w:rPr>
          <w:color w:val="auto"/>
          <w:highlight w:val="none"/>
        </w:rPr>
      </w:pPr>
      <w:bookmarkStart w:id="296" w:name="_Toc16412"/>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7" w:name="_Toc21335"/>
      <w:bookmarkStart w:id="298" w:name="_Toc21273"/>
      <w:r>
        <w:rPr>
          <w:rFonts w:hint="eastAsia"/>
          <w:color w:val="auto"/>
          <w:highlight w:val="none"/>
          <w:lang w:val="en-US" w:eastAsia="zh-CN"/>
        </w:rPr>
        <w:t>三、在参与政府采购活动前三年未有重大违法记录、没有不良信用记录的声明函</w:t>
      </w:r>
      <w:bookmarkEnd w:id="297"/>
      <w:bookmarkEnd w:id="298"/>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）政府采购活动前三年内（设立不满三年的从设立之日计算），在经营活动中没有因违法经营受到刑事处罚或者责令停产停业、吊销许可证或者执照、较大数额罚款等行政处罚。至本项目提交</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lang w:eastAsia="zh-CN"/>
        </w:rPr>
        <w:t>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9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99" w:name="_Toc13243"/>
      <w:bookmarkStart w:id="300" w:name="_Toc32128"/>
      <w:r>
        <w:rPr>
          <w:rFonts w:hint="eastAsia"/>
          <w:color w:val="auto"/>
          <w:highlight w:val="none"/>
          <w:lang w:val="en-US" w:eastAsia="zh-CN"/>
        </w:rPr>
        <w:t>四、法定代表人证明书</w:t>
      </w:r>
      <w:bookmarkEnd w:id="299"/>
      <w:bookmarkEnd w:id="300"/>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w:t>
      </w:r>
      <w:r>
        <w:rPr>
          <w:rFonts w:hint="eastAsia" w:ascii="宋体" w:eastAsia="宋体"/>
          <w:color w:val="auto"/>
          <w:sz w:val="21"/>
          <w:szCs w:val="21"/>
          <w:highlight w:val="none"/>
          <w:u w:val="single"/>
          <w:lang w:eastAsia="zh-CN"/>
        </w:rPr>
        <w:t>供应商</w:t>
      </w:r>
      <w:r>
        <w:rPr>
          <w:rFonts w:hint="eastAsia" w:ascii="宋体" w:eastAsia="宋体"/>
          <w:color w:val="auto"/>
          <w:sz w:val="21"/>
          <w:szCs w:val="21"/>
          <w:highlight w:val="none"/>
          <w:u w:val="single"/>
        </w:rPr>
        <w:t xml:space="preserve">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01" w:name="_Toc11689"/>
      <w:bookmarkStart w:id="302" w:name="_Toc5918"/>
      <w:r>
        <w:rPr>
          <w:rFonts w:hint="eastAsia"/>
          <w:color w:val="auto"/>
          <w:highlight w:val="none"/>
          <w:lang w:val="en-US" w:eastAsia="zh-CN"/>
        </w:rPr>
        <w:t>五、法定代表人授权书</w:t>
      </w:r>
      <w:bookmarkEnd w:id="301"/>
      <w:bookmarkEnd w:id="302"/>
    </w:p>
    <w:p>
      <w:pPr>
        <w:pStyle w:val="35"/>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5"/>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w:t>
      </w:r>
      <w:r>
        <w:rPr>
          <w:rFonts w:hint="eastAsia" w:ascii="宋体" w:hAnsi="宋体" w:cs="Times New Roman"/>
          <w:color w:val="auto"/>
          <w:sz w:val="21"/>
          <w:szCs w:val="21"/>
          <w:highlight w:val="none"/>
          <w:u w:val="single"/>
          <w:lang w:eastAsia="zh-CN"/>
        </w:rPr>
        <w:t>供应商</w:t>
      </w:r>
      <w:r>
        <w:rPr>
          <w:rFonts w:hint="eastAsia" w:ascii="宋体" w:hAnsi="宋体" w:eastAsia="宋体" w:cs="Times New Roman"/>
          <w:color w:val="auto"/>
          <w:sz w:val="21"/>
          <w:szCs w:val="21"/>
          <w:highlight w:val="none"/>
          <w:u w:val="single"/>
        </w:rPr>
        <w:t xml:space="preserve">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w:t>
      </w:r>
      <w:r>
        <w:rPr>
          <w:rFonts w:hint="eastAsia" w:ascii="宋体" w:hAnsi="宋体" w:cs="Times New Roman"/>
          <w:color w:val="auto"/>
          <w:sz w:val="21"/>
          <w:szCs w:val="21"/>
          <w:highlight w:val="none"/>
          <w:lang w:eastAsia="zh-CN"/>
        </w:rPr>
        <w:t>响应文件</w:t>
      </w:r>
      <w:r>
        <w:rPr>
          <w:rFonts w:hint="eastAsia" w:ascii="宋体" w:hAnsi="宋体" w:eastAsia="宋体" w:cs="Times New Roman"/>
          <w:color w:val="auto"/>
          <w:sz w:val="21"/>
          <w:szCs w:val="21"/>
          <w:highlight w:val="none"/>
        </w:rPr>
        <w:t>、签订合同和处理有关事宜，其法律后果由我方承担。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eastAsia="zh-CN"/>
        </w:rPr>
        <w:t>供应商</w:t>
      </w:r>
      <w:r>
        <w:rPr>
          <w:rFonts w:hint="eastAsia"/>
          <w:color w:val="auto"/>
          <w:highlight w:val="none"/>
        </w:rPr>
        <w:t>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303"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4" w:name="_Toc1197"/>
      <w:bookmarkStart w:id="305" w:name="_Toc24013"/>
      <w:r>
        <w:rPr>
          <w:rFonts w:hint="eastAsia"/>
          <w:color w:val="auto"/>
          <w:highlight w:val="none"/>
          <w:lang w:val="en-US" w:eastAsia="zh-CN"/>
        </w:rPr>
        <w:t>六、供应商基本情况说明</w:t>
      </w:r>
      <w:bookmarkEnd w:id="304"/>
      <w:bookmarkEnd w:id="305"/>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 xml:space="preserve">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306" w:name="_Toc11992"/>
      <w:bookmarkStart w:id="307" w:name="_Toc1511"/>
      <w:bookmarkStart w:id="308" w:name="_Toc4926"/>
      <w:bookmarkStart w:id="309" w:name="_Toc24210"/>
      <w:bookmarkStart w:id="310" w:name="_Toc17470"/>
      <w:bookmarkStart w:id="311" w:name="_Toc5919"/>
      <w:bookmarkStart w:id="312" w:name="_Toc29995"/>
      <w:r>
        <w:rPr>
          <w:rFonts w:hint="eastAsia"/>
          <w:color w:val="auto"/>
          <w:highlight w:val="none"/>
          <w:lang w:val="en-US" w:eastAsia="zh-CN"/>
        </w:rPr>
        <w:t>七、</w:t>
      </w:r>
      <w:r>
        <w:rPr>
          <w:rFonts w:hint="eastAsia"/>
          <w:color w:val="auto"/>
          <w:highlight w:val="none"/>
        </w:rPr>
        <w:t>营业执照</w:t>
      </w:r>
      <w:bookmarkEnd w:id="306"/>
      <w:bookmarkEnd w:id="307"/>
      <w:bookmarkEnd w:id="308"/>
      <w:bookmarkEnd w:id="309"/>
      <w:bookmarkEnd w:id="310"/>
      <w:bookmarkEnd w:id="311"/>
      <w:bookmarkEnd w:id="312"/>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303"/>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3" w:name="_Toc29439"/>
      <w:bookmarkStart w:id="314" w:name="_Toc12706"/>
      <w:r>
        <w:rPr>
          <w:rFonts w:hint="eastAsia"/>
          <w:color w:val="auto"/>
          <w:highlight w:val="none"/>
          <w:lang w:val="en-US" w:eastAsia="zh-CN"/>
        </w:rPr>
        <w:t>八、</w:t>
      </w:r>
      <w:r>
        <w:rPr>
          <w:rFonts w:hint="eastAsia"/>
          <w:color w:val="auto"/>
          <w:highlight w:val="none"/>
        </w:rPr>
        <w:t>特殊资格要求证明文件</w:t>
      </w:r>
      <w:bookmarkEnd w:id="313"/>
      <w:bookmarkEnd w:id="314"/>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15" w:name="_Toc14482"/>
      <w:bookmarkStart w:id="316" w:name="_Toc23341"/>
      <w:r>
        <w:rPr>
          <w:rFonts w:hint="eastAsia"/>
          <w:color w:val="auto"/>
          <w:highlight w:val="none"/>
          <w:lang w:val="en-US" w:eastAsia="zh-CN"/>
        </w:rPr>
        <w:t>九、</w:t>
      </w:r>
      <w:r>
        <w:rPr>
          <w:rFonts w:hint="eastAsia"/>
          <w:color w:val="auto"/>
          <w:highlight w:val="none"/>
        </w:rPr>
        <w:t>承诺书</w:t>
      </w:r>
      <w:bookmarkEnd w:id="315"/>
      <w:bookmarkEnd w:id="316"/>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17"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w:t>
      </w:r>
      <w:r>
        <w:rPr>
          <w:rFonts w:hint="eastAsia" w:ascii="宋体" w:eastAsia="宋体" w:cs="宋体"/>
          <w:b w:val="0"/>
          <w:bCs w:val="0"/>
          <w:color w:val="auto"/>
          <w:sz w:val="21"/>
          <w:szCs w:val="21"/>
          <w:highlight w:val="none"/>
          <w:lang w:eastAsia="zh-CN"/>
        </w:rPr>
        <w:t>磋商文件</w:t>
      </w:r>
      <w:r>
        <w:rPr>
          <w:rFonts w:hint="eastAsia" w:ascii="宋体" w:hAnsi="宋体" w:eastAsia="宋体" w:cs="宋体"/>
          <w:b w:val="0"/>
          <w:bCs w:val="0"/>
          <w:color w:val="auto"/>
          <w:sz w:val="21"/>
          <w:szCs w:val="21"/>
          <w:highlight w:val="none"/>
        </w:rPr>
        <w:t>的所有内容（包括澄清，以及所有已提供的参考资料和有关附件），并完全理解上述文件所表达的意思，该项目递交</w:t>
      </w:r>
      <w:r>
        <w:rPr>
          <w:rFonts w:hint="eastAsia" w:ascii="宋体" w:eastAsia="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时间截止后，我方承诺不再对上述文件内容进行询问或质疑。</w:t>
      </w:r>
      <w:bookmarkEnd w:id="317"/>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2"/>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31815"/>
      <w:bookmarkStart w:id="319" w:name="_Toc13653"/>
      <w:r>
        <w:rPr>
          <w:rFonts w:hint="eastAsia"/>
          <w:color w:val="auto"/>
          <w:highlight w:val="none"/>
          <w:lang w:val="en-US" w:eastAsia="zh-CN"/>
        </w:rPr>
        <w:t>十、招标代理服务费承诺书</w:t>
      </w:r>
      <w:bookmarkEnd w:id="318"/>
      <w:bookmarkEnd w:id="319"/>
    </w:p>
    <w:p>
      <w:pPr>
        <w:pStyle w:val="35"/>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w:t>
      </w:r>
      <w:r>
        <w:rPr>
          <w:rFonts w:hint="eastAsia" w:hAnsi="宋体" w:cs="宋体"/>
          <w:b w:val="0"/>
          <w:bCs w:val="0"/>
          <w:color w:val="auto"/>
          <w:sz w:val="21"/>
          <w:szCs w:val="21"/>
          <w:highlight w:val="none"/>
          <w:u w:val="single"/>
          <w:lang w:eastAsia="zh-CN"/>
        </w:rPr>
        <w:t>供应商</w:t>
      </w:r>
      <w:r>
        <w:rPr>
          <w:rFonts w:hint="eastAsia" w:ascii="宋体" w:hAnsi="宋体" w:eastAsia="宋体" w:cs="宋体"/>
          <w:b w:val="0"/>
          <w:bCs w:val="0"/>
          <w:color w:val="auto"/>
          <w:sz w:val="21"/>
          <w:szCs w:val="21"/>
          <w:highlight w:val="none"/>
          <w:u w:val="single"/>
        </w:rPr>
        <w:t xml:space="preserve">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cs="宋体"/>
          <w:b w:val="0"/>
          <w:bCs w:val="0"/>
          <w:color w:val="auto"/>
          <w:sz w:val="21"/>
          <w:szCs w:val="21"/>
          <w:highlight w:val="none"/>
          <w:lang w:eastAsia="zh-CN"/>
        </w:rPr>
        <w:t>供应商</w:t>
      </w:r>
      <w:r>
        <w:rPr>
          <w:rFonts w:hint="eastAsia" w:ascii="宋体" w:hAnsi="宋体" w:eastAsia="宋体" w:cs="宋体"/>
          <w:b w:val="0"/>
          <w:bCs w:val="0"/>
          <w:color w:val="auto"/>
          <w:sz w:val="21"/>
          <w:szCs w:val="21"/>
          <w:highlight w:val="none"/>
        </w:rPr>
        <w:t>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0" w:name="_Toc1975"/>
      <w:bookmarkStart w:id="321" w:name="_Toc21582"/>
      <w:r>
        <w:rPr>
          <w:rFonts w:hint="eastAsia"/>
          <w:color w:val="auto"/>
          <w:highlight w:val="none"/>
          <w:lang w:val="en-US" w:eastAsia="zh-CN"/>
        </w:rPr>
        <w:t>十一、</w:t>
      </w:r>
      <w:r>
        <w:rPr>
          <w:rFonts w:hint="eastAsia"/>
          <w:color w:val="auto"/>
          <w:highlight w:val="none"/>
        </w:rPr>
        <w:t>商务条款偏离表</w:t>
      </w:r>
      <w:bookmarkEnd w:id="320"/>
      <w:bookmarkEnd w:id="321"/>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的商务内容做出了实质性的响应，并申明与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322" w:name="_Toc32183"/>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3" w:name="_Toc7350"/>
      <w:bookmarkStart w:id="324" w:name="_Toc25391"/>
      <w:r>
        <w:rPr>
          <w:rFonts w:hint="eastAsia"/>
          <w:color w:val="auto"/>
          <w:highlight w:val="none"/>
          <w:lang w:val="en-US" w:eastAsia="zh-CN"/>
        </w:rPr>
        <w:t>十二、</w:t>
      </w:r>
      <w:r>
        <w:rPr>
          <w:rFonts w:hint="eastAsia"/>
          <w:color w:val="auto"/>
          <w:highlight w:val="none"/>
        </w:rPr>
        <w:t>业绩表</w:t>
      </w:r>
      <w:bookmarkEnd w:id="323"/>
      <w:bookmarkEnd w:id="324"/>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highlight w:val="none"/>
        </w:rPr>
      </w:pPr>
    </w:p>
    <w:p>
      <w:pPr>
        <w:pStyle w:val="32"/>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pStyle w:val="2"/>
        <w:ind w:left="0" w:leftChars="0" w:firstLine="0" w:firstLineChars="0"/>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325" w:name="_Toc14688"/>
      <w:bookmarkStart w:id="326" w:name="_Toc25650"/>
      <w:r>
        <w:rPr>
          <w:rFonts w:hint="eastAsia"/>
          <w:color w:val="auto"/>
          <w:highlight w:val="none"/>
          <w:lang w:val="en-US" w:eastAsia="zh-CN"/>
        </w:rPr>
        <w:t>第三章技术文件</w:t>
      </w:r>
      <w:bookmarkEnd w:id="322"/>
      <w:bookmarkEnd w:id="325"/>
      <w:bookmarkEnd w:id="326"/>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27" w:name="_Toc13588"/>
      <w:bookmarkStart w:id="328" w:name="_Toc7092"/>
      <w:r>
        <w:rPr>
          <w:rFonts w:hint="eastAsia"/>
          <w:color w:val="auto"/>
          <w:highlight w:val="none"/>
          <w:lang w:val="en-US" w:eastAsia="zh-CN"/>
        </w:rPr>
        <w:t>一、</w:t>
      </w:r>
      <w:r>
        <w:rPr>
          <w:rFonts w:hint="eastAsia"/>
          <w:color w:val="auto"/>
          <w:highlight w:val="none"/>
        </w:rPr>
        <w:t>技术规格偏离表</w:t>
      </w:r>
      <w:bookmarkEnd w:id="327"/>
      <w:bookmarkEnd w:id="328"/>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磋商文件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应对照</w:t>
      </w:r>
      <w:r>
        <w:rPr>
          <w:rFonts w:hint="eastAsia" w:ascii="宋体" w:hAnsi="宋体"/>
          <w:color w:val="auto"/>
          <w:sz w:val="21"/>
          <w:szCs w:val="21"/>
          <w:highlight w:val="none"/>
          <w:lang w:eastAsia="zh-CN"/>
        </w:rPr>
        <w:t>磋商文件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29" w:name="_Toc17691"/>
      <w:r>
        <w:rPr>
          <w:rFonts w:hint="eastAsia" w:ascii="宋体" w:hAnsi="宋体" w:eastAsia="宋体"/>
          <w:color w:val="auto"/>
          <w:sz w:val="21"/>
          <w:szCs w:val="21"/>
          <w:highlight w:val="none"/>
        </w:rPr>
        <w:br w:type="page"/>
      </w:r>
      <w:bookmarkEnd w:id="329"/>
      <w:bookmarkStart w:id="330" w:name="_Toc1274"/>
      <w:bookmarkStart w:id="331" w:name="_Toc4464"/>
      <w:bookmarkStart w:id="332" w:name="_Toc4827"/>
      <w:bookmarkStart w:id="333" w:name="_Toc26078"/>
      <w:bookmarkStart w:id="334" w:name="_Toc6080"/>
      <w:bookmarkStart w:id="335" w:name="_Toc18668"/>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36" w:name="_Toc10734"/>
      <w:bookmarkStart w:id="337" w:name="_Toc28702"/>
      <w:r>
        <w:rPr>
          <w:rFonts w:hint="eastAsia"/>
          <w:color w:val="auto"/>
          <w:highlight w:val="none"/>
          <w:lang w:val="en-US" w:eastAsia="zh-CN"/>
        </w:rPr>
        <w:t>二、</w:t>
      </w:r>
      <w:r>
        <w:rPr>
          <w:rFonts w:hint="eastAsia"/>
          <w:color w:val="auto"/>
          <w:highlight w:val="none"/>
        </w:rPr>
        <w:t>重要技术参数（▲）响应表</w:t>
      </w:r>
      <w:bookmarkEnd w:id="330"/>
      <w:bookmarkEnd w:id="331"/>
      <w:bookmarkEnd w:id="332"/>
      <w:bookmarkEnd w:id="333"/>
      <w:bookmarkEnd w:id="334"/>
      <w:bookmarkEnd w:id="335"/>
      <w:bookmarkEnd w:id="336"/>
      <w:bookmarkEnd w:id="337"/>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38" w:name="_Toc29642"/>
            <w:bookmarkStart w:id="339" w:name="_Toc29560"/>
            <w:bookmarkStart w:id="340" w:name="_Toc27079"/>
            <w:bookmarkStart w:id="341" w:name="_Toc2784"/>
            <w:r>
              <w:rPr>
                <w:rFonts w:hint="eastAsia" w:ascii="宋体" w:hAnsi="宋体" w:eastAsia="宋体" w:cs="宋体"/>
                <w:b w:val="0"/>
                <w:bCs w:val="0"/>
                <w:color w:val="auto"/>
                <w:sz w:val="21"/>
                <w:szCs w:val="21"/>
                <w:highlight w:val="none"/>
                <w:lang w:val="en-US" w:eastAsia="zh-CN"/>
              </w:rPr>
              <w:t>序号</w:t>
            </w:r>
            <w:bookmarkEnd w:id="338"/>
            <w:bookmarkEnd w:id="339"/>
            <w:bookmarkEnd w:id="340"/>
            <w:bookmarkEnd w:id="341"/>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42" w:name="_Toc16872"/>
            <w:bookmarkStart w:id="343" w:name="_Toc26124"/>
            <w:bookmarkStart w:id="344" w:name="_Toc10045"/>
            <w:bookmarkStart w:id="345" w:name="_Toc15368"/>
            <w:bookmarkStart w:id="346" w:name="_Toc1016"/>
            <w:bookmarkStart w:id="347" w:name="_Toc21739"/>
            <w:bookmarkStart w:id="348" w:name="_Toc12049"/>
            <w:bookmarkStart w:id="349" w:name="_Toc6189"/>
            <w:bookmarkStart w:id="350" w:name="_Toc4304"/>
            <w:bookmarkStart w:id="351" w:name="_Toc15903"/>
            <w:bookmarkStart w:id="352" w:name="_Toc14815"/>
            <w:bookmarkStart w:id="353" w:name="_Toc22448"/>
            <w:bookmarkStart w:id="354" w:name="_Toc2700"/>
            <w:bookmarkStart w:id="355" w:name="_Toc27090"/>
            <w:bookmarkStart w:id="356" w:name="_Toc19251"/>
            <w:bookmarkStart w:id="357" w:name="_Toc22917"/>
            <w:bookmarkStart w:id="358" w:name="_Toc8490"/>
            <w:bookmarkStart w:id="359" w:name="_Toc32531"/>
            <w:bookmarkStart w:id="360" w:name="_Toc21809"/>
            <w:bookmarkStart w:id="361" w:name="_Toc27442"/>
            <w:bookmarkStart w:id="362" w:name="_Toc7333"/>
            <w:bookmarkStart w:id="363" w:name="_Toc24662"/>
            <w:bookmarkStart w:id="364" w:name="_Toc22879"/>
            <w:bookmarkStart w:id="365" w:name="_Toc8312"/>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bookmarkEnd w:id="356"/>
          <w:bookmarkEnd w:id="357"/>
          <w:bookmarkEnd w:id="358"/>
          <w:bookmarkEnd w:id="359"/>
          <w:bookmarkEnd w:id="360"/>
          <w:bookmarkEnd w:id="361"/>
          <w:bookmarkEnd w:id="362"/>
          <w:bookmarkEnd w:id="363"/>
          <w:bookmarkEnd w:id="364"/>
          <w:bookmarkEnd w:id="365"/>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66" w:name="_Toc22153"/>
            <w:bookmarkStart w:id="367" w:name="_Toc21496"/>
            <w:bookmarkStart w:id="368" w:name="_Toc2408"/>
            <w:bookmarkStart w:id="369" w:name="_Toc10122"/>
            <w:r>
              <w:rPr>
                <w:rFonts w:hint="eastAsia" w:ascii="宋体" w:hAnsi="宋体" w:eastAsia="宋体" w:cs="宋体"/>
                <w:b w:val="0"/>
                <w:bCs w:val="0"/>
                <w:color w:val="auto"/>
                <w:kern w:val="0"/>
                <w:sz w:val="21"/>
                <w:szCs w:val="21"/>
                <w:highlight w:val="none"/>
                <w:lang w:eastAsia="zh-CN"/>
              </w:rPr>
              <w:t>响应文件</w:t>
            </w:r>
            <w:r>
              <w:rPr>
                <w:rFonts w:hint="eastAsia" w:ascii="宋体" w:hAnsi="宋体" w:eastAsia="宋体" w:cs="宋体"/>
                <w:b w:val="0"/>
                <w:bCs w:val="0"/>
                <w:color w:val="auto"/>
                <w:kern w:val="0"/>
                <w:sz w:val="21"/>
                <w:szCs w:val="21"/>
                <w:highlight w:val="none"/>
              </w:rPr>
              <w:t>响应内容</w:t>
            </w:r>
            <w:bookmarkEnd w:id="366"/>
            <w:bookmarkEnd w:id="367"/>
            <w:bookmarkEnd w:id="368"/>
            <w:bookmarkEnd w:id="369"/>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370" w:name="_Toc27285"/>
            <w:bookmarkStart w:id="371" w:name="_Toc29838"/>
            <w:bookmarkStart w:id="372" w:name="_Toc16432"/>
            <w:bookmarkStart w:id="373" w:name="_Toc16003"/>
            <w:bookmarkStart w:id="374" w:name="_Toc20139"/>
            <w:bookmarkStart w:id="375" w:name="_Toc1330"/>
            <w:bookmarkStart w:id="376" w:name="_Toc5563"/>
            <w:bookmarkStart w:id="377" w:name="_Toc20820"/>
            <w:bookmarkStart w:id="378" w:name="_Toc1912"/>
            <w:bookmarkStart w:id="379" w:name="_Toc27185"/>
            <w:bookmarkStart w:id="380" w:name="_Toc3701"/>
            <w:bookmarkStart w:id="381" w:name="_Toc5992"/>
            <w:bookmarkStart w:id="382" w:name="_Toc17296"/>
            <w:bookmarkStart w:id="383" w:name="_Toc17642"/>
            <w:r>
              <w:rPr>
                <w:rFonts w:hint="eastAsia" w:ascii="宋体" w:hAnsi="宋体" w:eastAsia="宋体" w:cs="宋体"/>
                <w:b w:val="0"/>
                <w:bCs w:val="0"/>
                <w:color w:val="auto"/>
                <w:sz w:val="21"/>
                <w:szCs w:val="21"/>
                <w:highlight w:val="none"/>
                <w:lang w:val="en-US" w:eastAsia="zh-CN"/>
              </w:rPr>
              <w:t>说明</w:t>
            </w:r>
            <w:bookmarkEnd w:id="370"/>
            <w:bookmarkEnd w:id="371"/>
            <w:bookmarkEnd w:id="372"/>
            <w:bookmarkEnd w:id="373"/>
          </w:p>
        </w:tc>
        <w:tc>
          <w:tcPr>
            <w:tcW w:w="1591"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84" w:name="_Toc19105"/>
            <w:bookmarkStart w:id="385" w:name="_Toc31920"/>
            <w:bookmarkStart w:id="386" w:name="_Toc857"/>
            <w:bookmarkStart w:id="387" w:name="_Toc3520"/>
            <w:r>
              <w:rPr>
                <w:rFonts w:hint="eastAsia" w:ascii="宋体" w:hAnsi="宋体" w:eastAsia="宋体" w:cs="宋体"/>
                <w:b w:val="0"/>
                <w:bCs w:val="0"/>
                <w:color w:val="auto"/>
                <w:sz w:val="21"/>
                <w:szCs w:val="21"/>
                <w:highlight w:val="none"/>
              </w:rPr>
              <w:t>页码范围</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w:t>
            </w:r>
            <w:r>
              <w:rPr>
                <w:rFonts w:hint="eastAsia" w:ascii="宋体" w:hAnsi="宋体" w:cs="宋体"/>
                <w:b w:val="0"/>
                <w:bCs w:val="0"/>
                <w:color w:val="auto"/>
                <w:sz w:val="21"/>
                <w:szCs w:val="21"/>
                <w:highlight w:val="none"/>
                <w:lang w:eastAsia="zh-CN"/>
              </w:rPr>
              <w:t>响应文件</w:t>
            </w:r>
            <w:r>
              <w:rPr>
                <w:rFonts w:hint="eastAsia" w:ascii="宋体" w:hAnsi="宋体" w:eastAsia="宋体" w:cs="宋体"/>
                <w:b w:val="0"/>
                <w:bCs w:val="0"/>
                <w:color w:val="auto"/>
                <w:sz w:val="21"/>
                <w:szCs w:val="21"/>
                <w:highlight w:val="none"/>
              </w:rPr>
              <w:t>第（）页</w:t>
            </w:r>
          </w:p>
        </w:tc>
      </w:tr>
    </w:tbl>
    <w:p>
      <w:pPr>
        <w:pStyle w:val="32"/>
        <w:spacing w:after="0" w:line="360" w:lineRule="auto"/>
        <w:rPr>
          <w:rFonts w:ascii="宋体" w:hAnsi="宋体" w:eastAsia="宋体"/>
          <w:color w:val="auto"/>
          <w:sz w:val="21"/>
          <w:szCs w:val="21"/>
          <w:highlight w:val="none"/>
        </w:rPr>
      </w:pP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w:t>
      </w:r>
      <w:r>
        <w:rPr>
          <w:rFonts w:hint="eastAsia" w:ascii="宋体" w:hAnsi="宋体"/>
          <w:color w:val="auto"/>
          <w:sz w:val="21"/>
          <w:szCs w:val="21"/>
          <w:highlight w:val="none"/>
          <w:lang w:val="en-US" w:eastAsia="zh-CN"/>
        </w:rPr>
        <w:t>供应商</w:t>
      </w:r>
      <w:r>
        <w:rPr>
          <w:rFonts w:hint="eastAsia" w:ascii="宋体" w:hAnsi="宋体" w:eastAsia="宋体"/>
          <w:color w:val="auto"/>
          <w:sz w:val="21"/>
          <w:szCs w:val="21"/>
          <w:highlight w:val="none"/>
        </w:rPr>
        <w:t>应逐条对照</w:t>
      </w:r>
      <w:r>
        <w:rPr>
          <w:rFonts w:hint="eastAsia" w:ascii="宋体" w:hAnsi="宋体"/>
          <w:color w:val="auto"/>
          <w:sz w:val="21"/>
          <w:szCs w:val="21"/>
          <w:highlight w:val="none"/>
          <w:lang w:eastAsia="zh-CN"/>
        </w:rPr>
        <w:t>磋商文件</w:t>
      </w:r>
      <w:r>
        <w:rPr>
          <w:rFonts w:hint="eastAsia" w:ascii="宋体" w:hAnsi="宋体" w:eastAsia="宋体"/>
          <w:color w:val="auto"/>
          <w:sz w:val="21"/>
          <w:szCs w:val="21"/>
          <w:highlight w:val="none"/>
        </w:rPr>
        <w:t>重要评分条款，如实地说明响应情况。</w:t>
      </w:r>
    </w:p>
    <w:p>
      <w:pPr>
        <w:pStyle w:val="32"/>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w:t>
      </w:r>
      <w:r>
        <w:rPr>
          <w:rFonts w:hint="eastAsia" w:ascii="宋体" w:hAnsi="宋体"/>
          <w:b/>
          <w:bCs/>
          <w:color w:val="auto"/>
          <w:sz w:val="21"/>
          <w:szCs w:val="21"/>
          <w:highlight w:val="none"/>
          <w:lang w:eastAsia="zh-CN"/>
        </w:rPr>
        <w:t>磋商文件</w:t>
      </w:r>
      <w:r>
        <w:rPr>
          <w:rFonts w:hint="eastAsia" w:ascii="宋体" w:hAnsi="宋体" w:eastAsia="宋体"/>
          <w:b/>
          <w:bCs/>
          <w:color w:val="auto"/>
          <w:sz w:val="21"/>
          <w:szCs w:val="21"/>
          <w:highlight w:val="none"/>
        </w:rPr>
        <w:t>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2"/>
        <w:spacing w:after="0" w:line="360" w:lineRule="auto"/>
        <w:rPr>
          <w:rFonts w:ascii="宋体" w:hAnsi="宋体" w:eastAsia="宋体"/>
          <w:color w:val="auto"/>
          <w:sz w:val="21"/>
          <w:szCs w:val="21"/>
          <w:highlight w:val="none"/>
        </w:rPr>
      </w:pPr>
    </w:p>
    <w:p>
      <w:pPr>
        <w:pStyle w:val="32"/>
        <w:numPr>
          <w:ilvl w:val="0"/>
          <w:numId w:val="23"/>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88" w:name="_Toc25570"/>
      <w:bookmarkStart w:id="389" w:name="_Toc19349"/>
      <w:r>
        <w:rPr>
          <w:rFonts w:hint="eastAsia"/>
          <w:color w:val="auto"/>
          <w:highlight w:val="none"/>
          <w:lang w:val="en-US" w:eastAsia="zh-CN"/>
        </w:rPr>
        <w:t>三、</w:t>
      </w:r>
      <w:r>
        <w:rPr>
          <w:rFonts w:hint="eastAsia"/>
          <w:color w:val="auto"/>
          <w:highlight w:val="none"/>
        </w:rPr>
        <w:t>实质性条款（标记★）响应表</w:t>
      </w:r>
      <w:bookmarkEnd w:id="388"/>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磋商文件</w:t>
            </w:r>
            <w:r>
              <w:rPr>
                <w:rFonts w:hint="eastAsia" w:ascii="宋体" w:hAnsi="宋体" w:cs="宋体"/>
                <w:color w:val="auto"/>
                <w:kern w:val="0"/>
                <w:sz w:val="24"/>
                <w:szCs w:val="24"/>
                <w:highlight w:val="none"/>
              </w:rPr>
              <w:t>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lang w:eastAsia="zh-CN"/>
              </w:rPr>
              <w:t>响应文件</w:t>
            </w:r>
            <w:r>
              <w:rPr>
                <w:rFonts w:hint="eastAsia" w:ascii="宋体" w:hAnsi="宋体" w:cs="宋体"/>
                <w:color w:val="auto"/>
                <w:kern w:val="0"/>
                <w:sz w:val="24"/>
                <w:szCs w:val="24"/>
                <w:highlight w:val="none"/>
              </w:rPr>
              <w:t>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w:t>
            </w:r>
            <w:r>
              <w:rPr>
                <w:rFonts w:hint="eastAsia" w:ascii="宋体" w:hAnsi="宋体"/>
                <w:color w:val="auto"/>
                <w:sz w:val="24"/>
                <w:highlight w:val="none"/>
                <w:lang w:eastAsia="zh-CN"/>
              </w:rPr>
              <w:t>响应文件</w:t>
            </w:r>
            <w:r>
              <w:rPr>
                <w:rFonts w:hint="eastAsia" w:ascii="宋体" w:hAnsi="宋体"/>
                <w:color w:val="auto"/>
                <w:sz w:val="24"/>
                <w:highlight w:val="none"/>
              </w:rPr>
              <w:t>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olor w:val="auto"/>
          <w:sz w:val="21"/>
          <w:szCs w:val="21"/>
          <w:highlight w:val="none"/>
          <w:lang w:eastAsia="zh-CN"/>
        </w:rPr>
        <w:t>供应商</w:t>
      </w:r>
      <w:r>
        <w:rPr>
          <w:rFonts w:hint="eastAsia" w:ascii="宋体" w:hAnsi="宋体" w:eastAsia="宋体"/>
          <w:color w:val="auto"/>
          <w:sz w:val="21"/>
          <w:szCs w:val="21"/>
          <w:highlight w:val="none"/>
        </w:rPr>
        <w:t>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w:t>
      </w:r>
      <w:r>
        <w:rPr>
          <w:rFonts w:hint="eastAsia"/>
          <w:color w:val="auto"/>
          <w:highlight w:val="none"/>
          <w:lang w:eastAsia="zh-CN"/>
        </w:rPr>
        <w:t>磋商文件</w:t>
      </w:r>
      <w:r>
        <w:rPr>
          <w:rFonts w:hint="eastAsia"/>
          <w:color w:val="auto"/>
          <w:highlight w:val="none"/>
        </w:rPr>
        <w:t>实质性条款，如实地说明响应情况。不满足的按无效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w:t>
      </w:r>
      <w:r>
        <w:rPr>
          <w:rFonts w:hint="eastAsia"/>
          <w:color w:val="auto"/>
          <w:highlight w:val="none"/>
          <w:lang w:val="en-US" w:eastAsia="zh-CN"/>
        </w:rPr>
        <w:t>响应文件</w:t>
      </w:r>
      <w:r>
        <w:rPr>
          <w:rFonts w:hint="eastAsia"/>
          <w:color w:val="auto"/>
          <w:highlight w:val="none"/>
        </w:rPr>
        <w:t>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w:t>
      </w:r>
      <w:r>
        <w:rPr>
          <w:rFonts w:hint="eastAsia"/>
          <w:color w:val="auto"/>
          <w:highlight w:val="none"/>
          <w:lang w:eastAsia="zh-CN"/>
        </w:rPr>
        <w:t>磋商文件</w:t>
      </w:r>
      <w:r>
        <w:rPr>
          <w:rFonts w:hint="eastAsia"/>
          <w:color w:val="auto"/>
          <w:highlight w:val="none"/>
        </w:rPr>
        <w:t>未设定实质性条款的，可删除本格式。</w:t>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90" w:name="_Toc14250"/>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89"/>
      <w:bookmarkEnd w:id="390"/>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1" w:name="_Toc16875"/>
      <w:bookmarkStart w:id="392" w:name="_Toc16328"/>
      <w:r>
        <w:rPr>
          <w:rFonts w:hint="eastAsia"/>
          <w:color w:val="auto"/>
          <w:highlight w:val="none"/>
          <w:lang w:val="en-US" w:eastAsia="zh-CN"/>
        </w:rPr>
        <w:t>五、项目负责人及团队成员资料表</w:t>
      </w:r>
      <w:bookmarkEnd w:id="391"/>
      <w:bookmarkEnd w:id="392"/>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2"/>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93" w:name="_Toc27978"/>
      <w:bookmarkStart w:id="394" w:name="_Toc15431"/>
      <w:r>
        <w:rPr>
          <w:rFonts w:hint="eastAsia"/>
          <w:color w:val="auto"/>
          <w:highlight w:val="none"/>
          <w:lang w:val="en-US" w:eastAsia="zh-CN"/>
        </w:rPr>
        <w:t>六、响应货物明细一览表</w:t>
      </w:r>
      <w:bookmarkEnd w:id="393"/>
      <w:bookmarkEnd w:id="394"/>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cs="Times New Roman"/>
          <w:color w:val="auto"/>
          <w:sz w:val="21"/>
          <w:szCs w:val="21"/>
          <w:highlight w:val="none"/>
          <w:lang w:eastAsia="zh-CN"/>
        </w:rPr>
        <w:t>供应商</w:t>
      </w:r>
      <w:r>
        <w:rPr>
          <w:rFonts w:hint="eastAsia" w:ascii="宋体" w:hAnsi="宋体" w:eastAsia="宋体" w:cs="Times New Roman"/>
          <w:color w:val="auto"/>
          <w:sz w:val="21"/>
          <w:szCs w:val="21"/>
          <w:highlight w:val="none"/>
        </w:rPr>
        <w:t>盖章：</w:t>
      </w:r>
      <w:r>
        <w:rPr>
          <w:rFonts w:hint="eastAsia" w:ascii="宋体" w:hAnsi="宋体" w:eastAsia="宋体"/>
          <w:color w:val="auto"/>
          <w:sz w:val="21"/>
          <w:szCs w:val="21"/>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5" w:name="_Toc31841"/>
      <w:r>
        <w:rPr>
          <w:rFonts w:hint="eastAsia"/>
          <w:color w:val="auto"/>
          <w:highlight w:val="none"/>
          <w:lang w:val="en-US" w:eastAsia="zh-CN"/>
        </w:rPr>
        <w:t>七、政府采购履约担保函</w:t>
      </w:r>
      <w:bookmarkEnd w:id="39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w:t>
      </w: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w:t>
      </w:r>
      <w:r>
        <w:rPr>
          <w:rFonts w:hint="eastAsia" w:ascii="宋体" w:hAnsi="宋体"/>
          <w:color w:val="auto"/>
          <w:sz w:val="21"/>
          <w:szCs w:val="21"/>
          <w:highlight w:val="none"/>
          <w:lang w:eastAsia="zh-CN"/>
        </w:rPr>
        <w:t>响应文件</w:t>
      </w:r>
      <w:r>
        <w:rPr>
          <w:rFonts w:hint="eastAsia" w:ascii="宋体" w:hAnsi="宋体" w:eastAsia="宋体"/>
          <w:color w:val="auto"/>
          <w:sz w:val="21"/>
          <w:szCs w:val="21"/>
          <w:highlight w:val="none"/>
        </w:rPr>
        <w:t>中提供此格式。</w:t>
      </w:r>
    </w:p>
    <w:p>
      <w:pPr>
        <w:pStyle w:val="2"/>
        <w:rPr>
          <w:color w:val="auto"/>
          <w:highlight w:val="none"/>
        </w:rPr>
      </w:pPr>
    </w:p>
    <w:p>
      <w:pPr>
        <w:bidi w:val="0"/>
        <w:rPr>
          <w:color w:val="auto"/>
          <w:highlight w:val="none"/>
        </w:rPr>
      </w:pPr>
      <w:r>
        <w:rPr>
          <w:color w:val="auto"/>
          <w:highlight w:val="none"/>
        </w:rPr>
        <w:br w:type="page"/>
      </w: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6" w:name="_Toc17348"/>
      <w:bookmarkStart w:id="397" w:name="_Toc26782"/>
      <w:r>
        <w:rPr>
          <w:rFonts w:hint="eastAsia"/>
          <w:color w:val="auto"/>
          <w:highlight w:val="none"/>
          <w:lang w:val="en-US" w:eastAsia="zh-CN"/>
        </w:rPr>
        <w:t>第四章报价信封（单独封装）</w:t>
      </w:r>
      <w:bookmarkEnd w:id="396"/>
      <w:bookmarkEnd w:id="39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98"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5"/>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99" w:name="_Toc22736"/>
      <w:bookmarkStart w:id="400" w:name="_Toc13881"/>
      <w:r>
        <w:rPr>
          <w:rFonts w:hint="eastAsia"/>
          <w:color w:val="auto"/>
          <w:highlight w:val="none"/>
          <w:lang w:val="en-US" w:eastAsia="zh-CN"/>
        </w:rPr>
        <w:t>第五章联合体共同报价协议书（如有需要）</w:t>
      </w:r>
      <w:bookmarkEnd w:id="399"/>
      <w:bookmarkEnd w:id="40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w:t>
      </w:r>
      <w:r>
        <w:rPr>
          <w:rFonts w:hint="eastAsia" w:ascii="宋体" w:hAnsi="宋体" w:cs="宋体"/>
          <w:color w:val="auto"/>
          <w:kern w:val="0"/>
          <w:sz w:val="21"/>
          <w:szCs w:val="21"/>
          <w:highlight w:val="none"/>
          <w:lang w:eastAsia="zh-CN"/>
        </w:rPr>
        <w:t>报价</w:t>
      </w:r>
      <w:r>
        <w:rPr>
          <w:rFonts w:hint="eastAsia" w:ascii="宋体" w:hAnsi="宋体" w:eastAsia="宋体" w:cs="宋体"/>
          <w:color w:val="auto"/>
          <w:kern w:val="0"/>
          <w:sz w:val="21"/>
          <w:szCs w:val="21"/>
          <w:highlight w:val="none"/>
        </w:rPr>
        <w:t>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w:t>
      </w:r>
      <w:r>
        <w:rPr>
          <w:rFonts w:hint="eastAsia" w:ascii="宋体" w:hAnsi="宋体" w:cs="宋体"/>
          <w:color w:val="auto"/>
          <w:kern w:val="10"/>
          <w:sz w:val="21"/>
          <w:szCs w:val="21"/>
          <w:highlight w:val="none"/>
          <w:lang w:eastAsia="zh-CN"/>
        </w:rPr>
        <w:t>报价</w:t>
      </w:r>
      <w:r>
        <w:rPr>
          <w:rFonts w:hint="eastAsia" w:ascii="宋体" w:hAnsi="宋体" w:eastAsia="宋体" w:cs="宋体"/>
          <w:color w:val="auto"/>
          <w:kern w:val="10"/>
          <w:sz w:val="21"/>
          <w:szCs w:val="21"/>
          <w:highlight w:val="none"/>
        </w:rPr>
        <w:t>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作为联合体成员，若中标、成交，联合体各方共同与采购人签订政府采购合同。其中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w:t>
      </w:r>
      <w:r>
        <w:rPr>
          <w:rFonts w:hint="eastAsia" w:ascii="宋体" w:hAnsi="宋体" w:cs="宋体"/>
          <w:color w:val="auto"/>
          <w:sz w:val="21"/>
          <w:szCs w:val="21"/>
          <w:highlight w:val="none"/>
          <w:lang w:eastAsia="zh-CN"/>
        </w:rPr>
        <w:t>报价</w:t>
      </w:r>
      <w:r>
        <w:rPr>
          <w:rFonts w:hint="eastAsia" w:ascii="宋体" w:hAnsi="宋体" w:eastAsia="宋体" w:cs="宋体"/>
          <w:color w:val="auto"/>
          <w:sz w:val="21"/>
          <w:szCs w:val="21"/>
          <w:highlight w:val="none"/>
        </w:rPr>
        <w:t>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xml:space="preserve"> </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98"/>
    <w:p>
      <w:pPr>
        <w:spacing w:after="0" w:line="360" w:lineRule="auto"/>
        <w:jc w:val="both"/>
        <w:rPr>
          <w:rFonts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2"/>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2"/>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spacing w:after="0" w:line="360" w:lineRule="auto"/>
        <w:rPr>
          <w:color w:val="auto"/>
          <w:highlight w:val="none"/>
        </w:rPr>
      </w:pPr>
    </w:p>
    <w:p>
      <w:pPr>
        <w:pStyle w:val="2"/>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pStyle w:val="21"/>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获取磋商文件登记表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440"/>
        <w:gridCol w:w="1955"/>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项目包号</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1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2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w:t>
            </w:r>
            <w:r>
              <w:rPr>
                <w:rFonts w:hint="eastAsia" w:ascii="宋体" w:hAnsi="宋体" w:eastAsia="宋体" w:cs="宋体"/>
                <w:i w:val="0"/>
                <w:iCs w:val="0"/>
                <w:color w:val="auto"/>
                <w:kern w:val="0"/>
                <w:sz w:val="28"/>
                <w:szCs w:val="28"/>
                <w:highlight w:val="none"/>
                <w:u w:val="none"/>
                <w:lang w:val="en-US" w:eastAsia="zh-CN" w:bidi="ar"/>
              </w:rPr>
              <w:t>元/份</w:t>
            </w:r>
          </w:p>
        </w:tc>
      </w:tr>
    </w:tbl>
    <w:p>
      <w:pPr>
        <w:pStyle w:val="21"/>
        <w:ind w:left="0" w:leftChars="0" w:firstLine="0" w:firstLineChars="0"/>
        <w:rPr>
          <w:color w:val="auto"/>
          <w:highlight w:val="none"/>
        </w:rPr>
      </w:pPr>
    </w:p>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77</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34B0D"/>
    <w:multiLevelType w:val="singleLevel"/>
    <w:tmpl w:val="89D34B0D"/>
    <w:lvl w:ilvl="0" w:tentative="0">
      <w:start w:val="1"/>
      <w:numFmt w:val="chineseCounting"/>
      <w:suff w:val="nothing"/>
      <w:lvlText w:val="（%1）"/>
      <w:lvlJc w:val="left"/>
      <w:pPr>
        <w:ind w:left="0" w:firstLine="420"/>
      </w:pPr>
      <w:rPr>
        <w:rFonts w:hint="eastAsia"/>
      </w:rPr>
    </w:lvl>
  </w:abstractNum>
  <w:abstractNum w:abstractNumId="1">
    <w:nsid w:val="9179EE29"/>
    <w:multiLevelType w:val="singleLevel"/>
    <w:tmpl w:val="9179EE29"/>
    <w:lvl w:ilvl="0" w:tentative="0">
      <w:start w:val="1"/>
      <w:numFmt w:val="chineseCounting"/>
      <w:suff w:val="nothing"/>
      <w:lvlText w:val="（%1）"/>
      <w:lvlJc w:val="left"/>
      <w:pPr>
        <w:ind w:left="0" w:firstLine="420"/>
      </w:pPr>
      <w:rPr>
        <w:rFonts w:hint="eastAsia"/>
      </w:rPr>
    </w:lvl>
  </w:abstractNum>
  <w:abstractNum w:abstractNumId="2">
    <w:nsid w:val="93587489"/>
    <w:multiLevelType w:val="singleLevel"/>
    <w:tmpl w:val="93587489"/>
    <w:lvl w:ilvl="0" w:tentative="0">
      <w:start w:val="1"/>
      <w:numFmt w:val="decimal"/>
      <w:suff w:val="nothing"/>
      <w:lvlText w:val="%1、"/>
      <w:lvlJc w:val="left"/>
    </w:lvl>
  </w:abstractNum>
  <w:abstractNum w:abstractNumId="3">
    <w:nsid w:val="A9B5F2C3"/>
    <w:multiLevelType w:val="singleLevel"/>
    <w:tmpl w:val="A9B5F2C3"/>
    <w:lvl w:ilvl="0" w:tentative="0">
      <w:start w:val="1"/>
      <w:numFmt w:val="chineseCounting"/>
      <w:suff w:val="nothing"/>
      <w:lvlText w:val="（%1）"/>
      <w:lvlJc w:val="left"/>
      <w:pPr>
        <w:ind w:left="0" w:firstLine="420"/>
      </w:pPr>
      <w:rPr>
        <w:rFonts w:hint="eastAsia"/>
      </w:rPr>
    </w:lvl>
  </w:abstractNum>
  <w:abstractNum w:abstractNumId="4">
    <w:nsid w:val="AE4BBCA9"/>
    <w:multiLevelType w:val="singleLevel"/>
    <w:tmpl w:val="AE4BBCA9"/>
    <w:lvl w:ilvl="0" w:tentative="0">
      <w:start w:val="1"/>
      <w:numFmt w:val="chineseCounting"/>
      <w:suff w:val="nothing"/>
      <w:lvlText w:val="（%1）"/>
      <w:lvlJc w:val="left"/>
      <w:pPr>
        <w:ind w:left="0" w:firstLine="420"/>
      </w:pPr>
      <w:rPr>
        <w:rFonts w:hint="eastAsia"/>
      </w:rPr>
    </w:lvl>
  </w:abstractNum>
  <w:abstractNum w:abstractNumId="5">
    <w:nsid w:val="C390C518"/>
    <w:multiLevelType w:val="singleLevel"/>
    <w:tmpl w:val="C390C518"/>
    <w:lvl w:ilvl="0" w:tentative="0">
      <w:start w:val="1"/>
      <w:numFmt w:val="chineseCounting"/>
      <w:suff w:val="nothing"/>
      <w:lvlText w:val="（%1）"/>
      <w:lvlJc w:val="left"/>
      <w:pPr>
        <w:ind w:left="0" w:firstLine="420"/>
      </w:pPr>
      <w:rPr>
        <w:rFonts w:hint="eastAsia"/>
      </w:rPr>
    </w:lvl>
  </w:abstractNum>
  <w:abstractNum w:abstractNumId="6">
    <w:nsid w:val="C519C6EB"/>
    <w:multiLevelType w:val="singleLevel"/>
    <w:tmpl w:val="C519C6EB"/>
    <w:lvl w:ilvl="0" w:tentative="0">
      <w:start w:val="1"/>
      <w:numFmt w:val="chineseCounting"/>
      <w:suff w:val="nothing"/>
      <w:lvlText w:val="（%1）"/>
      <w:lvlJc w:val="left"/>
      <w:pPr>
        <w:ind w:left="0" w:firstLine="420"/>
      </w:pPr>
      <w:rPr>
        <w:rFonts w:hint="eastAsia"/>
      </w:rPr>
    </w:lvl>
  </w:abstractNum>
  <w:abstractNum w:abstractNumId="7">
    <w:nsid w:val="CBB10C87"/>
    <w:multiLevelType w:val="singleLevel"/>
    <w:tmpl w:val="CBB10C87"/>
    <w:lvl w:ilvl="0" w:tentative="0">
      <w:start w:val="1"/>
      <w:numFmt w:val="chineseCounting"/>
      <w:suff w:val="nothing"/>
      <w:lvlText w:val="（%1）"/>
      <w:lvlJc w:val="left"/>
      <w:pPr>
        <w:ind w:left="0" w:firstLine="420"/>
      </w:pPr>
      <w:rPr>
        <w:rFonts w:hint="eastAsia"/>
      </w:rPr>
    </w:lvl>
  </w:abstractNum>
  <w:abstractNum w:abstractNumId="8">
    <w:nsid w:val="CFF174A5"/>
    <w:multiLevelType w:val="singleLevel"/>
    <w:tmpl w:val="CFF174A5"/>
    <w:lvl w:ilvl="0" w:tentative="0">
      <w:start w:val="1"/>
      <w:numFmt w:val="decimal"/>
      <w:suff w:val="nothing"/>
      <w:lvlText w:val="%1、"/>
      <w:lvlJc w:val="left"/>
    </w:lvl>
  </w:abstractNum>
  <w:abstractNum w:abstractNumId="9">
    <w:nsid w:val="F75A158C"/>
    <w:multiLevelType w:val="singleLevel"/>
    <w:tmpl w:val="F75A158C"/>
    <w:lvl w:ilvl="0" w:tentative="0">
      <w:start w:val="1"/>
      <w:numFmt w:val="chineseCounting"/>
      <w:suff w:val="nothing"/>
      <w:lvlText w:val="（%1）"/>
      <w:lvlJc w:val="left"/>
      <w:pPr>
        <w:ind w:left="0" w:firstLine="420"/>
      </w:pPr>
      <w:rPr>
        <w:rFonts w:hint="eastAsia"/>
      </w:rPr>
    </w:lvl>
  </w:abstractNum>
  <w:abstractNum w:abstractNumId="10">
    <w:nsid w:val="F8DC71CB"/>
    <w:multiLevelType w:val="multilevel"/>
    <w:tmpl w:val="F8DC71CB"/>
    <w:lvl w:ilvl="0" w:tentative="0">
      <w:start w:val="1"/>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1">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9F15884"/>
    <w:multiLevelType w:val="singleLevel"/>
    <w:tmpl w:val="09F15884"/>
    <w:lvl w:ilvl="0" w:tentative="0">
      <w:start w:val="1"/>
      <w:numFmt w:val="chineseCounting"/>
      <w:suff w:val="nothing"/>
      <w:lvlText w:val="（%1）"/>
      <w:lvlJc w:val="left"/>
      <w:pPr>
        <w:ind w:left="0" w:firstLine="420"/>
      </w:pPr>
      <w:rPr>
        <w:rFonts w:hint="eastAsia"/>
      </w:rPr>
    </w:lvl>
  </w:abstractNum>
  <w:abstractNum w:abstractNumId="13">
    <w:nsid w:val="0FC50A68"/>
    <w:multiLevelType w:val="singleLevel"/>
    <w:tmpl w:val="0FC50A68"/>
    <w:lvl w:ilvl="0" w:tentative="0">
      <w:start w:val="1"/>
      <w:numFmt w:val="chineseCounting"/>
      <w:suff w:val="nothing"/>
      <w:lvlText w:val="（%1）"/>
      <w:lvlJc w:val="left"/>
      <w:pPr>
        <w:ind w:left="0" w:firstLine="420"/>
      </w:pPr>
      <w:rPr>
        <w:rFonts w:hint="eastAsia"/>
      </w:rPr>
    </w:lvl>
  </w:abstractNum>
  <w:abstractNum w:abstractNumId="14">
    <w:nsid w:val="18194041"/>
    <w:multiLevelType w:val="singleLevel"/>
    <w:tmpl w:val="18194041"/>
    <w:lvl w:ilvl="0" w:tentative="0">
      <w:start w:val="1"/>
      <w:numFmt w:val="chineseCounting"/>
      <w:suff w:val="nothing"/>
      <w:lvlText w:val="（%1）"/>
      <w:lvlJc w:val="left"/>
      <w:pPr>
        <w:ind w:left="0" w:firstLine="420"/>
      </w:pPr>
      <w:rPr>
        <w:rFonts w:hint="eastAsia"/>
      </w:rPr>
    </w:lvl>
  </w:abstractNum>
  <w:abstractNum w:abstractNumId="15">
    <w:nsid w:val="26B358F5"/>
    <w:multiLevelType w:val="singleLevel"/>
    <w:tmpl w:val="26B358F5"/>
    <w:lvl w:ilvl="0" w:tentative="0">
      <w:start w:val="11"/>
      <w:numFmt w:val="decimal"/>
      <w:suff w:val="nothing"/>
      <w:lvlText w:val="%1、"/>
      <w:lvlJc w:val="left"/>
    </w:lvl>
  </w:abstractNum>
  <w:abstractNum w:abstractNumId="16">
    <w:nsid w:val="316010E5"/>
    <w:multiLevelType w:val="singleLevel"/>
    <w:tmpl w:val="316010E5"/>
    <w:lvl w:ilvl="0" w:tentative="0">
      <w:start w:val="1"/>
      <w:numFmt w:val="decimal"/>
      <w:suff w:val="nothing"/>
      <w:lvlText w:val="%1．"/>
      <w:lvlJc w:val="left"/>
    </w:lvl>
  </w:abstractNum>
  <w:abstractNum w:abstractNumId="17">
    <w:nsid w:val="3AA531BF"/>
    <w:multiLevelType w:val="singleLevel"/>
    <w:tmpl w:val="3AA531BF"/>
    <w:lvl w:ilvl="0" w:tentative="0">
      <w:start w:val="1"/>
      <w:numFmt w:val="chineseCounting"/>
      <w:suff w:val="nothing"/>
      <w:lvlText w:val="（%1）"/>
      <w:lvlJc w:val="left"/>
      <w:pPr>
        <w:ind w:left="0" w:firstLine="420"/>
      </w:pPr>
      <w:rPr>
        <w:rFonts w:hint="eastAsia"/>
      </w:rPr>
    </w:lvl>
  </w:abstractNum>
  <w:abstractNum w:abstractNumId="18">
    <w:nsid w:val="3B1B8417"/>
    <w:multiLevelType w:val="singleLevel"/>
    <w:tmpl w:val="3B1B8417"/>
    <w:lvl w:ilvl="0" w:tentative="0">
      <w:start w:val="1"/>
      <w:numFmt w:val="decimal"/>
      <w:suff w:val="nothing"/>
      <w:lvlText w:val="%1、"/>
      <w:lvlJc w:val="left"/>
    </w:lvl>
  </w:abstractNum>
  <w:abstractNum w:abstractNumId="19">
    <w:nsid w:val="49F65E66"/>
    <w:multiLevelType w:val="multilevel"/>
    <w:tmpl w:val="49F65E66"/>
    <w:lvl w:ilvl="0" w:tentative="0">
      <w:start w:val="2"/>
      <w:numFmt w:val="decimal"/>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0">
    <w:nsid w:val="5ED241A3"/>
    <w:multiLevelType w:val="singleLevel"/>
    <w:tmpl w:val="5ED241A3"/>
    <w:lvl w:ilvl="0" w:tentative="0">
      <w:start w:val="1"/>
      <w:numFmt w:val="chineseCounting"/>
      <w:suff w:val="nothing"/>
      <w:lvlText w:val="（%1）"/>
      <w:lvlJc w:val="left"/>
      <w:pPr>
        <w:ind w:left="0" w:firstLine="420"/>
      </w:pPr>
      <w:rPr>
        <w:rFonts w:hint="eastAsia"/>
      </w:rPr>
    </w:lvl>
  </w:abstractNum>
  <w:abstractNum w:abstractNumId="21">
    <w:nsid w:val="6825E712"/>
    <w:multiLevelType w:val="singleLevel"/>
    <w:tmpl w:val="6825E712"/>
    <w:lvl w:ilvl="0" w:tentative="0">
      <w:start w:val="1"/>
      <w:numFmt w:val="chineseCounting"/>
      <w:suff w:val="nothing"/>
      <w:lvlText w:val="（%1）"/>
      <w:lvlJc w:val="left"/>
      <w:pPr>
        <w:ind w:left="0" w:firstLine="420"/>
      </w:pPr>
      <w:rPr>
        <w:rFonts w:hint="eastAsia"/>
      </w:rPr>
    </w:lvl>
  </w:abstractNum>
  <w:abstractNum w:abstractNumId="22">
    <w:nsid w:val="6E5CE7BD"/>
    <w:multiLevelType w:val="singleLevel"/>
    <w:tmpl w:val="6E5CE7BD"/>
    <w:lvl w:ilvl="0" w:tentative="0">
      <w:start w:val="1"/>
      <w:numFmt w:val="chineseCounting"/>
      <w:suff w:val="nothing"/>
      <w:lvlText w:val="%1、"/>
      <w:lvlJc w:val="left"/>
      <w:rPr>
        <w:rFonts w:hint="eastAsia"/>
      </w:rPr>
    </w:lvl>
  </w:abstractNum>
  <w:abstractNum w:abstractNumId="23">
    <w:nsid w:val="7C4D1C4B"/>
    <w:multiLevelType w:val="multilevel"/>
    <w:tmpl w:val="7C4D1C4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2"/>
  </w:num>
  <w:num w:numId="2">
    <w:abstractNumId w:val="18"/>
  </w:num>
  <w:num w:numId="3">
    <w:abstractNumId w:val="10"/>
  </w:num>
  <w:num w:numId="4">
    <w:abstractNumId w:val="23"/>
  </w:num>
  <w:num w:numId="5">
    <w:abstractNumId w:val="19"/>
  </w:num>
  <w:num w:numId="6">
    <w:abstractNumId w:val="4"/>
  </w:num>
  <w:num w:numId="7">
    <w:abstractNumId w:val="5"/>
  </w:num>
  <w:num w:numId="8">
    <w:abstractNumId w:val="0"/>
  </w:num>
  <w:num w:numId="9">
    <w:abstractNumId w:val="1"/>
  </w:num>
  <w:num w:numId="10">
    <w:abstractNumId w:val="17"/>
  </w:num>
  <w:num w:numId="11">
    <w:abstractNumId w:val="14"/>
  </w:num>
  <w:num w:numId="12">
    <w:abstractNumId w:val="7"/>
  </w:num>
  <w:num w:numId="13">
    <w:abstractNumId w:val="6"/>
  </w:num>
  <w:num w:numId="14">
    <w:abstractNumId w:val="20"/>
  </w:num>
  <w:num w:numId="15">
    <w:abstractNumId w:val="3"/>
  </w:num>
  <w:num w:numId="16">
    <w:abstractNumId w:val="9"/>
  </w:num>
  <w:num w:numId="17">
    <w:abstractNumId w:val="12"/>
  </w:num>
  <w:num w:numId="18">
    <w:abstractNumId w:val="13"/>
  </w:num>
  <w:num w:numId="19">
    <w:abstractNumId w:val="21"/>
  </w:num>
  <w:num w:numId="20">
    <w:abstractNumId w:val="15"/>
  </w:num>
  <w:num w:numId="21">
    <w:abstractNumId w:val="8"/>
  </w:num>
  <w:num w:numId="22">
    <w:abstractNumId w:val="11"/>
  </w:num>
  <w:num w:numId="23">
    <w:abstractNumId w:val="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23B0"/>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DF1036"/>
    <w:rsid w:val="050F6021"/>
    <w:rsid w:val="05197CF4"/>
    <w:rsid w:val="05A97DEC"/>
    <w:rsid w:val="05B66560"/>
    <w:rsid w:val="05C81981"/>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7CF4001"/>
    <w:rsid w:val="08031A31"/>
    <w:rsid w:val="081A5CC7"/>
    <w:rsid w:val="08A276E5"/>
    <w:rsid w:val="09061A75"/>
    <w:rsid w:val="09087948"/>
    <w:rsid w:val="09182241"/>
    <w:rsid w:val="09242E62"/>
    <w:rsid w:val="093174E5"/>
    <w:rsid w:val="093C069F"/>
    <w:rsid w:val="09417888"/>
    <w:rsid w:val="095909FF"/>
    <w:rsid w:val="09855177"/>
    <w:rsid w:val="09870F93"/>
    <w:rsid w:val="09D658E4"/>
    <w:rsid w:val="09F1637C"/>
    <w:rsid w:val="0A25628F"/>
    <w:rsid w:val="0AA534D5"/>
    <w:rsid w:val="0AA650EB"/>
    <w:rsid w:val="0AB8066A"/>
    <w:rsid w:val="0AF47339"/>
    <w:rsid w:val="0B22594B"/>
    <w:rsid w:val="0B6709D0"/>
    <w:rsid w:val="0B797387"/>
    <w:rsid w:val="0BC044BE"/>
    <w:rsid w:val="0BDF26F7"/>
    <w:rsid w:val="0C264099"/>
    <w:rsid w:val="0C2B4952"/>
    <w:rsid w:val="0C7B2220"/>
    <w:rsid w:val="0CDA11BC"/>
    <w:rsid w:val="0D890E47"/>
    <w:rsid w:val="0DC64A00"/>
    <w:rsid w:val="0DFC60BA"/>
    <w:rsid w:val="0DFF4FAE"/>
    <w:rsid w:val="0E4249F1"/>
    <w:rsid w:val="0F6C5A53"/>
    <w:rsid w:val="0F7C5FF6"/>
    <w:rsid w:val="0FC63FBD"/>
    <w:rsid w:val="106C564D"/>
    <w:rsid w:val="107B7B8F"/>
    <w:rsid w:val="107C67CE"/>
    <w:rsid w:val="108F06C9"/>
    <w:rsid w:val="109D68CB"/>
    <w:rsid w:val="10A949B8"/>
    <w:rsid w:val="10C54639"/>
    <w:rsid w:val="11200D07"/>
    <w:rsid w:val="11DA73AF"/>
    <w:rsid w:val="12C60D80"/>
    <w:rsid w:val="131F7A3A"/>
    <w:rsid w:val="1325108A"/>
    <w:rsid w:val="132645D0"/>
    <w:rsid w:val="13455ABC"/>
    <w:rsid w:val="1370322B"/>
    <w:rsid w:val="13B27845"/>
    <w:rsid w:val="13BE469F"/>
    <w:rsid w:val="13F87121"/>
    <w:rsid w:val="141A03E1"/>
    <w:rsid w:val="14362D09"/>
    <w:rsid w:val="143B2E0B"/>
    <w:rsid w:val="14672B11"/>
    <w:rsid w:val="14892735"/>
    <w:rsid w:val="14CC769D"/>
    <w:rsid w:val="15735E00"/>
    <w:rsid w:val="157D38E3"/>
    <w:rsid w:val="15D359D7"/>
    <w:rsid w:val="15D81E0F"/>
    <w:rsid w:val="161771F3"/>
    <w:rsid w:val="16222D6D"/>
    <w:rsid w:val="163C77BE"/>
    <w:rsid w:val="16632F86"/>
    <w:rsid w:val="1679588C"/>
    <w:rsid w:val="16994962"/>
    <w:rsid w:val="16A71041"/>
    <w:rsid w:val="16AA24BF"/>
    <w:rsid w:val="16E529C8"/>
    <w:rsid w:val="16F72341"/>
    <w:rsid w:val="17680CAB"/>
    <w:rsid w:val="176E4128"/>
    <w:rsid w:val="1783371F"/>
    <w:rsid w:val="17E62B67"/>
    <w:rsid w:val="180C0192"/>
    <w:rsid w:val="180F4499"/>
    <w:rsid w:val="18221ECE"/>
    <w:rsid w:val="190B7894"/>
    <w:rsid w:val="19A2789F"/>
    <w:rsid w:val="1A3109F9"/>
    <w:rsid w:val="1A460CF5"/>
    <w:rsid w:val="1A7F297D"/>
    <w:rsid w:val="1AB16AC1"/>
    <w:rsid w:val="1B034A52"/>
    <w:rsid w:val="1B1F34AD"/>
    <w:rsid w:val="1B8D5DC6"/>
    <w:rsid w:val="1BA7712F"/>
    <w:rsid w:val="1BFE1D3B"/>
    <w:rsid w:val="1C2775EC"/>
    <w:rsid w:val="1C750ECE"/>
    <w:rsid w:val="1CA22168"/>
    <w:rsid w:val="1D0836D7"/>
    <w:rsid w:val="1D196139"/>
    <w:rsid w:val="1D3A2A58"/>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4814CBE"/>
    <w:rsid w:val="24AC168B"/>
    <w:rsid w:val="24B70A22"/>
    <w:rsid w:val="2564795E"/>
    <w:rsid w:val="258C3BEC"/>
    <w:rsid w:val="25A92CDD"/>
    <w:rsid w:val="25E44366"/>
    <w:rsid w:val="25E576CC"/>
    <w:rsid w:val="260E3862"/>
    <w:rsid w:val="262569FC"/>
    <w:rsid w:val="26344C98"/>
    <w:rsid w:val="26F56CE2"/>
    <w:rsid w:val="27435D49"/>
    <w:rsid w:val="279A7D3C"/>
    <w:rsid w:val="27A34F71"/>
    <w:rsid w:val="27B36A67"/>
    <w:rsid w:val="27EB0D9B"/>
    <w:rsid w:val="285A0766"/>
    <w:rsid w:val="286602C8"/>
    <w:rsid w:val="28665C95"/>
    <w:rsid w:val="28872B17"/>
    <w:rsid w:val="28A64522"/>
    <w:rsid w:val="28CC5B40"/>
    <w:rsid w:val="28FB7971"/>
    <w:rsid w:val="290B3EB9"/>
    <w:rsid w:val="291418C2"/>
    <w:rsid w:val="2950768C"/>
    <w:rsid w:val="297A5FC4"/>
    <w:rsid w:val="2A1113BC"/>
    <w:rsid w:val="2A586210"/>
    <w:rsid w:val="2A764C51"/>
    <w:rsid w:val="2A8D4F8F"/>
    <w:rsid w:val="2A911082"/>
    <w:rsid w:val="2A917B34"/>
    <w:rsid w:val="2AE3766F"/>
    <w:rsid w:val="2B7E4054"/>
    <w:rsid w:val="2BF22742"/>
    <w:rsid w:val="2C987C56"/>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FF27D2"/>
    <w:rsid w:val="311573CF"/>
    <w:rsid w:val="31170995"/>
    <w:rsid w:val="31264A30"/>
    <w:rsid w:val="31884E67"/>
    <w:rsid w:val="31A0275E"/>
    <w:rsid w:val="31B7357A"/>
    <w:rsid w:val="31E14405"/>
    <w:rsid w:val="31ED6B08"/>
    <w:rsid w:val="31F915C9"/>
    <w:rsid w:val="32610CE6"/>
    <w:rsid w:val="328464CE"/>
    <w:rsid w:val="32AB70C5"/>
    <w:rsid w:val="32DC33E0"/>
    <w:rsid w:val="335D0AF5"/>
    <w:rsid w:val="33614D0F"/>
    <w:rsid w:val="3370088C"/>
    <w:rsid w:val="33A3154A"/>
    <w:rsid w:val="33DC2F78"/>
    <w:rsid w:val="3428227C"/>
    <w:rsid w:val="343B1793"/>
    <w:rsid w:val="35260F83"/>
    <w:rsid w:val="35602226"/>
    <w:rsid w:val="356B72E7"/>
    <w:rsid w:val="3572424F"/>
    <w:rsid w:val="35FC3844"/>
    <w:rsid w:val="36794DEF"/>
    <w:rsid w:val="36AD519D"/>
    <w:rsid w:val="36B57705"/>
    <w:rsid w:val="374F1A0B"/>
    <w:rsid w:val="37A103ED"/>
    <w:rsid w:val="37DC7ABE"/>
    <w:rsid w:val="37EA5E6E"/>
    <w:rsid w:val="37FF016F"/>
    <w:rsid w:val="38427C0B"/>
    <w:rsid w:val="387C5ABE"/>
    <w:rsid w:val="389B3A1E"/>
    <w:rsid w:val="38EB6119"/>
    <w:rsid w:val="39DE33DA"/>
    <w:rsid w:val="39FA5B4A"/>
    <w:rsid w:val="39FE0BE9"/>
    <w:rsid w:val="3A3C1AAF"/>
    <w:rsid w:val="3A4B7CC1"/>
    <w:rsid w:val="3A51228C"/>
    <w:rsid w:val="3A552E60"/>
    <w:rsid w:val="3A5D642F"/>
    <w:rsid w:val="3AA45820"/>
    <w:rsid w:val="3AB210FC"/>
    <w:rsid w:val="3ACE216B"/>
    <w:rsid w:val="3AD95C13"/>
    <w:rsid w:val="3B261E51"/>
    <w:rsid w:val="3B973F88"/>
    <w:rsid w:val="3BCD72F7"/>
    <w:rsid w:val="3C414142"/>
    <w:rsid w:val="3C9121FF"/>
    <w:rsid w:val="3CE114D9"/>
    <w:rsid w:val="3CF737A2"/>
    <w:rsid w:val="3CF7509A"/>
    <w:rsid w:val="3D10295A"/>
    <w:rsid w:val="3D6773E5"/>
    <w:rsid w:val="3E0572FD"/>
    <w:rsid w:val="3E1A5292"/>
    <w:rsid w:val="3E5A7FE7"/>
    <w:rsid w:val="3EC8179E"/>
    <w:rsid w:val="3EF66B2E"/>
    <w:rsid w:val="3F217914"/>
    <w:rsid w:val="3FD70BB0"/>
    <w:rsid w:val="3FFB55AC"/>
    <w:rsid w:val="401C5F9D"/>
    <w:rsid w:val="401C690C"/>
    <w:rsid w:val="401D7195"/>
    <w:rsid w:val="406C71E8"/>
    <w:rsid w:val="40A51286"/>
    <w:rsid w:val="40B360A0"/>
    <w:rsid w:val="40CE3DC0"/>
    <w:rsid w:val="40D7455A"/>
    <w:rsid w:val="40E743E5"/>
    <w:rsid w:val="4110038E"/>
    <w:rsid w:val="41734CBA"/>
    <w:rsid w:val="41DD7057"/>
    <w:rsid w:val="420F7A65"/>
    <w:rsid w:val="4216611A"/>
    <w:rsid w:val="423E300F"/>
    <w:rsid w:val="425656C8"/>
    <w:rsid w:val="4257273C"/>
    <w:rsid w:val="425D7213"/>
    <w:rsid w:val="42677B61"/>
    <w:rsid w:val="42756DB0"/>
    <w:rsid w:val="42B21AD2"/>
    <w:rsid w:val="42FD694D"/>
    <w:rsid w:val="434A6D8F"/>
    <w:rsid w:val="4397723B"/>
    <w:rsid w:val="43D522BF"/>
    <w:rsid w:val="43FA5777"/>
    <w:rsid w:val="44044D92"/>
    <w:rsid w:val="441C1611"/>
    <w:rsid w:val="44212CEC"/>
    <w:rsid w:val="443C440B"/>
    <w:rsid w:val="443F7DBF"/>
    <w:rsid w:val="44514F52"/>
    <w:rsid w:val="448965CB"/>
    <w:rsid w:val="44C5497E"/>
    <w:rsid w:val="44FA2D53"/>
    <w:rsid w:val="4571374F"/>
    <w:rsid w:val="458B1BB0"/>
    <w:rsid w:val="45A67760"/>
    <w:rsid w:val="4611075B"/>
    <w:rsid w:val="46214818"/>
    <w:rsid w:val="467A0297"/>
    <w:rsid w:val="468B7125"/>
    <w:rsid w:val="46C4691F"/>
    <w:rsid w:val="46C80769"/>
    <w:rsid w:val="47841568"/>
    <w:rsid w:val="479D1D34"/>
    <w:rsid w:val="47B609C0"/>
    <w:rsid w:val="47CF543E"/>
    <w:rsid w:val="482D31EA"/>
    <w:rsid w:val="485970A0"/>
    <w:rsid w:val="48847961"/>
    <w:rsid w:val="48A41906"/>
    <w:rsid w:val="48B65C71"/>
    <w:rsid w:val="48BB5EC4"/>
    <w:rsid w:val="48F303D7"/>
    <w:rsid w:val="492837FF"/>
    <w:rsid w:val="492E6A57"/>
    <w:rsid w:val="49B86103"/>
    <w:rsid w:val="4A0030EE"/>
    <w:rsid w:val="4AB75B3A"/>
    <w:rsid w:val="4AC36065"/>
    <w:rsid w:val="4B560086"/>
    <w:rsid w:val="4B7501F5"/>
    <w:rsid w:val="4B8C2DEB"/>
    <w:rsid w:val="4BFA3C9F"/>
    <w:rsid w:val="4C0E3379"/>
    <w:rsid w:val="4C107F48"/>
    <w:rsid w:val="4C3277BC"/>
    <w:rsid w:val="4C686851"/>
    <w:rsid w:val="4CC353EB"/>
    <w:rsid w:val="4CF36F3C"/>
    <w:rsid w:val="4CFC69A5"/>
    <w:rsid w:val="4D4F67BA"/>
    <w:rsid w:val="4D603399"/>
    <w:rsid w:val="4D867EE1"/>
    <w:rsid w:val="4DBC4C65"/>
    <w:rsid w:val="4DF6568D"/>
    <w:rsid w:val="4E2E1A80"/>
    <w:rsid w:val="4E550010"/>
    <w:rsid w:val="4E5F14CB"/>
    <w:rsid w:val="4EED7FC5"/>
    <w:rsid w:val="4F3705F8"/>
    <w:rsid w:val="4FAC3540"/>
    <w:rsid w:val="4FBB12F4"/>
    <w:rsid w:val="4FCF1583"/>
    <w:rsid w:val="4FFA7625"/>
    <w:rsid w:val="501B0BF9"/>
    <w:rsid w:val="507D2599"/>
    <w:rsid w:val="50904151"/>
    <w:rsid w:val="5096229D"/>
    <w:rsid w:val="50B44FCE"/>
    <w:rsid w:val="50DC4184"/>
    <w:rsid w:val="51475B39"/>
    <w:rsid w:val="514C3EA7"/>
    <w:rsid w:val="519849E5"/>
    <w:rsid w:val="51B36892"/>
    <w:rsid w:val="51E44D3C"/>
    <w:rsid w:val="524A036B"/>
    <w:rsid w:val="52506DA7"/>
    <w:rsid w:val="529D471C"/>
    <w:rsid w:val="533B2B84"/>
    <w:rsid w:val="535F3BF1"/>
    <w:rsid w:val="537A7243"/>
    <w:rsid w:val="539C1B81"/>
    <w:rsid w:val="53AA6184"/>
    <w:rsid w:val="53AE750F"/>
    <w:rsid w:val="53EB0895"/>
    <w:rsid w:val="53F263AD"/>
    <w:rsid w:val="54693932"/>
    <w:rsid w:val="549A6BFA"/>
    <w:rsid w:val="54A6423F"/>
    <w:rsid w:val="54E72921"/>
    <w:rsid w:val="55806F07"/>
    <w:rsid w:val="55A44ACC"/>
    <w:rsid w:val="55FA2961"/>
    <w:rsid w:val="565E7F4F"/>
    <w:rsid w:val="56775789"/>
    <w:rsid w:val="56857D06"/>
    <w:rsid w:val="56914056"/>
    <w:rsid w:val="569F0E63"/>
    <w:rsid w:val="56DB613D"/>
    <w:rsid w:val="573810DA"/>
    <w:rsid w:val="57C94C90"/>
    <w:rsid w:val="57FC2169"/>
    <w:rsid w:val="58096275"/>
    <w:rsid w:val="580E4560"/>
    <w:rsid w:val="581C04F1"/>
    <w:rsid w:val="582E6EF7"/>
    <w:rsid w:val="58434392"/>
    <w:rsid w:val="584A5C51"/>
    <w:rsid w:val="584E30E6"/>
    <w:rsid w:val="59014D02"/>
    <w:rsid w:val="592E16F6"/>
    <w:rsid w:val="597B384D"/>
    <w:rsid w:val="59996DA8"/>
    <w:rsid w:val="59AA6B55"/>
    <w:rsid w:val="59AC3CE9"/>
    <w:rsid w:val="59C30F1B"/>
    <w:rsid w:val="5A0D5854"/>
    <w:rsid w:val="5A20156F"/>
    <w:rsid w:val="5A2A32CF"/>
    <w:rsid w:val="5A9847F3"/>
    <w:rsid w:val="5AC7121C"/>
    <w:rsid w:val="5AD90B8D"/>
    <w:rsid w:val="5AE12927"/>
    <w:rsid w:val="5B2243E9"/>
    <w:rsid w:val="5B4E1A44"/>
    <w:rsid w:val="5B666742"/>
    <w:rsid w:val="5B6919B0"/>
    <w:rsid w:val="5B873201"/>
    <w:rsid w:val="5B89551D"/>
    <w:rsid w:val="5B967767"/>
    <w:rsid w:val="5B9E55DE"/>
    <w:rsid w:val="5BEB3C95"/>
    <w:rsid w:val="5C1D18D2"/>
    <w:rsid w:val="5C286807"/>
    <w:rsid w:val="5C446BC8"/>
    <w:rsid w:val="5C4C687B"/>
    <w:rsid w:val="5C7C2768"/>
    <w:rsid w:val="5CB23AE6"/>
    <w:rsid w:val="5CF55792"/>
    <w:rsid w:val="5CFD533A"/>
    <w:rsid w:val="5D2F72C2"/>
    <w:rsid w:val="5D893B14"/>
    <w:rsid w:val="5E2810D5"/>
    <w:rsid w:val="5E2B7D62"/>
    <w:rsid w:val="5E71411E"/>
    <w:rsid w:val="5EA06921"/>
    <w:rsid w:val="5ED5006A"/>
    <w:rsid w:val="5F236957"/>
    <w:rsid w:val="5F576E4B"/>
    <w:rsid w:val="5F5D4EDE"/>
    <w:rsid w:val="5F7A2C30"/>
    <w:rsid w:val="5FBE370A"/>
    <w:rsid w:val="5FD62906"/>
    <w:rsid w:val="60292845"/>
    <w:rsid w:val="61027308"/>
    <w:rsid w:val="612E1A5D"/>
    <w:rsid w:val="61816046"/>
    <w:rsid w:val="62182687"/>
    <w:rsid w:val="62391564"/>
    <w:rsid w:val="62816669"/>
    <w:rsid w:val="62BA0953"/>
    <w:rsid w:val="62D03A7C"/>
    <w:rsid w:val="62F16BCB"/>
    <w:rsid w:val="62F648FE"/>
    <w:rsid w:val="63341DB1"/>
    <w:rsid w:val="63447612"/>
    <w:rsid w:val="63907004"/>
    <w:rsid w:val="639A73C1"/>
    <w:rsid w:val="63A10995"/>
    <w:rsid w:val="63C23EFA"/>
    <w:rsid w:val="63E52E10"/>
    <w:rsid w:val="643A070A"/>
    <w:rsid w:val="644C573D"/>
    <w:rsid w:val="648667A7"/>
    <w:rsid w:val="64DB383A"/>
    <w:rsid w:val="65032F85"/>
    <w:rsid w:val="65136B50"/>
    <w:rsid w:val="657E2A35"/>
    <w:rsid w:val="65A94E9D"/>
    <w:rsid w:val="65C60A92"/>
    <w:rsid w:val="65C7105B"/>
    <w:rsid w:val="65F3550D"/>
    <w:rsid w:val="662203DD"/>
    <w:rsid w:val="666B723B"/>
    <w:rsid w:val="6678045A"/>
    <w:rsid w:val="66DD6702"/>
    <w:rsid w:val="679406CB"/>
    <w:rsid w:val="67C35C0B"/>
    <w:rsid w:val="67E03826"/>
    <w:rsid w:val="681233D2"/>
    <w:rsid w:val="681D5EE5"/>
    <w:rsid w:val="68652AB3"/>
    <w:rsid w:val="689F1926"/>
    <w:rsid w:val="68AD17BB"/>
    <w:rsid w:val="68D94D22"/>
    <w:rsid w:val="692B2E4A"/>
    <w:rsid w:val="694303FB"/>
    <w:rsid w:val="696A0B34"/>
    <w:rsid w:val="698D6A17"/>
    <w:rsid w:val="69A233E7"/>
    <w:rsid w:val="69EE3535"/>
    <w:rsid w:val="69F954C1"/>
    <w:rsid w:val="6A2031B6"/>
    <w:rsid w:val="6A440C53"/>
    <w:rsid w:val="6A882AD0"/>
    <w:rsid w:val="6AC61F6F"/>
    <w:rsid w:val="6ADE74F0"/>
    <w:rsid w:val="6B1002C0"/>
    <w:rsid w:val="6B1F5CFA"/>
    <w:rsid w:val="6B723594"/>
    <w:rsid w:val="6B805156"/>
    <w:rsid w:val="6BD50977"/>
    <w:rsid w:val="6BEA2A9B"/>
    <w:rsid w:val="6C9C0875"/>
    <w:rsid w:val="6C9D1F03"/>
    <w:rsid w:val="6CAA3931"/>
    <w:rsid w:val="6D3933CA"/>
    <w:rsid w:val="6D7B61EC"/>
    <w:rsid w:val="6DD049FF"/>
    <w:rsid w:val="6E09491E"/>
    <w:rsid w:val="6E0D3655"/>
    <w:rsid w:val="6E5F4465"/>
    <w:rsid w:val="6E8C54DA"/>
    <w:rsid w:val="6EBC0603"/>
    <w:rsid w:val="6EF11E03"/>
    <w:rsid w:val="6F111C62"/>
    <w:rsid w:val="6F2176E5"/>
    <w:rsid w:val="6F3053CA"/>
    <w:rsid w:val="6F36242A"/>
    <w:rsid w:val="6F592303"/>
    <w:rsid w:val="6F5F5B74"/>
    <w:rsid w:val="6F9B1C65"/>
    <w:rsid w:val="6FD47A25"/>
    <w:rsid w:val="6FF44026"/>
    <w:rsid w:val="6FFB146E"/>
    <w:rsid w:val="701A5C74"/>
    <w:rsid w:val="706516C3"/>
    <w:rsid w:val="70864A71"/>
    <w:rsid w:val="70896E68"/>
    <w:rsid w:val="714556B4"/>
    <w:rsid w:val="715B60E9"/>
    <w:rsid w:val="71E96309"/>
    <w:rsid w:val="71EA1FED"/>
    <w:rsid w:val="72284A0C"/>
    <w:rsid w:val="72854629"/>
    <w:rsid w:val="72C16204"/>
    <w:rsid w:val="730313F6"/>
    <w:rsid w:val="731E1007"/>
    <w:rsid w:val="73370D24"/>
    <w:rsid w:val="7359268C"/>
    <w:rsid w:val="739503EB"/>
    <w:rsid w:val="73A05B28"/>
    <w:rsid w:val="73C07D69"/>
    <w:rsid w:val="749E2255"/>
    <w:rsid w:val="74B42AE4"/>
    <w:rsid w:val="750A429D"/>
    <w:rsid w:val="75167F59"/>
    <w:rsid w:val="755D38A7"/>
    <w:rsid w:val="755F5A0F"/>
    <w:rsid w:val="75614792"/>
    <w:rsid w:val="75784473"/>
    <w:rsid w:val="757E044C"/>
    <w:rsid w:val="75977BC3"/>
    <w:rsid w:val="75B161B3"/>
    <w:rsid w:val="75E470E3"/>
    <w:rsid w:val="76736B32"/>
    <w:rsid w:val="76E3765E"/>
    <w:rsid w:val="76FC2AFA"/>
    <w:rsid w:val="77310AF7"/>
    <w:rsid w:val="773F0836"/>
    <w:rsid w:val="77653671"/>
    <w:rsid w:val="778546CC"/>
    <w:rsid w:val="77B56730"/>
    <w:rsid w:val="77C04A8B"/>
    <w:rsid w:val="77D85DB3"/>
    <w:rsid w:val="780252A0"/>
    <w:rsid w:val="78027772"/>
    <w:rsid w:val="78A50513"/>
    <w:rsid w:val="793B7339"/>
    <w:rsid w:val="796518DD"/>
    <w:rsid w:val="796E0C55"/>
    <w:rsid w:val="79AA0532"/>
    <w:rsid w:val="79F70999"/>
    <w:rsid w:val="79FB52E5"/>
    <w:rsid w:val="79FE1DDD"/>
    <w:rsid w:val="7A075767"/>
    <w:rsid w:val="7A212062"/>
    <w:rsid w:val="7A282A11"/>
    <w:rsid w:val="7AB90FF6"/>
    <w:rsid w:val="7AC21562"/>
    <w:rsid w:val="7AD474A4"/>
    <w:rsid w:val="7B115232"/>
    <w:rsid w:val="7B401C35"/>
    <w:rsid w:val="7B416BDC"/>
    <w:rsid w:val="7B5350AD"/>
    <w:rsid w:val="7B6867EB"/>
    <w:rsid w:val="7B697C89"/>
    <w:rsid w:val="7B8D34C3"/>
    <w:rsid w:val="7B971D84"/>
    <w:rsid w:val="7BF32F03"/>
    <w:rsid w:val="7C1724A5"/>
    <w:rsid w:val="7C4D65EA"/>
    <w:rsid w:val="7C5E7C90"/>
    <w:rsid w:val="7C740977"/>
    <w:rsid w:val="7C8E3CCF"/>
    <w:rsid w:val="7CA54112"/>
    <w:rsid w:val="7CE50CE4"/>
    <w:rsid w:val="7D2E5ABF"/>
    <w:rsid w:val="7DCA1E7A"/>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6">
    <w:name w:val="heading 4"/>
    <w:basedOn w:val="1"/>
    <w:next w:val="1"/>
    <w:link w:val="3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eastAsia="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asciiTheme="majorHAnsi" w:hAnsiTheme="majorHAnsi" w:eastAsiaTheme="majorEastAsia" w:cstheme="majorBidi"/>
      <w:b/>
      <w:bCs/>
      <w:sz w:val="28"/>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character" w:customStyle="1" w:styleId="54">
    <w:name w:val="font01"/>
    <w:basedOn w:val="24"/>
    <w:qFormat/>
    <w:uiPriority w:val="0"/>
    <w:rPr>
      <w:rFonts w:hint="eastAsia" w:ascii="宋体" w:hAnsi="宋体" w:eastAsia="宋体" w:cs="宋体"/>
      <w:color w:val="000000"/>
      <w:sz w:val="20"/>
      <w:szCs w:val="20"/>
      <w:u w:val="none"/>
    </w:rPr>
  </w:style>
  <w:style w:type="character" w:customStyle="1" w:styleId="55">
    <w:name w:val="font31"/>
    <w:basedOn w:val="24"/>
    <w:qFormat/>
    <w:uiPriority w:val="0"/>
    <w:rPr>
      <w:rFonts w:hint="default" w:ascii="Times New Roman" w:hAnsi="Times New Roman" w:cs="Times New Roman"/>
      <w:color w:val="000000"/>
      <w:sz w:val="20"/>
      <w:szCs w:val="20"/>
      <w:u w:val="none"/>
    </w:rPr>
  </w:style>
  <w:style w:type="character" w:customStyle="1" w:styleId="56">
    <w:name w:val="font61"/>
    <w:basedOn w:val="24"/>
    <w:qFormat/>
    <w:uiPriority w:val="0"/>
    <w:rPr>
      <w:rFonts w:hint="eastAsia" w:ascii="宋体" w:hAnsi="宋体" w:eastAsia="宋体" w:cs="宋体"/>
      <w:color w:val="000000"/>
      <w:sz w:val="20"/>
      <w:szCs w:val="20"/>
      <w:u w:val="none"/>
      <w:vertAlign w:val="superscript"/>
    </w:rPr>
  </w:style>
  <w:style w:type="character" w:customStyle="1" w:styleId="57">
    <w:name w:val="font41"/>
    <w:basedOn w:val="24"/>
    <w:qFormat/>
    <w:uiPriority w:val="0"/>
    <w:rPr>
      <w:rFonts w:hint="eastAsia" w:ascii="宋体" w:hAnsi="宋体" w:eastAsia="宋体" w:cs="宋体"/>
      <w:color w:val="000000"/>
      <w:sz w:val="20"/>
      <w:szCs w:val="20"/>
      <w:u w:val="none"/>
    </w:rPr>
  </w:style>
  <w:style w:type="character" w:customStyle="1" w:styleId="58">
    <w:name w:val="font21"/>
    <w:basedOn w:val="24"/>
    <w:qFormat/>
    <w:uiPriority w:val="0"/>
    <w:rPr>
      <w:rFonts w:hint="eastAsia" w:ascii="宋体" w:hAnsi="宋体" w:eastAsia="宋体" w:cs="宋体"/>
      <w:color w:val="000000"/>
      <w:sz w:val="20"/>
      <w:szCs w:val="20"/>
      <w:u w:val="none"/>
    </w:rPr>
  </w:style>
  <w:style w:type="character" w:customStyle="1" w:styleId="59">
    <w:name w:val="font71"/>
    <w:basedOn w:val="24"/>
    <w:qFormat/>
    <w:uiPriority w:val="0"/>
    <w:rPr>
      <w:rFonts w:hint="default" w:ascii="Times New Roman" w:hAnsi="Times New Roman" w:cs="Times New Roman"/>
      <w:color w:val="000000"/>
      <w:sz w:val="20"/>
      <w:szCs w:val="20"/>
      <w:u w:val="none"/>
      <w:vertAlign w:val="superscript"/>
    </w:rPr>
  </w:style>
  <w:style w:type="character" w:customStyle="1" w:styleId="60">
    <w:name w:val="font81"/>
    <w:basedOn w:val="24"/>
    <w:qFormat/>
    <w:uiPriority w:val="0"/>
    <w:rPr>
      <w:rFonts w:hint="default" w:ascii="Times New Roman" w:hAnsi="Times New Roman" w:cs="Times New Roman"/>
      <w:color w:val="000000"/>
      <w:sz w:val="20"/>
      <w:szCs w:val="20"/>
      <w:u w:val="none"/>
    </w:rPr>
  </w:style>
  <w:style w:type="character" w:customStyle="1" w:styleId="61">
    <w:name w:val="font51"/>
    <w:basedOn w:val="24"/>
    <w:uiPriority w:val="0"/>
    <w:rPr>
      <w:rFonts w:hint="default" w:ascii="Times New Roman" w:hAnsi="Times New Roman" w:cs="Times New Roman"/>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76</Pages>
  <Words>32428</Words>
  <Characters>33894</Characters>
  <Lines>264</Lines>
  <Paragraphs>74</Paragraphs>
  <TotalTime>10</TotalTime>
  <ScaleCrop>false</ScaleCrop>
  <LinksUpToDate>false</LinksUpToDate>
  <CharactersWithSpaces>36301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2022-07-06T00:59:26Z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C82C9CB837BC497AA2FA2EB7F57470ED</vt:lpwstr>
  </property>
</Properties>
</file>