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GDZT2022131A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东莞高级中学</w:t>
            </w:r>
            <w:r>
              <w:rPr>
                <w:rFonts w:hint="eastAsia" w:ascii="黑体" w:hAnsi="黑体" w:eastAsia="黑体" w:cs="黑体"/>
                <w:bCs/>
                <w:color w:val="auto"/>
                <w:sz w:val="32"/>
                <w:szCs w:val="24"/>
                <w:highlight w:val="none"/>
              </w:rPr>
              <w:t>多媒体课室智慧互动平台采购项目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_Toc23355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_Toc7959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7123"/>
      <w:bookmarkStart w:id="3" w:name="_Toc8850"/>
      <w:bookmarkStart w:id="4" w:name="_Toc142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bCs/>
          <w:color w:val="auto"/>
          <w:sz w:val="21"/>
          <w:szCs w:val="21"/>
          <w:highlight w:val="none"/>
          <w:u w:val="single"/>
          <w:lang w:val="en-US" w:eastAsia="zh-CN"/>
        </w:rPr>
        <w:t>东莞高级中学</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东莞高级中学</w:t>
      </w:r>
      <w:r>
        <w:rPr>
          <w:rFonts w:hint="eastAsia" w:ascii="宋体" w:hAnsi="宋体" w:eastAsia="宋体"/>
          <w:b/>
          <w:bCs/>
          <w:color w:val="auto"/>
          <w:sz w:val="21"/>
          <w:szCs w:val="21"/>
          <w:highlight w:val="none"/>
          <w:u w:val="single"/>
        </w:rPr>
        <w:t>多媒体课室智慧互动平台采购项目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编号：GDZT2022131A；</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东莞高级中学</w:t>
      </w:r>
      <w:r>
        <w:rPr>
          <w:rFonts w:hint="eastAsia" w:ascii="宋体" w:hAnsi="宋体" w:eastAsia="宋体"/>
          <w:color w:val="auto"/>
          <w:sz w:val="21"/>
          <w:szCs w:val="21"/>
          <w:highlight w:val="none"/>
          <w:lang w:val="en-US" w:eastAsia="zh-CN"/>
        </w:rPr>
        <w:t>多媒体课室智慧互动平台采购项目；</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662"/>
        <w:gridCol w:w="659"/>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1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0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1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b/>
                <w:bCs/>
                <w:color w:val="auto"/>
                <w:sz w:val="21"/>
                <w:szCs w:val="21"/>
                <w:highlight w:val="none"/>
                <w:lang w:val="en-US" w:eastAsia="zh-CN"/>
              </w:rPr>
              <w:t>东莞高级中学多媒体课室智慧互动平台采购项目</w:t>
            </w:r>
          </w:p>
        </w:tc>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0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678,140.68</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bidi w:val="0"/>
        <w:ind w:firstLine="420" w:firstLineChars="200"/>
        <w:rPr>
          <w:rFonts w:hint="eastAsia"/>
          <w:color w:val="auto"/>
          <w:highlight w:val="none"/>
          <w:lang w:val="en-US" w:eastAsia="zh-CN"/>
        </w:rPr>
      </w:pPr>
      <w:r>
        <w:rPr>
          <w:rFonts w:hint="eastAsia"/>
          <w:color w:val="auto"/>
          <w:highlight w:val="none"/>
          <w:lang w:val="en-US" w:eastAsia="zh-CN"/>
        </w:rPr>
        <w:t>无</w:t>
      </w:r>
    </w:p>
    <w:p>
      <w:pPr>
        <w:bidi w:val="0"/>
        <w:rPr>
          <w:rFonts w:hint="eastAsia"/>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27</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4</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18</w:t>
      </w:r>
      <w:r>
        <w:rPr>
          <w:rFonts w:hint="eastAsia" w:ascii="宋体" w:hAnsi="宋体" w:eastAsia="宋体"/>
          <w:bCs/>
          <w:color w:val="auto"/>
          <w:sz w:val="21"/>
          <w:szCs w:val="21"/>
          <w:highlight w:val="none"/>
        </w:rPr>
        <w:t>日上午9：00～9：30。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18</w:t>
      </w:r>
      <w:r>
        <w:rPr>
          <w:rFonts w:hint="eastAsia" w:ascii="宋体" w:hAnsi="宋体" w:eastAsia="宋体"/>
          <w:bCs/>
          <w:color w:val="auto"/>
          <w:sz w:val="21"/>
          <w:szCs w:val="21"/>
          <w:highlight w:val="none"/>
        </w:rPr>
        <w:t>日上午9时30分。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采购人联系人：邝老师</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地址：广东省东莞市南城区伟业路180号</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22654449</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bookmarkStart w:id="385" w:name="_GoBack"/>
      <w:bookmarkEnd w:id="385"/>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spacing w:before="0" w:after="0" w:line="240" w:lineRule="auto"/>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FE"/>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rPr>
              <w:t>投标保证金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eastAsia="宋体"/>
                <w:b/>
                <w:color w:val="auto"/>
                <w:sz w:val="21"/>
                <w:szCs w:val="21"/>
                <w:highlight w:val="none"/>
                <w:lang w:eastAsia="zh-CN"/>
              </w:rPr>
              <w:t>唱标文件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投标文件副本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bCs/>
                <w:color w:val="auto"/>
                <w:sz w:val="21"/>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Toc5749"/>
      <w:bookmarkStart w:id="10" w:name="_Hlk55300595"/>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投标人具有教学（或智能化）设备</w:t>
            </w:r>
            <w:r>
              <w:rPr>
                <w:rFonts w:hint="eastAsia" w:ascii="宋体" w:hAns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eastAsia="zh-CN"/>
              </w:rPr>
              <w:t xml:space="preserve">业绩的，每提供一个合同业绩得4分，本项最高得12分。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注：须提供合同复印件并加盖投标人公章，</w:t>
            </w:r>
            <w:r>
              <w:rPr>
                <w:rFonts w:hint="eastAsia" w:ascii="宋体" w:hAnsi="宋体" w:eastAsia="宋体" w:cs="宋体"/>
                <w:bCs/>
                <w:color w:val="auto"/>
                <w:sz w:val="21"/>
                <w:szCs w:val="21"/>
                <w:highlight w:val="none"/>
                <w:lang w:val="en-US" w:eastAsia="zh-CN"/>
              </w:rPr>
              <w:t>否则不得分</w:t>
            </w:r>
            <w:r>
              <w:rPr>
                <w:rFonts w:hint="eastAsia" w:ascii="宋体" w:hAnsi="宋体" w:eastAsia="宋体" w:cs="宋体"/>
                <w:bCs/>
                <w:color w:val="auto"/>
                <w:sz w:val="21"/>
                <w:szCs w:val="21"/>
                <w:highlight w:val="none"/>
                <w:lang w:val="zh-CN" w:eastAsia="zh-CN"/>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eastAsia="zh-CN"/>
              </w:rPr>
            </w:pPr>
            <w:r>
              <w:rPr>
                <w:rFonts w:hint="eastAsia" w:ascii="宋体" w:hAnsi="宋体" w:eastAsia="宋体" w:cs="宋体"/>
                <w:bCs/>
                <w:color w:val="auto"/>
                <w:kern w:val="2"/>
                <w:sz w:val="21"/>
                <w:szCs w:val="21"/>
                <w:highlight w:val="none"/>
                <w:lang w:val="zh-CN"/>
              </w:rPr>
              <w:t>根据投标人提供的服务响应时间承诺进行</w:t>
            </w:r>
            <w:r>
              <w:rPr>
                <w:rFonts w:hint="eastAsia" w:ascii="宋体" w:hAnsi="宋体" w:eastAsia="宋体" w:cs="宋体"/>
                <w:bCs/>
                <w:color w:val="auto"/>
                <w:kern w:val="2"/>
                <w:sz w:val="21"/>
                <w:szCs w:val="21"/>
                <w:highlight w:val="none"/>
                <w:lang w:val="en-US" w:eastAsia="zh-CN"/>
              </w:rPr>
              <w:t>评审：</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（1）投标人承诺在接到采购人通知后</w:t>
            </w: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（2）投标人承诺在接到采购人通知后</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（3）投标人承诺在接到采购人通知后</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小时内到现场，得</w:t>
            </w:r>
            <w:r>
              <w:rPr>
                <w:rFonts w:hint="eastAsia" w:ascii="宋体" w:hAnsi="宋体" w:eastAsia="宋体" w:cs="宋体"/>
                <w:bCs/>
                <w:color w:val="auto"/>
                <w:kern w:val="2"/>
                <w:sz w:val="21"/>
                <w:szCs w:val="21"/>
                <w:highlight w:val="none"/>
                <w:lang w:val="zh-CN" w:eastAsia="zh-CN"/>
              </w:rPr>
              <w:t>1</w:t>
            </w:r>
            <w:r>
              <w:rPr>
                <w:rFonts w:hint="eastAsia" w:ascii="宋体" w:hAnsi="宋体" w:eastAsia="宋体" w:cs="宋体"/>
                <w:bCs/>
                <w:color w:val="auto"/>
                <w:kern w:val="2"/>
                <w:sz w:val="21"/>
                <w:szCs w:val="21"/>
                <w:highlight w:val="none"/>
                <w:lang w:val="zh-CN"/>
              </w:rPr>
              <w:t>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420" w:firstLineChars="200"/>
              <w:contextualSpacing/>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（4）投标人未承诺或承诺在接到采购人通知后超过</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小时到现场，不得分。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kern w:val="2"/>
                <w:sz w:val="21"/>
                <w:szCs w:val="21"/>
                <w:highlight w:val="none"/>
                <w:lang w:val="zh-CN"/>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技术参数响应情况</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对所投产品的技术参数响应情况（对应用户需求书主要货物技术指标要求标注“▲”的参数为重要参数，如果负偏离或不响应，则每项扣</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分，扣完</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分为止）。</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（投标人必须按所投产品实际参数进行响应，否则视为提供虚假材料谋取中标资格。）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根据投标人提供的项目实施方案（包括但不限于供货方案、安装方案、人员配备方案等）进行综合评审：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方案完整合理，可行性强，有利于项目实施的，得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方案较为完整，合理性、可行性较强，对项目实施有一定促进作用的，得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方案基本完整，合理性、可行性一般，对项目实施有一定促进作用的，得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lang w:val="zh-CN" w:eastAsia="zh-CN"/>
              </w:rPr>
              <w:t>完整，合理性、可行性</w:t>
            </w:r>
            <w:r>
              <w:rPr>
                <w:rFonts w:hint="eastAsia" w:ascii="宋体" w:hAnsi="宋体" w:eastAsia="宋体" w:cs="宋体"/>
                <w:color w:val="auto"/>
                <w:sz w:val="21"/>
                <w:szCs w:val="21"/>
                <w:highlight w:val="none"/>
                <w:lang w:val="en-US" w:eastAsia="zh-CN"/>
              </w:rPr>
              <w:t>差</w:t>
            </w:r>
            <w:r>
              <w:rPr>
                <w:rFonts w:hint="eastAsia" w:ascii="宋体" w:hAnsi="宋体" w:eastAsia="宋体" w:cs="宋体"/>
                <w:color w:val="auto"/>
                <w:sz w:val="21"/>
                <w:szCs w:val="21"/>
                <w:highlight w:val="none"/>
                <w:lang w:val="zh-CN" w:eastAsia="zh-CN"/>
              </w:rPr>
              <w:t>，对项目实施</w:t>
            </w: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 xml:space="preserve">促进作用的，得1分；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根据投标人提供的产品使用培训方案进行综合评审： </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方案科学合理完整，可操作性强，针对性强，得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eastAsia="zh-CN"/>
              </w:rPr>
              <w:t>分；</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方案科学</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合理完整，可操作性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方案基本完整，可操作性一般，针对性一般，得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 xml:space="preserve">分； 方案不完整，可操作性差，针对性差，得1分； </w:t>
            </w:r>
          </w:p>
          <w:p>
            <w:pPr>
              <w:pStyle w:val="35"/>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 xml:space="preserve">未提供对应方案不得分。 </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整体进度计划及工期保证措施</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根据投标人提供的整体进度计划及工期保证措施进行综合评审：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进度计划及工期保证措施科学完整合理，可行性强，可操作性强，针对性强，得8分；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完整合理，可行性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强，可操作性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强，针对性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eastAsia="zh-CN"/>
              </w:rPr>
              <w:t>强，得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进度计划及工期保证措施基本完整，可行性一般，可操作性一般，得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 xml:space="preserve">进度计划及工期保证措施不完整，可行性差，可操作性差，得1分；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 xml:space="preserve">根据投标人提供的售后服务进行综合评审：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方案完整合理，可行性强，有利于项目实施的，得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方案较为完整，合理性、可行性较强，对项目实施有一定促进作用的，得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方案基本完整，合理性、可行性一般，有一定促进作用的，得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eastAsia="zh-CN"/>
              </w:rPr>
              <w:t xml:space="preserve">分； </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方案</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lang w:val="zh-CN" w:eastAsia="zh-CN"/>
              </w:rPr>
              <w:t>完整，合理性、可行性</w:t>
            </w:r>
            <w:r>
              <w:rPr>
                <w:rFonts w:hint="eastAsia" w:ascii="宋体" w:hAnsi="宋体" w:eastAsia="宋体" w:cs="宋体"/>
                <w:color w:val="auto"/>
                <w:sz w:val="21"/>
                <w:szCs w:val="21"/>
                <w:highlight w:val="none"/>
                <w:lang w:val="en-US" w:eastAsia="zh-CN"/>
              </w:rPr>
              <w:t>差</w:t>
            </w:r>
            <w:r>
              <w:rPr>
                <w:rFonts w:hint="eastAsia" w:ascii="宋体" w:hAnsi="宋体" w:eastAsia="宋体" w:cs="宋体"/>
                <w:color w:val="auto"/>
                <w:sz w:val="21"/>
                <w:szCs w:val="21"/>
                <w:highlight w:val="none"/>
                <w:lang w:val="zh-CN" w:eastAsia="zh-CN"/>
              </w:rPr>
              <w:t>，对项目实施没有促进作用的，得1分；</w:t>
            </w:r>
          </w:p>
          <w:p>
            <w:pPr>
              <w:pStyle w:val="35"/>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eastAsia="zh-CN"/>
              </w:rPr>
              <w:t>未提供对应方案不得分。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110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18488"/>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13400"/>
      <w:bookmarkStart w:id="28" w:name="_Toc16848"/>
      <w:bookmarkStart w:id="29" w:name="_Toc21002"/>
      <w:r>
        <w:rPr>
          <w:rFonts w:hint="eastAsia" w:ascii="宋体" w:hAnsi="宋体" w:eastAsia="宋体"/>
          <w:color w:val="auto"/>
          <w:sz w:val="21"/>
          <w:szCs w:val="21"/>
          <w:highlight w:val="none"/>
        </w:rPr>
        <w:t>2.</w:t>
      </w:r>
      <w:bookmarkStart w:id="30" w:name="_Toc1530"/>
      <w:bookmarkStart w:id="31" w:name="_Toc298847174"/>
      <w:bookmarkStart w:id="32" w:name="_Toc382049092"/>
      <w:bookmarkStart w:id="33" w:name="_Toc303084246"/>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3780"/>
      <w:bookmarkStart w:id="35" w:name="_Toc2996"/>
      <w:bookmarkStart w:id="36" w:name="_Toc9710"/>
      <w:r>
        <w:rPr>
          <w:rFonts w:hint="eastAsia" w:ascii="宋体" w:hAnsi="宋体" w:eastAsia="宋体"/>
          <w:color w:val="auto"/>
          <w:sz w:val="21"/>
          <w:szCs w:val="21"/>
          <w:highlight w:val="none"/>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5945"/>
      <w:bookmarkStart w:id="39" w:name="_Toc13909"/>
      <w:r>
        <w:rPr>
          <w:rFonts w:hint="eastAsia" w:ascii="宋体" w:hAnsi="宋体" w:eastAsia="宋体"/>
          <w:color w:val="auto"/>
          <w:sz w:val="21"/>
          <w:szCs w:val="21"/>
          <w:highlight w:val="none"/>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25040"/>
      <w:bookmarkStart w:id="42" w:name="_Toc19532"/>
      <w:r>
        <w:rPr>
          <w:rFonts w:hint="eastAsia" w:ascii="宋体" w:hAnsi="宋体" w:eastAsia="宋体"/>
          <w:color w:val="auto"/>
          <w:sz w:val="21"/>
          <w:szCs w:val="21"/>
          <w:highlight w:val="none"/>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31885"/>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highlight w:val="none"/>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1423"/>
      <w:bookmarkStart w:id="54" w:name="_Toc13494"/>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7274"/>
      <w:bookmarkStart w:id="57" w:name="_Toc7997"/>
      <w:bookmarkStart w:id="58" w:name="_Toc14217"/>
      <w:r>
        <w:rPr>
          <w:rFonts w:hint="eastAsia" w:ascii="宋体" w:hAnsi="宋体" w:eastAsia="宋体"/>
          <w:color w:val="auto"/>
          <w:sz w:val="21"/>
          <w:szCs w:val="21"/>
          <w:highlight w:val="none"/>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23726"/>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28092"/>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7934854"/>
      <w:bookmarkStart w:id="66" w:name="_Toc303084256"/>
      <w:bookmarkStart w:id="67" w:name="_Toc7728"/>
      <w:bookmarkStart w:id="68" w:name="_Toc18999"/>
      <w:bookmarkStart w:id="69" w:name="_Toc12145"/>
      <w:bookmarkStart w:id="70" w:name="_Toc28866"/>
      <w:bookmarkStart w:id="71" w:name="_Toc382049103"/>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30189"/>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17188"/>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6535"/>
      <w:bookmarkStart w:id="81" w:name="_Toc18911"/>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22169"/>
      <w:bookmarkStart w:id="85" w:name="_Toc19520"/>
      <w:bookmarkStart w:id="86" w:name="_Toc30815"/>
      <w:r>
        <w:rPr>
          <w:rFonts w:hint="eastAsia" w:ascii="宋体" w:hAnsi="宋体" w:eastAsia="宋体"/>
          <w:color w:val="auto"/>
          <w:sz w:val="21"/>
          <w:szCs w:val="21"/>
          <w:highlight w:val="none"/>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highlight w:val="none"/>
          <w:lang w:eastAsia="zh-CN"/>
        </w:rPr>
      </w:pPr>
      <w:bookmarkStart w:id="87" w:name="_Toc12456"/>
      <w:bookmarkStart w:id="88" w:name="_Toc30257"/>
      <w:bookmarkStart w:id="89" w:name="_Toc25817"/>
      <w:r>
        <w:rPr>
          <w:rFonts w:hint="eastAsia" w:ascii="宋体" w:hAnsi="宋体" w:eastAsia="宋体"/>
          <w:color w:val="auto"/>
          <w:sz w:val="21"/>
          <w:szCs w:val="21"/>
          <w:highlight w:val="none"/>
        </w:rPr>
        <w:t>16.投标保证金</w:t>
      </w:r>
      <w:bookmarkEnd w:id="87"/>
      <w:bookmarkEnd w:id="88"/>
      <w:bookmarkEnd w:id="89"/>
      <w:r>
        <w:rPr>
          <w:rFonts w:hint="eastAsia" w:ascii="宋体" w:hAnsi="宋体" w:eastAsia="宋体"/>
          <w:color w:val="auto"/>
          <w:sz w:val="21"/>
          <w:szCs w:val="21"/>
          <w:highlight w:val="none"/>
          <w:lang w:eastAsia="zh-CN"/>
        </w:rPr>
        <w:t>（</w:t>
      </w:r>
      <w:r>
        <w:rPr>
          <w:rFonts w:hint="eastAsia" w:ascii="宋体" w:hAnsi="宋体"/>
          <w:b/>
          <w:color w:val="auto"/>
          <w:sz w:val="21"/>
          <w:szCs w:val="21"/>
          <w:highlight w:val="none"/>
          <w:lang w:val="en-US" w:eastAsia="zh-CN"/>
        </w:rPr>
        <w:t>本项目不需提供投标保证金</w:t>
      </w:r>
      <w:r>
        <w:rPr>
          <w:rFonts w:hint="eastAsia" w:ascii="宋体" w:hAnsi="宋体" w:eastAsia="宋体"/>
          <w:color w:val="auto"/>
          <w:sz w:val="21"/>
          <w:szCs w:val="21"/>
          <w:highlight w:val="none"/>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200"/>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4997"/>
      <w:bookmarkStart w:id="95" w:name="_Toc29590"/>
      <w:bookmarkStart w:id="96" w:name="_Toc382049111"/>
      <w:bookmarkStart w:id="97" w:name="_Toc23678"/>
      <w:bookmarkStart w:id="98" w:name="_Toc303084264"/>
      <w:bookmarkStart w:id="99" w:name="_Toc473"/>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8628"/>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9649"/>
      <w:bookmarkStart w:id="105" w:name="_Toc13212"/>
      <w:r>
        <w:rPr>
          <w:rFonts w:hint="eastAsia" w:ascii="宋体" w:hAnsi="宋体" w:eastAsia="宋体"/>
          <w:color w:val="auto"/>
          <w:sz w:val="21"/>
          <w:szCs w:val="21"/>
          <w:highlight w:val="none"/>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82049112"/>
      <w:bookmarkStart w:id="107" w:name="_Toc303084265"/>
      <w:bookmarkStart w:id="108" w:name="_Toc23477"/>
      <w:bookmarkStart w:id="109" w:name="_Toc7689"/>
      <w:bookmarkStart w:id="110" w:name="_Toc5900"/>
      <w:bookmarkStart w:id="111" w:name="_Toc97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5569"/>
      <w:bookmarkStart w:id="113" w:name="_Toc6003"/>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5049"/>
      <w:bookmarkStart w:id="116" w:name="_Toc23466"/>
      <w:bookmarkStart w:id="117" w:name="_Toc29574"/>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7700"/>
      <w:bookmarkStart w:id="119" w:name="_Toc28458"/>
      <w:bookmarkStart w:id="120" w:name="_Toc24251"/>
      <w:r>
        <w:rPr>
          <w:rFonts w:hint="eastAsia" w:ascii="宋体" w:hAnsi="宋体" w:eastAsia="宋体"/>
          <w:color w:val="auto"/>
          <w:sz w:val="21"/>
          <w:szCs w:val="21"/>
          <w:highlight w:val="none"/>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5524"/>
      <w:bookmarkStart w:id="123" w:name="_Toc4921"/>
      <w:r>
        <w:rPr>
          <w:rFonts w:hint="eastAsia" w:ascii="宋体" w:hAnsi="宋体" w:eastAsia="宋体"/>
          <w:color w:val="auto"/>
          <w:sz w:val="21"/>
          <w:szCs w:val="21"/>
          <w:highlight w:val="none"/>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15231"/>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3762"/>
      <w:bookmarkStart w:id="128" w:name="_Toc16745"/>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1742"/>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7593"/>
      <w:bookmarkStart w:id="134" w:name="_Toc17683"/>
      <w:bookmarkStart w:id="135" w:name="_Toc22192"/>
      <w:r>
        <w:rPr>
          <w:rFonts w:hint="eastAsia" w:ascii="宋体" w:hAnsi="宋体" w:eastAsia="宋体"/>
          <w:color w:val="auto"/>
          <w:sz w:val="21"/>
          <w:szCs w:val="21"/>
          <w:highlight w:val="none"/>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w:t>
      </w:r>
      <w:r>
        <w:rPr>
          <w:rFonts w:hint="eastAsia" w:ascii="宋体" w:hAnsi="宋体" w:eastAsia="宋体"/>
          <w:color w:val="auto"/>
          <w:sz w:val="21"/>
          <w:szCs w:val="21"/>
          <w:highlight w:val="none"/>
          <w:lang w:eastAsia="zh-CN"/>
        </w:rPr>
        <w:t>政府采购促进中小企业发展管理办法</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（财库〔2020〕46号）</w:t>
      </w:r>
      <w:r>
        <w:rPr>
          <w:rFonts w:hint="eastAsia" w:ascii="宋体" w:hAnsi="宋体" w:eastAsia="宋体"/>
          <w:color w:val="auto"/>
          <w:sz w:val="21"/>
          <w:szCs w:val="21"/>
          <w:highlight w:val="none"/>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w:t>
      </w:r>
      <w:r>
        <w:rPr>
          <w:rFonts w:hint="eastAsia" w:ascii="宋体" w:hAnsi="宋体" w:eastAsia="宋体"/>
          <w:color w:val="auto"/>
          <w:sz w:val="21"/>
          <w:szCs w:val="21"/>
          <w:highlight w:val="none"/>
          <w:lang w:eastAsia="zh-CN"/>
        </w:rPr>
        <w:t>“财政部 工业和信息化部关于印发《政府采购促进中小企业发展管理办法》的通知（财库〔2020〕46号）”</w:t>
      </w:r>
      <w:r>
        <w:rPr>
          <w:rFonts w:hint="eastAsia" w:ascii="宋体" w:hAnsi="宋体" w:eastAsia="宋体"/>
          <w:color w:val="auto"/>
          <w:sz w:val="21"/>
          <w:szCs w:val="21"/>
          <w:highlight w:val="none"/>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u w:val="single"/>
        </w:rPr>
      </w:pPr>
      <w:r>
        <w:rPr>
          <w:rFonts w:hint="eastAsia" w:ascii="宋体" w:hAnsi="宋体" w:eastAsia="宋体"/>
          <w:b/>
          <w:bCs/>
          <w:color w:val="auto"/>
          <w:sz w:val="21"/>
          <w:szCs w:val="21"/>
          <w:highlight w:val="none"/>
          <w:u w:val="single"/>
        </w:rPr>
        <w:t>中标、成交供应商享受本办法（财库〔2020〕46号）规定的中小企业扶持政策的，采购代理机构</w:t>
      </w:r>
      <w:r>
        <w:rPr>
          <w:rFonts w:hint="eastAsia" w:ascii="宋体" w:hAnsi="宋体" w:eastAsia="宋体"/>
          <w:b/>
          <w:bCs/>
          <w:color w:val="auto"/>
          <w:sz w:val="21"/>
          <w:szCs w:val="21"/>
          <w:highlight w:val="none"/>
          <w:u w:val="single"/>
          <w:lang w:eastAsia="zh-CN"/>
        </w:rPr>
        <w:t>将</w:t>
      </w:r>
      <w:r>
        <w:rPr>
          <w:rFonts w:hint="eastAsia" w:ascii="宋体" w:hAnsi="宋体" w:eastAsia="宋体"/>
          <w:b/>
          <w:bCs/>
          <w:color w:val="auto"/>
          <w:sz w:val="21"/>
          <w:szCs w:val="21"/>
          <w:highlight w:val="none"/>
          <w:u w:val="single"/>
        </w:rPr>
        <w:t>随中标、成交结果公开中标、成交供应商的《中小企业声明函》。</w:t>
      </w:r>
      <w:r>
        <w:rPr>
          <w:rFonts w:hint="eastAsia" w:ascii="宋体" w:hAnsi="宋体" w:eastAsia="宋体"/>
          <w:b/>
          <w:bCs/>
          <w:color w:val="auto"/>
          <w:sz w:val="21"/>
          <w:szCs w:val="21"/>
          <w:highlight w:val="none"/>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6" w:name="_Toc316375620"/>
      <w:bookmarkStart w:id="137" w:name="_Toc20328"/>
      <w:bookmarkStart w:id="138" w:name="_Toc12115"/>
      <w:bookmarkStart w:id="139" w:name="_Toc382049120"/>
      <w:bookmarkStart w:id="140" w:name="_Toc22591"/>
      <w:bookmarkStart w:id="141" w:name="_Toc31141"/>
      <w:r>
        <w:rPr>
          <w:rFonts w:hint="eastAsia" w:ascii="宋体" w:hAnsi="宋体" w:eastAsia="宋体"/>
          <w:color w:val="auto"/>
          <w:sz w:val="21"/>
          <w:szCs w:val="21"/>
          <w:highlight w:val="none"/>
        </w:rPr>
        <w:t>28.纪律和</w:t>
      </w:r>
      <w:r>
        <w:rPr>
          <w:rFonts w:ascii="宋体" w:hAnsi="宋体" w:eastAsia="宋体"/>
          <w:color w:val="auto"/>
          <w:sz w:val="21"/>
          <w:szCs w:val="21"/>
          <w:highlight w:val="none"/>
        </w:rPr>
        <w:t>保密</w:t>
      </w:r>
      <w:bookmarkEnd w:id="136"/>
      <w:r>
        <w:rPr>
          <w:rFonts w:hint="eastAsia" w:ascii="宋体" w:hAnsi="宋体" w:eastAsia="宋体"/>
          <w:color w:val="auto"/>
          <w:sz w:val="21"/>
          <w:szCs w:val="21"/>
          <w:highlight w:val="none"/>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42" w:name="_Toc5528"/>
      <w:bookmarkStart w:id="143" w:name="_Toc29310"/>
      <w:bookmarkStart w:id="144" w:name="_Toc12251"/>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5" w:name="_Toc17778"/>
      <w:bookmarkStart w:id="146" w:name="_Toc6696"/>
      <w:bookmarkStart w:id="147" w:name="_Toc27817"/>
      <w:bookmarkStart w:id="148" w:name="_Toc508284011"/>
      <w:r>
        <w:rPr>
          <w:rFonts w:hint="eastAsia" w:ascii="宋体" w:hAnsi="宋体" w:eastAsia="宋体"/>
          <w:color w:val="auto"/>
          <w:sz w:val="21"/>
          <w:szCs w:val="21"/>
          <w:highlight w:val="none"/>
        </w:rPr>
        <w:t>29.</w:t>
      </w:r>
      <w:r>
        <w:rPr>
          <w:rFonts w:ascii="宋体" w:hAnsi="宋体" w:eastAsia="宋体"/>
          <w:color w:val="auto"/>
          <w:sz w:val="21"/>
          <w:szCs w:val="21"/>
          <w:highlight w:val="none"/>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9" w:name="_Toc29283"/>
      <w:bookmarkStart w:id="150" w:name="_Toc508284013"/>
      <w:bookmarkStart w:id="151" w:name="_Toc23136"/>
      <w:bookmarkStart w:id="152" w:name="_Toc12440"/>
      <w:r>
        <w:rPr>
          <w:rFonts w:hint="eastAsia" w:ascii="宋体" w:hAnsi="宋体" w:eastAsia="宋体"/>
          <w:color w:val="auto"/>
          <w:sz w:val="21"/>
          <w:szCs w:val="21"/>
          <w:highlight w:val="none"/>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7279"/>
      <w:bookmarkStart w:id="154" w:name="_Toc22262"/>
      <w:bookmarkStart w:id="155" w:name="_Toc22451"/>
      <w:r>
        <w:rPr>
          <w:rFonts w:hint="eastAsia" w:ascii="宋体" w:hAnsi="宋体" w:eastAsia="宋体"/>
          <w:color w:val="auto"/>
          <w:sz w:val="21"/>
          <w:szCs w:val="21"/>
          <w:highlight w:val="none"/>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政府采购合同的履行、违约责任和解决争议的方法等适用《中华人民共和国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6" w:name="_Toc382049124"/>
      <w:bookmarkStart w:id="157" w:name="_Toc25756"/>
      <w:bookmarkStart w:id="158" w:name="_Toc29009"/>
      <w:bookmarkStart w:id="159" w:name="_Toc2744"/>
      <w:bookmarkStart w:id="160" w:name="_Toc303084277"/>
      <w:bookmarkStart w:id="161" w:name="_Toc7405"/>
      <w:r>
        <w:rPr>
          <w:rFonts w:hint="eastAsia" w:ascii="宋体" w:hAnsi="宋体" w:eastAsia="宋体"/>
          <w:color w:val="auto"/>
          <w:sz w:val="21"/>
          <w:szCs w:val="21"/>
          <w:highlight w:val="none"/>
        </w:rPr>
        <w:t>32.</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2" w:name="_Toc20699"/>
      <w:bookmarkStart w:id="163" w:name="_Toc7360"/>
      <w:bookmarkStart w:id="164"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5498"/>
      <w:bookmarkStart w:id="166" w:name="_Toc22900"/>
      <w:bookmarkStart w:id="167" w:name="_Toc17974"/>
      <w:r>
        <w:rPr>
          <w:rFonts w:hint="eastAsia" w:ascii="宋体" w:hAnsi="宋体" w:eastAsia="宋体"/>
          <w:color w:val="auto"/>
          <w:sz w:val="21"/>
          <w:szCs w:val="21"/>
          <w:highlight w:val="none"/>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8" w:name="_Toc2767"/>
      <w:bookmarkStart w:id="169" w:name="_Toc8234"/>
      <w:bookmarkStart w:id="170" w:name="_Toc11264"/>
      <w:r>
        <w:rPr>
          <w:rFonts w:hint="eastAsia" w:ascii="宋体" w:hAnsi="宋体" w:eastAsia="宋体"/>
          <w:color w:val="auto"/>
          <w:sz w:val="21"/>
          <w:szCs w:val="21"/>
          <w:highlight w:val="none"/>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71" w:name="_Toc5690"/>
      <w:bookmarkStart w:id="172" w:name="_Toc24383"/>
      <w:bookmarkStart w:id="173" w:name="_Toc8919"/>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4" w:name="_Toc21187"/>
      <w:bookmarkStart w:id="175" w:name="_Toc6548"/>
      <w:bookmarkStart w:id="176" w:name="_Toc10082"/>
      <w:r>
        <w:rPr>
          <w:rFonts w:hint="eastAsia" w:ascii="宋体" w:hAnsi="宋体" w:eastAsia="宋体"/>
          <w:color w:val="auto"/>
          <w:sz w:val="21"/>
          <w:szCs w:val="21"/>
          <w:highlight w:val="none"/>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202</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0</w:t>
      </w:r>
      <w:r>
        <w:rPr>
          <w:rFonts w:hint="eastAsia" w:ascii="宋体" w:hAnsi="宋体" w:eastAsia="宋体"/>
          <w:color w:val="auto"/>
          <w:sz w:val="21"/>
          <w:szCs w:val="21"/>
          <w:highlight w:val="none"/>
          <w:lang w:val="en-US" w:eastAsia="zh-CN"/>
        </w:rPr>
        <w:t>6</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本招标文件是根据国家有关法律、法规以及政府采购管理有关规定和参照国际惯例编制，解释权属本采购代理机构。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rFonts w:hint="eastAsia"/>
          <w:color w:val="auto"/>
          <w:sz w:val="28"/>
          <w:szCs w:val="28"/>
          <w:highlight w:val="none"/>
        </w:rPr>
      </w:pPr>
      <w:bookmarkStart w:id="177" w:name="_Toc382"/>
      <w:bookmarkStart w:id="178" w:name="_Toc31854"/>
      <w:bookmarkStart w:id="179"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80" w:name="_Toc1593"/>
      <w:r>
        <w:rPr>
          <w:rFonts w:hint="eastAsia" w:ascii="宋体" w:hAnsi="宋体"/>
          <w:color w:val="auto"/>
          <w:highlight w:val="none"/>
          <w:lang w:val="en-US" w:eastAsia="zh-CN"/>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合同生效后20天内完工（完工是指设备安装、调试、试运行、验收等）。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合同签订后，采购人支付中标单位50%预付款，设备采购与安装项目经双方验收并完成结算后支付至合同结算价的95%，剩余合同结算价的5%作为质保金，待质保期满后结清。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货物产地及</w:t>
            </w:r>
            <w:r>
              <w:rPr>
                <w:rFonts w:hint="eastAsia" w:ascii="宋体" w:hAnsi="宋体" w:cs="宋体"/>
                <w:color w:val="auto"/>
                <w:sz w:val="21"/>
                <w:szCs w:val="21"/>
                <w:highlight w:val="none"/>
                <w:lang w:val="en-US" w:eastAsia="zh-CN"/>
              </w:rPr>
              <w:t>验收</w:t>
            </w:r>
            <w:r>
              <w:rPr>
                <w:rFonts w:hint="default" w:ascii="宋体" w:hAnsi="宋体" w:eastAsia="宋体" w:cs="宋体"/>
                <w:color w:val="auto"/>
                <w:sz w:val="21"/>
                <w:szCs w:val="21"/>
                <w:highlight w:val="none"/>
                <w:lang w:val="en-US" w:eastAsia="zh-CN"/>
              </w:rPr>
              <w:t>标准</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1．中标人保证其所提供的货物为全新的产品。</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2．本合同所指的货物及服务应符合中华人民共和国国家标准或行业标准。如果中华人民共和国没有相关标准的，则采用货物来源国适用的官方标准。这些标准必须是有关机构发布的最新版本的标准。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包装、保险及发运、保管要求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设备材料的包装必须是制造商原厂包装，其包装均应有良好的防湿、防锈、防潮、防雨、防腐及防碰撞的措施。凡由于包装不良造成的损失和由此产生的费用均由投标人承担。</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中标人负责将设备材料货到现场过程中的全部运输，包括装卸车、货物现场的搬运。</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各种设备必须提供装箱清单，按装箱清单验收货物。</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货物在现场的保管由中标人负责，直至项目安装、验收完毕。</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货物在系统安装调试验收合格前的保险由中标人负责，中标人负责其派出的现场服务人员人身意外保险。</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设备至采购人指定的使用现场的包装、保险及发运等环节和费用均由中标人负责。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质保期及售后服务要求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货物质保期</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验收合格证书之日起</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年，质保期内中标人必须进行质量“三包”，对质保期内中标人对所供货物实行包修、包换、包退、包维护保养，期满后可同时提供终身有偿维修保养服务。</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质保期内，如设备或零部件因非人为因素出现故障而造成短期停用时，则质保期和免费维修期相应顺延。如停用时间累计超过60天则质保期重新计算。</w:t>
            </w:r>
          </w:p>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中标人必须提供7×24小时电话服务热线，保证在接到采购人电话后12小时内响应，在响应后24小时内到达现场，并在48小时内完成解决方案。若在72小时内仍未能有效解决，中标人须免费提供同档次的设备予采购人临时使用</w:t>
            </w:r>
            <w:r>
              <w:rPr>
                <w:rFonts w:hint="eastAsia" w:ascii="宋体" w:hAnsi="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其他要求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投标</w:t>
            </w:r>
            <w:r>
              <w:rPr>
                <w:rFonts w:hint="eastAsia" w:ascii="宋体" w:hAnsi="宋体" w:eastAsia="宋体" w:cs="宋体"/>
                <w:color w:val="auto"/>
                <w:sz w:val="21"/>
                <w:szCs w:val="21"/>
                <w:highlight w:val="none"/>
              </w:rPr>
              <w:t>单位必须为</w:t>
            </w:r>
            <w:r>
              <w:rPr>
                <w:rFonts w:hint="eastAsia" w:ascii="宋体" w:hAnsi="宋体" w:eastAsia="宋体" w:cs="宋体"/>
                <w:color w:val="auto"/>
                <w:sz w:val="21"/>
                <w:szCs w:val="21"/>
                <w:highlight w:val="none"/>
                <w:lang w:val="en-US" w:eastAsia="zh-CN"/>
              </w:rPr>
              <w:t>广东政府采购智慧云平台电子卖场中的集中采购的</w:t>
            </w:r>
            <w:r>
              <w:rPr>
                <w:rFonts w:hint="eastAsia" w:ascii="宋体" w:hAnsi="宋体" w:cs="宋体"/>
                <w:color w:val="auto"/>
                <w:sz w:val="21"/>
                <w:szCs w:val="21"/>
                <w:highlight w:val="none"/>
                <w:lang w:val="en-US" w:eastAsia="zh-CN"/>
              </w:rPr>
              <w:t>集采商城</w:t>
            </w:r>
            <w:r>
              <w:rPr>
                <w:rFonts w:hint="eastAsia" w:ascii="宋体" w:hAnsi="宋体" w:eastAsia="宋体" w:cs="宋体"/>
                <w:color w:val="auto"/>
                <w:sz w:val="21"/>
                <w:szCs w:val="21"/>
                <w:highlight w:val="none"/>
                <w:lang w:val="en-US" w:eastAsia="zh-CN"/>
              </w:rPr>
              <w:t>目录内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如未进入目录，则须</w:t>
            </w:r>
            <w:r>
              <w:rPr>
                <w:rFonts w:hint="eastAsia" w:ascii="宋体" w:hAnsi="宋体" w:eastAsia="宋体" w:cs="宋体"/>
                <w:color w:val="auto"/>
                <w:sz w:val="21"/>
                <w:szCs w:val="21"/>
                <w:highlight w:val="none"/>
              </w:rPr>
              <w:t>作出单独承诺，</w:t>
            </w:r>
            <w:r>
              <w:rPr>
                <w:rFonts w:hint="eastAsia" w:ascii="宋体" w:hAnsi="宋体" w:eastAsia="宋体" w:cs="宋体"/>
                <w:color w:val="auto"/>
                <w:sz w:val="21"/>
                <w:szCs w:val="21"/>
                <w:highlight w:val="none"/>
                <w:lang w:val="en-US" w:eastAsia="zh-CN"/>
              </w:rPr>
              <w:t>中标后五个工作日内办理相关手续</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否则</w:t>
            </w:r>
            <w:r>
              <w:rPr>
                <w:rFonts w:hint="eastAsia" w:ascii="宋体" w:hAnsi="宋体" w:eastAsia="宋体" w:cs="宋体"/>
                <w:color w:val="auto"/>
                <w:sz w:val="21"/>
                <w:szCs w:val="21"/>
                <w:highlight w:val="none"/>
              </w:rPr>
              <w:t>采购人有权取消其中标资格。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9</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501"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shd w:val="clear"/>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rFonts w:hint="eastAsia"/>
          <w:color w:val="auto"/>
          <w:highlight w:val="none"/>
          <w:lang w:val="en-US" w:eastAsia="zh-CN"/>
        </w:rPr>
      </w:pPr>
    </w:p>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bookmarkStart w:id="181" w:name="_Toc19316"/>
      <w:r>
        <w:rPr>
          <w:rFonts w:hint="eastAsia" w:ascii="宋体" w:hAnsi="宋体"/>
          <w:color w:val="auto"/>
          <w:highlight w:val="none"/>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81"/>
    </w:p>
    <w:p>
      <w:pPr>
        <w:shd w:val="clear"/>
        <w:snapToGrid w:val="0"/>
        <w:spacing w:line="360" w:lineRule="auto"/>
        <w:ind w:left="361" w:hanging="361" w:hangingChars="150"/>
        <w:outlineLvl w:val="3"/>
        <w:rPr>
          <w:rFonts w:hint="eastAsia" w:ascii="宋体" w:hAnsi="宋体"/>
          <w:color w:val="auto"/>
          <w:sz w:val="24"/>
          <w:highlight w:val="none"/>
        </w:rPr>
      </w:pPr>
      <w:bookmarkStart w:id="182" w:name="_Toc24679"/>
      <w:bookmarkStart w:id="183" w:name="_Toc31278"/>
      <w:bookmarkStart w:id="184" w:name="_Toc13112"/>
      <w:bookmarkStart w:id="185" w:name="_Toc14462"/>
      <w:r>
        <w:rPr>
          <w:rFonts w:hint="eastAsia" w:ascii="宋体" w:hAnsi="宋体"/>
          <w:b/>
          <w:color w:val="auto"/>
          <w:sz w:val="24"/>
          <w:highlight w:val="none"/>
          <w:lang w:val="en-US" w:eastAsia="zh-CN"/>
        </w:rPr>
        <w:t>一</w:t>
      </w:r>
      <w:r>
        <w:rPr>
          <w:rFonts w:hint="eastAsia" w:ascii="宋体" w:hAnsi="宋体"/>
          <w:b/>
          <w:color w:val="auto"/>
          <w:sz w:val="24"/>
          <w:highlight w:val="none"/>
        </w:rPr>
        <w:t>、项目基本要求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1、投标人必须承诺提供厂商原装、全新的、符合用户提出的有关质量标准的设备、货物。</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2、所有货物在开箱检验时必须完好，无破损，配置与装箱单相符。货物外观清洁，标记编号以及盘面显示等字体清晰，明确。</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3、对于影响货物正常工作的必要组成部分，无论在技术规范中指出与否，投标人都应提供并在投标文件中明确列出。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4、投标人必须保证产品符合相关验收标准，并通过验收后，再移交采购人。</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5、投标人所投设备应符合中华人民共和国有关规范和安全要求；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、投标人须负责投标货物的设计、制造、运输、验收、培训；</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7、投标报价应包含货物的制造、运输、验收、试运行和售后服务、培训等的全包价（含税）；</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color w:val="auto"/>
          <w:szCs w:val="21"/>
          <w:highlight w:val="none"/>
        </w:rPr>
      </w:pPr>
      <w:r>
        <w:rPr>
          <w:rFonts w:hint="eastAsia" w:ascii="宋体" w:hAnsi="宋体"/>
          <w:color w:val="auto"/>
          <w:szCs w:val="21"/>
          <w:highlight w:val="none"/>
        </w:rPr>
        <w:t>8、本项目为一个整体，投标人必须对本项目整体进行投标，不能只对其中一部分货物进行投标，且要提供详细的技术资料；</w:t>
      </w:r>
    </w:p>
    <w:p>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9、投标人提供的产品必须符合招标文件要求的技术参数及功能要求</w:t>
      </w:r>
      <w:r>
        <w:rPr>
          <w:rFonts w:hint="eastAsia" w:ascii="宋体" w:hAnsi="宋体"/>
          <w:color w:val="auto"/>
          <w:szCs w:val="21"/>
          <w:highlight w:val="none"/>
          <w:lang w:eastAsia="zh-CN"/>
        </w:rPr>
        <w:t>。</w:t>
      </w:r>
    </w:p>
    <w:p>
      <w:pPr>
        <w:shd w:val="clear"/>
        <w:snapToGrid w:val="0"/>
        <w:spacing w:line="360" w:lineRule="auto"/>
        <w:ind w:left="361" w:hanging="361" w:hangingChars="150"/>
        <w:rPr>
          <w:rFonts w:hint="eastAsia" w:ascii="宋体" w:hAnsi="宋体"/>
          <w:b/>
          <w:color w:val="auto"/>
          <w:sz w:val="24"/>
          <w:highlight w:val="none"/>
        </w:rPr>
      </w:pPr>
    </w:p>
    <w:p>
      <w:pPr>
        <w:shd w:val="clear"/>
        <w:snapToGrid w:val="0"/>
        <w:spacing w:line="360" w:lineRule="auto"/>
        <w:ind w:left="361" w:hanging="361" w:hangingChars="150"/>
        <w:outlineLvl w:val="3"/>
        <w:rPr>
          <w:rFonts w:hint="eastAsia" w:ascii="宋体" w:hAnsi="宋体"/>
          <w:b/>
          <w:color w:val="auto"/>
          <w:sz w:val="24"/>
          <w:highlight w:val="none"/>
        </w:rPr>
      </w:pPr>
      <w:r>
        <w:rPr>
          <w:rFonts w:hint="eastAsia" w:ascii="宋体" w:hAnsi="宋体"/>
          <w:b/>
          <w:color w:val="auto"/>
          <w:sz w:val="24"/>
          <w:highlight w:val="none"/>
          <w:lang w:val="en-US" w:eastAsia="zh-CN"/>
        </w:rPr>
        <w:t>二</w:t>
      </w:r>
      <w:r>
        <w:rPr>
          <w:rFonts w:hint="eastAsia" w:ascii="宋体" w:hAnsi="宋体"/>
          <w:b/>
          <w:color w:val="auto"/>
          <w:sz w:val="24"/>
          <w:highlight w:val="none"/>
        </w:rPr>
        <w:t>、项目采购清单及技术参数</w:t>
      </w:r>
    </w:p>
    <w:tbl>
      <w:tblPr>
        <w:tblStyle w:val="2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46"/>
        <w:gridCol w:w="810"/>
        <w:gridCol w:w="6273"/>
        <w:gridCol w:w="512"/>
        <w:gridCol w:w="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6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475"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项目名称</w:t>
            </w:r>
          </w:p>
        </w:tc>
        <w:tc>
          <w:tcPr>
            <w:tcW w:w="3679"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项目特征描述</w:t>
            </w:r>
          </w:p>
        </w:tc>
        <w:tc>
          <w:tcPr>
            <w:tcW w:w="30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计量单位</w:t>
            </w:r>
          </w:p>
        </w:tc>
        <w:tc>
          <w:tcPr>
            <w:tcW w:w="28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6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475"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3679"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30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28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color w:val="auto"/>
                <w:sz w:val="21"/>
                <w:szCs w:val="21"/>
                <w:highlight w:val="none"/>
                <w:shd w:val="clear"/>
              </w:rPr>
              <w:t>●</w:t>
            </w:r>
            <w:r>
              <w:rPr>
                <w:rFonts w:hint="eastAsia" w:ascii="宋体" w:hAnsi="宋体" w:eastAsia="宋体" w:cs="宋体"/>
                <w:i w:val="0"/>
                <w:iCs w:val="0"/>
                <w:color w:val="000000"/>
                <w:kern w:val="0"/>
                <w:sz w:val="21"/>
                <w:szCs w:val="21"/>
                <w:highlight w:val="none"/>
                <w:u w:val="none"/>
                <w:lang w:val="en-US" w:eastAsia="zh-CN" w:bidi="ar"/>
              </w:rPr>
              <w:t>智慧黑板一体机</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（一）整体设计：</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1.整机采用三拼接平面一体化设计，无推拉式结构及外露连接线，外观简洁。整机尺寸宽度不小于4200mm，高度不小于1200mm。</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2.整机前朝向面板支持教师用作黑板书写板书。主屏与两侧屏幕均支持普通粉笔、液体粉笔、水溶性粉笔等直接书写。</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3.中央主屏幕显示采用≥86英寸UHD超高清LED液晶屏，屏幕分辨率不低于3840*2160，显示比例16:9，主屏具备防眩光效果。</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4.整机屏幕与屏幕保护层全贴合，减少显示面板与玻璃间的偏光、散射，画面显示更加清晰通透、可视角度更广。</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整机屏幕边缘采用超薄金属圆角包边防护，整机背板采用金属材质，有效屏蔽内部电路器件辐射；防潮耐盐雾蚀锈，适应多种教学环境。6.整机电磁兼容性符合浪涌（冲击）抗扰度、静电放电抗扰度、射频电磁场辐射抗扰度、电快速瞬变脉冲群抗扰度、射频场感应的传导抗扰度等标准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（二）电视系统：</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1.侧置输入接口具备 2 路 HDMI、1 路RS232，侧置输出接口具备 1 路音频输出、1 路触控输出 USB。</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前置输入接口具备3路USB 接口（包括1路TypeC、2 路USB）。</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2.屏幕显示灰度分辨等级达到128灰阶以上，保证画面显示效果细腻。</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3.钢化玻璃厚度≤4mm，钢化玻璃表面硬度≥9H。</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4.支持Windows教学系统下进行20点触控。</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（三）主要功能：</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1.主副屏采用免工具拆卸安全卡扣拼接，适用于不同墙体拼接加固。通过免工具拆卸卡扣前翻打开内嵌模块电脑侧的副屏，打开后可通过自带支撑架支撑，无需拆卸副屏即可对整机进行维护。</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2.整机内置2.1声道音响，前朝向（避免中高音损失）15W中高音扬声器2个，后朝向20W低音扬声器1个，额定总功率50W。</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3.▲整机支持机身前置物理按键一键启动录屏功能，可将屏幕中显示的课件、音频等内容与老师人声同步录制。</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4.整机具有减滤蓝光功能，可通过前置物理功能按键方式一键启用减滤蓝光模式。</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5.整机采用左右双侧边栏虚拟按键方式，通过侧边栏可调用音量+/-、亮度+/-、批注、主页、半屏。</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6.</w:t>
            </w:r>
            <w:r>
              <w:rPr>
                <w:rFonts w:hint="eastAsia" w:ascii="宋体" w:hAnsi="宋体" w:eastAsia="宋体" w:cs="宋体"/>
                <w:color w:val="auto"/>
                <w:sz w:val="21"/>
                <w:szCs w:val="21"/>
                <w:highlight w:val="none"/>
              </w:rPr>
              <w:t>▲</w:t>
            </w:r>
            <w:r>
              <w:rPr>
                <w:rFonts w:hint="eastAsia" w:ascii="宋体" w:hAnsi="宋体" w:eastAsia="宋体" w:cs="宋体"/>
                <w:i w:val="0"/>
                <w:iCs w:val="0"/>
                <w:color w:val="000000"/>
                <w:kern w:val="0"/>
                <w:sz w:val="21"/>
                <w:szCs w:val="21"/>
                <w:highlight w:val="none"/>
                <w:u w:val="none"/>
                <w:lang w:val="en-US" w:eastAsia="zh-CN" w:bidi="ar"/>
              </w:rPr>
              <w:t>支持半屏模式，将Windows显示画面上半部分下拉到显示屏的下半部分显示，可以正常触控操作Windows系统。点击非Windows显示画面区域，即可退出该模式，无需其他设置。</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7.整机内置非独立的高清摄像头，支持远程巡课应用，摄像头像素数≥800万，对角角度≥120°。</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8.整机支持机身前置物理按键一键切换画面显示比例（4：3与16:9），便于对不同页面比例的PPT课件实现全屏展示。</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9.具备智能手势识别功能，在任意信号源通道下可识别五指上、下、左、右方向手势滑动并调用响应功能，支持将各手势滑动方向自定义设置为无操作、熄屏、批注、桌面、半屏模式。</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10.整机可实时显示设备温度，根据温度高低显示不同颜色进行提示，方便电教人员对设备进行日常的管理维护。</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11.整机内置无线网络模块，采用全向前置信号接发设计，网络信号接发源不局限在整机后方某一方向某一位置，无任何外接、转接天线及网卡可实现正常网络连接。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12.整机处于关机通电状态，外接电脑显示信号通过传输线连接至整机时，整机可智能识别外接电脑设备信号输入并自动开机。</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13.外接电脑设备连接整机且触摸信号联通时，外接电脑设备可直接读取整机前置USB接口的移动存储设备数据，连接整机前置USB接口的翻页笔、无线键鼠等外接设备可直接使用于外接电脑，无需重复部署。</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14.外接电脑设备连接整机且触摸信号连通时，外接电脑设备可直接读取整机前置USB接口的移动存储设备数据。连接整机前置USB接口的翻页笔、无线键鼠可直接使用于外接电脑。</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15.同一物理按键完成安卓嵌入式系统、Windows教学系统和节能熄屏操作，通过轻按按键实现节能熄屏/唤醒，长按按键实现关机。</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16.▲整机具备前置Type-C接口，通过Type-C接口实现音视频输入，外接电脑设备通过TypeC线连接至整机TypeC口，即可把外接电脑设备画面投到整机上，同时在整机上操作画面，可实现触摸电脑的操作，无需再连接触控USB线。</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（四）嵌入式系统：</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1.▲嵌入式系统版本不低于Android9.0，内存≥2GB，存储空间≥8GB。</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2.整机在任意通道下支持手势擦除功能，可通过手势识别调出板擦擦除批注内容，且板擦面积大小根据手与屏幕的接触面积自动调整。</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嵌入式系统内置互动白板支持十笔书写及手掌擦除（擦除面积根据手掌与屏幕的接触面大小自动调整），支持十种以上图形工具，白板书写内容可导出PDF、iwb、svg等格式。支持单点书写和多点书写的切换，满足老师的不同使用习惯。</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4.整机支持任意通道画面冻结放大，在任意通道下可将屏幕画面冻结并进行局部放大，放大后画面支持自由拖拽调整位置。</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5.嵌入式白板支持对已经书写的批注、形状的颜色进行更换，便于教师回顾重点内容。</w:t>
            </w:r>
          </w:p>
          <w:p>
            <w:pPr>
              <w:keepNext w:val="0"/>
              <w:keepLines w:val="0"/>
              <w:widowControl/>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6.Wi-Fi工作距离不低于 12米，AP热点工作距离不低于12米。</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（五）内置电脑模块：</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1.▲PC模块可抽拉式插入整机，可实现无单独接线的插拔。</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2.▲和整机的连接采用万兆级接口，传输速率≥10Gbps。</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3.处理器：不低于Intel 8代酷睿系列i5，8G DDR4笔记本内存或以上配置，256G或以上SSD固态硬盘。</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4.▲采用按压式卡扣，无需工具就可快速拆卸电脑模块</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（六）设备运维系统：</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1、管理平台采用B/S混合云架构设计，无需本地额外部署服务器等设备即可实现对教学信息化设备运行数据的监测</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3、管理平台为学校提供专属识别代码，可支持交互智能设备在广域网环境下，输入专属代码接入管理平台即可在通过管理平台可开启或关闭指定交互智能设备的任意磁盘分区数据还原（冰点）保护。</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管理平台实时监测已连接的交互智能设备状态，支持不少于10台设备的略缩预览以及单设备全屏查看；可远程监测交互智能设备开关机状态、CPU温度、CPU使用率、硬盘空间、硬盘使用状况、内存容量、内存使用率、受控端系统版本、设备ID等设备数据。</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5、管理平台实时显示交互智能设备异常的告警提示，并同步将异常信息推送至管理员移动端工作平台。</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管理平台支持对设备进行打铃，支持立即、定时和循环操作，用户可上传自定义铃声至铃声库，支持MP3、WMA、MIDI格式，添加铃声时，可试听，可设置打铃时长。支持同时添加20个不同时间的循环铃声，用于设置学校全天上下课铃声。</w:t>
            </w:r>
          </w:p>
          <w:p>
            <w:pPr>
              <w:keepNext w:val="0"/>
              <w:keepLines w:val="0"/>
              <w:widowControl/>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7、管理平台可远程对运行状态下的交互智能设备批量进行本地系统启动盘的冻结、解冻（冰点保护）。重启设备后，被冻结后本地系统启动盘的数据及系统更改等均会自动恢复至冻结前状态，管理平台可开启或关闭指定交互智能设备的任意磁盘分区数据还原（冰点）保护。</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8、管理平台可开启或关闭全校所有设备的弹窗拦截功能，可随时查看所有弹窗拦截的设备数和历史拦截的条数，可远程批量拦截弹窗，适用于所有关联本学校的交互智能设备。</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数据分析</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管理平台显示设备使用情况数据报表，包括实时在线设备数、今日活跃人数、使用学科数、异常条数、设备使用时段、设备使用时长分布、软件使用次数、用户活跃数、不同学科使用频次占比等，方便管理员检查设备使用情况。</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10、管理平台支持多层级权限管理，可将多类型的设备管理权限分配给多个管理员，由多个管理员共同管理；顶级管理员可添加普通管理员并修改普通管理员的权限。</w:t>
            </w:r>
          </w:p>
          <w:p>
            <w:pPr>
              <w:keepNext w:val="0"/>
              <w:keepLines w:val="0"/>
              <w:widowControl/>
              <w:numPr>
                <w:ilvl w:val="0"/>
                <w:numId w:val="0"/>
              </w:numPr>
              <w:suppressLineNumbers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i w:val="0"/>
                <w:iCs w:val="0"/>
                <w:color w:val="000000"/>
                <w:kern w:val="0"/>
                <w:sz w:val="21"/>
                <w:szCs w:val="21"/>
                <w:highlight w:val="none"/>
                <w:u w:val="none"/>
                <w:lang w:val="en-US" w:eastAsia="zh-CN" w:bidi="ar"/>
              </w:rPr>
              <w:t>▲11、移动管理平台：提供免安装且兼容Android、IOS等主流移动终端的移动管理平台，无需反复登录移动浏览器，可实时查看开机设备数、关机设备数等信息化运行数据。可对已连接的交互智能设备进行实时关机、开机和重启操作</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12、移动管理平台可实时监测已连接的交互智能设备，远程查看设备的开关机状态、CPU温度、CPU使用率、开机时间等设备详情。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13、移动管理平台可查看已连接设备运行异常数据，异常类型包含温度过高、CPU占用率过高、待机时间过长等，支持按年级筛选查看设备异常数据并对异常设备进行管控。设备发生异常时，移动管理平台自动发送异常信息提醒管理员，包括设备超过4小时无人使用异常、未准点关机异常。</w:t>
            </w:r>
          </w:p>
          <w:p>
            <w:pPr>
              <w:keepNext w:val="0"/>
              <w:keepLines w:val="0"/>
              <w:widowControl/>
              <w:suppressLineNumbers w:val="0"/>
              <w:spacing w:line="360" w:lineRule="auto"/>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▲14、提供教学专用广告屏蔽工具。支持高强度屏蔽拦截，对全部软件应用弹窗进行无差别拦截。</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lang w:eastAsia="zh-CN"/>
              </w:rPr>
              <w:t>提供</w:t>
            </w:r>
            <w:r>
              <w:rPr>
                <w:rFonts w:hint="eastAsia" w:ascii="宋体" w:hAnsi="宋体" w:eastAsia="宋体" w:cs="宋体"/>
                <w:b/>
                <w:bCs/>
                <w:color w:val="auto"/>
                <w:sz w:val="21"/>
                <w:szCs w:val="21"/>
                <w:highlight w:val="none"/>
                <w:lang w:val="en-US" w:eastAsia="zh-CN"/>
              </w:rPr>
              <w:t>第三方</w:t>
            </w:r>
            <w:r>
              <w:rPr>
                <w:rFonts w:hint="eastAsia" w:ascii="宋体" w:hAnsi="宋体" w:eastAsia="宋体" w:cs="宋体"/>
                <w:b/>
                <w:bCs/>
                <w:color w:val="auto"/>
                <w:sz w:val="21"/>
                <w:szCs w:val="21"/>
                <w:highlight w:val="none"/>
                <w:lang w:eastAsia="zh-CN"/>
              </w:rPr>
              <w:t>检测机构出具的检测报告复印件并加盖投标人公章，要求内容能体现满足上述参数要求）</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智能书写笔</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1.支持主动电容笔书写，书写时手掌掌托接触屏幕时不会对笔的书写造成干扰，提高授课效率。</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2.电容笔笔身配置不少于四个物理按键，具备翻页、模拟激光笔、智能语音控制功能，兼顾触摸书写以及远程操控的握持姿态，兼容白板软件、PPT、PDF等多种演示软件课件的远程翻页控制。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3.电容笔内置高精度陀螺仪，具备模拟激光笔功能，可通过笔身按钮激活陀螺仪模拟激光功能，适用于加载防眩光设计的教学显示设备。</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电容笔支持按键唤醒语音识别，唤醒语音识别时，可直接通过语音打开PC内已安装的应用，可直接通过语音调用网络搜索引擎搜索查询相应资料，可进行语音转写输入，支持语音控制屏幕黑屏、亮屏，音量大小调整，返回桌面，截屏，关机等操作。</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根</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智慧互动操作系统</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一、白板教学软件：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1.支持在线备课功能；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2.支持边写边擦功能；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3.软件自带内置浏览器；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4.支持图片裁切功能；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5.支持快捷抠图功能；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6.支持实物展台；</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二、移动授课系统：</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1.可与交互智能平板实现无线连接，可对连接的设备进行密码的权限管理，兼容多用户接入智能平板，支持Android4.0及ioS7.0以上版本系统；</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2.大小屏同步显示时支持同步放大功能；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3.支持服务端生成热点功能；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4.支持拍摄图片增强功能；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5.支持多图对比展示功能。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三、备授课一体化软件：</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1.要求独立于白板教学软件之外的单独软件，具有备课模式及授课模式，且操作界面根据备课和授课使用场景不同而区别设计；</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2.支持老师个人账号注册登录使用，也可通过USB key进行身份快速识别登陆；</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3.支持课件云同步；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4.提供智能选词填空的课堂活动模式；</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壁挂式实物展台</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 壁挂式安装，防盗防破坏。</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 无锐角无利边设计，有效防止师生碰伤、划伤。</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 采用三折叠开合式托板，展开后托板尺寸≥A4面积，收起时小巧不占空间，高效利用挂墙面积。</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 采用USB高速接口，单根USB线实现供电、高清数据传输需求。</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 采用800W像素自动对焦摄像头，可拍摄A4画幅。</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 采用PDAF相位对焦技术，自动对焦速度低于300ms，减少对焦过程时间，提高教学效率。</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无线麦</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1、手持式无线麦克风为教师提供更自然的扩声工具。</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2、流线外观，吸汗防滑材质，轻量化设计，适于长时间握持。</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3、双持结构设计，教师可直接手持使用，也可接驳的头戴麦克风使用。</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4、充电10分钟，扩音两节课，满电续航6小时，拥有极致的续航能力。</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功放音响</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1.采用功放及有源音箱一体化设计。</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2.双音箱配对，采用木质材质，保证声音还原度。</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3.输出额定功率: 2*20W。</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4.端口：电源*1、Line in*1、Line out*1、U盘接口*1。</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5.支持专业无线麦克风接收技术数字U段无线麦克风扩音接收，有效避开wifi干扰。</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6.配置独立音频数字信号处理芯片，支持啸叫抑制功能。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7.支持蓝牙无线接收，方便老师分享移动设备上的音频。蓝牙支持密码模式，防止学生连接。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8.支持安卓手机通过蓝牙无线连接音箱，实现控制有源音箱的音量、设置蓝牙名称、设置蓝牙密码等功能，方便教师对音箱的管控。</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9.支持扩音和输入音源叠加输出，方便与录播系统结合，或者通过串联功放支持更大环境扩音。</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音箱具有SRRC无线电发射设备型号核准证，符合无线电管理规定和技术标准。</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对</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键盘鼠标</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键鼠套装无线办公键盘鼠标套装防泼溅电脑链盘鼠标键盘黑色。</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pacing w:line="360" w:lineRule="auto"/>
              <w:jc w:val="center"/>
              <w:rPr>
                <w:rFonts w:hint="eastAsia" w:ascii="宋体" w:hAnsi="宋体" w:eastAsia="宋体" w:cs="宋体"/>
                <w:i w:val="0"/>
                <w:iCs w:val="0"/>
                <w:color w:val="000000"/>
                <w:sz w:val="21"/>
                <w:szCs w:val="21"/>
                <w:highlight w:val="none"/>
                <w:u w:val="none"/>
              </w:rPr>
            </w:pPr>
          </w:p>
        </w:tc>
        <w:tc>
          <w:tcPr>
            <w:tcW w:w="415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其它</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left"/>
              <w:rPr>
                <w:rFonts w:hint="eastAsia" w:ascii="宋体" w:hAnsi="宋体" w:eastAsia="宋体" w:cs="宋体"/>
                <w:i w:val="0"/>
                <w:iCs w:val="0"/>
                <w:color w:val="000000"/>
                <w:sz w:val="21"/>
                <w:szCs w:val="21"/>
                <w:highlight w:val="none"/>
                <w:u w:val="none"/>
              </w:rPr>
            </w:pP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pacing w:line="360" w:lineRule="auto"/>
              <w:jc w:val="right"/>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凿(压)槽</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1.名称:凿(压)槽及修补</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2.规格:70*70</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教室配件拆除</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1.拆卸黑板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2.搬运指定地点</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3.拆卸线槽</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间</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教室配件拆除</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1.拆卸音响</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2.拆卸原有的电视</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3.搬运指定地点</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间</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插座</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1.名称:二+三+三孔插座</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接线盒</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1.名称:接线盒</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2.安装形式:暗装</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USB一分三带网口</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1.名称:USB一分三带网口</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2.用于教室讲台的有线鼠标键盘</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配线</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1.名称:电气配线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2.配线形式:线槽配线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3.规格:WDZ-BYJ-2.5</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4.材质:铜芯</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5.配线部位:按实考虑</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HDMI线</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1.名称:HDMI线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2.配线形式:线槽内敷设</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3.1米用于讲台延长至显示器、用于一体机链接至讲台显示器</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HDMI直通头</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1.名称:HDMI直通头</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USB延长线</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1.名称:USB延长线</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2.配线形式:线槽内敷设</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3.用于一体机连接至讲台</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线槽</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1.名称:六分线槽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用于整合线路 </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线槽</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1.名称:不锈钢地槽</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2.规格:1.5m/条</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条</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配管</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1.名称:黄腊管</w:t>
            </w:r>
          </w:p>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2. 用于线路拐弯处包裹保护线路（0.5米每间教室） </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m</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6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47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显示设备</w:t>
            </w:r>
          </w:p>
        </w:tc>
        <w:tc>
          <w:tcPr>
            <w:tcW w:w="3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1.名称:21.5寸显示器</w:t>
            </w:r>
          </w:p>
        </w:tc>
        <w:tc>
          <w:tcPr>
            <w:tcW w:w="30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28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line="360" w:lineRule="auto"/>
              <w:jc w:val="righ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r>
    </w:tbl>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rFonts w:hint="eastAsia"/>
          <w:color w:val="auto"/>
          <w:sz w:val="28"/>
          <w:szCs w:val="28"/>
          <w:highlight w:val="none"/>
        </w:rPr>
      </w:pPr>
      <w:bookmarkStart w:id="188" w:name="_Toc12014"/>
      <w:r>
        <w:rPr>
          <w:rFonts w:hint="eastAsia"/>
          <w:color w:val="auto"/>
          <w:sz w:val="28"/>
          <w:szCs w:val="28"/>
          <w:highlight w:val="none"/>
        </w:rPr>
        <w:br w:type="page"/>
      </w:r>
    </w:p>
    <w:p>
      <w:pPr>
        <w:pStyle w:val="2"/>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6"/>
      <w:bookmarkEnd w:id="187"/>
      <w:bookmarkEnd w:id="188"/>
      <w:bookmarkStart w:id="189" w:name="_Toc13430"/>
      <w:bookmarkStart w:id="190" w:name="_Toc21155"/>
      <w:bookmarkStart w:id="191" w:name="_Toc1534"/>
    </w:p>
    <w:p>
      <w:pPr>
        <w:pStyle w:val="4"/>
        <w:spacing w:before="0" w:after="0" w:line="240" w:lineRule="auto"/>
        <w:jc w:val="center"/>
        <w:rPr>
          <w:rFonts w:ascii="宋体" w:hAnsi="宋体" w:eastAsia="宋体" w:cs="宋体"/>
          <w:color w:val="auto"/>
          <w:highlight w:val="none"/>
        </w:rPr>
      </w:pPr>
      <w:bookmarkStart w:id="192" w:name="_Toc19575"/>
      <w:bookmarkStart w:id="193" w:name="_Toc16730"/>
      <w:bookmarkStart w:id="194" w:name="_Toc8880"/>
      <w:r>
        <w:rPr>
          <w:rFonts w:hint="eastAsia" w:ascii="宋体" w:hAnsi="宋体" w:eastAsia="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5"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2、乙方全部工作人员，须符合东莞市政府用工标准要求。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highlight w:val="none"/>
        </w:rPr>
      </w:pPr>
      <w:bookmarkStart w:id="196"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7" w:name="_Toc86481569"/>
      <w:r>
        <w:rPr>
          <w:rFonts w:hint="eastAsia" w:ascii="宋体" w:hAnsi="宋体" w:eastAsia="宋体"/>
          <w:b/>
          <w:color w:val="auto"/>
          <w:sz w:val="21"/>
          <w:szCs w:val="21"/>
          <w:highlight w:val="none"/>
        </w:rPr>
        <w:t>第十二条 合同生效</w:t>
      </w:r>
      <w:bookmarkEnd w:id="197"/>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6"/>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198" w:name="_Toc31587"/>
      <w:bookmarkStart w:id="199" w:name="_Toc23749"/>
      <w:bookmarkStart w:id="200"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8"/>
      <w:bookmarkEnd w:id="199"/>
      <w:bookmarkEnd w:id="200"/>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5670"/>
      <w:bookmarkStart w:id="205" w:name="_Toc18893"/>
      <w:bookmarkStart w:id="206" w:name="_Toc25502"/>
      <w:r>
        <w:rPr>
          <w:rFonts w:hint="eastAsia"/>
          <w:color w:val="auto"/>
          <w:highlight w:val="none"/>
        </w:rPr>
        <w:t>评分标准索引表</w:t>
      </w:r>
      <w:bookmarkEnd w:id="204"/>
      <w:bookmarkEnd w:id="205"/>
      <w:bookmarkEnd w:id="206"/>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7" w:name="_Toc22080"/>
      <w:bookmarkStart w:id="208" w:name="_Toc8194"/>
      <w:bookmarkStart w:id="209" w:name="_Toc30640"/>
      <w:r>
        <w:rPr>
          <w:rFonts w:hint="eastAsia"/>
          <w:color w:val="auto"/>
          <w:highlight w:val="none"/>
          <w:lang w:val="en-US" w:eastAsia="zh-CN"/>
        </w:rPr>
        <w:t>第一章价格文件</w:t>
      </w:r>
      <w:bookmarkEnd w:id="207"/>
      <w:bookmarkEnd w:id="20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0" w:name="_Toc4168"/>
      <w:bookmarkStart w:id="211" w:name="_Toc19750"/>
      <w:r>
        <w:rPr>
          <w:rFonts w:hint="eastAsia"/>
          <w:color w:val="auto"/>
          <w:highlight w:val="none"/>
          <w:lang w:val="en-US" w:eastAsia="zh-CN"/>
        </w:rPr>
        <w:t>一、唱标一览表</w:t>
      </w:r>
      <w:bookmarkEnd w:id="210"/>
      <w:bookmarkEnd w:id="211"/>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2" w:name="_Toc31172"/>
      <w:bookmarkStart w:id="213" w:name="_Toc31062"/>
      <w:r>
        <w:rPr>
          <w:rFonts w:hint="eastAsia"/>
          <w:color w:val="auto"/>
          <w:highlight w:val="none"/>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23355"/>
      <w:bookmarkStart w:id="215" w:name="_Toc20974"/>
      <w:r>
        <w:rPr>
          <w:rFonts w:hint="eastAsia"/>
          <w:color w:val="auto"/>
          <w:highlight w:val="none"/>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13970"/>
      <w:bookmarkStart w:id="217" w:name="_Toc16718"/>
      <w:r>
        <w:rPr>
          <w:rFonts w:hint="eastAsia"/>
          <w:color w:val="auto"/>
          <w:highlight w:val="none"/>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7482"/>
      <w:bookmarkStart w:id="219" w:name="_Toc10853"/>
      <w:r>
        <w:rPr>
          <w:rFonts w:hint="eastAsia"/>
          <w:color w:val="auto"/>
          <w:highlight w:val="none"/>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若投标人不属于规定的中小企业范围，或提供的产品不是中小企业制造的，则无需提供此表。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1、投标人应根据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8560"/>
      <w:bookmarkStart w:id="221" w:name="_Toc7959"/>
      <w:r>
        <w:rPr>
          <w:rFonts w:hint="eastAsia"/>
          <w:color w:val="auto"/>
          <w:highlight w:val="none"/>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22" w:name="_Toc30247"/>
      <w:bookmarkStart w:id="223" w:name="_Toc30277"/>
      <w:bookmarkStart w:id="224" w:name="_Toc17761"/>
      <w:bookmarkStart w:id="225" w:name="_Toc509927455"/>
      <w:bookmarkStart w:id="226" w:name="_Toc508958703"/>
      <w:bookmarkStart w:id="227" w:name="_Toc509844825"/>
      <w:bookmarkStart w:id="228" w:name="_Toc509479530"/>
      <w:bookmarkStart w:id="229" w:name="_Toc508960153"/>
      <w:bookmarkStart w:id="230" w:name="_Toc510171693"/>
      <w:bookmarkStart w:id="231" w:name="_Toc20910"/>
      <w:bookmarkStart w:id="232" w:name="_Toc22970"/>
      <w:bookmarkStart w:id="233" w:name="_Toc508898066"/>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34" w:name="_Toc509927456"/>
      <w:bookmarkStart w:id="235" w:name="_Toc31520"/>
      <w:bookmarkStart w:id="236" w:name="_Toc508958704"/>
      <w:bookmarkStart w:id="237" w:name="_Toc508898067"/>
      <w:bookmarkStart w:id="238" w:name="_Toc509479531"/>
      <w:bookmarkStart w:id="239" w:name="_Toc510171694"/>
      <w:bookmarkStart w:id="240" w:name="_Toc5447"/>
      <w:bookmarkStart w:id="241" w:name="_Toc509844826"/>
      <w:bookmarkStart w:id="242" w:name="_Toc26216"/>
      <w:bookmarkStart w:id="243" w:name="_Toc508960154"/>
      <w:bookmarkStart w:id="244" w:name="_Toc28527"/>
      <w:bookmarkStart w:id="245" w:name="_Toc21053"/>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46" w:name="_Toc24848"/>
      <w:bookmarkStart w:id="247" w:name="_Toc508898068"/>
      <w:bookmarkStart w:id="248" w:name="_Toc509844827"/>
      <w:bookmarkStart w:id="249" w:name="_Toc28626"/>
      <w:bookmarkStart w:id="250" w:name="_Toc510171695"/>
      <w:bookmarkStart w:id="251" w:name="_Toc509927457"/>
      <w:bookmarkStart w:id="252" w:name="_Toc508960155"/>
      <w:bookmarkStart w:id="253" w:name="_Toc508958705"/>
      <w:bookmarkStart w:id="254" w:name="_Toc509479532"/>
      <w:bookmarkStart w:id="255" w:name="_Toc28126"/>
      <w:bookmarkStart w:id="256" w:name="_Toc14653"/>
      <w:bookmarkStart w:id="257" w:name="_Toc9148"/>
      <w:r>
        <w:rPr>
          <w:rFonts w:hint="eastAsia" w:ascii="宋体" w:hAnsi="宋体" w:eastAsia="宋体"/>
          <w:color w:val="auto"/>
          <w:sz w:val="21"/>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8" w:name="_Toc28686"/>
      <w:bookmarkStart w:id="259" w:name="_Toc509479533"/>
      <w:bookmarkStart w:id="260" w:name="_Toc508960156"/>
      <w:bookmarkStart w:id="261" w:name="_Toc508958706"/>
      <w:bookmarkStart w:id="262" w:name="_Toc7858"/>
      <w:bookmarkStart w:id="263" w:name="_Toc9837"/>
      <w:bookmarkStart w:id="264" w:name="_Toc22981"/>
      <w:bookmarkStart w:id="265" w:name="_Toc508898069"/>
      <w:bookmarkStart w:id="266" w:name="_Toc509844828"/>
      <w:bookmarkStart w:id="267" w:name="_Toc509927458"/>
      <w:bookmarkStart w:id="268" w:name="_Toc28044"/>
      <w:bookmarkStart w:id="269" w:name="_Toc510171696"/>
      <w:r>
        <w:rPr>
          <w:rFonts w:hint="eastAsia" w:ascii="宋体" w:hAnsi="宋体" w:eastAsia="宋体"/>
          <w:color w:val="auto"/>
          <w:sz w:val="21"/>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0" w:name="_Toc510171697"/>
      <w:bookmarkStart w:id="271" w:name="_Toc508958707"/>
      <w:bookmarkStart w:id="272" w:name="_Toc509479534"/>
      <w:bookmarkStart w:id="273" w:name="_Toc508898070"/>
      <w:bookmarkStart w:id="274" w:name="_Toc509844829"/>
      <w:bookmarkStart w:id="275" w:name="_Toc508960157"/>
      <w:bookmarkStart w:id="276" w:name="_Toc5289"/>
      <w:bookmarkStart w:id="277" w:name="_Toc509927459"/>
      <w:bookmarkStart w:id="278" w:name="_Toc18843"/>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79" w:name="_Toc6471"/>
      <w:bookmarkStart w:id="280" w:name="_Toc23948"/>
      <w:r>
        <w:rPr>
          <w:rFonts w:hint="eastAsia"/>
          <w:color w:val="auto"/>
          <w:highlight w:val="none"/>
          <w:lang w:val="en-US" w:eastAsia="zh-CN"/>
        </w:rPr>
        <w:t>第二章商务文件</w:t>
      </w:r>
      <w:bookmarkEnd w:id="279"/>
      <w:bookmarkEnd w:id="280"/>
    </w:p>
    <w:bookmarkEnd w:id="209"/>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1" w:name="_Toc1952"/>
      <w:bookmarkStart w:id="282" w:name="_Toc23787"/>
      <w:r>
        <w:rPr>
          <w:rFonts w:hint="eastAsia"/>
          <w:color w:val="auto"/>
          <w:highlight w:val="none"/>
          <w:lang w:val="en-US" w:eastAsia="zh-CN"/>
        </w:rPr>
        <w:t>一、投标函</w:t>
      </w:r>
      <w:bookmarkEnd w:id="281"/>
      <w:bookmarkEnd w:id="282"/>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3" w:name="_Toc28616"/>
      <w:bookmarkStart w:id="284" w:name="_Toc15719"/>
      <w:r>
        <w:rPr>
          <w:rFonts w:hint="eastAsia"/>
          <w:color w:val="auto"/>
          <w:highlight w:val="none"/>
          <w:lang w:val="en-US" w:eastAsia="zh-CN"/>
        </w:rPr>
        <w:t>二、资格申明函</w:t>
      </w:r>
      <w:bookmarkEnd w:id="283"/>
      <w:bookmarkEnd w:id="284"/>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285"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6" w:name="_Toc21273"/>
      <w:bookmarkStart w:id="287" w:name="_Toc32742"/>
      <w:r>
        <w:rPr>
          <w:rFonts w:hint="eastAsia"/>
          <w:color w:val="auto"/>
          <w:highlight w:val="none"/>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88" w:name="_Toc13243"/>
      <w:bookmarkStart w:id="289" w:name="_Toc3894"/>
      <w:r>
        <w:rPr>
          <w:rFonts w:hint="eastAsia"/>
          <w:color w:val="auto"/>
          <w:highlight w:val="none"/>
          <w:lang w:val="en-US" w:eastAsia="zh-CN"/>
        </w:rPr>
        <w:t>四、法定代表人证明书</w:t>
      </w:r>
      <w:bookmarkEnd w:id="288"/>
      <w:bookmarkEnd w:id="289"/>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0" w:name="_Toc5918"/>
      <w:bookmarkStart w:id="291" w:name="_Toc5626"/>
      <w:r>
        <w:rPr>
          <w:rFonts w:hint="eastAsia"/>
          <w:color w:val="auto"/>
          <w:highlight w:val="none"/>
          <w:lang w:val="en-US" w:eastAsia="zh-CN"/>
        </w:rPr>
        <w:t>五、法定代表人授权书</w:t>
      </w:r>
      <w:bookmarkEnd w:id="290"/>
      <w:bookmarkEnd w:id="291"/>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92"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3" w:name="_Toc18562"/>
      <w:bookmarkStart w:id="294" w:name="_Toc24013"/>
      <w:r>
        <w:rPr>
          <w:rFonts w:hint="eastAsia"/>
          <w:color w:val="auto"/>
          <w:highlight w:val="none"/>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95" w:name="_Toc29995"/>
      <w:bookmarkStart w:id="296" w:name="_Toc24210"/>
      <w:bookmarkStart w:id="297" w:name="_Toc1511"/>
      <w:bookmarkStart w:id="298" w:name="_Toc28067"/>
      <w:bookmarkStart w:id="299" w:name="_Toc4926"/>
      <w:bookmarkStart w:id="300" w:name="_Toc17470"/>
      <w:bookmarkStart w:id="301" w:name="_Toc5919"/>
      <w:r>
        <w:rPr>
          <w:rFonts w:hint="eastAsia"/>
          <w:color w:val="auto"/>
          <w:highlight w:val="none"/>
          <w:lang w:val="en-US" w:eastAsia="zh-CN"/>
        </w:rPr>
        <w:t>七、</w:t>
      </w:r>
      <w:r>
        <w:rPr>
          <w:rFonts w:hint="eastAsia"/>
          <w:color w:val="auto"/>
          <w:highlight w:val="none"/>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2" w:name="_Toc29439"/>
      <w:bookmarkStart w:id="303" w:name="_Toc21638"/>
      <w:r>
        <w:rPr>
          <w:rFonts w:hint="eastAsia"/>
          <w:color w:val="auto"/>
          <w:highlight w:val="none"/>
          <w:lang w:val="en-US" w:eastAsia="zh-CN"/>
        </w:rPr>
        <w:t>八、</w:t>
      </w:r>
      <w:r>
        <w:rPr>
          <w:rFonts w:hint="eastAsia"/>
          <w:color w:val="auto"/>
          <w:highlight w:val="none"/>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3341"/>
      <w:bookmarkStart w:id="305" w:name="_Toc14263"/>
      <w:r>
        <w:rPr>
          <w:rFonts w:hint="eastAsia"/>
          <w:color w:val="auto"/>
          <w:highlight w:val="none"/>
          <w:lang w:val="en-US" w:eastAsia="zh-CN"/>
        </w:rPr>
        <w:t>九、</w:t>
      </w:r>
      <w:r>
        <w:rPr>
          <w:rFonts w:hint="eastAsia"/>
          <w:color w:val="auto"/>
          <w:highlight w:val="none"/>
        </w:rPr>
        <w:t>承诺书</w:t>
      </w:r>
      <w:bookmarkEnd w:id="304"/>
      <w:bookmarkEnd w:id="305"/>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13955"/>
      <w:bookmarkStart w:id="308" w:name="_Toc13653"/>
      <w:r>
        <w:rPr>
          <w:rFonts w:hint="eastAsia"/>
          <w:color w:val="auto"/>
          <w:highlight w:val="none"/>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12598"/>
      <w:bookmarkStart w:id="310" w:name="_Toc1975"/>
      <w:r>
        <w:rPr>
          <w:rFonts w:hint="eastAsia"/>
          <w:color w:val="auto"/>
          <w:highlight w:val="none"/>
          <w:lang w:val="en-US" w:eastAsia="zh-CN"/>
        </w:rPr>
        <w:t>十一、</w:t>
      </w:r>
      <w:r>
        <w:rPr>
          <w:rFonts w:hint="eastAsia"/>
          <w:color w:val="auto"/>
          <w:highlight w:val="none"/>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11"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2" w:name="_Toc19276"/>
      <w:bookmarkStart w:id="313" w:name="_Toc25391"/>
      <w:r>
        <w:rPr>
          <w:rFonts w:hint="eastAsia"/>
          <w:color w:val="auto"/>
          <w:highlight w:val="none"/>
          <w:lang w:val="en-US" w:eastAsia="zh-CN"/>
        </w:rPr>
        <w:t>十二、</w:t>
      </w:r>
      <w:r>
        <w:rPr>
          <w:rFonts w:hint="eastAsia"/>
          <w:color w:val="auto"/>
          <w:highlight w:val="none"/>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14" w:name="_Toc20520"/>
      <w:bookmarkStart w:id="315" w:name="_Toc14688"/>
      <w:r>
        <w:rPr>
          <w:rFonts w:hint="eastAsia"/>
          <w:color w:val="auto"/>
          <w:highlight w:val="none"/>
          <w:lang w:val="en-US" w:eastAsia="zh-CN"/>
        </w:rPr>
        <w:t>第三章技术文件</w:t>
      </w:r>
      <w:bookmarkEnd w:id="311"/>
      <w:bookmarkEnd w:id="314"/>
      <w:bookmarkEnd w:id="31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6" w:name="_Toc7092"/>
      <w:bookmarkStart w:id="317" w:name="_Toc13097"/>
      <w:r>
        <w:rPr>
          <w:rFonts w:hint="eastAsia"/>
          <w:color w:val="auto"/>
          <w:highlight w:val="none"/>
          <w:lang w:val="en-US" w:eastAsia="zh-CN"/>
        </w:rPr>
        <w:t>一、</w:t>
      </w:r>
      <w:r>
        <w:rPr>
          <w:rFonts w:hint="eastAsia"/>
          <w:color w:val="auto"/>
          <w:highlight w:val="none"/>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eastAsia="宋体"/>
          <w:color w:val="auto"/>
          <w:sz w:val="21"/>
          <w:szCs w:val="21"/>
          <w:highlight w:val="none"/>
        </w:rPr>
        <w:br w:type="page"/>
      </w:r>
      <w:bookmarkEnd w:id="318"/>
      <w:bookmarkStart w:id="319" w:name="_Toc18668"/>
      <w:bookmarkStart w:id="320" w:name="_Toc4464"/>
      <w:bookmarkStart w:id="321" w:name="_Toc26078"/>
      <w:bookmarkStart w:id="322" w:name="_Toc6080"/>
      <w:bookmarkStart w:id="323" w:name="_Toc4827"/>
      <w:bookmarkStart w:id="324" w:name="_Toc127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5" w:name="_Toc10734"/>
      <w:bookmarkStart w:id="326" w:name="_Toc13461"/>
      <w:r>
        <w:rPr>
          <w:rFonts w:hint="eastAsia"/>
          <w:color w:val="auto"/>
          <w:highlight w:val="none"/>
          <w:lang w:val="en-US" w:eastAsia="zh-CN"/>
        </w:rPr>
        <w:t>二、</w:t>
      </w:r>
      <w:r>
        <w:rPr>
          <w:rFonts w:hint="eastAsia"/>
          <w:color w:val="auto"/>
          <w:highlight w:val="none"/>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27" w:name="_Toc27079"/>
            <w:bookmarkStart w:id="328" w:name="_Toc29642"/>
            <w:bookmarkStart w:id="329" w:name="_Toc29560"/>
            <w:r>
              <w:rPr>
                <w:rFonts w:hint="eastAsia" w:ascii="宋体" w:hAnsi="宋体" w:eastAsia="宋体" w:cs="宋体"/>
                <w:b w:val="0"/>
                <w:bCs w:val="0"/>
                <w:color w:val="auto"/>
                <w:sz w:val="21"/>
                <w:szCs w:val="21"/>
                <w:highlight w:val="none"/>
                <w:lang w:val="en-US" w:eastAsia="zh-CN"/>
              </w:rPr>
              <w:t>序号</w:t>
            </w:r>
            <w:bookmarkEnd w:id="327"/>
            <w:bookmarkEnd w:id="328"/>
            <w:bookmarkEnd w:id="329"/>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30" w:name="_Toc21739"/>
            <w:bookmarkStart w:id="331" w:name="_Toc10045"/>
            <w:bookmarkStart w:id="332" w:name="_Toc26124"/>
            <w:bookmarkStart w:id="333" w:name="_Toc15368"/>
            <w:bookmarkStart w:id="334" w:name="_Toc14815"/>
            <w:bookmarkStart w:id="335" w:name="_Toc16872"/>
            <w:bookmarkStart w:id="336" w:name="_Toc27090"/>
            <w:bookmarkStart w:id="337" w:name="_Toc2700"/>
            <w:bookmarkStart w:id="338" w:name="_Toc4304"/>
            <w:bookmarkStart w:id="339" w:name="_Toc15903"/>
            <w:bookmarkStart w:id="340" w:name="_Toc1016"/>
            <w:bookmarkStart w:id="341" w:name="_Toc22448"/>
            <w:bookmarkStart w:id="342" w:name="_Toc12049"/>
            <w:bookmarkStart w:id="343" w:name="_Toc8490"/>
            <w:bookmarkStart w:id="344" w:name="_Toc21809"/>
            <w:bookmarkStart w:id="345" w:name="_Toc19251"/>
            <w:bookmarkStart w:id="346" w:name="_Toc32531"/>
            <w:bookmarkStart w:id="347" w:name="_Toc8312"/>
            <w:bookmarkStart w:id="348" w:name="_Toc27442"/>
            <w:bookmarkStart w:id="349" w:name="_Toc22879"/>
            <w:bookmarkStart w:id="350" w:name="_Toc22917"/>
            <w:bookmarkStart w:id="351" w:name="_Toc7333"/>
            <w:bookmarkStart w:id="352" w:name="_Toc2466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3" w:name="_Toc22153"/>
            <w:bookmarkStart w:id="354" w:name="_Toc2408"/>
            <w:bookmarkStart w:id="355" w:name="_Toc10122"/>
            <w:r>
              <w:rPr>
                <w:rFonts w:hint="eastAsia" w:ascii="宋体" w:hAnsi="宋体" w:eastAsia="宋体" w:cs="宋体"/>
                <w:b w:val="0"/>
                <w:bCs w:val="0"/>
                <w:color w:val="auto"/>
                <w:kern w:val="0"/>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6" w:name="_Toc16003"/>
            <w:bookmarkStart w:id="357" w:name="_Toc27285"/>
            <w:bookmarkStart w:id="358" w:name="_Toc29838"/>
            <w:bookmarkStart w:id="359" w:name="_Toc3701"/>
            <w:bookmarkStart w:id="360" w:name="_Toc5563"/>
            <w:bookmarkStart w:id="361" w:name="_Toc20820"/>
            <w:bookmarkStart w:id="362" w:name="_Toc27185"/>
            <w:bookmarkStart w:id="363" w:name="_Toc17642"/>
            <w:bookmarkStart w:id="364" w:name="_Toc1912"/>
            <w:bookmarkStart w:id="365" w:name="_Toc17296"/>
            <w:bookmarkStart w:id="366" w:name="_Toc20139"/>
            <w:bookmarkStart w:id="367" w:name="_Toc1330"/>
            <w:bookmarkStart w:id="368" w:name="_Toc5992"/>
            <w:r>
              <w:rPr>
                <w:rFonts w:hint="eastAsia" w:ascii="宋体" w:hAnsi="宋体" w:eastAsia="宋体" w:cs="宋体"/>
                <w:b w:val="0"/>
                <w:bCs w:val="0"/>
                <w:color w:val="auto"/>
                <w:sz w:val="21"/>
                <w:szCs w:val="21"/>
                <w:highlight w:val="none"/>
                <w:lang w:val="en-US" w:eastAsia="zh-CN"/>
              </w:rPr>
              <w:t>说明</w:t>
            </w:r>
            <w:bookmarkEnd w:id="356"/>
            <w:bookmarkEnd w:id="357"/>
            <w:bookmarkEnd w:id="358"/>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9" w:name="_Toc19105"/>
            <w:bookmarkStart w:id="370" w:name="_Toc3520"/>
            <w:bookmarkStart w:id="371" w:name="_Toc857"/>
            <w:r>
              <w:rPr>
                <w:rFonts w:hint="eastAsia" w:ascii="宋体" w:hAnsi="宋体" w:eastAsia="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1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2" w:name="_Toc27139"/>
      <w:bookmarkStart w:id="373" w:name="_Toc19349"/>
      <w:r>
        <w:rPr>
          <w:rFonts w:hint="eastAsia"/>
          <w:color w:val="auto"/>
          <w:highlight w:val="none"/>
          <w:lang w:val="en-US" w:eastAsia="zh-CN"/>
        </w:rPr>
        <w:t>三、</w:t>
      </w:r>
      <w:r>
        <w:rPr>
          <w:rFonts w:hint="eastAsia"/>
          <w:color w:val="auto"/>
          <w:highlight w:val="none"/>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74"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5" w:name="_Toc26880"/>
      <w:bookmarkStart w:id="376" w:name="_Toc16328"/>
      <w:r>
        <w:rPr>
          <w:rFonts w:hint="eastAsia"/>
          <w:color w:val="auto"/>
          <w:highlight w:val="none"/>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77" w:name="_Toc26980"/>
      <w:bookmarkStart w:id="378" w:name="_Toc15431"/>
      <w:r>
        <w:rPr>
          <w:rFonts w:hint="eastAsia"/>
          <w:color w:val="auto"/>
          <w:highlight w:val="none"/>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79" w:name="_Toc6961"/>
      <w:r>
        <w:rPr>
          <w:rFonts w:hint="eastAsia"/>
          <w:color w:val="auto"/>
          <w:highlight w:val="none"/>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0" w:name="_Toc26782"/>
      <w:bookmarkStart w:id="381" w:name="_Toc26772"/>
      <w:r>
        <w:rPr>
          <w:rFonts w:hint="eastAsia"/>
          <w:color w:val="auto"/>
          <w:highlight w:val="none"/>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82"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83" w:name="_Toc22736"/>
      <w:bookmarkStart w:id="384" w:name="_Toc2710"/>
      <w:r>
        <w:rPr>
          <w:rFonts w:hint="eastAsia"/>
          <w:color w:val="auto"/>
          <w:highlight w:val="none"/>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82"/>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9061A75"/>
    <w:rsid w:val="09182241"/>
    <w:rsid w:val="09242E62"/>
    <w:rsid w:val="093C069F"/>
    <w:rsid w:val="09417888"/>
    <w:rsid w:val="098308A7"/>
    <w:rsid w:val="09855177"/>
    <w:rsid w:val="09870F93"/>
    <w:rsid w:val="09D658E4"/>
    <w:rsid w:val="09F1637C"/>
    <w:rsid w:val="0A244DAE"/>
    <w:rsid w:val="0A25628F"/>
    <w:rsid w:val="0AA534D5"/>
    <w:rsid w:val="0AA650EB"/>
    <w:rsid w:val="0AB8066A"/>
    <w:rsid w:val="0AF47339"/>
    <w:rsid w:val="0B22594B"/>
    <w:rsid w:val="0B797387"/>
    <w:rsid w:val="0B8B2381"/>
    <w:rsid w:val="0BC044BE"/>
    <w:rsid w:val="0BDF26F7"/>
    <w:rsid w:val="0C264099"/>
    <w:rsid w:val="0C2B4952"/>
    <w:rsid w:val="0C7B2220"/>
    <w:rsid w:val="0CE70809"/>
    <w:rsid w:val="0D742C8E"/>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E3010"/>
    <w:rsid w:val="13B27845"/>
    <w:rsid w:val="13BE469F"/>
    <w:rsid w:val="13F87121"/>
    <w:rsid w:val="141A03E1"/>
    <w:rsid w:val="143B2E0B"/>
    <w:rsid w:val="14492F3F"/>
    <w:rsid w:val="14672B11"/>
    <w:rsid w:val="14892735"/>
    <w:rsid w:val="14CC769D"/>
    <w:rsid w:val="157D38E3"/>
    <w:rsid w:val="15D359D7"/>
    <w:rsid w:val="15D81E0F"/>
    <w:rsid w:val="15EF298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B2EA3"/>
    <w:rsid w:val="1B8D5DC6"/>
    <w:rsid w:val="1BFE1D3B"/>
    <w:rsid w:val="1C2775EC"/>
    <w:rsid w:val="1C750ECE"/>
    <w:rsid w:val="1CA22168"/>
    <w:rsid w:val="1CBB71B1"/>
    <w:rsid w:val="1D0836D7"/>
    <w:rsid w:val="1D196139"/>
    <w:rsid w:val="1D3B0115"/>
    <w:rsid w:val="1D5E524D"/>
    <w:rsid w:val="1DB85900"/>
    <w:rsid w:val="1DF051AF"/>
    <w:rsid w:val="1E010AF7"/>
    <w:rsid w:val="1E0178EB"/>
    <w:rsid w:val="1E301173"/>
    <w:rsid w:val="1E371DEE"/>
    <w:rsid w:val="1E38333E"/>
    <w:rsid w:val="1E5C7612"/>
    <w:rsid w:val="1EA40BB4"/>
    <w:rsid w:val="1F43381C"/>
    <w:rsid w:val="1FA4148D"/>
    <w:rsid w:val="20121621"/>
    <w:rsid w:val="201A421D"/>
    <w:rsid w:val="2033053A"/>
    <w:rsid w:val="20341172"/>
    <w:rsid w:val="204E554F"/>
    <w:rsid w:val="20590035"/>
    <w:rsid w:val="20C35213"/>
    <w:rsid w:val="20FC799E"/>
    <w:rsid w:val="21D13530"/>
    <w:rsid w:val="22070E0E"/>
    <w:rsid w:val="22154DDD"/>
    <w:rsid w:val="22213E42"/>
    <w:rsid w:val="22336873"/>
    <w:rsid w:val="23175889"/>
    <w:rsid w:val="238C2182"/>
    <w:rsid w:val="239015D1"/>
    <w:rsid w:val="23BB4E7D"/>
    <w:rsid w:val="23C172D6"/>
    <w:rsid w:val="23ED155D"/>
    <w:rsid w:val="23F0419C"/>
    <w:rsid w:val="23F04F64"/>
    <w:rsid w:val="24814CBE"/>
    <w:rsid w:val="24AC168B"/>
    <w:rsid w:val="258C3BEC"/>
    <w:rsid w:val="25E576CC"/>
    <w:rsid w:val="25FE725E"/>
    <w:rsid w:val="260E3862"/>
    <w:rsid w:val="262569FC"/>
    <w:rsid w:val="26344C98"/>
    <w:rsid w:val="26F33D2A"/>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C90BB2"/>
    <w:rsid w:val="2BF22742"/>
    <w:rsid w:val="2C987C56"/>
    <w:rsid w:val="2CFF149A"/>
    <w:rsid w:val="2D201865"/>
    <w:rsid w:val="2D4B5CEA"/>
    <w:rsid w:val="2D652658"/>
    <w:rsid w:val="2DC80C49"/>
    <w:rsid w:val="2DCA6355"/>
    <w:rsid w:val="2DF0699F"/>
    <w:rsid w:val="2E166748"/>
    <w:rsid w:val="2E3050C3"/>
    <w:rsid w:val="2E556F01"/>
    <w:rsid w:val="2E8E20B4"/>
    <w:rsid w:val="2ED06066"/>
    <w:rsid w:val="2ED1223D"/>
    <w:rsid w:val="2EE470F7"/>
    <w:rsid w:val="2F000139"/>
    <w:rsid w:val="2F561B8A"/>
    <w:rsid w:val="2F9F42DC"/>
    <w:rsid w:val="2FE04319"/>
    <w:rsid w:val="2FF37AB3"/>
    <w:rsid w:val="308C7755"/>
    <w:rsid w:val="30F018B1"/>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428227C"/>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9B050B"/>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A02A07"/>
    <w:rsid w:val="49B86103"/>
    <w:rsid w:val="4A0030EE"/>
    <w:rsid w:val="4AC36065"/>
    <w:rsid w:val="4B1A0A44"/>
    <w:rsid w:val="4B560086"/>
    <w:rsid w:val="4B7501F5"/>
    <w:rsid w:val="4B8C2DEB"/>
    <w:rsid w:val="4BFA3C9F"/>
    <w:rsid w:val="4C0E3379"/>
    <w:rsid w:val="4C107F48"/>
    <w:rsid w:val="4C3277BC"/>
    <w:rsid w:val="4C686851"/>
    <w:rsid w:val="4C7A01BF"/>
    <w:rsid w:val="4C837643"/>
    <w:rsid w:val="4C892830"/>
    <w:rsid w:val="4CB25875"/>
    <w:rsid w:val="4CC353EB"/>
    <w:rsid w:val="4CF36F3C"/>
    <w:rsid w:val="4D4F67BA"/>
    <w:rsid w:val="4D603399"/>
    <w:rsid w:val="4D867EE1"/>
    <w:rsid w:val="4DBC4C65"/>
    <w:rsid w:val="4DF6568D"/>
    <w:rsid w:val="4E2E1A80"/>
    <w:rsid w:val="4E550010"/>
    <w:rsid w:val="4E5F14CB"/>
    <w:rsid w:val="4F0B67EE"/>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2976873"/>
    <w:rsid w:val="533B2B84"/>
    <w:rsid w:val="537A7243"/>
    <w:rsid w:val="539C1B81"/>
    <w:rsid w:val="53AA6184"/>
    <w:rsid w:val="53AE750F"/>
    <w:rsid w:val="53D83428"/>
    <w:rsid w:val="53EB0895"/>
    <w:rsid w:val="53F263AD"/>
    <w:rsid w:val="54693932"/>
    <w:rsid w:val="549A6BFA"/>
    <w:rsid w:val="54E72921"/>
    <w:rsid w:val="5548397D"/>
    <w:rsid w:val="55806F07"/>
    <w:rsid w:val="55F152A8"/>
    <w:rsid w:val="55FA2961"/>
    <w:rsid w:val="565E3E0E"/>
    <w:rsid w:val="565E7F4F"/>
    <w:rsid w:val="56775789"/>
    <w:rsid w:val="56857D06"/>
    <w:rsid w:val="56914056"/>
    <w:rsid w:val="569F0E63"/>
    <w:rsid w:val="56DB613D"/>
    <w:rsid w:val="573810DA"/>
    <w:rsid w:val="57C81948"/>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9E03B7"/>
    <w:rsid w:val="5EA06921"/>
    <w:rsid w:val="5EB56C6A"/>
    <w:rsid w:val="5ED5006A"/>
    <w:rsid w:val="5F4D6A3F"/>
    <w:rsid w:val="5F576E4B"/>
    <w:rsid w:val="5F5D4EDE"/>
    <w:rsid w:val="5F7A2C30"/>
    <w:rsid w:val="5FBE370A"/>
    <w:rsid w:val="60292845"/>
    <w:rsid w:val="61027308"/>
    <w:rsid w:val="612E1A5D"/>
    <w:rsid w:val="61816046"/>
    <w:rsid w:val="62182687"/>
    <w:rsid w:val="62391564"/>
    <w:rsid w:val="62816669"/>
    <w:rsid w:val="62BA0953"/>
    <w:rsid w:val="62D03A7C"/>
    <w:rsid w:val="62D4635F"/>
    <w:rsid w:val="62F16BCB"/>
    <w:rsid w:val="62F648FE"/>
    <w:rsid w:val="63341DB1"/>
    <w:rsid w:val="63447612"/>
    <w:rsid w:val="63907004"/>
    <w:rsid w:val="63A10995"/>
    <w:rsid w:val="63C23EFA"/>
    <w:rsid w:val="643A070A"/>
    <w:rsid w:val="644C573D"/>
    <w:rsid w:val="648667A7"/>
    <w:rsid w:val="64DB383A"/>
    <w:rsid w:val="64E4673E"/>
    <w:rsid w:val="65032F85"/>
    <w:rsid w:val="65136B50"/>
    <w:rsid w:val="657E2A35"/>
    <w:rsid w:val="65A94E9D"/>
    <w:rsid w:val="65AF3FB6"/>
    <w:rsid w:val="65C60A92"/>
    <w:rsid w:val="662203DD"/>
    <w:rsid w:val="666B723B"/>
    <w:rsid w:val="6678045A"/>
    <w:rsid w:val="667F7104"/>
    <w:rsid w:val="669302EF"/>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A33D21"/>
    <w:rsid w:val="6AC61F6F"/>
    <w:rsid w:val="6ADE74F0"/>
    <w:rsid w:val="6B1002C0"/>
    <w:rsid w:val="6B1F5CFA"/>
    <w:rsid w:val="6B723594"/>
    <w:rsid w:val="6B805156"/>
    <w:rsid w:val="6BD50977"/>
    <w:rsid w:val="6BEA2A9B"/>
    <w:rsid w:val="6C2216A6"/>
    <w:rsid w:val="6C9C0875"/>
    <w:rsid w:val="6C9D1F03"/>
    <w:rsid w:val="6CAA3931"/>
    <w:rsid w:val="6D3933CA"/>
    <w:rsid w:val="6D7B61EC"/>
    <w:rsid w:val="6DC3266E"/>
    <w:rsid w:val="6DD049FF"/>
    <w:rsid w:val="6E09491E"/>
    <w:rsid w:val="6E0D3655"/>
    <w:rsid w:val="6E5F4465"/>
    <w:rsid w:val="6E8C54DA"/>
    <w:rsid w:val="6EF11E03"/>
    <w:rsid w:val="6F111C62"/>
    <w:rsid w:val="6F1F692C"/>
    <w:rsid w:val="6F2030BB"/>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03ABD"/>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16BDC"/>
    <w:rsid w:val="7B5350AD"/>
    <w:rsid w:val="7B6867EB"/>
    <w:rsid w:val="7B697C89"/>
    <w:rsid w:val="7B6D4B37"/>
    <w:rsid w:val="7B8D34C3"/>
    <w:rsid w:val="7B971D84"/>
    <w:rsid w:val="7BF32F03"/>
    <w:rsid w:val="7C1724A5"/>
    <w:rsid w:val="7C8E3CCF"/>
    <w:rsid w:val="7CA54112"/>
    <w:rsid w:val="7CE50CE4"/>
    <w:rsid w:val="7CF2585D"/>
    <w:rsid w:val="7CF35052"/>
    <w:rsid w:val="7D2177E3"/>
    <w:rsid w:val="7D2E5ABF"/>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84</Pages>
  <Words>36296</Words>
  <Characters>37604</Characters>
  <Lines>264</Lines>
  <Paragraphs>74</Paragraphs>
  <TotalTime>2</TotalTime>
  <ScaleCrop>false</ScaleCrop>
  <LinksUpToDate>false</LinksUpToDate>
  <CharactersWithSpaces>39842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2022-06-27T08:40:36Z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5541D24D1789450CB4F03C32526F72C4</vt:lpwstr>
  </property>
</Properties>
</file>