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441900014-2022-00484</w:t>
      </w:r>
    </w:p>
    <w:p>
      <w:pPr>
        <w:jc w:val="center"/>
      </w:pPr>
      <w:r>
        <w:rPr>
          <w:b/>
          <w:sz w:val="24"/>
        </w:rPr>
        <w:t>采购项目编号：</w:t>
      </w:r>
      <w:r>
        <w:rPr>
          <w:b/>
          <w:sz w:val="24"/>
        </w:rPr>
        <w:t>441900014-2022-00484</w:t>
      </w:r>
    </w:p>
    <w:p>
      <w:pPr>
        <w:jc w:val="center"/>
      </w:pPr>
      <w:r>
        <w:rPr>
          <w:b/>
          <w:sz w:val="24"/>
        </w:rPr>
        <w:t>项目名称：</w:t>
      </w:r>
      <w:r>
        <w:rPr>
          <w:b/>
          <w:sz w:val="24"/>
        </w:rPr>
        <w:t>东莞市横沥镇第一幼儿园教玩具设备采购项目（重新招标）</w:t>
      </w:r>
    </w:p>
    <w:p>
      <w:pPr>
        <w:jc w:val="center"/>
      </w:pPr>
      <w:r>
        <w:rPr>
          <w:b/>
          <w:sz w:val="24"/>
        </w:rPr>
        <w:t>采购人：</w:t>
      </w:r>
      <w:r>
        <w:rPr>
          <w:b/>
          <w:sz w:val="24"/>
        </w:rPr>
        <w:t>东莞市横沥镇教育管理中心（东莞市横沥镇教师发展中心）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东莞市横沥镇教育管理中心（东莞市横沥镇教师发展中心）</w:t>
      </w:r>
      <w:r>
        <w:rPr/>
        <w:t>的委托，采用</w:t>
      </w:r>
      <w:r>
        <w:rPr/>
        <w:t>公开招标</w:t>
      </w:r>
      <w:r>
        <w:rPr/>
        <w:t>方式组织采购</w:t>
      </w:r>
      <w:r>
        <w:rPr/>
        <w:t>东莞市横沥镇第一幼儿园教玩具设备采购项目（重新招标）</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东莞市横沥镇第一幼儿园教玩具设备采购项目（重新招标）</w:t>
      </w:r>
    </w:p>
    <w:p>
      <w:pPr>
        <w:ind w:firstLine="480"/>
      </w:pPr>
      <w:r>
        <w:rPr/>
        <w:t>采购计划编号：</w:t>
      </w:r>
      <w:r>
        <w:rPr/>
        <w:t>441900014-2022-00484</w:t>
      </w:r>
    </w:p>
    <w:p>
      <w:pPr>
        <w:ind w:firstLine="480"/>
      </w:pPr>
      <w:r>
        <w:rPr/>
        <w:t>采购项目编号：</w:t>
      </w:r>
      <w:r>
        <w:rPr/>
        <w:t>441900014-2022-00484</w:t>
      </w:r>
    </w:p>
    <w:p>
      <w:pPr>
        <w:ind w:firstLine="480"/>
      </w:pPr>
      <w:r>
        <w:rPr/>
        <w:t>采购方式：</w:t>
      </w:r>
      <w:r>
        <w:rPr/>
        <w:t>公开招标</w:t>
      </w:r>
    </w:p>
    <w:p>
      <w:pPr>
        <w:ind w:firstLine="480"/>
      </w:pPr>
      <w:r>
        <w:rPr/>
        <w:t>预算金额：</w:t>
      </w:r>
      <w:r>
        <w:rPr/>
        <w:t>1,956,945.00</w:t>
      </w:r>
      <w:r>
        <w:rPr/>
        <w:t>元</w:t>
      </w:r>
    </w:p>
    <w:p>
      <w:r>
        <w:rPr>
          <w:b/>
          <w:sz w:val="24"/>
        </w:rPr>
        <w:t>2.项目内容及需求情况（采购项目技术规格、参数及要求）</w:t>
      </w:r>
    </w:p>
    <w:p>
      <w:pPr>
        <w:ind w:firstLine="480"/>
      </w:pPr>
    </w:p>
    <w:p/>
    <w:p>
      <w:r>
        <w:rPr/>
        <w:t>采购包1(东莞市横沥镇第一幼儿园教玩具设备采购项目（重新招标）):</w:t>
      </w:r>
    </w:p>
    <w:p>
      <w:r>
        <w:rPr/>
        <w:t>采购包预算金额：1,956,945.00元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东莞市横沥镇第一幼儿园教玩具设备采购项目（重新招标）</w:t>
            </w:r>
          </w:p>
        </w:tc>
        <w:tc>
          <w:tcPr>
            <w:tcW w:type="dxa" w:w="977"/>
          </w:tcPr>
          <w:p>
            <w:r>
              <w:rPr/>
              <w:t>1.0000(项)</w:t>
            </w:r>
          </w:p>
        </w:tc>
        <w:tc>
          <w:tcPr>
            <w:tcW w:type="dxa" w:w="977"/>
          </w:tcPr>
          <w:p>
            <w:r>
              <w:rPr/>
              <w:t>详见第二章</w:t>
            </w:r>
          </w:p>
        </w:tc>
        <w:tc>
          <w:tcPr>
            <w:tcW w:type="dxa" w:w="977"/>
          </w:tcPr>
          <w:p>
            <w:r>
              <w:rPr/>
              <w:t>1,956,945.00</w:t>
            </w:r>
          </w:p>
        </w:tc>
        <w:tc>
          <w:tcPr>
            <w:tcW w:type="dxa" w:w="977"/>
          </w:tcPr>
          <w:p>
            <w:r>
              <w:rPr/>
              <w:t>否</w:t>
            </w:r>
          </w:p>
        </w:tc>
      </w:tr>
    </w:tbl>
    <w:p/>
    <w:p>
      <w:r>
        <w:rPr/>
        <w:t>本采购包不接受联合体投标</w:t>
      </w:r>
    </w:p>
    <w:p/>
    <w:p>
      <w:r>
        <w:rPr/>
        <w:t>合同履行期限：合同签订后30日内。</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采购包1（东莞市横沥镇第一幼儿园教玩具设备采购项目（重新招标））：</w:t>
      </w:r>
      <w:r>
        <w:rPr/>
        <w:t>本项目不属于专门面向中小企业的采购项目。</w:t>
      </w:r>
    </w:p>
    <w:p/>
    <w:p>
      <w:r>
        <w:rPr>
          <w:b/>
          <w:sz w:val="24"/>
        </w:rPr>
        <w:t>3.本项目特定的资格要求：</w:t>
      </w:r>
    </w:p>
    <w:p>
      <w:pPr>
        <w:ind w:firstLine="480"/>
      </w:pPr>
    </w:p>
    <w:p/>
    <w:p>
      <w:r>
        <w:rPr/>
        <w:t>采购包1（东莞市横沥镇第一幼儿园教玩具设备采购项目（重新招标））：</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东莞市横沥镇教育管理中心（东莞市横沥镇教师发展中心）</w:t>
      </w:r>
    </w:p>
    <w:p>
      <w:pPr>
        <w:ind w:firstLine="480"/>
      </w:pPr>
      <w:r>
        <w:rPr/>
        <w:t>地址：</w:t>
      </w:r>
      <w:r>
        <w:rPr/>
        <w:t>东莞市横沥镇中山路419号横沥镇人民政府</w:t>
      </w:r>
    </w:p>
    <w:p>
      <w:pPr>
        <w:ind w:firstLine="480"/>
      </w:pPr>
      <w:r>
        <w:rPr/>
        <w:t>联系方式：</w:t>
      </w:r>
      <w:r>
        <w:rPr/>
        <w:t>0769-83733203</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本项目为：东莞市横沥镇第一幼儿园教玩具设备采购项目（重新招标）</w:t>
      </w:r>
    </w:p>
    <w:p/>
    <w:p>
      <w:pPr>
        <w:ind w:firstLine="480"/>
      </w:pPr>
    </w:p>
    <w:p/>
    <w:p>
      <w:r>
        <w:rPr/>
        <w:t>采购包1（东莞市横沥镇第一幼儿园教玩具设备采购项目（重新招标））：</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合同签订后30日内。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1期：支付比例100%，合同签订后，（1）供货及安装完成，经验收合格并收到中标人提供的发票后，10个工作日内支付至合同总额的 95%；（2）剩余合同总额的5%作为质保金，自验收合格之日起一年并收到中标人提供的发票后，10个工作日内一次性付清。  注:因采购人使用的是财政资金,采购人在前款规定的付款时间为向政府来购支付部门提出协理财政支付申请手续的时间（不含政府财政支付部门审核的时间),在规定时间内提出支付申请手续后视为来购人已经按期支付。</w:t>
            </w:r>
          </w:p>
        </w:tc>
      </w:tr>
      <w:tr>
        <w:tc>
          <w:tcPr>
            <w:tcW w:type="dxa" w:w="4153"/>
          </w:tcPr>
          <w:p>
            <w:r>
              <w:rPr/>
              <w:t>验收要求</w:t>
            </w:r>
          </w:p>
        </w:tc>
        <w:tc>
          <w:tcPr>
            <w:tcW w:type="dxa" w:w="4153"/>
          </w:tcPr>
          <w:p>
            <w:pPr>
              <w:jc w:val="left"/>
            </w:pPr>
          </w:p>
          <w:p/>
          <w:p/>
          <w:p>
            <w:r>
              <w:rPr/>
              <w:t>1期：1．中标人保证其所提供的货物为全新的产品。 2．本合同所指的货物及服务应符合中华人民共和国国家标准或行业标准。如果中华人民共和国没有相关标准的，则采用货物来源国适用的官方标准。这些标准必须是有关机构发布的最新版本的标准。</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其他要求:（1）包装、保险及发运、保管要求： 1.设备材料的包装必须是制造商原厂包装，其包装均应有良好的防湿、防锈、防潮、防雨、防腐及防碰撞的措施。凡由于包装不良造成的损失和由此产生的费用均由投标人承担。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 （2）质保期及售后服务要求： 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 （3）投标人应充分结合本招标文件上下文了解项目招标需求、采购文件未尽事宜，将在合同签订或项目执行过程中双方协商确定，供应商须无条件满足采购单位的合理要求。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其他货物</w:t>
            </w:r>
          </w:p>
        </w:tc>
        <w:tc>
          <w:tcPr>
            <w:tcW w:type="dxa" w:w="1923"/>
          </w:tcPr>
          <w:p>
            <w:r>
              <w:rPr/>
              <w:t>东莞市横沥镇第一幼儿园教玩具设备采购项目（重新招标）</w:t>
            </w:r>
          </w:p>
        </w:tc>
        <w:tc>
          <w:tcPr>
            <w:tcW w:type="dxa" w:w="385"/>
          </w:tcPr>
          <w:p>
            <w:r>
              <w:rPr/>
              <w:t>项</w:t>
            </w:r>
          </w:p>
        </w:tc>
        <w:tc>
          <w:tcPr>
            <w:tcW w:type="dxa" w:w="769"/>
          </w:tcPr>
          <w:p>
            <w:pPr>
              <w:jc w:val="right"/>
            </w:pPr>
            <w:r>
              <w:rPr/>
              <w:t>1.0000</w:t>
            </w:r>
          </w:p>
        </w:tc>
        <w:tc>
          <w:tcPr>
            <w:tcW w:type="dxa" w:w="769"/>
          </w:tcPr>
          <w:p>
            <w:pPr>
              <w:jc w:val="right"/>
            </w:pPr>
            <w:r>
              <w:rPr/>
              <w:t>1,956,945.00</w:t>
            </w:r>
          </w:p>
        </w:tc>
        <w:tc>
          <w:tcPr>
            <w:tcW w:type="dxa" w:w="769"/>
          </w:tcPr>
          <w:p>
            <w:pPr>
              <w:jc w:val="right"/>
            </w:pPr>
            <w:r>
              <w:rPr/>
              <w:t>1,956,945.00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东莞市横沥镇第一幼儿园教玩具设备采购项目（重新招标）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w:t>
            </w:r>
            <w:r>
              <w:rPr>
                <w:sz w:val="21"/>
              </w:rPr>
              <w:t>、投标人须负责投标货物的设计、制造、运输、验收、培训；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8、本项目为一个整体，投标人必须对本项目整体进行投标，不能只对其中一部分货物进行投标，且要提供详细的技术资料；</w:t>
            </w:r>
          </w:p>
          <w:p>
            <w:pPr>
              <w:ind w:firstLine="420"/>
            </w:pPr>
            <w:r>
              <w:rPr>
                <w:sz w:val="21"/>
              </w:rPr>
              <w:t>9、投标人提供的产品必须符合招标文件要求的技术参数及功能要求</w:t>
            </w:r>
            <w:r>
              <w:rPr>
                <w:sz w:val="21"/>
              </w:rPr>
              <w:t>。</w:t>
            </w:r>
          </w:p>
        </w:tc>
      </w:tr>
      <w:tr>
        <w:tc>
          <w:tcPr>
            <w:tcW w:type="dxa" w:w="2076"/>
          </w:tcPr>
          <w:p/>
        </w:tc>
        <w:tc>
          <w:tcPr>
            <w:tcW w:type="dxa" w:w="415"/>
          </w:tcPr>
          <w:p>
            <w:r>
              <w:rPr/>
              <w:t>2</w:t>
            </w:r>
          </w:p>
        </w:tc>
        <w:tc>
          <w:tcPr>
            <w:tcW w:type="dxa" w:w="5814"/>
          </w:tcPr>
          <w:p>
            <w:r>
              <w:rPr>
                <w:b/>
                <w:sz w:val="24"/>
              </w:rPr>
              <w:t>二</w:t>
            </w:r>
            <w:r>
              <w:rPr>
                <w:b/>
                <w:sz w:val="24"/>
              </w:rPr>
              <w:t>、项目采购清单及技术参数</w:t>
            </w:r>
          </w:p>
          <w:p>
            <w:r>
              <w:rPr>
                <w:b/>
                <w:sz w:val="24"/>
              </w:rPr>
              <w:t>详见公告附件：《</w:t>
            </w:r>
            <w:r>
              <w:rPr>
                <w:b/>
                <w:sz w:val="24"/>
              </w:rPr>
              <w:t>项目采购清单及技术参数</w:t>
            </w:r>
            <w:r>
              <w:rPr>
                <w:b/>
                <w:sz w:val="24"/>
              </w:rPr>
              <w:t>》</w:t>
            </w:r>
          </w:p>
        </w:tc>
      </w:tr>
      <w:tr>
        <w:tc>
          <w:tcPr>
            <w:tcW w:type="dxa" w:w="2076"/>
          </w:tcPr>
          <w:p/>
        </w:tc>
        <w:tc>
          <w:tcPr>
            <w:tcW w:type="dxa" w:w="415"/>
          </w:tcPr>
          <w:p>
            <w:r>
              <w:rPr/>
              <w:t>3</w:t>
            </w:r>
          </w:p>
        </w:tc>
        <w:tc>
          <w:tcPr>
            <w:tcW w:type="dxa" w:w="5814"/>
          </w:tcPr>
          <w:p>
            <w:r>
              <w:rPr>
                <w:b/>
                <w:sz w:val="24"/>
              </w:rPr>
              <w:t>三、</w:t>
            </w:r>
            <w:r>
              <w:rPr>
                <w:b/>
                <w:sz w:val="24"/>
              </w:rPr>
              <w:t>样品</w:t>
            </w:r>
            <w:r>
              <w:rPr>
                <w:b/>
                <w:sz w:val="24"/>
              </w:rPr>
              <w:t>清单</w:t>
            </w:r>
          </w:p>
          <w:tbl>
            <w:tblPr>
              <w:tblBorders>
                <w:top w:val="none" w:color="000000" w:sz="4"/>
                <w:left w:val="none" w:color="000000" w:sz="4"/>
                <w:bottom w:val="none" w:color="000000" w:sz="4"/>
                <w:right w:val="none" w:color="000000" w:sz="4"/>
                <w:insideH w:val="none"/>
                <w:insideV w:val="none"/>
              </w:tblBorders>
            </w:tblPr>
            <w:tblGrid>
              <w:gridCol w:w="3361"/>
              <w:gridCol w:w="2237"/>
            </w:tblGrid>
            <w:tr>
              <w:tc>
                <w:tcPr>
                  <w:tcW w:type="dxa" w:w="3361"/>
                  <w:tcBorders>
                    <w:top w:val="single" w:color="000000" w:sz="4"/>
                    <w:left w:val="single" w:color="000000" w:sz="4"/>
                    <w:bottom w:val="none" w:color="000000" w:sz="4"/>
                    <w:right w:val="none" w:color="000000" w:sz="4"/>
                  </w:tcBorders>
                  <w:vAlign w:val="top"/>
                </w:tcPr>
                <w:p>
                  <w:pPr>
                    <w:jc w:val="left"/>
                  </w:pPr>
                  <w:r>
                    <w:rPr>
                      <w:color w:val="000000"/>
                      <w:sz w:val="22"/>
                    </w:rPr>
                    <w:t>1、木质支架 尺寸≧270mm*195mm*80mm</w:t>
                  </w:r>
                </w:p>
              </w:tc>
              <w:tc>
                <w:tcPr>
                  <w:tcW w:type="dxa" w:w="2237"/>
                  <w:tcBorders>
                    <w:top w:val="single" w:color="000000" w:sz="4"/>
                    <w:left w:val="none" w:color="000000" w:sz="4"/>
                    <w:bottom w:val="none" w:color="000000" w:sz="4"/>
                    <w:right w:val="none" w:color="000000" w:sz="4"/>
                  </w:tcBorders>
                  <w:vAlign w:val="top"/>
                </w:tcPr>
                <w:p>
                  <w:pPr>
                    <w:jc w:val="both"/>
                  </w:pPr>
                  <w:r>
                    <w:drawing>
                      <wp:inline distT="0" distR="0" distB="0" distL="0">
                        <wp:extent cx="1283335" cy="106381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283335" cy="1063817"/>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2、木质信号灯箱 尺寸≧145mm*50mm*90mm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197083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283335" cy="1970835"/>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3、蜗牛小车  尺寸：≧1900x600x1100mm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90820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283335" cy="908206"/>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4、镀锌钢管 尺寸：直径≥127mm ，长≤60cm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248475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283335" cy="2484755"/>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none" w:color="000000" w:sz="4"/>
                    <w:right w:val="none" w:color="000000" w:sz="4"/>
                  </w:tcBorders>
                  <w:vAlign w:val="top"/>
                </w:tcPr>
                <w:p>
                  <w:pPr>
                    <w:jc w:val="left"/>
                  </w:pPr>
                  <w:r>
                    <w:rPr>
                      <w:color w:val="000000"/>
                      <w:sz w:val="22"/>
                    </w:rPr>
                    <w:t>5、玩具-喊泉 尺寸：60cm*40cm</w:t>
                  </w:r>
                </w:p>
              </w:tc>
              <w:tc>
                <w:tcPr>
                  <w:tcW w:type="dxa" w:w="2237"/>
                  <w:tcBorders>
                    <w:top w:val="none" w:color="000000" w:sz="4"/>
                    <w:left w:val="none" w:color="000000" w:sz="4"/>
                    <w:bottom w:val="none" w:color="000000" w:sz="4"/>
                    <w:right w:val="none" w:color="000000" w:sz="4"/>
                  </w:tcBorders>
                  <w:vAlign w:val="top"/>
                </w:tcPr>
                <w:p>
                  <w:pPr>
                    <w:jc w:val="both"/>
                  </w:pPr>
                  <w:r>
                    <w:drawing>
                      <wp:inline distT="0" distR="0" distB="0" distL="0">
                        <wp:extent cx="1283335" cy="191374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283335" cy="1913745"/>
                                </a:xfrm>
                                <a:prstGeom prst="rect">
                                  <a:avLst/>
                                </a:prstGeom>
                              </pic:spPr>
                            </pic:pic>
                          </a:graphicData>
                        </a:graphic>
                      </wp:inline>
                    </w:drawing>
                  </w:r>
                  <w:r>
                    <w:rPr>
                      <w:color w:val="000000"/>
                      <w:sz w:val="22"/>
                    </w:rPr>
                    <w:t>（参考图片）</w:t>
                  </w:r>
                </w:p>
              </w:tc>
            </w:tr>
            <w:tr>
              <w:tc>
                <w:tcPr>
                  <w:tcW w:type="dxa" w:w="3361"/>
                  <w:tcBorders>
                    <w:top w:val="none" w:color="000000" w:sz="4"/>
                    <w:left w:val="single" w:color="000000" w:sz="4"/>
                    <w:bottom w:val="single" w:color="000000" w:sz="4"/>
                    <w:right w:val="none" w:color="000000" w:sz="4"/>
                  </w:tcBorders>
                  <w:vAlign w:val="top"/>
                </w:tcPr>
                <w:p>
                  <w:pPr>
                    <w:jc w:val="left"/>
                  </w:pPr>
                  <w:r>
                    <w:rPr>
                      <w:color w:val="000000"/>
                      <w:sz w:val="22"/>
                    </w:rPr>
                    <w:t>6、卡卡乐生肖击打乐器（虎） 尺寸：105cm*32cm*175cm</w:t>
                  </w:r>
                </w:p>
              </w:tc>
              <w:tc>
                <w:tcPr>
                  <w:tcW w:type="dxa" w:w="2237"/>
                  <w:tcBorders>
                    <w:top w:val="none" w:color="000000" w:sz="4"/>
                    <w:left w:val="none" w:color="000000" w:sz="4"/>
                    <w:bottom w:val="single" w:color="000000" w:sz="4"/>
                    <w:right w:val="none" w:color="000000" w:sz="4"/>
                  </w:tcBorders>
                  <w:vAlign w:val="top"/>
                </w:tcPr>
                <w:p>
                  <w:pPr>
                    <w:jc w:val="both"/>
                  </w:pPr>
                  <w:r>
                    <w:drawing>
                      <wp:inline distT="0" distR="0" distB="0" distL="0">
                        <wp:extent cx="1283335" cy="731976"/>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283335" cy="731976"/>
                                </a:xfrm>
                                <a:prstGeom prst="rect">
                                  <a:avLst/>
                                </a:prstGeom>
                              </pic:spPr>
                            </pic:pic>
                          </a:graphicData>
                        </a:graphic>
                      </wp:inline>
                    </w:drawing>
                  </w:r>
                  <w:r>
                    <w:rPr>
                      <w:color w:val="000000"/>
                      <w:sz w:val="22"/>
                    </w:rPr>
                    <w:t>（参考图片）</w:t>
                  </w:r>
                </w:p>
              </w:tc>
            </w:tr>
          </w:tbl>
          <w:p>
            <w:r>
              <w:rPr/>
              <w:t xml:space="preserve">样品制作的标准和要求：不同投标人提供的全部响应招标要求的样品，由评委按实际情况评分，主要评分依据按规格尺寸、材质、工艺、颜色、款式等主要因素评审。技术参数有偏差并与招标文件不符的样品按0分处理。投标样品必须在投标截止时间前送达指定地点。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东莞市横沥镇教育管理中心（东莞市横沥镇教师发展中心）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镇第一幼儿园教玩具设备采购项目（重新招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采购包1（东莞市横沥镇第一幼儿园教玩具设备采购项目（重新招标））：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采购包1（东莞市横沥镇第一幼儿园教玩具设备采购项目（重新招标））：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采购包1（东莞市横沥镇第一幼儿园教玩具设备采购项目（重新招标））：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东莞市横沥镇第一幼儿园教玩具设备采购项目（重新招标）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 (26.0分)</w:t>
            </w:r>
            <w:r>
              <w:rPr/>
              <w:t>，（等次分值选择：</w:t>
            </w:r>
            <w:r>
              <w:rPr/>
              <w:t>0.0;</w:t>
            </w:r>
            <w:r>
              <w:rPr/>
              <w:t>2.0;</w:t>
            </w:r>
            <w:r>
              <w:rPr/>
              <w:t>4.0;</w:t>
            </w:r>
            <w:r>
              <w:rPr/>
              <w:t>6.0;</w:t>
            </w:r>
            <w:r>
              <w:rPr/>
              <w:t>8.0;</w:t>
            </w:r>
            <w:r>
              <w:rPr/>
              <w:t>10.0;</w:t>
            </w:r>
            <w:r>
              <w:rPr/>
              <w:t>12.0;</w:t>
            </w:r>
            <w:r>
              <w:rPr/>
              <w:t>14.0;</w:t>
            </w:r>
            <w:r>
              <w:rPr/>
              <w:t>16.0;</w:t>
            </w:r>
            <w:r>
              <w:rPr/>
              <w:t>18.0;</w:t>
            </w:r>
            <w:r>
              <w:rPr/>
              <w:t>20.0;</w:t>
            </w:r>
            <w:r>
              <w:rPr/>
              <w:t>22.0;</w:t>
            </w:r>
            <w:r>
              <w:rPr/>
              <w:t>24.0;</w:t>
            </w:r>
            <w:r>
              <w:rPr/>
              <w:t>26.0;</w:t>
            </w:r>
            <w:r>
              <w:rPr/>
              <w:t>）</w:t>
            </w:r>
          </w:p>
        </w:tc>
        <w:tc>
          <w:tcPr>
            <w:tcW w:type="dxa" w:w="5076"/>
          </w:tcPr>
          <w:p>
            <w:pPr>
              <w:jc w:val="left"/>
            </w:pPr>
            <w:r>
              <w:rPr/>
              <w:t>对用户需求书中带“▲”技术要求条款的技术指标进行响应，若全部响应为满足或优于的得26分，不满足或者不响应的每一个扣2分，扣完为止，本项最低得0分。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项目供货方案 (5.0分)</w:t>
            </w:r>
            <w:r>
              <w:rPr/>
              <w:t>，（等次分值选择：</w:t>
            </w:r>
            <w:r>
              <w:rPr/>
              <w:t>0.0;</w:t>
            </w:r>
            <w:r>
              <w:rPr/>
              <w:t>1.0;</w:t>
            </w:r>
            <w:r>
              <w:rPr/>
              <w:t>3.0;</w:t>
            </w:r>
            <w:r>
              <w:rPr/>
              <w:t>5.0;</w:t>
            </w:r>
            <w:r>
              <w:rPr/>
              <w:t>）</w:t>
            </w:r>
          </w:p>
        </w:tc>
        <w:tc>
          <w:tcPr>
            <w:tcW w:type="dxa" w:w="5076"/>
          </w:tcPr>
          <w:p>
            <w:pPr>
              <w:jc w:val="left"/>
            </w:pPr>
            <w:r>
              <w:rPr/>
              <w:t>根据投标人提供项目供货方案，包括但不限于供货方案完整性、合理性、可行性等情况进行综合评审： 方案完整、科学合理、可行性强的，得5分； 方案较完整，较合理，可行性较强的，得3分； 方案基本完整，基本合理，可行性一般的，得1分； 未提供对应方案不得分。</w:t>
            </w:r>
          </w:p>
        </w:tc>
      </w:tr>
      <w:tr>
        <w:tc>
          <w:tcPr>
            <w:tcW w:type="dxa" w:w="922"/>
            <w:gridSpan w:val="2"/>
            <w:vMerge/>
          </w:tcPr>
          <w:p/>
        </w:tc>
        <w:tc>
          <w:tcPr>
            <w:tcW w:type="dxa" w:w="2307"/>
          </w:tcPr>
          <w:p>
            <w:pPr>
              <w:jc w:val="left"/>
            </w:pPr>
            <w:r>
              <w:rPr/>
              <w:t>产品使用培训方案 (5.0分)</w:t>
            </w:r>
            <w:r>
              <w:rPr/>
              <w:t>，（等次分值选择：</w:t>
            </w:r>
            <w:r>
              <w:rPr/>
              <w:t>0.0;</w:t>
            </w:r>
            <w:r>
              <w:rPr/>
              <w:t>1.0;</w:t>
            </w:r>
            <w:r>
              <w:rPr/>
              <w:t>3.0;</w:t>
            </w:r>
            <w:r>
              <w:rPr/>
              <w:t>5.0;</w:t>
            </w:r>
            <w:r>
              <w:rPr/>
              <w:t>）</w:t>
            </w:r>
          </w:p>
        </w:tc>
        <w:tc>
          <w:tcPr>
            <w:tcW w:type="dxa" w:w="5076"/>
          </w:tcPr>
          <w:p>
            <w:pPr>
              <w:jc w:val="left"/>
            </w:pPr>
            <w:r>
              <w:rPr/>
              <w:t>根据投标人制定产品使用培训方案（包括：培训内容、培训人数、培训地点和培训时间等）进行综合评审： 方案完整、科学合理、可行性强的，得5分； 方案较完整，较合理，可行性较强的，得3分； 方案基本完整，基本合理，可行性一般的，得1分； 未提供对应方案不得分。</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根据投标人响应项目安排的售后服务响应、应急服务响应、故障响应、质量保证体系及措施、服务承诺等进行综合评审： 售后服务方案完整科学、可行性强，优于或完全满足项目用户需求的，得6分； 售后服务方案较完整、可行性较强，满足项目用户需求的，得3分； 售后服务方案基本完整、可行性一般，基本符合项目用户需求的，得1分； 未提供对应方案不得分。</w:t>
            </w:r>
          </w:p>
        </w:tc>
      </w:tr>
      <w:tr>
        <w:tc>
          <w:tcPr>
            <w:tcW w:type="dxa" w:w="922"/>
            <w:gridSpan w:val="2"/>
            <w:vMerge/>
          </w:tcPr>
          <w:p/>
        </w:tc>
        <w:tc>
          <w:tcPr>
            <w:tcW w:type="dxa" w:w="2307"/>
          </w:tcPr>
          <w:p>
            <w:pPr>
              <w:jc w:val="left"/>
            </w:pPr>
            <w:r>
              <w:rPr/>
              <w:t>样品 (18.0分)</w:t>
            </w:r>
            <w:r>
              <w:rPr/>
              <w:t>，（等次分值选择：</w:t>
            </w:r>
            <w:r>
              <w:rPr/>
              <w:t>0.0;</w:t>
            </w:r>
            <w:r>
              <w:rPr/>
              <w:t>2.0;</w:t>
            </w:r>
            <w:r>
              <w:rPr/>
              <w:t>10.0;</w:t>
            </w:r>
            <w:r>
              <w:rPr/>
              <w:t>18.0;</w:t>
            </w:r>
            <w:r>
              <w:rPr/>
              <w:t>）</w:t>
            </w:r>
          </w:p>
        </w:tc>
        <w:tc>
          <w:tcPr>
            <w:tcW w:type="dxa" w:w="5076"/>
          </w:tcPr>
          <w:p>
            <w:pPr>
              <w:jc w:val="left"/>
            </w:pPr>
            <w:r>
              <w:rPr/>
              <w:t>根据投标人所提供样品齐全、质量优劣、规格尺寸、样品材质、整体外观、牢固性、耐用性、便捷性情况进行综合评审： （1）所提供样品齐全、质量优劣、规格尺寸、样品材质、整体外观、牢固性、耐用性、便捷性情况等各方面综合性强的，得18分； （2）所提供样品齐全、质量优劣、规格尺寸、样品材质、整体外观、牢固性、耐用性、便捷性情况等各方面综合性较强的，得10分； （3）所提供样品齐全、质量优劣、规格尺寸、样品材质、整体外观、牢固性、耐用性、便捷性情况等各方面综合性一般的，得2分； （4）所提供样品不齐全的，样品规格尺寸或样品款式与需求不同的，得0分。</w:t>
            </w:r>
          </w:p>
        </w:tc>
      </w:tr>
      <w:tr>
        <w:tc>
          <w:tcPr>
            <w:tcW w:type="dxa" w:w="922"/>
            <w:gridSpan w:val="2"/>
            <w:vMerge w:val="restart"/>
          </w:tcPr>
          <w:p>
            <w:pPr>
              <w:jc w:val="center"/>
            </w:pPr>
            <w:r>
              <w:rPr/>
              <w:t>商务部分</w:t>
            </w:r>
          </w:p>
        </w:tc>
        <w:tc>
          <w:tcPr>
            <w:tcW w:type="dxa" w:w="2307"/>
          </w:tcPr>
          <w:p>
            <w:pPr>
              <w:jc w:val="left"/>
            </w:pPr>
            <w:r>
              <w:rPr/>
              <w:t>企业实力1 (2.0分)</w:t>
            </w:r>
            <w:r>
              <w:rPr/>
              <w:t>，（等次分值选择：</w:t>
            </w:r>
            <w:r>
              <w:rPr/>
              <w:t>0.0;</w:t>
            </w:r>
            <w:r>
              <w:rPr/>
              <w:t>0.5;</w:t>
            </w:r>
            <w:r>
              <w:rPr/>
              <w:t>1.0;</w:t>
            </w:r>
            <w:r>
              <w:rPr/>
              <w:t>1.5;</w:t>
            </w:r>
            <w:r>
              <w:rPr/>
              <w:t>2.0;</w:t>
            </w:r>
            <w:r>
              <w:rPr/>
              <w:t>）</w:t>
            </w:r>
          </w:p>
        </w:tc>
        <w:tc>
          <w:tcPr>
            <w:tcW w:type="dxa" w:w="5076"/>
          </w:tcPr>
          <w:p>
            <w:pPr>
              <w:jc w:val="left"/>
            </w:pPr>
            <w:r>
              <w:rPr/>
              <w:t>投标人具有由国家认监委批准设立的认证机构颁发并在有效期内的质量管理体系认证、环境管理体系认证、职业健康安全管理体系认证、商品售后服务评价认证，每具有一个得0.5分，本项最高得2分。 注：须提供有效证书复印件并加盖投标人公章，不符合以上要求的不得分。</w:t>
            </w:r>
          </w:p>
        </w:tc>
      </w:tr>
      <w:tr>
        <w:tc>
          <w:tcPr>
            <w:tcW w:type="dxa" w:w="922"/>
            <w:gridSpan w:val="2"/>
            <w:vMerge/>
          </w:tcPr>
          <w:p/>
        </w:tc>
        <w:tc>
          <w:tcPr>
            <w:tcW w:type="dxa" w:w="2307"/>
          </w:tcPr>
          <w:p>
            <w:pPr>
              <w:jc w:val="left"/>
            </w:pPr>
            <w:r>
              <w:rPr/>
              <w:t>企业实力2 (5.0分)</w:t>
            </w:r>
            <w:r>
              <w:rPr/>
              <w:t>，（等次分值选择：</w:t>
            </w:r>
            <w:r>
              <w:rPr/>
              <w:t>0.0;</w:t>
            </w:r>
            <w:r>
              <w:rPr/>
              <w:t>5.0;</w:t>
            </w:r>
            <w:r>
              <w:rPr/>
              <w:t>）</w:t>
            </w:r>
          </w:p>
        </w:tc>
        <w:tc>
          <w:tcPr>
            <w:tcW w:type="dxa" w:w="5076"/>
          </w:tcPr>
          <w:p>
            <w:pPr>
              <w:jc w:val="left"/>
            </w:pPr>
            <w:r>
              <w:rPr/>
              <w:t>投标人具有有效期内公众责任险保险证书、产品责任险保险证书、产品质量险保险证书的，全部提供得5分，提供不全或未提供不得分，本项最高得5分。 注：须同时提供保险单、购置发票、保险证书复印件加盖投标人公章，否则不得分。</w:t>
            </w:r>
          </w:p>
        </w:tc>
      </w:tr>
      <w:tr>
        <w:tc>
          <w:tcPr>
            <w:tcW w:type="dxa" w:w="922"/>
            <w:gridSpan w:val="2"/>
            <w:vMerge/>
          </w:tcPr>
          <w:p/>
        </w:tc>
        <w:tc>
          <w:tcPr>
            <w:tcW w:type="dxa" w:w="2307"/>
          </w:tcPr>
          <w:p>
            <w:pPr>
              <w:jc w:val="left"/>
            </w:pPr>
            <w:r>
              <w:rPr/>
              <w:t>项目 业绩 (3.0分)</w:t>
            </w:r>
            <w:r>
              <w:rPr/>
              <w:t>，（等次分值选择：</w:t>
            </w:r>
            <w:r>
              <w:rPr/>
              <w:t>0.0;</w:t>
            </w:r>
            <w:r>
              <w:rPr/>
              <w:t>1.0;</w:t>
            </w:r>
            <w:r>
              <w:rPr/>
              <w:t>2.0;</w:t>
            </w:r>
            <w:r>
              <w:rPr/>
              <w:t>3.0;</w:t>
            </w:r>
            <w:r>
              <w:rPr/>
              <w:t>）</w:t>
            </w:r>
          </w:p>
        </w:tc>
        <w:tc>
          <w:tcPr>
            <w:tcW w:type="dxa" w:w="5076"/>
          </w:tcPr>
          <w:p>
            <w:pPr>
              <w:jc w:val="left"/>
            </w:pPr>
            <w:r>
              <w:rPr/>
              <w:t>根据投标人具有的幼儿玩具（或教具）类业绩（合同必须含有幼儿玩具内容）情况进行评审，每提供一个业绩得1分，最高得分为3分。  注：须提供合同复印件加盖投标人公章，否则不得分。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441900014-2022-00484</w:t>
      </w:r>
    </w:p>
    <w:p>
      <w:pPr>
        <w:jc w:val="center"/>
      </w:pPr>
      <w:r>
        <w:rPr>
          <w:b/>
          <w:sz w:val="24"/>
        </w:rPr>
        <w:t>采购项目编号：</w:t>
      </w:r>
      <w:r>
        <w:rPr>
          <w:b/>
          <w:sz w:val="24"/>
        </w:rPr>
        <w:t>441900014-2022-00484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东莞市横沥镇第一幼儿园教玩具设备采购项目（重新招标）</w:t>
      </w:r>
      <w:r>
        <w:rPr/>
        <w:t>项目的招标[采购项目编号为：</w:t>
      </w:r>
      <w:r>
        <w:rPr>
          <w:u w:val="single"/>
        </w:rPr>
        <w:t>441900014-2022-00484</w:t>
      </w:r>
      <w:r>
        <w:rPr/>
        <w:t>]，我方愿参与投标。</w:t>
      </w:r>
    </w:p>
    <w:p>
      <w:pPr>
        <w:ind w:firstLine="480"/>
      </w:pPr>
      <w:r>
        <w:rPr/>
        <w:t>我方确认收到贵方提供的</w:t>
      </w:r>
      <w:r>
        <w:rPr>
          <w:u w:val="single"/>
        </w:rPr>
        <w:t>东莞市横沥镇第一幼儿园教玩具设备采购项目（重新招标）</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东莞市横沥镇第一幼儿园教玩具设备采购项目（重新招标）</w:t>
      </w:r>
      <w:r>
        <w:rPr/>
        <w:t>项目采购[采购项目编号为</w:t>
      </w:r>
      <w:r>
        <w:rPr/>
        <w:t>441900014-2022-00484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东莞市横沥镇第一幼儿园教玩具设备采购项目（重新招标）</w:t>
      </w:r>
      <w:r>
        <w:rPr/>
        <w:t>招标中获中标（采购项目编号：</w:t>
      </w:r>
      <w:r>
        <w:rPr/>
        <w:t>441900014-2022-00484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东莞市横沥镇第一幼儿园教玩具设备采购项目（重新招标）</w:t>
      </w:r>
      <w:r>
        <w:rPr/>
        <w:t>项目（采购项目编号：</w:t>
      </w:r>
      <w:r>
        <w:rPr/>
        <w:t>441900014-2022-00484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