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rFonts w:ascii="黑体" w:eastAsia="黑体"/>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2"/>
        <w:jc w:val="center"/>
        <w:rPr>
          <w:rFonts w:ascii="黑体" w:eastAsia="黑体"/>
          <w:color w:val="auto"/>
          <w:szCs w:val="21"/>
          <w:highlight w:val="none"/>
        </w:rPr>
      </w:pPr>
      <w:r>
        <w:rPr>
          <w:rFonts w:hint="eastAsia" w:ascii="黑体" w:eastAsia="黑体"/>
          <w:color w:val="auto"/>
          <w:szCs w:val="21"/>
          <w:highlight w:val="none"/>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2"/>
                    <a:srcRect l="6233" t="18358" r="67326" b="19339"/>
                    <a:stretch>
                      <a:fillRect/>
                    </a:stretch>
                  </pic:blipFill>
                  <pic:spPr>
                    <a:xfrm>
                      <a:off x="0" y="0"/>
                      <a:ext cx="2129790" cy="2035175"/>
                    </a:xfrm>
                    <a:prstGeom prst="rect">
                      <a:avLst/>
                    </a:prstGeom>
                  </pic:spPr>
                </pic:pic>
              </a:graphicData>
            </a:graphic>
          </wp:inline>
        </w:drawing>
      </w:r>
    </w:p>
    <w:p>
      <w:pPr>
        <w:pStyle w:val="3"/>
        <w:ind w:left="0" w:firstLine="0" w:firstLineChars="0"/>
        <w:rPr>
          <w:rFonts w:ascii="黑体" w:eastAsia="黑体"/>
          <w:color w:val="auto"/>
          <w:szCs w:val="21"/>
          <w:highlight w:val="none"/>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GDZT2022127C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广东省盐业集团东莞有限公司2022年度配送、仓储辅助及饭堂后勤等服务项目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广东省盐业集团东莞有限公司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1"/>
        <w:ind w:left="420"/>
        <w:rPr>
          <w:color w:val="auto"/>
          <w:sz w:val="32"/>
          <w:szCs w:val="32"/>
          <w:highlight w:val="none"/>
        </w:rPr>
        <w:sectPr>
          <w:headerReference r:id="rId4" w:type="first"/>
          <w:footerReference r:id="rId6" w:type="first"/>
          <w:headerReference r:id="rId3" w:type="default"/>
          <w:footerReference r:id="rId5"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8、请各投标供应商缴纳投标保证金前务必核对正确的缴纳账户，由于错缴、误缴而导致未按项目缴纳投标保证金的情况将由投标供应商自行负责。</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9、投标保证金必须于投标文件递交截止时间前到达</w:t>
      </w:r>
      <w:r>
        <w:rPr>
          <w:rFonts w:hint="eastAsia" w:ascii="宋体" w:hAnsi="宋体" w:cs="宋体"/>
          <w:b/>
          <w:color w:val="auto"/>
          <w:szCs w:val="21"/>
          <w:highlight w:val="none"/>
          <w:lang w:val="zh-CN"/>
        </w:rPr>
        <w:t>广东政通招标有限公司</w:t>
      </w:r>
      <w:r>
        <w:rPr>
          <w:rFonts w:hint="eastAsia" w:ascii="宋体" w:hAnsi="宋体" w:cs="宋体"/>
          <w:b/>
          <w:color w:val="auto"/>
          <w:szCs w:val="21"/>
          <w:highlight w:val="none"/>
        </w:rPr>
        <w:t>账户，账户详见招标文件。由于转账当天不能确保实时到账，为避免因投标保证金未到账而导致投标被拒绝，建议提前2个工作日转账。</w:t>
      </w:r>
    </w:p>
    <w:p>
      <w:pPr>
        <w:pStyle w:val="34"/>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10、为了提高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4"/>
        <w:spacing w:line="480" w:lineRule="auto"/>
        <w:ind w:firstLine="0" w:firstLineChars="0"/>
        <w:rPr>
          <w:rFonts w:ascii="宋体" w:hAnsi="宋体" w:cs="宋体"/>
          <w:b/>
          <w:color w:val="auto"/>
          <w:szCs w:val="21"/>
          <w:highlight w:val="none"/>
        </w:rPr>
      </w:pPr>
    </w:p>
    <w:p>
      <w:pPr>
        <w:pStyle w:val="34"/>
        <w:spacing w:line="480" w:lineRule="auto"/>
        <w:ind w:firstLine="0" w:firstLineChars="0"/>
        <w:rPr>
          <w:rFonts w:ascii="宋体" w:hAnsi="宋体" w:cs="宋体"/>
          <w:b/>
          <w:color w:val="auto"/>
          <w:szCs w:val="21"/>
          <w:highlight w:val="none"/>
        </w:rPr>
      </w:pPr>
    </w:p>
    <w:p>
      <w:pPr>
        <w:pStyle w:val="34"/>
        <w:spacing w:line="480" w:lineRule="auto"/>
        <w:ind w:firstLine="0" w:firstLineChars="0"/>
        <w:rPr>
          <w:rFonts w:ascii="宋体" w:hAnsi="宋体" w:cs="宋体"/>
          <w:b/>
          <w:color w:val="auto"/>
          <w:szCs w:val="21"/>
          <w:highlight w:val="none"/>
        </w:rPr>
      </w:pPr>
    </w:p>
    <w:p>
      <w:pPr>
        <w:pStyle w:val="34"/>
        <w:spacing w:line="480" w:lineRule="auto"/>
        <w:ind w:firstLine="0" w:firstLineChars="0"/>
        <w:rPr>
          <w:rFonts w:ascii="宋体" w:hAnsi="宋体" w:cs="宋体"/>
          <w:b/>
          <w:color w:val="auto"/>
          <w:szCs w:val="21"/>
          <w:highlight w:val="none"/>
        </w:rPr>
      </w:pPr>
    </w:p>
    <w:p>
      <w:pPr>
        <w:rPr>
          <w:b/>
          <w:bCs/>
          <w:color w:val="auto"/>
          <w:sz w:val="24"/>
          <w:szCs w:val="24"/>
          <w:highlight w:val="none"/>
        </w:rPr>
      </w:pPr>
      <w:r>
        <w:rPr>
          <w:rFonts w:hint="eastAsia"/>
          <w:b/>
          <w:bCs/>
          <w:color w:val="auto"/>
          <w:sz w:val="24"/>
          <w:szCs w:val="24"/>
          <w:highlight w:val="none"/>
        </w:rPr>
        <w:t>11、公司位置：</w:t>
      </w:r>
    </w:p>
    <w:p>
      <w:pPr>
        <w:pStyle w:val="21"/>
        <w:ind w:left="0" w:leftChars="0"/>
        <w:rPr>
          <w:color w:val="auto"/>
          <w:sz w:val="40"/>
          <w:szCs w:val="40"/>
          <w:highlight w:val="none"/>
        </w:rPr>
      </w:pPr>
      <w:r>
        <w:rPr>
          <w:rFonts w:hint="eastAsia"/>
          <w:color w:val="auto"/>
          <w:sz w:val="40"/>
          <w:szCs w:val="40"/>
          <w:highlight w:val="none"/>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3"/>
                    <a:stretch>
                      <a:fillRect/>
                    </a:stretch>
                  </pic:blipFill>
                  <pic:spPr>
                    <a:xfrm>
                      <a:off x="0" y="0"/>
                      <a:ext cx="5266690" cy="4297680"/>
                    </a:xfrm>
                    <a:prstGeom prst="rect">
                      <a:avLst/>
                    </a:prstGeom>
                  </pic:spPr>
                </pic:pic>
              </a:graphicData>
            </a:graphic>
          </wp:inline>
        </w:drawing>
      </w:r>
    </w:p>
    <w:p>
      <w:pPr>
        <w:pStyle w:val="21"/>
        <w:ind w:left="0" w:leftChars="0"/>
        <w:rPr>
          <w:color w:val="auto"/>
          <w:sz w:val="40"/>
          <w:szCs w:val="40"/>
          <w:highlight w:val="none"/>
        </w:rPr>
        <w:sectPr>
          <w:footerReference r:id="rId8" w:type="first"/>
          <w:footerReference r:id="rId7" w:type="default"/>
          <w:pgSz w:w="11906" w:h="16838"/>
          <w:pgMar w:top="1440" w:right="1800" w:bottom="1440" w:left="1800" w:header="708" w:footer="708" w:gutter="0"/>
          <w:cols w:space="708" w:num="1"/>
          <w:titlePg/>
          <w:docGrid w:type="lines" w:linePitch="360" w:charSpace="0"/>
        </w:sectPr>
      </w:pPr>
    </w:p>
    <w:p>
      <w:pPr>
        <w:pStyle w:val="21"/>
        <w:ind w:left="0" w:leftChars="0"/>
        <w:rPr>
          <w:color w:val="auto"/>
          <w:sz w:val="40"/>
          <w:szCs w:val="40"/>
          <w:highlight w:val="none"/>
        </w:rPr>
      </w:pPr>
      <w:r>
        <w:rPr>
          <w:rFonts w:hint="eastAsia"/>
          <w:color w:val="auto"/>
          <w:sz w:val="40"/>
          <w:szCs w:val="40"/>
          <w:highlight w:val="none"/>
        </w:rPr>
        <w:t>目录</w:t>
      </w:r>
    </w:p>
    <w:p>
      <w:pPr>
        <w:pStyle w:val="21"/>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10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27.纪律和保密事项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28.合同授予标准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29.发布采购结果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30.合同的签订与履行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31.履约保证金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32.询问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33.质疑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34.招标文件的解释权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44</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57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"_Toc16710" </w:instrText>
      </w:r>
      <w:r>
        <w:rPr>
          <w:color w:val="auto"/>
          <w:highlight w:val="none"/>
        </w:rPr>
        <w:fldChar w:fldCharType="separate"/>
      </w:r>
      <w:r>
        <w:rPr>
          <w:rFonts w:hint="eastAsia" w:ascii="宋体" w:hAnsi="宋体" w:cs="宋体"/>
          <w:color w:val="auto"/>
          <w:highlight w:val="none"/>
        </w:rPr>
        <w:t>七、投标保证金汇入情况说明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_Toc16710 </w:instrText>
      </w:r>
      <w:r>
        <w:rPr>
          <w:rFonts w:hint="eastAsia" w:ascii="宋体" w:hAnsi="宋体" w:cs="宋体"/>
          <w:color w:val="auto"/>
          <w:highlight w:val="none"/>
        </w:rPr>
        <w:fldChar w:fldCharType="separate"/>
      </w:r>
      <w:r>
        <w:rPr>
          <w:rFonts w:hint="eastAsia" w:ascii="宋体" w:hAnsi="宋体" w:cs="宋体"/>
          <w:color w:val="auto"/>
          <w:highlight w:val="none"/>
        </w:rPr>
        <w:t>80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"_Toc26855" </w:instrText>
      </w:r>
      <w:r>
        <w:rPr>
          <w:color w:val="auto"/>
          <w:highlight w:val="none"/>
        </w:rPr>
        <w:fldChar w:fldCharType="separate"/>
      </w:r>
      <w:r>
        <w:rPr>
          <w:rFonts w:hint="eastAsia" w:ascii="宋体" w:hAnsi="宋体" w:cs="宋体"/>
          <w:color w:val="auto"/>
          <w:highlight w:val="none"/>
        </w:rPr>
        <w:t>八、采购投标担保函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_Toc26855 </w:instrText>
      </w:r>
      <w:r>
        <w:rPr>
          <w:rFonts w:hint="eastAsia" w:ascii="宋体" w:hAnsi="宋体" w:cs="宋体"/>
          <w:color w:val="auto"/>
          <w:highlight w:val="none"/>
        </w:rPr>
        <w:fldChar w:fldCharType="separate"/>
      </w:r>
      <w:r>
        <w:rPr>
          <w:rFonts w:hint="eastAsia" w:ascii="宋体" w:hAnsi="宋体" w:cs="宋体"/>
          <w:color w:val="auto"/>
          <w:highlight w:val="none"/>
        </w:rPr>
        <w:t>82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九、采购履约担保函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84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86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0"/>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87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7"/>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6"/>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7"/>
        <w:jc w:val="center"/>
        <w:rPr>
          <w:rFonts w:ascii="宋体" w:hAnsi="宋体" w:cs="宋体"/>
          <w:color w:val="auto"/>
          <w:highlight w:val="none"/>
        </w:rPr>
      </w:pPr>
      <w:bookmarkStart w:id="2" w:name="_Toc1420"/>
      <w:bookmarkStart w:id="3" w:name="_Toc7123"/>
      <w:bookmarkStart w:id="4" w:name="_Toc885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rPr>
        <w:t>广东省盐业集团东莞有限公司</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color w:val="auto"/>
          <w:szCs w:val="21"/>
          <w:highlight w:val="none"/>
          <w:u w:val="single"/>
        </w:rPr>
        <w:t>广东省盐业集团东莞有限公司2022年度配送、仓储辅助及饭堂后勤等服务项目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项目编号：GDZT2022127C；</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项目名称：广东省盐业集团东莞有限公司2022年度配送、仓储辅助及饭堂后勤等服务项目；</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3"/>
        <w:gridCol w:w="5068"/>
        <w:gridCol w:w="824"/>
        <w:gridCol w:w="2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5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3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94"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212"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53"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039"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b/>
                <w:color w:val="auto"/>
                <w:szCs w:val="21"/>
                <w:highlight w:val="none"/>
                <w:u w:val="single"/>
              </w:rPr>
              <w:t>广东省盐业集团东莞有限公司2022年度配送、仓储辅助及饭堂后勤等服务项目</w:t>
            </w:r>
          </w:p>
        </w:tc>
        <w:tc>
          <w:tcPr>
            <w:tcW w:w="494"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1212"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b/>
                <w:color w:val="auto"/>
                <w:szCs w:val="21"/>
                <w:highlight w:val="none"/>
                <w:u w:val="single"/>
              </w:rPr>
              <w:t>1,500,000.00</w:t>
            </w:r>
            <w:r>
              <w:rPr>
                <w:rFonts w:hint="eastAsia" w:ascii="宋体" w:hAnsi="宋体"/>
                <w:color w:val="auto"/>
                <w:szCs w:val="21"/>
                <w:highlight w:val="none"/>
              </w:rPr>
              <w:t>元</w:t>
            </w:r>
          </w:p>
        </w:tc>
      </w:tr>
    </w:tbl>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（1）投标人须为在中华人民共和国境内登记注册的具有独立承担民事责任能力的法人或其他组织；</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)“记录失信被执行人或税收违法黑名单或政府采购严重违法失信行为”记录名单；不处于中国政府采购网(www.ccgp.gov.cn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pStyle w:val="2"/>
        <w:spacing w:before="0"/>
        <w:ind w:left="0"/>
        <w:rPr>
          <w:color w:val="auto"/>
          <w:sz w:val="21"/>
          <w:szCs w:val="21"/>
          <w:highlight w:val="none"/>
        </w:rPr>
      </w:pPr>
    </w:p>
    <w:p>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pPr>
        <w:ind w:firstLine="420" w:firstLineChars="200"/>
        <w:rPr>
          <w:color w:val="auto"/>
          <w:highlight w:val="none"/>
        </w:rPr>
      </w:pPr>
      <w:r>
        <w:rPr>
          <w:rFonts w:hint="eastAsia"/>
          <w:color w:val="auto"/>
          <w:highlight w:val="none"/>
        </w:rPr>
        <w:t>无</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1、项目公示时间：2022年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2</w:t>
      </w:r>
      <w:r>
        <w:rPr>
          <w:rFonts w:hint="eastAsia" w:ascii="宋体" w:hAnsi="宋体"/>
          <w:color w:val="auto"/>
          <w:szCs w:val="21"/>
          <w:highlight w:val="none"/>
        </w:rPr>
        <w:t>日起至2022年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10</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rPr>
        <w:t>2022年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2</w:t>
      </w:r>
      <w:r>
        <w:rPr>
          <w:rFonts w:hint="eastAsia" w:ascii="宋体" w:hAnsi="宋体"/>
          <w:color w:val="auto"/>
          <w:szCs w:val="21"/>
          <w:highlight w:val="none"/>
        </w:rPr>
        <w:t>日起至2022年</w:t>
      </w:r>
      <w:r>
        <w:rPr>
          <w:rFonts w:hint="eastAsia" w:ascii="宋体" w:hAnsi="宋体"/>
          <w:color w:val="auto"/>
          <w:szCs w:val="21"/>
          <w:highlight w:val="none"/>
          <w:lang w:val="en-US" w:eastAsia="zh-CN"/>
        </w:rPr>
        <w:t>6</w:t>
      </w:r>
      <w:r>
        <w:rPr>
          <w:rFonts w:hint="eastAsia" w:ascii="宋体" w:hAnsi="宋体"/>
          <w:color w:val="auto"/>
          <w:szCs w:val="21"/>
          <w:highlight w:val="none"/>
        </w:rPr>
        <w:t>月</w:t>
      </w:r>
      <w:r>
        <w:rPr>
          <w:rFonts w:hint="eastAsia" w:ascii="宋体" w:hAnsi="宋体"/>
          <w:color w:val="auto"/>
          <w:szCs w:val="21"/>
          <w:highlight w:val="none"/>
          <w:lang w:val="en-US" w:eastAsia="zh-CN"/>
        </w:rPr>
        <w:t>10</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注：（1）投标人可自行打印招标文件最后1页中的“获取招标文件登记表”进行填写并带到现场进行领购，并现场领取发票。（招标文件领购价：人民币200元整）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（2）现场支持现金支付、微信支付、支付宝支付等支付方式，请将相应表格交予我司简小姐。</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联系人：简海欣</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投标人在领购招标文件时建议提供如下证明材料：《营业执照》复印件或《事业单位法人证书》复印件或其他主体证书复印件，自然人参加投标须提供自然人的身份证明材料。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四、投标截止时间、开标时间及地点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color w:val="auto"/>
          <w:szCs w:val="21"/>
          <w:highlight w:val="none"/>
        </w:rPr>
        <w:t>2022年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lang w:val="en-US" w:eastAsia="zh-CN"/>
        </w:rPr>
        <w:t>23</w:t>
      </w:r>
      <w:r>
        <w:rPr>
          <w:rFonts w:hint="eastAsia" w:ascii="宋体" w:hAnsi="宋体"/>
          <w:bCs/>
          <w:color w:val="auto"/>
          <w:szCs w:val="21"/>
          <w:highlight w:val="none"/>
        </w:rPr>
        <w:t>日上午9：00～9：30。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color w:val="auto"/>
          <w:szCs w:val="21"/>
          <w:highlight w:val="none"/>
        </w:rPr>
        <w:t>2022年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lang w:val="en-US" w:eastAsia="zh-CN"/>
        </w:rPr>
        <w:t>23</w:t>
      </w:r>
      <w:r>
        <w:rPr>
          <w:rFonts w:hint="eastAsia" w:ascii="宋体" w:hAnsi="宋体"/>
          <w:bCs/>
          <w:color w:val="auto"/>
          <w:szCs w:val="21"/>
          <w:highlight w:val="none"/>
        </w:rPr>
        <w:t>日上午9时30分。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rPr>
        <w:t>五、采购人及采购代理机构的名称、地址和联系方法：</w:t>
      </w:r>
    </w:p>
    <w:p>
      <w:pPr>
        <w:ind w:firstLine="420" w:firstLineChars="200"/>
        <w:rPr>
          <w:rFonts w:ascii="宋体" w:hAnsi="宋体"/>
          <w:bCs/>
          <w:color w:val="auto"/>
          <w:szCs w:val="21"/>
          <w:highlight w:val="none"/>
        </w:rPr>
      </w:pPr>
      <w:r>
        <w:rPr>
          <w:rFonts w:hint="eastAsia" w:ascii="宋体" w:hAnsi="宋体"/>
          <w:bCs/>
          <w:color w:val="auto"/>
          <w:szCs w:val="21"/>
          <w:highlight w:val="none"/>
        </w:rPr>
        <w:t>采购人联系人：鲁先生</w:t>
      </w:r>
    </w:p>
    <w:p>
      <w:pPr>
        <w:ind w:firstLine="420" w:firstLineChars="200"/>
        <w:rPr>
          <w:rFonts w:ascii="宋体" w:hAnsi="宋体"/>
          <w:bCs/>
          <w:color w:val="auto"/>
          <w:szCs w:val="21"/>
          <w:highlight w:val="none"/>
        </w:rPr>
      </w:pPr>
      <w:r>
        <w:rPr>
          <w:rFonts w:hint="eastAsia" w:ascii="宋体" w:hAnsi="宋体"/>
          <w:bCs/>
          <w:color w:val="auto"/>
          <w:szCs w:val="21"/>
          <w:highlight w:val="none"/>
        </w:rPr>
        <w:t xml:space="preserve">地址：广东省东莞市莞城街道东城西路莞城段172号111室   </w:t>
      </w:r>
    </w:p>
    <w:p>
      <w:pPr>
        <w:ind w:firstLine="420" w:firstLineChars="200"/>
        <w:rPr>
          <w:rFonts w:ascii="宋体" w:hAnsi="宋体"/>
          <w:bCs/>
          <w:color w:val="auto"/>
          <w:szCs w:val="21"/>
          <w:highlight w:val="none"/>
        </w:rPr>
      </w:pPr>
      <w:r>
        <w:rPr>
          <w:rFonts w:hint="eastAsia" w:ascii="宋体" w:hAnsi="宋体"/>
          <w:bCs/>
          <w:color w:val="auto"/>
          <w:szCs w:val="21"/>
          <w:highlight w:val="none"/>
        </w:rPr>
        <w:t>联系电话：0769-22383793‬</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E－ mail：471539976@qq.com</w:t>
      </w:r>
    </w:p>
    <w:p>
      <w:pPr>
        <w:pStyle w:val="2"/>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olor w:val="auto"/>
          <w:szCs w:val="21"/>
          <w:highlight w:val="none"/>
        </w:rPr>
        <w:t>2022年</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月</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ind w:left="0" w:leftChars="0" w:firstLine="0" w:firstLineChars="0"/>
        <w:rPr>
          <w:color w:val="auto"/>
          <w:highlight w:val="none"/>
        </w:rPr>
      </w:pPr>
      <w:bookmarkStart w:id="326" w:name="_GoBack"/>
      <w:bookmarkEnd w:id="326"/>
    </w:p>
    <w:p>
      <w:pPr>
        <w:pStyle w:val="6"/>
        <w:spacing w:before="0" w:after="0" w:line="240" w:lineRule="auto"/>
        <w:rPr>
          <w:color w:val="auto"/>
          <w:sz w:val="28"/>
          <w:szCs w:val="28"/>
          <w:highlight w:val="none"/>
        </w:rPr>
      </w:pPr>
      <w:bookmarkStart w:id="5" w:name="_Toc245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自筹资金。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（1）投标保证金金额：人民币</w:t>
            </w:r>
            <w:r>
              <w:rPr>
                <w:rFonts w:hint="eastAsia" w:ascii="宋体" w:hAnsi="宋体"/>
                <w:b/>
                <w:color w:val="auto"/>
                <w:szCs w:val="21"/>
                <w:highlight w:val="none"/>
              </w:rPr>
              <w:t>壹万伍仟</w:t>
            </w:r>
            <w:r>
              <w:rPr>
                <w:rFonts w:hint="eastAsia" w:ascii="宋体" w:hAnsi="宋体"/>
                <w:color w:val="auto"/>
                <w:szCs w:val="21"/>
                <w:highlight w:val="none"/>
              </w:rPr>
              <w:t>元整（￥</w:t>
            </w:r>
            <w:r>
              <w:rPr>
                <w:rFonts w:hint="eastAsia" w:ascii="宋体" w:hAnsi="宋体"/>
                <w:b/>
                <w:color w:val="auto"/>
                <w:szCs w:val="21"/>
                <w:highlight w:val="none"/>
              </w:rPr>
              <w:t>15,000.00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zh-CN"/>
              </w:rPr>
              <w:t>投标保证金须严格按“招标文件第</w:t>
            </w:r>
            <w:r>
              <w:rPr>
                <w:rFonts w:hint="eastAsia" w:ascii="宋体" w:hAnsi="宋体"/>
                <w:color w:val="auto"/>
                <w:szCs w:val="21"/>
                <w:highlight w:val="none"/>
              </w:rPr>
              <w:t>四部分投</w:t>
            </w:r>
            <w:r>
              <w:rPr>
                <w:rFonts w:hint="eastAsia" w:ascii="宋体" w:hAnsi="宋体"/>
                <w:color w:val="auto"/>
                <w:szCs w:val="21"/>
                <w:highlight w:val="none"/>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60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lang w:val="zh-CN"/>
              </w:rPr>
            </w:pPr>
            <w:r>
              <w:rPr>
                <w:rFonts w:hint="eastAsia" w:ascii="宋体" w:hAnsi="宋体"/>
                <w:color w:val="auto"/>
                <w:szCs w:val="21"/>
                <w:highlight w:val="none"/>
                <w:lang w:val="zh-CN"/>
              </w:rPr>
              <w:t>（3）保证金递交账户：</w:t>
            </w:r>
          </w:p>
          <w:p>
            <w:pPr>
              <w:jc w:val="both"/>
              <w:rPr>
                <w:rFonts w:ascii="宋体" w:hAnsi="宋体"/>
                <w:color w:val="auto"/>
                <w:szCs w:val="21"/>
                <w:highlight w:val="none"/>
                <w:lang w:val="zh-CN"/>
              </w:rPr>
            </w:pPr>
            <w:r>
              <w:rPr>
                <w:rFonts w:hint="eastAsia" w:ascii="宋体" w:hAnsi="宋体"/>
                <w:color w:val="auto"/>
                <w:szCs w:val="21"/>
                <w:highlight w:val="none"/>
                <w:lang w:val="zh-CN"/>
              </w:rPr>
              <w:t>收款人：广东政通招标有限公司</w:t>
            </w:r>
          </w:p>
          <w:p>
            <w:pPr>
              <w:jc w:val="both"/>
              <w:rPr>
                <w:rFonts w:ascii="宋体" w:hAnsi="宋体"/>
                <w:color w:val="auto"/>
                <w:szCs w:val="21"/>
                <w:highlight w:val="none"/>
                <w:lang w:val="zh-CN"/>
              </w:rPr>
            </w:pPr>
            <w:r>
              <w:rPr>
                <w:rFonts w:hint="eastAsia" w:ascii="宋体" w:hAnsi="宋体"/>
                <w:color w:val="auto"/>
                <w:szCs w:val="21"/>
                <w:highlight w:val="none"/>
                <w:lang w:val="zh-CN"/>
              </w:rPr>
              <w:t>开户行：广发银行股份有限公司东莞新城支行</w:t>
            </w:r>
          </w:p>
          <w:p>
            <w:pPr>
              <w:jc w:val="both"/>
              <w:rPr>
                <w:rFonts w:ascii="宋体" w:hAnsi="宋体"/>
                <w:color w:val="auto"/>
                <w:szCs w:val="21"/>
                <w:highlight w:val="none"/>
                <w:lang w:val="zh-CN"/>
              </w:rPr>
            </w:pPr>
            <w:r>
              <w:rPr>
                <w:rFonts w:hint="eastAsia" w:ascii="宋体" w:hAnsi="宋体"/>
                <w:color w:val="auto"/>
                <w:szCs w:val="21"/>
                <w:highlight w:val="none"/>
                <w:lang w:val="zh-CN"/>
              </w:rPr>
              <w:t>帐  号：6232590699050047636</w:t>
            </w:r>
          </w:p>
          <w:p>
            <w:pPr>
              <w:jc w:val="both"/>
              <w:rPr>
                <w:color w:val="auto"/>
                <w:highlight w:val="none"/>
              </w:rPr>
            </w:pPr>
            <w:r>
              <w:rPr>
                <w:rFonts w:hint="eastAsia" w:ascii="宋体" w:hAnsi="宋体"/>
                <w:color w:val="auto"/>
                <w:szCs w:val="21"/>
                <w:highlight w:val="none"/>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bCs/>
                <w:color w:val="auto"/>
                <w:szCs w:val="21"/>
                <w:highlight w:val="none"/>
                <w:lang w:val="zh-CN"/>
              </w:rPr>
            </w:pPr>
            <w:r>
              <w:rPr>
                <w:rFonts w:hint="eastAsia" w:ascii="宋体" w:hAnsi="宋体"/>
                <w:b/>
                <w:bCs/>
                <w:color w:val="auto"/>
                <w:szCs w:val="21"/>
                <w:highlight w:val="none"/>
                <w:lang w:val="zh-CN"/>
              </w:rPr>
              <w:t>投标保证金退还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lang w:val="zh-CN"/>
              </w:rPr>
            </w:pPr>
            <w:r>
              <w:rPr>
                <w:rFonts w:hint="eastAsia" w:ascii="宋体" w:hAnsi="宋体"/>
                <w:color w:val="auto"/>
                <w:szCs w:val="21"/>
                <w:highlight w:val="none"/>
                <w:lang w:val="zh-CN"/>
              </w:rPr>
              <w:t>（</w:t>
            </w:r>
            <w:r>
              <w:rPr>
                <w:rFonts w:hint="eastAsia" w:ascii="宋体" w:hAnsi="宋体"/>
                <w:color w:val="auto"/>
                <w:szCs w:val="21"/>
                <w:highlight w:val="none"/>
              </w:rPr>
              <w:t>1</w:t>
            </w:r>
            <w:r>
              <w:rPr>
                <w:rFonts w:hint="eastAsia" w:ascii="宋体" w:hAnsi="宋体"/>
                <w:color w:val="auto"/>
                <w:szCs w:val="21"/>
                <w:highlight w:val="none"/>
                <w:lang w:val="zh-CN"/>
              </w:rPr>
              <w:t>）未中标的投标人的保证金在采购结果公示发出后5个工作日内退还，中标投标人的保证金在采购合同签订后5个工作日内退还。</w:t>
            </w:r>
          </w:p>
          <w:p>
            <w:pPr>
              <w:jc w:val="both"/>
              <w:rPr>
                <w:rFonts w:ascii="宋体" w:hAnsi="宋体"/>
                <w:color w:val="auto"/>
                <w:szCs w:val="21"/>
                <w:highlight w:val="none"/>
                <w:lang w:val="zh-CN"/>
              </w:rPr>
            </w:pPr>
            <w:r>
              <w:rPr>
                <w:rFonts w:hint="eastAsia" w:ascii="宋体" w:hAnsi="宋体"/>
                <w:color w:val="auto"/>
                <w:szCs w:val="21"/>
                <w:highlight w:val="none"/>
                <w:lang w:val="zh-CN"/>
              </w:rPr>
              <w:t>（</w:t>
            </w:r>
            <w:r>
              <w:rPr>
                <w:rFonts w:hint="eastAsia" w:ascii="宋体" w:hAnsi="宋体"/>
                <w:color w:val="auto"/>
                <w:szCs w:val="21"/>
                <w:highlight w:val="none"/>
              </w:rPr>
              <w:t>2</w:t>
            </w:r>
            <w:r>
              <w:rPr>
                <w:rFonts w:hint="eastAsia" w:ascii="宋体" w:hAnsi="宋体"/>
                <w:color w:val="auto"/>
                <w:szCs w:val="21"/>
                <w:highlight w:val="none"/>
                <w:lang w:val="zh-CN"/>
              </w:rPr>
              <w:t>）为方便退还未中标的投</w:t>
            </w:r>
            <w:r>
              <w:rPr>
                <w:rFonts w:hint="eastAsia" w:ascii="宋体" w:hAnsi="宋体"/>
                <w:color w:val="auto"/>
                <w:szCs w:val="21"/>
                <w:highlight w:val="none"/>
              </w:rPr>
              <w:t>标</w:t>
            </w:r>
            <w:r>
              <w:rPr>
                <w:rFonts w:hint="eastAsia" w:ascii="宋体" w:hAnsi="宋体"/>
                <w:color w:val="auto"/>
                <w:szCs w:val="21"/>
                <w:highlight w:val="none"/>
                <w:lang w:val="zh-CN"/>
              </w:rPr>
              <w:t>人的保证金，投标人应制作《投标保证金汇入情况说明》随唱标文件一并递交。</w:t>
            </w:r>
          </w:p>
          <w:p>
            <w:pPr>
              <w:jc w:val="both"/>
              <w:rPr>
                <w:color w:val="auto"/>
                <w:highlight w:val="none"/>
              </w:rPr>
            </w:pPr>
            <w:r>
              <w:rPr>
                <w:rFonts w:hint="eastAsia" w:ascii="宋体" w:hAnsi="宋体"/>
                <w:color w:val="auto"/>
                <w:szCs w:val="21"/>
                <w:highlight w:val="none"/>
                <w:lang w:val="zh-CN"/>
              </w:rPr>
              <w:t>（</w:t>
            </w:r>
            <w:r>
              <w:rPr>
                <w:rFonts w:hint="eastAsia" w:ascii="宋体" w:hAnsi="宋体"/>
                <w:color w:val="auto"/>
                <w:szCs w:val="21"/>
                <w:highlight w:val="none"/>
              </w:rPr>
              <w:t>3</w:t>
            </w:r>
            <w:r>
              <w:rPr>
                <w:rFonts w:hint="eastAsia" w:ascii="宋体" w:hAnsi="宋体"/>
                <w:color w:val="auto"/>
                <w:szCs w:val="21"/>
                <w:highlight w:val="none"/>
                <w:lang w:val="zh-CN"/>
              </w:rPr>
              <w:t>）投标保证金退还联系电话：</w:t>
            </w:r>
            <w:r>
              <w:rPr>
                <w:rFonts w:hint="eastAsia" w:ascii="宋体" w:hAnsi="宋体"/>
                <w:color w:val="auto"/>
                <w:szCs w:val="21"/>
                <w:highlight w:val="none"/>
              </w:rPr>
              <w:t>0769-22881803。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履约保证金的金额为：人民币叁万元整（</w:t>
            </w:r>
            <w:r>
              <w:rPr>
                <w:rFonts w:ascii="Arial" w:hAnsi="Arial" w:cs="Arial"/>
                <w:color w:val="auto"/>
                <w:szCs w:val="21"/>
                <w:highlight w:val="none"/>
              </w:rPr>
              <w:t>¥30</w:t>
            </w:r>
            <w:r>
              <w:rPr>
                <w:rFonts w:hint="eastAsia" w:ascii="Arial" w:hAnsi="Arial" w:cs="Arial"/>
                <w:color w:val="auto"/>
                <w:szCs w:val="21"/>
                <w:highlight w:val="none"/>
              </w:rPr>
              <w:t>,</w:t>
            </w:r>
            <w:r>
              <w:rPr>
                <w:rFonts w:ascii="Arial" w:hAnsi="Arial" w:cs="Arial"/>
                <w:color w:val="auto"/>
                <w:szCs w:val="21"/>
                <w:highlight w:val="none"/>
              </w:rPr>
              <w:t>000.00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40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本项目固定收取中标服务费</w:t>
            </w:r>
            <w:r>
              <w:rPr>
                <w:rFonts w:hint="eastAsia" w:ascii="宋体" w:hAnsi="宋体"/>
                <w:color w:val="auto"/>
                <w:szCs w:val="21"/>
                <w:highlight w:val="none"/>
                <w:lang w:val="en-US" w:eastAsia="zh-CN"/>
              </w:rPr>
              <w:t>金额为</w:t>
            </w:r>
            <w:r>
              <w:rPr>
                <w:rFonts w:hint="eastAsia" w:ascii="宋体" w:hAnsi="宋体"/>
                <w:color w:val="auto"/>
                <w:szCs w:val="21"/>
                <w:highlight w:val="none"/>
              </w:rPr>
              <w:t>人民币</w:t>
            </w:r>
            <w:r>
              <w:rPr>
                <w:rFonts w:hint="eastAsia" w:ascii="宋体" w:hAnsi="宋体"/>
                <w:color w:val="auto"/>
                <w:szCs w:val="21"/>
                <w:highlight w:val="none"/>
                <w:lang w:val="en-US" w:eastAsia="zh-CN"/>
              </w:rPr>
              <w:t>壹万伍仟</w:t>
            </w:r>
            <w:r>
              <w:rPr>
                <w:rFonts w:hint="eastAsia" w:ascii="宋体" w:hAnsi="宋体"/>
                <w:color w:val="auto"/>
                <w:szCs w:val="21"/>
                <w:highlight w:val="none"/>
              </w:rPr>
              <w:t>元整（¥</w:t>
            </w:r>
            <w:r>
              <w:rPr>
                <w:rFonts w:hint="eastAsia" w:ascii="宋体" w:hAnsi="宋体"/>
                <w:color w:val="auto"/>
                <w:szCs w:val="21"/>
                <w:highlight w:val="none"/>
                <w:lang w:val="en-US" w:eastAsia="zh-CN"/>
              </w:rPr>
              <w:t>15</w:t>
            </w:r>
            <w:r>
              <w:rPr>
                <w:rFonts w:hint="eastAsia" w:ascii="宋体" w:hAnsi="宋体"/>
                <w:color w:val="auto"/>
                <w:szCs w:val="21"/>
                <w:highlight w:val="none"/>
              </w:rPr>
              <w:t>,000.00），向</w:t>
            </w:r>
            <w:r>
              <w:rPr>
                <w:rFonts w:hint="eastAsia" w:ascii="宋体" w:hAnsi="宋体"/>
                <w:color w:val="auto"/>
                <w:szCs w:val="21"/>
                <w:highlight w:val="none"/>
                <w:lang w:val="en-US" w:eastAsia="zh-CN"/>
              </w:rPr>
              <w:t>中标单位</w:t>
            </w:r>
            <w:r>
              <w:rPr>
                <w:rFonts w:hint="eastAsia" w:ascii="宋体" w:hAnsi="宋体"/>
                <w:color w:val="auto"/>
                <w:szCs w:val="21"/>
                <w:highlight w:val="none"/>
              </w:rPr>
              <w:t>收取。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firstLine="210"/>
        <w:rPr>
          <w:rFonts w:ascii="宋体" w:hAnsi="宋体" w:cs="宋体"/>
          <w:color w:val="auto"/>
          <w:sz w:val="21"/>
          <w:szCs w:val="21"/>
          <w:highlight w:val="none"/>
        </w:rPr>
      </w:pPr>
    </w:p>
    <w:p>
      <w:pPr>
        <w:pStyle w:val="3"/>
        <w:ind w:left="0" w:firstLine="0" w:firstLineChars="0"/>
        <w:rPr>
          <w:rFonts w:ascii="宋体" w:hAnsi="宋体" w:cs="宋体"/>
          <w:color w:val="auto"/>
          <w:sz w:val="21"/>
          <w:szCs w:val="21"/>
          <w:highlight w:val="none"/>
        </w:rPr>
      </w:pPr>
    </w:p>
    <w:p>
      <w:pPr>
        <w:pStyle w:val="3"/>
        <w:ind w:left="0" w:firstLine="0" w:firstLineChars="0"/>
        <w:rPr>
          <w:rFonts w:ascii="宋体" w:hAnsi="宋体" w:cs="宋体"/>
          <w:color w:val="auto"/>
          <w:sz w:val="21"/>
          <w:szCs w:val="21"/>
          <w:highlight w:val="none"/>
        </w:rPr>
      </w:pPr>
    </w:p>
    <w:p>
      <w:pPr>
        <w:pStyle w:val="3"/>
        <w:ind w:left="0" w:firstLine="0" w:firstLineChars="0"/>
        <w:rPr>
          <w:rFonts w:ascii="宋体" w:hAnsi="宋体" w:cs="宋体"/>
          <w:color w:val="auto"/>
          <w:sz w:val="21"/>
          <w:szCs w:val="21"/>
          <w:highlight w:val="none"/>
        </w:rPr>
      </w:pPr>
    </w:p>
    <w:p>
      <w:pPr>
        <w:pStyle w:val="3"/>
        <w:ind w:left="0" w:firstLine="0" w:firstLineChars="0"/>
        <w:rPr>
          <w:rFonts w:ascii="宋体" w:hAnsi="宋体" w:cs="宋体"/>
          <w:color w:val="auto"/>
          <w:sz w:val="21"/>
          <w:szCs w:val="21"/>
          <w:highlight w:val="none"/>
        </w:rPr>
      </w:pPr>
    </w:p>
    <w:p>
      <w:pPr>
        <w:pStyle w:val="3"/>
        <w:ind w:left="0" w:firstLine="0" w:firstLineChars="0"/>
        <w:rPr>
          <w:rFonts w:ascii="宋体" w:hAnsi="宋体" w:cs="宋体"/>
          <w:color w:val="auto"/>
          <w:sz w:val="21"/>
          <w:szCs w:val="21"/>
          <w:highlight w:val="none"/>
        </w:rPr>
      </w:pPr>
    </w:p>
    <w:p>
      <w:pPr>
        <w:pStyle w:val="3"/>
        <w:ind w:left="0" w:firstLine="0" w:firstLineChars="0"/>
        <w:rPr>
          <w:rFonts w:ascii="宋体" w:hAnsi="宋体" w:cs="宋体"/>
          <w:color w:val="auto"/>
          <w:sz w:val="21"/>
          <w:szCs w:val="21"/>
          <w:highlight w:val="none"/>
        </w:rPr>
      </w:pPr>
    </w:p>
    <w:p>
      <w:pPr>
        <w:pStyle w:val="3"/>
        <w:ind w:left="0" w:firstLine="0" w:firstLineChars="0"/>
        <w:rPr>
          <w:rFonts w:ascii="宋体" w:hAnsi="宋体" w:cs="宋体"/>
          <w:color w:val="auto"/>
          <w:sz w:val="21"/>
          <w:szCs w:val="21"/>
          <w:highlight w:val="none"/>
        </w:rPr>
      </w:pPr>
    </w:p>
    <w:p>
      <w:pPr>
        <w:pStyle w:val="4"/>
        <w:rPr>
          <w:color w:val="auto"/>
          <w:highlight w:val="none"/>
        </w:rPr>
      </w:pPr>
    </w:p>
    <w:p>
      <w:pPr>
        <w:pStyle w:val="3"/>
        <w:ind w:left="0" w:firstLine="0" w:firstLineChars="0"/>
        <w:rPr>
          <w:rFonts w:ascii="宋体" w:hAnsi="宋体" w:cs="宋体"/>
          <w:color w:val="auto"/>
          <w:sz w:val="21"/>
          <w:szCs w:val="21"/>
          <w:highlight w:val="none"/>
        </w:rPr>
      </w:pPr>
    </w:p>
    <w:p>
      <w:pPr>
        <w:pStyle w:val="6"/>
        <w:spacing w:before="0" w:after="0" w:line="360" w:lineRule="auto"/>
        <w:rPr>
          <w:color w:val="auto"/>
          <w:highlight w:val="none"/>
        </w:rPr>
      </w:pPr>
      <w:bookmarkStart w:id="8" w:name="_Hlk55300595"/>
      <w:bookmarkStart w:id="9" w:name="_Toc5749"/>
      <w:bookmarkStart w:id="10" w:name="_Toc13473"/>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7"/>
        <w:spacing w:line="240" w:lineRule="auto"/>
        <w:jc w:val="center"/>
        <w:rPr>
          <w:rFonts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9"/>
        <w:gridCol w:w="734"/>
        <w:gridCol w:w="28"/>
        <w:gridCol w:w="5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评审项目</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b/>
                <w:bCs/>
                <w:color w:val="auto"/>
                <w:sz w:val="21"/>
                <w:szCs w:val="21"/>
                <w:highlight w:val="none"/>
              </w:rPr>
            </w:pPr>
            <w:r>
              <w:rPr>
                <w:rFonts w:hint="eastAsia" w:ascii="宋体" w:eastAsia="宋体" w:cs="宋体"/>
                <w:b/>
                <w:bCs/>
                <w:color w:val="auto"/>
                <w:sz w:val="21"/>
                <w:szCs w:val="21"/>
                <w:highlight w:val="none"/>
              </w:rPr>
              <w:t>商务评审（35分）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690" w:type="dxa"/>
            <w:tcBorders>
              <w:top w:val="single" w:color="auto" w:sz="4" w:space="0"/>
              <w:left w:val="single" w:color="auto" w:sz="4" w:space="0"/>
              <w:right w:val="single" w:color="auto" w:sz="4" w:space="0"/>
            </w:tcBorders>
            <w:vAlign w:val="center"/>
          </w:tcPr>
          <w:p>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投标人实力</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15分</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color w:val="auto"/>
                <w:szCs w:val="21"/>
                <w:highlight w:val="none"/>
                <w:lang w:val="zh-CN" w:bidi="zh-CN"/>
              </w:rPr>
            </w:pPr>
            <w:r>
              <w:rPr>
                <w:rFonts w:hint="eastAsia" w:ascii="宋体" w:hAnsi="宋体" w:cs="宋体"/>
                <w:color w:val="auto"/>
                <w:szCs w:val="21"/>
                <w:highlight w:val="none"/>
              </w:rPr>
              <w:t>投标人具有由国家认证认可监督管理部门批准设立的认证机构颁发并在有效期内：</w:t>
            </w:r>
          </w:p>
          <w:p>
            <w:pPr>
              <w:spacing w:line="240" w:lineRule="auto"/>
              <w:ind w:firstLine="420" w:firstLineChars="200"/>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售后服务认证证书得3分；</w:t>
            </w:r>
          </w:p>
          <w:p>
            <w:pPr>
              <w:spacing w:line="240" w:lineRule="auto"/>
              <w:ind w:firstLine="420" w:firstLineChars="200"/>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诚信管理体系认证证书得3分；</w:t>
            </w:r>
          </w:p>
          <w:p>
            <w:pPr>
              <w:spacing w:line="240" w:lineRule="auto"/>
              <w:ind w:firstLine="420" w:firstLineChars="200"/>
              <w:rPr>
                <w:rFonts w:ascii="宋体" w:hAnsi="宋体" w:cs="宋体"/>
                <w:color w:val="auto"/>
                <w:szCs w:val="21"/>
                <w:highlight w:val="none"/>
                <w:lang w:val="zh-CN" w:bidi="zh-CN"/>
              </w:rPr>
            </w:pPr>
            <w:r>
              <w:rPr>
                <w:rFonts w:hint="eastAsia" w:ascii="宋体" w:cs="宋体"/>
                <w:bCs/>
                <w:color w:val="auto"/>
                <w:szCs w:val="21"/>
                <w:highlight w:val="none"/>
                <w:lang w:val="zh-CN"/>
              </w:rPr>
              <w:t>职业健康安全管理体系认证</w:t>
            </w:r>
            <w:r>
              <w:rPr>
                <w:rFonts w:hint="eastAsia" w:ascii="宋体" w:hAnsi="宋体" w:cs="宋体"/>
                <w:color w:val="auto"/>
                <w:szCs w:val="21"/>
                <w:highlight w:val="none"/>
                <w:lang w:val="zh-CN" w:bidi="zh-CN"/>
              </w:rPr>
              <w:t>得3分；</w:t>
            </w:r>
          </w:p>
          <w:p>
            <w:pPr>
              <w:spacing w:line="240" w:lineRule="auto"/>
              <w:ind w:firstLine="420" w:firstLineChars="200"/>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信息安全管理体系认证证书得3分；</w:t>
            </w:r>
          </w:p>
          <w:p>
            <w:pPr>
              <w:spacing w:line="240" w:lineRule="auto"/>
              <w:ind w:firstLine="420" w:firstLineChars="200"/>
              <w:rPr>
                <w:rFonts w:ascii="宋体" w:hAnsi="宋体" w:cs="宋体"/>
                <w:color w:val="auto"/>
                <w:szCs w:val="21"/>
                <w:highlight w:val="none"/>
                <w:lang w:val="zh-CN" w:bidi="zh-CN"/>
              </w:rPr>
            </w:pPr>
            <w:r>
              <w:rPr>
                <w:rFonts w:hint="eastAsia" w:ascii="宋体" w:hAnsi="宋体" w:cs="宋体"/>
                <w:color w:val="auto"/>
                <w:szCs w:val="21"/>
                <w:highlight w:val="none"/>
              </w:rPr>
              <w:t>质量管理体系认证证书得3分；</w:t>
            </w:r>
          </w:p>
          <w:p>
            <w:pPr>
              <w:spacing w:line="240" w:lineRule="auto"/>
              <w:ind w:firstLine="414" w:firstLineChars="200"/>
              <w:rPr>
                <w:rFonts w:ascii="宋体" w:hAnsi="宋体" w:cs="宋体"/>
                <w:bCs/>
                <w:color w:val="auto"/>
                <w:szCs w:val="21"/>
                <w:highlight w:val="none"/>
                <w:lang w:val="zh-CN"/>
              </w:rPr>
            </w:pPr>
            <w:r>
              <w:rPr>
                <w:rFonts w:hint="eastAsia" w:ascii="宋体" w:hAnsi="宋体" w:cs="宋体"/>
                <w:b/>
                <w:bCs/>
                <w:color w:val="auto"/>
                <w:spacing w:val="-2"/>
                <w:szCs w:val="21"/>
                <w:highlight w:val="none"/>
              </w:rPr>
              <w:t>注：每提供一个得对应分数，最高得15分；</w:t>
            </w:r>
            <w:r>
              <w:rPr>
                <w:rFonts w:hint="eastAsia" w:ascii="宋体" w:hAnsi="宋体" w:cs="宋体"/>
                <w:b/>
                <w:color w:val="auto"/>
                <w:szCs w:val="21"/>
                <w:highlight w:val="none"/>
              </w:rPr>
              <w:t>须提供以上相关证书复印件加盖投标人公章，且所有证件必须在有效期内。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60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业绩情况</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20分</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投标人自2019年1月1日（以合同签订时间为准）以来具有人力资源服务类业绩进行评审，每提供一项得1分，满分20分。</w:t>
            </w:r>
          </w:p>
          <w:p>
            <w:pPr>
              <w:spacing w:line="240" w:lineRule="auto"/>
              <w:ind w:firstLine="420" w:firstLineChars="200"/>
              <w:rPr>
                <w:rFonts w:ascii="宋体" w:hAnsi="宋体" w:cs="宋体"/>
                <w:bCs/>
                <w:color w:val="auto"/>
                <w:szCs w:val="21"/>
                <w:highlight w:val="none"/>
                <w:lang w:val="zh-CN"/>
              </w:rPr>
            </w:pPr>
            <w:r>
              <w:rPr>
                <w:rFonts w:hint="eastAsia" w:ascii="宋体" w:hAnsi="宋体" w:cs="宋体"/>
                <w:color w:val="auto"/>
                <w:szCs w:val="21"/>
                <w:highlight w:val="none"/>
              </w:rPr>
              <w:t>注：须提供合同关键页复印件及对应项目的中标通知书及相关合同项目1个月的服务费发票复印件加盖投标人公章。（包括合同名称、合同时间、内容范围、签字盖章页等）；同一项目的框架合同与单项定单合同不重复计算，如有重复，以单项定单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b/>
                <w:bCs/>
                <w:color w:val="auto"/>
                <w:sz w:val="21"/>
                <w:szCs w:val="21"/>
                <w:highlight w:val="none"/>
              </w:rPr>
              <w:t>技术评审（55分）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项目总体服务方案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15分</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根据投标人所提供的服务内容、服务流程、管理服务架构、方法及人员档案/薪资管理等方案进行评审：</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服务内容、服务流程、管理服务架构、方法及人员档案/薪资管理等方案非常符合实际，非常具体详细，可行性、科学性非常高，对项目研究的工作思路、方法非常清晰，得15分；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服务内容、服务流程、管理服务架构、方法及人员档案/薪资管理等方案较符合实际，较具体详细，可行性、科学性较高，对项目研究的工作思路、方法较清晰，得10分；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服务内容、服务流程、管理服务架构、方法及人员档案/薪资管理等方案符合实际，具体详细，可行性、科学性高，对项目研究的工作思路、方法清晰，得5分；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服务内容、服务流程、管理服务架构、方法及人员档案/薪资管理等方案不太符合实际，不太具体详细，可行性、科学性较低，对项目研究的工作思路、方法较笼统，得1分；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不提供：得0分。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60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人员管理方案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12分</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根据投标人所提供人员管理方案（含人员培训、监督考核、补给、调配等）进行综合评审：</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人员管理方案非常先进合理，协调性非常高，得12分；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人员管理方案较先进合理，协调性较高，得8分；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人员管理方案先进合理，协调性高，得4分；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人员管理方案欠缺，协调性较差，得1分；</w:t>
            </w:r>
          </w:p>
          <w:p>
            <w:pPr>
              <w:spacing w:line="24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不提供：得0分。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160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内部管理制度</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10分</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根据投标人提供的内部管理制度的合理性、科学性、全面性以及是否适用进行综合评审：</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制度非常完整合理、科学性、全面性、可行性非常强，完全满足并优于招标文件要求，得10分；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制度完整、科学性、全面性、可行性较强，满足招标文件要求，得7分；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制度基本完整、科学性、全面性、可行性强，基本符合招标文件要求，得4分；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制度不完整、科学性、全面性、可行性一般，不符合招标文件要求，得1分；</w:t>
            </w:r>
          </w:p>
          <w:p>
            <w:pPr>
              <w:spacing w:line="24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不提供：得0分。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4</w:t>
            </w:r>
          </w:p>
        </w:tc>
        <w:tc>
          <w:tcPr>
            <w:tcW w:w="1607"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color w:val="auto"/>
                <w:szCs w:val="21"/>
                <w:highlight w:val="none"/>
              </w:rPr>
            </w:pPr>
            <w:r>
              <w:rPr>
                <w:rFonts w:hint="eastAsia" w:ascii="宋体" w:hAnsi="宋体" w:cs="宋体"/>
                <w:color w:val="auto"/>
                <w:szCs w:val="21"/>
                <w:highlight w:val="none"/>
              </w:rPr>
              <w:t>技术力量</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13分</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1、拟投入本项目的项目负责人（仅一人）进行评审：</w:t>
            </w:r>
          </w:p>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具有市级（含市级）以上人力资源局（人社局）颁发的客户服务管理师二级（或以上）证书、档案中级（或以上）职称证书、人力资源服务业从业资格证书，符合以上三项的，得6分，其他情况不得分：</w:t>
            </w:r>
          </w:p>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2、拟投入本项目的技术人员（项目负责人除外）：</w:t>
            </w:r>
          </w:p>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①提供一个市级（含市级）以上人力资源局（人社局）颁发的档案中级（或以上）职称证书的得4分，满分4分；</w:t>
            </w:r>
          </w:p>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②提供一名高级人力资源法务师的得3分，满分3分；</w:t>
            </w:r>
          </w:p>
          <w:p>
            <w:pPr>
              <w:spacing w:line="240" w:lineRule="auto"/>
              <w:ind w:firstLine="414" w:firstLineChars="200"/>
              <w:rPr>
                <w:rFonts w:ascii="宋体" w:hAnsi="宋体" w:cs="宋体"/>
                <w:color w:val="auto"/>
                <w:szCs w:val="21"/>
                <w:highlight w:val="none"/>
                <w:lang w:val="zh-CN"/>
              </w:rPr>
            </w:pPr>
            <w:r>
              <w:rPr>
                <w:rFonts w:hint="eastAsia" w:ascii="宋体" w:hAnsi="宋体" w:cs="宋体"/>
                <w:b/>
                <w:bCs/>
                <w:color w:val="auto"/>
                <w:spacing w:val="-2"/>
                <w:szCs w:val="21"/>
                <w:highlight w:val="none"/>
              </w:rPr>
              <w:t>注：</w:t>
            </w:r>
            <w:r>
              <w:rPr>
                <w:rFonts w:hint="eastAsia" w:ascii="宋体" w:hAnsi="宋体" w:cs="宋体"/>
                <w:b/>
                <w:bCs/>
                <w:color w:val="auto"/>
                <w:szCs w:val="21"/>
                <w:highlight w:val="none"/>
              </w:rPr>
              <w:t>同一人员不能重复得分，须提供人员证书复印件加盖投标人公章以及投标截止日前6个月中连续3个月的投标人为其缴纳的社保证明复印件加盖投标人公章。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5</w:t>
            </w:r>
          </w:p>
        </w:tc>
        <w:tc>
          <w:tcPr>
            <w:tcW w:w="1607"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color w:val="auto"/>
                <w:szCs w:val="21"/>
                <w:highlight w:val="none"/>
              </w:rPr>
            </w:pPr>
            <w:r>
              <w:rPr>
                <w:rFonts w:hint="eastAsia" w:ascii="宋体" w:hAnsi="宋体" w:cs="宋体"/>
                <w:bCs/>
                <w:color w:val="auto"/>
                <w:szCs w:val="21"/>
                <w:highlight w:val="none"/>
              </w:rPr>
              <w:t>客户服务及关系维护方案</w:t>
            </w:r>
          </w:p>
        </w:tc>
        <w:tc>
          <w:tcPr>
            <w:tcW w:w="762"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5分</w:t>
            </w:r>
          </w:p>
        </w:tc>
        <w:tc>
          <w:tcPr>
            <w:tcW w:w="546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根据投标人所提供客户服务及关系维护方案（含劳动争议处理、风险防范、增值服务等）进行评审：</w:t>
            </w:r>
          </w:p>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客户服务及关系维护方案非常严谨合理、明确，针对性非常强，可行性、有效性非常高，得5分；</w:t>
            </w:r>
          </w:p>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客户服务及关系维护方案严谨合理、明确，针对性较强，可行性、有效性较高，得3分；</w:t>
            </w:r>
          </w:p>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客户服务及关系维护方案较为严谨合理、明确，针对性强，可行性、有效性高，得2分；</w:t>
            </w:r>
          </w:p>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客户服务及关系维护方案不太严谨合理、明确，针对性一般，可行性、有效性一般，得1分；</w:t>
            </w:r>
          </w:p>
          <w:p>
            <w:pPr>
              <w:spacing w:line="24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不提供：得0分。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9"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widowControl w:val="0"/>
              <w:tabs>
                <w:tab w:val="left" w:pos="907"/>
              </w:tabs>
              <w:adjustRightInd/>
              <w:snapToGrid/>
              <w:spacing w:line="240" w:lineRule="auto"/>
              <w:ind w:firstLine="422" w:firstLineChars="200"/>
              <w:jc w:val="both"/>
              <w:rPr>
                <w:rFonts w:ascii="宋体" w:hAnsi="宋体" w:cs="宋体"/>
                <w:b/>
                <w:color w:val="auto"/>
                <w:szCs w:val="21"/>
                <w:highlight w:val="none"/>
              </w:rPr>
            </w:pPr>
            <w:r>
              <w:rPr>
                <w:rFonts w:hint="eastAsia" w:ascii="宋体" w:hAnsi="宋体" w:cs="宋体"/>
                <w:b/>
                <w:color w:val="auto"/>
                <w:szCs w:val="21"/>
                <w:highlight w:val="none"/>
              </w:rPr>
              <w:t>注：</w:t>
            </w:r>
          </w:p>
          <w:p>
            <w:pPr>
              <w:widowControl w:val="0"/>
              <w:tabs>
                <w:tab w:val="left" w:pos="907"/>
              </w:tabs>
              <w:adjustRightInd/>
              <w:snapToGrid/>
              <w:spacing w:line="240" w:lineRule="auto"/>
              <w:ind w:firstLine="422" w:firstLineChars="200"/>
              <w:jc w:val="both"/>
              <w:rPr>
                <w:rFonts w:ascii="宋体" w:hAnsi="宋体" w:cs="宋体"/>
                <w:b/>
                <w:color w:val="auto"/>
                <w:szCs w:val="21"/>
                <w:highlight w:val="none"/>
              </w:rPr>
            </w:pPr>
            <w:r>
              <w:rPr>
                <w:rFonts w:hint="eastAsia" w:ascii="宋体" w:hAnsi="宋体" w:cs="宋体"/>
                <w:b/>
                <w:color w:val="auto"/>
                <w:szCs w:val="21"/>
                <w:highlight w:val="none"/>
              </w:rPr>
              <w:t>（1）无特殊说明外，以上评审项，同一证明文件不重复计分。</w:t>
            </w:r>
          </w:p>
          <w:p>
            <w:pPr>
              <w:widowControl w:val="0"/>
              <w:tabs>
                <w:tab w:val="left" w:pos="907"/>
              </w:tabs>
              <w:adjustRightInd/>
              <w:snapToGrid/>
              <w:spacing w:line="240" w:lineRule="auto"/>
              <w:ind w:firstLine="422" w:firstLineChars="200"/>
              <w:jc w:val="both"/>
              <w:rPr>
                <w:rFonts w:ascii="宋体" w:hAnsi="宋体" w:cs="宋体"/>
                <w:b/>
                <w:color w:val="auto"/>
                <w:szCs w:val="21"/>
                <w:highlight w:val="none"/>
              </w:rPr>
            </w:pPr>
            <w:r>
              <w:rPr>
                <w:rFonts w:hint="eastAsia" w:ascii="宋体" w:hAnsi="宋体" w:cs="宋体"/>
                <w:b/>
                <w:color w:val="auto"/>
                <w:szCs w:val="21"/>
                <w:highlight w:val="none"/>
              </w:rPr>
              <w:t>（2）投标人根据以上评分要求提供的投标材料因模糊不清导致评标委员会无法清晰辨认进行评审的，视为无效材料。</w:t>
            </w:r>
          </w:p>
          <w:p>
            <w:pPr>
              <w:widowControl w:val="0"/>
              <w:tabs>
                <w:tab w:val="left" w:pos="907"/>
              </w:tabs>
              <w:adjustRightInd/>
              <w:snapToGrid/>
              <w:spacing w:line="240" w:lineRule="auto"/>
              <w:ind w:firstLine="422" w:firstLineChars="200"/>
              <w:jc w:val="both"/>
              <w:rPr>
                <w:rFonts w:ascii="宋体" w:hAnsi="宋体" w:cs="宋体"/>
                <w:color w:val="auto"/>
                <w:szCs w:val="21"/>
                <w:highlight w:val="none"/>
              </w:rPr>
            </w:pPr>
            <w:r>
              <w:rPr>
                <w:rFonts w:hint="eastAsia" w:ascii="宋体" w:hAnsi="宋体" w:cs="宋体"/>
                <w:b/>
                <w:color w:val="auto"/>
                <w:szCs w:val="21"/>
                <w:highlight w:val="none"/>
              </w:rPr>
              <w:t>（3）疫情期间社保如有申报延期缴纳社保的，投标人须提供申报延期缴纳社保的相关证明或申请记录并加盖投标人公章，否则被视为未缴纳社保情形。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color w:val="auto"/>
                <w:sz w:val="21"/>
                <w:szCs w:val="21"/>
                <w:highlight w:val="none"/>
                <w:lang w:val="zh-CN"/>
              </w:rPr>
            </w:pPr>
            <w:r>
              <w:rPr>
                <w:rFonts w:hint="eastAsia" w:ascii="宋体" w:eastAsia="宋体" w:cs="宋体"/>
                <w:b/>
                <w:bCs/>
                <w:color w:val="auto"/>
                <w:sz w:val="21"/>
                <w:szCs w:val="21"/>
                <w:highlight w:val="none"/>
              </w:rPr>
              <w:t>价格评审（10分）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pPr>
              <w:pStyle w:val="37"/>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10"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投标总价</w:t>
            </w:r>
          </w:p>
        </w:tc>
        <w:tc>
          <w:tcPr>
            <w:tcW w:w="734" w:type="dxa"/>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jc w:val="center"/>
              <w:rPr>
                <w:rFonts w:ascii="宋体" w:hAnsi="宋体" w:cs="宋体"/>
                <w:color w:val="auto"/>
                <w:kern w:val="2"/>
                <w:szCs w:val="21"/>
                <w:highlight w:val="none"/>
              </w:rPr>
            </w:pPr>
            <w:r>
              <w:rPr>
                <w:rFonts w:hint="eastAsia" w:ascii="宋体" w:hAnsi="宋体" w:cs="宋体"/>
                <w:color w:val="auto"/>
                <w:kern w:val="2"/>
                <w:szCs w:val="21"/>
                <w:highlight w:val="none"/>
              </w:rPr>
              <w:t>10</w:t>
            </w:r>
          </w:p>
        </w:tc>
        <w:tc>
          <w:tcPr>
            <w:tcW w:w="5488" w:type="dxa"/>
            <w:gridSpan w:val="2"/>
            <w:tcBorders>
              <w:top w:val="single" w:color="auto" w:sz="4" w:space="0"/>
              <w:left w:val="single" w:color="auto" w:sz="4" w:space="0"/>
              <w:bottom w:val="single" w:color="auto" w:sz="4" w:space="0"/>
              <w:right w:val="single" w:color="auto" w:sz="4" w:space="0"/>
            </w:tcBorders>
            <w:vAlign w:val="center"/>
          </w:tcPr>
          <w:p>
            <w:pPr>
              <w:widowControl w:val="0"/>
              <w:adjustRightInd/>
              <w:snapToGrid/>
              <w:spacing w:line="240" w:lineRule="auto"/>
              <w:ind w:firstLine="420" w:firstLineChars="200"/>
              <w:rPr>
                <w:rFonts w:ascii="宋体" w:hAnsi="宋体" w:cs="宋体"/>
                <w:color w:val="auto"/>
                <w:kern w:val="2"/>
                <w:szCs w:val="21"/>
                <w:highlight w:val="none"/>
                <w:lang w:val="zh-CN"/>
              </w:rPr>
            </w:pPr>
            <w:r>
              <w:rPr>
                <w:rFonts w:hint="eastAsia" w:ascii="宋体" w:hAnsi="宋体" w:cs="宋体"/>
                <w:color w:val="auto"/>
                <w:kern w:val="2"/>
                <w:szCs w:val="21"/>
                <w:highlight w:val="none"/>
                <w:lang w:val="zh-CN"/>
              </w:rPr>
              <w:t>价格分计算方法：满足招标文件要求且投标价格最低的投标总价为评标基准价，其价格分为满分。其他投标人的价格分统一按照下列公式计算：</w:t>
            </w:r>
          </w:p>
          <w:p>
            <w:pPr>
              <w:widowControl w:val="0"/>
              <w:adjustRightInd/>
              <w:snapToGrid/>
              <w:spacing w:line="240" w:lineRule="auto"/>
              <w:ind w:firstLine="420" w:firstLineChars="200"/>
              <w:rPr>
                <w:rFonts w:ascii="宋体" w:hAnsi="宋体" w:cs="宋体"/>
                <w:color w:val="auto"/>
                <w:kern w:val="2"/>
                <w:szCs w:val="21"/>
                <w:highlight w:val="none"/>
              </w:rPr>
            </w:pPr>
            <w:r>
              <w:rPr>
                <w:rFonts w:hint="eastAsia" w:ascii="宋体" w:hAnsi="宋体" w:cs="宋体"/>
                <w:color w:val="auto"/>
                <w:kern w:val="2"/>
                <w:szCs w:val="21"/>
                <w:highlight w:val="none"/>
                <w:lang w:val="zh-CN"/>
              </w:rPr>
              <w:t>投标报价得分=(评标基准价／投标总价)×价格权值</w:t>
            </w:r>
          </w:p>
        </w:tc>
      </w:tr>
    </w:tbl>
    <w:p>
      <w:pPr>
        <w:rPr>
          <w:color w:val="auto"/>
          <w:highlight w:val="none"/>
        </w:rPr>
      </w:pPr>
      <w:r>
        <w:rPr>
          <w:rFonts w:hint="eastAsia"/>
          <w:color w:val="auto"/>
          <w:highlight w:val="none"/>
        </w:rPr>
        <w:br w:type="page"/>
      </w:r>
    </w:p>
    <w:p>
      <w:pPr>
        <w:pStyle w:val="6"/>
        <w:spacing w:before="0" w:after="0" w:line="240" w:lineRule="auto"/>
        <w:rPr>
          <w:color w:val="auto"/>
          <w:sz w:val="24"/>
          <w:szCs w:val="24"/>
          <w:highlight w:val="none"/>
        </w:rPr>
      </w:pPr>
      <w:bookmarkStart w:id="17" w:name="_Toc29685"/>
      <w:bookmarkStart w:id="18" w:name="_Toc2479"/>
      <w:bookmarkStart w:id="19" w:name="_Toc30638"/>
      <w:bookmarkStart w:id="20" w:name="_Toc14146"/>
      <w:r>
        <w:rPr>
          <w:rFonts w:hint="eastAsia"/>
          <w:color w:val="auto"/>
          <w:sz w:val="28"/>
          <w:szCs w:val="28"/>
          <w:highlight w:val="none"/>
        </w:rPr>
        <w:t>第四部分 投标人须知</w:t>
      </w:r>
      <w:bookmarkEnd w:id="17"/>
      <w:bookmarkEnd w:id="18"/>
      <w:bookmarkEnd w:id="19"/>
    </w:p>
    <w:p>
      <w:pPr>
        <w:pStyle w:val="7"/>
        <w:spacing w:line="480" w:lineRule="auto"/>
        <w:jc w:val="center"/>
        <w:rPr>
          <w:rFonts w:ascii="宋体" w:hAnsi="宋体"/>
          <w:color w:val="auto"/>
          <w:highlight w:val="none"/>
        </w:rPr>
      </w:pPr>
      <w:bookmarkStart w:id="21" w:name="_Toc19746"/>
      <w:bookmarkStart w:id="22" w:name="_Toc3095"/>
      <w:bookmarkStart w:id="23" w:name="_Toc11105"/>
      <w:r>
        <w:rPr>
          <w:rFonts w:hint="eastAsia" w:ascii="宋体" w:hAnsi="宋体"/>
          <w:color w:val="auto"/>
          <w:highlight w:val="none"/>
        </w:rPr>
        <w:t>第一章说明</w:t>
      </w:r>
      <w:bookmarkEnd w:id="21"/>
      <w:bookmarkEnd w:id="22"/>
      <w:bookmarkEnd w:id="23"/>
    </w:p>
    <w:p>
      <w:pPr>
        <w:pStyle w:val="8"/>
        <w:widowControl w:val="0"/>
        <w:overflowPunct w:val="0"/>
        <w:spacing w:line="240" w:lineRule="auto"/>
        <w:rPr>
          <w:rFonts w:ascii="宋体" w:hAnsi="宋体"/>
          <w:color w:val="auto"/>
          <w:sz w:val="21"/>
          <w:szCs w:val="21"/>
          <w:highlight w:val="none"/>
        </w:rPr>
      </w:pPr>
      <w:bookmarkStart w:id="24" w:name="_Toc22803"/>
      <w:bookmarkStart w:id="25" w:name="_Toc18488"/>
      <w:bookmarkStart w:id="26" w:name="_Toc22847"/>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8"/>
        <w:widowControl w:val="0"/>
        <w:overflowPunct w:val="0"/>
        <w:spacing w:line="240" w:lineRule="auto"/>
        <w:rPr>
          <w:rFonts w:ascii="宋体" w:hAnsi="宋体"/>
          <w:color w:val="auto"/>
          <w:sz w:val="21"/>
          <w:szCs w:val="21"/>
          <w:highlight w:val="none"/>
        </w:rPr>
      </w:pPr>
      <w:bookmarkStart w:id="27" w:name="_Toc13400"/>
      <w:bookmarkStart w:id="28" w:name="_Toc21002"/>
      <w:bookmarkStart w:id="29" w:name="_Toc16848"/>
      <w:r>
        <w:rPr>
          <w:rFonts w:hint="eastAsia" w:ascii="宋体" w:hAnsi="宋体"/>
          <w:color w:val="auto"/>
          <w:sz w:val="21"/>
          <w:szCs w:val="21"/>
          <w:highlight w:val="none"/>
        </w:rPr>
        <w:t>2.</w:t>
      </w:r>
      <w:bookmarkStart w:id="30" w:name="_Toc303084246"/>
      <w:bookmarkStart w:id="31" w:name="_Toc1530"/>
      <w:bookmarkStart w:id="32" w:name="_Toc382049092"/>
      <w:bookmarkStart w:id="33" w:name="_Toc298847174"/>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w:t>
      </w:r>
      <w:r>
        <w:rPr>
          <w:rFonts w:hint="eastAsia" w:ascii="宋体" w:hAnsi="宋体"/>
          <w:color w:val="auto"/>
          <w:szCs w:val="21"/>
          <w:highlight w:val="none"/>
        </w:rPr>
        <w:t>广东省盐业集团东莞有限公司。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评标委员会：评标委员会是依据相关规定组建的专门负责本次招标其评标工作的临时性机构。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8"/>
        <w:widowControl w:val="0"/>
        <w:overflowPunct w:val="0"/>
        <w:spacing w:line="240" w:lineRule="auto"/>
        <w:rPr>
          <w:rFonts w:ascii="宋体" w:hAnsi="宋体"/>
          <w:color w:val="auto"/>
          <w:sz w:val="21"/>
          <w:szCs w:val="21"/>
          <w:highlight w:val="none"/>
        </w:rPr>
      </w:pPr>
      <w:bookmarkStart w:id="34" w:name="_Toc3780"/>
      <w:bookmarkStart w:id="35" w:name="_Toc2996"/>
      <w:bookmarkStart w:id="36" w:name="_Toc9710"/>
      <w:r>
        <w:rPr>
          <w:rFonts w:hint="eastAsia" w:ascii="宋体" w:hAnsi="宋体"/>
          <w:color w:val="auto"/>
          <w:sz w:val="21"/>
          <w:szCs w:val="21"/>
          <w:highlight w:val="none"/>
        </w:rPr>
        <w:t>3.货物和服务</w:t>
      </w:r>
      <w:bookmarkEnd w:id="34"/>
      <w:bookmarkEnd w:id="35"/>
      <w:bookmarkEnd w:id="36"/>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除货物和工程以外的其他采购对象</w:t>
      </w:r>
      <w:r>
        <w:rPr>
          <w:rFonts w:hint="eastAsia" w:ascii="宋体" w:hAnsi="宋体"/>
          <w:color w:val="auto"/>
          <w:szCs w:val="21"/>
          <w:highlight w:val="none"/>
        </w:rPr>
        <w:t>。</w:t>
      </w:r>
    </w:p>
    <w:p>
      <w:pPr>
        <w:rPr>
          <w:color w:val="auto"/>
          <w:highlight w:val="none"/>
        </w:rPr>
      </w:pPr>
    </w:p>
    <w:p>
      <w:pPr>
        <w:pStyle w:val="8"/>
        <w:widowControl w:val="0"/>
        <w:overflowPunct w:val="0"/>
        <w:spacing w:line="240" w:lineRule="auto"/>
        <w:rPr>
          <w:rFonts w:ascii="宋体" w:hAnsi="宋体"/>
          <w:color w:val="auto"/>
          <w:sz w:val="21"/>
          <w:szCs w:val="21"/>
          <w:highlight w:val="none"/>
        </w:rPr>
      </w:pPr>
      <w:bookmarkStart w:id="37" w:name="_Toc15945"/>
      <w:bookmarkStart w:id="38" w:name="_Toc12536"/>
      <w:bookmarkStart w:id="39" w:name="_Toc13909"/>
      <w:r>
        <w:rPr>
          <w:rFonts w:hint="eastAsia" w:ascii="宋体" w:hAnsi="宋体"/>
          <w:color w:val="auto"/>
          <w:sz w:val="21"/>
          <w:szCs w:val="21"/>
          <w:highlight w:val="none"/>
        </w:rPr>
        <w:t>4.投标费用</w:t>
      </w:r>
      <w:bookmarkEnd w:id="37"/>
      <w:bookmarkEnd w:id="38"/>
      <w:bookmarkEnd w:id="39"/>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8"/>
        <w:widowControl w:val="0"/>
        <w:overflowPunct w:val="0"/>
        <w:spacing w:line="240" w:lineRule="auto"/>
        <w:rPr>
          <w:rFonts w:ascii="宋体" w:hAnsi="宋体"/>
          <w:color w:val="auto"/>
          <w:sz w:val="21"/>
          <w:szCs w:val="21"/>
          <w:highlight w:val="none"/>
        </w:rPr>
      </w:pPr>
      <w:bookmarkStart w:id="40" w:name="_Toc19532"/>
      <w:bookmarkStart w:id="41" w:name="_Toc25040"/>
      <w:bookmarkStart w:id="42" w:name="_Toc19094"/>
      <w:r>
        <w:rPr>
          <w:rFonts w:hint="eastAsia" w:ascii="宋体" w:hAnsi="宋体"/>
          <w:color w:val="auto"/>
          <w:sz w:val="21"/>
          <w:szCs w:val="21"/>
          <w:highlight w:val="none"/>
        </w:rPr>
        <w:t>5.知识产权</w:t>
      </w:r>
      <w:bookmarkEnd w:id="40"/>
      <w:bookmarkEnd w:id="41"/>
      <w:bookmarkEnd w:id="42"/>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8"/>
        <w:widowControl w:val="0"/>
        <w:overflowPunct w:val="0"/>
        <w:spacing w:line="240" w:lineRule="auto"/>
        <w:rPr>
          <w:rFonts w:ascii="宋体" w:hAnsi="宋体"/>
          <w:color w:val="auto"/>
          <w:sz w:val="21"/>
          <w:szCs w:val="21"/>
          <w:highlight w:val="none"/>
        </w:rPr>
      </w:pPr>
      <w:bookmarkStart w:id="43" w:name="_Toc31885"/>
      <w:bookmarkStart w:id="44" w:name="_Toc21930"/>
      <w:bookmarkStart w:id="45" w:name="_Toc8432"/>
      <w:r>
        <w:rPr>
          <w:rFonts w:hint="eastAsia" w:ascii="宋体" w:hAnsi="宋体"/>
          <w:color w:val="auto"/>
          <w:sz w:val="21"/>
          <w:szCs w:val="21"/>
          <w:highlight w:val="none"/>
        </w:rPr>
        <w:t>6.关于联合体投标</w:t>
      </w:r>
      <w:bookmarkEnd w:id="43"/>
      <w:bookmarkEnd w:id="44"/>
      <w:bookmarkEnd w:id="45"/>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联合体各方均应具有独立承担民事责任能力的法人或其他组织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8"/>
        <w:widowControl w:val="0"/>
        <w:overflowPunct w:val="0"/>
        <w:spacing w:line="240" w:lineRule="auto"/>
        <w:rPr>
          <w:rFonts w:ascii="宋体" w:hAnsi="宋体"/>
          <w:color w:val="auto"/>
          <w:sz w:val="21"/>
          <w:szCs w:val="21"/>
          <w:highlight w:val="none"/>
        </w:rPr>
      </w:pPr>
      <w:bookmarkStart w:id="46" w:name="_Toc16571"/>
      <w:bookmarkStart w:id="47" w:name="_Toc13811"/>
      <w:bookmarkStart w:id="48" w:name="_Toc32331"/>
      <w:bookmarkStart w:id="49" w:name="_Toc17879"/>
      <w:r>
        <w:rPr>
          <w:rFonts w:hint="eastAsia" w:ascii="宋体" w:hAnsi="宋体"/>
          <w:color w:val="auto"/>
          <w:sz w:val="21"/>
          <w:szCs w:val="21"/>
          <w:highlight w:val="none"/>
        </w:rPr>
        <w:t>7.关于分支机构投标</w:t>
      </w:r>
      <w:bookmarkEnd w:id="46"/>
      <w:bookmarkEnd w:id="47"/>
      <w:bookmarkEnd w:id="48"/>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7"/>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pPr>
        <w:pStyle w:val="8"/>
        <w:widowControl w:val="0"/>
        <w:overflowPunct w:val="0"/>
        <w:spacing w:line="240" w:lineRule="auto"/>
        <w:rPr>
          <w:rFonts w:ascii="宋体" w:hAnsi="宋体"/>
          <w:color w:val="auto"/>
          <w:sz w:val="21"/>
          <w:szCs w:val="21"/>
          <w:highlight w:val="none"/>
        </w:rPr>
      </w:pPr>
      <w:bookmarkStart w:id="53" w:name="_Toc1423"/>
      <w:bookmarkStart w:id="54" w:name="_Toc13494"/>
      <w:bookmarkStart w:id="55" w:name="_Toc21771"/>
      <w:r>
        <w:rPr>
          <w:rFonts w:hint="eastAsia" w:ascii="宋体" w:hAnsi="宋体"/>
          <w:color w:val="auto"/>
          <w:sz w:val="21"/>
          <w:szCs w:val="21"/>
          <w:highlight w:val="none"/>
        </w:rPr>
        <w:t>8.招标文件的组成</w:t>
      </w:r>
      <w:bookmarkEnd w:id="53"/>
      <w:bookmarkEnd w:id="54"/>
      <w:bookmarkEnd w:id="55"/>
    </w:p>
    <w:p>
      <w:pPr>
        <w:pStyle w:val="34"/>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8"/>
        <w:widowControl w:val="0"/>
        <w:overflowPunct w:val="0"/>
        <w:rPr>
          <w:rFonts w:ascii="宋体" w:hAnsi="宋体"/>
          <w:color w:val="auto"/>
          <w:sz w:val="21"/>
          <w:szCs w:val="21"/>
          <w:highlight w:val="none"/>
        </w:rPr>
      </w:pPr>
      <w:bookmarkStart w:id="56" w:name="_Toc17274"/>
      <w:bookmarkStart w:id="57" w:name="_Toc7997"/>
      <w:bookmarkStart w:id="58" w:name="_Toc14217"/>
      <w:r>
        <w:rPr>
          <w:rFonts w:hint="eastAsia" w:ascii="宋体" w:hAnsi="宋体"/>
          <w:color w:val="auto"/>
          <w:sz w:val="21"/>
          <w:szCs w:val="21"/>
          <w:highlight w:val="none"/>
        </w:rPr>
        <w:t>9.招标文件的澄清或修改</w:t>
      </w:r>
      <w:bookmarkEnd w:id="56"/>
      <w:bookmarkEnd w:id="57"/>
      <w:bookmarkEnd w:id="58"/>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7"/>
        <w:spacing w:line="480" w:lineRule="auto"/>
        <w:jc w:val="center"/>
        <w:rPr>
          <w:rFonts w:ascii="宋体" w:hAnsi="宋体"/>
          <w:color w:val="auto"/>
          <w:highlight w:val="none"/>
        </w:rPr>
      </w:pPr>
      <w:bookmarkStart w:id="59" w:name="_Toc16712"/>
      <w:bookmarkStart w:id="60" w:name="_Toc4773"/>
      <w:bookmarkStart w:id="61" w:name="_Toc23726"/>
      <w:r>
        <w:rPr>
          <w:rFonts w:hint="eastAsia" w:ascii="宋体" w:hAnsi="宋体"/>
          <w:color w:val="auto"/>
          <w:highlight w:val="none"/>
        </w:rPr>
        <w:t>第三章投标文件的编制</w:t>
      </w:r>
      <w:bookmarkEnd w:id="59"/>
      <w:bookmarkEnd w:id="60"/>
      <w:bookmarkEnd w:id="61"/>
    </w:p>
    <w:p>
      <w:pPr>
        <w:pStyle w:val="8"/>
        <w:widowControl w:val="0"/>
        <w:overflowPunct w:val="0"/>
        <w:rPr>
          <w:rFonts w:ascii="宋体" w:hAnsi="宋体"/>
          <w:color w:val="auto"/>
          <w:sz w:val="21"/>
          <w:szCs w:val="21"/>
          <w:highlight w:val="none"/>
        </w:rPr>
      </w:pPr>
      <w:bookmarkStart w:id="62" w:name="_Toc28092"/>
      <w:bookmarkStart w:id="63" w:name="_Toc7434"/>
      <w:bookmarkStart w:id="64" w:name="_Toc20623"/>
      <w:r>
        <w:rPr>
          <w:rFonts w:hint="eastAsia" w:ascii="宋体" w:hAnsi="宋体"/>
          <w:color w:val="auto"/>
          <w:sz w:val="21"/>
          <w:szCs w:val="21"/>
          <w:highlight w:val="none"/>
        </w:rPr>
        <w:t>10.投标文件的语言及度量衡单位</w:t>
      </w:r>
      <w:bookmarkEnd w:id="62"/>
      <w:bookmarkEnd w:id="63"/>
      <w:bookmarkEnd w:id="64"/>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8"/>
        <w:widowControl w:val="0"/>
        <w:overflowPunct w:val="0"/>
        <w:rPr>
          <w:rFonts w:ascii="宋体" w:hAnsi="宋体"/>
          <w:color w:val="auto"/>
          <w:sz w:val="21"/>
          <w:szCs w:val="21"/>
          <w:highlight w:val="none"/>
        </w:rPr>
      </w:pPr>
      <w:bookmarkStart w:id="65" w:name="_Toc307934854"/>
      <w:bookmarkStart w:id="66" w:name="_Toc28866"/>
      <w:bookmarkStart w:id="67" w:name="_Toc382049103"/>
      <w:bookmarkStart w:id="68" w:name="_Toc303084256"/>
      <w:bookmarkStart w:id="69" w:name="_Toc12145"/>
      <w:bookmarkStart w:id="70" w:name="_Toc7728"/>
      <w:bookmarkStart w:id="71" w:name="_Toc18999"/>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8"/>
        <w:widowControl w:val="0"/>
        <w:overflowPunct w:val="0"/>
        <w:rPr>
          <w:rFonts w:ascii="宋体" w:hAnsi="宋体"/>
          <w:color w:val="auto"/>
          <w:sz w:val="21"/>
          <w:szCs w:val="21"/>
          <w:highlight w:val="none"/>
        </w:rPr>
      </w:pPr>
      <w:bookmarkStart w:id="72" w:name="_Toc21747"/>
      <w:bookmarkStart w:id="73" w:name="_Toc3882"/>
      <w:bookmarkStart w:id="74" w:name="_Toc30189"/>
      <w:r>
        <w:rPr>
          <w:rFonts w:hint="eastAsia" w:ascii="宋体" w:hAnsi="宋体"/>
          <w:color w:val="auto"/>
          <w:sz w:val="21"/>
          <w:szCs w:val="21"/>
          <w:highlight w:val="none"/>
        </w:rPr>
        <w:t>12.投标文件编制</w:t>
      </w:r>
      <w:bookmarkEnd w:id="72"/>
      <w:bookmarkEnd w:id="73"/>
      <w:bookmarkEnd w:id="74"/>
    </w:p>
    <w:p>
      <w:pPr>
        <w:pStyle w:val="34"/>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4"/>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4"/>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8"/>
        <w:widowControl w:val="0"/>
        <w:overflowPunct w:val="0"/>
        <w:rPr>
          <w:rFonts w:ascii="宋体" w:hAnsi="宋体"/>
          <w:color w:val="auto"/>
          <w:sz w:val="21"/>
          <w:szCs w:val="21"/>
          <w:highlight w:val="none"/>
        </w:rPr>
      </w:pPr>
      <w:bookmarkStart w:id="76" w:name="_Toc259"/>
      <w:bookmarkStart w:id="77" w:name="_Toc7847"/>
      <w:bookmarkStart w:id="78" w:name="_Toc17188"/>
      <w:r>
        <w:rPr>
          <w:rFonts w:hint="eastAsia" w:ascii="宋体" w:hAnsi="宋体"/>
          <w:color w:val="auto"/>
          <w:sz w:val="21"/>
          <w:szCs w:val="21"/>
          <w:highlight w:val="none"/>
        </w:rPr>
        <w:t>13.投标报价说明</w:t>
      </w:r>
      <w:bookmarkEnd w:id="76"/>
      <w:bookmarkEnd w:id="77"/>
      <w:bookmarkEnd w:id="78"/>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8"/>
        <w:widowControl w:val="0"/>
        <w:overflowPunct w:val="0"/>
        <w:rPr>
          <w:rFonts w:ascii="宋体" w:hAnsi="宋体"/>
          <w:color w:val="auto"/>
          <w:sz w:val="21"/>
          <w:szCs w:val="21"/>
          <w:highlight w:val="none"/>
        </w:rPr>
      </w:pPr>
      <w:bookmarkStart w:id="79" w:name="_Toc27724"/>
      <w:bookmarkStart w:id="80" w:name="_Toc16535"/>
      <w:bookmarkStart w:id="81" w:name="_Toc18911"/>
      <w:r>
        <w:rPr>
          <w:rFonts w:hint="eastAsia" w:ascii="宋体" w:hAnsi="宋体"/>
          <w:color w:val="auto"/>
          <w:sz w:val="21"/>
          <w:szCs w:val="21"/>
          <w:highlight w:val="none"/>
        </w:rPr>
        <w:t>14.投标人所提供的服务或货物的证明文件</w:t>
      </w:r>
      <w:bookmarkEnd w:id="79"/>
      <w:bookmarkEnd w:id="80"/>
      <w:bookmarkEnd w:id="81"/>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4"/>
        <w:widowControl w:val="0"/>
        <w:adjustRightInd/>
        <w:snapToGrid/>
        <w:ind w:left="425" w:firstLine="0" w:firstLineChars="0"/>
        <w:jc w:val="both"/>
        <w:rPr>
          <w:color w:val="auto"/>
          <w:highlight w:val="none"/>
        </w:rPr>
      </w:pPr>
    </w:p>
    <w:p>
      <w:pPr>
        <w:pStyle w:val="8"/>
        <w:widowControl w:val="0"/>
        <w:overflowPunct w:val="0"/>
        <w:rPr>
          <w:rFonts w:ascii="宋体" w:hAnsi="宋体"/>
          <w:color w:val="auto"/>
          <w:sz w:val="21"/>
          <w:szCs w:val="21"/>
          <w:highlight w:val="none"/>
        </w:rPr>
      </w:pPr>
      <w:bookmarkStart w:id="84" w:name="_Toc22169"/>
      <w:bookmarkStart w:id="85" w:name="_Toc19520"/>
      <w:bookmarkStart w:id="86" w:name="_Toc30815"/>
      <w:r>
        <w:rPr>
          <w:rFonts w:hint="eastAsia" w:ascii="宋体" w:hAnsi="宋体"/>
          <w:color w:val="auto"/>
          <w:sz w:val="21"/>
          <w:szCs w:val="21"/>
          <w:highlight w:val="none"/>
        </w:rPr>
        <w:t>15.★投标有效期</w:t>
      </w:r>
      <w:bookmarkEnd w:id="84"/>
      <w:bookmarkEnd w:id="85"/>
      <w:bookmarkEnd w:id="86"/>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8"/>
        <w:widowControl w:val="0"/>
        <w:overflowPunct w:val="0"/>
        <w:rPr>
          <w:rFonts w:ascii="宋体" w:hAnsi="宋体"/>
          <w:color w:val="auto"/>
          <w:sz w:val="21"/>
          <w:szCs w:val="21"/>
          <w:highlight w:val="none"/>
        </w:rPr>
      </w:pPr>
      <w:bookmarkStart w:id="87" w:name="_Toc25817"/>
      <w:bookmarkStart w:id="88" w:name="_Toc30257"/>
      <w:bookmarkStart w:id="89" w:name="_Toc12456"/>
      <w:r>
        <w:rPr>
          <w:rFonts w:hint="eastAsia" w:ascii="宋体" w:hAnsi="宋体"/>
          <w:color w:val="auto"/>
          <w:sz w:val="21"/>
          <w:szCs w:val="21"/>
          <w:highlight w:val="none"/>
        </w:rPr>
        <w:t>16.★投标保证金</w:t>
      </w:r>
      <w:bookmarkEnd w:id="87"/>
      <w:bookmarkEnd w:id="88"/>
      <w:bookmarkEnd w:id="89"/>
    </w:p>
    <w:p>
      <w:pPr>
        <w:pStyle w:val="34"/>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7"/>
        <w:spacing w:line="480" w:lineRule="auto"/>
        <w:jc w:val="center"/>
        <w:rPr>
          <w:rFonts w:ascii="宋体" w:hAnsi="宋体"/>
          <w:color w:val="auto"/>
          <w:highlight w:val="none"/>
        </w:rPr>
      </w:pPr>
      <w:bookmarkStart w:id="91" w:name="_Toc31124"/>
      <w:bookmarkStart w:id="92" w:name="_Toc3200"/>
      <w:bookmarkStart w:id="93" w:name="_Toc24109"/>
      <w:r>
        <w:rPr>
          <w:rFonts w:hint="eastAsia" w:ascii="宋体" w:hAnsi="宋体"/>
          <w:color w:val="auto"/>
          <w:highlight w:val="none"/>
        </w:rPr>
        <w:t>第四章投标文件的递交</w:t>
      </w:r>
      <w:bookmarkEnd w:id="91"/>
      <w:bookmarkEnd w:id="92"/>
      <w:bookmarkEnd w:id="93"/>
    </w:p>
    <w:p>
      <w:pPr>
        <w:pStyle w:val="8"/>
        <w:widowControl w:val="0"/>
        <w:overflowPunct w:val="0"/>
        <w:rPr>
          <w:rFonts w:ascii="宋体" w:hAnsi="宋体"/>
          <w:color w:val="auto"/>
          <w:sz w:val="21"/>
          <w:szCs w:val="21"/>
          <w:highlight w:val="none"/>
        </w:rPr>
      </w:pPr>
      <w:bookmarkStart w:id="94" w:name="_Toc23678"/>
      <w:bookmarkStart w:id="95" w:name="_Toc29590"/>
      <w:bookmarkStart w:id="96" w:name="_Toc473"/>
      <w:bookmarkStart w:id="97" w:name="_Toc303084264"/>
      <w:bookmarkStart w:id="98" w:name="_Toc24997"/>
      <w:bookmarkStart w:id="99" w:name="_Toc382049111"/>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8"/>
        <w:widowControl w:val="0"/>
        <w:overflowPunct w:val="0"/>
        <w:rPr>
          <w:rFonts w:ascii="宋体" w:hAnsi="宋体"/>
          <w:color w:val="auto"/>
          <w:sz w:val="21"/>
          <w:szCs w:val="21"/>
          <w:highlight w:val="none"/>
        </w:rPr>
      </w:pPr>
      <w:bookmarkStart w:id="100" w:name="_Toc17417"/>
      <w:bookmarkStart w:id="101" w:name="_Toc7473"/>
      <w:bookmarkStart w:id="102" w:name="_Toc8628"/>
      <w:r>
        <w:rPr>
          <w:rFonts w:hint="eastAsia" w:ascii="宋体" w:hAnsi="宋体"/>
          <w:color w:val="auto"/>
          <w:sz w:val="21"/>
          <w:szCs w:val="21"/>
          <w:highlight w:val="none"/>
        </w:rPr>
        <w:t>18.迟交的投标文件</w:t>
      </w:r>
      <w:bookmarkEnd w:id="100"/>
      <w:bookmarkEnd w:id="101"/>
      <w:bookmarkEnd w:id="102"/>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8"/>
        <w:widowControl w:val="0"/>
        <w:overflowPunct w:val="0"/>
        <w:rPr>
          <w:rFonts w:ascii="宋体" w:hAnsi="宋体"/>
          <w:color w:val="auto"/>
          <w:sz w:val="21"/>
          <w:szCs w:val="21"/>
          <w:highlight w:val="none"/>
        </w:rPr>
      </w:pPr>
      <w:bookmarkStart w:id="103" w:name="_Toc19649"/>
      <w:bookmarkStart w:id="104" w:name="_Toc8526"/>
      <w:bookmarkStart w:id="105" w:name="_Toc13212"/>
      <w:r>
        <w:rPr>
          <w:rFonts w:hint="eastAsia" w:ascii="宋体" w:hAnsi="宋体"/>
          <w:color w:val="auto"/>
          <w:sz w:val="21"/>
          <w:szCs w:val="21"/>
          <w:highlight w:val="none"/>
        </w:rPr>
        <w:t>19.投标样品（如需提交）</w:t>
      </w:r>
      <w:bookmarkEnd w:id="103"/>
      <w:bookmarkEnd w:id="104"/>
      <w:bookmarkEnd w:id="105"/>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8"/>
        <w:widowControl w:val="0"/>
        <w:overflowPunct w:val="0"/>
        <w:rPr>
          <w:rFonts w:ascii="宋体" w:hAnsi="宋体"/>
          <w:color w:val="auto"/>
          <w:sz w:val="21"/>
          <w:szCs w:val="21"/>
          <w:highlight w:val="none"/>
        </w:rPr>
      </w:pPr>
      <w:bookmarkStart w:id="106" w:name="_Toc9777"/>
      <w:bookmarkStart w:id="107" w:name="_Toc7689"/>
      <w:bookmarkStart w:id="108" w:name="_Toc303084265"/>
      <w:bookmarkStart w:id="109" w:name="_Toc382049112"/>
      <w:bookmarkStart w:id="110" w:name="_Toc5900"/>
      <w:bookmarkStart w:id="111" w:name="_Toc23477"/>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8"/>
        <w:widowControl w:val="0"/>
        <w:overflowPunct w:val="0"/>
        <w:rPr>
          <w:rFonts w:ascii="宋体" w:hAnsi="宋体"/>
          <w:color w:val="auto"/>
          <w:sz w:val="21"/>
          <w:szCs w:val="21"/>
          <w:highlight w:val="none"/>
        </w:rPr>
      </w:pPr>
      <w:bookmarkStart w:id="112" w:name="_Toc6003"/>
      <w:bookmarkStart w:id="113" w:name="_Toc11133"/>
      <w:bookmarkStart w:id="114" w:name="_Toc15569"/>
      <w:r>
        <w:rPr>
          <w:rFonts w:hint="eastAsia" w:ascii="宋体" w:hAnsi="宋体"/>
          <w:color w:val="auto"/>
          <w:sz w:val="21"/>
          <w:szCs w:val="21"/>
          <w:highlight w:val="none"/>
        </w:rPr>
        <w:t>21.投标文件的补充、修改与撤回</w:t>
      </w:r>
      <w:bookmarkEnd w:id="112"/>
      <w:bookmarkEnd w:id="113"/>
      <w:bookmarkEnd w:id="114"/>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2"/>
        <w:rPr>
          <w:color w:val="auto"/>
          <w:highlight w:val="none"/>
        </w:rPr>
      </w:pPr>
    </w:p>
    <w:p>
      <w:pPr>
        <w:pStyle w:val="7"/>
        <w:spacing w:line="480" w:lineRule="auto"/>
        <w:jc w:val="center"/>
        <w:rPr>
          <w:rFonts w:ascii="宋体" w:hAnsi="宋体"/>
          <w:color w:val="auto"/>
          <w:highlight w:val="none"/>
        </w:rPr>
      </w:pPr>
      <w:bookmarkStart w:id="115" w:name="_Toc23466"/>
      <w:bookmarkStart w:id="116" w:name="_Toc5049"/>
      <w:bookmarkStart w:id="117" w:name="_Toc29574"/>
      <w:r>
        <w:rPr>
          <w:rFonts w:hint="eastAsia" w:ascii="宋体" w:hAnsi="宋体"/>
          <w:color w:val="auto"/>
          <w:highlight w:val="none"/>
        </w:rPr>
        <w:t>第五章开标与评标</w:t>
      </w:r>
      <w:bookmarkEnd w:id="115"/>
      <w:bookmarkEnd w:id="116"/>
      <w:bookmarkEnd w:id="117"/>
    </w:p>
    <w:p>
      <w:pPr>
        <w:pStyle w:val="8"/>
        <w:widowControl w:val="0"/>
        <w:overflowPunct w:val="0"/>
        <w:rPr>
          <w:rFonts w:ascii="宋体" w:hAnsi="宋体"/>
          <w:color w:val="auto"/>
          <w:sz w:val="21"/>
          <w:szCs w:val="21"/>
          <w:highlight w:val="none"/>
        </w:rPr>
      </w:pPr>
      <w:bookmarkStart w:id="118" w:name="_Toc28458"/>
      <w:bookmarkStart w:id="119" w:name="_Toc24251"/>
      <w:bookmarkStart w:id="120" w:name="_Toc27700"/>
      <w:r>
        <w:rPr>
          <w:rFonts w:hint="eastAsia" w:ascii="宋体" w:hAnsi="宋体"/>
          <w:color w:val="auto"/>
          <w:sz w:val="21"/>
          <w:szCs w:val="21"/>
          <w:highlight w:val="none"/>
        </w:rPr>
        <w:t>22.开标</w:t>
      </w:r>
      <w:bookmarkEnd w:id="118"/>
      <w:bookmarkEnd w:id="119"/>
      <w:bookmarkEnd w:id="120"/>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8"/>
        <w:widowControl w:val="0"/>
        <w:overflowPunct w:val="0"/>
        <w:rPr>
          <w:rFonts w:ascii="宋体" w:hAnsi="宋体"/>
          <w:color w:val="auto"/>
          <w:sz w:val="21"/>
          <w:szCs w:val="21"/>
          <w:highlight w:val="none"/>
        </w:rPr>
      </w:pPr>
      <w:bookmarkStart w:id="121" w:name="_Toc4921"/>
      <w:bookmarkStart w:id="122" w:name="_Toc5974"/>
      <w:bookmarkStart w:id="123" w:name="_Toc5524"/>
      <w:r>
        <w:rPr>
          <w:rFonts w:hint="eastAsia" w:ascii="宋体" w:hAnsi="宋体"/>
          <w:color w:val="auto"/>
          <w:sz w:val="21"/>
          <w:szCs w:val="21"/>
          <w:highlight w:val="none"/>
        </w:rPr>
        <w:t>23.评标委员会及评标方法</w:t>
      </w:r>
      <w:bookmarkEnd w:id="121"/>
      <w:bookmarkEnd w:id="122"/>
      <w:bookmarkEnd w:id="123"/>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8"/>
        <w:widowControl w:val="0"/>
        <w:overflowPunct w:val="0"/>
        <w:rPr>
          <w:rFonts w:ascii="宋体" w:hAnsi="宋体"/>
          <w:color w:val="auto"/>
          <w:sz w:val="21"/>
          <w:szCs w:val="21"/>
          <w:highlight w:val="none"/>
        </w:rPr>
      </w:pPr>
      <w:bookmarkStart w:id="124" w:name="_Toc26402"/>
      <w:bookmarkStart w:id="125" w:name="_Toc15231"/>
      <w:bookmarkStart w:id="126" w:name="_Toc32730"/>
      <w:r>
        <w:rPr>
          <w:rFonts w:hint="eastAsia" w:ascii="宋体" w:hAnsi="宋体"/>
          <w:color w:val="auto"/>
          <w:sz w:val="21"/>
          <w:szCs w:val="21"/>
          <w:highlight w:val="none"/>
        </w:rPr>
        <w:t>24.评审原则及评标过程的保密</w:t>
      </w:r>
      <w:bookmarkEnd w:id="124"/>
      <w:bookmarkEnd w:id="125"/>
      <w:bookmarkEnd w:id="126"/>
    </w:p>
    <w:p>
      <w:pPr>
        <w:pStyle w:val="34"/>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评审的基本原则：评标委员会将依据招标文件的规定，遵循“公开、公平、公正、择优、信用”的原则进行评审工作。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8"/>
        <w:widowControl w:val="0"/>
        <w:overflowPunct w:val="0"/>
        <w:rPr>
          <w:rFonts w:ascii="宋体" w:hAnsi="宋体"/>
          <w:color w:val="auto"/>
          <w:sz w:val="21"/>
          <w:szCs w:val="21"/>
          <w:highlight w:val="none"/>
        </w:rPr>
      </w:pPr>
      <w:bookmarkStart w:id="127" w:name="_Toc18436"/>
      <w:bookmarkStart w:id="128" w:name="_Toc3762"/>
      <w:bookmarkStart w:id="129" w:name="_Toc16745"/>
      <w:r>
        <w:rPr>
          <w:rFonts w:hint="eastAsia" w:ascii="宋体" w:hAnsi="宋体"/>
          <w:color w:val="auto"/>
          <w:sz w:val="21"/>
          <w:szCs w:val="21"/>
          <w:highlight w:val="none"/>
        </w:rPr>
        <w:t>25.投标文件的初审</w:t>
      </w:r>
      <w:bookmarkEnd w:id="127"/>
      <w:bookmarkEnd w:id="128"/>
      <w:bookmarkEnd w:id="129"/>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8"/>
        <w:widowControl w:val="0"/>
        <w:overflowPunct w:val="0"/>
        <w:rPr>
          <w:rFonts w:ascii="宋体" w:hAnsi="宋体"/>
          <w:color w:val="auto"/>
          <w:sz w:val="21"/>
          <w:szCs w:val="21"/>
          <w:highlight w:val="none"/>
        </w:rPr>
      </w:pPr>
      <w:bookmarkStart w:id="130" w:name="_Toc21742"/>
      <w:bookmarkStart w:id="131" w:name="_Toc27673"/>
      <w:bookmarkStart w:id="132" w:name="_Toc29184"/>
      <w:r>
        <w:rPr>
          <w:rFonts w:hint="eastAsia" w:ascii="宋体" w:hAnsi="宋体"/>
          <w:color w:val="auto"/>
          <w:sz w:val="21"/>
          <w:szCs w:val="21"/>
          <w:highlight w:val="none"/>
        </w:rPr>
        <w:t>26.商务、技术、价格评审（具体评审项目详见投标资料表）</w:t>
      </w:r>
      <w:bookmarkEnd w:id="130"/>
      <w:bookmarkEnd w:id="131"/>
      <w:bookmarkEnd w:id="132"/>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jc w:val="both"/>
        <w:rPr>
          <w:rFonts w:ascii="宋体" w:hAnsi="宋体"/>
          <w:color w:val="auto"/>
          <w:szCs w:val="21"/>
          <w:highlight w:val="none"/>
        </w:rPr>
      </w:pPr>
    </w:p>
    <w:p>
      <w:pPr>
        <w:pStyle w:val="8"/>
        <w:widowControl w:val="0"/>
        <w:overflowPunct w:val="0"/>
        <w:rPr>
          <w:rFonts w:ascii="宋体" w:hAnsi="宋体"/>
          <w:color w:val="auto"/>
          <w:sz w:val="21"/>
          <w:szCs w:val="21"/>
          <w:highlight w:val="none"/>
        </w:rPr>
      </w:pPr>
      <w:bookmarkStart w:id="133" w:name="_Toc316375620"/>
      <w:bookmarkStart w:id="134" w:name="_Toc31141"/>
      <w:bookmarkStart w:id="135" w:name="_Toc12115"/>
      <w:bookmarkStart w:id="136" w:name="_Toc22591"/>
      <w:bookmarkStart w:id="137" w:name="_Toc20328"/>
      <w:bookmarkStart w:id="138" w:name="_Toc382049120"/>
      <w:r>
        <w:rPr>
          <w:rFonts w:hint="eastAsia" w:ascii="宋体" w:hAnsi="宋体"/>
          <w:color w:val="auto"/>
          <w:sz w:val="21"/>
          <w:szCs w:val="21"/>
          <w:highlight w:val="none"/>
        </w:rPr>
        <w:t>27.纪律和</w:t>
      </w:r>
      <w:r>
        <w:rPr>
          <w:rFonts w:ascii="宋体" w:hAnsi="宋体"/>
          <w:color w:val="auto"/>
          <w:sz w:val="21"/>
          <w:szCs w:val="21"/>
          <w:highlight w:val="none"/>
        </w:rPr>
        <w:t>保密</w:t>
      </w:r>
      <w:bookmarkEnd w:id="133"/>
      <w:r>
        <w:rPr>
          <w:rFonts w:hint="eastAsia" w:ascii="宋体" w:hAnsi="宋体"/>
          <w:color w:val="auto"/>
          <w:sz w:val="21"/>
          <w:szCs w:val="21"/>
          <w:highlight w:val="none"/>
        </w:rPr>
        <w:t>事项</w:t>
      </w:r>
      <w:bookmarkEnd w:id="134"/>
      <w:bookmarkEnd w:id="135"/>
      <w:bookmarkEnd w:id="136"/>
      <w:bookmarkEnd w:id="137"/>
      <w:bookmarkEnd w:id="138"/>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7"/>
        <w:spacing w:line="480" w:lineRule="auto"/>
        <w:jc w:val="center"/>
        <w:rPr>
          <w:rFonts w:ascii="宋体" w:hAnsi="宋体"/>
          <w:color w:val="auto"/>
          <w:highlight w:val="none"/>
        </w:rPr>
      </w:pPr>
      <w:bookmarkStart w:id="139" w:name="_Toc5528"/>
      <w:bookmarkStart w:id="140" w:name="_Toc12251"/>
      <w:bookmarkStart w:id="141" w:name="_Toc29310"/>
      <w:r>
        <w:rPr>
          <w:rFonts w:hint="eastAsia" w:ascii="宋体" w:hAnsi="宋体"/>
          <w:color w:val="auto"/>
          <w:highlight w:val="none"/>
        </w:rPr>
        <w:t>第六章授予合同</w:t>
      </w:r>
      <w:bookmarkEnd w:id="139"/>
      <w:bookmarkEnd w:id="140"/>
      <w:bookmarkEnd w:id="141"/>
    </w:p>
    <w:p>
      <w:pPr>
        <w:pStyle w:val="8"/>
        <w:widowControl w:val="0"/>
        <w:overflowPunct w:val="0"/>
        <w:rPr>
          <w:rFonts w:ascii="宋体" w:hAnsi="宋体"/>
          <w:color w:val="auto"/>
          <w:sz w:val="21"/>
          <w:szCs w:val="21"/>
          <w:highlight w:val="none"/>
        </w:rPr>
      </w:pPr>
      <w:bookmarkStart w:id="142" w:name="_Toc508284011"/>
      <w:bookmarkStart w:id="143" w:name="_Toc17778"/>
      <w:bookmarkStart w:id="144" w:name="_Toc6696"/>
      <w:bookmarkStart w:id="145" w:name="_Toc27817"/>
      <w:r>
        <w:rPr>
          <w:rFonts w:hint="eastAsia" w:ascii="宋体" w:hAnsi="宋体"/>
          <w:color w:val="auto"/>
          <w:sz w:val="21"/>
          <w:szCs w:val="21"/>
          <w:highlight w:val="none"/>
        </w:rPr>
        <w:t>28.</w:t>
      </w:r>
      <w:r>
        <w:rPr>
          <w:rFonts w:ascii="宋体" w:hAnsi="宋体"/>
          <w:color w:val="auto"/>
          <w:sz w:val="21"/>
          <w:szCs w:val="21"/>
          <w:highlight w:val="none"/>
        </w:rPr>
        <w:t>合同授予标准</w:t>
      </w:r>
      <w:bookmarkEnd w:id="142"/>
      <w:bookmarkEnd w:id="143"/>
      <w:bookmarkEnd w:id="144"/>
      <w:bookmarkEnd w:id="145"/>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8"/>
        <w:widowControl w:val="0"/>
        <w:overflowPunct w:val="0"/>
        <w:rPr>
          <w:rFonts w:ascii="宋体" w:hAnsi="宋体"/>
          <w:color w:val="auto"/>
          <w:sz w:val="21"/>
          <w:szCs w:val="21"/>
          <w:highlight w:val="none"/>
        </w:rPr>
      </w:pPr>
      <w:bookmarkStart w:id="146" w:name="_Toc508284013"/>
      <w:bookmarkStart w:id="147" w:name="_Toc29283"/>
      <w:bookmarkStart w:id="148" w:name="_Toc12440"/>
      <w:bookmarkStart w:id="149" w:name="_Toc23136"/>
      <w:r>
        <w:rPr>
          <w:rFonts w:hint="eastAsia" w:ascii="宋体" w:hAnsi="宋体"/>
          <w:color w:val="auto"/>
          <w:sz w:val="21"/>
          <w:szCs w:val="21"/>
          <w:highlight w:val="none"/>
        </w:rPr>
        <w:t>29.发布采购结果</w:t>
      </w:r>
      <w:bookmarkEnd w:id="146"/>
      <w:bookmarkEnd w:id="147"/>
      <w:bookmarkEnd w:id="148"/>
      <w:bookmarkEnd w:id="149"/>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6"/>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6"/>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6"/>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6"/>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6"/>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8"/>
        <w:widowControl w:val="0"/>
        <w:overflowPunct w:val="0"/>
        <w:rPr>
          <w:rFonts w:ascii="宋体" w:hAnsi="宋体"/>
          <w:color w:val="auto"/>
          <w:sz w:val="21"/>
          <w:szCs w:val="21"/>
          <w:highlight w:val="none"/>
        </w:rPr>
      </w:pPr>
      <w:bookmarkStart w:id="150" w:name="_Toc22262"/>
      <w:bookmarkStart w:id="151" w:name="_Toc22451"/>
      <w:bookmarkStart w:id="152" w:name="_Toc27279"/>
      <w:r>
        <w:rPr>
          <w:rFonts w:hint="eastAsia" w:ascii="宋体" w:hAnsi="宋体"/>
          <w:color w:val="auto"/>
          <w:sz w:val="21"/>
          <w:szCs w:val="21"/>
          <w:highlight w:val="none"/>
        </w:rPr>
        <w:t>30.合同的签订与履行</w:t>
      </w:r>
      <w:bookmarkEnd w:id="150"/>
      <w:bookmarkEnd w:id="151"/>
      <w:bookmarkEnd w:id="152"/>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中标人拒绝与采购人签订合同的，采购人可以按照评审报告推荐的中标候选人名单排序，确定下一候选人为中标人，也可以重新开展采购活动。</w:t>
      </w:r>
    </w:p>
    <w:p>
      <w:pPr>
        <w:rPr>
          <w:color w:val="auto"/>
          <w:highlight w:val="none"/>
        </w:rPr>
      </w:pPr>
    </w:p>
    <w:p>
      <w:pPr>
        <w:pStyle w:val="8"/>
        <w:widowControl w:val="0"/>
        <w:overflowPunct w:val="0"/>
        <w:rPr>
          <w:rFonts w:ascii="宋体" w:hAnsi="宋体"/>
          <w:color w:val="auto"/>
          <w:sz w:val="21"/>
          <w:szCs w:val="21"/>
          <w:highlight w:val="none"/>
        </w:rPr>
      </w:pPr>
      <w:bookmarkStart w:id="153" w:name="_Toc25756"/>
      <w:bookmarkStart w:id="154" w:name="_Toc7405"/>
      <w:bookmarkStart w:id="155" w:name="_Toc2744"/>
      <w:bookmarkStart w:id="156" w:name="_Toc303084277"/>
      <w:bookmarkStart w:id="157" w:name="_Toc29009"/>
      <w:bookmarkStart w:id="158" w:name="_Toc382049124"/>
      <w:r>
        <w:rPr>
          <w:rFonts w:hint="eastAsia" w:ascii="宋体" w:hAnsi="宋体"/>
          <w:color w:val="auto"/>
          <w:sz w:val="21"/>
          <w:szCs w:val="21"/>
          <w:highlight w:val="none"/>
        </w:rPr>
        <w:t>31.</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3"/>
      <w:bookmarkEnd w:id="154"/>
      <w:bookmarkEnd w:id="155"/>
      <w:bookmarkEnd w:id="156"/>
      <w:bookmarkEnd w:id="157"/>
      <w:bookmarkEnd w:id="158"/>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7"/>
        <w:spacing w:line="480" w:lineRule="auto"/>
        <w:jc w:val="center"/>
        <w:rPr>
          <w:rFonts w:ascii="宋体" w:hAnsi="宋体"/>
          <w:color w:val="auto"/>
          <w:highlight w:val="none"/>
        </w:rPr>
      </w:pPr>
      <w:bookmarkStart w:id="159" w:name="_Toc7360"/>
      <w:bookmarkStart w:id="160" w:name="_Toc20699"/>
      <w:bookmarkStart w:id="161" w:name="_Toc13694"/>
      <w:r>
        <w:rPr>
          <w:rFonts w:hint="eastAsia" w:ascii="宋体" w:hAnsi="宋体"/>
          <w:color w:val="auto"/>
          <w:highlight w:val="none"/>
        </w:rPr>
        <w:t>第七章询问或质疑</w:t>
      </w:r>
      <w:bookmarkEnd w:id="159"/>
      <w:bookmarkEnd w:id="160"/>
      <w:bookmarkEnd w:id="161"/>
    </w:p>
    <w:p>
      <w:pPr>
        <w:pStyle w:val="8"/>
        <w:widowControl w:val="0"/>
        <w:overflowPunct w:val="0"/>
        <w:rPr>
          <w:rFonts w:ascii="宋体" w:hAnsi="宋体"/>
          <w:color w:val="auto"/>
          <w:sz w:val="21"/>
          <w:szCs w:val="21"/>
          <w:highlight w:val="none"/>
        </w:rPr>
      </w:pPr>
      <w:bookmarkStart w:id="162" w:name="_Toc17974"/>
      <w:bookmarkStart w:id="163" w:name="_Toc25498"/>
      <w:bookmarkStart w:id="164" w:name="_Toc22900"/>
      <w:r>
        <w:rPr>
          <w:rFonts w:hint="eastAsia" w:ascii="宋体" w:hAnsi="宋体"/>
          <w:color w:val="auto"/>
          <w:sz w:val="21"/>
          <w:szCs w:val="21"/>
          <w:highlight w:val="none"/>
        </w:rPr>
        <w:t>32.询问</w:t>
      </w:r>
      <w:bookmarkEnd w:id="162"/>
      <w:bookmarkEnd w:id="163"/>
      <w:bookmarkEnd w:id="164"/>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color w:val="auto"/>
          <w:szCs w:val="21"/>
          <w:highlight w:val="none"/>
        </w:rPr>
      </w:pPr>
    </w:p>
    <w:p>
      <w:pPr>
        <w:pStyle w:val="8"/>
        <w:widowControl w:val="0"/>
        <w:overflowPunct w:val="0"/>
        <w:rPr>
          <w:rFonts w:ascii="宋体" w:hAnsi="宋体"/>
          <w:color w:val="auto"/>
          <w:sz w:val="21"/>
          <w:szCs w:val="21"/>
          <w:highlight w:val="none"/>
        </w:rPr>
      </w:pPr>
      <w:bookmarkStart w:id="165" w:name="_Toc11264"/>
      <w:bookmarkStart w:id="166" w:name="_Toc2767"/>
      <w:bookmarkStart w:id="167" w:name="_Toc8234"/>
      <w:r>
        <w:rPr>
          <w:rFonts w:hint="eastAsia" w:ascii="宋体" w:hAnsi="宋体"/>
          <w:color w:val="auto"/>
          <w:sz w:val="21"/>
          <w:szCs w:val="21"/>
          <w:highlight w:val="none"/>
        </w:rPr>
        <w:t>33.质疑</w:t>
      </w:r>
      <w:bookmarkEnd w:id="165"/>
      <w:bookmarkEnd w:id="166"/>
      <w:bookmarkEnd w:id="167"/>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以联合体形式参加采购活动的，其质疑应当由组成联合体的所有投标人共同提出。</w:t>
      </w:r>
    </w:p>
    <w:p>
      <w:pPr>
        <w:rPr>
          <w:color w:val="auto"/>
          <w:highlight w:val="none"/>
        </w:rPr>
      </w:pPr>
    </w:p>
    <w:p>
      <w:pPr>
        <w:pStyle w:val="7"/>
        <w:spacing w:line="480" w:lineRule="auto"/>
        <w:jc w:val="center"/>
        <w:rPr>
          <w:rFonts w:ascii="宋体" w:hAnsi="宋体"/>
          <w:color w:val="auto"/>
          <w:highlight w:val="none"/>
        </w:rPr>
      </w:pPr>
      <w:bookmarkStart w:id="168" w:name="_Toc24383"/>
      <w:bookmarkStart w:id="169" w:name="_Toc5690"/>
      <w:bookmarkStart w:id="170" w:name="_Toc8919"/>
      <w:r>
        <w:rPr>
          <w:rFonts w:hint="eastAsia" w:ascii="宋体" w:hAnsi="宋体"/>
          <w:color w:val="auto"/>
          <w:highlight w:val="none"/>
        </w:rPr>
        <w:t>第八章其他</w:t>
      </w:r>
      <w:bookmarkEnd w:id="168"/>
      <w:bookmarkEnd w:id="169"/>
      <w:bookmarkEnd w:id="170"/>
    </w:p>
    <w:p>
      <w:pPr>
        <w:pStyle w:val="8"/>
        <w:widowControl w:val="0"/>
        <w:overflowPunct w:val="0"/>
        <w:rPr>
          <w:rFonts w:ascii="宋体" w:hAnsi="宋体"/>
          <w:color w:val="auto"/>
          <w:sz w:val="21"/>
          <w:szCs w:val="21"/>
          <w:highlight w:val="none"/>
        </w:rPr>
      </w:pPr>
      <w:bookmarkStart w:id="171" w:name="_Toc21187"/>
      <w:bookmarkStart w:id="172" w:name="_Toc6548"/>
      <w:bookmarkStart w:id="173" w:name="_Toc10082"/>
      <w:r>
        <w:rPr>
          <w:rFonts w:hint="eastAsia" w:ascii="宋体" w:hAnsi="宋体"/>
          <w:color w:val="auto"/>
          <w:sz w:val="21"/>
          <w:szCs w:val="21"/>
          <w:highlight w:val="none"/>
        </w:rPr>
        <w:t>34.招标文件的解释权</w:t>
      </w:r>
      <w:bookmarkEnd w:id="171"/>
      <w:bookmarkEnd w:id="172"/>
      <w:bookmarkEnd w:id="173"/>
    </w:p>
    <w:p>
      <w:pPr>
        <w:pStyle w:val="34"/>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招标文件版本号：广东政通20220406。</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6"/>
        <w:spacing w:before="0" w:after="0" w:line="240" w:lineRule="auto"/>
        <w:rPr>
          <w:color w:val="auto"/>
          <w:sz w:val="28"/>
          <w:szCs w:val="28"/>
          <w:highlight w:val="none"/>
        </w:rPr>
      </w:pPr>
      <w:bookmarkStart w:id="174" w:name="_Toc7011"/>
      <w:bookmarkStart w:id="175" w:name="_Toc31854"/>
      <w:bookmarkStart w:id="176" w:name="_Toc382"/>
      <w:r>
        <w:rPr>
          <w:rFonts w:hint="eastAsia"/>
          <w:color w:val="auto"/>
          <w:sz w:val="28"/>
          <w:szCs w:val="28"/>
          <w:highlight w:val="none"/>
        </w:rPr>
        <w:t>第五部分 用户需求书</w:t>
      </w:r>
      <w:bookmarkEnd w:id="174"/>
      <w:bookmarkEnd w:id="175"/>
      <w:bookmarkEnd w:id="176"/>
    </w:p>
    <w:p>
      <w:pPr>
        <w:pStyle w:val="7"/>
        <w:jc w:val="center"/>
        <w:rPr>
          <w:rFonts w:ascii="宋体" w:hAnsi="宋体"/>
          <w:color w:val="auto"/>
          <w:highlight w:val="none"/>
        </w:rPr>
      </w:pPr>
      <w:bookmarkStart w:id="177" w:name="_Toc1593"/>
      <w:bookmarkStart w:id="178" w:name="_Toc19316"/>
      <w:r>
        <w:rPr>
          <w:rFonts w:hint="eastAsia" w:ascii="宋体" w:hAnsi="宋体"/>
          <w:color w:val="auto"/>
          <w:highlight w:val="none"/>
        </w:rPr>
        <w:t>第一章 商务需求书</w:t>
      </w:r>
      <w:bookmarkEnd w:id="177"/>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81"/>
        <w:gridCol w:w="1448"/>
        <w:gridCol w:w="63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4" w:hRule="atLeast"/>
        </w:trPr>
        <w:tc>
          <w:tcPr>
            <w:tcW w:w="681" w:type="dxa"/>
            <w:vAlign w:val="center"/>
          </w:tcPr>
          <w:p>
            <w:pPr>
              <w:spacing w:before="72" w:beforeLines="20" w:after="72" w:afterLines="20"/>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序号</w:t>
            </w:r>
          </w:p>
        </w:tc>
        <w:tc>
          <w:tcPr>
            <w:tcW w:w="1448" w:type="dxa"/>
            <w:vAlign w:val="center"/>
          </w:tcPr>
          <w:p>
            <w:pPr>
              <w:spacing w:before="72" w:beforeLines="20" w:after="72" w:afterLines="20"/>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条款名称</w:t>
            </w:r>
          </w:p>
        </w:tc>
        <w:tc>
          <w:tcPr>
            <w:tcW w:w="6393" w:type="dxa"/>
            <w:vAlign w:val="center"/>
          </w:tcPr>
          <w:p>
            <w:pPr>
              <w:spacing w:before="72" w:beforeLines="20" w:after="72" w:afterLines="20"/>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681" w:type="dxa"/>
            <w:vAlign w:val="center"/>
          </w:tcPr>
          <w:p>
            <w:pPr>
              <w:spacing w:before="72" w:beforeLines="20" w:after="72" w:afterLines="2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c>
          <w:tcPr>
            <w:tcW w:w="1448" w:type="dxa"/>
            <w:vAlign w:val="center"/>
          </w:tcPr>
          <w:p>
            <w:pPr>
              <w:spacing w:before="72" w:beforeLines="20" w:after="72" w:afterLines="2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服务期</w:t>
            </w:r>
          </w:p>
        </w:tc>
        <w:tc>
          <w:tcPr>
            <w:tcW w:w="6393" w:type="dxa"/>
            <w:vAlign w:val="center"/>
          </w:tcPr>
          <w:p>
            <w:pPr>
              <w:widowControl w:val="0"/>
              <w:tabs>
                <w:tab w:val="left" w:pos="360"/>
              </w:tabs>
              <w:adjustRightInd/>
              <w:snapToGrid/>
              <w:spacing w:before="72" w:beforeLines="20" w:after="72" w:afterLines="20" w:line="288" w:lineRule="auto"/>
              <w:ind w:firstLine="420" w:firstLineChars="200"/>
              <w:rPr>
                <w:rFonts w:ascii="Times New Roman" w:hAnsi="Times New Roman" w:cs="Times New Roman"/>
                <w:b/>
                <w:bCs/>
                <w:color w:val="auto"/>
                <w:kern w:val="2"/>
                <w:szCs w:val="21"/>
                <w:highlight w:val="none"/>
              </w:rPr>
            </w:pPr>
            <w:r>
              <w:rPr>
                <w:rFonts w:ascii="Times New Roman" w:hAnsi="Times New Roman" w:cs="Times New Roman"/>
                <w:color w:val="auto"/>
                <w:szCs w:val="21"/>
                <w:highlight w:val="none"/>
              </w:rPr>
              <w:t>本项目服务期为</w:t>
            </w:r>
            <w:r>
              <w:rPr>
                <w:rFonts w:hint="eastAsia" w:ascii="Times New Roman" w:hAnsi="Times New Roman" w:cs="Times New Roman"/>
                <w:color w:val="auto"/>
                <w:szCs w:val="21"/>
                <w:highlight w:val="none"/>
              </w:rPr>
              <w:t>一年。</w:t>
            </w:r>
            <w:r>
              <w:rPr>
                <w:rFonts w:ascii="Times New Roman" w:hAnsi="Times New Roman" w:cs="Times New Roman"/>
                <w:color w:val="auto"/>
                <w:szCs w:val="21"/>
                <w:highlight w:val="none"/>
              </w:rPr>
              <w:t>（具体时间以签订合同时间为准）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4" w:hRule="atLeast"/>
        </w:trPr>
        <w:tc>
          <w:tcPr>
            <w:tcW w:w="681" w:type="dxa"/>
            <w:vAlign w:val="center"/>
          </w:tcPr>
          <w:p>
            <w:pPr>
              <w:spacing w:before="72" w:beforeLines="20" w:after="72" w:afterLines="2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w:t>
            </w:r>
          </w:p>
        </w:tc>
        <w:tc>
          <w:tcPr>
            <w:tcW w:w="1448" w:type="dxa"/>
            <w:vAlign w:val="center"/>
          </w:tcPr>
          <w:p>
            <w:pPr>
              <w:spacing w:before="72" w:beforeLines="20" w:after="72" w:afterLines="2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服务地点</w:t>
            </w:r>
          </w:p>
        </w:tc>
        <w:tc>
          <w:tcPr>
            <w:tcW w:w="6393" w:type="dxa"/>
            <w:vAlign w:val="center"/>
          </w:tcPr>
          <w:p>
            <w:pPr>
              <w:spacing w:before="72" w:beforeLines="20" w:after="72" w:afterLines="20" w:line="288"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采购人指定的地点。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00" w:hRule="atLeast"/>
        </w:trPr>
        <w:tc>
          <w:tcPr>
            <w:tcW w:w="681" w:type="dxa"/>
            <w:vAlign w:val="center"/>
          </w:tcPr>
          <w:p>
            <w:pPr>
              <w:spacing w:before="72" w:beforeLines="20" w:after="72" w:afterLines="2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w:t>
            </w:r>
          </w:p>
        </w:tc>
        <w:tc>
          <w:tcPr>
            <w:tcW w:w="1448" w:type="dxa"/>
            <w:vAlign w:val="center"/>
          </w:tcPr>
          <w:p>
            <w:pPr>
              <w:spacing w:before="72" w:beforeLines="20" w:after="72" w:afterLines="2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付款方式</w:t>
            </w:r>
          </w:p>
        </w:tc>
        <w:tc>
          <w:tcPr>
            <w:tcW w:w="6393" w:type="dxa"/>
            <w:shd w:val="clear" w:color="auto" w:fill="auto"/>
            <w:vAlign w:val="center"/>
          </w:tcPr>
          <w:p>
            <w:pPr>
              <w:spacing w:before="72" w:beforeLines="20" w:after="72" w:afterLines="20" w:line="288" w:lineRule="auto"/>
              <w:ind w:firstLine="420" w:firstLineChars="200"/>
              <w:rPr>
                <w:rFonts w:cs="Times New Roman" w:asciiTheme="minorEastAsia" w:hAnsiTheme="minorEastAsia" w:eastAsiaTheme="minorEastAsia"/>
                <w:color w:val="auto"/>
                <w:szCs w:val="21"/>
                <w:highlight w:val="none"/>
              </w:rPr>
            </w:pPr>
            <w:r>
              <w:rPr>
                <w:rFonts w:hint="eastAsia" w:cs="Times New Roman" w:asciiTheme="minorEastAsia" w:hAnsiTheme="minorEastAsia" w:eastAsiaTheme="minorEastAsia"/>
                <w:color w:val="auto"/>
                <w:szCs w:val="21"/>
                <w:highlight w:val="none"/>
              </w:rPr>
              <w:t>①具体流程为：中标单位10日前向采购人提供上个月的工资数据，将相关数据资料交采购人核对确认；每月15日前，采购人向中标单位支付上月应付服务费用。（注：中标人须在采购人办理付款手续之前10个工作日内，提供增值税专用发票给采购人，以便采购人及时办理付款手续，发票税金由采购人支付。）</w:t>
            </w:r>
          </w:p>
          <w:p>
            <w:pPr>
              <w:spacing w:before="72" w:beforeLines="20" w:after="72" w:afterLines="20" w:line="288" w:lineRule="auto"/>
              <w:ind w:firstLine="420" w:firstLineChars="200"/>
              <w:rPr>
                <w:rFonts w:ascii="Times New Roman" w:hAnsi="Times New Roman" w:cs="Times New Roman"/>
                <w:color w:val="auto"/>
                <w:szCs w:val="21"/>
                <w:highlight w:val="none"/>
              </w:rPr>
            </w:pPr>
            <w:r>
              <w:rPr>
                <w:rFonts w:hint="eastAsia" w:cs="Times New Roman" w:asciiTheme="minorEastAsia" w:hAnsiTheme="minorEastAsia" w:eastAsiaTheme="minorEastAsia"/>
                <w:color w:val="auto"/>
                <w:szCs w:val="21"/>
                <w:highlight w:val="none"/>
              </w:rPr>
              <w:t>②付款额度以采购人当年供给标准和实际服务为依据。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41" w:hRule="atLeast"/>
        </w:trPr>
        <w:tc>
          <w:tcPr>
            <w:tcW w:w="681" w:type="dxa"/>
            <w:vAlign w:val="center"/>
          </w:tcPr>
          <w:p>
            <w:pPr>
              <w:spacing w:before="72" w:beforeLines="20" w:after="72" w:afterLines="2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w:t>
            </w:r>
          </w:p>
        </w:tc>
        <w:tc>
          <w:tcPr>
            <w:tcW w:w="1448" w:type="dxa"/>
            <w:vAlign w:val="center"/>
          </w:tcPr>
          <w:p>
            <w:pPr>
              <w:spacing w:before="72" w:beforeLines="20" w:after="72" w:afterLines="20"/>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报价要求</w:t>
            </w:r>
          </w:p>
        </w:tc>
        <w:tc>
          <w:tcPr>
            <w:tcW w:w="6393" w:type="dxa"/>
            <w:vAlign w:val="center"/>
          </w:tcPr>
          <w:p>
            <w:pPr>
              <w:numPr>
                <w:ilvl w:val="0"/>
                <w:numId w:val="8"/>
              </w:numPr>
              <w:spacing w:before="72" w:beforeLines="20" w:after="72" w:afterLines="20" w:line="288" w:lineRule="auto"/>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投标报价包含所有业务的服务费用。</w:t>
            </w:r>
          </w:p>
          <w:p>
            <w:pPr>
              <w:numPr>
                <w:ilvl w:val="0"/>
                <w:numId w:val="8"/>
              </w:numPr>
              <w:spacing w:before="72" w:beforeLines="20" w:after="72" w:afterLines="20" w:line="288" w:lineRule="auto"/>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由投标人自主报价。</w:t>
            </w:r>
          </w:p>
          <w:p>
            <w:pPr>
              <w:numPr>
                <w:ilvl w:val="0"/>
                <w:numId w:val="8"/>
              </w:numPr>
              <w:spacing w:before="72" w:beforeLines="20" w:after="72" w:afterLines="20" w:line="288" w:lineRule="auto"/>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本项目最高限价为人民币</w:t>
            </w:r>
            <w:r>
              <w:rPr>
                <w:rFonts w:hint="eastAsia" w:ascii="宋体" w:hAnsi="宋体"/>
                <w:b/>
                <w:color w:val="auto"/>
                <w:szCs w:val="21"/>
                <w:highlight w:val="none"/>
                <w:u w:val="single"/>
              </w:rPr>
              <w:t>1,500,000.00</w:t>
            </w:r>
            <w:r>
              <w:rPr>
                <w:rFonts w:hint="eastAsia" w:ascii="宋体" w:hAnsi="宋体"/>
                <w:color w:val="auto"/>
                <w:szCs w:val="21"/>
                <w:highlight w:val="none"/>
              </w:rPr>
              <w:t>元</w:t>
            </w:r>
            <w:r>
              <w:rPr>
                <w:rFonts w:hint="eastAsia" w:ascii="Times New Roman" w:hAnsi="Times New Roman" w:cs="Times New Roman"/>
                <w:color w:val="auto"/>
                <w:szCs w:val="21"/>
                <w:highlight w:val="none"/>
              </w:rPr>
              <w:t>，投标报价不得超过最高限价。</w:t>
            </w:r>
          </w:p>
          <w:p>
            <w:pPr>
              <w:numPr>
                <w:ilvl w:val="0"/>
                <w:numId w:val="8"/>
              </w:numPr>
              <w:spacing w:before="72" w:beforeLines="20" w:after="72" w:afterLines="20" w:line="288" w:lineRule="auto"/>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视业务量情况，双方可据实际情况，在遵守相关法律法规前提下，双方签订补充协议，以实际产生发生为准，按实际执行。</w:t>
            </w:r>
          </w:p>
          <w:p>
            <w:pPr>
              <w:numPr>
                <w:ilvl w:val="0"/>
                <w:numId w:val="8"/>
              </w:numPr>
              <w:spacing w:before="72" w:beforeLines="20" w:after="72" w:afterLines="20" w:line="288" w:lineRule="auto"/>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本项目总预算应包含完成本次招标所有服务内容费用。</w:t>
            </w:r>
          </w:p>
          <w:p>
            <w:pPr>
              <w:numPr>
                <w:ilvl w:val="0"/>
                <w:numId w:val="8"/>
              </w:numPr>
              <w:spacing w:before="72" w:beforeLines="20" w:after="72" w:afterLines="20" w:line="288" w:lineRule="auto"/>
              <w:rPr>
                <w:rFonts w:ascii="Times New Roman" w:hAnsi="Times New Roman" w:cs="Times New Roman"/>
                <w:bCs/>
                <w:color w:val="auto"/>
                <w:kern w:val="2"/>
                <w:szCs w:val="21"/>
                <w:highlight w:val="none"/>
              </w:rPr>
            </w:pPr>
            <w:r>
              <w:rPr>
                <w:rFonts w:hint="eastAsia" w:ascii="Times New Roman" w:hAnsi="Times New Roman" w:cs="Times New Roman"/>
                <w:color w:val="auto"/>
                <w:szCs w:val="21"/>
                <w:highlight w:val="none"/>
              </w:rPr>
              <w:t>中标后，采购人每个月按实际</w:t>
            </w:r>
            <w:r>
              <w:rPr>
                <w:rFonts w:hint="eastAsia" w:ascii="Times New Roman" w:hAnsi="Times New Roman" w:cs="Times New Roman"/>
                <w:bCs/>
                <w:color w:val="auto"/>
                <w:kern w:val="2"/>
                <w:szCs w:val="21"/>
                <w:highlight w:val="none"/>
              </w:rPr>
              <w:t>产生的费用进行支付，并非一次性支付中标价。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9" w:hRule="atLeast"/>
        </w:trPr>
        <w:tc>
          <w:tcPr>
            <w:tcW w:w="681" w:type="dxa"/>
            <w:vAlign w:val="center"/>
          </w:tcPr>
          <w:p>
            <w:pPr>
              <w:spacing w:before="72" w:beforeLines="20" w:after="72" w:afterLines="2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w:t>
            </w:r>
          </w:p>
        </w:tc>
        <w:tc>
          <w:tcPr>
            <w:tcW w:w="1448" w:type="dxa"/>
            <w:vAlign w:val="center"/>
          </w:tcPr>
          <w:p>
            <w:pPr>
              <w:spacing w:before="72" w:beforeLines="20" w:after="72" w:afterLines="2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合同条款</w:t>
            </w:r>
          </w:p>
        </w:tc>
        <w:tc>
          <w:tcPr>
            <w:tcW w:w="6393" w:type="dxa"/>
            <w:vAlign w:val="center"/>
          </w:tcPr>
          <w:p>
            <w:pPr>
              <w:spacing w:before="72" w:beforeLines="20" w:after="72" w:afterLines="20" w:line="288" w:lineRule="auto"/>
              <w:ind w:firstLine="420" w:firstLineChars="200"/>
              <w:rPr>
                <w:rFonts w:ascii="Times New Roman" w:hAnsi="Times New Roman" w:cs="Times New Roman"/>
                <w:color w:val="auto"/>
                <w:szCs w:val="21"/>
                <w:highlight w:val="none"/>
              </w:rPr>
            </w:pPr>
            <w:r>
              <w:rPr>
                <w:rFonts w:ascii="Times New Roman" w:hAnsi="Times New Roman" w:cs="Times New Roman"/>
                <w:color w:val="auto"/>
                <w:szCs w:val="21"/>
                <w:highlight w:val="none"/>
              </w:rPr>
              <w:t>投标人实质响应合同条款。</w:t>
            </w:r>
          </w:p>
        </w:tc>
      </w:tr>
    </w:tbl>
    <w:p>
      <w:pPr>
        <w:rPr>
          <w:color w:val="auto"/>
          <w:highlight w:val="none"/>
        </w:rPr>
      </w:pPr>
    </w:p>
    <w:p>
      <w:pPr>
        <w:pStyle w:val="2"/>
        <w:rPr>
          <w:color w:val="auto"/>
          <w:highlight w:val="none"/>
          <w:lang w:val="en-US"/>
        </w:rPr>
      </w:pPr>
    </w:p>
    <w:p>
      <w:pPr>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pStyle w:val="7"/>
        <w:jc w:val="center"/>
        <w:rPr>
          <w:rFonts w:ascii="宋体" w:hAnsi="宋体"/>
          <w:color w:val="auto"/>
          <w:sz w:val="24"/>
          <w:highlight w:val="none"/>
        </w:rPr>
      </w:pPr>
      <w:r>
        <w:rPr>
          <w:rFonts w:hint="eastAsia" w:ascii="宋体" w:hAnsi="宋体"/>
          <w:color w:val="auto"/>
          <w:highlight w:val="none"/>
        </w:rPr>
        <w:t>第二章 技术需求书</w:t>
      </w:r>
      <w:bookmarkEnd w:id="178"/>
    </w:p>
    <w:p>
      <w:pPr>
        <w:pStyle w:val="8"/>
        <w:rPr>
          <w:color w:val="auto"/>
          <w:highlight w:val="none"/>
        </w:rPr>
      </w:pPr>
      <w:bookmarkStart w:id="179" w:name="_Toc72762535"/>
      <w:bookmarkStart w:id="180" w:name="_Toc29308826"/>
      <w:bookmarkStart w:id="181" w:name="_Toc72762904"/>
      <w:bookmarkStart w:id="182" w:name="_Toc74213095"/>
      <w:bookmarkStart w:id="183" w:name="_Toc31278"/>
      <w:bookmarkStart w:id="184" w:name="_Toc24679"/>
      <w:bookmarkStart w:id="185" w:name="_Toc14462"/>
      <w:bookmarkStart w:id="186" w:name="_Toc13112"/>
      <w:r>
        <w:rPr>
          <w:rFonts w:hint="eastAsia"/>
          <w:color w:val="auto"/>
          <w:highlight w:val="none"/>
        </w:rPr>
        <w:t>一、服务内容</w:t>
      </w:r>
      <w:bookmarkEnd w:id="179"/>
      <w:bookmarkEnd w:id="180"/>
      <w:bookmarkEnd w:id="181"/>
      <w:bookmarkEnd w:id="182"/>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服务场所简介：广东省盐业集团东莞有限公司本部位于东莞市莞城街道东城西路172号111,办公区域面积约为700平方米；配送中心位于茶山镇南社村中铁二局集团物资有限公司（盐业公司），办公区域、宿舍、仓库面积合计约为5169平方米。</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1065"/>
        <w:gridCol w:w="1065"/>
        <w:gridCol w:w="1065"/>
        <w:gridCol w:w="1065"/>
        <w:gridCol w:w="1066"/>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301" w:type="dxa"/>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服务地点</w:t>
            </w:r>
          </w:p>
        </w:tc>
        <w:tc>
          <w:tcPr>
            <w:tcW w:w="2605" w:type="dxa"/>
            <w:gridSpan w:val="2"/>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公司本部</w:t>
            </w:r>
          </w:p>
        </w:tc>
        <w:tc>
          <w:tcPr>
            <w:tcW w:w="6515" w:type="dxa"/>
            <w:gridSpan w:val="5"/>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茶山配送中心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301" w:type="dxa"/>
            <w:vAlign w:val="center"/>
          </w:tcPr>
          <w:p>
            <w:pPr>
              <w:jc w:val="center"/>
              <w:rPr>
                <w:rFonts w:ascii="宋体" w:hAnsi="宋体" w:cs="宋体"/>
                <w:b/>
                <w:color w:val="auto"/>
                <w:szCs w:val="21"/>
                <w:highlight w:val="none"/>
              </w:rPr>
            </w:pPr>
            <w:r>
              <w:rPr>
                <w:rFonts w:hint="eastAsia" w:ascii="宋体" w:hAnsi="宋体" w:cs="宋体"/>
                <w:b/>
                <w:color w:val="auto"/>
                <w:szCs w:val="21"/>
                <w:highlight w:val="none"/>
              </w:rPr>
              <w:t>服务项目</w:t>
            </w:r>
          </w:p>
        </w:tc>
        <w:tc>
          <w:tcPr>
            <w:tcW w:w="1302"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厨房业务</w:t>
            </w:r>
          </w:p>
        </w:tc>
        <w:tc>
          <w:tcPr>
            <w:tcW w:w="130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清洁业务</w:t>
            </w:r>
          </w:p>
        </w:tc>
        <w:tc>
          <w:tcPr>
            <w:tcW w:w="130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电工业务</w:t>
            </w:r>
          </w:p>
        </w:tc>
        <w:tc>
          <w:tcPr>
            <w:tcW w:w="130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叉车业务</w:t>
            </w:r>
          </w:p>
        </w:tc>
        <w:tc>
          <w:tcPr>
            <w:tcW w:w="130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仓库后勤业务</w:t>
            </w:r>
          </w:p>
        </w:tc>
        <w:tc>
          <w:tcPr>
            <w:tcW w:w="130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配送业务</w:t>
            </w:r>
          </w:p>
        </w:tc>
        <w:tc>
          <w:tcPr>
            <w:tcW w:w="1303"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打码业务</w:t>
            </w:r>
          </w:p>
        </w:tc>
      </w:tr>
    </w:tbl>
    <w:p>
      <w:pPr>
        <w:rPr>
          <w:rFonts w:ascii="宋体" w:hAnsi="宋体" w:cs="宋体"/>
          <w:b/>
          <w:color w:val="auto"/>
          <w:szCs w:val="21"/>
          <w:highlight w:val="none"/>
        </w:rPr>
      </w:pPr>
      <w:r>
        <w:rPr>
          <w:rFonts w:hint="eastAsia" w:ascii="宋体" w:hAnsi="宋体" w:cs="宋体"/>
          <w:b/>
          <w:color w:val="auto"/>
          <w:szCs w:val="21"/>
          <w:highlight w:val="none"/>
        </w:rPr>
        <w:t>A、公司本部</w:t>
      </w:r>
    </w:p>
    <w:p>
      <w:pPr>
        <w:ind w:left="-720" w:firstLine="632" w:firstLineChars="300"/>
        <w:rPr>
          <w:rFonts w:ascii="宋体" w:hAnsi="宋体" w:cs="宋体"/>
          <w:b/>
          <w:color w:val="auto"/>
          <w:szCs w:val="21"/>
          <w:highlight w:val="none"/>
        </w:rPr>
      </w:pPr>
      <w:r>
        <w:rPr>
          <w:rFonts w:hint="eastAsia" w:ascii="宋体" w:hAnsi="宋体" w:cs="宋体"/>
          <w:b/>
          <w:color w:val="auto"/>
          <w:szCs w:val="21"/>
          <w:highlight w:val="none"/>
        </w:rPr>
        <w:t>（1）厨房业务</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工作内容及要求：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①食堂菜系为粤菜。用餐人数:早午约25人、晚约10人。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②中标人负责工作日内公司食堂的日常工作，保证饭菜质量。包括员工食堂的烹调制作、不定时的围餐接待工作。要求提前一周制定每日早午晚菜单，合理采购食品，控制成本，并对食品质量进行把关，做好申购和验收，工作中按规操作、注意安全、防止工伤、火灾事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③维护食堂环境卫生、个人卫生，做好每日碗筷的清洗消毒和食堂区域范围内的卫生清洁工作。确保无卫生死角，确保食物存放整洁，炊具放置有序。</w:t>
      </w:r>
    </w:p>
    <w:p>
      <w:pPr>
        <w:ind w:left="-720" w:firstLine="632" w:firstLineChars="300"/>
        <w:rPr>
          <w:rFonts w:ascii="宋体" w:hAnsi="宋体" w:cs="宋体"/>
          <w:b/>
          <w:color w:val="auto"/>
          <w:szCs w:val="21"/>
          <w:highlight w:val="none"/>
        </w:rPr>
      </w:pPr>
      <w:r>
        <w:rPr>
          <w:rFonts w:hint="eastAsia" w:ascii="宋体" w:hAnsi="宋体" w:cs="宋体"/>
          <w:b/>
          <w:color w:val="auto"/>
          <w:szCs w:val="21"/>
          <w:highlight w:val="none"/>
        </w:rPr>
        <w:t>（2）清洁业务</w:t>
      </w:r>
    </w:p>
    <w:p>
      <w:pPr>
        <w:ind w:firstLine="413" w:firstLineChars="196"/>
        <w:rPr>
          <w:rFonts w:ascii="宋体" w:hAnsi="宋体" w:cs="宋体"/>
          <w:b/>
          <w:color w:val="auto"/>
          <w:szCs w:val="21"/>
          <w:highlight w:val="none"/>
        </w:rPr>
      </w:pPr>
      <w:r>
        <w:rPr>
          <w:rFonts w:hint="eastAsia" w:ascii="宋体" w:hAnsi="宋体" w:cs="宋体"/>
          <w:b/>
          <w:color w:val="auto"/>
          <w:szCs w:val="21"/>
          <w:highlight w:val="none"/>
        </w:rPr>
        <w:t>工作内容及要求：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①负责公司本部办公区域的日常的清洁与保洁工作，至少一日两次清洁，及时清理垃圾和杂物，做到墙身无蜘蛛网，地面无明显垃圾，保证消防通道畅通和办公区域内环境的干净卫生。</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②及时清洗会客接待的茶杯茶具，并做好消毒。</w:t>
      </w:r>
    </w:p>
    <w:p>
      <w:pPr>
        <w:ind w:firstLine="420" w:firstLineChars="200"/>
        <w:rPr>
          <w:color w:val="auto"/>
          <w:highlight w:val="none"/>
        </w:rPr>
      </w:pPr>
      <w:r>
        <w:rPr>
          <w:rFonts w:hint="eastAsia" w:ascii="宋体" w:hAnsi="宋体" w:cs="宋体"/>
          <w:color w:val="auto"/>
          <w:szCs w:val="21"/>
          <w:highlight w:val="none"/>
        </w:rPr>
        <w:t>③做好洗手间区域的清洁，保持地面不湿滑，无异味。</w:t>
      </w:r>
    </w:p>
    <w:p>
      <w:pPr>
        <w:rPr>
          <w:rFonts w:ascii="宋体" w:hAnsi="宋体" w:cs="宋体"/>
          <w:b/>
          <w:color w:val="auto"/>
          <w:szCs w:val="21"/>
          <w:highlight w:val="none"/>
        </w:rPr>
      </w:pPr>
      <w:r>
        <w:rPr>
          <w:rFonts w:hint="eastAsia" w:ascii="宋体" w:hAnsi="宋体" w:cs="宋体"/>
          <w:b/>
          <w:color w:val="auto"/>
          <w:szCs w:val="21"/>
          <w:highlight w:val="none"/>
        </w:rPr>
        <w:t>B、茶山配送中心</w:t>
      </w:r>
    </w:p>
    <w:p>
      <w:pPr>
        <w:ind w:left="-720" w:firstLine="632" w:firstLineChars="300"/>
        <w:rPr>
          <w:rFonts w:ascii="宋体" w:hAnsi="宋体" w:cs="宋体"/>
          <w:b/>
          <w:color w:val="auto"/>
          <w:szCs w:val="21"/>
          <w:highlight w:val="none"/>
        </w:rPr>
      </w:pPr>
      <w:r>
        <w:rPr>
          <w:rFonts w:hint="eastAsia" w:ascii="宋体" w:hAnsi="宋体" w:cs="宋体"/>
          <w:b/>
          <w:color w:val="auto"/>
          <w:szCs w:val="21"/>
          <w:highlight w:val="none"/>
        </w:rPr>
        <w:t>（1）电工业务</w:t>
      </w:r>
    </w:p>
    <w:p>
      <w:pPr>
        <w:ind w:firstLine="413" w:firstLineChars="196"/>
        <w:rPr>
          <w:rFonts w:ascii="宋体" w:hAnsi="宋体" w:cs="宋体"/>
          <w:color w:val="auto"/>
          <w:szCs w:val="21"/>
          <w:highlight w:val="none"/>
        </w:rPr>
      </w:pPr>
      <w:r>
        <w:rPr>
          <w:rFonts w:hint="eastAsia" w:ascii="宋体" w:hAnsi="宋体" w:cs="宋体"/>
          <w:b/>
          <w:color w:val="auto"/>
          <w:szCs w:val="21"/>
          <w:highlight w:val="none"/>
        </w:rPr>
        <w:t>工作内容及要求：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①负责公司配送中心所有用电设备和线路的检查维修，以及所有供电设施的安装、修理与保养工作，并做好相关记录。</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②负责对用电设备的安全隐患进行自查和整改，确保用电工作符合安全生产的相关制度规定。</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③负责仓库内外的勤杂工作，包括仓库环境的管理、烂包破包的清理及管理工作。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④负责部门临时性用工的所有工作，包括配送业务、后勤业务等。</w:t>
      </w:r>
    </w:p>
    <w:p>
      <w:pPr>
        <w:rPr>
          <w:rFonts w:ascii="宋体" w:hAnsi="宋体" w:cs="宋体"/>
          <w:b/>
          <w:color w:val="auto"/>
          <w:szCs w:val="21"/>
          <w:highlight w:val="none"/>
        </w:rPr>
      </w:pPr>
      <w:r>
        <w:rPr>
          <w:rFonts w:hint="eastAsia" w:ascii="宋体" w:hAnsi="宋体" w:cs="宋体"/>
          <w:b/>
          <w:color w:val="auto"/>
          <w:szCs w:val="21"/>
          <w:highlight w:val="none"/>
        </w:rPr>
        <w:t>（2）叉车业务</w:t>
      </w:r>
    </w:p>
    <w:p>
      <w:pPr>
        <w:ind w:firstLine="413" w:firstLineChars="196"/>
        <w:rPr>
          <w:rFonts w:ascii="宋体" w:hAnsi="宋体" w:cs="宋体"/>
          <w:color w:val="auto"/>
          <w:szCs w:val="21"/>
          <w:highlight w:val="none"/>
        </w:rPr>
      </w:pPr>
      <w:r>
        <w:rPr>
          <w:rFonts w:hint="eastAsia" w:ascii="宋体" w:hAnsi="宋体" w:cs="宋体"/>
          <w:b/>
          <w:color w:val="auto"/>
          <w:szCs w:val="21"/>
          <w:highlight w:val="none"/>
        </w:rPr>
        <w:t>工作内容及要求：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①按照工作安排，负责做好盐产品、辅料和各种废料的叉运工作，并严格遵守安全行驶的原则。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②认真做好叉车的日常维护和保养工作，确保叉车的安全和整洁。</w:t>
      </w:r>
    </w:p>
    <w:p>
      <w:pPr>
        <w:rPr>
          <w:rFonts w:ascii="宋体" w:hAnsi="宋体" w:cs="宋体"/>
          <w:b/>
          <w:color w:val="auto"/>
          <w:szCs w:val="21"/>
          <w:highlight w:val="none"/>
        </w:rPr>
      </w:pPr>
      <w:r>
        <w:rPr>
          <w:rFonts w:hint="eastAsia" w:ascii="宋体" w:hAnsi="宋体" w:cs="宋体"/>
          <w:b/>
          <w:color w:val="auto"/>
          <w:szCs w:val="21"/>
          <w:highlight w:val="none"/>
        </w:rPr>
        <w:t>（3）仓库后勤业务</w:t>
      </w:r>
    </w:p>
    <w:p>
      <w:pPr>
        <w:ind w:firstLine="413" w:firstLineChars="196"/>
        <w:rPr>
          <w:rFonts w:ascii="宋体" w:hAnsi="宋体" w:cs="宋体"/>
          <w:color w:val="auto"/>
          <w:szCs w:val="21"/>
          <w:highlight w:val="none"/>
        </w:rPr>
      </w:pPr>
      <w:r>
        <w:rPr>
          <w:rFonts w:hint="eastAsia" w:ascii="宋体" w:hAnsi="宋体" w:cs="宋体"/>
          <w:b/>
          <w:color w:val="auto"/>
          <w:szCs w:val="21"/>
          <w:highlight w:val="none"/>
        </w:rPr>
        <w:t>工作内容及要求：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①负责配送中心仓库的日常后勤保障工作，包括后勤设备的维护和仓库安全管理工作。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②协助进行内务管理和传达管理，对来访人员和车辆进行登记和检查，及时处理异常情况或突发事件。</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③中标方所派出提供服务的人员，应具有安全责任意识和处理突发事件的能力，能掌握基本消防器材的使用方法，熟记消防、警匪、救护等联系方式来确保紧急事故的报告。</w:t>
      </w:r>
    </w:p>
    <w:p>
      <w:pPr>
        <w:rPr>
          <w:rFonts w:ascii="宋体" w:hAnsi="宋体" w:cs="宋体"/>
          <w:b/>
          <w:color w:val="auto"/>
          <w:szCs w:val="21"/>
          <w:highlight w:val="none"/>
        </w:rPr>
      </w:pPr>
      <w:r>
        <w:rPr>
          <w:rFonts w:hint="eastAsia" w:ascii="宋体" w:hAnsi="宋体" w:cs="宋体"/>
          <w:b/>
          <w:color w:val="auto"/>
          <w:szCs w:val="21"/>
          <w:highlight w:val="none"/>
        </w:rPr>
        <w:t>（4）配送业务</w:t>
      </w:r>
    </w:p>
    <w:p>
      <w:pPr>
        <w:ind w:firstLine="413" w:firstLineChars="196"/>
        <w:rPr>
          <w:rFonts w:ascii="宋体" w:hAnsi="宋体" w:cs="宋体"/>
          <w:color w:val="auto"/>
          <w:szCs w:val="21"/>
          <w:highlight w:val="none"/>
        </w:rPr>
      </w:pPr>
      <w:r>
        <w:rPr>
          <w:rFonts w:hint="eastAsia" w:ascii="宋体" w:hAnsi="宋体" w:cs="宋体"/>
          <w:b/>
          <w:color w:val="auto"/>
          <w:szCs w:val="21"/>
          <w:highlight w:val="none"/>
        </w:rPr>
        <w:t>工作内容及要求：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①负责产品订单的配送任务，按时整理呈递相关业务单据和资料，并负责配送车辆的保养、维和修清洁工作。</w:t>
      </w:r>
    </w:p>
    <w:p>
      <w:pPr>
        <w:pStyle w:val="2"/>
        <w:rPr>
          <w:color w:val="auto"/>
          <w:highlight w:val="none"/>
          <w:lang w:val="en-US" w:bidi="ar-SA"/>
        </w:rPr>
      </w:pPr>
      <w:r>
        <w:rPr>
          <w:rFonts w:hint="eastAsia"/>
          <w:color w:val="auto"/>
          <w:highlight w:val="none"/>
          <w:lang w:val="en-US" w:bidi="ar-SA"/>
        </w:rPr>
        <w:t xml:space="preserve"> </w:t>
      </w:r>
      <w:r>
        <w:rPr>
          <w:color w:val="auto"/>
          <w:highlight w:val="none"/>
          <w:lang w:val="en-US" w:bidi="ar-SA"/>
        </w:rPr>
        <w:t xml:space="preserve">  </w:t>
      </w:r>
      <w:r>
        <w:rPr>
          <w:rFonts w:hint="eastAsia"/>
          <w:color w:val="auto"/>
          <w:sz w:val="21"/>
          <w:szCs w:val="21"/>
          <w:highlight w:val="none"/>
        </w:rPr>
        <w:t>②应具备安全行车意识及突发事件处理能力，能妥善处理配送业务中遇到的问题。</w:t>
      </w:r>
    </w:p>
    <w:p>
      <w:pPr>
        <w:rPr>
          <w:rFonts w:ascii="宋体" w:hAnsi="宋体" w:cs="宋体"/>
          <w:b/>
          <w:color w:val="auto"/>
          <w:szCs w:val="21"/>
          <w:highlight w:val="none"/>
        </w:rPr>
      </w:pPr>
      <w:r>
        <w:rPr>
          <w:rFonts w:hint="eastAsia" w:ascii="宋体" w:hAnsi="宋体" w:cs="宋体"/>
          <w:b/>
          <w:color w:val="auto"/>
          <w:szCs w:val="21"/>
          <w:highlight w:val="none"/>
        </w:rPr>
        <w:t>（5）打码业务</w:t>
      </w:r>
    </w:p>
    <w:p>
      <w:pPr>
        <w:ind w:firstLine="413" w:firstLineChars="196"/>
        <w:rPr>
          <w:rFonts w:ascii="宋体" w:hAnsi="宋体" w:cs="宋体"/>
          <w:color w:val="auto"/>
          <w:szCs w:val="21"/>
          <w:highlight w:val="none"/>
        </w:rPr>
      </w:pPr>
      <w:r>
        <w:rPr>
          <w:rFonts w:hint="eastAsia" w:ascii="宋体" w:hAnsi="宋体" w:cs="宋体"/>
          <w:b/>
          <w:color w:val="auto"/>
          <w:szCs w:val="21"/>
          <w:highlight w:val="none"/>
        </w:rPr>
        <w:t>工作内容及要求：</w:t>
      </w:r>
      <w:r>
        <w:rPr>
          <w:rFonts w:ascii="宋体" w:hAnsi="宋体" w:cs="宋体"/>
          <w:b/>
          <w:color w:val="auto"/>
          <w:szCs w:val="21"/>
          <w:highlight w:val="none"/>
        </w:rPr>
        <w:t xml:space="preserve">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负责产品的打码工作。</w:t>
      </w:r>
    </w:p>
    <w:p>
      <w:pPr>
        <w:tabs>
          <w:tab w:val="left" w:pos="426"/>
        </w:tabs>
        <w:ind w:firstLine="422" w:firstLineChars="200"/>
        <w:rPr>
          <w:rFonts w:ascii="宋体" w:hAnsi="宋体" w:cs="宋体"/>
          <w:b/>
          <w:color w:val="auto"/>
          <w:szCs w:val="21"/>
          <w:highlight w:val="none"/>
        </w:rPr>
      </w:pPr>
      <w:r>
        <w:rPr>
          <w:rFonts w:hint="eastAsia" w:ascii="宋体" w:hAnsi="宋体" w:cs="宋体"/>
          <w:b/>
          <w:color w:val="auto"/>
          <w:szCs w:val="21"/>
          <w:highlight w:val="none"/>
        </w:rPr>
        <w:t>注：采购人有权视工作需要调整业务要求，以上各业务所示要求将根据实际业务服务需要作出调整。</w:t>
      </w:r>
    </w:p>
    <w:p>
      <w:pPr>
        <w:tabs>
          <w:tab w:val="left" w:pos="420"/>
        </w:tabs>
        <w:ind w:firstLine="422" w:firstLineChars="200"/>
        <w:rPr>
          <w:color w:val="auto"/>
          <w:highlight w:val="none"/>
        </w:rPr>
      </w:pPr>
      <w:r>
        <w:rPr>
          <w:rFonts w:hint="eastAsia" w:ascii="宋体" w:hAnsi="宋体" w:cs="宋体"/>
          <w:b/>
          <w:color w:val="auto"/>
          <w:szCs w:val="21"/>
          <w:highlight w:val="none"/>
        </w:rPr>
        <w:t>采购人可根据实际情况或需求，对业务服务要求进行调整，中标人必须服从，且业务服务要求必须符合采购人的要求。</w:t>
      </w:r>
    </w:p>
    <w:p>
      <w:pPr>
        <w:pStyle w:val="2"/>
        <w:rPr>
          <w:color w:val="auto"/>
          <w:highlight w:val="none"/>
        </w:rPr>
      </w:pPr>
    </w:p>
    <w:p>
      <w:pPr>
        <w:pStyle w:val="2"/>
        <w:rPr>
          <w:color w:val="auto"/>
          <w:highlight w:val="none"/>
        </w:rPr>
      </w:pPr>
    </w:p>
    <w:p>
      <w:pPr>
        <w:rPr>
          <w:color w:val="auto"/>
          <w:highlight w:val="none"/>
        </w:rPr>
      </w:pPr>
    </w:p>
    <w:p>
      <w:pPr>
        <w:rPr>
          <w:color w:val="auto"/>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8"/>
        <w:rPr>
          <w:color w:val="auto"/>
          <w:highlight w:val="none"/>
        </w:rPr>
      </w:pPr>
      <w:r>
        <w:rPr>
          <w:rFonts w:hint="eastAsia"/>
          <w:color w:val="auto"/>
          <w:highlight w:val="none"/>
        </w:rPr>
        <w:t>二、服务清单</w:t>
      </w:r>
    </w:p>
    <w:p>
      <w:pPr>
        <w:rPr>
          <w:b/>
          <w:bCs/>
          <w:color w:val="auto"/>
          <w:highlight w:val="none"/>
        </w:rPr>
      </w:pPr>
      <w:r>
        <w:rPr>
          <w:rFonts w:hint="eastAsia"/>
          <w:b/>
          <w:bCs/>
          <w:color w:val="auto"/>
          <w:highlight w:val="none"/>
        </w:rPr>
        <w:t>（1）配送业务</w:t>
      </w:r>
    </w:p>
    <w:tbl>
      <w:tblPr>
        <w:tblStyle w:val="23"/>
        <w:tblW w:w="14195" w:type="dxa"/>
        <w:tblInd w:w="93" w:type="dxa"/>
        <w:tblLayout w:type="fixed"/>
        <w:tblCellMar>
          <w:top w:w="0" w:type="dxa"/>
          <w:left w:w="108" w:type="dxa"/>
          <w:bottom w:w="0" w:type="dxa"/>
          <w:right w:w="108" w:type="dxa"/>
        </w:tblCellMar>
      </w:tblPr>
      <w:tblGrid>
        <w:gridCol w:w="1068"/>
        <w:gridCol w:w="1198"/>
        <w:gridCol w:w="930"/>
        <w:gridCol w:w="292"/>
        <w:gridCol w:w="598"/>
        <w:gridCol w:w="1260"/>
        <w:gridCol w:w="990"/>
        <w:gridCol w:w="687"/>
        <w:gridCol w:w="293"/>
        <w:gridCol w:w="1140"/>
        <w:gridCol w:w="900"/>
        <w:gridCol w:w="900"/>
        <w:gridCol w:w="302"/>
        <w:gridCol w:w="908"/>
        <w:gridCol w:w="970"/>
        <w:gridCol w:w="889"/>
        <w:gridCol w:w="870"/>
      </w:tblGrid>
      <w:tr>
        <w:tblPrEx>
          <w:tblCellMar>
            <w:top w:w="0" w:type="dxa"/>
            <w:left w:w="108" w:type="dxa"/>
            <w:bottom w:w="0" w:type="dxa"/>
            <w:right w:w="108" w:type="dxa"/>
          </w:tblCellMar>
        </w:tblPrEx>
        <w:trPr>
          <w:trHeight w:val="420" w:hRule="atLeast"/>
        </w:trPr>
        <w:tc>
          <w:tcPr>
            <w:tcW w:w="10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车辆</w:t>
            </w:r>
          </w:p>
        </w:tc>
        <w:tc>
          <w:tcPr>
            <w:tcW w:w="3018" w:type="dxa"/>
            <w:gridSpan w:val="4"/>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A区</w:t>
            </w:r>
          </w:p>
        </w:tc>
        <w:tc>
          <w:tcPr>
            <w:tcW w:w="3230" w:type="dxa"/>
            <w:gridSpan w:val="4"/>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B区</w:t>
            </w:r>
          </w:p>
        </w:tc>
        <w:tc>
          <w:tcPr>
            <w:tcW w:w="2940" w:type="dxa"/>
            <w:gridSpan w:val="3"/>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C区</w:t>
            </w:r>
          </w:p>
        </w:tc>
        <w:tc>
          <w:tcPr>
            <w:tcW w:w="3069" w:type="dxa"/>
            <w:gridSpan w:val="4"/>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外市</w:t>
            </w:r>
          </w:p>
        </w:tc>
        <w:tc>
          <w:tcPr>
            <w:tcW w:w="87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合计（元/年）</w:t>
            </w:r>
          </w:p>
        </w:tc>
      </w:tr>
      <w:tr>
        <w:tblPrEx>
          <w:tblCellMar>
            <w:top w:w="0" w:type="dxa"/>
            <w:left w:w="108" w:type="dxa"/>
            <w:bottom w:w="0" w:type="dxa"/>
            <w:right w:w="108" w:type="dxa"/>
          </w:tblCellMar>
        </w:tblPrEx>
        <w:trPr>
          <w:trHeight w:val="570" w:hRule="atLeast"/>
        </w:trPr>
        <w:tc>
          <w:tcPr>
            <w:tcW w:w="10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ascii="宋体" w:hAnsi="宋体" w:cs="宋体"/>
                <w:b/>
                <w:color w:val="auto"/>
                <w:szCs w:val="21"/>
                <w:highlight w:val="none"/>
              </w:rPr>
            </w:pPr>
          </w:p>
        </w:tc>
        <w:tc>
          <w:tcPr>
            <w:tcW w:w="1198"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预计（吨/年）</w:t>
            </w:r>
          </w:p>
        </w:tc>
        <w:tc>
          <w:tcPr>
            <w:tcW w:w="930" w:type="dxa"/>
            <w:tcBorders>
              <w:top w:val="nil"/>
              <w:left w:val="nil"/>
              <w:bottom w:val="single" w:color="auto" w:sz="4" w:space="0"/>
              <w:right w:val="single" w:color="auto" w:sz="4" w:space="0"/>
            </w:tcBorders>
            <w:shd w:val="clear" w:color="auto" w:fill="auto"/>
            <w:vAlign w:val="center"/>
          </w:tcPr>
          <w:p>
            <w:pPr>
              <w:spacing w:line="240" w:lineRule="auto"/>
              <w:rPr>
                <w:rFonts w:ascii="宋体" w:hAnsi="宋体" w:cs="宋体"/>
                <w:b/>
                <w:color w:val="auto"/>
                <w:szCs w:val="21"/>
                <w:highlight w:val="none"/>
              </w:rPr>
            </w:pPr>
            <w:r>
              <w:rPr>
                <w:rFonts w:hint="eastAsia" w:ascii="宋体" w:hAnsi="宋体" w:cs="宋体"/>
                <w:b/>
                <w:color w:val="auto"/>
                <w:szCs w:val="21"/>
                <w:highlight w:val="none"/>
              </w:rPr>
              <w:t>限价（元/吨）</w:t>
            </w:r>
          </w:p>
        </w:tc>
        <w:tc>
          <w:tcPr>
            <w:tcW w:w="890" w:type="dxa"/>
            <w:gridSpan w:val="2"/>
            <w:tcBorders>
              <w:top w:val="nil"/>
              <w:left w:val="nil"/>
              <w:bottom w:val="single" w:color="auto" w:sz="4" w:space="0"/>
              <w:right w:val="single" w:color="auto" w:sz="4" w:space="0"/>
            </w:tcBorders>
            <w:shd w:val="clear" w:color="auto" w:fill="auto"/>
            <w:vAlign w:val="center"/>
          </w:tcPr>
          <w:p>
            <w:pPr>
              <w:spacing w:line="240" w:lineRule="auto"/>
              <w:rPr>
                <w:rFonts w:ascii="宋体" w:hAnsi="宋体" w:cs="宋体"/>
                <w:b/>
                <w:color w:val="auto"/>
                <w:szCs w:val="21"/>
                <w:highlight w:val="none"/>
              </w:rPr>
            </w:pPr>
            <w:r>
              <w:rPr>
                <w:rFonts w:hint="eastAsia" w:ascii="宋体" w:hAnsi="宋体" w:cs="宋体"/>
                <w:b/>
                <w:color w:val="auto"/>
                <w:szCs w:val="21"/>
                <w:highlight w:val="none"/>
              </w:rPr>
              <w:t>报价（元/吨）</w:t>
            </w:r>
          </w:p>
        </w:tc>
        <w:tc>
          <w:tcPr>
            <w:tcW w:w="126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预计（吨/年）</w:t>
            </w:r>
          </w:p>
        </w:tc>
        <w:tc>
          <w:tcPr>
            <w:tcW w:w="990" w:type="dxa"/>
            <w:tcBorders>
              <w:top w:val="nil"/>
              <w:left w:val="nil"/>
              <w:bottom w:val="single" w:color="auto" w:sz="4" w:space="0"/>
              <w:right w:val="single" w:color="auto" w:sz="4" w:space="0"/>
            </w:tcBorders>
            <w:shd w:val="clear" w:color="auto" w:fill="auto"/>
            <w:vAlign w:val="center"/>
          </w:tcPr>
          <w:p>
            <w:pPr>
              <w:spacing w:line="240" w:lineRule="auto"/>
              <w:rPr>
                <w:rFonts w:ascii="宋体" w:hAnsi="宋体" w:cs="宋体"/>
                <w:b/>
                <w:color w:val="auto"/>
                <w:szCs w:val="21"/>
                <w:highlight w:val="none"/>
              </w:rPr>
            </w:pPr>
            <w:r>
              <w:rPr>
                <w:rFonts w:hint="eastAsia" w:ascii="宋体" w:hAnsi="宋体" w:cs="宋体"/>
                <w:b/>
                <w:color w:val="auto"/>
                <w:szCs w:val="21"/>
                <w:highlight w:val="none"/>
              </w:rPr>
              <w:t>限价（元/吨）</w:t>
            </w:r>
          </w:p>
        </w:tc>
        <w:tc>
          <w:tcPr>
            <w:tcW w:w="980" w:type="dxa"/>
            <w:gridSpan w:val="2"/>
            <w:tcBorders>
              <w:top w:val="nil"/>
              <w:left w:val="nil"/>
              <w:bottom w:val="single" w:color="auto" w:sz="4" w:space="0"/>
              <w:right w:val="single" w:color="auto" w:sz="4" w:space="0"/>
            </w:tcBorders>
            <w:shd w:val="clear" w:color="auto" w:fill="auto"/>
            <w:vAlign w:val="center"/>
          </w:tcPr>
          <w:p>
            <w:pPr>
              <w:spacing w:line="240" w:lineRule="auto"/>
              <w:rPr>
                <w:rFonts w:ascii="宋体" w:hAnsi="宋体" w:cs="宋体"/>
                <w:b/>
                <w:color w:val="auto"/>
                <w:szCs w:val="21"/>
                <w:highlight w:val="none"/>
              </w:rPr>
            </w:pPr>
            <w:r>
              <w:rPr>
                <w:rFonts w:hint="eastAsia" w:ascii="宋体" w:hAnsi="宋体" w:cs="宋体"/>
                <w:b/>
                <w:color w:val="auto"/>
                <w:szCs w:val="21"/>
                <w:highlight w:val="none"/>
              </w:rPr>
              <w:t>报价（元/吨）</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预计（吨/年）</w:t>
            </w:r>
          </w:p>
        </w:tc>
        <w:tc>
          <w:tcPr>
            <w:tcW w:w="900" w:type="dxa"/>
            <w:tcBorders>
              <w:top w:val="nil"/>
              <w:left w:val="nil"/>
              <w:bottom w:val="single" w:color="auto" w:sz="4" w:space="0"/>
              <w:right w:val="single" w:color="auto" w:sz="4" w:space="0"/>
            </w:tcBorders>
            <w:shd w:val="clear" w:color="auto" w:fill="auto"/>
            <w:vAlign w:val="center"/>
          </w:tcPr>
          <w:p>
            <w:pPr>
              <w:spacing w:line="240" w:lineRule="auto"/>
              <w:rPr>
                <w:rFonts w:ascii="宋体" w:hAnsi="宋体" w:cs="宋体"/>
                <w:b/>
                <w:color w:val="auto"/>
                <w:szCs w:val="21"/>
                <w:highlight w:val="none"/>
              </w:rPr>
            </w:pPr>
            <w:r>
              <w:rPr>
                <w:rFonts w:hint="eastAsia" w:ascii="宋体" w:hAnsi="宋体" w:cs="宋体"/>
                <w:b/>
                <w:color w:val="auto"/>
                <w:szCs w:val="21"/>
                <w:highlight w:val="none"/>
              </w:rPr>
              <w:t>限价（元/吨）</w:t>
            </w:r>
          </w:p>
        </w:tc>
        <w:tc>
          <w:tcPr>
            <w:tcW w:w="900" w:type="dxa"/>
            <w:tcBorders>
              <w:top w:val="nil"/>
              <w:left w:val="nil"/>
              <w:bottom w:val="single" w:color="auto" w:sz="4" w:space="0"/>
              <w:right w:val="single" w:color="auto" w:sz="4" w:space="0"/>
            </w:tcBorders>
            <w:shd w:val="clear" w:color="auto" w:fill="auto"/>
            <w:vAlign w:val="center"/>
          </w:tcPr>
          <w:p>
            <w:pPr>
              <w:spacing w:line="240" w:lineRule="auto"/>
              <w:rPr>
                <w:rFonts w:ascii="宋体" w:hAnsi="宋体" w:cs="宋体"/>
                <w:b/>
                <w:color w:val="auto"/>
                <w:szCs w:val="21"/>
                <w:highlight w:val="none"/>
              </w:rPr>
            </w:pPr>
            <w:r>
              <w:rPr>
                <w:rFonts w:hint="eastAsia" w:ascii="宋体" w:hAnsi="宋体" w:cs="宋体"/>
                <w:b/>
                <w:color w:val="auto"/>
                <w:szCs w:val="21"/>
                <w:highlight w:val="none"/>
              </w:rPr>
              <w:t>报价（元/吨）</w:t>
            </w:r>
          </w:p>
        </w:tc>
        <w:tc>
          <w:tcPr>
            <w:tcW w:w="1210" w:type="dxa"/>
            <w:gridSpan w:val="2"/>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预计（吨/年）</w:t>
            </w:r>
          </w:p>
        </w:tc>
        <w:tc>
          <w:tcPr>
            <w:tcW w:w="970" w:type="dxa"/>
            <w:tcBorders>
              <w:top w:val="nil"/>
              <w:left w:val="nil"/>
              <w:bottom w:val="single" w:color="auto" w:sz="4" w:space="0"/>
              <w:right w:val="single" w:color="auto" w:sz="4" w:space="0"/>
            </w:tcBorders>
            <w:shd w:val="clear" w:color="auto" w:fill="auto"/>
            <w:vAlign w:val="center"/>
          </w:tcPr>
          <w:p>
            <w:pPr>
              <w:spacing w:line="240" w:lineRule="auto"/>
              <w:rPr>
                <w:rFonts w:ascii="宋体" w:hAnsi="宋体" w:cs="宋体"/>
                <w:b/>
                <w:color w:val="auto"/>
                <w:szCs w:val="21"/>
                <w:highlight w:val="none"/>
              </w:rPr>
            </w:pPr>
            <w:r>
              <w:rPr>
                <w:rFonts w:hint="eastAsia" w:ascii="宋体" w:hAnsi="宋体" w:cs="宋体"/>
                <w:b/>
                <w:color w:val="auto"/>
                <w:szCs w:val="21"/>
                <w:highlight w:val="none"/>
              </w:rPr>
              <w:t>限价（元/吨）</w:t>
            </w:r>
          </w:p>
        </w:tc>
        <w:tc>
          <w:tcPr>
            <w:tcW w:w="889" w:type="dxa"/>
            <w:tcBorders>
              <w:top w:val="nil"/>
              <w:left w:val="nil"/>
              <w:bottom w:val="single" w:color="auto" w:sz="4" w:space="0"/>
              <w:right w:val="single" w:color="auto" w:sz="4" w:space="0"/>
            </w:tcBorders>
            <w:shd w:val="clear" w:color="auto" w:fill="auto"/>
            <w:vAlign w:val="center"/>
          </w:tcPr>
          <w:p>
            <w:pPr>
              <w:spacing w:line="240" w:lineRule="auto"/>
              <w:rPr>
                <w:rFonts w:ascii="宋体" w:hAnsi="宋体" w:cs="宋体"/>
                <w:b/>
                <w:color w:val="auto"/>
                <w:szCs w:val="21"/>
                <w:highlight w:val="none"/>
              </w:rPr>
            </w:pPr>
            <w:r>
              <w:rPr>
                <w:rFonts w:hint="eastAsia" w:ascii="宋体" w:hAnsi="宋体" w:cs="宋体"/>
                <w:b/>
                <w:color w:val="auto"/>
                <w:szCs w:val="21"/>
                <w:highlight w:val="none"/>
              </w:rPr>
              <w:t>报价（元/吨）</w:t>
            </w:r>
          </w:p>
        </w:tc>
        <w:tc>
          <w:tcPr>
            <w:tcW w:w="870" w:type="dxa"/>
            <w:vMerge w:val="continue"/>
            <w:tcBorders>
              <w:top w:val="single" w:color="auto" w:sz="4" w:space="0"/>
              <w:left w:val="single" w:color="auto" w:sz="4" w:space="0"/>
              <w:bottom w:val="single" w:color="000000" w:sz="4" w:space="0"/>
              <w:right w:val="single" w:color="auto" w:sz="4" w:space="0"/>
            </w:tcBorders>
            <w:vAlign w:val="center"/>
          </w:tcPr>
          <w:p>
            <w:pPr>
              <w:spacing w:line="240" w:lineRule="auto"/>
              <w:rPr>
                <w:rFonts w:ascii="宋体" w:hAnsi="宋体" w:cs="宋体"/>
                <w:color w:val="auto"/>
                <w:szCs w:val="21"/>
                <w:highlight w:val="none"/>
              </w:rPr>
            </w:pPr>
          </w:p>
        </w:tc>
      </w:tr>
      <w:tr>
        <w:tblPrEx>
          <w:tblCellMar>
            <w:top w:w="0" w:type="dxa"/>
            <w:left w:w="108" w:type="dxa"/>
            <w:bottom w:w="0" w:type="dxa"/>
            <w:right w:w="108" w:type="dxa"/>
          </w:tblCellMar>
        </w:tblPrEx>
        <w:trPr>
          <w:trHeight w:val="285" w:hRule="atLeast"/>
        </w:trPr>
        <w:tc>
          <w:tcPr>
            <w:tcW w:w="106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4吨车</w:t>
            </w:r>
          </w:p>
        </w:tc>
        <w:tc>
          <w:tcPr>
            <w:tcW w:w="1198"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3100</w:t>
            </w:r>
          </w:p>
        </w:tc>
        <w:tc>
          <w:tcPr>
            <w:tcW w:w="93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23</w:t>
            </w:r>
          </w:p>
        </w:tc>
        <w:tc>
          <w:tcPr>
            <w:tcW w:w="890"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cs="宋体"/>
                <w:color w:val="auto"/>
                <w:szCs w:val="21"/>
                <w:highlight w:val="none"/>
              </w:rPr>
            </w:pPr>
          </w:p>
        </w:tc>
        <w:tc>
          <w:tcPr>
            <w:tcW w:w="12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3400</w:t>
            </w:r>
          </w:p>
        </w:tc>
        <w:tc>
          <w:tcPr>
            <w:tcW w:w="99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25</w:t>
            </w:r>
          </w:p>
        </w:tc>
        <w:tc>
          <w:tcPr>
            <w:tcW w:w="980" w:type="dxa"/>
            <w:gridSpan w:val="2"/>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2800</w:t>
            </w:r>
          </w:p>
        </w:tc>
        <w:tc>
          <w:tcPr>
            <w:tcW w:w="9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27</w:t>
            </w:r>
          </w:p>
        </w:tc>
        <w:tc>
          <w:tcPr>
            <w:tcW w:w="9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1210" w:type="dxa"/>
            <w:gridSpan w:val="2"/>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100</w:t>
            </w:r>
          </w:p>
        </w:tc>
        <w:tc>
          <w:tcPr>
            <w:tcW w:w="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36</w:t>
            </w:r>
          </w:p>
        </w:tc>
        <w:tc>
          <w:tcPr>
            <w:tcW w:w="889"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c>
          <w:tcPr>
            <w:tcW w:w="8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420" w:hRule="atLeast"/>
        </w:trPr>
        <w:tc>
          <w:tcPr>
            <w:tcW w:w="106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5吨车</w:t>
            </w:r>
          </w:p>
        </w:tc>
        <w:tc>
          <w:tcPr>
            <w:tcW w:w="1198"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2400</w:t>
            </w:r>
          </w:p>
        </w:tc>
        <w:tc>
          <w:tcPr>
            <w:tcW w:w="93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19</w:t>
            </w:r>
          </w:p>
        </w:tc>
        <w:tc>
          <w:tcPr>
            <w:tcW w:w="890"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cs="宋体"/>
                <w:color w:val="auto"/>
                <w:szCs w:val="21"/>
                <w:highlight w:val="none"/>
              </w:rPr>
            </w:pPr>
          </w:p>
        </w:tc>
        <w:tc>
          <w:tcPr>
            <w:tcW w:w="12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2200</w:t>
            </w:r>
          </w:p>
        </w:tc>
        <w:tc>
          <w:tcPr>
            <w:tcW w:w="99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21</w:t>
            </w:r>
          </w:p>
        </w:tc>
        <w:tc>
          <w:tcPr>
            <w:tcW w:w="980" w:type="dxa"/>
            <w:gridSpan w:val="2"/>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2000</w:t>
            </w:r>
          </w:p>
        </w:tc>
        <w:tc>
          <w:tcPr>
            <w:tcW w:w="9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22</w:t>
            </w:r>
          </w:p>
        </w:tc>
        <w:tc>
          <w:tcPr>
            <w:tcW w:w="9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1210" w:type="dxa"/>
            <w:gridSpan w:val="2"/>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400</w:t>
            </w:r>
          </w:p>
        </w:tc>
        <w:tc>
          <w:tcPr>
            <w:tcW w:w="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32</w:t>
            </w:r>
          </w:p>
        </w:tc>
        <w:tc>
          <w:tcPr>
            <w:tcW w:w="889"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c>
          <w:tcPr>
            <w:tcW w:w="8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420" w:hRule="atLeast"/>
        </w:trPr>
        <w:tc>
          <w:tcPr>
            <w:tcW w:w="106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8吨车</w:t>
            </w:r>
          </w:p>
        </w:tc>
        <w:tc>
          <w:tcPr>
            <w:tcW w:w="1198"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1300</w:t>
            </w:r>
          </w:p>
        </w:tc>
        <w:tc>
          <w:tcPr>
            <w:tcW w:w="93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13</w:t>
            </w:r>
          </w:p>
        </w:tc>
        <w:tc>
          <w:tcPr>
            <w:tcW w:w="890"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cs="宋体"/>
                <w:color w:val="auto"/>
                <w:szCs w:val="21"/>
                <w:highlight w:val="none"/>
              </w:rPr>
            </w:pPr>
          </w:p>
        </w:tc>
        <w:tc>
          <w:tcPr>
            <w:tcW w:w="12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1100</w:t>
            </w:r>
          </w:p>
        </w:tc>
        <w:tc>
          <w:tcPr>
            <w:tcW w:w="99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14.5</w:t>
            </w:r>
          </w:p>
        </w:tc>
        <w:tc>
          <w:tcPr>
            <w:tcW w:w="980" w:type="dxa"/>
            <w:gridSpan w:val="2"/>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1000</w:t>
            </w:r>
          </w:p>
        </w:tc>
        <w:tc>
          <w:tcPr>
            <w:tcW w:w="9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17</w:t>
            </w:r>
          </w:p>
        </w:tc>
        <w:tc>
          <w:tcPr>
            <w:tcW w:w="9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1210" w:type="dxa"/>
            <w:gridSpan w:val="2"/>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400</w:t>
            </w:r>
          </w:p>
        </w:tc>
        <w:tc>
          <w:tcPr>
            <w:tcW w:w="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24</w:t>
            </w:r>
          </w:p>
        </w:tc>
        <w:tc>
          <w:tcPr>
            <w:tcW w:w="889"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c>
          <w:tcPr>
            <w:tcW w:w="8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420" w:hRule="atLeast"/>
        </w:trPr>
        <w:tc>
          <w:tcPr>
            <w:tcW w:w="106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10吨车</w:t>
            </w:r>
          </w:p>
        </w:tc>
        <w:tc>
          <w:tcPr>
            <w:tcW w:w="1198"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2800</w:t>
            </w:r>
          </w:p>
        </w:tc>
        <w:tc>
          <w:tcPr>
            <w:tcW w:w="93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10.5</w:t>
            </w:r>
          </w:p>
        </w:tc>
        <w:tc>
          <w:tcPr>
            <w:tcW w:w="890"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cs="宋体"/>
                <w:color w:val="auto"/>
                <w:szCs w:val="21"/>
                <w:highlight w:val="none"/>
              </w:rPr>
            </w:pPr>
          </w:p>
        </w:tc>
        <w:tc>
          <w:tcPr>
            <w:tcW w:w="12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4100</w:t>
            </w:r>
          </w:p>
        </w:tc>
        <w:tc>
          <w:tcPr>
            <w:tcW w:w="99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13.5</w:t>
            </w:r>
          </w:p>
        </w:tc>
        <w:tc>
          <w:tcPr>
            <w:tcW w:w="980" w:type="dxa"/>
            <w:gridSpan w:val="2"/>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2800</w:t>
            </w:r>
          </w:p>
        </w:tc>
        <w:tc>
          <w:tcPr>
            <w:tcW w:w="9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15</w:t>
            </w:r>
          </w:p>
        </w:tc>
        <w:tc>
          <w:tcPr>
            <w:tcW w:w="9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1210" w:type="dxa"/>
            <w:gridSpan w:val="2"/>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1100</w:t>
            </w:r>
          </w:p>
        </w:tc>
        <w:tc>
          <w:tcPr>
            <w:tcW w:w="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22</w:t>
            </w:r>
          </w:p>
        </w:tc>
        <w:tc>
          <w:tcPr>
            <w:tcW w:w="889"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c>
          <w:tcPr>
            <w:tcW w:w="8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420" w:hRule="atLeast"/>
        </w:trPr>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13吨车</w:t>
            </w:r>
          </w:p>
        </w:tc>
        <w:tc>
          <w:tcPr>
            <w:tcW w:w="1198"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2500</w:t>
            </w:r>
          </w:p>
        </w:tc>
        <w:tc>
          <w:tcPr>
            <w:tcW w:w="93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9.5</w:t>
            </w:r>
          </w:p>
        </w:tc>
        <w:tc>
          <w:tcPr>
            <w:tcW w:w="890"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auto"/>
                <w:szCs w:val="21"/>
                <w:highlight w:val="none"/>
              </w:rPr>
            </w:pPr>
          </w:p>
        </w:tc>
        <w:tc>
          <w:tcPr>
            <w:tcW w:w="126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4500</w:t>
            </w:r>
          </w:p>
        </w:tc>
        <w:tc>
          <w:tcPr>
            <w:tcW w:w="99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12.5</w:t>
            </w:r>
          </w:p>
        </w:tc>
        <w:tc>
          <w:tcPr>
            <w:tcW w:w="980"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114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2500</w:t>
            </w:r>
          </w:p>
        </w:tc>
        <w:tc>
          <w:tcPr>
            <w:tcW w:w="9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14</w:t>
            </w:r>
          </w:p>
        </w:tc>
        <w:tc>
          <w:tcPr>
            <w:tcW w:w="9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1210"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2300</w:t>
            </w:r>
          </w:p>
        </w:tc>
        <w:tc>
          <w:tcPr>
            <w:tcW w:w="97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18</w:t>
            </w:r>
          </w:p>
        </w:tc>
        <w:tc>
          <w:tcPr>
            <w:tcW w:w="889"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c>
          <w:tcPr>
            <w:tcW w:w="87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420" w:hRule="atLeast"/>
        </w:trPr>
        <w:tc>
          <w:tcPr>
            <w:tcW w:w="14195" w:type="dxa"/>
            <w:gridSpan w:val="17"/>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b/>
                <w:bCs/>
                <w:color w:val="auto"/>
                <w:szCs w:val="21"/>
                <w:highlight w:val="none"/>
              </w:rPr>
            </w:pPr>
            <w:r>
              <w:rPr>
                <w:rFonts w:hint="eastAsia" w:ascii="宋体" w:hAnsi="宋体" w:cs="宋体"/>
                <w:b/>
                <w:bCs/>
                <w:color w:val="auto"/>
                <w:szCs w:val="21"/>
                <w:highlight w:val="none"/>
              </w:rPr>
              <w:t>配送区域说明：</w:t>
            </w:r>
          </w:p>
          <w:p>
            <w:pPr>
              <w:spacing w:line="240" w:lineRule="auto"/>
              <w:rPr>
                <w:rFonts w:ascii="宋体" w:hAnsi="宋体" w:cs="宋体"/>
                <w:bCs/>
                <w:color w:val="auto"/>
                <w:szCs w:val="21"/>
                <w:highlight w:val="none"/>
              </w:rPr>
            </w:pPr>
            <w:r>
              <w:rPr>
                <w:rFonts w:hint="eastAsia" w:ascii="宋体" w:hAnsi="宋体" w:cs="宋体"/>
                <w:bCs/>
                <w:color w:val="auto"/>
                <w:szCs w:val="21"/>
                <w:highlight w:val="none"/>
              </w:rPr>
              <w:t>A区配送区域为东坑、横沥、茶山、寮步、石龙、企石、石排、石碣、高埗、常平、大朗、松山湖、桥头</w:t>
            </w:r>
          </w:p>
          <w:p>
            <w:pPr>
              <w:spacing w:line="240" w:lineRule="auto"/>
              <w:rPr>
                <w:rFonts w:ascii="宋体" w:hAnsi="宋体" w:cs="宋体"/>
                <w:bCs/>
                <w:color w:val="auto"/>
                <w:szCs w:val="21"/>
                <w:highlight w:val="none"/>
              </w:rPr>
            </w:pPr>
            <w:r>
              <w:rPr>
                <w:rFonts w:hint="eastAsia" w:ascii="宋体" w:hAnsi="宋体" w:cs="宋体"/>
                <w:bCs/>
                <w:color w:val="auto"/>
                <w:szCs w:val="21"/>
                <w:highlight w:val="none"/>
              </w:rPr>
              <w:t>B区配送区域为中堂、大岭山、东城、万江、莞城、南城、望牛墩</w:t>
            </w:r>
          </w:p>
          <w:p>
            <w:pPr>
              <w:spacing w:line="240" w:lineRule="auto"/>
              <w:rPr>
                <w:rFonts w:ascii="宋体" w:hAnsi="宋体" w:cs="宋体"/>
                <w:bCs/>
                <w:color w:val="auto"/>
                <w:szCs w:val="21"/>
                <w:highlight w:val="none"/>
              </w:rPr>
            </w:pPr>
            <w:r>
              <w:rPr>
                <w:rFonts w:hint="eastAsia" w:ascii="宋体" w:hAnsi="宋体" w:cs="宋体"/>
                <w:bCs/>
                <w:color w:val="auto"/>
                <w:szCs w:val="21"/>
                <w:highlight w:val="none"/>
              </w:rPr>
              <w:t>C区配送区域为道滘、厚街、樟木头、洪梅、谢岗、黄江、清溪、凤岗、虎门、长安、沙田、麻涌、塘厦</w:t>
            </w:r>
          </w:p>
        </w:tc>
      </w:tr>
      <w:tr>
        <w:tblPrEx>
          <w:tblCellMar>
            <w:top w:w="0" w:type="dxa"/>
            <w:left w:w="108" w:type="dxa"/>
            <w:bottom w:w="0" w:type="dxa"/>
            <w:right w:w="108" w:type="dxa"/>
          </w:tblCellMar>
        </w:tblPrEx>
        <w:trPr>
          <w:trHeight w:val="420" w:hRule="atLeast"/>
        </w:trPr>
        <w:tc>
          <w:tcPr>
            <w:tcW w:w="348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零担配送</w:t>
            </w:r>
          </w:p>
        </w:tc>
        <w:tc>
          <w:tcPr>
            <w:tcW w:w="3535" w:type="dxa"/>
            <w:gridSpan w:val="4"/>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预计（件/年）</w:t>
            </w:r>
          </w:p>
        </w:tc>
        <w:tc>
          <w:tcPr>
            <w:tcW w:w="3535" w:type="dxa"/>
            <w:gridSpan w:val="5"/>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限价（元/件）</w:t>
            </w:r>
          </w:p>
        </w:tc>
        <w:tc>
          <w:tcPr>
            <w:tcW w:w="2767"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报价（元/件）</w:t>
            </w:r>
          </w:p>
        </w:tc>
        <w:tc>
          <w:tcPr>
            <w:tcW w:w="87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合计（元/年）</w:t>
            </w:r>
          </w:p>
        </w:tc>
      </w:tr>
      <w:tr>
        <w:tblPrEx>
          <w:tblCellMar>
            <w:top w:w="0" w:type="dxa"/>
            <w:left w:w="108" w:type="dxa"/>
            <w:bottom w:w="0" w:type="dxa"/>
            <w:right w:w="108" w:type="dxa"/>
          </w:tblCellMar>
        </w:tblPrEx>
        <w:trPr>
          <w:trHeight w:val="420" w:hRule="atLeast"/>
        </w:trPr>
        <w:tc>
          <w:tcPr>
            <w:tcW w:w="348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小包装</w:t>
            </w:r>
          </w:p>
        </w:tc>
        <w:tc>
          <w:tcPr>
            <w:tcW w:w="3535" w:type="dxa"/>
            <w:gridSpan w:val="4"/>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4200</w:t>
            </w:r>
          </w:p>
        </w:tc>
        <w:tc>
          <w:tcPr>
            <w:tcW w:w="3535" w:type="dxa"/>
            <w:gridSpan w:val="5"/>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3.5</w:t>
            </w:r>
          </w:p>
        </w:tc>
        <w:tc>
          <w:tcPr>
            <w:tcW w:w="2767"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87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420" w:hRule="atLeast"/>
        </w:trPr>
        <w:tc>
          <w:tcPr>
            <w:tcW w:w="348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大包装</w:t>
            </w:r>
          </w:p>
        </w:tc>
        <w:tc>
          <w:tcPr>
            <w:tcW w:w="3535" w:type="dxa"/>
            <w:gridSpan w:val="4"/>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18000</w:t>
            </w:r>
          </w:p>
        </w:tc>
        <w:tc>
          <w:tcPr>
            <w:tcW w:w="3535" w:type="dxa"/>
            <w:gridSpan w:val="5"/>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5</w:t>
            </w:r>
          </w:p>
        </w:tc>
        <w:tc>
          <w:tcPr>
            <w:tcW w:w="2767"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87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644" w:hRule="atLeast"/>
        </w:trPr>
        <w:tc>
          <w:tcPr>
            <w:tcW w:w="13325" w:type="dxa"/>
            <w:gridSpan w:val="16"/>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ascii="宋体" w:hAnsi="宋体" w:cs="宋体"/>
                <w:b/>
                <w:color w:val="auto"/>
                <w:szCs w:val="21"/>
                <w:highlight w:val="none"/>
              </w:rPr>
            </w:pPr>
            <w:r>
              <w:rPr>
                <w:rFonts w:hint="eastAsia" w:ascii="宋体" w:hAnsi="宋体" w:cs="宋体"/>
                <w:b/>
                <w:color w:val="auto"/>
                <w:szCs w:val="21"/>
                <w:highlight w:val="none"/>
              </w:rPr>
              <w:t>配送业务费全年合计</w:t>
            </w:r>
          </w:p>
        </w:tc>
        <w:tc>
          <w:tcPr>
            <w:tcW w:w="87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r>
    </w:tbl>
    <w:p>
      <w:pPr>
        <w:pStyle w:val="2"/>
        <w:rPr>
          <w:color w:val="auto"/>
          <w:highlight w:val="none"/>
        </w:rPr>
        <w:sectPr>
          <w:type w:val="continuous"/>
          <w:pgSz w:w="16838" w:h="11906" w:orient="landscape"/>
          <w:pgMar w:top="1800" w:right="1440" w:bottom="1800" w:left="1440" w:header="708" w:footer="708" w:gutter="0"/>
          <w:cols w:space="708" w:num="1"/>
          <w:titlePg/>
          <w:docGrid w:type="lines" w:linePitch="360" w:charSpace="0"/>
        </w:sectPr>
      </w:pPr>
    </w:p>
    <w:p>
      <w:pPr>
        <w:rPr>
          <w:b/>
          <w:bCs/>
          <w:color w:val="auto"/>
          <w:highlight w:val="none"/>
        </w:rPr>
      </w:pPr>
      <w:r>
        <w:rPr>
          <w:rFonts w:hint="eastAsia"/>
          <w:b/>
          <w:bCs/>
          <w:color w:val="auto"/>
          <w:highlight w:val="none"/>
        </w:rPr>
        <w:t>（2）其它业务</w:t>
      </w:r>
    </w:p>
    <w:tbl>
      <w:tblPr>
        <w:tblStyle w:val="23"/>
        <w:tblW w:w="8322" w:type="dxa"/>
        <w:tblInd w:w="93" w:type="dxa"/>
        <w:tblLayout w:type="autofit"/>
        <w:tblCellMar>
          <w:top w:w="0" w:type="dxa"/>
          <w:left w:w="108" w:type="dxa"/>
          <w:bottom w:w="0" w:type="dxa"/>
          <w:right w:w="108" w:type="dxa"/>
        </w:tblCellMar>
      </w:tblPr>
      <w:tblGrid>
        <w:gridCol w:w="2142"/>
        <w:gridCol w:w="3260"/>
        <w:gridCol w:w="2920"/>
      </w:tblGrid>
      <w:tr>
        <w:tblPrEx>
          <w:tblCellMar>
            <w:top w:w="0" w:type="dxa"/>
            <w:left w:w="108" w:type="dxa"/>
            <w:bottom w:w="0" w:type="dxa"/>
            <w:right w:w="108" w:type="dxa"/>
          </w:tblCellMar>
        </w:tblPrEx>
        <w:trPr>
          <w:trHeight w:val="462" w:hRule="atLeast"/>
        </w:trPr>
        <w:tc>
          <w:tcPr>
            <w:tcW w:w="21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其它业务</w:t>
            </w:r>
          </w:p>
        </w:tc>
        <w:tc>
          <w:tcPr>
            <w:tcW w:w="326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限价（元/年）</w:t>
            </w:r>
          </w:p>
        </w:tc>
        <w:tc>
          <w:tcPr>
            <w:tcW w:w="292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报价（元/年）</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bCs/>
                <w:color w:val="auto"/>
                <w:szCs w:val="21"/>
                <w:highlight w:val="none"/>
              </w:rPr>
            </w:pPr>
            <w:r>
              <w:rPr>
                <w:rFonts w:hint="eastAsia" w:ascii="宋体" w:hAnsi="宋体" w:cs="宋体"/>
                <w:bCs/>
                <w:color w:val="auto"/>
                <w:szCs w:val="21"/>
                <w:highlight w:val="none"/>
              </w:rPr>
              <w:t>仓库后勤业务</w:t>
            </w:r>
          </w:p>
        </w:tc>
        <w:tc>
          <w:tcPr>
            <w:tcW w:w="326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127200.00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bCs/>
                <w:color w:val="auto"/>
                <w:szCs w:val="21"/>
                <w:highlight w:val="none"/>
              </w:rPr>
            </w:pPr>
            <w:r>
              <w:rPr>
                <w:rFonts w:hint="eastAsia" w:ascii="宋体" w:hAnsi="宋体" w:cs="宋体"/>
                <w:bCs/>
                <w:color w:val="auto"/>
                <w:szCs w:val="21"/>
                <w:highlight w:val="none"/>
              </w:rPr>
              <w:t>叉车业务</w:t>
            </w:r>
          </w:p>
        </w:tc>
        <w:tc>
          <w:tcPr>
            <w:tcW w:w="326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148800.00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bCs/>
                <w:color w:val="auto"/>
                <w:szCs w:val="21"/>
                <w:highlight w:val="none"/>
              </w:rPr>
            </w:pPr>
            <w:r>
              <w:rPr>
                <w:rFonts w:hint="eastAsia" w:ascii="宋体" w:hAnsi="宋体" w:cs="宋体"/>
                <w:bCs/>
                <w:color w:val="auto"/>
                <w:szCs w:val="21"/>
                <w:highlight w:val="none"/>
              </w:rPr>
              <w:t>电工业务</w:t>
            </w:r>
          </w:p>
        </w:tc>
        <w:tc>
          <w:tcPr>
            <w:tcW w:w="326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106800.00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bCs/>
                <w:color w:val="auto"/>
                <w:szCs w:val="21"/>
                <w:highlight w:val="none"/>
              </w:rPr>
            </w:pPr>
            <w:r>
              <w:rPr>
                <w:rFonts w:hint="eastAsia" w:ascii="宋体" w:hAnsi="宋体" w:cs="宋体"/>
                <w:bCs/>
                <w:color w:val="auto"/>
                <w:szCs w:val="21"/>
                <w:highlight w:val="none"/>
              </w:rPr>
              <w:t>喷码业务</w:t>
            </w:r>
          </w:p>
        </w:tc>
        <w:tc>
          <w:tcPr>
            <w:tcW w:w="326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72000.00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bCs/>
                <w:color w:val="auto"/>
                <w:szCs w:val="21"/>
                <w:highlight w:val="none"/>
              </w:rPr>
            </w:pPr>
            <w:r>
              <w:rPr>
                <w:rFonts w:hint="eastAsia" w:ascii="宋体" w:hAnsi="宋体" w:cs="宋体"/>
                <w:bCs/>
                <w:color w:val="auto"/>
                <w:szCs w:val="21"/>
                <w:highlight w:val="none"/>
              </w:rPr>
              <w:t>厨房业务</w:t>
            </w:r>
          </w:p>
        </w:tc>
        <w:tc>
          <w:tcPr>
            <w:tcW w:w="326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146800.00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bCs/>
                <w:color w:val="auto"/>
                <w:szCs w:val="21"/>
                <w:highlight w:val="none"/>
              </w:rPr>
            </w:pPr>
            <w:r>
              <w:rPr>
                <w:rFonts w:hint="eastAsia" w:ascii="宋体" w:hAnsi="宋体" w:cs="宋体"/>
                <w:bCs/>
                <w:color w:val="auto"/>
                <w:szCs w:val="21"/>
                <w:highlight w:val="none"/>
              </w:rPr>
              <w:t>清洁业务</w:t>
            </w:r>
          </w:p>
        </w:tc>
        <w:tc>
          <w:tcPr>
            <w:tcW w:w="326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42800.00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726" w:hRule="atLeast"/>
        </w:trPr>
        <w:tc>
          <w:tcPr>
            <w:tcW w:w="83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ascii="宋体" w:hAnsi="宋体" w:cs="宋体"/>
                <w:b/>
                <w:bCs/>
                <w:color w:val="auto"/>
                <w:szCs w:val="21"/>
                <w:highlight w:val="none"/>
              </w:rPr>
            </w:pPr>
            <w:r>
              <w:rPr>
                <w:rFonts w:hint="eastAsia" w:ascii="宋体" w:hAnsi="宋体" w:cs="宋体"/>
                <w:b/>
                <w:bCs/>
                <w:color w:val="auto"/>
                <w:szCs w:val="21"/>
                <w:highlight w:val="none"/>
              </w:rPr>
              <w:t>其它业务全年合计：</w:t>
            </w:r>
          </w:p>
        </w:tc>
      </w:tr>
    </w:tbl>
    <w:p>
      <w:pPr>
        <w:rPr>
          <w:color w:val="auto"/>
          <w:highlight w:val="none"/>
        </w:rPr>
      </w:pPr>
    </w:p>
    <w:p>
      <w:pPr>
        <w:pStyle w:val="8"/>
        <w:rPr>
          <w:color w:val="auto"/>
          <w:highlight w:val="none"/>
        </w:rPr>
      </w:pPr>
      <w:bookmarkStart w:id="187" w:name="_Toc72762905"/>
      <w:bookmarkStart w:id="188" w:name="_Toc72762536"/>
      <w:bookmarkStart w:id="189" w:name="_Toc29308827"/>
      <w:bookmarkStart w:id="190" w:name="_Toc74213096"/>
      <w:r>
        <w:rPr>
          <w:rFonts w:hint="eastAsia"/>
          <w:color w:val="auto"/>
          <w:highlight w:val="none"/>
        </w:rPr>
        <w:t>三、服务要求</w:t>
      </w:r>
      <w:bookmarkEnd w:id="187"/>
      <w:bookmarkEnd w:id="188"/>
      <w:bookmarkEnd w:id="189"/>
      <w:bookmarkEnd w:id="190"/>
    </w:p>
    <w:p>
      <w:pPr>
        <w:numPr>
          <w:ilvl w:val="0"/>
          <w:numId w:val="9"/>
        </w:numPr>
        <w:tabs>
          <w:tab w:val="left" w:pos="420"/>
          <w:tab w:val="left" w:pos="630"/>
        </w:tabs>
        <w:spacing w:line="400" w:lineRule="exact"/>
        <w:rPr>
          <w:rFonts w:ascii="宋体" w:hAnsi="宋体" w:cs="宋体"/>
          <w:b/>
          <w:bCs/>
          <w:color w:val="auto"/>
          <w:szCs w:val="21"/>
          <w:highlight w:val="none"/>
        </w:rPr>
      </w:pPr>
      <w:r>
        <w:rPr>
          <w:rFonts w:hint="eastAsia" w:ascii="宋体" w:hAnsi="宋体" w:cs="宋体"/>
          <w:b/>
          <w:bCs/>
          <w:color w:val="auto"/>
          <w:szCs w:val="21"/>
          <w:highlight w:val="none"/>
        </w:rPr>
        <w:t>基本服务要求</w:t>
      </w:r>
    </w:p>
    <w:p>
      <w:pPr>
        <w:tabs>
          <w:tab w:val="left" w:pos="420"/>
        </w:tabs>
        <w:ind w:firstLine="420" w:firstLineChars="200"/>
        <w:rPr>
          <w:rFonts w:ascii="宋体" w:hAnsi="宋体" w:cs="宋体"/>
          <w:color w:val="auto"/>
          <w:szCs w:val="21"/>
          <w:highlight w:val="none"/>
        </w:rPr>
      </w:pPr>
      <w:r>
        <w:rPr>
          <w:rFonts w:hint="eastAsia" w:ascii="宋体" w:hAnsi="宋体" w:cs="宋体"/>
          <w:bCs/>
          <w:color w:val="auto"/>
          <w:szCs w:val="21"/>
          <w:highlight w:val="none"/>
        </w:rPr>
        <w:t>1、根据采购人需求为服务人员提供服务；中标人及服务人员必须遵守采购人相关管理规定。</w:t>
      </w:r>
    </w:p>
    <w:p>
      <w:pPr>
        <w:widowControl w:val="0"/>
        <w:tabs>
          <w:tab w:val="left" w:pos="420"/>
          <w:tab w:val="left" w:pos="630"/>
        </w:tabs>
        <w:adjustRightInd/>
        <w:ind w:firstLine="420" w:firstLineChars="200"/>
        <w:jc w:val="both"/>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中标人负责服务人员劳动人事关系管理职能工作，其中包括办理服务人员入职手续、人事档案管理、接收党组织关系和工会关系、职称评定、从业资格认定、缴交社会保险、劳资纠纷和工伤意外处理、服务人员请休假安排等人事管理工作，服务期内发生劳资纠纷由中标人负责处理。</w:t>
      </w:r>
    </w:p>
    <w:p>
      <w:pPr>
        <w:widowControl w:val="0"/>
        <w:tabs>
          <w:tab w:val="left" w:pos="420"/>
          <w:tab w:val="left" w:pos="636"/>
        </w:tabs>
        <w:adjustRightInd/>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3、中标人对项目的管理方案、组织架构、人员录用等建立的各项规章制度，在实施前应与采购人协商，符合采购人工作管理制度后方可实施。</w:t>
      </w:r>
    </w:p>
    <w:p>
      <w:pPr>
        <w:tabs>
          <w:tab w:val="left" w:pos="420"/>
          <w:tab w:val="left" w:pos="636"/>
        </w:tabs>
        <w:ind w:firstLine="420" w:firstLineChars="200"/>
        <w:rPr>
          <w:rFonts w:ascii="宋体" w:hAnsi="宋体" w:cs="宋体"/>
          <w:color w:val="auto"/>
          <w:szCs w:val="21"/>
          <w:highlight w:val="none"/>
        </w:rPr>
      </w:pPr>
      <w:r>
        <w:rPr>
          <w:rFonts w:hint="eastAsia" w:ascii="宋体" w:hAnsi="宋体" w:cs="宋体"/>
          <w:bCs/>
          <w:color w:val="auto"/>
          <w:szCs w:val="21"/>
          <w:highlight w:val="none"/>
        </w:rPr>
        <w:t>4、中标人须为服务人员购买社会保险、保证按采购人要求进行</w:t>
      </w:r>
      <w:r>
        <w:rPr>
          <w:rFonts w:ascii="宋体" w:hAnsi="宋体" w:cs="仿宋_GB2312"/>
          <w:color w:val="auto"/>
          <w:szCs w:val="21"/>
          <w:highlight w:val="none"/>
        </w:rPr>
        <w:t>工资发放</w:t>
      </w:r>
      <w:r>
        <w:rPr>
          <w:rFonts w:hint="eastAsia" w:ascii="宋体" w:hAnsi="宋体" w:cs="宋体"/>
          <w:bCs/>
          <w:color w:val="auto"/>
          <w:szCs w:val="21"/>
          <w:highlight w:val="none"/>
        </w:rPr>
        <w:t>。</w:t>
      </w:r>
    </w:p>
    <w:p>
      <w:pPr>
        <w:tabs>
          <w:tab w:val="left" w:pos="420"/>
          <w:tab w:val="left" w:pos="636"/>
        </w:tabs>
        <w:spacing w:line="400" w:lineRule="exact"/>
        <w:rPr>
          <w:rFonts w:ascii="宋体" w:hAnsi="宋体" w:cs="宋体"/>
          <w:b/>
          <w:bCs/>
          <w:color w:val="auto"/>
          <w:szCs w:val="21"/>
          <w:highlight w:val="none"/>
        </w:rPr>
      </w:pPr>
      <w:r>
        <w:rPr>
          <w:rFonts w:hint="eastAsia" w:ascii="宋体" w:hAnsi="宋体" w:cs="宋体"/>
          <w:b/>
          <w:bCs/>
          <w:color w:val="auto"/>
          <w:szCs w:val="21"/>
          <w:highlight w:val="none"/>
        </w:rPr>
        <w:t>（二）主要服务要求（包括但不限于）</w:t>
      </w:r>
    </w:p>
    <w:p>
      <w:pPr>
        <w:numPr>
          <w:ilvl w:val="6"/>
          <w:numId w:val="10"/>
        </w:numPr>
        <w:tabs>
          <w:tab w:val="left" w:pos="420"/>
          <w:tab w:val="left" w:pos="636"/>
        </w:tabs>
        <w:spacing w:before="108" w:beforeLines="30" w:after="108" w:afterLines="30" w:line="400" w:lineRule="exact"/>
        <w:ind w:left="2943" w:hanging="2943"/>
        <w:rPr>
          <w:rFonts w:ascii="宋体" w:hAnsi="宋体" w:cs="宋体"/>
          <w:b/>
          <w:color w:val="auto"/>
          <w:szCs w:val="21"/>
          <w:highlight w:val="none"/>
        </w:rPr>
      </w:pPr>
      <w:r>
        <w:rPr>
          <w:rFonts w:hint="eastAsia" w:ascii="宋体" w:hAnsi="宋体" w:cs="宋体"/>
          <w:b/>
          <w:color w:val="auto"/>
          <w:szCs w:val="21"/>
          <w:highlight w:val="none"/>
        </w:rPr>
        <w:t>中标人按采购人具体要求跟进相应服务人员完成采购单位日常工作；</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中标人负责所有服务人员的人事、劳资、社会保险、计生、基础培训等人事劳资管理工作，并提供为服务人员办理劳动用工手续（签订劳动合同等）、结算发放工资、发放经济补偿金、缴纳社会保险、处理保险理赔、管理人事档案、提供员工培训等方面的管理服务。中标人有义务及时向采购人提供服务人员的有关个人资料，采购人承诺不随意对外泄露。</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2）中标人须依法为服务员工办理五险，为服务员工购买医疗、工伤、养老、失业、生育保险等法律法规规定的各项待遇；如发生工伤、重大疾病、非因公死亡等事故，中标人须依照法律法规规定进行调查处理。</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 xml:space="preserve">3）中标人必须切实有效落实管理制度，中标人根据采购人要求跟进服务人员，服务人员按照采购人单位规章制度和相关岗位职责开展工作。 </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4）中标人应经常性对服务人员进行职业道德教育，监督检察服务人员执行采购单位规章制度的情况，协助采购人对违规违法员工进行处理，维护采购人正常的经营秩序。</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5）中标人须按时发放服务员工的工资，并依法办理社保、意外险和个人所得税的代缴代扣等事宜。</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6）中标人负责处理与服务员工相关的各种劳资纠纷，处理相关的劳动仲裁、诉讼等事宜。</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7）中标人应对服务员工进行培训，包括但不限于上岗前培训、在岗培训等；须根据采购人或用工单位的要求，教育服务员工严格遵守用工单位的规章管理制度，严格遵守劳动纪律，服从用工单位作出的合理工作安排和调度。</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8）中标人应协助用工单位对服务员工进行绩效考核，对考核不达标的服务员工，中标人应根据采购人或用工单位的决定及时进行处理。</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9）中标人及其服务员工在服务期间应严格遵守国家现行的法律法规，包括但不限于《劳动法》、《劳动合同法》等。</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10）中标人应确实做好资金管理，确保资金安全；须对本项目涉及的所有费用开具增值税专用发票。</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11）中标人应及时掌握国家、省、市有关劳动标准、劳动条件、工资、社会保险等方面的最新政策动态，并及时告知采购人或用工单位，积极配合采购人或用工单位对新政策规定的组织实施。</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12）中标人应对采购人委托的各项目的内容予以严格保密。接受派单业务前必须按照国家相关保密规定和采购方签订《保密协议》，对违反《保密协议》相关内容规定的，采购方有权追究其法律责任。</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13）中标人应服从采购人的统筹安排，并严格按照采购人的要求保质保量地提供相应服务。</w:t>
      </w:r>
    </w:p>
    <w:p>
      <w:pPr>
        <w:numPr>
          <w:ilvl w:val="6"/>
          <w:numId w:val="10"/>
        </w:numPr>
        <w:tabs>
          <w:tab w:val="left" w:pos="426"/>
          <w:tab w:val="left" w:pos="636"/>
        </w:tabs>
        <w:spacing w:before="108" w:beforeLines="30" w:after="108" w:afterLines="30" w:line="400" w:lineRule="exact"/>
        <w:ind w:left="2943" w:hanging="2943"/>
        <w:rPr>
          <w:rFonts w:ascii="宋体" w:hAnsi="宋体" w:cs="宋体"/>
          <w:b/>
          <w:color w:val="auto"/>
          <w:szCs w:val="21"/>
          <w:highlight w:val="none"/>
        </w:rPr>
      </w:pPr>
      <w:r>
        <w:rPr>
          <w:rFonts w:hint="eastAsia" w:ascii="宋体" w:hAnsi="宋体" w:cs="宋体"/>
          <w:b/>
          <w:color w:val="auto"/>
          <w:szCs w:val="21"/>
          <w:highlight w:val="none"/>
        </w:rPr>
        <w:t>用工要求</w:t>
      </w:r>
    </w:p>
    <w:p>
      <w:pPr>
        <w:tabs>
          <w:tab w:val="left" w:pos="426"/>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1）采购人根据业务需要情况，以书面形式通知中标人服务需求；</w:t>
      </w:r>
    </w:p>
    <w:p>
      <w:pPr>
        <w:tabs>
          <w:tab w:val="left" w:pos="426"/>
        </w:tabs>
        <w:ind w:firstLine="420" w:firstLineChars="200"/>
        <w:rPr>
          <w:rFonts w:ascii="宋体" w:hAnsi="宋体" w:cs="宋体"/>
          <w:bCs/>
          <w:color w:val="auto"/>
          <w:szCs w:val="21"/>
          <w:highlight w:val="none"/>
        </w:rPr>
      </w:pPr>
      <w:r>
        <w:rPr>
          <w:rFonts w:ascii="宋体" w:hAnsi="宋体" w:cs="宋体"/>
          <w:bCs/>
          <w:color w:val="auto"/>
          <w:szCs w:val="21"/>
          <w:highlight w:val="none"/>
        </w:rPr>
        <w:t>2</w:t>
      </w:r>
      <w:r>
        <w:rPr>
          <w:rFonts w:hint="eastAsia" w:ascii="宋体" w:hAnsi="宋体" w:cs="宋体"/>
          <w:bCs/>
          <w:color w:val="auto"/>
          <w:szCs w:val="21"/>
          <w:highlight w:val="none"/>
        </w:rPr>
        <w:t>）根据实际工作需要提供服务；</w:t>
      </w:r>
    </w:p>
    <w:p>
      <w:pPr>
        <w:tabs>
          <w:tab w:val="left" w:pos="426"/>
        </w:tabs>
        <w:ind w:firstLine="420" w:firstLineChars="200"/>
        <w:rPr>
          <w:rFonts w:ascii="宋体" w:hAnsi="宋体" w:cs="宋体"/>
          <w:bCs/>
          <w:color w:val="auto"/>
          <w:szCs w:val="21"/>
          <w:highlight w:val="none"/>
        </w:rPr>
      </w:pPr>
      <w:r>
        <w:rPr>
          <w:rFonts w:ascii="宋体" w:hAnsi="宋体" w:cs="宋体"/>
          <w:bCs/>
          <w:color w:val="auto"/>
          <w:szCs w:val="21"/>
          <w:highlight w:val="none"/>
        </w:rPr>
        <w:t>3</w:t>
      </w:r>
      <w:r>
        <w:rPr>
          <w:rFonts w:hint="eastAsia" w:ascii="宋体" w:hAnsi="宋体" w:cs="宋体"/>
          <w:bCs/>
          <w:color w:val="auto"/>
          <w:szCs w:val="21"/>
          <w:highlight w:val="none"/>
        </w:rPr>
        <w:t>）中标人收集相关证件并建立员工档案，备份采购单位；</w:t>
      </w:r>
    </w:p>
    <w:p>
      <w:pPr>
        <w:tabs>
          <w:tab w:val="left" w:pos="426"/>
        </w:tabs>
        <w:ind w:firstLine="420" w:firstLineChars="200"/>
        <w:rPr>
          <w:rFonts w:ascii="宋体" w:hAnsi="宋体" w:cs="宋体"/>
          <w:bCs/>
          <w:color w:val="auto"/>
          <w:szCs w:val="21"/>
          <w:highlight w:val="none"/>
        </w:rPr>
      </w:pPr>
      <w:r>
        <w:rPr>
          <w:rFonts w:ascii="宋体" w:hAnsi="宋体" w:cs="宋体"/>
          <w:bCs/>
          <w:color w:val="auto"/>
          <w:szCs w:val="21"/>
          <w:highlight w:val="none"/>
        </w:rPr>
        <w:t>4</w:t>
      </w:r>
      <w:r>
        <w:rPr>
          <w:rFonts w:hint="eastAsia" w:ascii="宋体" w:hAnsi="宋体" w:cs="宋体"/>
          <w:bCs/>
          <w:color w:val="auto"/>
          <w:szCs w:val="21"/>
          <w:highlight w:val="none"/>
        </w:rPr>
        <w:t>）中标人通知拟录用人员入职，并办理相关的入职手续，签订劳动合同等；</w:t>
      </w:r>
    </w:p>
    <w:p>
      <w:pPr>
        <w:tabs>
          <w:tab w:val="left" w:pos="426"/>
        </w:tabs>
        <w:ind w:firstLine="420" w:firstLineChars="200"/>
        <w:rPr>
          <w:rFonts w:ascii="宋体" w:hAnsi="宋体" w:cs="宋体"/>
          <w:bCs/>
          <w:color w:val="auto"/>
          <w:szCs w:val="21"/>
          <w:highlight w:val="none"/>
        </w:rPr>
      </w:pPr>
      <w:r>
        <w:rPr>
          <w:rFonts w:ascii="宋体" w:hAnsi="宋体" w:cs="宋体"/>
          <w:bCs/>
          <w:color w:val="auto"/>
          <w:szCs w:val="21"/>
          <w:highlight w:val="none"/>
        </w:rPr>
        <w:t>5</w:t>
      </w:r>
      <w:r>
        <w:rPr>
          <w:rFonts w:hint="eastAsia" w:ascii="宋体" w:hAnsi="宋体" w:cs="宋体"/>
          <w:bCs/>
          <w:color w:val="auto"/>
          <w:szCs w:val="21"/>
          <w:highlight w:val="none"/>
        </w:rPr>
        <w:t>）采购人有权要求调换不适合岗位要求的服务人员，非因采购人提出更换服务人员要求，中标人不得随意调换服务人员，调换须与采购人协商。</w:t>
      </w:r>
    </w:p>
    <w:p>
      <w:pPr>
        <w:rPr>
          <w:color w:val="auto"/>
          <w:highlight w:val="none"/>
        </w:rPr>
      </w:pPr>
    </w:p>
    <w:p>
      <w:pPr>
        <w:pStyle w:val="8"/>
        <w:rPr>
          <w:color w:val="auto"/>
          <w:highlight w:val="none"/>
        </w:rPr>
      </w:pPr>
      <w:r>
        <w:rPr>
          <w:rFonts w:hint="eastAsia"/>
          <w:color w:val="auto"/>
          <w:highlight w:val="none"/>
        </w:rPr>
        <w:t>四、服务人员的管理</w:t>
      </w:r>
    </w:p>
    <w:p>
      <w:pPr>
        <w:tabs>
          <w:tab w:val="left" w:pos="426"/>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中标人应教育服务人员遵守国家法律法规以及采购单位的规章制度、管理规范和劳动纪律，服从和执行采购人的工作安排和调度，接受采购人管理人员的检查监督，中标人必须建立完善的培训制度，包括岗前培训、日常技能培训、配合采购人业务培训等；</w:t>
      </w:r>
    </w:p>
    <w:p>
      <w:pPr>
        <w:tabs>
          <w:tab w:val="left" w:pos="426"/>
        </w:tabs>
        <w:ind w:firstLine="420" w:firstLineChars="200"/>
        <w:rPr>
          <w:rFonts w:ascii="宋体" w:hAnsi="宋体" w:cs="宋体"/>
          <w:bCs/>
          <w:color w:val="auto"/>
          <w:szCs w:val="21"/>
          <w:highlight w:val="none"/>
        </w:rPr>
      </w:pPr>
      <w:r>
        <w:rPr>
          <w:rFonts w:ascii="宋体" w:hAnsi="宋体" w:cs="宋体"/>
          <w:bCs/>
          <w:color w:val="auto"/>
          <w:szCs w:val="21"/>
          <w:highlight w:val="none"/>
        </w:rPr>
        <w:t>2</w:t>
      </w:r>
      <w:r>
        <w:rPr>
          <w:rFonts w:hint="eastAsia" w:ascii="宋体" w:hAnsi="宋体" w:cs="宋体"/>
          <w:bCs/>
          <w:color w:val="auto"/>
          <w:szCs w:val="21"/>
          <w:highlight w:val="none"/>
        </w:rPr>
        <w:t>、由于采购人单位性质原因，要求服务人员必须严守秘密，不能泄露与工作有关的任何信息。中标人应教育服务人员不得以任何形式向他人提供或泄露采购单位的涉密信息；服务人员及中标人应按规定与采购人签订保密协议。</w:t>
      </w:r>
    </w:p>
    <w:p>
      <w:pPr>
        <w:tabs>
          <w:tab w:val="left" w:pos="426"/>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3、中标人负责考勤管理、绩效考核及工作期间的日常管理等事项，采购人可协助考勤工作；</w:t>
      </w:r>
    </w:p>
    <w:p>
      <w:pPr>
        <w:tabs>
          <w:tab w:val="left" w:pos="426"/>
        </w:tabs>
        <w:ind w:firstLine="420" w:firstLineChars="200"/>
        <w:rPr>
          <w:rFonts w:ascii="宋体" w:hAnsi="宋体" w:cs="宋体"/>
          <w:bCs/>
          <w:color w:val="auto"/>
          <w:szCs w:val="21"/>
          <w:highlight w:val="none"/>
        </w:rPr>
      </w:pPr>
      <w:r>
        <w:rPr>
          <w:rFonts w:ascii="宋体" w:hAnsi="宋体" w:cs="宋体"/>
          <w:bCs/>
          <w:color w:val="auto"/>
          <w:szCs w:val="21"/>
          <w:highlight w:val="none"/>
        </w:rPr>
        <w:t>4</w:t>
      </w:r>
      <w:r>
        <w:rPr>
          <w:rFonts w:hint="eastAsia" w:ascii="宋体" w:hAnsi="宋体" w:cs="宋体"/>
          <w:bCs/>
          <w:color w:val="auto"/>
          <w:szCs w:val="21"/>
          <w:highlight w:val="none"/>
        </w:rPr>
        <w:t>、服务人员不服从采购人日常工作管理以及违反采购人的劳动纪律的，采购人有权依据有关管理规定通知中标人进行相应的处理，考核不合格者，依据采购人及中标人相关制度处理。</w:t>
      </w:r>
    </w:p>
    <w:p>
      <w:pPr>
        <w:tabs>
          <w:tab w:val="left" w:pos="426"/>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5、中标人全权负责服务人员的用工管理、劳务纠纷处理与社保办理、退休办理以及涉及劳动关系的所有事宜，与服务人员签订劳动合同并将劳动合同提供采购单位备案。</w:t>
      </w:r>
    </w:p>
    <w:p>
      <w:pPr>
        <w:rPr>
          <w:color w:val="auto"/>
          <w:highlight w:val="none"/>
        </w:rPr>
      </w:pPr>
    </w:p>
    <w:p>
      <w:pPr>
        <w:pStyle w:val="8"/>
        <w:rPr>
          <w:color w:val="auto"/>
          <w:highlight w:val="none"/>
        </w:rPr>
      </w:pPr>
      <w:r>
        <w:rPr>
          <w:rFonts w:hint="eastAsia"/>
          <w:color w:val="auto"/>
          <w:highlight w:val="none"/>
        </w:rPr>
        <w:t>五、服务费用</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本项目预算包括的费用项目如下：</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（一）基本费用：</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1.工资：服务人员按规定完成相关工作，可以获得相应工资；</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2.五险：中标人需按相关法律法规为服务人员缴纳社会保险；</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3.管理费及其他费用：涉及本项目的人员管理费用及其他费用（包括但不限于人员工资、社保、意外险、残疾人就业保障金等）。</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（二）服务人员具体工资项目根据实际业务服务在劳动合同内确定；</w:t>
      </w:r>
    </w:p>
    <w:p>
      <w:pPr>
        <w:tabs>
          <w:tab w:val="left" w:pos="426"/>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（三）可根据实际情况调整项目费用或工资项目，由采购人与中标人协商执行。</w:t>
      </w:r>
    </w:p>
    <w:p>
      <w:pPr>
        <w:rPr>
          <w:color w:val="auto"/>
          <w:highlight w:val="none"/>
        </w:rPr>
      </w:pPr>
    </w:p>
    <w:p>
      <w:pPr>
        <w:pStyle w:val="8"/>
        <w:rPr>
          <w:color w:val="auto"/>
          <w:highlight w:val="none"/>
        </w:rPr>
      </w:pPr>
      <w:r>
        <w:rPr>
          <w:rFonts w:hint="eastAsia"/>
          <w:color w:val="auto"/>
          <w:highlight w:val="none"/>
        </w:rPr>
        <w:t>六、违约责任</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1、未经采购人同意，中标人不得将承接项目发包或转包，否则，视为中标人违约，采购人可以上报监督管理部门后解除服务合同。</w:t>
      </w:r>
    </w:p>
    <w:p>
      <w:pPr>
        <w:tabs>
          <w:tab w:val="left" w:pos="420"/>
        </w:tabs>
        <w:ind w:firstLine="420" w:firstLineChars="200"/>
        <w:rPr>
          <w:rFonts w:ascii="宋体" w:hAnsi="宋体" w:cs="宋体"/>
          <w:bCs/>
          <w:color w:val="auto"/>
          <w:szCs w:val="21"/>
          <w:highlight w:val="none"/>
        </w:rPr>
      </w:pPr>
      <w:r>
        <w:rPr>
          <w:rFonts w:ascii="宋体" w:hAnsi="宋体" w:cs="宋体"/>
          <w:bCs/>
          <w:color w:val="auto"/>
          <w:szCs w:val="21"/>
          <w:highlight w:val="none"/>
        </w:rPr>
        <w:t>2</w:t>
      </w:r>
      <w:r>
        <w:rPr>
          <w:rFonts w:hint="eastAsia" w:ascii="宋体" w:hAnsi="宋体" w:cs="宋体"/>
          <w:bCs/>
          <w:color w:val="auto"/>
          <w:szCs w:val="21"/>
          <w:highlight w:val="none"/>
        </w:rPr>
        <w:t>、未经采购人同意，中标人不得随意更换服务人员，否则，视为中标人违约，采购人可以上报监督管理部门后解除服务合同。</w:t>
      </w:r>
    </w:p>
    <w:p>
      <w:pPr>
        <w:tabs>
          <w:tab w:val="left" w:pos="420"/>
        </w:tabs>
        <w:ind w:firstLine="420" w:firstLineChars="200"/>
        <w:rPr>
          <w:rFonts w:ascii="宋体" w:hAnsi="宋体" w:cs="宋体"/>
          <w:bCs/>
          <w:color w:val="auto"/>
          <w:szCs w:val="21"/>
          <w:highlight w:val="none"/>
        </w:rPr>
      </w:pPr>
      <w:r>
        <w:rPr>
          <w:rFonts w:ascii="宋体" w:hAnsi="宋体" w:cs="宋体"/>
          <w:bCs/>
          <w:color w:val="auto"/>
          <w:szCs w:val="21"/>
          <w:highlight w:val="none"/>
        </w:rPr>
        <w:t>3</w:t>
      </w:r>
      <w:r>
        <w:rPr>
          <w:rFonts w:hint="eastAsia" w:ascii="宋体" w:hAnsi="宋体" w:cs="宋体"/>
          <w:bCs/>
          <w:color w:val="auto"/>
          <w:szCs w:val="21"/>
          <w:highlight w:val="none"/>
        </w:rPr>
        <w:t>、由于中标人工作失误的原因，造成服务人员的经济损失，所产生的损失及后果由中标人承担。</w:t>
      </w:r>
    </w:p>
    <w:p>
      <w:pPr>
        <w:tabs>
          <w:tab w:val="left" w:pos="420"/>
        </w:tabs>
        <w:ind w:firstLine="420" w:firstLineChars="200"/>
        <w:rPr>
          <w:rFonts w:ascii="宋体" w:hAnsi="宋体" w:cs="宋体"/>
          <w:bCs/>
          <w:color w:val="auto"/>
          <w:szCs w:val="21"/>
          <w:highlight w:val="none"/>
        </w:rPr>
      </w:pPr>
      <w:r>
        <w:rPr>
          <w:rFonts w:ascii="宋体" w:hAnsi="宋体" w:cs="宋体"/>
          <w:bCs/>
          <w:color w:val="auto"/>
          <w:szCs w:val="21"/>
          <w:highlight w:val="none"/>
        </w:rPr>
        <w:t>4</w:t>
      </w:r>
      <w:r>
        <w:rPr>
          <w:rFonts w:hint="eastAsia" w:ascii="宋体" w:hAnsi="宋体" w:cs="宋体"/>
          <w:bCs/>
          <w:color w:val="auto"/>
          <w:szCs w:val="21"/>
          <w:highlight w:val="none"/>
        </w:rPr>
        <w:t>、若中标人在签订合同并生效后30天内未能按采购人要求安排服务人员签合同，则视为中标人主动违约，采购人有权终止合同。</w:t>
      </w:r>
    </w:p>
    <w:p>
      <w:pPr>
        <w:tabs>
          <w:tab w:val="left" w:pos="420"/>
        </w:tabs>
        <w:ind w:firstLine="420" w:firstLineChars="200"/>
        <w:rPr>
          <w:rFonts w:ascii="宋体" w:hAnsi="宋体" w:cs="宋体"/>
          <w:bCs/>
          <w:color w:val="auto"/>
          <w:szCs w:val="21"/>
          <w:highlight w:val="none"/>
        </w:rPr>
      </w:pPr>
      <w:r>
        <w:rPr>
          <w:rFonts w:ascii="宋体" w:hAnsi="宋体" w:cs="宋体"/>
          <w:bCs/>
          <w:color w:val="auto"/>
          <w:szCs w:val="21"/>
          <w:highlight w:val="none"/>
        </w:rPr>
        <w:t>5</w:t>
      </w:r>
      <w:r>
        <w:rPr>
          <w:rFonts w:hint="eastAsia" w:ascii="宋体" w:hAnsi="宋体" w:cs="宋体"/>
          <w:bCs/>
          <w:color w:val="auto"/>
          <w:szCs w:val="21"/>
          <w:highlight w:val="none"/>
        </w:rPr>
        <w:t>、若中标人在服务某阶段时期内违反其服务承诺或本招标文件的要求三次或以上，则视为中标人违约，采购人有权拒绝支付本期项目服务费。</w:t>
      </w:r>
    </w:p>
    <w:p>
      <w:pPr>
        <w:rPr>
          <w:color w:val="auto"/>
          <w:highlight w:val="none"/>
        </w:rPr>
      </w:pPr>
    </w:p>
    <w:p>
      <w:pPr>
        <w:pStyle w:val="8"/>
        <w:rPr>
          <w:color w:val="auto"/>
          <w:highlight w:val="none"/>
        </w:rPr>
      </w:pPr>
      <w:r>
        <w:rPr>
          <w:rFonts w:hint="eastAsia"/>
          <w:color w:val="auto"/>
          <w:highlight w:val="none"/>
        </w:rPr>
        <w:t>七、对服务项目的监督和管理</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（一）各方职责：</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1、采购人为项目甲方角色，对中标人的服务实施活动进行全过程监督、检查和管理。负责项目的决策和总体监督，对项目的宏观的把握和整体推进。</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2、中标人为项目乙方角色，承担服务项目需求调研、具体的实施工作，受到采购人的监督和管理。</w:t>
      </w:r>
    </w:p>
    <w:p>
      <w:pPr>
        <w:tabs>
          <w:tab w:val="left" w:pos="420"/>
        </w:tabs>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二）服务项目要求：中标人必须就采购人提供的全部内容和服务要求做出回应，提供切合该服务项目的整体解决方案，并在项目范围内完成指定的工作和负责解决全部的业务问题。中标人必须对采购人提出的有关问题和置疑作出实质性的回应。</w:t>
      </w:r>
    </w:p>
    <w:p>
      <w:pPr>
        <w:rPr>
          <w:color w:val="auto"/>
          <w:highlight w:val="none"/>
        </w:rPr>
      </w:pPr>
    </w:p>
    <w:p>
      <w:pPr>
        <w:pStyle w:val="8"/>
        <w:rPr>
          <w:color w:val="auto"/>
          <w:highlight w:val="none"/>
        </w:rPr>
      </w:pPr>
      <w:r>
        <w:rPr>
          <w:rFonts w:hint="eastAsia"/>
          <w:color w:val="auto"/>
          <w:highlight w:val="none"/>
        </w:rPr>
        <w:t>八、采购人配合条件</w:t>
      </w:r>
    </w:p>
    <w:p>
      <w:pPr>
        <w:rPr>
          <w:rFonts w:ascii="宋体" w:hAnsi="宋体" w:cs="宋体"/>
          <w:bCs/>
          <w:color w:val="auto"/>
          <w:szCs w:val="21"/>
          <w:highlight w:val="none"/>
        </w:rPr>
      </w:pPr>
      <w:r>
        <w:rPr>
          <w:rFonts w:hint="eastAsia" w:ascii="宋体" w:hAnsi="宋体" w:cs="宋体"/>
          <w:bCs/>
          <w:color w:val="auto"/>
          <w:szCs w:val="21"/>
          <w:highlight w:val="none"/>
        </w:rPr>
        <w:t>投标人在投标文件中要列明在项目实施过程中要求采购人提供的配合条件。</w:t>
      </w:r>
    </w:p>
    <w:p>
      <w:pPr>
        <w:rPr>
          <w:color w:val="auto"/>
          <w:highlight w:val="none"/>
        </w:rPr>
      </w:pPr>
    </w:p>
    <w:p>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3"/>
      <w:bookmarkEnd w:id="184"/>
      <w:bookmarkEnd w:id="185"/>
      <w:bookmarkEnd w:id="186"/>
      <w:bookmarkStart w:id="191" w:name="_Toc21448"/>
      <w:bookmarkStart w:id="192" w:name="_Toc12485"/>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6"/>
        <w:pageBreakBefore w:val="0"/>
        <w:kinsoku/>
        <w:wordWrap/>
        <w:overflowPunct/>
        <w:topLinePunct w:val="0"/>
        <w:bidi w:val="0"/>
        <w:spacing w:before="0" w:after="0" w:line="360" w:lineRule="auto"/>
        <w:ind w:left="0" w:leftChars="0"/>
        <w:textAlignment w:val="auto"/>
        <w:rPr>
          <w:rFonts w:hint="eastAsia" w:ascii="宋体" w:hAnsi="宋体" w:eastAsia="宋体" w:cs="宋体"/>
          <w:color w:val="auto"/>
          <w:sz w:val="21"/>
          <w:szCs w:val="21"/>
          <w:highlight w:val="none"/>
        </w:rPr>
      </w:pPr>
      <w:bookmarkStart w:id="193" w:name="_Toc12014"/>
      <w:r>
        <w:rPr>
          <w:rFonts w:hint="eastAsia" w:ascii="宋体" w:hAnsi="宋体" w:eastAsia="宋体" w:cs="宋体"/>
          <w:color w:val="auto"/>
          <w:sz w:val="21"/>
          <w:szCs w:val="21"/>
          <w:highlight w:val="none"/>
        </w:rPr>
        <w:t>第六部分 合同格式（仅供参考）</w:t>
      </w:r>
      <w:bookmarkEnd w:id="191"/>
      <w:bookmarkEnd w:id="192"/>
      <w:bookmarkEnd w:id="193"/>
      <w:bookmarkStart w:id="194" w:name="_Toc21155"/>
      <w:bookmarkStart w:id="195" w:name="_Toc13430"/>
      <w:bookmarkStart w:id="196" w:name="_Toc1534"/>
    </w:p>
    <w:p>
      <w:pPr>
        <w:pStyle w:val="7"/>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bookmarkStart w:id="197" w:name="_Toc16730"/>
      <w:bookmarkStart w:id="198" w:name="_Toc19575"/>
      <w:bookmarkStart w:id="199" w:name="_Toc8880"/>
      <w:r>
        <w:rPr>
          <w:rFonts w:hint="eastAsia" w:ascii="宋体" w:hAnsi="宋体" w:eastAsia="宋体" w:cs="宋体"/>
          <w:color w:val="auto"/>
          <w:sz w:val="21"/>
          <w:szCs w:val="21"/>
          <w:highlight w:val="none"/>
        </w:rPr>
        <w:t>合同格式</w:t>
      </w:r>
      <w:bookmarkEnd w:id="194"/>
      <w:bookmarkEnd w:id="195"/>
      <w:bookmarkEnd w:id="196"/>
      <w:bookmarkEnd w:id="197"/>
      <w:bookmarkEnd w:id="198"/>
      <w:bookmarkEnd w:id="199"/>
    </w:p>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p>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甲方：广东省盐业集团东莞有限公司</w:t>
      </w:r>
    </w:p>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地址：广东省东莞市莞城街道东城西路银月楼172号111室</w:t>
      </w:r>
    </w:p>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法定代表人：陈洪晓</w:t>
      </w:r>
    </w:p>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业务联系人：鲁文博</w:t>
      </w:r>
    </w:p>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联系方式：0769-22380236</w:t>
      </w:r>
    </w:p>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p>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乙方：</w:t>
      </w:r>
    </w:p>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地址： </w:t>
      </w:r>
    </w:p>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法定代表人：</w:t>
      </w:r>
    </w:p>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业务联系人：</w:t>
      </w:r>
    </w:p>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联系方式：</w:t>
      </w:r>
    </w:p>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p>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第一章  总  则</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211" w:firstLineChars="1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第一条</w:t>
      </w:r>
      <w:r>
        <w:rPr>
          <w:rFonts w:hint="eastAsia" w:ascii="宋体" w:hAnsi="宋体" w:eastAsia="宋体" w:cs="宋体"/>
          <w:color w:val="auto"/>
          <w:sz w:val="21"/>
          <w:szCs w:val="21"/>
          <w:highlight w:val="none"/>
        </w:rPr>
        <w:t xml:space="preserve">  甲、乙双方本着友好合作、平等互惠、优势互补的原则，经友好协商，就甲方</w:t>
      </w:r>
      <w:r>
        <w:rPr>
          <w:rFonts w:hint="eastAsia" w:ascii="宋体" w:hAnsi="宋体" w:eastAsia="宋体" w:cs="宋体"/>
          <w:color w:val="auto"/>
          <w:sz w:val="21"/>
          <w:szCs w:val="21"/>
          <w:highlight w:val="none"/>
          <w:lang w:eastAsia="zh-CN"/>
        </w:rPr>
        <w:t>服务外包</w:t>
      </w:r>
      <w:r>
        <w:rPr>
          <w:rFonts w:hint="eastAsia" w:ascii="宋体" w:hAnsi="宋体" w:eastAsia="宋体" w:cs="宋体"/>
          <w:color w:val="auto"/>
          <w:sz w:val="21"/>
          <w:szCs w:val="21"/>
          <w:highlight w:val="none"/>
        </w:rPr>
        <w:t>事宜，达成一致共同签署本合同，以资共同遵守。</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 xml:space="preserve">第二条  </w:t>
      </w:r>
      <w:r>
        <w:rPr>
          <w:rFonts w:hint="eastAsia" w:ascii="宋体" w:hAnsi="宋体" w:eastAsia="宋体" w:cs="宋体"/>
          <w:color w:val="auto"/>
          <w:sz w:val="21"/>
          <w:szCs w:val="21"/>
          <w:highlight w:val="none"/>
        </w:rPr>
        <w:t>本协议所称的</w:t>
      </w:r>
      <w:r>
        <w:rPr>
          <w:rFonts w:hint="eastAsia" w:ascii="宋体" w:hAnsi="宋体" w:eastAsia="宋体" w:cs="宋体"/>
          <w:color w:val="auto"/>
          <w:sz w:val="21"/>
          <w:szCs w:val="21"/>
          <w:highlight w:val="none"/>
          <w:lang w:eastAsia="zh-CN"/>
        </w:rPr>
        <w:t>服务外包</w:t>
      </w:r>
      <w:r>
        <w:rPr>
          <w:rFonts w:hint="eastAsia" w:ascii="宋体" w:hAnsi="宋体" w:eastAsia="宋体" w:cs="宋体"/>
          <w:color w:val="auto"/>
          <w:sz w:val="21"/>
          <w:szCs w:val="21"/>
          <w:highlight w:val="none"/>
        </w:rPr>
        <w:t>，是指甲方与乙方以签订合同的形式，将业务委托给乙方承担，乙方根据合同按甲方的要求完成工作，甲方与乙方建立合同关系，并向乙方支付服务外包费用。</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p>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第二章  外包内容</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 xml:space="preserve">第三条  </w:t>
      </w:r>
      <w:r>
        <w:rPr>
          <w:rFonts w:hint="eastAsia" w:ascii="宋体" w:hAnsi="宋体" w:eastAsia="宋体" w:cs="宋体"/>
          <w:color w:val="auto"/>
          <w:sz w:val="21"/>
          <w:szCs w:val="21"/>
          <w:highlight w:val="none"/>
        </w:rPr>
        <w:t>甲方将以下服务项目外包给乙方：</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kern w:val="10"/>
          <w:sz w:val="21"/>
          <w:szCs w:val="21"/>
          <w:highlight w:val="none"/>
        </w:rPr>
      </w:pPr>
      <w:r>
        <w:rPr>
          <w:rFonts w:hint="eastAsia" w:ascii="宋体" w:hAnsi="宋体" w:eastAsia="宋体" w:cs="宋体"/>
          <w:color w:val="auto"/>
          <w:sz w:val="21"/>
          <w:szCs w:val="21"/>
          <w:highlight w:val="none"/>
        </w:rPr>
        <w:t>（一）项目隶属：甲方及甲方所属分支机构。</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（二）项目名称：</w:t>
      </w:r>
      <w:r>
        <w:rPr>
          <w:rFonts w:hint="eastAsia" w:ascii="宋体" w:hAnsi="宋体" w:eastAsia="宋体" w:cs="宋体"/>
          <w:color w:val="auto"/>
          <w:sz w:val="21"/>
          <w:szCs w:val="21"/>
          <w:highlight w:val="none"/>
          <w:lang w:eastAsia="zh-CN"/>
        </w:rPr>
        <w:t>服务外包</w:t>
      </w:r>
      <w:r>
        <w:rPr>
          <w:rFonts w:hint="eastAsia" w:ascii="宋体" w:hAnsi="宋体" w:eastAsia="宋体" w:cs="宋体"/>
          <w:color w:val="auto"/>
          <w:sz w:val="21"/>
          <w:szCs w:val="21"/>
          <w:highlight w:val="none"/>
        </w:rPr>
        <w:t>项目。</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（三）本服务外包项目工作地点：甲方及甲方所属分支机构。</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（四）服务内容：</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936"/>
        <w:gridCol w:w="907"/>
        <w:gridCol w:w="904"/>
        <w:gridCol w:w="992"/>
        <w:gridCol w:w="1560"/>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560" w:type="dxa"/>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服务地点</w:t>
            </w:r>
          </w:p>
        </w:tc>
        <w:tc>
          <w:tcPr>
            <w:tcW w:w="1843" w:type="dxa"/>
            <w:gridSpan w:val="2"/>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公司本部</w:t>
            </w:r>
          </w:p>
        </w:tc>
        <w:tc>
          <w:tcPr>
            <w:tcW w:w="5440" w:type="dxa"/>
            <w:gridSpan w:val="5"/>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茶山配送中心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560" w:type="dxa"/>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服务项目</w:t>
            </w:r>
          </w:p>
        </w:tc>
        <w:tc>
          <w:tcPr>
            <w:tcW w:w="936" w:type="dxa"/>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饭堂后厨业务</w:t>
            </w:r>
          </w:p>
        </w:tc>
        <w:tc>
          <w:tcPr>
            <w:tcW w:w="907" w:type="dxa"/>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清洁业务</w:t>
            </w:r>
          </w:p>
        </w:tc>
        <w:tc>
          <w:tcPr>
            <w:tcW w:w="904" w:type="dxa"/>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电工业务</w:t>
            </w:r>
          </w:p>
        </w:tc>
        <w:tc>
          <w:tcPr>
            <w:tcW w:w="992" w:type="dxa"/>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叉车业务</w:t>
            </w:r>
          </w:p>
        </w:tc>
        <w:tc>
          <w:tcPr>
            <w:tcW w:w="1560" w:type="dxa"/>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仓库后勤业务</w:t>
            </w:r>
          </w:p>
        </w:tc>
        <w:tc>
          <w:tcPr>
            <w:tcW w:w="992" w:type="dxa"/>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配送业务</w:t>
            </w:r>
          </w:p>
        </w:tc>
        <w:tc>
          <w:tcPr>
            <w:tcW w:w="992" w:type="dxa"/>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打码业务</w:t>
            </w:r>
          </w:p>
        </w:tc>
      </w:tr>
    </w:tbl>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 xml:space="preserve">第四条  </w:t>
      </w:r>
      <w:r>
        <w:rPr>
          <w:rFonts w:hint="eastAsia" w:ascii="宋体" w:hAnsi="宋体" w:eastAsia="宋体" w:cs="宋体"/>
          <w:color w:val="auto"/>
          <w:sz w:val="21"/>
          <w:szCs w:val="21"/>
          <w:highlight w:val="none"/>
        </w:rPr>
        <w:t>甲方负责提供场地、设备、设施和工具，并承担项目和日常运作费用，包括但不限于水电费等。</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第三章  协议期限</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第五条</w:t>
      </w:r>
      <w:r>
        <w:rPr>
          <w:rFonts w:hint="eastAsia" w:ascii="宋体" w:hAnsi="宋体" w:eastAsia="宋体" w:cs="宋体"/>
          <w:color w:val="auto"/>
          <w:sz w:val="21"/>
          <w:szCs w:val="21"/>
          <w:highlight w:val="none"/>
        </w:rPr>
        <w:t xml:space="preserve">  本协议期限为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止。本合同规定的履行期限届满，若乙方服务价格无变动，甲乙双方经过协商确认后，本合同可再延期一年。</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第四章  权利和义务</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第六条  </w:t>
      </w:r>
      <w:r>
        <w:rPr>
          <w:rFonts w:hint="eastAsia" w:ascii="宋体" w:hAnsi="宋体" w:eastAsia="宋体" w:cs="宋体"/>
          <w:color w:val="auto"/>
          <w:sz w:val="21"/>
          <w:szCs w:val="21"/>
          <w:highlight w:val="none"/>
        </w:rPr>
        <w:t>甲方的权利：</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甲方有权根据外包项目的工作需要制订相应的服务规范、考评办法；甲方有权要求乙方遵照甲方的服务规范和本协议的约定为甲方提供服务。甲方根据相关业务的考核方案，按月对乙方的服务质量进行考核。</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（二）甲方对外包业务享有监督权，对乙方可以进行相关的必要和适当的工作指导，并要求乙方对</w:t>
      </w:r>
      <w:r>
        <w:rPr>
          <w:rFonts w:hint="eastAsia" w:ascii="宋体" w:hAnsi="宋体" w:eastAsia="宋体" w:cs="宋体"/>
          <w:color w:val="auto"/>
          <w:sz w:val="21"/>
          <w:szCs w:val="21"/>
          <w:highlight w:val="none"/>
          <w:lang w:eastAsia="zh-CN"/>
        </w:rPr>
        <w:t>服务外包</w:t>
      </w:r>
      <w:r>
        <w:rPr>
          <w:rFonts w:hint="eastAsia" w:ascii="宋体" w:hAnsi="宋体" w:eastAsia="宋体" w:cs="宋体"/>
          <w:color w:val="auto"/>
          <w:sz w:val="21"/>
          <w:szCs w:val="21"/>
          <w:highlight w:val="none"/>
        </w:rPr>
        <w:t>服务中的不完善之处进行改正。</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（三）甲方有权要求乙方提供乙方参与本项目人员的从业资料。</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（四）甲方认为乙方有任何违反或可能违反本协议的行为，甲方有权提出书面意见要求乙方限期整改。乙方应在收到甲方的书面意见后10个工作日内，以书面形式将其整改的结果或整改措施回复甲方。</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第七条</w:t>
      </w:r>
      <w:r>
        <w:rPr>
          <w:rFonts w:hint="eastAsia" w:ascii="宋体" w:hAnsi="宋体" w:eastAsia="宋体" w:cs="宋体"/>
          <w:color w:val="auto"/>
          <w:sz w:val="21"/>
          <w:szCs w:val="21"/>
          <w:highlight w:val="none"/>
        </w:rPr>
        <w:t xml:space="preserve">  甲方的义务：</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（一）在外包服务实施过程中，甲方应为乙方提供必要的技术支持与工作指导，配合乙方履行职责。</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（二）在</w:t>
      </w:r>
      <w:r>
        <w:rPr>
          <w:rFonts w:hint="eastAsia" w:ascii="宋体" w:hAnsi="宋体" w:eastAsia="宋体" w:cs="宋体"/>
          <w:color w:val="auto"/>
          <w:sz w:val="21"/>
          <w:szCs w:val="21"/>
          <w:highlight w:val="none"/>
          <w:lang w:eastAsia="zh-CN"/>
        </w:rPr>
        <w:t>服务外包</w:t>
      </w:r>
      <w:r>
        <w:rPr>
          <w:rFonts w:hint="eastAsia" w:ascii="宋体" w:hAnsi="宋体" w:eastAsia="宋体" w:cs="宋体"/>
          <w:color w:val="auto"/>
          <w:sz w:val="21"/>
          <w:szCs w:val="21"/>
          <w:highlight w:val="none"/>
        </w:rPr>
        <w:t>实施过程中，甲方应为乙方提供外包业务所需的场所和设备，提供必要的工作条件、劳动安全生产条件和必要的劳动保护用品；对外包业务所需的设施、设备定期进行维护和安全检查，保证设施设备的安全运转。在外包业务经营期间乙方若要扩大场地或更新设备的，需提前向甲方申请，经甲方相关部门核准后，由甲方负责解决或购买。设备损坏、遗失的维修和补充费用由甲方承担，但乙方对设备损坏、遗失存在过错的，乙方应承担相应的赔偿责任。</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（三）甲方负责配送业务、叉车业务中的正常车辆费用。</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（四）甲方不得将本合同的内容向甲乙双方以外的、与签订和履行本合同无关的任何第三方透露，不得泄露乙方的商业秘密（包括本合同及其附件和合同签订前的各项方案）。</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（五）本协议期满前两个月，甲乙双方应就本协议续签或终止合作事宜进行沟通并确定方案，妥善安排相关工作。</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（六）甲方应按本协议约定及时足额向乙方支付服务外包费用。</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第八条</w:t>
      </w:r>
      <w:r>
        <w:rPr>
          <w:rFonts w:hint="eastAsia" w:ascii="宋体" w:hAnsi="宋体" w:eastAsia="宋体" w:cs="宋体"/>
          <w:color w:val="auto"/>
          <w:sz w:val="21"/>
          <w:szCs w:val="21"/>
          <w:highlight w:val="none"/>
        </w:rPr>
        <w:t xml:space="preserve">  乙方的权利：</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（一）乙方有权按本协议约定按时足额获取服务外包费用。</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（二）乙方对外包业务和参与本项目人员享有自主管理权，包括但不限于对整体项目的日常管理、指定项目日常管理人员等。</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（三）乙方有权督促甲方为乙方提供必要的、符合有关规定的工作场所、工作条件及各项劳动安全生产条件，充分重视和保护乙方依法享有的合法权益。</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199"/>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第九条</w:t>
      </w:r>
      <w:r>
        <w:rPr>
          <w:rFonts w:hint="eastAsia" w:ascii="宋体" w:hAnsi="宋体" w:eastAsia="宋体" w:cs="宋体"/>
          <w:color w:val="auto"/>
          <w:sz w:val="21"/>
          <w:szCs w:val="21"/>
          <w:highlight w:val="none"/>
        </w:rPr>
        <w:t xml:space="preserve">  乙方的义务：</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（一）乙方必须是具有合法、合规的法人及经营资格，及时办理工商登记和税务登记的公司。</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乙方应当严格按照本合同约定和甲方确定的服务要求开展外包业务，并接受甲方的定期考核。在外包业务开展过程中，未经甲方许可，乙方不得影响甲方其他业务的开展，不得进行与外包服务内容无关的工作。</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（三）乙方派出的从事所承接业务的人员必须具有相应的资质，包括但不限于以下资质，从事叉车服务的应有叉车证，从事电工服务的应有电工证，从事配送服务的应具有B2以上驾照和货车驾驶员从业资格证。</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（四）乙方应成立项目服务团队，设立相应的项目运营或管理岗位，以保证项目的正常有序进行。乙方服务团队的费用由乙方承担。</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乙方有义务按照甲方的外包服务要求，参照甲方关于外包业务的相关规章制度和工作场地各项管理规定，结合乙方关于该外包项目的管理思路，制定相应的规章制度（包括但不限于工作时间、工作要求、工作完成标准等）予以规范，以加强管理。</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乙方派驻甲方工作人员需按照甲方单位规章制度开展工作，如违反规定，甲方将视情节严重程度进行处罚；乙方派驻甲方工作人员应维护甲方所提供的办公场地及相关资产，若因乙方员工未按规定操作，造成资产损失的，由乙方负责赔偿。</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（七）乙方向其派驻人员履行用人单位对劳动者的全部义务，因派驻人员原因导致的甲方损失由乙方承担。</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八）在配送业务中履行过程中，如发生意外，包括但不限于乙方所派出的人员发生人身意外、甲方发生财产及其它损失、造成第三方损失，经鉴定为车辆问题导致的，由甲方负责；经鉴定为乙方派出人员因素导致的，由乙方负责。</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（九）乙方须接受甲方对外包服务的质量检查，并对甲方提出的服务质量改进建议予以及时响应和整改。</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（十）乙方需签署《安全生产协议书》。</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（十一）如甲方需要，乙方有义务向甲方提供乙方参与本项目人员有关从业资料。</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（十二）乙方从甲方领取的工作工具、设备和其他物品，由甲方负责登记管理，在乙方服务期结束时，由乙方负责协助收回交还甲方。</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（十三）乙方应定期向甲方通报外包项目的相关事项，并如发生突发性事件，乙方应及时向甲方通报。</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（十四）乙方应当以自身的技术和劳动力完成外包业务的主要工作，未经甲方许可，乙方不得将外包业务转包、变相转包或分包。</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五）乙方应当与为甲方提供外包服务的人员签订书面劳动合同，根据国家和地方规定为服务人员缴纳养老保险、失业保险、医疗保险、工伤保险和生育保险等法定社会保险及住房公积金。乙方应尽力避免与提供外包服务人员产生劳动争议，以免影响甲方相关外包业务的开展。</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（十六）乙方应及时发放外包服务人员的劳动报酬及其他福利，对符合工伤条件的应及时提供工伤待遇。乙方服务人员因工或非因工发生伤亡事故的，乙方承担伤亡事故或损害事故的一切责任。</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（十七）乙方应当维护与参与本项目人员的劳资关系，因乙方与参与本项目人员产生纠纷对甲方工作产生影响造成损失的由乙方负责。</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十八）乙方不得以任何形式向他人提供或泄露甲方的商业秘密和本合同的内容及其相关附件，对甲方各类客户的资料、业务数据等应按照甲方相关文件及工作要求执行保密工作，乙方在提供服务期间获悉的甲方信息，乙方负有保密义务。</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第五章 </w:t>
      </w:r>
      <w:r>
        <w:rPr>
          <w:rFonts w:hint="eastAsia" w:ascii="宋体" w:hAnsi="宋体" w:eastAsia="宋体" w:cs="宋体"/>
          <w:b/>
          <w:color w:val="auto"/>
          <w:sz w:val="21"/>
          <w:szCs w:val="21"/>
          <w:highlight w:val="none"/>
          <w:lang w:eastAsia="zh-CN"/>
        </w:rPr>
        <w:t>服务外包</w:t>
      </w:r>
      <w:r>
        <w:rPr>
          <w:rFonts w:hint="eastAsia" w:ascii="宋体" w:hAnsi="宋体" w:eastAsia="宋体" w:cs="宋体"/>
          <w:b/>
          <w:color w:val="auto"/>
          <w:sz w:val="21"/>
          <w:szCs w:val="21"/>
          <w:highlight w:val="none"/>
        </w:rPr>
        <w:t>服务的管理</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11" w:firstLineChars="195"/>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 xml:space="preserve">第十条 </w:t>
      </w:r>
      <w:r>
        <w:rPr>
          <w:rFonts w:hint="eastAsia" w:ascii="宋体" w:hAnsi="宋体" w:eastAsia="宋体" w:cs="宋体"/>
          <w:color w:val="auto"/>
          <w:sz w:val="21"/>
          <w:szCs w:val="21"/>
          <w:highlight w:val="none"/>
        </w:rPr>
        <w:t>乙方派驻人员在甲方工作期间发生工伤事故、非因工负伤等情形时，甲方应第一时间通知乙方并及时协助乙方安排救治工作，由乙方按照国家和地方有关规定办理相关手续，甲方给予相关协助。</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11" w:firstLineChars="195"/>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 xml:space="preserve">第十一条 </w:t>
      </w:r>
      <w:r>
        <w:rPr>
          <w:rFonts w:hint="eastAsia" w:ascii="宋体" w:hAnsi="宋体" w:eastAsia="宋体" w:cs="宋体"/>
          <w:color w:val="auto"/>
          <w:sz w:val="21"/>
          <w:szCs w:val="21"/>
          <w:highlight w:val="none"/>
        </w:rPr>
        <w:t>在本合同有效期内，甲方因自身原因决定缩减或增加业务服务项目的，甲方应至少提前一个月通知乙方。乙方按要求提供相应服务。</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13" w:firstLineChars="196"/>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 xml:space="preserve">第十二条 </w:t>
      </w:r>
      <w:r>
        <w:rPr>
          <w:rFonts w:hint="eastAsia" w:ascii="宋体" w:hAnsi="宋体" w:eastAsia="宋体" w:cs="宋体"/>
          <w:color w:val="auto"/>
          <w:sz w:val="21"/>
          <w:szCs w:val="21"/>
          <w:highlight w:val="none"/>
        </w:rPr>
        <w:t>甲方根据委托给乙方的外包服务的特殊性，要求乙方提供“不间断服务”，即在正常休息或请假期间由乙方安排替班人员进行替班服务，进而保证甲方外包服务的连续性。</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13" w:firstLineChars="196"/>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 xml:space="preserve">第十三条 </w:t>
      </w:r>
      <w:r>
        <w:rPr>
          <w:rFonts w:hint="eastAsia" w:ascii="宋体" w:hAnsi="宋体" w:eastAsia="宋体" w:cs="宋体"/>
          <w:color w:val="auto"/>
          <w:sz w:val="21"/>
          <w:szCs w:val="21"/>
          <w:highlight w:val="none"/>
        </w:rPr>
        <w:t>本合同中规定的</w:t>
      </w:r>
      <w:r>
        <w:rPr>
          <w:rFonts w:hint="eastAsia" w:ascii="宋体" w:hAnsi="宋体" w:eastAsia="宋体" w:cs="宋体"/>
          <w:color w:val="auto"/>
          <w:sz w:val="21"/>
          <w:szCs w:val="21"/>
          <w:highlight w:val="none"/>
          <w:lang w:eastAsia="zh-CN"/>
        </w:rPr>
        <w:t>服务外包</w:t>
      </w:r>
      <w:r>
        <w:rPr>
          <w:rFonts w:hint="eastAsia" w:ascii="宋体" w:hAnsi="宋体" w:eastAsia="宋体" w:cs="宋体"/>
          <w:color w:val="auto"/>
          <w:sz w:val="21"/>
          <w:szCs w:val="21"/>
          <w:highlight w:val="none"/>
        </w:rPr>
        <w:t>项目根据甲方需求的时间进行，甲方需启动或暂停项目时，应提前一个月告知乙方，由乙方妥善安排工作。</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第六章 </w:t>
      </w:r>
      <w:r>
        <w:rPr>
          <w:rFonts w:hint="eastAsia" w:ascii="宋体" w:hAnsi="宋体" w:eastAsia="宋体" w:cs="宋体"/>
          <w:b/>
          <w:color w:val="auto"/>
          <w:sz w:val="21"/>
          <w:szCs w:val="21"/>
          <w:highlight w:val="none"/>
          <w:lang w:eastAsia="zh-CN"/>
        </w:rPr>
        <w:t>服务外包</w:t>
      </w:r>
      <w:r>
        <w:rPr>
          <w:rFonts w:hint="eastAsia" w:ascii="宋体" w:hAnsi="宋体" w:eastAsia="宋体" w:cs="宋体"/>
          <w:b/>
          <w:color w:val="auto"/>
          <w:sz w:val="21"/>
          <w:szCs w:val="21"/>
          <w:highlight w:val="none"/>
        </w:rPr>
        <w:t>费用与结算</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第十四条</w:t>
      </w:r>
      <w:r>
        <w:rPr>
          <w:rFonts w:hint="eastAsia" w:ascii="宋体" w:hAnsi="宋体" w:eastAsia="宋体" w:cs="宋体"/>
          <w:color w:val="auto"/>
          <w:sz w:val="21"/>
          <w:szCs w:val="21"/>
          <w:highlight w:val="none"/>
        </w:rPr>
        <w:t xml:space="preserve">  外包服务费标准：</w:t>
      </w:r>
    </w:p>
    <w:p>
      <w:pPr>
        <w:pStyle w:val="59"/>
        <w:pageBreakBefore w:val="0"/>
        <w:numPr>
          <w:ilvl w:val="0"/>
          <w:numId w:val="11"/>
        </w:numPr>
        <w:tabs>
          <w:tab w:val="left" w:pos="0"/>
          <w:tab w:val="left" w:pos="405"/>
          <w:tab w:val="left" w:pos="567"/>
          <w:tab w:val="left" w:pos="601"/>
          <w:tab w:val="left" w:pos="1980"/>
        </w:tabs>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配送业务</w:t>
      </w:r>
    </w:p>
    <w:tbl>
      <w:tblPr>
        <w:tblStyle w:val="23"/>
        <w:tblW w:w="0" w:type="auto"/>
        <w:tblInd w:w="108" w:type="dxa"/>
        <w:tblLayout w:type="fixed"/>
        <w:tblCellMar>
          <w:top w:w="0" w:type="dxa"/>
          <w:left w:w="108" w:type="dxa"/>
          <w:bottom w:w="0" w:type="dxa"/>
          <w:right w:w="108" w:type="dxa"/>
        </w:tblCellMar>
      </w:tblPr>
      <w:tblGrid>
        <w:gridCol w:w="1560"/>
        <w:gridCol w:w="1701"/>
        <w:gridCol w:w="283"/>
        <w:gridCol w:w="1701"/>
        <w:gridCol w:w="1843"/>
        <w:gridCol w:w="2126"/>
      </w:tblGrid>
      <w:tr>
        <w:tblPrEx>
          <w:tblCellMar>
            <w:top w:w="0" w:type="dxa"/>
            <w:left w:w="108" w:type="dxa"/>
            <w:bottom w:w="0" w:type="dxa"/>
            <w:right w:w="108" w:type="dxa"/>
          </w:tblCellMar>
        </w:tblPrEx>
        <w:trPr>
          <w:trHeight w:val="420" w:hRule="atLeast"/>
        </w:trPr>
        <w:tc>
          <w:tcPr>
            <w:tcW w:w="1560" w:type="dxa"/>
            <w:vMerge w:val="restar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车辆</w:t>
            </w:r>
          </w:p>
        </w:tc>
        <w:tc>
          <w:tcPr>
            <w:tcW w:w="1701" w:type="dxa"/>
            <w:tcBorders>
              <w:top w:val="single" w:color="auto" w:sz="4" w:space="0"/>
              <w:left w:val="nil"/>
              <w:bottom w:val="single" w:color="auto" w:sz="4" w:space="0"/>
              <w:right w:val="single" w:color="000000"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A区</w:t>
            </w:r>
          </w:p>
        </w:tc>
        <w:tc>
          <w:tcPr>
            <w:tcW w:w="1984" w:type="dxa"/>
            <w:gridSpan w:val="2"/>
            <w:tcBorders>
              <w:top w:val="single" w:color="auto" w:sz="4" w:space="0"/>
              <w:left w:val="nil"/>
              <w:bottom w:val="single" w:color="auto" w:sz="4" w:space="0"/>
              <w:right w:val="single" w:color="000000"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B区</w:t>
            </w:r>
          </w:p>
        </w:tc>
        <w:tc>
          <w:tcPr>
            <w:tcW w:w="1843" w:type="dxa"/>
            <w:tcBorders>
              <w:top w:val="single" w:color="auto" w:sz="4" w:space="0"/>
              <w:left w:val="nil"/>
              <w:bottom w:val="single" w:color="auto" w:sz="4" w:space="0"/>
              <w:right w:val="single" w:color="000000"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C区</w:t>
            </w:r>
          </w:p>
        </w:tc>
        <w:tc>
          <w:tcPr>
            <w:tcW w:w="2126" w:type="dxa"/>
            <w:tcBorders>
              <w:top w:val="single" w:color="auto" w:sz="4" w:space="0"/>
              <w:left w:val="nil"/>
              <w:bottom w:val="single" w:color="auto" w:sz="4" w:space="0"/>
              <w:right w:val="single" w:color="000000"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外市</w:t>
            </w:r>
          </w:p>
        </w:tc>
      </w:tr>
      <w:tr>
        <w:tblPrEx>
          <w:tblCellMar>
            <w:top w:w="0" w:type="dxa"/>
            <w:left w:w="108" w:type="dxa"/>
            <w:bottom w:w="0" w:type="dxa"/>
            <w:right w:w="108" w:type="dxa"/>
          </w:tblCellMar>
        </w:tblPrEx>
        <w:trPr>
          <w:trHeight w:val="570" w:hRule="atLeast"/>
        </w:trPr>
        <w:tc>
          <w:tcPr>
            <w:tcW w:w="1560" w:type="dxa"/>
            <w:vMerge w:val="continue"/>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p>
        </w:tc>
        <w:tc>
          <w:tcPr>
            <w:tcW w:w="1701" w:type="dxa"/>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价格（元/吨）</w:t>
            </w:r>
          </w:p>
        </w:tc>
        <w:tc>
          <w:tcPr>
            <w:tcW w:w="1984" w:type="dxa"/>
            <w:gridSpan w:val="2"/>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价格（元/吨）</w:t>
            </w:r>
          </w:p>
        </w:tc>
        <w:tc>
          <w:tcPr>
            <w:tcW w:w="1843" w:type="dxa"/>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价格（元/吨）</w:t>
            </w:r>
          </w:p>
        </w:tc>
        <w:tc>
          <w:tcPr>
            <w:tcW w:w="2126" w:type="dxa"/>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价格（元/吨）</w:t>
            </w:r>
          </w:p>
        </w:tc>
      </w:tr>
      <w:tr>
        <w:tblPrEx>
          <w:tblCellMar>
            <w:top w:w="0" w:type="dxa"/>
            <w:left w:w="108" w:type="dxa"/>
            <w:bottom w:w="0" w:type="dxa"/>
            <w:right w:w="108" w:type="dxa"/>
          </w:tblCellMar>
        </w:tblPrEx>
        <w:trPr>
          <w:trHeight w:val="500" w:hRule="atLeast"/>
        </w:trPr>
        <w:tc>
          <w:tcPr>
            <w:tcW w:w="1560" w:type="dxa"/>
            <w:tcBorders>
              <w:top w:val="nil"/>
              <w:left w:val="single" w:color="auto" w:sz="4" w:space="0"/>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4吨车</w:t>
            </w:r>
          </w:p>
        </w:tc>
        <w:tc>
          <w:tcPr>
            <w:tcW w:w="1701" w:type="dxa"/>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c>
          <w:tcPr>
            <w:tcW w:w="1984" w:type="dxa"/>
            <w:gridSpan w:val="2"/>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c>
          <w:tcPr>
            <w:tcW w:w="1843" w:type="dxa"/>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c>
          <w:tcPr>
            <w:tcW w:w="2126" w:type="dxa"/>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567" w:hRule="atLeast"/>
        </w:trPr>
        <w:tc>
          <w:tcPr>
            <w:tcW w:w="1560" w:type="dxa"/>
            <w:tcBorders>
              <w:top w:val="nil"/>
              <w:left w:val="single" w:color="auto" w:sz="4" w:space="0"/>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5吨车</w:t>
            </w:r>
          </w:p>
        </w:tc>
        <w:tc>
          <w:tcPr>
            <w:tcW w:w="1701" w:type="dxa"/>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c>
          <w:tcPr>
            <w:tcW w:w="1984" w:type="dxa"/>
            <w:gridSpan w:val="2"/>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c>
          <w:tcPr>
            <w:tcW w:w="1843" w:type="dxa"/>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c>
          <w:tcPr>
            <w:tcW w:w="2126" w:type="dxa"/>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567" w:hRule="atLeast"/>
        </w:trPr>
        <w:tc>
          <w:tcPr>
            <w:tcW w:w="1560" w:type="dxa"/>
            <w:tcBorders>
              <w:top w:val="nil"/>
              <w:left w:val="single" w:color="auto" w:sz="4" w:space="0"/>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8吨车</w:t>
            </w:r>
          </w:p>
        </w:tc>
        <w:tc>
          <w:tcPr>
            <w:tcW w:w="1701" w:type="dxa"/>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c>
          <w:tcPr>
            <w:tcW w:w="1984" w:type="dxa"/>
            <w:gridSpan w:val="2"/>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c>
          <w:tcPr>
            <w:tcW w:w="1843" w:type="dxa"/>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c>
          <w:tcPr>
            <w:tcW w:w="2126" w:type="dxa"/>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567" w:hRule="atLeast"/>
        </w:trPr>
        <w:tc>
          <w:tcPr>
            <w:tcW w:w="1560" w:type="dxa"/>
            <w:tcBorders>
              <w:top w:val="nil"/>
              <w:left w:val="single" w:color="auto" w:sz="4" w:space="0"/>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10吨车</w:t>
            </w:r>
          </w:p>
        </w:tc>
        <w:tc>
          <w:tcPr>
            <w:tcW w:w="1701" w:type="dxa"/>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c>
          <w:tcPr>
            <w:tcW w:w="1984" w:type="dxa"/>
            <w:gridSpan w:val="2"/>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c>
          <w:tcPr>
            <w:tcW w:w="1843" w:type="dxa"/>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c>
          <w:tcPr>
            <w:tcW w:w="2126" w:type="dxa"/>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567" w:hRule="atLeast"/>
        </w:trPr>
        <w:tc>
          <w:tcPr>
            <w:tcW w:w="156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13吨车</w:t>
            </w:r>
          </w:p>
        </w:tc>
        <w:tc>
          <w:tcPr>
            <w:tcW w:w="1701" w:type="dxa"/>
            <w:tcBorders>
              <w:top w:val="single" w:color="auto" w:sz="4" w:space="0"/>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both"/>
              <w:textAlignment w:val="auto"/>
              <w:rPr>
                <w:rFonts w:hint="eastAsia" w:ascii="宋体" w:hAnsi="宋体" w:eastAsia="宋体" w:cs="宋体"/>
                <w:color w:val="auto"/>
                <w:sz w:val="21"/>
                <w:szCs w:val="21"/>
                <w:highlight w:val="none"/>
              </w:rPr>
            </w:pPr>
          </w:p>
        </w:tc>
        <w:tc>
          <w:tcPr>
            <w:tcW w:w="1984" w:type="dxa"/>
            <w:gridSpan w:val="2"/>
            <w:tcBorders>
              <w:top w:val="single" w:color="auto" w:sz="4" w:space="0"/>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c>
          <w:tcPr>
            <w:tcW w:w="1843" w:type="dxa"/>
            <w:tcBorders>
              <w:top w:val="single" w:color="auto" w:sz="4" w:space="0"/>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c>
          <w:tcPr>
            <w:tcW w:w="2126" w:type="dxa"/>
            <w:tcBorders>
              <w:top w:val="single" w:color="auto" w:sz="4" w:space="0"/>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420" w:hRule="atLeast"/>
        </w:trPr>
        <w:tc>
          <w:tcPr>
            <w:tcW w:w="9214" w:type="dxa"/>
            <w:gridSpan w:val="6"/>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配送区域说明：</w:t>
            </w:r>
          </w:p>
          <w:p>
            <w:pPr>
              <w:pageBreakBefore w:val="0"/>
              <w:kinsoku/>
              <w:wordWrap/>
              <w:overflowPunct/>
              <w:topLinePunct w:val="0"/>
              <w:bidi w:val="0"/>
              <w:spacing w:line="360" w:lineRule="auto"/>
              <w:ind w:left="0" w:left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A区配送区域为东坑、横沥、茶山、寮步、石龙、企石、石排、石碣、高埗、常平、大朗、松山湖、桥头</w:t>
            </w:r>
          </w:p>
          <w:p>
            <w:pPr>
              <w:pageBreakBefore w:val="0"/>
              <w:kinsoku/>
              <w:wordWrap/>
              <w:overflowPunct/>
              <w:topLinePunct w:val="0"/>
              <w:bidi w:val="0"/>
              <w:spacing w:line="360" w:lineRule="auto"/>
              <w:ind w:left="0" w:left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B区配送区域为中堂、大岭山、东城、万江、莞城、南城、望牛墩</w:t>
            </w:r>
          </w:p>
          <w:p>
            <w:pPr>
              <w:pageBreakBefore w:val="0"/>
              <w:kinsoku/>
              <w:wordWrap/>
              <w:overflowPunct/>
              <w:topLinePunct w:val="0"/>
              <w:bidi w:val="0"/>
              <w:spacing w:line="360" w:lineRule="auto"/>
              <w:ind w:left="0" w:leftChars="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C区配送区域为道滘、厚街、樟木头、洪梅、谢岗、黄江、清溪、凤岗、虎门、长安、沙田、麻涌、塘厦</w:t>
            </w:r>
          </w:p>
        </w:tc>
      </w:tr>
      <w:tr>
        <w:tblPrEx>
          <w:tblCellMar>
            <w:top w:w="0" w:type="dxa"/>
            <w:left w:w="108" w:type="dxa"/>
            <w:bottom w:w="0" w:type="dxa"/>
            <w:right w:w="108" w:type="dxa"/>
          </w:tblCellMar>
        </w:tblPrEx>
        <w:trPr>
          <w:trHeight w:val="420" w:hRule="atLeast"/>
        </w:trPr>
        <w:tc>
          <w:tcPr>
            <w:tcW w:w="354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零担配送</w:t>
            </w:r>
          </w:p>
        </w:tc>
        <w:tc>
          <w:tcPr>
            <w:tcW w:w="5670" w:type="dxa"/>
            <w:gridSpan w:val="3"/>
            <w:tcBorders>
              <w:top w:val="single" w:color="auto" w:sz="4" w:space="0"/>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价格（元/件）</w:t>
            </w:r>
          </w:p>
        </w:tc>
      </w:tr>
      <w:tr>
        <w:tblPrEx>
          <w:tblCellMar>
            <w:top w:w="0" w:type="dxa"/>
            <w:left w:w="108" w:type="dxa"/>
            <w:bottom w:w="0" w:type="dxa"/>
            <w:right w:w="108" w:type="dxa"/>
          </w:tblCellMar>
        </w:tblPrEx>
        <w:trPr>
          <w:trHeight w:val="567" w:hRule="atLeast"/>
        </w:trPr>
        <w:tc>
          <w:tcPr>
            <w:tcW w:w="354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小包装</w:t>
            </w:r>
          </w:p>
        </w:tc>
        <w:tc>
          <w:tcPr>
            <w:tcW w:w="5670" w:type="dxa"/>
            <w:gridSpan w:val="3"/>
            <w:tcBorders>
              <w:top w:val="single" w:color="auto" w:sz="4" w:space="0"/>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567" w:hRule="atLeast"/>
        </w:trPr>
        <w:tc>
          <w:tcPr>
            <w:tcW w:w="3544" w:type="dxa"/>
            <w:gridSpan w:val="3"/>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大包装</w:t>
            </w:r>
          </w:p>
        </w:tc>
        <w:tc>
          <w:tcPr>
            <w:tcW w:w="5670" w:type="dxa"/>
            <w:gridSpan w:val="3"/>
            <w:tcBorders>
              <w:top w:val="single" w:color="auto" w:sz="4" w:space="0"/>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r>
    </w:tbl>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207" w:firstLineChars="98"/>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（二）其它业务</w:t>
      </w:r>
    </w:p>
    <w:tbl>
      <w:tblPr>
        <w:tblStyle w:val="23"/>
        <w:tblW w:w="0" w:type="auto"/>
        <w:tblInd w:w="108" w:type="dxa"/>
        <w:tblLayout w:type="fixed"/>
        <w:tblCellMar>
          <w:top w:w="0" w:type="dxa"/>
          <w:left w:w="108" w:type="dxa"/>
          <w:bottom w:w="0" w:type="dxa"/>
          <w:right w:w="108" w:type="dxa"/>
        </w:tblCellMar>
      </w:tblPr>
      <w:tblGrid>
        <w:gridCol w:w="3544"/>
        <w:gridCol w:w="5670"/>
      </w:tblGrid>
      <w:tr>
        <w:tblPrEx>
          <w:tblCellMar>
            <w:top w:w="0" w:type="dxa"/>
            <w:left w:w="108" w:type="dxa"/>
            <w:bottom w:w="0" w:type="dxa"/>
            <w:right w:w="108" w:type="dxa"/>
          </w:tblCellMar>
        </w:tblPrEx>
        <w:trPr>
          <w:trHeight w:val="270" w:hRule="atLeast"/>
        </w:trPr>
        <w:tc>
          <w:tcPr>
            <w:tcW w:w="3544"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其它业务</w:t>
            </w:r>
          </w:p>
        </w:tc>
        <w:tc>
          <w:tcPr>
            <w:tcW w:w="5670" w:type="dxa"/>
            <w:tcBorders>
              <w:top w:val="single" w:color="auto" w:sz="4" w:space="0"/>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价格（元/年）</w:t>
            </w:r>
          </w:p>
        </w:tc>
      </w:tr>
      <w:tr>
        <w:tblPrEx>
          <w:tblCellMar>
            <w:top w:w="0" w:type="dxa"/>
            <w:left w:w="108" w:type="dxa"/>
            <w:bottom w:w="0" w:type="dxa"/>
            <w:right w:w="108" w:type="dxa"/>
          </w:tblCellMar>
        </w:tblPrEx>
        <w:trPr>
          <w:trHeight w:val="283" w:hRule="atLeast"/>
        </w:trPr>
        <w:tc>
          <w:tcPr>
            <w:tcW w:w="3544" w:type="dxa"/>
            <w:tcBorders>
              <w:top w:val="nil"/>
              <w:left w:val="single" w:color="auto" w:sz="4" w:space="0"/>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仓库后勤业务</w:t>
            </w:r>
          </w:p>
        </w:tc>
        <w:tc>
          <w:tcPr>
            <w:tcW w:w="5670" w:type="dxa"/>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283" w:hRule="atLeast"/>
        </w:trPr>
        <w:tc>
          <w:tcPr>
            <w:tcW w:w="3544" w:type="dxa"/>
            <w:tcBorders>
              <w:top w:val="nil"/>
              <w:left w:val="single" w:color="auto" w:sz="4" w:space="0"/>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叉车业务</w:t>
            </w:r>
          </w:p>
        </w:tc>
        <w:tc>
          <w:tcPr>
            <w:tcW w:w="5670" w:type="dxa"/>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283" w:hRule="atLeast"/>
        </w:trPr>
        <w:tc>
          <w:tcPr>
            <w:tcW w:w="3544" w:type="dxa"/>
            <w:tcBorders>
              <w:top w:val="nil"/>
              <w:left w:val="single" w:color="auto" w:sz="4" w:space="0"/>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电工业务</w:t>
            </w:r>
          </w:p>
        </w:tc>
        <w:tc>
          <w:tcPr>
            <w:tcW w:w="5670" w:type="dxa"/>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283" w:hRule="atLeast"/>
        </w:trPr>
        <w:tc>
          <w:tcPr>
            <w:tcW w:w="3544" w:type="dxa"/>
            <w:tcBorders>
              <w:top w:val="nil"/>
              <w:left w:val="single" w:color="auto" w:sz="4" w:space="0"/>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喷码业务</w:t>
            </w:r>
          </w:p>
        </w:tc>
        <w:tc>
          <w:tcPr>
            <w:tcW w:w="5670" w:type="dxa"/>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283" w:hRule="atLeast"/>
        </w:trPr>
        <w:tc>
          <w:tcPr>
            <w:tcW w:w="3544" w:type="dxa"/>
            <w:tcBorders>
              <w:top w:val="nil"/>
              <w:left w:val="single" w:color="auto" w:sz="4" w:space="0"/>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饭堂后厨业务</w:t>
            </w:r>
          </w:p>
        </w:tc>
        <w:tc>
          <w:tcPr>
            <w:tcW w:w="5670" w:type="dxa"/>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r>
      <w:tr>
        <w:tblPrEx>
          <w:tblCellMar>
            <w:top w:w="0" w:type="dxa"/>
            <w:left w:w="108" w:type="dxa"/>
            <w:bottom w:w="0" w:type="dxa"/>
            <w:right w:w="108" w:type="dxa"/>
          </w:tblCellMar>
        </w:tblPrEx>
        <w:trPr>
          <w:trHeight w:val="283" w:hRule="atLeast"/>
        </w:trPr>
        <w:tc>
          <w:tcPr>
            <w:tcW w:w="3544" w:type="dxa"/>
            <w:tcBorders>
              <w:top w:val="nil"/>
              <w:left w:val="single" w:color="auto" w:sz="4" w:space="0"/>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清洁业务</w:t>
            </w:r>
          </w:p>
        </w:tc>
        <w:tc>
          <w:tcPr>
            <w:tcW w:w="5670" w:type="dxa"/>
            <w:tcBorders>
              <w:top w:val="nil"/>
              <w:left w:val="nil"/>
              <w:bottom w:val="single" w:color="auto" w:sz="4" w:space="0"/>
              <w:right w:val="single" w:color="auto" w:sz="4"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p>
        </w:tc>
      </w:tr>
    </w:tbl>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第十五条</w:t>
      </w:r>
      <w:r>
        <w:rPr>
          <w:rFonts w:hint="eastAsia" w:ascii="宋体" w:hAnsi="宋体" w:eastAsia="宋体" w:cs="宋体"/>
          <w:color w:val="auto"/>
          <w:sz w:val="21"/>
          <w:szCs w:val="21"/>
          <w:highlight w:val="none"/>
        </w:rPr>
        <w:t xml:space="preserve">  本项目的服务外包费用包含乙方提供服务所应支付的全部费用，以月为单位结算，结算方式为银行转账，并由中标人开具增值税专用发票；配送业务服务费用按当月具体配送量进行核算，其它业务按实际发生金额核算。</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第十六条 </w:t>
      </w:r>
      <w:r>
        <w:rPr>
          <w:rFonts w:hint="eastAsia" w:ascii="宋体" w:hAnsi="宋体" w:eastAsia="宋体" w:cs="宋体"/>
          <w:color w:val="auto"/>
          <w:sz w:val="21"/>
          <w:szCs w:val="21"/>
          <w:highlight w:val="none"/>
        </w:rPr>
        <w:t>乙方开具合规的增值税专用发票，按发票金额结算。</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 xml:space="preserve">第十七条 </w:t>
      </w:r>
      <w:r>
        <w:rPr>
          <w:rFonts w:hint="eastAsia" w:ascii="宋体" w:hAnsi="宋体" w:eastAsia="宋体" w:cs="宋体"/>
          <w:color w:val="auto"/>
          <w:sz w:val="21"/>
          <w:szCs w:val="21"/>
          <w:highlight w:val="none"/>
        </w:rPr>
        <w:t>付款方式及时间进度：乙方于每月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日前，将甲乙双方核对无误的上月费用账单和发票提交给甲方，甲方在收到乙方发票后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个工作日内将该费用转入乙方指定的银行账号内。</w:t>
      </w:r>
    </w:p>
    <w:p>
      <w:pPr>
        <w:pageBreakBefore w:val="0"/>
        <w:kinsoku/>
        <w:wordWrap/>
        <w:overflowPunct/>
        <w:topLinePunct w:val="0"/>
        <w:autoSpaceDE w:val="0"/>
        <w:autoSpaceDN w:val="0"/>
        <w:bidi w:val="0"/>
        <w:spacing w:line="360" w:lineRule="auto"/>
        <w:ind w:left="0" w:lef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 xml:space="preserve">乙方账户信息： </w:t>
      </w:r>
    </w:p>
    <w:p>
      <w:pPr>
        <w:pageBreakBefore w:val="0"/>
        <w:kinsoku/>
        <w:wordWrap/>
        <w:overflowPunct/>
        <w:topLinePunct w:val="0"/>
        <w:autoSpaceDE w:val="0"/>
        <w:autoSpaceDN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开户名称：</w:t>
      </w:r>
    </w:p>
    <w:p>
      <w:pPr>
        <w:pageBreakBefore w:val="0"/>
        <w:kinsoku/>
        <w:wordWrap/>
        <w:overflowPunct/>
        <w:topLinePunct w:val="0"/>
        <w:autoSpaceDE w:val="0"/>
        <w:autoSpaceDN w:val="0"/>
        <w:bidi w:val="0"/>
        <w:spacing w:line="360" w:lineRule="auto"/>
        <w:ind w:left="0" w:lef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开户银行：</w:t>
      </w:r>
    </w:p>
    <w:p>
      <w:pPr>
        <w:pageBreakBefore w:val="0"/>
        <w:kinsoku/>
        <w:wordWrap/>
        <w:overflowPunct/>
        <w:topLinePunct w:val="0"/>
        <w:autoSpaceDE w:val="0"/>
        <w:autoSpaceDN w:val="0"/>
        <w:bidi w:val="0"/>
        <w:spacing w:line="360" w:lineRule="auto"/>
        <w:ind w:left="0" w:lef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 xml:space="preserve">银行账号： </w:t>
      </w:r>
    </w:p>
    <w:p>
      <w:pPr>
        <w:pageBreakBefore w:val="0"/>
        <w:kinsoku/>
        <w:wordWrap/>
        <w:overflowPunct/>
        <w:topLinePunct w:val="0"/>
        <w:autoSpaceDE w:val="0"/>
        <w:autoSpaceDN w:val="0"/>
        <w:bidi w:val="0"/>
        <w:spacing w:line="360" w:lineRule="auto"/>
        <w:ind w:left="0" w:leftChars="0" w:firstLine="420" w:firstLineChars="200"/>
        <w:textAlignment w:val="auto"/>
        <w:rPr>
          <w:rFonts w:hint="eastAsia" w:ascii="宋体" w:hAnsi="宋体" w:eastAsia="宋体" w:cs="宋体"/>
          <w:color w:val="auto"/>
          <w:sz w:val="21"/>
          <w:szCs w:val="21"/>
          <w:highlight w:val="none"/>
          <w:lang w:val="zh-CN"/>
        </w:rPr>
      </w:pPr>
    </w:p>
    <w:p>
      <w:pPr>
        <w:pageBreakBefore w:val="0"/>
        <w:kinsoku/>
        <w:wordWrap/>
        <w:overflowPunct/>
        <w:topLinePunct w:val="0"/>
        <w:autoSpaceDE w:val="0"/>
        <w:autoSpaceDN w:val="0"/>
        <w:bidi w:val="0"/>
        <w:spacing w:line="360" w:lineRule="auto"/>
        <w:ind w:left="0" w:leftChars="0"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lang w:val="zh-CN"/>
        </w:rPr>
        <w:t xml:space="preserve">                     </w:t>
      </w:r>
      <w:r>
        <w:rPr>
          <w:rFonts w:hint="eastAsia" w:ascii="宋体" w:hAnsi="宋体" w:eastAsia="宋体" w:cs="宋体"/>
          <w:b/>
          <w:color w:val="auto"/>
          <w:sz w:val="21"/>
          <w:szCs w:val="21"/>
          <w:highlight w:val="none"/>
        </w:rPr>
        <w:t>第七章 合同履约保证金</w:t>
      </w:r>
    </w:p>
    <w:p>
      <w:pPr>
        <w:pageBreakBefore w:val="0"/>
        <w:kinsoku/>
        <w:wordWrap/>
        <w:overflowPunct/>
        <w:topLinePunct w:val="0"/>
        <w:autoSpaceDE w:val="0"/>
        <w:autoSpaceDN w:val="0"/>
        <w:bidi w:val="0"/>
        <w:spacing w:line="360" w:lineRule="auto"/>
        <w:ind w:left="0" w:leftChars="0" w:firstLine="422"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
          <w:color w:val="auto"/>
          <w:sz w:val="21"/>
          <w:szCs w:val="21"/>
          <w:highlight w:val="none"/>
        </w:rPr>
        <w:t xml:space="preserve">第十八条  </w:t>
      </w:r>
      <w:r>
        <w:rPr>
          <w:rFonts w:hint="eastAsia" w:ascii="宋体" w:hAnsi="宋体" w:eastAsia="宋体" w:cs="宋体"/>
          <w:color w:val="auto"/>
          <w:sz w:val="21"/>
          <w:szCs w:val="21"/>
          <w:highlight w:val="none"/>
        </w:rPr>
        <w:t>乙方同意在签署合同后5个工作日内，向甲方一次性交纳合同履约保证金人民币：叁万元整（</w:t>
      </w:r>
      <w:r>
        <w:rPr>
          <w:rFonts w:hint="eastAsia" w:ascii="宋体" w:hAnsi="宋体" w:eastAsia="宋体" w:cs="宋体"/>
          <w:color w:val="auto"/>
          <w:sz w:val="21"/>
          <w:szCs w:val="21"/>
          <w:highlight w:val="none"/>
          <w:u w:val="single"/>
        </w:rPr>
        <w:t>¥30,000.00</w:t>
      </w:r>
      <w:r>
        <w:rPr>
          <w:rFonts w:hint="eastAsia" w:ascii="宋体" w:hAnsi="宋体" w:eastAsia="宋体" w:cs="宋体"/>
          <w:color w:val="auto"/>
          <w:sz w:val="21"/>
          <w:szCs w:val="21"/>
          <w:highlight w:val="none"/>
        </w:rPr>
        <w:t>）。该合同履约保证金不计息。如乙方在履行合同过程中不存在违约行为、没有造成甲方损失的，甲方在合同期满或终止后 20个工作日内无息退还乙方。如因乙方违约导致甲方终止本合同、乙方违约终止本合同或乙方违约造成甲方损失的，乙方交付的合同履约保证金不予退还。如履约保证金不足以赔付全部损失的，乙方还应当就差额部分继续承担赔偿责任。</w:t>
      </w:r>
    </w:p>
    <w:p>
      <w:pPr>
        <w:pageBreakBefore w:val="0"/>
        <w:kinsoku/>
        <w:wordWrap/>
        <w:overflowPunct/>
        <w:topLinePunct w:val="0"/>
        <w:autoSpaceDE w:val="0"/>
        <w:autoSpaceDN w:val="0"/>
        <w:bidi w:val="0"/>
        <w:spacing w:line="360" w:lineRule="auto"/>
        <w:ind w:left="0" w:leftChars="0" w:firstLine="420" w:firstLineChars="200"/>
        <w:textAlignment w:val="auto"/>
        <w:rPr>
          <w:rFonts w:hint="eastAsia" w:ascii="宋体" w:hAnsi="宋体" w:eastAsia="宋体" w:cs="宋体"/>
          <w:color w:val="auto"/>
          <w:sz w:val="21"/>
          <w:szCs w:val="21"/>
          <w:highlight w:val="none"/>
          <w:lang w:val="zh-CN"/>
        </w:rPr>
      </w:pP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第八章  违约责任</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第十九条</w:t>
      </w:r>
      <w:r>
        <w:rPr>
          <w:rFonts w:hint="eastAsia" w:ascii="宋体" w:hAnsi="宋体" w:eastAsia="宋体" w:cs="宋体"/>
          <w:color w:val="auto"/>
          <w:sz w:val="21"/>
          <w:szCs w:val="21"/>
          <w:highlight w:val="none"/>
        </w:rPr>
        <w:t xml:space="preserve">  甲、乙双方任何一方违反或擅自变更本协议的约定，应当承担由此给对方造成的经济损失和相关责任。</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第二十条</w:t>
      </w:r>
      <w:r>
        <w:rPr>
          <w:rFonts w:hint="eastAsia" w:ascii="宋体" w:hAnsi="宋体" w:eastAsia="宋体" w:cs="宋体"/>
          <w:color w:val="auto"/>
          <w:sz w:val="21"/>
          <w:szCs w:val="21"/>
          <w:highlight w:val="none"/>
        </w:rPr>
        <w:t xml:space="preserve">  因甲方原因不能按协议规定的时间及时支付服务费用的，除继续履行支付义务外，应按每日1‰的比例向乙方支付拖欠部分的违约金。</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第二十一条</w:t>
      </w:r>
      <w:r>
        <w:rPr>
          <w:rFonts w:hint="eastAsia" w:ascii="宋体" w:hAnsi="宋体" w:eastAsia="宋体" w:cs="宋体"/>
          <w:color w:val="auto"/>
          <w:sz w:val="21"/>
          <w:szCs w:val="21"/>
          <w:highlight w:val="none"/>
        </w:rPr>
        <w:t xml:space="preserve">  若乙方没有严格按照本协议或双方签订的其他补充协议的约定开展外包业务造成甲方损失的，依据责任认定，为乙方或乙方派出人员因素导致的，乙方应当承担相应的违约责任，根据甲方实际损失扣除相应部分的履约保证金。</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第九章  合同的变更、解除和终止</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第二十二条</w:t>
      </w:r>
      <w:r>
        <w:rPr>
          <w:rFonts w:hint="eastAsia" w:ascii="宋体" w:hAnsi="宋体" w:eastAsia="宋体" w:cs="宋体"/>
          <w:color w:val="auto"/>
          <w:sz w:val="21"/>
          <w:szCs w:val="21"/>
          <w:highlight w:val="none"/>
        </w:rPr>
        <w:t xml:space="preserve">  甲、乙双方有一方有正当理由要求变更本合同的，须提前一个月以书面形式通知对方并协商解决，达成一致后双方应签署变更协议或补充协议，变更协议或补充协议与本合同具有同等效力。</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第二十三条</w:t>
      </w:r>
      <w:r>
        <w:rPr>
          <w:rFonts w:hint="eastAsia" w:ascii="宋体" w:hAnsi="宋体" w:eastAsia="宋体" w:cs="宋体"/>
          <w:color w:val="auto"/>
          <w:sz w:val="21"/>
          <w:szCs w:val="21"/>
          <w:highlight w:val="none"/>
        </w:rPr>
        <w:t xml:space="preserve">  本合同在履行中，如国家或当地政府新颁布了有关法律、法规和规定，应以新颁布的规定为准。新颁布的有关法律、法规和规定与本合同条款发生矛盾时，甲乙双方须就合同条款进行协商达成变更，任何一方不得拒绝变更合同条款。</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第二十四条</w:t>
      </w:r>
      <w:r>
        <w:rPr>
          <w:rFonts w:hint="eastAsia" w:ascii="宋体" w:hAnsi="宋体" w:eastAsia="宋体" w:cs="宋体"/>
          <w:color w:val="auto"/>
          <w:sz w:val="21"/>
          <w:szCs w:val="21"/>
          <w:highlight w:val="none"/>
        </w:rPr>
        <w:t xml:space="preserve">  乙方有下列情形之一的，甲方有权单方面解除本合同：</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（一）乙方无正当理由未按照要求完成外包服务工作的。</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（二）经考核，乙方提供的服务3次不达标的。</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第二十五条</w:t>
      </w:r>
      <w:r>
        <w:rPr>
          <w:rFonts w:hint="eastAsia" w:ascii="宋体" w:hAnsi="宋体" w:eastAsia="宋体" w:cs="宋体"/>
          <w:color w:val="auto"/>
          <w:sz w:val="21"/>
          <w:szCs w:val="21"/>
          <w:highlight w:val="none"/>
        </w:rPr>
        <w:t xml:space="preserve">  甲方有下列情形之一的，乙方有权单方面解除本协议：</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（一）甲方拖欠乙方外包服务费用30日（含30日）以上，且经乙方书面催告，在15个工作日内无正当理由仍不履行的。</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（二）甲方违反国家有关法律法规的，或者提供的工作条件、安全卫生条件恶劣，严重危害乙方权益的。</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第二十六条</w:t>
      </w:r>
      <w:r>
        <w:rPr>
          <w:rFonts w:hint="eastAsia" w:ascii="宋体" w:hAnsi="宋体" w:eastAsia="宋体" w:cs="宋体"/>
          <w:color w:val="auto"/>
          <w:sz w:val="21"/>
          <w:szCs w:val="21"/>
          <w:highlight w:val="none"/>
        </w:rPr>
        <w:t xml:space="preserve">  本合同期满双方不再续约或者因一方违约导致本合同无法履行，则本合同终止。但合同的终止不得损害第三方的利益，双方应为此做出合理安排。</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第十章  附  则</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第二十七条</w:t>
      </w:r>
      <w:r>
        <w:rPr>
          <w:rFonts w:hint="eastAsia" w:ascii="宋体" w:hAnsi="宋体" w:eastAsia="宋体" w:cs="宋体"/>
          <w:color w:val="auto"/>
          <w:sz w:val="21"/>
          <w:szCs w:val="21"/>
          <w:highlight w:val="none"/>
        </w:rPr>
        <w:t xml:space="preserve">  本合同未尽事宜或与国家有关法律、法规、规定相悖的，均按国家有关法律、法规、规定执行。</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第二十八条</w:t>
      </w:r>
      <w:r>
        <w:rPr>
          <w:rFonts w:hint="eastAsia" w:ascii="宋体" w:hAnsi="宋体" w:eastAsia="宋体" w:cs="宋体"/>
          <w:color w:val="auto"/>
          <w:sz w:val="21"/>
          <w:szCs w:val="21"/>
          <w:highlight w:val="none"/>
        </w:rPr>
        <w:t xml:space="preserve">  任何一方就对方针对本合同项下任何条款的违约行为的自动弃权或重复性弃权不应被视为是对下一次针对同一条款的违约行为或针对其它条款的违约行为的弃权。</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第二十九条</w:t>
      </w:r>
      <w:r>
        <w:rPr>
          <w:rFonts w:hint="eastAsia" w:ascii="宋体" w:hAnsi="宋体" w:eastAsia="宋体" w:cs="宋体"/>
          <w:color w:val="auto"/>
          <w:sz w:val="21"/>
          <w:szCs w:val="21"/>
          <w:highlight w:val="none"/>
        </w:rPr>
        <w:t xml:space="preserve">  本合同中涉及的所有“通知”、“同意”、“确认”等事项均应以书面形式做出，并作为依据。双方确认与本合同履行有关而发出的所有书面通知或其他通讯，或者因争议解决由司法裁判机关发出的法律文书，均以本合同开头确定的通讯地址为准。送达有关文书时，如采用EMS邮寄送达的方式，发生收件人拒绝签收或其他无法送达情形的，则从发件人寄出文书之日起3日即视为已经送达。任何一方的通讯地址发生变化的，应书面通知对方，否则，应自行承担由此造成的一切法律后果。</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第三十条</w:t>
      </w:r>
      <w:r>
        <w:rPr>
          <w:rFonts w:hint="eastAsia" w:ascii="宋体" w:hAnsi="宋体" w:eastAsia="宋体" w:cs="宋体"/>
          <w:color w:val="auto"/>
          <w:sz w:val="21"/>
          <w:szCs w:val="21"/>
          <w:highlight w:val="none"/>
        </w:rPr>
        <w:t xml:space="preserve"> 甲、乙双方因执行本合同发生的一切争议，双方应首先友好协商解决。经协商不能解决，可向甲方所在地人民法院提起诉讼。在诉讼期间，除必须在诉讼过程中进行解决的问题外，合同其余部分应继续履行。</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第三十一条</w:t>
      </w:r>
      <w:r>
        <w:rPr>
          <w:rFonts w:hint="eastAsia" w:ascii="宋体" w:hAnsi="宋体" w:eastAsia="宋体" w:cs="宋体"/>
          <w:color w:val="auto"/>
          <w:sz w:val="21"/>
          <w:szCs w:val="21"/>
          <w:highlight w:val="none"/>
        </w:rPr>
        <w:t xml:space="preserve">  本合同有关附件及补充协议是本合同不可分割的组成部分，与本合同具有同等法律效力；本合同未尽事宜，双方另行协商并签署补充协议，作为本合同的附件，具有同等法律效力。</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第三十二条</w:t>
      </w:r>
      <w:r>
        <w:rPr>
          <w:rFonts w:hint="eastAsia" w:ascii="宋体" w:hAnsi="宋体" w:eastAsia="宋体" w:cs="宋体"/>
          <w:color w:val="auto"/>
          <w:sz w:val="21"/>
          <w:szCs w:val="21"/>
          <w:highlight w:val="none"/>
        </w:rPr>
        <w:t xml:space="preserve">  本合同一式贰份，自双方授权代表人签字并加盖单位公章之日起生效。甲乙双方各执壹份，具有同等法律效力。</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p>
    <w:p>
      <w:pPr>
        <w:pStyle w:val="59"/>
        <w:pageBreakBefore w:val="0"/>
        <w:tabs>
          <w:tab w:val="left" w:pos="0"/>
          <w:tab w:val="left" w:pos="405"/>
          <w:tab w:val="left" w:pos="567"/>
          <w:tab w:val="left" w:pos="601"/>
          <w:tab w:val="left" w:pos="1980"/>
        </w:tabs>
        <w:kinsoku/>
        <w:wordWrap/>
        <w:overflowPunct/>
        <w:topLinePunct w:val="0"/>
        <w:bidi w:val="0"/>
        <w:spacing w:line="360" w:lineRule="auto"/>
        <w:textAlignment w:val="auto"/>
        <w:rPr>
          <w:rFonts w:hint="eastAsia" w:ascii="宋体" w:hAnsi="宋体" w:eastAsia="宋体" w:cs="宋体"/>
          <w:color w:val="auto"/>
          <w:sz w:val="21"/>
          <w:szCs w:val="21"/>
          <w:highlight w:val="none"/>
        </w:rPr>
      </w:pPr>
    </w:p>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甲方（盖章）：</w:t>
      </w:r>
    </w:p>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p>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法定代表人（签字）： </w:t>
      </w:r>
    </w:p>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p>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签订日期：</w:t>
      </w:r>
    </w:p>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p>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乙方（盖章）：</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textAlignment w:val="auto"/>
        <w:rPr>
          <w:rFonts w:hint="eastAsia" w:ascii="宋体" w:hAnsi="宋体" w:eastAsia="宋体" w:cs="宋体"/>
          <w:b/>
          <w:color w:val="auto"/>
          <w:kern w:val="2"/>
          <w:sz w:val="21"/>
          <w:szCs w:val="21"/>
          <w:highlight w:val="none"/>
        </w:rPr>
      </w:pP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textAlignment w:val="auto"/>
        <w:rPr>
          <w:rFonts w:hint="eastAsia" w:ascii="宋体" w:hAnsi="宋体" w:eastAsia="宋体" w:cs="宋体"/>
          <w:b/>
          <w:color w:val="auto"/>
          <w:kern w:val="2"/>
          <w:sz w:val="21"/>
          <w:szCs w:val="21"/>
          <w:highlight w:val="none"/>
        </w:rPr>
      </w:pPr>
      <w:r>
        <w:rPr>
          <w:rFonts w:hint="eastAsia" w:ascii="宋体" w:hAnsi="宋体" w:eastAsia="宋体" w:cs="宋体"/>
          <w:b/>
          <w:color w:val="auto"/>
          <w:kern w:val="2"/>
          <w:sz w:val="21"/>
          <w:szCs w:val="21"/>
          <w:highlight w:val="none"/>
        </w:rPr>
        <w:t xml:space="preserve">法定代表人（签字）： </w:t>
      </w:r>
    </w:p>
    <w:p>
      <w:pPr>
        <w:pStyle w:val="59"/>
        <w:pageBreakBefore w:val="0"/>
        <w:tabs>
          <w:tab w:val="left" w:pos="0"/>
          <w:tab w:val="left" w:pos="405"/>
          <w:tab w:val="left" w:pos="567"/>
          <w:tab w:val="left" w:pos="601"/>
          <w:tab w:val="left" w:pos="1980"/>
        </w:tabs>
        <w:kinsoku/>
        <w:wordWrap/>
        <w:overflowPunct/>
        <w:topLinePunct w:val="0"/>
        <w:bidi w:val="0"/>
        <w:spacing w:line="360" w:lineRule="auto"/>
        <w:ind w:left="0" w:leftChars="0"/>
        <w:textAlignment w:val="auto"/>
        <w:rPr>
          <w:rFonts w:hint="eastAsia" w:ascii="宋体" w:hAnsi="宋体" w:eastAsia="宋体" w:cs="宋体"/>
          <w:b/>
          <w:color w:val="auto"/>
          <w:kern w:val="2"/>
          <w:sz w:val="21"/>
          <w:szCs w:val="21"/>
          <w:highlight w:val="none"/>
        </w:rPr>
      </w:pPr>
    </w:p>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b/>
          <w:color w:val="auto"/>
          <w:kern w:val="2"/>
          <w:sz w:val="21"/>
          <w:szCs w:val="21"/>
          <w:highlight w:val="none"/>
        </w:rPr>
        <w:t>签订日期：</w:t>
      </w:r>
    </w:p>
    <w:p>
      <w:pPr>
        <w:pageBreakBefore w:val="0"/>
        <w:kinsoku/>
        <w:wordWrap/>
        <w:overflowPunct/>
        <w:topLinePunct w:val="0"/>
        <w:bidi w:val="0"/>
        <w:spacing w:line="360" w:lineRule="auto"/>
        <w:ind w:left="0" w:leftChars="0"/>
        <w:jc w:val="center"/>
        <w:textAlignment w:val="auto"/>
        <w:rPr>
          <w:rFonts w:hint="eastAsia" w:ascii="宋体" w:hAnsi="宋体" w:eastAsia="宋体" w:cs="宋体"/>
          <w:b/>
          <w:bCs/>
          <w:color w:val="auto"/>
          <w:sz w:val="21"/>
          <w:szCs w:val="21"/>
          <w:highlight w:val="none"/>
        </w:rPr>
      </w:pPr>
    </w:p>
    <w:p>
      <w:pPr>
        <w:rPr>
          <w:rFonts w:hint="eastAsia" w:ascii="宋体" w:hAnsi="宋体" w:eastAsia="宋体" w:cs="宋体"/>
          <w:b/>
          <w:bCs/>
          <w:color w:val="auto"/>
          <w:sz w:val="21"/>
          <w:szCs w:val="21"/>
          <w:highlight w:val="none"/>
        </w:rPr>
      </w:pPr>
    </w:p>
    <w:p>
      <w:pPr>
        <w:pStyle w:val="2"/>
        <w:rPr>
          <w:rFonts w:hint="eastAsia" w:ascii="宋体" w:hAnsi="宋体" w:eastAsia="宋体" w:cs="宋体"/>
          <w:b/>
          <w:bCs/>
          <w:color w:val="auto"/>
          <w:sz w:val="21"/>
          <w:szCs w:val="21"/>
          <w:highlight w:val="none"/>
        </w:rPr>
      </w:pPr>
    </w:p>
    <w:p>
      <w:pPr>
        <w:rPr>
          <w:rFonts w:hint="eastAsia" w:ascii="宋体" w:hAnsi="宋体" w:eastAsia="宋体" w:cs="宋体"/>
          <w:b/>
          <w:bCs/>
          <w:color w:val="auto"/>
          <w:sz w:val="21"/>
          <w:szCs w:val="21"/>
          <w:highlight w:val="none"/>
        </w:rPr>
      </w:pPr>
    </w:p>
    <w:p>
      <w:pPr>
        <w:pStyle w:val="2"/>
        <w:rPr>
          <w:rFonts w:hint="eastAsia" w:ascii="宋体" w:hAnsi="宋体" w:eastAsia="宋体" w:cs="宋体"/>
          <w:b/>
          <w:bCs/>
          <w:color w:val="auto"/>
          <w:sz w:val="21"/>
          <w:szCs w:val="21"/>
          <w:highlight w:val="none"/>
        </w:rPr>
      </w:pPr>
    </w:p>
    <w:p>
      <w:pPr>
        <w:pStyle w:val="3"/>
        <w:rPr>
          <w:rFonts w:hint="eastAsia"/>
        </w:rPr>
      </w:pPr>
    </w:p>
    <w:p>
      <w:pPr>
        <w:pStyle w:val="4"/>
        <w:rPr>
          <w:rFonts w:hint="eastAsia"/>
        </w:rPr>
      </w:pPr>
    </w:p>
    <w:p>
      <w:pPr>
        <w:rPr>
          <w:rFonts w:hint="eastAsia" w:ascii="宋体" w:hAnsi="宋体" w:eastAsia="宋体" w:cs="宋体"/>
          <w:b/>
          <w:bCs/>
          <w:color w:val="auto"/>
          <w:sz w:val="21"/>
          <w:szCs w:val="21"/>
          <w:highlight w:val="none"/>
        </w:rPr>
      </w:pPr>
    </w:p>
    <w:p>
      <w:pPr>
        <w:pageBreakBefore w:val="0"/>
        <w:kinsoku/>
        <w:wordWrap/>
        <w:overflowPunct/>
        <w:topLinePunct w:val="0"/>
        <w:bidi w:val="0"/>
        <w:spacing w:line="360" w:lineRule="auto"/>
        <w:ind w:left="0" w:left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服务外包</w:t>
      </w:r>
      <w:r>
        <w:rPr>
          <w:rFonts w:hint="eastAsia" w:ascii="宋体" w:hAnsi="宋体" w:eastAsia="宋体" w:cs="宋体"/>
          <w:b/>
          <w:bCs/>
          <w:color w:val="auto"/>
          <w:sz w:val="24"/>
          <w:szCs w:val="24"/>
          <w:highlight w:val="none"/>
        </w:rPr>
        <w:t>服务内容</w:t>
      </w:r>
    </w:p>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服务场所：广东省盐业集团东莞有限公司本部位于东莞市莞城街道东城西路172号111,办公区域面积约为700平方米；配送中心位于茶山镇南社村中铁二局集团物资有限公司（盐业公司），办公区域、仓库面积等合计约为5169平方米。</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936"/>
        <w:gridCol w:w="996"/>
        <w:gridCol w:w="992"/>
        <w:gridCol w:w="992"/>
        <w:gridCol w:w="1418"/>
        <w:gridCol w:w="850"/>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jc w:val="center"/>
        </w:trPr>
        <w:tc>
          <w:tcPr>
            <w:tcW w:w="1384" w:type="dxa"/>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服务地点</w:t>
            </w:r>
          </w:p>
        </w:tc>
        <w:tc>
          <w:tcPr>
            <w:tcW w:w="1932" w:type="dxa"/>
            <w:gridSpan w:val="2"/>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公司本部</w:t>
            </w:r>
          </w:p>
        </w:tc>
        <w:tc>
          <w:tcPr>
            <w:tcW w:w="5245" w:type="dxa"/>
            <w:gridSpan w:val="5"/>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茶山配送中心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384" w:type="dxa"/>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服务项目</w:t>
            </w:r>
          </w:p>
        </w:tc>
        <w:tc>
          <w:tcPr>
            <w:tcW w:w="936" w:type="dxa"/>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厨房业务</w:t>
            </w:r>
          </w:p>
        </w:tc>
        <w:tc>
          <w:tcPr>
            <w:tcW w:w="996" w:type="dxa"/>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清洁业务</w:t>
            </w:r>
          </w:p>
        </w:tc>
        <w:tc>
          <w:tcPr>
            <w:tcW w:w="992" w:type="dxa"/>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电工业务</w:t>
            </w:r>
          </w:p>
        </w:tc>
        <w:tc>
          <w:tcPr>
            <w:tcW w:w="992" w:type="dxa"/>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叉车业务</w:t>
            </w:r>
          </w:p>
        </w:tc>
        <w:tc>
          <w:tcPr>
            <w:tcW w:w="1418" w:type="dxa"/>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仓库后勤业务</w:t>
            </w:r>
          </w:p>
        </w:tc>
        <w:tc>
          <w:tcPr>
            <w:tcW w:w="850" w:type="dxa"/>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配送业务</w:t>
            </w:r>
          </w:p>
        </w:tc>
        <w:tc>
          <w:tcPr>
            <w:tcW w:w="993" w:type="dxa"/>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打码业务</w:t>
            </w:r>
          </w:p>
        </w:tc>
      </w:tr>
    </w:tbl>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A、公司本部</w:t>
      </w:r>
    </w:p>
    <w:p>
      <w:pPr>
        <w:pageBreakBefore w:val="0"/>
        <w:widowControl w:val="0"/>
        <w:numPr>
          <w:ilvl w:val="0"/>
          <w:numId w:val="12"/>
        </w:numPr>
        <w:kinsoku/>
        <w:wordWrap/>
        <w:overflowPunct/>
        <w:topLinePunct w:val="0"/>
        <w:bidi w:val="0"/>
        <w:adjustRightInd/>
        <w:snapToGrid/>
        <w:spacing w:line="360" w:lineRule="auto"/>
        <w:ind w:left="0" w:leftChars="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厨房业务</w:t>
      </w:r>
    </w:p>
    <w:p>
      <w:pPr>
        <w:pageBreakBefore w:val="0"/>
        <w:kinsoku/>
        <w:wordWrap/>
        <w:overflowPunct/>
        <w:topLinePunct w:val="0"/>
        <w:bidi w:val="0"/>
        <w:spacing w:line="360" w:lineRule="auto"/>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工作内容及要求：</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①食堂菜系为粤菜。用餐人数:早午约25人、晚约10人。</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中标人负责工作日内公司食堂的日常工作，保证饭菜质量。包括员工食堂的烹调制作、不定时的围餐接待工作。要求提前一周制定每日早午晚菜单，合理采购食品，控制成本，并对食品质量进行把关，做好申购和验收，工作中按规操作、注意安全、防止工伤、火灾事故。</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③维护食堂环境卫生、个人卫生，做好每日碗筷的清洗消毒和食堂区域范围内的卫生清洁工作。确保无卫生死角，确保食物存放整洁，炊具放置有序。</w:t>
      </w:r>
    </w:p>
    <w:p>
      <w:pPr>
        <w:pageBreakBefore w:val="0"/>
        <w:widowControl w:val="0"/>
        <w:numPr>
          <w:ilvl w:val="0"/>
          <w:numId w:val="12"/>
        </w:numPr>
        <w:kinsoku/>
        <w:wordWrap/>
        <w:overflowPunct/>
        <w:topLinePunct w:val="0"/>
        <w:bidi w:val="0"/>
        <w:adjustRightInd/>
        <w:snapToGrid/>
        <w:spacing w:line="360" w:lineRule="auto"/>
        <w:ind w:left="0" w:leftChars="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清洁业务</w:t>
      </w:r>
    </w:p>
    <w:p>
      <w:pPr>
        <w:pageBreakBefore w:val="0"/>
        <w:kinsoku/>
        <w:wordWrap/>
        <w:overflowPunct/>
        <w:topLinePunct w:val="0"/>
        <w:bidi w:val="0"/>
        <w:spacing w:line="360" w:lineRule="auto"/>
        <w:ind w:left="0" w:leftChars="0" w:firstLine="413" w:firstLineChars="196"/>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工作内容及要求：</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①负责公司本部办公区域的日常的清洁与保洁工作，至少一日两次清洁，及时清理垃圾和杂物，做到墙身无蜘蛛网，地面无明显垃圾，保证消防通道畅通和办公区域内环境的干净卫生。</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②及时清洗会客接待的茶杯茶具，并做好消毒。</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③做好洗手间区域的清洁，保持地面不湿滑，无异味。</w:t>
      </w:r>
    </w:p>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B、茶山配送中心</w:t>
      </w:r>
    </w:p>
    <w:p>
      <w:pPr>
        <w:pageBreakBefore w:val="0"/>
        <w:widowControl w:val="0"/>
        <w:numPr>
          <w:ilvl w:val="0"/>
          <w:numId w:val="13"/>
        </w:numPr>
        <w:kinsoku/>
        <w:wordWrap/>
        <w:overflowPunct/>
        <w:topLinePunct w:val="0"/>
        <w:bidi w:val="0"/>
        <w:adjustRightInd/>
        <w:snapToGrid/>
        <w:spacing w:line="360" w:lineRule="auto"/>
        <w:ind w:left="0" w:leftChars="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电工业务</w:t>
      </w:r>
    </w:p>
    <w:p>
      <w:pPr>
        <w:pageBreakBefore w:val="0"/>
        <w:kinsoku/>
        <w:wordWrap/>
        <w:overflowPunct/>
        <w:topLinePunct w:val="0"/>
        <w:bidi w:val="0"/>
        <w:spacing w:line="360" w:lineRule="auto"/>
        <w:ind w:left="0" w:leftChars="0" w:firstLine="413" w:firstLineChars="196"/>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工作内容及要求：</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①负责公司配送中心所有用电设备和线路的检查维修，以及所有供电设施的安装、修理与保养工作，并做好相关记录。</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②负责对用电设备的安全隐患进行自查和整改，确保用电工作符合安全生产的相关制度规定。</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③负责仓库内外的勤杂工作，包括仓库环境的管理、烂包破包的清理及管理工作。</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④负责部门临时性用工的所有工作，包括配送司机、后勤等。</w:t>
      </w:r>
    </w:p>
    <w:p>
      <w:pPr>
        <w:pageBreakBefore w:val="0"/>
        <w:widowControl w:val="0"/>
        <w:numPr>
          <w:ilvl w:val="0"/>
          <w:numId w:val="13"/>
        </w:numPr>
        <w:kinsoku/>
        <w:wordWrap/>
        <w:overflowPunct/>
        <w:topLinePunct w:val="0"/>
        <w:bidi w:val="0"/>
        <w:adjustRightInd/>
        <w:snapToGrid/>
        <w:spacing w:line="360" w:lineRule="auto"/>
        <w:ind w:left="0" w:leftChars="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叉车业务</w:t>
      </w:r>
    </w:p>
    <w:p>
      <w:pPr>
        <w:pageBreakBefore w:val="0"/>
        <w:kinsoku/>
        <w:wordWrap/>
        <w:overflowPunct/>
        <w:topLinePunct w:val="0"/>
        <w:bidi w:val="0"/>
        <w:spacing w:line="360" w:lineRule="auto"/>
        <w:ind w:left="0" w:leftChars="0" w:firstLine="413" w:firstLineChars="196"/>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工作内容及要求：</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①按照工作安排，负责做好盐产品、辅料和各种废料的叉运工作，并严格遵守安全行驶的原则。</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②认真做好叉车的日常维护和保养工作，确保叉车的安全和整洁。</w:t>
      </w:r>
    </w:p>
    <w:p>
      <w:pPr>
        <w:pageBreakBefore w:val="0"/>
        <w:widowControl w:val="0"/>
        <w:numPr>
          <w:ilvl w:val="0"/>
          <w:numId w:val="13"/>
        </w:numPr>
        <w:kinsoku/>
        <w:wordWrap/>
        <w:overflowPunct/>
        <w:topLinePunct w:val="0"/>
        <w:bidi w:val="0"/>
        <w:adjustRightInd/>
        <w:snapToGrid/>
        <w:spacing w:line="360" w:lineRule="auto"/>
        <w:ind w:left="0" w:leftChars="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仓库后勤业务</w:t>
      </w:r>
    </w:p>
    <w:p>
      <w:pPr>
        <w:pageBreakBefore w:val="0"/>
        <w:kinsoku/>
        <w:wordWrap/>
        <w:overflowPunct/>
        <w:topLinePunct w:val="0"/>
        <w:bidi w:val="0"/>
        <w:spacing w:line="360" w:lineRule="auto"/>
        <w:ind w:left="0" w:leftChars="0" w:firstLine="413" w:firstLineChars="196"/>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工作内容及要求：</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①负责配送中心仓库的日常后勤保障工作，包括仓库安全管理等工作。</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②协助进行内务管理和传达管理，对来访人员和车辆进行登记和检查，及时处理异常情况或突发事件。</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③中标人员所派出提供服务的人员，应具有安全责任意识和处理突发事件的能力，能掌握基本消防器材的使用方法，熟记消防、警匪、救护等联系方式来确保紧急事故报告及时。</w:t>
      </w:r>
    </w:p>
    <w:p>
      <w:pPr>
        <w:pageBreakBefore w:val="0"/>
        <w:widowControl w:val="0"/>
        <w:numPr>
          <w:ilvl w:val="0"/>
          <w:numId w:val="13"/>
        </w:numPr>
        <w:kinsoku/>
        <w:wordWrap/>
        <w:overflowPunct/>
        <w:topLinePunct w:val="0"/>
        <w:bidi w:val="0"/>
        <w:adjustRightInd/>
        <w:snapToGrid/>
        <w:spacing w:line="360" w:lineRule="auto"/>
        <w:ind w:left="0" w:leftChars="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配送业务</w:t>
      </w:r>
    </w:p>
    <w:p>
      <w:pPr>
        <w:pageBreakBefore w:val="0"/>
        <w:kinsoku/>
        <w:wordWrap/>
        <w:overflowPunct/>
        <w:topLinePunct w:val="0"/>
        <w:bidi w:val="0"/>
        <w:spacing w:line="360" w:lineRule="auto"/>
        <w:ind w:left="0" w:leftChars="0" w:firstLine="413" w:firstLineChars="196"/>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工作内容及要求：</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color w:val="auto"/>
          <w:sz w:val="21"/>
          <w:szCs w:val="21"/>
          <w:highlight w:val="none"/>
        </w:rPr>
        <w:t>负责区域内产品订单的配送任务，按时整理呈递相关业务单据和资料，并负责配送车辆的保养、维和修清洁工作。</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2、遵守交通法规和公司车辆管理制度，熟悉东莞市内及周边道路，能协助仓管及配送人员处理日常事务。</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3、具有良好的驾驶技术和安全服务意识，无不良行车记录，具备一定的沟通能力，语言表达能力良好，具备突发情况处理能力。</w:t>
      </w:r>
    </w:p>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（5）打码业务</w:t>
      </w:r>
    </w:p>
    <w:p>
      <w:pPr>
        <w:pageBreakBefore w:val="0"/>
        <w:kinsoku/>
        <w:wordWrap/>
        <w:overflowPunct/>
        <w:topLinePunct w:val="0"/>
        <w:bidi w:val="0"/>
        <w:spacing w:line="360" w:lineRule="auto"/>
        <w:ind w:left="0" w:leftChars="0" w:firstLine="413" w:firstLineChars="196"/>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工作内容及要求：</w:t>
      </w:r>
    </w:p>
    <w:p>
      <w:pPr>
        <w:pageBreakBefore w:val="0"/>
        <w:kinsoku/>
        <w:wordWrap/>
        <w:overflowPunct/>
        <w:topLinePunct w:val="0"/>
        <w:bidi w:val="0"/>
        <w:spacing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负责产品的打码工作。</w:t>
      </w:r>
    </w:p>
    <w:p>
      <w:pPr>
        <w:pageBreakBefore w:val="0"/>
        <w:kinsoku/>
        <w:wordWrap/>
        <w:overflowPunct/>
        <w:topLinePunct w:val="0"/>
        <w:bidi w:val="0"/>
        <w:spacing w:line="360" w:lineRule="auto"/>
        <w:ind w:left="0" w:leftChars="0" w:firstLine="1676" w:firstLineChars="795"/>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服务外包</w:t>
      </w:r>
      <w:r>
        <w:rPr>
          <w:rFonts w:hint="eastAsia" w:ascii="宋体" w:hAnsi="宋体" w:eastAsia="宋体" w:cs="宋体"/>
          <w:b/>
          <w:bCs/>
          <w:color w:val="auto"/>
          <w:sz w:val="21"/>
          <w:szCs w:val="21"/>
          <w:highlight w:val="none"/>
        </w:rPr>
        <w:t>服务考核细则</w:t>
      </w:r>
    </w:p>
    <w:tbl>
      <w:tblPr>
        <w:tblStyle w:val="23"/>
        <w:tblW w:w="0" w:type="auto"/>
        <w:tblInd w:w="-318" w:type="dxa"/>
        <w:tblLayout w:type="fixed"/>
        <w:tblCellMar>
          <w:top w:w="0" w:type="dxa"/>
          <w:left w:w="108" w:type="dxa"/>
          <w:bottom w:w="0" w:type="dxa"/>
          <w:right w:w="108" w:type="dxa"/>
        </w:tblCellMar>
      </w:tblPr>
      <w:tblGrid>
        <w:gridCol w:w="1986"/>
        <w:gridCol w:w="7654"/>
      </w:tblGrid>
      <w:tr>
        <w:tblPrEx>
          <w:tblCellMar>
            <w:top w:w="0" w:type="dxa"/>
            <w:left w:w="108" w:type="dxa"/>
            <w:bottom w:w="0" w:type="dxa"/>
            <w:right w:w="108" w:type="dxa"/>
          </w:tblCellMar>
        </w:tblPrEx>
        <w:trPr>
          <w:trHeight w:val="390" w:hRule="atLeast"/>
        </w:trPr>
        <w:tc>
          <w:tcPr>
            <w:tcW w:w="1986" w:type="dxa"/>
            <w:vMerge w:val="restart"/>
            <w:tcBorders>
              <w:top w:val="single" w:color="auto" w:sz="8" w:space="0"/>
              <w:left w:val="single" w:color="auto" w:sz="8" w:space="0"/>
              <w:right w:val="single" w:color="auto" w:sz="8"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饭堂后厨业务</w:t>
            </w: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考勤纪律。没有及时按照工作时间开餐的，一次扣100元。</w:t>
            </w:r>
          </w:p>
        </w:tc>
      </w:tr>
      <w:tr>
        <w:tblPrEx>
          <w:tblCellMar>
            <w:top w:w="0" w:type="dxa"/>
            <w:left w:w="108" w:type="dxa"/>
            <w:bottom w:w="0" w:type="dxa"/>
            <w:right w:w="108" w:type="dxa"/>
          </w:tblCellMar>
        </w:tblPrEx>
        <w:trPr>
          <w:trHeight w:val="390" w:hRule="atLeast"/>
        </w:trPr>
        <w:tc>
          <w:tcPr>
            <w:tcW w:w="1986" w:type="dxa"/>
            <w:vMerge w:val="continue"/>
            <w:tcBorders>
              <w:left w:val="single" w:color="auto" w:sz="8" w:space="0"/>
              <w:right w:val="single" w:color="auto" w:sz="8"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卫生清洁。没有注意食物卫生、没有维护厨房和厨具卫生干净的，一次扣100-200元。</w:t>
            </w:r>
          </w:p>
        </w:tc>
      </w:tr>
      <w:tr>
        <w:tblPrEx>
          <w:tblCellMar>
            <w:top w:w="0" w:type="dxa"/>
            <w:left w:w="108" w:type="dxa"/>
            <w:bottom w:w="0" w:type="dxa"/>
            <w:right w:w="108" w:type="dxa"/>
          </w:tblCellMar>
        </w:tblPrEx>
        <w:trPr>
          <w:trHeight w:val="390" w:hRule="atLeast"/>
        </w:trPr>
        <w:tc>
          <w:tcPr>
            <w:tcW w:w="1986" w:type="dxa"/>
            <w:vMerge w:val="continue"/>
            <w:tcBorders>
              <w:left w:val="single" w:color="auto" w:sz="8" w:space="0"/>
              <w:right w:val="single" w:color="auto" w:sz="8"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成本控制。没有及时了解菜品价格动态，超出预算1次扣50元。浪费水电气的，一次扣50元。</w:t>
            </w:r>
          </w:p>
        </w:tc>
      </w:tr>
      <w:tr>
        <w:tblPrEx>
          <w:tblCellMar>
            <w:top w:w="0" w:type="dxa"/>
            <w:left w:w="108" w:type="dxa"/>
            <w:bottom w:w="0" w:type="dxa"/>
            <w:right w:w="108" w:type="dxa"/>
          </w:tblCellMar>
        </w:tblPrEx>
        <w:trPr>
          <w:trHeight w:val="390" w:hRule="atLeast"/>
        </w:trPr>
        <w:tc>
          <w:tcPr>
            <w:tcW w:w="1986" w:type="dxa"/>
            <w:vMerge w:val="continue"/>
            <w:tcBorders>
              <w:left w:val="single" w:color="auto" w:sz="8" w:space="0"/>
              <w:bottom w:val="single" w:color="auto" w:sz="8" w:space="0"/>
              <w:right w:val="single" w:color="auto" w:sz="8"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菜品质量。没有提前一周制定并公示菜单的，一次扣50元。</w:t>
            </w:r>
          </w:p>
        </w:tc>
      </w:tr>
      <w:tr>
        <w:tblPrEx>
          <w:tblCellMar>
            <w:top w:w="0" w:type="dxa"/>
            <w:left w:w="108" w:type="dxa"/>
            <w:bottom w:w="0" w:type="dxa"/>
            <w:right w:w="108" w:type="dxa"/>
          </w:tblCellMar>
        </w:tblPrEx>
        <w:trPr>
          <w:trHeight w:val="390" w:hRule="atLeast"/>
        </w:trPr>
        <w:tc>
          <w:tcPr>
            <w:tcW w:w="1986" w:type="dxa"/>
            <w:vMerge w:val="restart"/>
            <w:tcBorders>
              <w:top w:val="single" w:color="auto" w:sz="8" w:space="0"/>
              <w:left w:val="single" w:color="auto" w:sz="8" w:space="0"/>
              <w:right w:val="single" w:color="auto" w:sz="8"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清洁业务</w:t>
            </w: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考勤纪律。没有保证一日两次到岗的，一次扣50元。</w:t>
            </w:r>
          </w:p>
        </w:tc>
      </w:tr>
      <w:tr>
        <w:tblPrEx>
          <w:tblCellMar>
            <w:top w:w="0" w:type="dxa"/>
            <w:left w:w="108" w:type="dxa"/>
            <w:bottom w:w="0" w:type="dxa"/>
            <w:right w:w="108" w:type="dxa"/>
          </w:tblCellMar>
        </w:tblPrEx>
        <w:trPr>
          <w:trHeight w:val="390" w:hRule="atLeast"/>
        </w:trPr>
        <w:tc>
          <w:tcPr>
            <w:tcW w:w="1986" w:type="dxa"/>
            <w:vMerge w:val="continue"/>
            <w:tcBorders>
              <w:left w:val="single" w:color="auto" w:sz="8" w:space="0"/>
              <w:right w:val="single" w:color="auto" w:sz="8"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公共卫生。没有按规定完成每日清洁任务的，一次扣50-200元。</w:t>
            </w:r>
          </w:p>
        </w:tc>
      </w:tr>
      <w:tr>
        <w:tblPrEx>
          <w:tblCellMar>
            <w:top w:w="0" w:type="dxa"/>
            <w:left w:w="108" w:type="dxa"/>
            <w:bottom w:w="0" w:type="dxa"/>
            <w:right w:w="108" w:type="dxa"/>
          </w:tblCellMar>
        </w:tblPrEx>
        <w:trPr>
          <w:trHeight w:val="390" w:hRule="atLeast"/>
        </w:trPr>
        <w:tc>
          <w:tcPr>
            <w:tcW w:w="1986" w:type="dxa"/>
            <w:vMerge w:val="continue"/>
            <w:tcBorders>
              <w:left w:val="single" w:color="auto" w:sz="8" w:space="0"/>
              <w:bottom w:val="single" w:color="auto" w:sz="8" w:space="0"/>
              <w:right w:val="single" w:color="auto" w:sz="8"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卫生管理。出现没有爱护清洁工具、节约用水、安全用电等违规行为的，一次扣50-200元。</w:t>
            </w:r>
          </w:p>
        </w:tc>
      </w:tr>
      <w:tr>
        <w:tblPrEx>
          <w:tblCellMar>
            <w:top w:w="0" w:type="dxa"/>
            <w:left w:w="108" w:type="dxa"/>
            <w:bottom w:w="0" w:type="dxa"/>
            <w:right w:w="108" w:type="dxa"/>
          </w:tblCellMar>
        </w:tblPrEx>
        <w:trPr>
          <w:trHeight w:val="390" w:hRule="atLeast"/>
        </w:trPr>
        <w:tc>
          <w:tcPr>
            <w:tcW w:w="1986" w:type="dxa"/>
            <w:vMerge w:val="restart"/>
            <w:tcBorders>
              <w:top w:val="single" w:color="auto" w:sz="8" w:space="0"/>
              <w:left w:val="single" w:color="auto" w:sz="8" w:space="0"/>
              <w:bottom w:val="single" w:color="auto" w:sz="8" w:space="0"/>
              <w:right w:val="single" w:color="auto" w:sz="8"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电工业务</w:t>
            </w: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考勤纪律。工作时间不在岗，迟到早退的，一次扣50元。</w:t>
            </w:r>
          </w:p>
        </w:tc>
      </w:tr>
      <w:tr>
        <w:tblPrEx>
          <w:tblCellMar>
            <w:top w:w="0" w:type="dxa"/>
            <w:left w:w="108" w:type="dxa"/>
            <w:bottom w:w="0" w:type="dxa"/>
            <w:right w:w="108" w:type="dxa"/>
          </w:tblCellMar>
        </w:tblPrEx>
        <w:trPr>
          <w:trHeight w:val="690" w:hRule="atLeast"/>
        </w:trPr>
        <w:tc>
          <w:tcPr>
            <w:tcW w:w="1986" w:type="dxa"/>
            <w:vMerge w:val="continue"/>
            <w:tcBorders>
              <w:top w:val="single" w:color="auto" w:sz="8" w:space="0"/>
              <w:left w:val="single" w:color="auto" w:sz="8" w:space="0"/>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设备维护。未按规定对设备进行定期维修保养，导致设备损坏或影响工作运行的，一次扣100-200元。</w:t>
            </w:r>
          </w:p>
        </w:tc>
      </w:tr>
      <w:tr>
        <w:tblPrEx>
          <w:tblCellMar>
            <w:top w:w="0" w:type="dxa"/>
            <w:left w:w="108" w:type="dxa"/>
            <w:bottom w:w="0" w:type="dxa"/>
            <w:right w:w="108" w:type="dxa"/>
          </w:tblCellMar>
        </w:tblPrEx>
        <w:trPr>
          <w:trHeight w:val="679" w:hRule="atLeast"/>
        </w:trPr>
        <w:tc>
          <w:tcPr>
            <w:tcW w:w="1986" w:type="dxa"/>
            <w:vMerge w:val="continue"/>
            <w:tcBorders>
              <w:top w:val="single" w:color="auto" w:sz="8" w:space="0"/>
              <w:left w:val="single" w:color="auto" w:sz="8" w:space="0"/>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用电安全。违反公司安全生产相关制度规定，对公司安全生产工作造成不良影响的，一次扣100-200元。</w:t>
            </w:r>
          </w:p>
        </w:tc>
      </w:tr>
      <w:tr>
        <w:tblPrEx>
          <w:tblCellMar>
            <w:top w:w="0" w:type="dxa"/>
            <w:left w:w="108" w:type="dxa"/>
            <w:bottom w:w="0" w:type="dxa"/>
            <w:right w:w="108" w:type="dxa"/>
          </w:tblCellMar>
        </w:tblPrEx>
        <w:trPr>
          <w:trHeight w:val="702" w:hRule="atLeast"/>
        </w:trPr>
        <w:tc>
          <w:tcPr>
            <w:tcW w:w="1986" w:type="dxa"/>
            <w:vMerge w:val="continue"/>
            <w:tcBorders>
              <w:top w:val="single" w:color="auto" w:sz="8" w:space="0"/>
              <w:left w:val="single" w:color="auto" w:sz="8" w:space="0"/>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日常管理。不服从管理、工作懒散拖沓、作业不规范的，一次扣50-200元。</w:t>
            </w:r>
          </w:p>
        </w:tc>
      </w:tr>
      <w:tr>
        <w:tblPrEx>
          <w:tblCellMar>
            <w:top w:w="0" w:type="dxa"/>
            <w:left w:w="108" w:type="dxa"/>
            <w:bottom w:w="0" w:type="dxa"/>
            <w:right w:w="108" w:type="dxa"/>
          </w:tblCellMar>
        </w:tblPrEx>
        <w:trPr>
          <w:trHeight w:val="405" w:hRule="atLeast"/>
        </w:trPr>
        <w:tc>
          <w:tcPr>
            <w:tcW w:w="1986" w:type="dxa"/>
            <w:vMerge w:val="restart"/>
            <w:tcBorders>
              <w:top w:val="single" w:color="auto" w:sz="8" w:space="0"/>
              <w:left w:val="single" w:color="auto" w:sz="8" w:space="0"/>
              <w:bottom w:val="single" w:color="auto" w:sz="8" w:space="0"/>
              <w:right w:val="single" w:color="auto" w:sz="8"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仓库后勤业务</w:t>
            </w: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考勤纪律。无人员在岗，一次扣100元。</w:t>
            </w:r>
          </w:p>
        </w:tc>
      </w:tr>
      <w:tr>
        <w:tblPrEx>
          <w:tblCellMar>
            <w:top w:w="0" w:type="dxa"/>
            <w:left w:w="108" w:type="dxa"/>
            <w:bottom w:w="0" w:type="dxa"/>
            <w:right w:w="108" w:type="dxa"/>
          </w:tblCellMar>
        </w:tblPrEx>
        <w:trPr>
          <w:trHeight w:val="690" w:hRule="atLeast"/>
        </w:trPr>
        <w:tc>
          <w:tcPr>
            <w:tcW w:w="1986" w:type="dxa"/>
            <w:vMerge w:val="continue"/>
            <w:tcBorders>
              <w:top w:val="single" w:color="auto" w:sz="8" w:space="0"/>
              <w:left w:val="single" w:color="auto" w:sz="8" w:space="0"/>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安全保卫。因个人原因导致公司财产损失的，视情节严重性追究其相应责任。</w:t>
            </w:r>
          </w:p>
        </w:tc>
      </w:tr>
      <w:tr>
        <w:tblPrEx>
          <w:tblCellMar>
            <w:top w:w="0" w:type="dxa"/>
            <w:left w:w="108" w:type="dxa"/>
            <w:bottom w:w="0" w:type="dxa"/>
            <w:right w:w="108" w:type="dxa"/>
          </w:tblCellMar>
        </w:tblPrEx>
        <w:trPr>
          <w:trHeight w:val="690" w:hRule="atLeast"/>
        </w:trPr>
        <w:tc>
          <w:tcPr>
            <w:tcW w:w="1986" w:type="dxa"/>
            <w:vMerge w:val="continue"/>
            <w:tcBorders>
              <w:top w:val="single" w:color="auto" w:sz="8" w:space="0"/>
              <w:left w:val="single" w:color="auto" w:sz="8" w:space="0"/>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安全巡查。安全巡查监管不到位、未及时上报安全隐患的，一次扣100-200元。</w:t>
            </w:r>
          </w:p>
        </w:tc>
      </w:tr>
      <w:tr>
        <w:tblPrEx>
          <w:tblCellMar>
            <w:top w:w="0" w:type="dxa"/>
            <w:left w:w="108" w:type="dxa"/>
            <w:bottom w:w="0" w:type="dxa"/>
            <w:right w:w="108" w:type="dxa"/>
          </w:tblCellMar>
        </w:tblPrEx>
        <w:trPr>
          <w:trHeight w:val="690" w:hRule="atLeast"/>
        </w:trPr>
        <w:tc>
          <w:tcPr>
            <w:tcW w:w="1986" w:type="dxa"/>
            <w:vMerge w:val="continue"/>
            <w:tcBorders>
              <w:top w:val="single" w:color="auto" w:sz="8" w:space="0"/>
              <w:left w:val="single" w:color="auto" w:sz="8" w:space="0"/>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日常管理。不服从管理、工作懒散拖沓、作业不规范，一次扣50-200元。</w:t>
            </w:r>
          </w:p>
        </w:tc>
      </w:tr>
      <w:tr>
        <w:tblPrEx>
          <w:tblCellMar>
            <w:top w:w="0" w:type="dxa"/>
            <w:left w:w="108" w:type="dxa"/>
            <w:bottom w:w="0" w:type="dxa"/>
            <w:right w:w="108" w:type="dxa"/>
          </w:tblCellMar>
        </w:tblPrEx>
        <w:trPr>
          <w:trHeight w:val="300" w:hRule="atLeast"/>
        </w:trPr>
        <w:tc>
          <w:tcPr>
            <w:tcW w:w="1986" w:type="dxa"/>
            <w:vMerge w:val="restart"/>
            <w:tcBorders>
              <w:top w:val="single" w:color="auto" w:sz="8" w:space="0"/>
              <w:left w:val="single" w:color="auto" w:sz="8" w:space="0"/>
              <w:bottom w:val="single" w:color="auto" w:sz="8" w:space="0"/>
              <w:right w:val="single" w:color="auto" w:sz="8"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叉车业务</w:t>
            </w: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考勤纪律。工作时间人员不在岗，迟到早退的，一次扣50元。</w:t>
            </w:r>
          </w:p>
        </w:tc>
      </w:tr>
      <w:tr>
        <w:tblPrEx>
          <w:tblCellMar>
            <w:top w:w="0" w:type="dxa"/>
            <w:left w:w="108" w:type="dxa"/>
            <w:bottom w:w="0" w:type="dxa"/>
            <w:right w:w="108" w:type="dxa"/>
          </w:tblCellMar>
        </w:tblPrEx>
        <w:trPr>
          <w:trHeight w:val="690" w:hRule="atLeast"/>
        </w:trPr>
        <w:tc>
          <w:tcPr>
            <w:tcW w:w="1986" w:type="dxa"/>
            <w:vMerge w:val="continue"/>
            <w:tcBorders>
              <w:top w:val="single" w:color="auto" w:sz="8" w:space="0"/>
              <w:left w:val="single" w:color="auto" w:sz="8" w:space="0"/>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安全行车。违反叉车管理规定，操作不规范导致安全事故的，一次扣100-200元。视情节严重追究其相应责任。</w:t>
            </w:r>
          </w:p>
        </w:tc>
      </w:tr>
      <w:tr>
        <w:tblPrEx>
          <w:tblCellMar>
            <w:top w:w="0" w:type="dxa"/>
            <w:left w:w="108" w:type="dxa"/>
            <w:bottom w:w="0" w:type="dxa"/>
            <w:right w:w="108" w:type="dxa"/>
          </w:tblCellMar>
        </w:tblPrEx>
        <w:trPr>
          <w:trHeight w:val="690" w:hRule="atLeast"/>
        </w:trPr>
        <w:tc>
          <w:tcPr>
            <w:tcW w:w="1986" w:type="dxa"/>
            <w:vMerge w:val="continue"/>
            <w:tcBorders>
              <w:top w:val="single" w:color="auto" w:sz="8" w:space="0"/>
              <w:left w:val="single" w:color="auto" w:sz="8" w:space="0"/>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维护保养。因为未按规定进行叉车日常保养、维修、清洁，导致叉车损坏或影响工作运行的，产生的损失从服务费中进行扣减，并视情节严重追究其相应责任。</w:t>
            </w:r>
          </w:p>
        </w:tc>
      </w:tr>
      <w:tr>
        <w:tblPrEx>
          <w:tblCellMar>
            <w:top w:w="0" w:type="dxa"/>
            <w:left w:w="108" w:type="dxa"/>
            <w:bottom w:w="0" w:type="dxa"/>
            <w:right w:w="108" w:type="dxa"/>
          </w:tblCellMar>
        </w:tblPrEx>
        <w:trPr>
          <w:trHeight w:val="690" w:hRule="atLeast"/>
        </w:trPr>
        <w:tc>
          <w:tcPr>
            <w:tcW w:w="1986" w:type="dxa"/>
            <w:vMerge w:val="continue"/>
            <w:tcBorders>
              <w:top w:val="single" w:color="auto" w:sz="8" w:space="0"/>
              <w:left w:val="single" w:color="auto" w:sz="8" w:space="0"/>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日常管理。不服从管理、工作懒散拖沓、作业不规范，一次扣50-200元。</w:t>
            </w:r>
          </w:p>
        </w:tc>
      </w:tr>
      <w:tr>
        <w:tblPrEx>
          <w:tblCellMar>
            <w:top w:w="0" w:type="dxa"/>
            <w:left w:w="108" w:type="dxa"/>
            <w:bottom w:w="0" w:type="dxa"/>
            <w:right w:w="108" w:type="dxa"/>
          </w:tblCellMar>
        </w:tblPrEx>
        <w:trPr>
          <w:trHeight w:val="402" w:hRule="atLeast"/>
        </w:trPr>
        <w:tc>
          <w:tcPr>
            <w:tcW w:w="1986" w:type="dxa"/>
            <w:vMerge w:val="restart"/>
            <w:tcBorders>
              <w:top w:val="single" w:color="auto" w:sz="8" w:space="0"/>
              <w:left w:val="single" w:color="auto" w:sz="8" w:space="0"/>
              <w:bottom w:val="single" w:color="auto" w:sz="8" w:space="0"/>
              <w:right w:val="single" w:color="auto" w:sz="8"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喷码业务</w:t>
            </w: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考勤纪律。工作时间人员不在岗，迟到早退的，一次扣50元。</w:t>
            </w:r>
          </w:p>
        </w:tc>
      </w:tr>
      <w:tr>
        <w:tblPrEx>
          <w:tblCellMar>
            <w:top w:w="0" w:type="dxa"/>
            <w:left w:w="108" w:type="dxa"/>
            <w:bottom w:w="0" w:type="dxa"/>
            <w:right w:w="108" w:type="dxa"/>
          </w:tblCellMar>
        </w:tblPrEx>
        <w:trPr>
          <w:trHeight w:val="690" w:hRule="atLeast"/>
        </w:trPr>
        <w:tc>
          <w:tcPr>
            <w:tcW w:w="1986" w:type="dxa"/>
            <w:vMerge w:val="continue"/>
            <w:tcBorders>
              <w:top w:val="single" w:color="auto" w:sz="8" w:space="0"/>
              <w:left w:val="single" w:color="auto" w:sz="8" w:space="0"/>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b/>
                <w:color w:val="auto"/>
                <w:sz w:val="21"/>
                <w:szCs w:val="21"/>
                <w:highlight w:val="none"/>
              </w:rPr>
            </w:pP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日常管理。不服从管理、工作懒散拖沓、作业不规范，一次扣50-200元。</w:t>
            </w:r>
          </w:p>
        </w:tc>
      </w:tr>
      <w:tr>
        <w:tblPrEx>
          <w:tblCellMar>
            <w:top w:w="0" w:type="dxa"/>
            <w:left w:w="108" w:type="dxa"/>
            <w:bottom w:w="0" w:type="dxa"/>
            <w:right w:w="108" w:type="dxa"/>
          </w:tblCellMar>
        </w:tblPrEx>
        <w:trPr>
          <w:trHeight w:val="390" w:hRule="atLeast"/>
        </w:trPr>
        <w:tc>
          <w:tcPr>
            <w:tcW w:w="1986" w:type="dxa"/>
            <w:vMerge w:val="restart"/>
            <w:tcBorders>
              <w:top w:val="single" w:color="auto" w:sz="8" w:space="0"/>
              <w:left w:val="single" w:color="auto" w:sz="8" w:space="0"/>
              <w:bottom w:val="single" w:color="auto" w:sz="8" w:space="0"/>
              <w:right w:val="single" w:color="auto" w:sz="8" w:space="0"/>
            </w:tcBorders>
            <w:vAlign w:val="center"/>
          </w:tcPr>
          <w:p>
            <w:pPr>
              <w:pageBreakBefore w:val="0"/>
              <w:kinsoku/>
              <w:wordWrap/>
              <w:overflowPunct/>
              <w:topLinePunct w:val="0"/>
              <w:bidi w:val="0"/>
              <w:spacing w:line="360" w:lineRule="auto"/>
              <w:ind w:left="0" w:leftChars="0"/>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配送业务</w:t>
            </w: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考勤纪律。未按时间开始配送的，一次扣50元。</w:t>
            </w:r>
          </w:p>
        </w:tc>
      </w:tr>
      <w:tr>
        <w:tblPrEx>
          <w:tblCellMar>
            <w:top w:w="0" w:type="dxa"/>
            <w:left w:w="108" w:type="dxa"/>
            <w:bottom w:w="0" w:type="dxa"/>
            <w:right w:w="108" w:type="dxa"/>
          </w:tblCellMar>
        </w:tblPrEx>
        <w:trPr>
          <w:trHeight w:val="690" w:hRule="atLeast"/>
        </w:trPr>
        <w:tc>
          <w:tcPr>
            <w:tcW w:w="1986" w:type="dxa"/>
            <w:vMerge w:val="continue"/>
            <w:tcBorders>
              <w:top w:val="single" w:color="auto" w:sz="8" w:space="0"/>
              <w:left w:val="single" w:color="auto" w:sz="8" w:space="0"/>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安全行车。违反安全行车规定，发生安全事故的，产生的损失从服务费中进行扣减，并视情节严重追究其相应责任。</w:t>
            </w:r>
          </w:p>
        </w:tc>
      </w:tr>
      <w:tr>
        <w:tblPrEx>
          <w:tblCellMar>
            <w:top w:w="0" w:type="dxa"/>
            <w:left w:w="108" w:type="dxa"/>
            <w:bottom w:w="0" w:type="dxa"/>
            <w:right w:w="108" w:type="dxa"/>
          </w:tblCellMar>
        </w:tblPrEx>
        <w:trPr>
          <w:trHeight w:val="690" w:hRule="atLeast"/>
        </w:trPr>
        <w:tc>
          <w:tcPr>
            <w:tcW w:w="1986" w:type="dxa"/>
            <w:vMerge w:val="continue"/>
            <w:tcBorders>
              <w:top w:val="single" w:color="auto" w:sz="8" w:space="0"/>
              <w:left w:val="single" w:color="auto" w:sz="8" w:space="0"/>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配送服务。送错货、未及时交款交单、接到客户投诉的，一次扣100-200元。</w:t>
            </w:r>
          </w:p>
        </w:tc>
      </w:tr>
      <w:tr>
        <w:tblPrEx>
          <w:tblCellMar>
            <w:top w:w="0" w:type="dxa"/>
            <w:left w:w="108" w:type="dxa"/>
            <w:bottom w:w="0" w:type="dxa"/>
            <w:right w:w="108" w:type="dxa"/>
          </w:tblCellMar>
        </w:tblPrEx>
        <w:trPr>
          <w:trHeight w:val="942" w:hRule="atLeast"/>
        </w:trPr>
        <w:tc>
          <w:tcPr>
            <w:tcW w:w="1986" w:type="dxa"/>
            <w:vMerge w:val="continue"/>
            <w:tcBorders>
              <w:top w:val="single" w:color="auto" w:sz="8" w:space="0"/>
              <w:left w:val="single" w:color="auto" w:sz="8" w:space="0"/>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p>
        </w:tc>
        <w:tc>
          <w:tcPr>
            <w:tcW w:w="7654" w:type="dxa"/>
            <w:tcBorders>
              <w:top w:val="single" w:color="auto" w:sz="8" w:space="0"/>
              <w:left w:val="nil"/>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日常管理。不服从调度、工作懒散拖沓、作业不规范、影响配送进度、车辆未定期维护保养的，一次扣50-200元。</w:t>
            </w:r>
          </w:p>
        </w:tc>
      </w:tr>
      <w:tr>
        <w:tblPrEx>
          <w:tblCellMar>
            <w:top w:w="0" w:type="dxa"/>
            <w:left w:w="108" w:type="dxa"/>
            <w:bottom w:w="0" w:type="dxa"/>
            <w:right w:w="108" w:type="dxa"/>
          </w:tblCellMar>
        </w:tblPrEx>
        <w:trPr>
          <w:trHeight w:val="799" w:hRule="atLeast"/>
        </w:trPr>
        <w:tc>
          <w:tcPr>
            <w:tcW w:w="9640" w:type="dxa"/>
            <w:gridSpan w:val="2"/>
            <w:tcBorders>
              <w:top w:val="single" w:color="auto" w:sz="8" w:space="0"/>
              <w:left w:val="single" w:color="auto" w:sz="8" w:space="0"/>
              <w:bottom w:val="single" w:color="auto" w:sz="8" w:space="0"/>
              <w:right w:val="single" w:color="auto" w:sz="8" w:space="0"/>
            </w:tcBorders>
            <w:vAlign w:val="center"/>
          </w:tcPr>
          <w:p>
            <w:pPr>
              <w:pageBreakBefore w:val="0"/>
              <w:kinsoku/>
              <w:wordWrap/>
              <w:overflowPunct/>
              <w:topLinePunct w:val="0"/>
              <w:bidi w:val="0"/>
              <w:spacing w:line="360" w:lineRule="auto"/>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备注：</w:t>
            </w:r>
            <w:r>
              <w:rPr>
                <w:rFonts w:hint="eastAsia" w:ascii="宋体" w:hAnsi="宋体" w:eastAsia="宋体" w:cs="宋体"/>
                <w:color w:val="auto"/>
                <w:sz w:val="21"/>
                <w:szCs w:val="21"/>
                <w:highlight w:val="none"/>
              </w:rPr>
              <w:t>外包人员若当月多次违反我司相关制度规定，第1次以告知函方式告知外包公司，2次-3次的处以罚金，3次以上的建议外包公司辞退处理。</w:t>
            </w:r>
          </w:p>
        </w:tc>
      </w:tr>
    </w:tbl>
    <w:p>
      <w:pPr>
        <w:pStyle w:val="3"/>
        <w:ind w:left="0" w:leftChars="0" w:firstLine="0" w:firstLineChars="0"/>
        <w:rPr>
          <w:rFonts w:hint="eastAsia"/>
        </w:rPr>
      </w:pPr>
    </w:p>
    <w:p>
      <w:pPr>
        <w:pStyle w:val="4"/>
        <w:rPr>
          <w:rFonts w:hint="eastAsia"/>
        </w:rPr>
      </w:pPr>
    </w:p>
    <w:p>
      <w:pPr>
        <w:rPr>
          <w:rFonts w:hint="eastAsia"/>
        </w:rPr>
      </w:pPr>
    </w:p>
    <w:p>
      <w:pPr>
        <w:pStyle w:val="2"/>
        <w:rPr>
          <w:rFonts w:hint="eastAsia"/>
        </w:rPr>
      </w:pPr>
    </w:p>
    <w:p>
      <w:pPr>
        <w:pStyle w:val="3"/>
        <w:rPr>
          <w:rFonts w:hint="eastAsia"/>
        </w:rPr>
      </w:pPr>
    </w:p>
    <w:p>
      <w:pPr>
        <w:rPr>
          <w:rFonts w:hint="eastAsia"/>
        </w:rPr>
      </w:pPr>
    </w:p>
    <w:p>
      <w:pPr>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b/>
          <w:color w:val="auto"/>
          <w:szCs w:val="21"/>
          <w:highlight w:val="none"/>
        </w:rPr>
      </w:pPr>
    </w:p>
    <w:p>
      <w:pPr>
        <w:pStyle w:val="2"/>
        <w:rPr>
          <w:rFonts w:ascii="宋体" w:hAnsi="宋体"/>
          <w:b/>
          <w:color w:val="auto"/>
          <w:szCs w:val="21"/>
          <w:highlight w:val="none"/>
        </w:rPr>
      </w:pPr>
    </w:p>
    <w:p>
      <w:pPr>
        <w:pStyle w:val="3"/>
        <w:rPr>
          <w:rFonts w:ascii="宋体" w:hAnsi="宋体"/>
          <w:b/>
          <w:color w:val="auto"/>
          <w:szCs w:val="21"/>
          <w:highlight w:val="none"/>
        </w:rPr>
      </w:pPr>
    </w:p>
    <w:p>
      <w:pPr>
        <w:pStyle w:val="4"/>
        <w:rPr>
          <w:rFonts w:ascii="宋体" w:hAnsi="宋体"/>
          <w:b/>
          <w:color w:val="auto"/>
          <w:szCs w:val="21"/>
          <w:highlight w:val="none"/>
        </w:rPr>
      </w:pPr>
    </w:p>
    <w:p>
      <w:pPr>
        <w:rPr>
          <w:rFonts w:ascii="宋体" w:hAnsi="宋体"/>
          <w:b/>
          <w:color w:val="auto"/>
          <w:szCs w:val="21"/>
          <w:highlight w:val="none"/>
        </w:rPr>
      </w:pPr>
    </w:p>
    <w:p>
      <w:pPr>
        <w:pStyle w:val="2"/>
        <w:rPr>
          <w:rFonts w:ascii="宋体" w:hAnsi="宋体"/>
          <w:b/>
          <w:color w:val="auto"/>
          <w:szCs w:val="21"/>
          <w:highlight w:val="none"/>
        </w:rPr>
      </w:pPr>
    </w:p>
    <w:p>
      <w:pPr>
        <w:pStyle w:val="3"/>
        <w:rPr>
          <w:rFonts w:ascii="宋体" w:hAnsi="宋体"/>
          <w:b/>
          <w:color w:val="auto"/>
          <w:szCs w:val="21"/>
          <w:highlight w:val="none"/>
        </w:rPr>
      </w:pPr>
    </w:p>
    <w:p>
      <w:pPr>
        <w:pStyle w:val="4"/>
        <w:rPr>
          <w:rFonts w:ascii="宋体" w:hAnsi="宋体"/>
          <w:b/>
          <w:color w:val="auto"/>
          <w:szCs w:val="21"/>
          <w:highlight w:val="none"/>
        </w:rPr>
      </w:pPr>
    </w:p>
    <w:p>
      <w:pPr>
        <w:rPr>
          <w:rFonts w:ascii="宋体" w:hAnsi="宋体"/>
          <w:b/>
          <w:color w:val="auto"/>
          <w:szCs w:val="21"/>
          <w:highlight w:val="none"/>
        </w:rPr>
      </w:pPr>
    </w:p>
    <w:p>
      <w:pPr>
        <w:pStyle w:val="2"/>
        <w:rPr>
          <w:rFonts w:ascii="宋体" w:hAnsi="宋体"/>
          <w:b/>
          <w:color w:val="auto"/>
          <w:szCs w:val="21"/>
          <w:highlight w:val="none"/>
        </w:rPr>
      </w:pPr>
    </w:p>
    <w:p>
      <w:pPr>
        <w:pStyle w:val="3"/>
        <w:rPr>
          <w:rFonts w:ascii="宋体" w:hAnsi="宋体"/>
          <w:b/>
          <w:color w:val="auto"/>
          <w:szCs w:val="21"/>
          <w:highlight w:val="none"/>
        </w:rPr>
      </w:pPr>
    </w:p>
    <w:p>
      <w:pPr>
        <w:pStyle w:val="4"/>
        <w:rPr>
          <w:rFonts w:ascii="宋体" w:hAnsi="宋体"/>
          <w:b/>
          <w:color w:val="auto"/>
          <w:szCs w:val="21"/>
          <w:highlight w:val="none"/>
        </w:rPr>
      </w:pPr>
    </w:p>
    <w:p>
      <w:pPr>
        <w:rPr>
          <w:rFonts w:ascii="宋体" w:hAnsi="宋体"/>
          <w:b/>
          <w:color w:val="auto"/>
          <w:szCs w:val="21"/>
          <w:highlight w:val="none"/>
        </w:rPr>
      </w:pPr>
    </w:p>
    <w:p>
      <w:pPr>
        <w:pStyle w:val="2"/>
        <w:rPr>
          <w:rFonts w:ascii="宋体" w:hAnsi="宋体"/>
          <w:b/>
          <w:color w:val="auto"/>
          <w:szCs w:val="21"/>
          <w:highlight w:val="none"/>
        </w:rPr>
      </w:pPr>
    </w:p>
    <w:p>
      <w:pPr>
        <w:pStyle w:val="3"/>
        <w:rPr>
          <w:rFonts w:ascii="宋体" w:hAnsi="宋体"/>
          <w:b/>
          <w:color w:val="auto"/>
          <w:szCs w:val="21"/>
          <w:highlight w:val="none"/>
        </w:rPr>
      </w:pPr>
    </w:p>
    <w:p>
      <w:pPr>
        <w:pStyle w:val="4"/>
        <w:rPr>
          <w:rFonts w:ascii="宋体" w:hAnsi="宋体"/>
          <w:b/>
          <w:color w:val="auto"/>
          <w:szCs w:val="21"/>
          <w:highlight w:val="none"/>
        </w:rPr>
      </w:pPr>
    </w:p>
    <w:p>
      <w:pPr>
        <w:rPr>
          <w:rFonts w:ascii="宋体" w:hAnsi="宋体"/>
          <w:b/>
          <w:color w:val="auto"/>
          <w:szCs w:val="21"/>
          <w:highlight w:val="none"/>
        </w:rPr>
      </w:pPr>
    </w:p>
    <w:p>
      <w:pPr>
        <w:pStyle w:val="2"/>
        <w:rPr>
          <w:rFonts w:ascii="宋体" w:hAnsi="宋体"/>
          <w:b/>
          <w:color w:val="auto"/>
          <w:szCs w:val="21"/>
          <w:highlight w:val="none"/>
        </w:rPr>
      </w:pPr>
    </w:p>
    <w:p>
      <w:pPr>
        <w:pStyle w:val="3"/>
        <w:rPr>
          <w:rFonts w:ascii="宋体" w:hAnsi="宋体"/>
          <w:b/>
          <w:color w:val="auto"/>
          <w:szCs w:val="21"/>
          <w:highlight w:val="none"/>
        </w:rPr>
      </w:pPr>
    </w:p>
    <w:p>
      <w:pPr>
        <w:pStyle w:val="4"/>
        <w:rPr>
          <w:rFonts w:ascii="宋体" w:hAnsi="宋体"/>
          <w:b/>
          <w:color w:val="auto"/>
          <w:szCs w:val="21"/>
          <w:highlight w:val="none"/>
        </w:rPr>
      </w:pPr>
    </w:p>
    <w:p>
      <w:pPr>
        <w:rPr>
          <w:rFonts w:ascii="宋体" w:hAnsi="宋体"/>
          <w:b/>
          <w:color w:val="auto"/>
          <w:szCs w:val="21"/>
          <w:highlight w:val="none"/>
        </w:rPr>
      </w:pPr>
    </w:p>
    <w:p>
      <w:pPr>
        <w:pStyle w:val="2"/>
      </w:pPr>
    </w:p>
    <w:p>
      <w:pPr>
        <w:pStyle w:val="6"/>
        <w:spacing w:before="0" w:after="0" w:line="240" w:lineRule="auto"/>
        <w:rPr>
          <w:color w:val="auto"/>
          <w:sz w:val="28"/>
          <w:szCs w:val="28"/>
          <w:highlight w:val="none"/>
        </w:rPr>
      </w:pPr>
      <w:bookmarkStart w:id="200" w:name="_Toc31587"/>
      <w:bookmarkStart w:id="201" w:name="_Toc1478"/>
      <w:bookmarkStart w:id="202" w:name="_Toc23749"/>
      <w:r>
        <w:rPr>
          <w:rFonts w:hint="eastAsia"/>
          <w:color w:val="auto"/>
          <w:sz w:val="28"/>
          <w:szCs w:val="28"/>
          <w:highlight w:val="none"/>
        </w:rPr>
        <w:t>第七部分  投标文件格式</w:t>
      </w:r>
      <w:bookmarkEnd w:id="200"/>
      <w:bookmarkEnd w:id="201"/>
      <w:bookmarkEnd w:id="202"/>
    </w:p>
    <w:p>
      <w:pPr>
        <w:rPr>
          <w:color w:val="auto"/>
          <w:highlight w:val="none"/>
        </w:rPr>
      </w:pPr>
    </w:p>
    <w:p>
      <w:pPr>
        <w:pStyle w:val="7"/>
        <w:rPr>
          <w:color w:val="auto"/>
          <w:highlight w:val="none"/>
        </w:rPr>
      </w:pPr>
      <w:bookmarkStart w:id="203" w:name="_Toc5794"/>
      <w:bookmarkStart w:id="204" w:name="_Toc26830"/>
      <w:bookmarkStart w:id="205" w:name="_Toc6790"/>
      <w:r>
        <w:rPr>
          <w:rFonts w:hint="eastAsia"/>
          <w:color w:val="auto"/>
          <w:highlight w:val="none"/>
        </w:rPr>
        <w:t>投标文件目录</w:t>
      </w:r>
      <w:bookmarkEnd w:id="203"/>
      <w:bookmarkEnd w:id="204"/>
      <w:bookmarkEnd w:id="205"/>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7"/>
        <w:rPr>
          <w:color w:val="auto"/>
          <w:highlight w:val="none"/>
        </w:rPr>
      </w:pPr>
      <w:bookmarkStart w:id="206" w:name="_Toc18893"/>
      <w:bookmarkStart w:id="207" w:name="_Toc5670"/>
      <w:bookmarkStart w:id="208" w:name="_Toc25502"/>
      <w:r>
        <w:rPr>
          <w:rFonts w:hint="eastAsia"/>
          <w:color w:val="auto"/>
          <w:highlight w:val="none"/>
        </w:rPr>
        <w:t>评分标准索引表</w:t>
      </w:r>
      <w:bookmarkEnd w:id="206"/>
      <w:bookmarkEnd w:id="207"/>
      <w:bookmarkEnd w:id="208"/>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4"/>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1"/>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color w:val="auto"/>
                <w:szCs w:val="21"/>
                <w:highlight w:val="none"/>
              </w:rPr>
            </w:pPr>
          </w:p>
        </w:tc>
        <w:tc>
          <w:tcPr>
            <w:tcW w:w="5028" w:type="dxa"/>
            <w:vAlign w:val="center"/>
          </w:tcPr>
          <w:p>
            <w:pPr>
              <w:pStyle w:val="31"/>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color w:val="auto"/>
                <w:szCs w:val="21"/>
                <w:highlight w:val="none"/>
              </w:rPr>
            </w:pPr>
          </w:p>
        </w:tc>
        <w:tc>
          <w:tcPr>
            <w:tcW w:w="5028" w:type="dxa"/>
            <w:vAlign w:val="center"/>
          </w:tcPr>
          <w:p>
            <w:pPr>
              <w:pStyle w:val="31"/>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color w:val="auto"/>
                <w:szCs w:val="21"/>
                <w:highlight w:val="none"/>
              </w:rPr>
            </w:pPr>
          </w:p>
        </w:tc>
        <w:tc>
          <w:tcPr>
            <w:tcW w:w="5028" w:type="dxa"/>
            <w:vAlign w:val="center"/>
          </w:tcPr>
          <w:p>
            <w:pPr>
              <w:pStyle w:val="31"/>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color w:val="auto"/>
                <w:szCs w:val="21"/>
                <w:highlight w:val="none"/>
              </w:rPr>
            </w:pPr>
          </w:p>
        </w:tc>
        <w:tc>
          <w:tcPr>
            <w:tcW w:w="5028" w:type="dxa"/>
            <w:vAlign w:val="center"/>
          </w:tcPr>
          <w:p>
            <w:pPr>
              <w:pStyle w:val="31"/>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color w:val="auto"/>
                <w:szCs w:val="21"/>
                <w:highlight w:val="none"/>
              </w:rPr>
            </w:pPr>
          </w:p>
        </w:tc>
        <w:tc>
          <w:tcPr>
            <w:tcW w:w="5028" w:type="dxa"/>
            <w:vAlign w:val="center"/>
          </w:tcPr>
          <w:p>
            <w:pPr>
              <w:pStyle w:val="31"/>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18"/>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color w:val="auto"/>
                <w:szCs w:val="21"/>
                <w:highlight w:val="none"/>
              </w:rPr>
            </w:pPr>
          </w:p>
        </w:tc>
        <w:tc>
          <w:tcPr>
            <w:tcW w:w="5028" w:type="dxa"/>
            <w:vAlign w:val="center"/>
          </w:tcPr>
          <w:p>
            <w:pPr>
              <w:pStyle w:val="31"/>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color w:val="auto"/>
                <w:szCs w:val="21"/>
                <w:highlight w:val="none"/>
              </w:rPr>
            </w:pPr>
          </w:p>
        </w:tc>
        <w:tc>
          <w:tcPr>
            <w:tcW w:w="5028" w:type="dxa"/>
            <w:vAlign w:val="center"/>
          </w:tcPr>
          <w:p>
            <w:pPr>
              <w:pStyle w:val="31"/>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color w:val="auto"/>
                <w:szCs w:val="21"/>
                <w:highlight w:val="none"/>
              </w:rPr>
            </w:pPr>
          </w:p>
        </w:tc>
        <w:tc>
          <w:tcPr>
            <w:tcW w:w="5028" w:type="dxa"/>
            <w:vAlign w:val="center"/>
          </w:tcPr>
          <w:p>
            <w:pPr>
              <w:pStyle w:val="31"/>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color w:val="auto"/>
                <w:szCs w:val="21"/>
                <w:highlight w:val="none"/>
              </w:rPr>
            </w:pPr>
          </w:p>
        </w:tc>
        <w:tc>
          <w:tcPr>
            <w:tcW w:w="5028" w:type="dxa"/>
            <w:vAlign w:val="center"/>
          </w:tcPr>
          <w:p>
            <w:pPr>
              <w:pStyle w:val="31"/>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color w:val="auto"/>
                <w:szCs w:val="21"/>
                <w:highlight w:val="none"/>
              </w:rPr>
            </w:pPr>
          </w:p>
        </w:tc>
        <w:tc>
          <w:tcPr>
            <w:tcW w:w="5028" w:type="dxa"/>
            <w:vAlign w:val="center"/>
          </w:tcPr>
          <w:p>
            <w:pPr>
              <w:pStyle w:val="31"/>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1"/>
              <w:jc w:val="both"/>
              <w:rPr>
                <w:rFonts w:ascii="宋体" w:hAnsi="宋体" w:cs="宋体"/>
                <w:color w:val="auto"/>
                <w:szCs w:val="21"/>
                <w:highlight w:val="none"/>
              </w:rPr>
            </w:pPr>
          </w:p>
        </w:tc>
        <w:tc>
          <w:tcPr>
            <w:tcW w:w="5028" w:type="dxa"/>
            <w:vAlign w:val="center"/>
          </w:tcPr>
          <w:p>
            <w:pPr>
              <w:pStyle w:val="31"/>
              <w:jc w:val="both"/>
              <w:rPr>
                <w:rFonts w:ascii="宋体" w:hAnsi="宋体" w:cs="宋体"/>
                <w:color w:val="auto"/>
                <w:szCs w:val="21"/>
                <w:highlight w:val="none"/>
              </w:rPr>
            </w:pPr>
          </w:p>
        </w:tc>
        <w:tc>
          <w:tcPr>
            <w:tcW w:w="2126" w:type="dxa"/>
            <w:vAlign w:val="center"/>
          </w:tcPr>
          <w:p>
            <w:pPr>
              <w:pStyle w:val="18"/>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4"/>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7"/>
        <w:jc w:val="center"/>
        <w:rPr>
          <w:color w:val="auto"/>
          <w:highlight w:val="none"/>
        </w:rPr>
      </w:pPr>
      <w:bookmarkStart w:id="209" w:name="_Toc8194"/>
      <w:bookmarkStart w:id="210" w:name="_Toc22080"/>
      <w:bookmarkStart w:id="211" w:name="_Toc30640"/>
      <w:r>
        <w:rPr>
          <w:rFonts w:hint="eastAsia"/>
          <w:color w:val="auto"/>
          <w:highlight w:val="none"/>
        </w:rPr>
        <w:t>第一章价格文件</w:t>
      </w:r>
      <w:bookmarkEnd w:id="209"/>
      <w:bookmarkEnd w:id="210"/>
    </w:p>
    <w:p>
      <w:pPr>
        <w:pStyle w:val="7"/>
        <w:jc w:val="center"/>
        <w:rPr>
          <w:color w:val="auto"/>
          <w:highlight w:val="none"/>
        </w:rPr>
      </w:pPr>
      <w:bookmarkStart w:id="212" w:name="_Toc4168"/>
      <w:bookmarkStart w:id="213" w:name="_Toc19750"/>
      <w:r>
        <w:rPr>
          <w:rFonts w:hint="eastAsia"/>
          <w:color w:val="auto"/>
          <w:highlight w:val="none"/>
        </w:rPr>
        <w:t>一、唱标一览表</w:t>
      </w:r>
      <w:bookmarkEnd w:id="212"/>
      <w:bookmarkEnd w:id="213"/>
    </w:p>
    <w:p>
      <w:pPr>
        <w:rPr>
          <w:color w:val="auto"/>
          <w:highlight w:val="none"/>
        </w:rPr>
      </w:pPr>
    </w:p>
    <w:tbl>
      <w:tblPr>
        <w:tblStyle w:val="23"/>
        <w:tblW w:w="86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2495"/>
        <w:gridCol w:w="2160"/>
        <w:gridCol w:w="12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249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2160"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s="仿宋_GB2312"/>
                <w:color w:val="auto"/>
                <w:highlight w:val="none"/>
              </w:rPr>
              <w:t>服务期</w:t>
            </w:r>
          </w:p>
        </w:tc>
        <w:tc>
          <w:tcPr>
            <w:tcW w:w="1261"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249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2160"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highlight w:val="none"/>
              </w:rPr>
              <w:t>自签订合同之日起服务期限一年</w:t>
            </w:r>
          </w:p>
        </w:tc>
        <w:tc>
          <w:tcPr>
            <w:tcW w:w="1261"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249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2160"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c>
          <w:tcPr>
            <w:tcW w:w="1261"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2、此表应按投标人须知的规定密封标记并与《授权委托书》、《投标保证金汇入情况说明》一同密封单独提交。</w:t>
      </w:r>
    </w:p>
    <w:p>
      <w:pPr>
        <w:rPr>
          <w:color w:val="auto"/>
          <w:highlight w:val="none"/>
        </w:rPr>
      </w:pPr>
    </w:p>
    <w:p>
      <w:pPr>
        <w:pStyle w:val="2"/>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rPr>
          <w:color w:val="auto"/>
          <w:highlight w:val="none"/>
        </w:rPr>
        <w:sectPr>
          <w:type w:val="continuous"/>
          <w:pgSz w:w="11906" w:h="16838"/>
          <w:pgMar w:top="1440" w:right="1800" w:bottom="1440" w:left="1800" w:header="708" w:footer="708" w:gutter="0"/>
          <w:cols w:space="708" w:num="1"/>
          <w:titlePg/>
          <w:docGrid w:type="lines" w:linePitch="360" w:charSpace="0"/>
        </w:sectPr>
      </w:pPr>
    </w:p>
    <w:p>
      <w:pPr>
        <w:pStyle w:val="7"/>
        <w:jc w:val="center"/>
        <w:rPr>
          <w:color w:val="auto"/>
          <w:highlight w:val="none"/>
        </w:rPr>
      </w:pPr>
      <w:bookmarkStart w:id="214" w:name="_Toc31172"/>
      <w:bookmarkStart w:id="215" w:name="_Toc31062"/>
      <w:r>
        <w:rPr>
          <w:rFonts w:hint="eastAsia"/>
          <w:color w:val="auto"/>
          <w:highlight w:val="none"/>
        </w:rPr>
        <w:t>二、报价明细表</w:t>
      </w:r>
      <w:bookmarkEnd w:id="214"/>
      <w:bookmarkEnd w:id="215"/>
    </w:p>
    <w:p>
      <w:pPr>
        <w:rPr>
          <w:b/>
          <w:bCs/>
          <w:color w:val="auto"/>
          <w:highlight w:val="none"/>
        </w:rPr>
      </w:pPr>
      <w:r>
        <w:rPr>
          <w:rFonts w:hint="eastAsia"/>
          <w:b/>
          <w:bCs/>
          <w:color w:val="auto"/>
          <w:highlight w:val="none"/>
        </w:rPr>
        <w:t>（1）配送业务</w:t>
      </w:r>
    </w:p>
    <w:tbl>
      <w:tblPr>
        <w:tblStyle w:val="23"/>
        <w:tblW w:w="14195" w:type="dxa"/>
        <w:tblInd w:w="93" w:type="dxa"/>
        <w:tblLayout w:type="fixed"/>
        <w:tblCellMar>
          <w:top w:w="0" w:type="dxa"/>
          <w:left w:w="108" w:type="dxa"/>
          <w:bottom w:w="0" w:type="dxa"/>
          <w:right w:w="108" w:type="dxa"/>
        </w:tblCellMar>
      </w:tblPr>
      <w:tblGrid>
        <w:gridCol w:w="1068"/>
        <w:gridCol w:w="1198"/>
        <w:gridCol w:w="930"/>
        <w:gridCol w:w="292"/>
        <w:gridCol w:w="598"/>
        <w:gridCol w:w="1260"/>
        <w:gridCol w:w="990"/>
        <w:gridCol w:w="687"/>
        <w:gridCol w:w="293"/>
        <w:gridCol w:w="1140"/>
        <w:gridCol w:w="900"/>
        <w:gridCol w:w="900"/>
        <w:gridCol w:w="302"/>
        <w:gridCol w:w="908"/>
        <w:gridCol w:w="970"/>
        <w:gridCol w:w="889"/>
        <w:gridCol w:w="870"/>
      </w:tblGrid>
      <w:tr>
        <w:tblPrEx>
          <w:tblCellMar>
            <w:top w:w="0" w:type="dxa"/>
            <w:left w:w="108" w:type="dxa"/>
            <w:bottom w:w="0" w:type="dxa"/>
            <w:right w:w="108" w:type="dxa"/>
          </w:tblCellMar>
        </w:tblPrEx>
        <w:trPr>
          <w:trHeight w:val="420" w:hRule="atLeast"/>
        </w:trPr>
        <w:tc>
          <w:tcPr>
            <w:tcW w:w="10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车辆</w:t>
            </w:r>
          </w:p>
        </w:tc>
        <w:tc>
          <w:tcPr>
            <w:tcW w:w="3018" w:type="dxa"/>
            <w:gridSpan w:val="4"/>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A区</w:t>
            </w:r>
          </w:p>
        </w:tc>
        <w:tc>
          <w:tcPr>
            <w:tcW w:w="3230" w:type="dxa"/>
            <w:gridSpan w:val="4"/>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B区</w:t>
            </w:r>
          </w:p>
        </w:tc>
        <w:tc>
          <w:tcPr>
            <w:tcW w:w="2940" w:type="dxa"/>
            <w:gridSpan w:val="3"/>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C区</w:t>
            </w:r>
          </w:p>
        </w:tc>
        <w:tc>
          <w:tcPr>
            <w:tcW w:w="3069" w:type="dxa"/>
            <w:gridSpan w:val="4"/>
            <w:tcBorders>
              <w:top w:val="single" w:color="auto" w:sz="4" w:space="0"/>
              <w:left w:val="nil"/>
              <w:bottom w:val="single" w:color="auto" w:sz="4" w:space="0"/>
              <w:right w:val="single" w:color="000000"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外市</w:t>
            </w:r>
          </w:p>
        </w:tc>
        <w:tc>
          <w:tcPr>
            <w:tcW w:w="87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合计（元/年）</w:t>
            </w:r>
          </w:p>
        </w:tc>
      </w:tr>
      <w:tr>
        <w:tblPrEx>
          <w:tblCellMar>
            <w:top w:w="0" w:type="dxa"/>
            <w:left w:w="108" w:type="dxa"/>
            <w:bottom w:w="0" w:type="dxa"/>
            <w:right w:w="108" w:type="dxa"/>
          </w:tblCellMar>
        </w:tblPrEx>
        <w:trPr>
          <w:trHeight w:val="570" w:hRule="atLeast"/>
        </w:trPr>
        <w:tc>
          <w:tcPr>
            <w:tcW w:w="10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ascii="宋体" w:hAnsi="宋体" w:cs="宋体"/>
                <w:b/>
                <w:color w:val="auto"/>
                <w:szCs w:val="21"/>
                <w:highlight w:val="none"/>
              </w:rPr>
            </w:pPr>
          </w:p>
        </w:tc>
        <w:tc>
          <w:tcPr>
            <w:tcW w:w="1198"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预计（吨/年）</w:t>
            </w:r>
          </w:p>
        </w:tc>
        <w:tc>
          <w:tcPr>
            <w:tcW w:w="930" w:type="dxa"/>
            <w:tcBorders>
              <w:top w:val="nil"/>
              <w:left w:val="nil"/>
              <w:bottom w:val="single" w:color="auto" w:sz="4" w:space="0"/>
              <w:right w:val="single" w:color="auto" w:sz="4" w:space="0"/>
            </w:tcBorders>
            <w:shd w:val="clear" w:color="auto" w:fill="auto"/>
            <w:vAlign w:val="center"/>
          </w:tcPr>
          <w:p>
            <w:pPr>
              <w:spacing w:line="240" w:lineRule="auto"/>
              <w:rPr>
                <w:rFonts w:ascii="宋体" w:hAnsi="宋体" w:cs="宋体"/>
                <w:b/>
                <w:color w:val="auto"/>
                <w:szCs w:val="21"/>
                <w:highlight w:val="none"/>
              </w:rPr>
            </w:pPr>
            <w:r>
              <w:rPr>
                <w:rFonts w:hint="eastAsia" w:ascii="宋体" w:hAnsi="宋体" w:cs="宋体"/>
                <w:b/>
                <w:color w:val="auto"/>
                <w:szCs w:val="21"/>
                <w:highlight w:val="none"/>
              </w:rPr>
              <w:t>限价（元/吨）</w:t>
            </w:r>
          </w:p>
        </w:tc>
        <w:tc>
          <w:tcPr>
            <w:tcW w:w="890" w:type="dxa"/>
            <w:gridSpan w:val="2"/>
            <w:tcBorders>
              <w:top w:val="nil"/>
              <w:left w:val="nil"/>
              <w:bottom w:val="single" w:color="auto" w:sz="4" w:space="0"/>
              <w:right w:val="single" w:color="auto" w:sz="4" w:space="0"/>
            </w:tcBorders>
            <w:shd w:val="clear" w:color="auto" w:fill="auto"/>
            <w:vAlign w:val="center"/>
          </w:tcPr>
          <w:p>
            <w:pPr>
              <w:spacing w:line="240" w:lineRule="auto"/>
              <w:rPr>
                <w:rFonts w:ascii="宋体" w:hAnsi="宋体" w:cs="宋体"/>
                <w:b/>
                <w:color w:val="auto"/>
                <w:szCs w:val="21"/>
                <w:highlight w:val="none"/>
              </w:rPr>
            </w:pPr>
            <w:r>
              <w:rPr>
                <w:rFonts w:hint="eastAsia" w:ascii="宋体" w:hAnsi="宋体" w:cs="宋体"/>
                <w:b/>
                <w:color w:val="auto"/>
                <w:szCs w:val="21"/>
                <w:highlight w:val="none"/>
              </w:rPr>
              <w:t>报价（元/吨）</w:t>
            </w:r>
          </w:p>
        </w:tc>
        <w:tc>
          <w:tcPr>
            <w:tcW w:w="126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预计（吨/年）</w:t>
            </w:r>
          </w:p>
        </w:tc>
        <w:tc>
          <w:tcPr>
            <w:tcW w:w="990" w:type="dxa"/>
            <w:tcBorders>
              <w:top w:val="nil"/>
              <w:left w:val="nil"/>
              <w:bottom w:val="single" w:color="auto" w:sz="4" w:space="0"/>
              <w:right w:val="single" w:color="auto" w:sz="4" w:space="0"/>
            </w:tcBorders>
            <w:shd w:val="clear" w:color="auto" w:fill="auto"/>
            <w:vAlign w:val="center"/>
          </w:tcPr>
          <w:p>
            <w:pPr>
              <w:spacing w:line="240" w:lineRule="auto"/>
              <w:rPr>
                <w:rFonts w:ascii="宋体" w:hAnsi="宋体" w:cs="宋体"/>
                <w:b/>
                <w:color w:val="auto"/>
                <w:szCs w:val="21"/>
                <w:highlight w:val="none"/>
              </w:rPr>
            </w:pPr>
            <w:r>
              <w:rPr>
                <w:rFonts w:hint="eastAsia" w:ascii="宋体" w:hAnsi="宋体" w:cs="宋体"/>
                <w:b/>
                <w:color w:val="auto"/>
                <w:szCs w:val="21"/>
                <w:highlight w:val="none"/>
              </w:rPr>
              <w:t>限价（元/吨）</w:t>
            </w:r>
          </w:p>
        </w:tc>
        <w:tc>
          <w:tcPr>
            <w:tcW w:w="980" w:type="dxa"/>
            <w:gridSpan w:val="2"/>
            <w:tcBorders>
              <w:top w:val="nil"/>
              <w:left w:val="nil"/>
              <w:bottom w:val="single" w:color="auto" w:sz="4" w:space="0"/>
              <w:right w:val="single" w:color="auto" w:sz="4" w:space="0"/>
            </w:tcBorders>
            <w:shd w:val="clear" w:color="auto" w:fill="auto"/>
            <w:vAlign w:val="center"/>
          </w:tcPr>
          <w:p>
            <w:pPr>
              <w:spacing w:line="240" w:lineRule="auto"/>
              <w:rPr>
                <w:rFonts w:ascii="宋体" w:hAnsi="宋体" w:cs="宋体"/>
                <w:b/>
                <w:color w:val="auto"/>
                <w:szCs w:val="21"/>
                <w:highlight w:val="none"/>
              </w:rPr>
            </w:pPr>
            <w:r>
              <w:rPr>
                <w:rFonts w:hint="eastAsia" w:ascii="宋体" w:hAnsi="宋体" w:cs="宋体"/>
                <w:b/>
                <w:color w:val="auto"/>
                <w:szCs w:val="21"/>
                <w:highlight w:val="none"/>
              </w:rPr>
              <w:t>报价（元/吨）</w:t>
            </w: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预计（吨/年）</w:t>
            </w:r>
          </w:p>
        </w:tc>
        <w:tc>
          <w:tcPr>
            <w:tcW w:w="900" w:type="dxa"/>
            <w:tcBorders>
              <w:top w:val="nil"/>
              <w:left w:val="nil"/>
              <w:bottom w:val="single" w:color="auto" w:sz="4" w:space="0"/>
              <w:right w:val="single" w:color="auto" w:sz="4" w:space="0"/>
            </w:tcBorders>
            <w:shd w:val="clear" w:color="auto" w:fill="auto"/>
            <w:vAlign w:val="center"/>
          </w:tcPr>
          <w:p>
            <w:pPr>
              <w:spacing w:line="240" w:lineRule="auto"/>
              <w:rPr>
                <w:rFonts w:ascii="宋体" w:hAnsi="宋体" w:cs="宋体"/>
                <w:b/>
                <w:color w:val="auto"/>
                <w:szCs w:val="21"/>
                <w:highlight w:val="none"/>
              </w:rPr>
            </w:pPr>
            <w:r>
              <w:rPr>
                <w:rFonts w:hint="eastAsia" w:ascii="宋体" w:hAnsi="宋体" w:cs="宋体"/>
                <w:b/>
                <w:color w:val="auto"/>
                <w:szCs w:val="21"/>
                <w:highlight w:val="none"/>
              </w:rPr>
              <w:t>限价（元/吨）</w:t>
            </w:r>
          </w:p>
        </w:tc>
        <w:tc>
          <w:tcPr>
            <w:tcW w:w="900" w:type="dxa"/>
            <w:tcBorders>
              <w:top w:val="nil"/>
              <w:left w:val="nil"/>
              <w:bottom w:val="single" w:color="auto" w:sz="4" w:space="0"/>
              <w:right w:val="single" w:color="auto" w:sz="4" w:space="0"/>
            </w:tcBorders>
            <w:shd w:val="clear" w:color="auto" w:fill="auto"/>
            <w:vAlign w:val="center"/>
          </w:tcPr>
          <w:p>
            <w:pPr>
              <w:spacing w:line="240" w:lineRule="auto"/>
              <w:rPr>
                <w:rFonts w:ascii="宋体" w:hAnsi="宋体" w:cs="宋体"/>
                <w:b/>
                <w:color w:val="auto"/>
                <w:szCs w:val="21"/>
                <w:highlight w:val="none"/>
              </w:rPr>
            </w:pPr>
            <w:r>
              <w:rPr>
                <w:rFonts w:hint="eastAsia" w:ascii="宋体" w:hAnsi="宋体" w:cs="宋体"/>
                <w:b/>
                <w:color w:val="auto"/>
                <w:szCs w:val="21"/>
                <w:highlight w:val="none"/>
              </w:rPr>
              <w:t>报价（元/吨）</w:t>
            </w:r>
          </w:p>
        </w:tc>
        <w:tc>
          <w:tcPr>
            <w:tcW w:w="1210" w:type="dxa"/>
            <w:gridSpan w:val="2"/>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预计（吨/年）</w:t>
            </w:r>
          </w:p>
        </w:tc>
        <w:tc>
          <w:tcPr>
            <w:tcW w:w="970" w:type="dxa"/>
            <w:tcBorders>
              <w:top w:val="nil"/>
              <w:left w:val="nil"/>
              <w:bottom w:val="single" w:color="auto" w:sz="4" w:space="0"/>
              <w:right w:val="single" w:color="auto" w:sz="4" w:space="0"/>
            </w:tcBorders>
            <w:shd w:val="clear" w:color="auto" w:fill="auto"/>
            <w:vAlign w:val="center"/>
          </w:tcPr>
          <w:p>
            <w:pPr>
              <w:spacing w:line="240" w:lineRule="auto"/>
              <w:rPr>
                <w:rFonts w:ascii="宋体" w:hAnsi="宋体" w:cs="宋体"/>
                <w:b/>
                <w:color w:val="auto"/>
                <w:szCs w:val="21"/>
                <w:highlight w:val="none"/>
              </w:rPr>
            </w:pPr>
            <w:r>
              <w:rPr>
                <w:rFonts w:hint="eastAsia" w:ascii="宋体" w:hAnsi="宋体" w:cs="宋体"/>
                <w:b/>
                <w:color w:val="auto"/>
                <w:szCs w:val="21"/>
                <w:highlight w:val="none"/>
              </w:rPr>
              <w:t>限价（元/吨）</w:t>
            </w:r>
          </w:p>
        </w:tc>
        <w:tc>
          <w:tcPr>
            <w:tcW w:w="889" w:type="dxa"/>
            <w:tcBorders>
              <w:top w:val="nil"/>
              <w:left w:val="nil"/>
              <w:bottom w:val="single" w:color="auto" w:sz="4" w:space="0"/>
              <w:right w:val="single" w:color="auto" w:sz="4" w:space="0"/>
            </w:tcBorders>
            <w:shd w:val="clear" w:color="auto" w:fill="auto"/>
            <w:vAlign w:val="center"/>
          </w:tcPr>
          <w:p>
            <w:pPr>
              <w:spacing w:line="240" w:lineRule="auto"/>
              <w:rPr>
                <w:rFonts w:ascii="宋体" w:hAnsi="宋体" w:cs="宋体"/>
                <w:b/>
                <w:color w:val="auto"/>
                <w:szCs w:val="21"/>
                <w:highlight w:val="none"/>
              </w:rPr>
            </w:pPr>
            <w:r>
              <w:rPr>
                <w:rFonts w:hint="eastAsia" w:ascii="宋体" w:hAnsi="宋体" w:cs="宋体"/>
                <w:b/>
                <w:color w:val="auto"/>
                <w:szCs w:val="21"/>
                <w:highlight w:val="none"/>
              </w:rPr>
              <w:t>报价（元/吨）</w:t>
            </w:r>
          </w:p>
        </w:tc>
        <w:tc>
          <w:tcPr>
            <w:tcW w:w="870" w:type="dxa"/>
            <w:vMerge w:val="continue"/>
            <w:tcBorders>
              <w:top w:val="single" w:color="auto" w:sz="4" w:space="0"/>
              <w:left w:val="single" w:color="auto" w:sz="4" w:space="0"/>
              <w:bottom w:val="single" w:color="000000" w:sz="4" w:space="0"/>
              <w:right w:val="single" w:color="auto" w:sz="4" w:space="0"/>
            </w:tcBorders>
            <w:vAlign w:val="center"/>
          </w:tcPr>
          <w:p>
            <w:pPr>
              <w:spacing w:line="240" w:lineRule="auto"/>
              <w:rPr>
                <w:rFonts w:ascii="宋体" w:hAnsi="宋体" w:cs="宋体"/>
                <w:color w:val="auto"/>
                <w:szCs w:val="21"/>
                <w:highlight w:val="none"/>
              </w:rPr>
            </w:pPr>
          </w:p>
        </w:tc>
      </w:tr>
      <w:tr>
        <w:tblPrEx>
          <w:tblCellMar>
            <w:top w:w="0" w:type="dxa"/>
            <w:left w:w="108" w:type="dxa"/>
            <w:bottom w:w="0" w:type="dxa"/>
            <w:right w:w="108" w:type="dxa"/>
          </w:tblCellMar>
        </w:tblPrEx>
        <w:trPr>
          <w:trHeight w:val="285" w:hRule="atLeast"/>
        </w:trPr>
        <w:tc>
          <w:tcPr>
            <w:tcW w:w="106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4吨车</w:t>
            </w:r>
          </w:p>
        </w:tc>
        <w:tc>
          <w:tcPr>
            <w:tcW w:w="1198"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3100</w:t>
            </w:r>
          </w:p>
        </w:tc>
        <w:tc>
          <w:tcPr>
            <w:tcW w:w="93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23</w:t>
            </w:r>
          </w:p>
        </w:tc>
        <w:tc>
          <w:tcPr>
            <w:tcW w:w="890"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cs="宋体"/>
                <w:color w:val="auto"/>
                <w:szCs w:val="21"/>
                <w:highlight w:val="none"/>
              </w:rPr>
            </w:pPr>
          </w:p>
        </w:tc>
        <w:tc>
          <w:tcPr>
            <w:tcW w:w="12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3400</w:t>
            </w:r>
          </w:p>
        </w:tc>
        <w:tc>
          <w:tcPr>
            <w:tcW w:w="99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25</w:t>
            </w:r>
          </w:p>
        </w:tc>
        <w:tc>
          <w:tcPr>
            <w:tcW w:w="980" w:type="dxa"/>
            <w:gridSpan w:val="2"/>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2800</w:t>
            </w:r>
          </w:p>
        </w:tc>
        <w:tc>
          <w:tcPr>
            <w:tcW w:w="9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27</w:t>
            </w:r>
          </w:p>
        </w:tc>
        <w:tc>
          <w:tcPr>
            <w:tcW w:w="9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1210" w:type="dxa"/>
            <w:gridSpan w:val="2"/>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100</w:t>
            </w:r>
          </w:p>
        </w:tc>
        <w:tc>
          <w:tcPr>
            <w:tcW w:w="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36</w:t>
            </w:r>
          </w:p>
        </w:tc>
        <w:tc>
          <w:tcPr>
            <w:tcW w:w="889"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c>
          <w:tcPr>
            <w:tcW w:w="8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420" w:hRule="atLeast"/>
        </w:trPr>
        <w:tc>
          <w:tcPr>
            <w:tcW w:w="106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5吨车</w:t>
            </w:r>
          </w:p>
        </w:tc>
        <w:tc>
          <w:tcPr>
            <w:tcW w:w="1198"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2400</w:t>
            </w:r>
          </w:p>
        </w:tc>
        <w:tc>
          <w:tcPr>
            <w:tcW w:w="93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19</w:t>
            </w:r>
          </w:p>
        </w:tc>
        <w:tc>
          <w:tcPr>
            <w:tcW w:w="890"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cs="宋体"/>
                <w:color w:val="auto"/>
                <w:szCs w:val="21"/>
                <w:highlight w:val="none"/>
              </w:rPr>
            </w:pPr>
          </w:p>
        </w:tc>
        <w:tc>
          <w:tcPr>
            <w:tcW w:w="12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2200</w:t>
            </w:r>
          </w:p>
        </w:tc>
        <w:tc>
          <w:tcPr>
            <w:tcW w:w="99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21</w:t>
            </w:r>
          </w:p>
        </w:tc>
        <w:tc>
          <w:tcPr>
            <w:tcW w:w="980" w:type="dxa"/>
            <w:gridSpan w:val="2"/>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2000</w:t>
            </w:r>
          </w:p>
        </w:tc>
        <w:tc>
          <w:tcPr>
            <w:tcW w:w="9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22</w:t>
            </w:r>
          </w:p>
        </w:tc>
        <w:tc>
          <w:tcPr>
            <w:tcW w:w="9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1210" w:type="dxa"/>
            <w:gridSpan w:val="2"/>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400</w:t>
            </w:r>
          </w:p>
        </w:tc>
        <w:tc>
          <w:tcPr>
            <w:tcW w:w="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32</w:t>
            </w:r>
          </w:p>
        </w:tc>
        <w:tc>
          <w:tcPr>
            <w:tcW w:w="889"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c>
          <w:tcPr>
            <w:tcW w:w="8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420" w:hRule="atLeast"/>
        </w:trPr>
        <w:tc>
          <w:tcPr>
            <w:tcW w:w="106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8吨车</w:t>
            </w:r>
          </w:p>
        </w:tc>
        <w:tc>
          <w:tcPr>
            <w:tcW w:w="1198"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1300</w:t>
            </w:r>
          </w:p>
        </w:tc>
        <w:tc>
          <w:tcPr>
            <w:tcW w:w="93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13</w:t>
            </w:r>
          </w:p>
        </w:tc>
        <w:tc>
          <w:tcPr>
            <w:tcW w:w="890"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cs="宋体"/>
                <w:color w:val="auto"/>
                <w:szCs w:val="21"/>
                <w:highlight w:val="none"/>
              </w:rPr>
            </w:pPr>
          </w:p>
        </w:tc>
        <w:tc>
          <w:tcPr>
            <w:tcW w:w="12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1100</w:t>
            </w:r>
          </w:p>
        </w:tc>
        <w:tc>
          <w:tcPr>
            <w:tcW w:w="99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14.5</w:t>
            </w:r>
          </w:p>
        </w:tc>
        <w:tc>
          <w:tcPr>
            <w:tcW w:w="980" w:type="dxa"/>
            <w:gridSpan w:val="2"/>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1000</w:t>
            </w:r>
          </w:p>
        </w:tc>
        <w:tc>
          <w:tcPr>
            <w:tcW w:w="9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17</w:t>
            </w:r>
          </w:p>
        </w:tc>
        <w:tc>
          <w:tcPr>
            <w:tcW w:w="9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1210" w:type="dxa"/>
            <w:gridSpan w:val="2"/>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400</w:t>
            </w:r>
          </w:p>
        </w:tc>
        <w:tc>
          <w:tcPr>
            <w:tcW w:w="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24</w:t>
            </w:r>
          </w:p>
        </w:tc>
        <w:tc>
          <w:tcPr>
            <w:tcW w:w="889"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c>
          <w:tcPr>
            <w:tcW w:w="8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420" w:hRule="atLeast"/>
        </w:trPr>
        <w:tc>
          <w:tcPr>
            <w:tcW w:w="1068"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10吨车</w:t>
            </w:r>
          </w:p>
        </w:tc>
        <w:tc>
          <w:tcPr>
            <w:tcW w:w="1198"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2800</w:t>
            </w:r>
          </w:p>
        </w:tc>
        <w:tc>
          <w:tcPr>
            <w:tcW w:w="93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10.5</w:t>
            </w:r>
          </w:p>
        </w:tc>
        <w:tc>
          <w:tcPr>
            <w:tcW w:w="890" w:type="dxa"/>
            <w:gridSpan w:val="2"/>
            <w:tcBorders>
              <w:top w:val="nil"/>
              <w:left w:val="nil"/>
              <w:bottom w:val="single" w:color="auto" w:sz="4" w:space="0"/>
              <w:right w:val="single" w:color="auto" w:sz="4" w:space="0"/>
            </w:tcBorders>
            <w:shd w:val="clear" w:color="auto" w:fill="auto"/>
            <w:vAlign w:val="center"/>
          </w:tcPr>
          <w:p>
            <w:pPr>
              <w:jc w:val="center"/>
              <w:rPr>
                <w:rFonts w:ascii="宋体" w:hAnsi="宋体" w:cs="宋体"/>
                <w:color w:val="auto"/>
                <w:szCs w:val="21"/>
                <w:highlight w:val="none"/>
              </w:rPr>
            </w:pPr>
          </w:p>
        </w:tc>
        <w:tc>
          <w:tcPr>
            <w:tcW w:w="126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4100</w:t>
            </w:r>
          </w:p>
        </w:tc>
        <w:tc>
          <w:tcPr>
            <w:tcW w:w="99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13.5</w:t>
            </w:r>
          </w:p>
        </w:tc>
        <w:tc>
          <w:tcPr>
            <w:tcW w:w="980" w:type="dxa"/>
            <w:gridSpan w:val="2"/>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1140" w:type="dxa"/>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2800</w:t>
            </w:r>
          </w:p>
        </w:tc>
        <w:tc>
          <w:tcPr>
            <w:tcW w:w="9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15</w:t>
            </w:r>
          </w:p>
        </w:tc>
        <w:tc>
          <w:tcPr>
            <w:tcW w:w="90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1210" w:type="dxa"/>
            <w:gridSpan w:val="2"/>
            <w:tcBorders>
              <w:top w:val="nil"/>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1100</w:t>
            </w:r>
          </w:p>
        </w:tc>
        <w:tc>
          <w:tcPr>
            <w:tcW w:w="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22</w:t>
            </w:r>
          </w:p>
        </w:tc>
        <w:tc>
          <w:tcPr>
            <w:tcW w:w="889"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c>
          <w:tcPr>
            <w:tcW w:w="8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420" w:hRule="atLeast"/>
        </w:trPr>
        <w:tc>
          <w:tcPr>
            <w:tcW w:w="106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13吨车</w:t>
            </w:r>
          </w:p>
        </w:tc>
        <w:tc>
          <w:tcPr>
            <w:tcW w:w="1198"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2500</w:t>
            </w:r>
          </w:p>
        </w:tc>
        <w:tc>
          <w:tcPr>
            <w:tcW w:w="93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9.5</w:t>
            </w:r>
          </w:p>
        </w:tc>
        <w:tc>
          <w:tcPr>
            <w:tcW w:w="890" w:type="dxa"/>
            <w:gridSpan w:val="2"/>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auto"/>
                <w:szCs w:val="21"/>
                <w:highlight w:val="none"/>
              </w:rPr>
            </w:pPr>
          </w:p>
        </w:tc>
        <w:tc>
          <w:tcPr>
            <w:tcW w:w="126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4500</w:t>
            </w:r>
          </w:p>
        </w:tc>
        <w:tc>
          <w:tcPr>
            <w:tcW w:w="99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12.5</w:t>
            </w:r>
          </w:p>
        </w:tc>
        <w:tc>
          <w:tcPr>
            <w:tcW w:w="980"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114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2500</w:t>
            </w:r>
          </w:p>
        </w:tc>
        <w:tc>
          <w:tcPr>
            <w:tcW w:w="9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14</w:t>
            </w:r>
          </w:p>
        </w:tc>
        <w:tc>
          <w:tcPr>
            <w:tcW w:w="90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1210"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2300</w:t>
            </w:r>
          </w:p>
        </w:tc>
        <w:tc>
          <w:tcPr>
            <w:tcW w:w="97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18</w:t>
            </w:r>
          </w:p>
        </w:tc>
        <w:tc>
          <w:tcPr>
            <w:tcW w:w="889"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c>
          <w:tcPr>
            <w:tcW w:w="87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420" w:hRule="atLeast"/>
        </w:trPr>
        <w:tc>
          <w:tcPr>
            <w:tcW w:w="14195" w:type="dxa"/>
            <w:gridSpan w:val="17"/>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cs="宋体"/>
                <w:b/>
                <w:bCs/>
                <w:color w:val="auto"/>
                <w:szCs w:val="21"/>
                <w:highlight w:val="none"/>
              </w:rPr>
            </w:pPr>
            <w:r>
              <w:rPr>
                <w:rFonts w:hint="eastAsia" w:ascii="宋体" w:hAnsi="宋体" w:cs="宋体"/>
                <w:b/>
                <w:bCs/>
                <w:color w:val="auto"/>
                <w:szCs w:val="21"/>
                <w:highlight w:val="none"/>
              </w:rPr>
              <w:t>配送区域说明：</w:t>
            </w:r>
          </w:p>
          <w:p>
            <w:pPr>
              <w:spacing w:line="240" w:lineRule="auto"/>
              <w:rPr>
                <w:rFonts w:ascii="宋体" w:hAnsi="宋体" w:cs="宋体"/>
                <w:bCs/>
                <w:color w:val="auto"/>
                <w:szCs w:val="21"/>
                <w:highlight w:val="none"/>
              </w:rPr>
            </w:pPr>
            <w:r>
              <w:rPr>
                <w:rFonts w:hint="eastAsia" w:ascii="宋体" w:hAnsi="宋体" w:cs="宋体"/>
                <w:bCs/>
                <w:color w:val="auto"/>
                <w:szCs w:val="21"/>
                <w:highlight w:val="none"/>
              </w:rPr>
              <w:t>A区配送区域为东坑、横沥、茶山、寮步、石龙、企石、石排、石碣、高埗、常平、大朗、松山湖、桥头</w:t>
            </w:r>
          </w:p>
          <w:p>
            <w:pPr>
              <w:spacing w:line="240" w:lineRule="auto"/>
              <w:rPr>
                <w:rFonts w:ascii="宋体" w:hAnsi="宋体" w:cs="宋体"/>
                <w:bCs/>
                <w:color w:val="auto"/>
                <w:szCs w:val="21"/>
                <w:highlight w:val="none"/>
              </w:rPr>
            </w:pPr>
            <w:r>
              <w:rPr>
                <w:rFonts w:hint="eastAsia" w:ascii="宋体" w:hAnsi="宋体" w:cs="宋体"/>
                <w:bCs/>
                <w:color w:val="auto"/>
                <w:szCs w:val="21"/>
                <w:highlight w:val="none"/>
              </w:rPr>
              <w:t>B区配送区域为中堂、大岭山、东城、万江、莞城、南城、望牛墩</w:t>
            </w:r>
          </w:p>
          <w:p>
            <w:pPr>
              <w:spacing w:line="240" w:lineRule="auto"/>
              <w:rPr>
                <w:rFonts w:ascii="宋体" w:hAnsi="宋体" w:cs="宋体"/>
                <w:bCs/>
                <w:color w:val="auto"/>
                <w:szCs w:val="21"/>
                <w:highlight w:val="none"/>
              </w:rPr>
            </w:pPr>
            <w:r>
              <w:rPr>
                <w:rFonts w:hint="eastAsia" w:ascii="宋体" w:hAnsi="宋体" w:cs="宋体"/>
                <w:bCs/>
                <w:color w:val="auto"/>
                <w:szCs w:val="21"/>
                <w:highlight w:val="none"/>
              </w:rPr>
              <w:t>C区配送区域为道滘、厚街、樟木头、洪梅、谢岗、黄江、清溪、凤岗、虎门、长安、沙田、麻涌、塘厦</w:t>
            </w:r>
          </w:p>
        </w:tc>
      </w:tr>
      <w:tr>
        <w:tblPrEx>
          <w:tblCellMar>
            <w:top w:w="0" w:type="dxa"/>
            <w:left w:w="108" w:type="dxa"/>
            <w:bottom w:w="0" w:type="dxa"/>
            <w:right w:w="108" w:type="dxa"/>
          </w:tblCellMar>
        </w:tblPrEx>
        <w:trPr>
          <w:trHeight w:val="420" w:hRule="atLeast"/>
        </w:trPr>
        <w:tc>
          <w:tcPr>
            <w:tcW w:w="348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零担配送</w:t>
            </w:r>
          </w:p>
        </w:tc>
        <w:tc>
          <w:tcPr>
            <w:tcW w:w="3535" w:type="dxa"/>
            <w:gridSpan w:val="4"/>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预计（件/年）</w:t>
            </w:r>
          </w:p>
        </w:tc>
        <w:tc>
          <w:tcPr>
            <w:tcW w:w="3535" w:type="dxa"/>
            <w:gridSpan w:val="5"/>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限价（元/件）</w:t>
            </w:r>
          </w:p>
        </w:tc>
        <w:tc>
          <w:tcPr>
            <w:tcW w:w="2767"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报价（元/件）</w:t>
            </w:r>
          </w:p>
        </w:tc>
        <w:tc>
          <w:tcPr>
            <w:tcW w:w="87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合计（元/年）</w:t>
            </w:r>
          </w:p>
        </w:tc>
      </w:tr>
      <w:tr>
        <w:tblPrEx>
          <w:tblCellMar>
            <w:top w:w="0" w:type="dxa"/>
            <w:left w:w="108" w:type="dxa"/>
            <w:bottom w:w="0" w:type="dxa"/>
            <w:right w:w="108" w:type="dxa"/>
          </w:tblCellMar>
        </w:tblPrEx>
        <w:trPr>
          <w:trHeight w:val="420" w:hRule="atLeast"/>
        </w:trPr>
        <w:tc>
          <w:tcPr>
            <w:tcW w:w="348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小包装</w:t>
            </w:r>
          </w:p>
        </w:tc>
        <w:tc>
          <w:tcPr>
            <w:tcW w:w="3535" w:type="dxa"/>
            <w:gridSpan w:val="4"/>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4200</w:t>
            </w:r>
          </w:p>
        </w:tc>
        <w:tc>
          <w:tcPr>
            <w:tcW w:w="3535" w:type="dxa"/>
            <w:gridSpan w:val="5"/>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3.5</w:t>
            </w:r>
          </w:p>
        </w:tc>
        <w:tc>
          <w:tcPr>
            <w:tcW w:w="2767"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87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420" w:hRule="atLeast"/>
        </w:trPr>
        <w:tc>
          <w:tcPr>
            <w:tcW w:w="348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大包装</w:t>
            </w:r>
          </w:p>
        </w:tc>
        <w:tc>
          <w:tcPr>
            <w:tcW w:w="3535" w:type="dxa"/>
            <w:gridSpan w:val="4"/>
            <w:tcBorders>
              <w:top w:val="single" w:color="auto" w:sz="4" w:space="0"/>
              <w:left w:val="nil"/>
              <w:bottom w:val="single" w:color="auto" w:sz="4" w:space="0"/>
              <w:right w:val="single" w:color="auto" w:sz="4" w:space="0"/>
            </w:tcBorders>
            <w:shd w:val="clear" w:color="auto" w:fill="auto"/>
            <w:vAlign w:val="center"/>
          </w:tcPr>
          <w:p>
            <w:pPr>
              <w:spacing w:line="240" w:lineRule="auto"/>
              <w:jc w:val="center"/>
              <w:textAlignment w:val="center"/>
              <w:rPr>
                <w:rFonts w:ascii="宋体" w:hAnsi="宋体" w:cs="宋体"/>
                <w:color w:val="auto"/>
                <w:szCs w:val="21"/>
                <w:highlight w:val="none"/>
              </w:rPr>
            </w:pPr>
            <w:r>
              <w:rPr>
                <w:rFonts w:ascii="宋体" w:hAnsi="宋体" w:cs="宋体"/>
                <w:color w:val="auto"/>
                <w:szCs w:val="21"/>
                <w:highlight w:val="none"/>
                <w:lang w:bidi="ar"/>
              </w:rPr>
              <w:t>18000</w:t>
            </w:r>
          </w:p>
        </w:tc>
        <w:tc>
          <w:tcPr>
            <w:tcW w:w="3535" w:type="dxa"/>
            <w:gridSpan w:val="5"/>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5</w:t>
            </w:r>
          </w:p>
        </w:tc>
        <w:tc>
          <w:tcPr>
            <w:tcW w:w="2767" w:type="dxa"/>
            <w:gridSpan w:val="3"/>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c>
          <w:tcPr>
            <w:tcW w:w="87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r>
      <w:tr>
        <w:tblPrEx>
          <w:tblCellMar>
            <w:top w:w="0" w:type="dxa"/>
            <w:left w:w="108" w:type="dxa"/>
            <w:bottom w:w="0" w:type="dxa"/>
            <w:right w:w="108" w:type="dxa"/>
          </w:tblCellMar>
        </w:tblPrEx>
        <w:trPr>
          <w:trHeight w:val="644" w:hRule="atLeast"/>
        </w:trPr>
        <w:tc>
          <w:tcPr>
            <w:tcW w:w="13325" w:type="dxa"/>
            <w:gridSpan w:val="16"/>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ascii="宋体" w:hAnsi="宋体" w:cs="宋体"/>
                <w:b/>
                <w:color w:val="auto"/>
                <w:szCs w:val="21"/>
                <w:highlight w:val="none"/>
              </w:rPr>
            </w:pPr>
            <w:r>
              <w:rPr>
                <w:rFonts w:hint="eastAsia" w:ascii="宋体" w:hAnsi="宋体" w:cs="宋体"/>
                <w:b/>
                <w:color w:val="auto"/>
                <w:szCs w:val="21"/>
                <w:highlight w:val="none"/>
              </w:rPr>
              <w:t>配送业务费全年合计</w:t>
            </w:r>
          </w:p>
        </w:tc>
        <w:tc>
          <w:tcPr>
            <w:tcW w:w="87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p>
        </w:tc>
      </w:tr>
    </w:tbl>
    <w:p>
      <w:pPr>
        <w:rPr>
          <w:color w:val="auto"/>
          <w:highlight w:val="none"/>
          <w:lang w:val="zh-CN" w:bidi="zh-CN"/>
        </w:rPr>
        <w:sectPr>
          <w:type w:val="continuous"/>
          <w:pgSz w:w="16838" w:h="11906" w:orient="landscape"/>
          <w:pgMar w:top="1800" w:right="1440" w:bottom="1800" w:left="1440" w:header="708" w:footer="708" w:gutter="0"/>
          <w:cols w:space="708" w:num="1"/>
          <w:titlePg/>
          <w:docGrid w:type="lines" w:linePitch="360" w:charSpace="0"/>
        </w:sectPr>
      </w:pPr>
    </w:p>
    <w:p>
      <w:pPr>
        <w:rPr>
          <w:rFonts w:ascii="宋体" w:hAnsi="宋体"/>
          <w:color w:val="auto"/>
          <w:szCs w:val="21"/>
          <w:highlight w:val="none"/>
        </w:rPr>
        <w:sectPr>
          <w:type w:val="continuous"/>
          <w:pgSz w:w="16838" w:h="11906" w:orient="landscape"/>
          <w:pgMar w:top="1800" w:right="1440" w:bottom="1800" w:left="1440" w:header="708" w:footer="708" w:gutter="0"/>
          <w:cols w:space="708" w:num="1"/>
          <w:titlePg/>
          <w:docGrid w:type="lines" w:linePitch="360" w:charSpace="0"/>
        </w:sectPr>
      </w:pPr>
    </w:p>
    <w:p>
      <w:pPr>
        <w:rPr>
          <w:b/>
          <w:bCs/>
          <w:color w:val="auto"/>
          <w:highlight w:val="none"/>
        </w:rPr>
      </w:pPr>
      <w:r>
        <w:rPr>
          <w:rFonts w:hint="eastAsia"/>
          <w:b/>
          <w:bCs/>
          <w:color w:val="auto"/>
          <w:highlight w:val="none"/>
        </w:rPr>
        <w:t>（2）其它业务</w:t>
      </w:r>
    </w:p>
    <w:tbl>
      <w:tblPr>
        <w:tblStyle w:val="23"/>
        <w:tblW w:w="8322" w:type="dxa"/>
        <w:tblInd w:w="93" w:type="dxa"/>
        <w:tblLayout w:type="autofit"/>
        <w:tblCellMar>
          <w:top w:w="0" w:type="dxa"/>
          <w:left w:w="108" w:type="dxa"/>
          <w:bottom w:w="0" w:type="dxa"/>
          <w:right w:w="108" w:type="dxa"/>
        </w:tblCellMar>
      </w:tblPr>
      <w:tblGrid>
        <w:gridCol w:w="2142"/>
        <w:gridCol w:w="3260"/>
        <w:gridCol w:w="2920"/>
      </w:tblGrid>
      <w:tr>
        <w:tblPrEx>
          <w:tblCellMar>
            <w:top w:w="0" w:type="dxa"/>
            <w:left w:w="108" w:type="dxa"/>
            <w:bottom w:w="0" w:type="dxa"/>
            <w:right w:w="108" w:type="dxa"/>
          </w:tblCellMar>
        </w:tblPrEx>
        <w:trPr>
          <w:trHeight w:val="487" w:hRule="atLeast"/>
        </w:trPr>
        <w:tc>
          <w:tcPr>
            <w:tcW w:w="21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其它业务</w:t>
            </w:r>
          </w:p>
        </w:tc>
        <w:tc>
          <w:tcPr>
            <w:tcW w:w="326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限价（元/年）</w:t>
            </w:r>
          </w:p>
        </w:tc>
        <w:tc>
          <w:tcPr>
            <w:tcW w:w="292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ascii="宋体" w:hAnsi="宋体" w:cs="宋体"/>
                <w:b/>
                <w:color w:val="auto"/>
                <w:szCs w:val="21"/>
                <w:highlight w:val="none"/>
              </w:rPr>
            </w:pPr>
            <w:r>
              <w:rPr>
                <w:rFonts w:hint="eastAsia" w:ascii="宋体" w:hAnsi="宋体" w:cs="宋体"/>
                <w:b/>
                <w:color w:val="auto"/>
                <w:szCs w:val="21"/>
                <w:highlight w:val="none"/>
              </w:rPr>
              <w:t>报价（元/年）</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bCs/>
                <w:color w:val="auto"/>
                <w:szCs w:val="21"/>
                <w:highlight w:val="none"/>
              </w:rPr>
            </w:pPr>
            <w:r>
              <w:rPr>
                <w:rFonts w:hint="eastAsia" w:ascii="宋体" w:hAnsi="宋体" w:cs="宋体"/>
                <w:bCs/>
                <w:color w:val="auto"/>
                <w:szCs w:val="21"/>
                <w:highlight w:val="none"/>
              </w:rPr>
              <w:t>仓库后勤业务</w:t>
            </w:r>
          </w:p>
        </w:tc>
        <w:tc>
          <w:tcPr>
            <w:tcW w:w="326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127200.00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bCs/>
                <w:color w:val="auto"/>
                <w:szCs w:val="21"/>
                <w:highlight w:val="none"/>
              </w:rPr>
            </w:pPr>
            <w:r>
              <w:rPr>
                <w:rFonts w:hint="eastAsia" w:ascii="宋体" w:hAnsi="宋体" w:cs="宋体"/>
                <w:bCs/>
                <w:color w:val="auto"/>
                <w:szCs w:val="21"/>
                <w:highlight w:val="none"/>
              </w:rPr>
              <w:t>叉车业务</w:t>
            </w:r>
          </w:p>
        </w:tc>
        <w:tc>
          <w:tcPr>
            <w:tcW w:w="326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148800.00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bCs/>
                <w:color w:val="auto"/>
                <w:szCs w:val="21"/>
                <w:highlight w:val="none"/>
              </w:rPr>
            </w:pPr>
            <w:r>
              <w:rPr>
                <w:rFonts w:hint="eastAsia" w:ascii="宋体" w:hAnsi="宋体" w:cs="宋体"/>
                <w:bCs/>
                <w:color w:val="auto"/>
                <w:szCs w:val="21"/>
                <w:highlight w:val="none"/>
              </w:rPr>
              <w:t>电工业务</w:t>
            </w:r>
          </w:p>
        </w:tc>
        <w:tc>
          <w:tcPr>
            <w:tcW w:w="326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106800.00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bCs/>
                <w:color w:val="auto"/>
                <w:szCs w:val="21"/>
                <w:highlight w:val="none"/>
              </w:rPr>
            </w:pPr>
            <w:r>
              <w:rPr>
                <w:rFonts w:hint="eastAsia" w:ascii="宋体" w:hAnsi="宋体" w:cs="宋体"/>
                <w:bCs/>
                <w:color w:val="auto"/>
                <w:szCs w:val="21"/>
                <w:highlight w:val="none"/>
              </w:rPr>
              <w:t>喷码业务</w:t>
            </w:r>
          </w:p>
        </w:tc>
        <w:tc>
          <w:tcPr>
            <w:tcW w:w="326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72000.00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bCs/>
                <w:color w:val="auto"/>
                <w:szCs w:val="21"/>
                <w:highlight w:val="none"/>
              </w:rPr>
            </w:pPr>
            <w:r>
              <w:rPr>
                <w:rFonts w:hint="eastAsia" w:ascii="宋体" w:hAnsi="宋体" w:cs="宋体"/>
                <w:bCs/>
                <w:color w:val="auto"/>
                <w:szCs w:val="21"/>
                <w:highlight w:val="none"/>
              </w:rPr>
              <w:t>厨房业务</w:t>
            </w:r>
          </w:p>
        </w:tc>
        <w:tc>
          <w:tcPr>
            <w:tcW w:w="326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146800.00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497" w:hRule="atLeast"/>
        </w:trPr>
        <w:tc>
          <w:tcPr>
            <w:tcW w:w="2142" w:type="dxa"/>
            <w:tcBorders>
              <w:top w:val="nil"/>
              <w:left w:val="single" w:color="auto" w:sz="4" w:space="0"/>
              <w:bottom w:val="single" w:color="auto" w:sz="4" w:space="0"/>
              <w:right w:val="single" w:color="auto" w:sz="4" w:space="0"/>
            </w:tcBorders>
            <w:shd w:val="clear" w:color="auto" w:fill="auto"/>
            <w:noWrap/>
            <w:vAlign w:val="center"/>
          </w:tcPr>
          <w:p>
            <w:pPr>
              <w:spacing w:line="240" w:lineRule="auto"/>
              <w:jc w:val="center"/>
              <w:rPr>
                <w:rFonts w:ascii="宋体" w:hAnsi="宋体" w:cs="宋体"/>
                <w:bCs/>
                <w:color w:val="auto"/>
                <w:szCs w:val="21"/>
                <w:highlight w:val="none"/>
              </w:rPr>
            </w:pPr>
            <w:r>
              <w:rPr>
                <w:rFonts w:hint="eastAsia" w:ascii="宋体" w:hAnsi="宋体" w:cs="宋体"/>
                <w:bCs/>
                <w:color w:val="auto"/>
                <w:szCs w:val="21"/>
                <w:highlight w:val="none"/>
              </w:rPr>
              <w:t>清洁业务</w:t>
            </w:r>
          </w:p>
        </w:tc>
        <w:tc>
          <w:tcPr>
            <w:tcW w:w="326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42800.00</w:t>
            </w:r>
          </w:p>
        </w:tc>
        <w:tc>
          <w:tcPr>
            <w:tcW w:w="2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宋体" w:hAnsi="宋体" w:cs="宋体"/>
                <w:color w:val="auto"/>
                <w:szCs w:val="21"/>
                <w:highlight w:val="none"/>
              </w:rPr>
            </w:pPr>
            <w:r>
              <w:rPr>
                <w:rFonts w:hint="eastAsia" w:ascii="宋体" w:hAnsi="宋体" w:cs="宋体"/>
                <w:color w:val="auto"/>
                <w:szCs w:val="21"/>
                <w:highlight w:val="none"/>
              </w:rPr>
              <w:t>　</w:t>
            </w:r>
          </w:p>
        </w:tc>
      </w:tr>
      <w:tr>
        <w:tblPrEx>
          <w:tblCellMar>
            <w:top w:w="0" w:type="dxa"/>
            <w:left w:w="108" w:type="dxa"/>
            <w:bottom w:w="0" w:type="dxa"/>
            <w:right w:w="108" w:type="dxa"/>
          </w:tblCellMar>
        </w:tblPrEx>
        <w:trPr>
          <w:trHeight w:val="726" w:hRule="atLeast"/>
        </w:trPr>
        <w:tc>
          <w:tcPr>
            <w:tcW w:w="83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rFonts w:ascii="宋体" w:hAnsi="宋体" w:cs="宋体"/>
                <w:b/>
                <w:bCs/>
                <w:color w:val="auto"/>
                <w:szCs w:val="21"/>
                <w:highlight w:val="none"/>
              </w:rPr>
            </w:pPr>
            <w:r>
              <w:rPr>
                <w:rFonts w:hint="eastAsia" w:ascii="宋体" w:hAnsi="宋体" w:cs="宋体"/>
                <w:b/>
                <w:bCs/>
                <w:color w:val="auto"/>
                <w:szCs w:val="21"/>
                <w:highlight w:val="none"/>
              </w:rPr>
              <w:t>其它业务全年合计：</w:t>
            </w: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1"/>
        <w:rPr>
          <w:rFonts w:ascii="黑体" w:eastAsia="黑体"/>
          <w:color w:val="auto"/>
          <w:sz w:val="32"/>
          <w:szCs w:val="32"/>
          <w:highlight w:val="none"/>
        </w:rPr>
      </w:pPr>
    </w:p>
    <w:p>
      <w:pPr>
        <w:pStyle w:val="31"/>
        <w:rPr>
          <w:rFonts w:ascii="黑体" w:eastAsia="黑体"/>
          <w:color w:val="auto"/>
          <w:sz w:val="32"/>
          <w:szCs w:val="32"/>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7"/>
        <w:jc w:val="center"/>
        <w:rPr>
          <w:color w:val="auto"/>
          <w:highlight w:val="none"/>
        </w:rPr>
      </w:pPr>
      <w:bookmarkStart w:id="216" w:name="_Toc6471"/>
      <w:bookmarkStart w:id="217" w:name="_Toc23948"/>
      <w:r>
        <w:rPr>
          <w:rFonts w:hint="eastAsia"/>
          <w:color w:val="auto"/>
          <w:highlight w:val="none"/>
        </w:rPr>
        <w:t>第二章商务文件</w:t>
      </w:r>
      <w:bookmarkEnd w:id="216"/>
      <w:bookmarkEnd w:id="217"/>
    </w:p>
    <w:bookmarkEnd w:id="211"/>
    <w:p>
      <w:pPr>
        <w:pStyle w:val="7"/>
        <w:jc w:val="center"/>
        <w:rPr>
          <w:color w:val="auto"/>
          <w:highlight w:val="none"/>
        </w:rPr>
      </w:pPr>
      <w:bookmarkStart w:id="218" w:name="_Toc1952"/>
      <w:bookmarkStart w:id="219" w:name="_Toc23787"/>
      <w:r>
        <w:rPr>
          <w:rFonts w:hint="eastAsia"/>
          <w:color w:val="auto"/>
          <w:highlight w:val="none"/>
        </w:rPr>
        <w:t>一、投标函</w:t>
      </w:r>
      <w:bookmarkEnd w:id="218"/>
      <w:bookmarkEnd w:id="219"/>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5"/>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5"/>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5"/>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5"/>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15"/>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5"/>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5"/>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7"/>
        <w:jc w:val="center"/>
        <w:rPr>
          <w:color w:val="auto"/>
          <w:highlight w:val="none"/>
        </w:rPr>
      </w:pPr>
      <w:bookmarkStart w:id="220" w:name="_Toc28616"/>
      <w:bookmarkStart w:id="221" w:name="_Toc15719"/>
      <w:r>
        <w:rPr>
          <w:rFonts w:hint="eastAsia"/>
          <w:color w:val="auto"/>
          <w:highlight w:val="none"/>
        </w:rPr>
        <w:t>二、资格申明函</w:t>
      </w:r>
      <w:bookmarkEnd w:id="220"/>
      <w:bookmarkEnd w:id="221"/>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1、我方具备投标人邀请中所要求得资格条件，已清楚招标文件所有要求及有关规定；并承诺参加本次采购活动中，如有违法、违规、弄虚作假行为，所造成的损失、不良后果及法律责任，一律由我方承担；</w:t>
      </w:r>
    </w:p>
    <w:p>
      <w:pPr>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我方依法注册，在法律上、财务上和运作上完全独立于（甲方名称）（甲方）及</w:t>
      </w:r>
      <w:r>
        <w:rPr>
          <w:rFonts w:hint="eastAsia" w:ascii="宋体" w:hAnsi="宋体"/>
          <w:color w:val="auto"/>
          <w:szCs w:val="21"/>
          <w:highlight w:val="none"/>
        </w:rPr>
        <w:t>广东政通招标有限公司</w:t>
      </w:r>
      <w:r>
        <w:rPr>
          <w:rFonts w:ascii="宋体" w:hAnsi="宋体"/>
          <w:color w:val="auto"/>
          <w:szCs w:val="21"/>
          <w:highlight w:val="none"/>
        </w:rPr>
        <w:t>（采购代理机构）</w:t>
      </w:r>
      <w:r>
        <w:rPr>
          <w:rFonts w:hint="eastAsia" w:ascii="宋体" w:hAnsi="宋体"/>
          <w:color w:val="auto"/>
          <w:szCs w:val="21"/>
          <w:highlight w:val="none"/>
        </w:rPr>
        <w:t>。</w:t>
      </w:r>
    </w:p>
    <w:p>
      <w:pPr>
        <w:pStyle w:val="37"/>
        <w:spacing w:line="500" w:lineRule="atLeast"/>
        <w:ind w:firstLine="3517" w:firstLineChars="1675"/>
        <w:rPr>
          <w:rFonts w:ascii="宋体" w:eastAsia="宋体"/>
          <w:color w:val="auto"/>
          <w:sz w:val="21"/>
          <w:szCs w:val="21"/>
          <w:highlight w:val="none"/>
        </w:rPr>
      </w:pPr>
    </w:p>
    <w:p>
      <w:pPr>
        <w:pStyle w:val="37"/>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highlight w:val="none"/>
        </w:rPr>
      </w:pPr>
    </w:p>
    <w:p>
      <w:pPr>
        <w:pStyle w:val="3"/>
        <w:ind w:firstLine="240"/>
        <w:rPr>
          <w:color w:val="auto"/>
          <w:highlight w:val="none"/>
        </w:rPr>
      </w:pPr>
    </w:p>
    <w:p>
      <w:pPr>
        <w:pStyle w:val="4"/>
        <w:rPr>
          <w:color w:val="auto"/>
          <w:highlight w:val="none"/>
        </w:rPr>
      </w:pPr>
    </w:p>
    <w:p>
      <w:pPr>
        <w:rPr>
          <w:color w:val="auto"/>
          <w:highlight w:val="none"/>
        </w:rPr>
      </w:pPr>
    </w:p>
    <w:p>
      <w:pPr>
        <w:pStyle w:val="2"/>
        <w:rPr>
          <w:color w:val="auto"/>
          <w:highlight w:val="none"/>
        </w:rPr>
      </w:pPr>
    </w:p>
    <w:p>
      <w:pPr>
        <w:rPr>
          <w:color w:val="auto"/>
          <w:highlight w:val="none"/>
        </w:rPr>
      </w:pPr>
      <w:bookmarkStart w:id="222" w:name="_Toc16412"/>
    </w:p>
    <w:p>
      <w:pPr>
        <w:pStyle w:val="7"/>
        <w:jc w:val="center"/>
        <w:rPr>
          <w:color w:val="auto"/>
          <w:highlight w:val="none"/>
        </w:rPr>
      </w:pPr>
      <w:bookmarkStart w:id="223" w:name="_Toc32742"/>
      <w:bookmarkStart w:id="224" w:name="_Toc21273"/>
      <w:r>
        <w:rPr>
          <w:rFonts w:hint="eastAsia"/>
          <w:color w:val="auto"/>
          <w:highlight w:val="none"/>
        </w:rPr>
        <w:t>三、在参与采购活动前三年未有重大违法记录、没有不良信用记录的声明函</w:t>
      </w:r>
      <w:bookmarkEnd w:id="223"/>
      <w:bookmarkEnd w:id="224"/>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22"/>
    </w:p>
    <w:p>
      <w:pPr>
        <w:pStyle w:val="7"/>
        <w:jc w:val="center"/>
        <w:rPr>
          <w:color w:val="auto"/>
          <w:highlight w:val="none"/>
        </w:rPr>
      </w:pPr>
      <w:bookmarkStart w:id="225" w:name="_Toc3894"/>
      <w:bookmarkStart w:id="226" w:name="_Toc13243"/>
      <w:r>
        <w:rPr>
          <w:rFonts w:hint="eastAsia"/>
          <w:color w:val="auto"/>
          <w:highlight w:val="none"/>
        </w:rPr>
        <w:t>四、法定代表人证明书</w:t>
      </w:r>
      <w:bookmarkEnd w:id="225"/>
      <w:bookmarkEnd w:id="226"/>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7"/>
        <w:spacing w:line="420" w:lineRule="atLeast"/>
        <w:ind w:firstLine="433"/>
        <w:rPr>
          <w:rFonts w:ascii="宋体" w:eastAsia="宋体"/>
          <w:color w:val="auto"/>
          <w:sz w:val="21"/>
          <w:szCs w:val="21"/>
          <w:highlight w:val="none"/>
        </w:rPr>
      </w:pPr>
    </w:p>
    <w:p>
      <w:pPr>
        <w:pStyle w:val="37"/>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7"/>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7"/>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7"/>
        <w:jc w:val="center"/>
        <w:rPr>
          <w:color w:val="auto"/>
          <w:highlight w:val="none"/>
        </w:rPr>
      </w:pPr>
      <w:bookmarkStart w:id="227" w:name="_Toc5626"/>
      <w:bookmarkStart w:id="228" w:name="_Toc5918"/>
      <w:r>
        <w:rPr>
          <w:rFonts w:hint="eastAsia"/>
          <w:color w:val="auto"/>
          <w:highlight w:val="none"/>
        </w:rPr>
        <w:t>五、法定代表人授权书</w:t>
      </w:r>
      <w:bookmarkEnd w:id="227"/>
      <w:bookmarkEnd w:id="228"/>
    </w:p>
    <w:p>
      <w:pPr>
        <w:pStyle w:val="37"/>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7"/>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7"/>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7"/>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29"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7"/>
        <w:jc w:val="center"/>
        <w:rPr>
          <w:color w:val="auto"/>
          <w:highlight w:val="none"/>
        </w:rPr>
      </w:pPr>
      <w:bookmarkStart w:id="230" w:name="_Toc18562"/>
      <w:bookmarkStart w:id="231" w:name="_Toc24013"/>
      <w:r>
        <w:rPr>
          <w:rFonts w:hint="eastAsia"/>
          <w:color w:val="auto"/>
          <w:highlight w:val="none"/>
        </w:rPr>
        <w:t>六、投标人基本情况说明</w:t>
      </w:r>
      <w:bookmarkEnd w:id="230"/>
      <w:bookmarkEnd w:id="231"/>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2"/>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37"/>
        <w:spacing w:line="500" w:lineRule="atLeast"/>
        <w:ind w:firstLine="433"/>
        <w:rPr>
          <w:rFonts w:ascii="宋体" w:eastAsia="宋体"/>
          <w:color w:val="auto"/>
          <w:sz w:val="21"/>
          <w:szCs w:val="21"/>
          <w:highlight w:val="none"/>
        </w:rPr>
      </w:pPr>
    </w:p>
    <w:p>
      <w:pPr>
        <w:pStyle w:val="7"/>
        <w:jc w:val="center"/>
        <w:rPr>
          <w:color w:val="auto"/>
          <w:highlight w:val="none"/>
        </w:rPr>
      </w:pPr>
      <w:bookmarkStart w:id="232" w:name="_Toc5919"/>
      <w:bookmarkStart w:id="233" w:name="_Toc29995"/>
      <w:bookmarkStart w:id="234" w:name="_Toc24210"/>
      <w:bookmarkStart w:id="235" w:name="_Toc17470"/>
      <w:bookmarkStart w:id="236" w:name="_Toc1511"/>
      <w:bookmarkStart w:id="237" w:name="_Toc4926"/>
      <w:bookmarkStart w:id="238" w:name="_Toc28067"/>
      <w:r>
        <w:rPr>
          <w:rFonts w:hint="eastAsia"/>
          <w:color w:val="auto"/>
          <w:highlight w:val="none"/>
        </w:rPr>
        <w:t>七、营业执照</w:t>
      </w:r>
      <w:bookmarkEnd w:id="232"/>
      <w:bookmarkEnd w:id="233"/>
      <w:bookmarkEnd w:id="234"/>
      <w:bookmarkEnd w:id="235"/>
      <w:bookmarkEnd w:id="236"/>
      <w:bookmarkEnd w:id="237"/>
      <w:bookmarkEnd w:id="238"/>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29"/>
    <w:p>
      <w:pPr>
        <w:pStyle w:val="7"/>
        <w:jc w:val="center"/>
        <w:rPr>
          <w:color w:val="auto"/>
          <w:highlight w:val="none"/>
        </w:rPr>
      </w:pPr>
      <w:bookmarkStart w:id="239" w:name="_Toc21638"/>
      <w:bookmarkStart w:id="240" w:name="_Toc29439"/>
      <w:r>
        <w:rPr>
          <w:rFonts w:hint="eastAsia"/>
          <w:color w:val="auto"/>
          <w:highlight w:val="none"/>
        </w:rPr>
        <w:t>八、特殊资格要求证明文件</w:t>
      </w:r>
      <w:bookmarkEnd w:id="239"/>
      <w:bookmarkEnd w:id="240"/>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pStyle w:val="7"/>
        <w:jc w:val="center"/>
        <w:rPr>
          <w:color w:val="auto"/>
          <w:highlight w:val="none"/>
        </w:rPr>
      </w:pPr>
      <w:bookmarkStart w:id="241" w:name="_Toc14263"/>
      <w:bookmarkStart w:id="242" w:name="_Toc23341"/>
      <w:r>
        <w:rPr>
          <w:rFonts w:hint="eastAsia"/>
          <w:color w:val="auto"/>
          <w:highlight w:val="none"/>
        </w:rPr>
        <w:t>九、承诺书</w:t>
      </w:r>
      <w:bookmarkEnd w:id="241"/>
      <w:bookmarkEnd w:id="242"/>
    </w:p>
    <w:p>
      <w:pPr>
        <w:pStyle w:val="37"/>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7"/>
        <w:spacing w:line="420" w:lineRule="exact"/>
        <w:ind w:firstLine="433"/>
        <w:rPr>
          <w:rFonts w:ascii="宋体" w:eastAsia="宋体" w:cs="宋体"/>
          <w:color w:val="auto"/>
          <w:sz w:val="21"/>
          <w:szCs w:val="21"/>
          <w:highlight w:val="none"/>
        </w:rPr>
      </w:pPr>
      <w:bookmarkStart w:id="243"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243"/>
      <w:r>
        <w:rPr>
          <w:rFonts w:hint="eastAsia" w:ascii="宋体" w:eastAsia="宋体" w:cs="宋体"/>
          <w:color w:val="auto"/>
          <w:sz w:val="21"/>
          <w:szCs w:val="21"/>
          <w:highlight w:val="none"/>
        </w:rPr>
        <w:cr/>
      </w:r>
    </w:p>
    <w:p>
      <w:pPr>
        <w:pStyle w:val="37"/>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7"/>
        <w:jc w:val="center"/>
        <w:rPr>
          <w:color w:val="auto"/>
          <w:highlight w:val="none"/>
        </w:rPr>
      </w:pPr>
      <w:bookmarkStart w:id="244" w:name="_Toc13653"/>
      <w:bookmarkStart w:id="245" w:name="_Toc13955"/>
      <w:r>
        <w:rPr>
          <w:rFonts w:hint="eastAsia"/>
          <w:color w:val="auto"/>
          <w:highlight w:val="none"/>
        </w:rPr>
        <w:t>十、招标代理服务费承诺书</w:t>
      </w:r>
      <w:bookmarkEnd w:id="244"/>
      <w:bookmarkEnd w:id="245"/>
    </w:p>
    <w:p>
      <w:pPr>
        <w:pStyle w:val="37"/>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1"/>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7"/>
        <w:jc w:val="center"/>
        <w:rPr>
          <w:color w:val="auto"/>
          <w:highlight w:val="none"/>
        </w:rPr>
      </w:pPr>
      <w:bookmarkStart w:id="246" w:name="_Toc1975"/>
      <w:bookmarkStart w:id="247" w:name="_Toc12598"/>
      <w:r>
        <w:rPr>
          <w:rFonts w:hint="eastAsia"/>
          <w:color w:val="auto"/>
          <w:highlight w:val="none"/>
        </w:rPr>
        <w:t>十一、商务条款偏离表</w:t>
      </w:r>
      <w:bookmarkEnd w:id="246"/>
      <w:bookmarkEnd w:id="247"/>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248" w:name="_Toc32183"/>
    </w:p>
    <w:p>
      <w:pPr>
        <w:pStyle w:val="7"/>
        <w:jc w:val="center"/>
        <w:rPr>
          <w:color w:val="auto"/>
          <w:highlight w:val="none"/>
        </w:rPr>
      </w:pPr>
      <w:bookmarkStart w:id="249" w:name="_Toc25391"/>
      <w:bookmarkStart w:id="250" w:name="_Toc19276"/>
      <w:r>
        <w:rPr>
          <w:rFonts w:hint="eastAsia"/>
          <w:color w:val="auto"/>
          <w:highlight w:val="none"/>
        </w:rPr>
        <w:t>十二、业绩表</w:t>
      </w:r>
      <w:bookmarkEnd w:id="249"/>
      <w:bookmarkEnd w:id="250"/>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34"/>
        <w:rPr>
          <w:rFonts w:ascii="宋体" w:hAnsi="宋体"/>
          <w:color w:val="auto"/>
          <w:szCs w:val="21"/>
          <w:highlight w:val="none"/>
        </w:rPr>
      </w:pPr>
    </w:p>
    <w:p>
      <w:pPr>
        <w:pStyle w:val="34"/>
        <w:rPr>
          <w:rFonts w:ascii="宋体" w:hAnsi="宋体"/>
          <w:color w:val="auto"/>
          <w:szCs w:val="21"/>
          <w:highlight w:val="none"/>
        </w:rPr>
      </w:pPr>
      <w:r>
        <w:rPr>
          <w:rFonts w:hint="eastAsia" w:ascii="宋体" w:hAnsi="宋体"/>
          <w:color w:val="auto"/>
          <w:szCs w:val="21"/>
          <w:highlight w:val="none"/>
        </w:rPr>
        <w:t>注：该表格为参考格式，投标人可按实际情况自行制订。</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2"/>
        <w:ind w:left="0"/>
        <w:rPr>
          <w:color w:val="auto"/>
          <w:highlight w:val="none"/>
        </w:rPr>
      </w:pPr>
    </w:p>
    <w:p>
      <w:pPr>
        <w:pStyle w:val="7"/>
        <w:jc w:val="center"/>
        <w:rPr>
          <w:rFonts w:ascii="黑体" w:eastAsia="黑体"/>
          <w:color w:val="auto"/>
          <w:szCs w:val="28"/>
          <w:highlight w:val="none"/>
        </w:rPr>
      </w:pPr>
      <w:bookmarkStart w:id="251" w:name="_Toc14688"/>
      <w:bookmarkStart w:id="252" w:name="_Toc20520"/>
      <w:r>
        <w:rPr>
          <w:rFonts w:hint="eastAsia"/>
          <w:color w:val="auto"/>
          <w:highlight w:val="none"/>
        </w:rPr>
        <w:t>第三章技术文件</w:t>
      </w:r>
      <w:bookmarkEnd w:id="248"/>
      <w:bookmarkEnd w:id="251"/>
      <w:bookmarkEnd w:id="252"/>
    </w:p>
    <w:p>
      <w:pPr>
        <w:pStyle w:val="7"/>
        <w:jc w:val="center"/>
        <w:rPr>
          <w:color w:val="auto"/>
          <w:highlight w:val="none"/>
        </w:rPr>
      </w:pPr>
      <w:bookmarkStart w:id="253" w:name="_Toc7092"/>
      <w:bookmarkStart w:id="254" w:name="_Toc13097"/>
      <w:r>
        <w:rPr>
          <w:rFonts w:hint="eastAsia"/>
          <w:color w:val="auto"/>
          <w:highlight w:val="none"/>
        </w:rPr>
        <w:t>一、技术规格偏离表</w:t>
      </w:r>
      <w:bookmarkEnd w:id="253"/>
      <w:bookmarkEnd w:id="254"/>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注：投标人应对照招标文件技术要求，在“偏离情况”项中填写“无偏离”、“正偏离”或“负偏离”，逐条说明已对招标文件的技术内容做出了实质性的响应，并申明与招标文件的偏差和例外。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255" w:name="_Toc17691"/>
      <w:r>
        <w:rPr>
          <w:rFonts w:hint="eastAsia" w:ascii="宋体" w:hAnsi="宋体"/>
          <w:color w:val="auto"/>
          <w:szCs w:val="21"/>
          <w:highlight w:val="none"/>
        </w:rPr>
        <w:br w:type="page"/>
      </w:r>
      <w:bookmarkEnd w:id="255"/>
      <w:bookmarkStart w:id="256" w:name="_Toc26078"/>
      <w:bookmarkStart w:id="257" w:name="_Toc1274"/>
      <w:bookmarkStart w:id="258" w:name="_Toc4827"/>
      <w:bookmarkStart w:id="259" w:name="_Toc18668"/>
      <w:bookmarkStart w:id="260" w:name="_Toc6080"/>
      <w:bookmarkStart w:id="261" w:name="_Toc4464"/>
    </w:p>
    <w:p>
      <w:pPr>
        <w:pStyle w:val="7"/>
        <w:jc w:val="center"/>
        <w:rPr>
          <w:color w:val="auto"/>
          <w:highlight w:val="none"/>
        </w:rPr>
      </w:pPr>
      <w:bookmarkStart w:id="262" w:name="_Toc10734"/>
      <w:bookmarkStart w:id="263" w:name="_Toc13461"/>
      <w:r>
        <w:rPr>
          <w:rFonts w:hint="eastAsia"/>
          <w:color w:val="auto"/>
          <w:highlight w:val="none"/>
        </w:rPr>
        <w:t>二、重要技术参数（▲）响应表</w:t>
      </w:r>
      <w:bookmarkEnd w:id="256"/>
      <w:bookmarkEnd w:id="257"/>
      <w:bookmarkEnd w:id="258"/>
      <w:bookmarkEnd w:id="259"/>
      <w:bookmarkEnd w:id="260"/>
      <w:bookmarkEnd w:id="261"/>
      <w:bookmarkEnd w:id="262"/>
      <w:bookmarkEnd w:id="263"/>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bookmarkStart w:id="264" w:name="_Toc27079"/>
            <w:bookmarkStart w:id="265" w:name="_Toc29560"/>
            <w:bookmarkStart w:id="266" w:name="_Toc29642"/>
            <w:r>
              <w:rPr>
                <w:rFonts w:hint="eastAsia" w:ascii="宋体" w:hAnsi="宋体" w:cs="宋体"/>
                <w:b w:val="0"/>
                <w:bCs w:val="0"/>
                <w:color w:val="auto"/>
                <w:sz w:val="21"/>
                <w:szCs w:val="21"/>
                <w:highlight w:val="none"/>
              </w:rPr>
              <w:t>序号</w:t>
            </w:r>
            <w:bookmarkEnd w:id="264"/>
            <w:bookmarkEnd w:id="265"/>
            <w:bookmarkEnd w:id="266"/>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bookmarkStart w:id="267" w:name="_Toc15903"/>
            <w:bookmarkStart w:id="268" w:name="_Toc1016"/>
            <w:bookmarkStart w:id="269" w:name="_Toc21739"/>
            <w:bookmarkStart w:id="270" w:name="_Toc27090"/>
            <w:bookmarkStart w:id="271" w:name="_Toc2700"/>
            <w:bookmarkStart w:id="272" w:name="_Toc12049"/>
            <w:bookmarkStart w:id="273" w:name="_Toc26124"/>
            <w:bookmarkStart w:id="274" w:name="_Toc14815"/>
            <w:bookmarkStart w:id="275" w:name="_Toc10045"/>
            <w:bookmarkStart w:id="276" w:name="_Toc22448"/>
            <w:bookmarkStart w:id="277" w:name="_Toc15368"/>
            <w:bookmarkStart w:id="278" w:name="_Toc16872"/>
            <w:bookmarkStart w:id="279" w:name="_Toc4304"/>
            <w:bookmarkStart w:id="280" w:name="_Toc24662"/>
            <w:bookmarkStart w:id="281" w:name="_Toc7333"/>
            <w:bookmarkStart w:id="282" w:name="_Toc19251"/>
            <w:bookmarkStart w:id="283" w:name="_Toc21809"/>
            <w:bookmarkStart w:id="284" w:name="_Toc27442"/>
            <w:bookmarkStart w:id="285" w:name="_Toc32531"/>
            <w:bookmarkStart w:id="286" w:name="_Toc8490"/>
            <w:bookmarkStart w:id="287" w:name="_Toc22879"/>
            <w:bookmarkStart w:id="288" w:name="_Toc8312"/>
            <w:bookmarkStart w:id="289" w:name="_Toc22917"/>
            <w:r>
              <w:rPr>
                <w:rFonts w:hint="eastAsia" w:ascii="宋体" w:hAnsi="宋体" w:cs="宋体"/>
                <w:b w:val="0"/>
                <w:bCs w:val="0"/>
                <w:color w:val="auto"/>
                <w:sz w:val="21"/>
                <w:szCs w:val="21"/>
                <w:highlight w:val="none"/>
              </w:rPr>
              <w:t>重要技术参数评分条款（▲）</w:t>
            </w:r>
            <w:bookmarkEnd w:id="267"/>
            <w:bookmarkEnd w:id="268"/>
            <w:bookmarkEnd w:id="269"/>
            <w:bookmarkEnd w:id="270"/>
            <w:bookmarkEnd w:id="271"/>
            <w:bookmarkEnd w:id="272"/>
            <w:bookmarkEnd w:id="273"/>
            <w:bookmarkEnd w:id="274"/>
            <w:bookmarkEnd w:id="275"/>
            <w:bookmarkEnd w:id="276"/>
            <w:bookmarkEnd w:id="277"/>
            <w:bookmarkEnd w:id="278"/>
            <w:bookmarkEnd w:id="279"/>
          </w:p>
          <w:bookmarkEnd w:id="280"/>
          <w:bookmarkEnd w:id="281"/>
          <w:bookmarkEnd w:id="282"/>
          <w:bookmarkEnd w:id="283"/>
          <w:bookmarkEnd w:id="284"/>
          <w:bookmarkEnd w:id="285"/>
          <w:bookmarkEnd w:id="286"/>
          <w:bookmarkEnd w:id="287"/>
          <w:bookmarkEnd w:id="288"/>
          <w:bookmarkEnd w:id="289"/>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bookmarkStart w:id="290" w:name="_Toc10122"/>
            <w:bookmarkStart w:id="291" w:name="_Toc2408"/>
            <w:bookmarkStart w:id="292" w:name="_Toc22153"/>
            <w:r>
              <w:rPr>
                <w:rFonts w:hint="eastAsia" w:ascii="宋体" w:hAnsi="宋体" w:cs="宋体"/>
                <w:b w:val="0"/>
                <w:bCs w:val="0"/>
                <w:color w:val="auto"/>
                <w:sz w:val="21"/>
                <w:szCs w:val="21"/>
                <w:highlight w:val="none"/>
              </w:rPr>
              <w:t>投标文件响应内容</w:t>
            </w:r>
            <w:bookmarkEnd w:id="290"/>
            <w:bookmarkEnd w:id="291"/>
            <w:bookmarkEnd w:id="292"/>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bookmarkStart w:id="293" w:name="_Toc16003"/>
            <w:bookmarkStart w:id="294" w:name="_Toc27285"/>
            <w:bookmarkStart w:id="295" w:name="_Toc29838"/>
            <w:bookmarkStart w:id="296" w:name="_Toc1330"/>
            <w:bookmarkStart w:id="297" w:name="_Toc17296"/>
            <w:bookmarkStart w:id="298" w:name="_Toc1912"/>
            <w:bookmarkStart w:id="299" w:name="_Toc3701"/>
            <w:bookmarkStart w:id="300" w:name="_Toc27185"/>
            <w:bookmarkStart w:id="301" w:name="_Toc17642"/>
            <w:bookmarkStart w:id="302" w:name="_Toc20139"/>
            <w:bookmarkStart w:id="303" w:name="_Toc20820"/>
            <w:bookmarkStart w:id="304" w:name="_Toc5563"/>
            <w:bookmarkStart w:id="305" w:name="_Toc5992"/>
            <w:r>
              <w:rPr>
                <w:rFonts w:hint="eastAsia" w:ascii="宋体" w:hAnsi="宋体" w:cs="宋体"/>
                <w:b w:val="0"/>
                <w:bCs w:val="0"/>
                <w:color w:val="auto"/>
                <w:sz w:val="21"/>
                <w:szCs w:val="21"/>
                <w:highlight w:val="none"/>
              </w:rPr>
              <w:t>说明</w:t>
            </w:r>
            <w:bookmarkEnd w:id="293"/>
            <w:bookmarkEnd w:id="294"/>
            <w:bookmarkEnd w:id="295"/>
          </w:p>
        </w:tc>
        <w:tc>
          <w:tcPr>
            <w:tcW w:w="1591"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bookmarkStart w:id="306" w:name="_Toc857"/>
            <w:bookmarkStart w:id="307" w:name="_Toc3520"/>
            <w:bookmarkStart w:id="308" w:name="_Toc19105"/>
            <w:r>
              <w:rPr>
                <w:rFonts w:hint="eastAsia" w:ascii="宋体" w:hAnsi="宋体" w:cs="宋体"/>
                <w:b w:val="0"/>
                <w:bCs w:val="0"/>
                <w:color w:val="auto"/>
                <w:sz w:val="21"/>
                <w:szCs w:val="21"/>
                <w:highlight w:val="none"/>
              </w:rPr>
              <w:t>页码范围</w:t>
            </w:r>
            <w:bookmarkEnd w:id="296"/>
            <w:bookmarkEnd w:id="297"/>
            <w:bookmarkEnd w:id="298"/>
            <w:bookmarkEnd w:id="299"/>
            <w:bookmarkEnd w:id="300"/>
            <w:bookmarkEnd w:id="301"/>
            <w:bookmarkEnd w:id="302"/>
            <w:bookmarkEnd w:id="303"/>
            <w:bookmarkEnd w:id="304"/>
            <w:bookmarkEnd w:id="305"/>
            <w:bookmarkEnd w:id="306"/>
            <w:bookmarkEnd w:id="307"/>
            <w:bookmarkEnd w:id="30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4"/>
        <w:rPr>
          <w:rFonts w:ascii="宋体" w:hAnsi="宋体"/>
          <w:color w:val="auto"/>
          <w:szCs w:val="21"/>
          <w:highlight w:val="none"/>
        </w:rPr>
      </w:pPr>
    </w:p>
    <w:p>
      <w:pPr>
        <w:pStyle w:val="34"/>
        <w:rPr>
          <w:rFonts w:ascii="宋体" w:hAnsi="宋体"/>
          <w:color w:val="auto"/>
          <w:szCs w:val="21"/>
          <w:highlight w:val="none"/>
        </w:rPr>
      </w:pPr>
      <w:r>
        <w:rPr>
          <w:rFonts w:hint="eastAsia" w:ascii="宋体" w:hAnsi="宋体"/>
          <w:color w:val="auto"/>
          <w:szCs w:val="21"/>
          <w:highlight w:val="none"/>
        </w:rPr>
        <w:t>注：</w:t>
      </w:r>
    </w:p>
    <w:p>
      <w:pPr>
        <w:pStyle w:val="34"/>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4"/>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4"/>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4"/>
        <w:rPr>
          <w:rFonts w:ascii="宋体" w:hAnsi="宋体"/>
          <w:color w:val="auto"/>
          <w:szCs w:val="21"/>
          <w:highlight w:val="none"/>
        </w:rPr>
      </w:pPr>
    </w:p>
    <w:p>
      <w:pPr>
        <w:pStyle w:val="34"/>
        <w:numPr>
          <w:ilvl w:val="0"/>
          <w:numId w:val="16"/>
        </w:numPr>
        <w:rPr>
          <w:rFonts w:ascii="黑体" w:eastAsia="黑体"/>
          <w:color w:val="auto"/>
          <w:sz w:val="32"/>
          <w:szCs w:val="32"/>
          <w:highlight w:val="none"/>
        </w:rPr>
      </w:pPr>
      <w:r>
        <w:rPr>
          <w:rFonts w:hint="eastAsia" w:ascii="宋体" w:hAnsi="宋体"/>
          <w:color w:val="auto"/>
          <w:szCs w:val="21"/>
          <w:highlight w:val="none"/>
        </w:rPr>
        <w:br w:type="page"/>
      </w:r>
    </w:p>
    <w:p>
      <w:pPr>
        <w:pStyle w:val="7"/>
        <w:jc w:val="center"/>
        <w:rPr>
          <w:color w:val="auto"/>
          <w:highlight w:val="none"/>
        </w:rPr>
      </w:pPr>
      <w:bookmarkStart w:id="309" w:name="_Toc27139"/>
      <w:bookmarkStart w:id="310" w:name="_Toc19349"/>
      <w:r>
        <w:rPr>
          <w:rFonts w:hint="eastAsia"/>
          <w:color w:val="auto"/>
          <w:highlight w:val="none"/>
        </w:rPr>
        <w:t>三、实质性条款（标记★）投标响应表</w:t>
      </w:r>
      <w:bookmarkEnd w:id="309"/>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7"/>
        <w:jc w:val="center"/>
        <w:rPr>
          <w:color w:val="auto"/>
          <w:highlight w:val="none"/>
        </w:rPr>
      </w:pPr>
      <w:bookmarkStart w:id="311" w:name="_Toc21519"/>
      <w:r>
        <w:rPr>
          <w:rFonts w:hint="eastAsia"/>
          <w:color w:val="auto"/>
          <w:highlight w:val="none"/>
        </w:rPr>
        <w:t>四、项目技术方案</w:t>
      </w:r>
      <w:bookmarkEnd w:id="310"/>
      <w:bookmarkEnd w:id="311"/>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7"/>
        <w:jc w:val="center"/>
        <w:rPr>
          <w:color w:val="auto"/>
          <w:highlight w:val="none"/>
        </w:rPr>
      </w:pPr>
      <w:bookmarkStart w:id="312" w:name="_Toc16328"/>
      <w:bookmarkStart w:id="313" w:name="_Toc26880"/>
      <w:r>
        <w:rPr>
          <w:rFonts w:hint="eastAsia"/>
          <w:color w:val="auto"/>
          <w:highlight w:val="none"/>
        </w:rPr>
        <w:t>五、项目负责人及团队成员资料表</w:t>
      </w:r>
      <w:bookmarkEnd w:id="312"/>
      <w:bookmarkEnd w:id="313"/>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2"/>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7"/>
        <w:jc w:val="center"/>
        <w:rPr>
          <w:color w:val="auto"/>
          <w:highlight w:val="none"/>
        </w:rPr>
      </w:pPr>
      <w:bookmarkStart w:id="314" w:name="_Toc15431"/>
      <w:bookmarkStart w:id="315" w:name="_Toc26980"/>
      <w:r>
        <w:rPr>
          <w:rFonts w:hint="eastAsia"/>
          <w:color w:val="auto"/>
          <w:highlight w:val="none"/>
        </w:rPr>
        <w:t>六、投标货物明细一览表</w:t>
      </w:r>
      <w:bookmarkEnd w:id="314"/>
      <w:bookmarkEnd w:id="315"/>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1"/>
              <w:spacing w:line="300" w:lineRule="auto"/>
              <w:jc w:val="center"/>
              <w:rPr>
                <w:rFonts w:hAnsi="宋体" w:cs="宋体"/>
                <w:b w:val="0"/>
                <w:bCs/>
                <w:color w:val="auto"/>
                <w:szCs w:val="21"/>
                <w:highlight w:val="none"/>
              </w:rPr>
            </w:pPr>
          </w:p>
        </w:tc>
        <w:tc>
          <w:tcPr>
            <w:tcW w:w="738" w:type="dxa"/>
            <w:tcBorders>
              <w:tl2br w:val="nil"/>
              <w:tr2bl w:val="nil"/>
            </w:tcBorders>
          </w:tcPr>
          <w:p>
            <w:pPr>
              <w:pStyle w:val="11"/>
              <w:spacing w:line="300" w:lineRule="auto"/>
              <w:jc w:val="center"/>
              <w:rPr>
                <w:rFonts w:hAnsi="宋体" w:cs="宋体"/>
                <w:b w:val="0"/>
                <w:bCs/>
                <w:color w:val="auto"/>
                <w:szCs w:val="21"/>
                <w:highlight w:val="none"/>
              </w:rPr>
            </w:pPr>
          </w:p>
        </w:tc>
        <w:tc>
          <w:tcPr>
            <w:tcW w:w="1616" w:type="dxa"/>
            <w:tcBorders>
              <w:tl2br w:val="nil"/>
              <w:tr2bl w:val="nil"/>
            </w:tcBorders>
          </w:tcPr>
          <w:p>
            <w:pPr>
              <w:pStyle w:val="11"/>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1"/>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宋体" w:hAnsi="宋体"/>
          <w:color w:val="auto"/>
          <w:szCs w:val="21"/>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7"/>
        <w:jc w:val="center"/>
        <w:rPr>
          <w:color w:val="auto"/>
          <w:highlight w:val="none"/>
        </w:rPr>
      </w:pPr>
      <w:bookmarkStart w:id="316" w:name="_Toc21541"/>
      <w:bookmarkStart w:id="317" w:name="_Toc16710"/>
      <w:r>
        <w:rPr>
          <w:rFonts w:hint="eastAsia"/>
          <w:color w:val="auto"/>
          <w:highlight w:val="none"/>
        </w:rPr>
        <w:t>七、投标保证金汇入情况说明</w:t>
      </w:r>
      <w:bookmarkEnd w:id="316"/>
      <w:bookmarkEnd w:id="317"/>
    </w:p>
    <w:p>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w:t>
      </w:r>
      <w:r>
        <w:rPr>
          <w:rFonts w:hint="eastAsia" w:ascii="宋体" w:hAnsi="宋体"/>
          <w:color w:val="auto"/>
          <w:szCs w:val="21"/>
          <w:highlight w:val="none"/>
          <w:u w:val="single"/>
        </w:rPr>
        <w:t xml:space="preserve">    </w:t>
      </w:r>
      <w:r>
        <w:rPr>
          <w:rFonts w:hint="eastAsia" w:ascii="宋体" w:hAnsi="宋体"/>
          <w:color w:val="auto"/>
          <w:szCs w:val="21"/>
          <w:highlight w:val="none"/>
        </w:rPr>
        <w:t>（采购项目编号：</w:t>
      </w:r>
      <w:r>
        <w:rPr>
          <w:rFonts w:hint="eastAsia" w:ascii="宋体" w:hAnsi="宋体"/>
          <w:color w:val="auto"/>
          <w:szCs w:val="21"/>
          <w:highlight w:val="none"/>
          <w:u w:val="single"/>
        </w:rPr>
        <w:t xml:space="preserve">       </w:t>
      </w:r>
      <w:r>
        <w:rPr>
          <w:rFonts w:hint="eastAsia" w:ascii="宋体" w:hAnsi="宋体"/>
          <w:color w:val="auto"/>
          <w:szCs w:val="21"/>
          <w:highlight w:val="none"/>
        </w:rPr>
        <w:t>）的招标文件要求，于</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  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w:t>
      </w:r>
      <w:r>
        <w:rPr>
          <w:rFonts w:hint="eastAsia" w:ascii="宋体" w:hAnsi="宋体"/>
          <w:color w:val="auto"/>
          <w:szCs w:val="21"/>
          <w:highlight w:val="none"/>
          <w:u w:val="single"/>
        </w:rPr>
        <w:t xml:space="preserve">      </w:t>
      </w:r>
      <w:r>
        <w:rPr>
          <w:rFonts w:hint="eastAsia" w:ascii="宋体" w:hAnsi="宋体"/>
          <w:color w:val="auto"/>
          <w:szCs w:val="21"/>
          <w:highlight w:val="none"/>
        </w:rPr>
        <w:t>，帐号：</w:t>
      </w:r>
      <w:r>
        <w:rPr>
          <w:rFonts w:hint="eastAsia" w:ascii="宋体" w:hAnsi="宋体"/>
          <w:color w:val="auto"/>
          <w:szCs w:val="21"/>
          <w:highlight w:val="none"/>
          <w:u w:val="single"/>
        </w:rPr>
        <w:t xml:space="preserve">      </w:t>
      </w:r>
      <w:r>
        <w:rPr>
          <w:rFonts w:hint="eastAsia" w:ascii="宋体" w:hAnsi="宋体"/>
          <w:color w:val="auto"/>
          <w:szCs w:val="21"/>
          <w:highlight w:val="none"/>
        </w:rPr>
        <w:t>,开户银行：</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ind w:firstLine="420" w:firstLineChars="200"/>
        <w:rPr>
          <w:rFonts w:ascii="宋体" w:hAnsi="宋体"/>
          <w:color w:val="auto"/>
          <w:szCs w:val="21"/>
          <w:highlight w:val="none"/>
        </w:rPr>
      </w:pPr>
      <w:r>
        <w:rPr>
          <w:rFonts w:hint="eastAsia" w:ascii="宋体" w:hAnsi="宋体"/>
          <w:color w:val="auto"/>
          <w:szCs w:val="21"/>
          <w:highlight w:val="none"/>
        </w:rPr>
        <w:t>汇出时间：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汇款金额：</w:t>
      </w:r>
      <w:r>
        <w:rPr>
          <w:rFonts w:hint="eastAsia" w:ascii="宋体" w:hAnsi="宋体"/>
          <w:color w:val="auto"/>
          <w:szCs w:val="21"/>
          <w:highlight w:val="none"/>
          <w:u w:val="single"/>
        </w:rPr>
        <w:t xml:space="preserve">           </w:t>
      </w:r>
      <w:r>
        <w:rPr>
          <w:rFonts w:hint="eastAsia" w:ascii="宋体" w:hAnsi="宋体"/>
          <w:color w:val="auto"/>
          <w:szCs w:val="21"/>
          <w:highlight w:val="none"/>
        </w:rPr>
        <w:t>（大写）人民币（小写：￥</w:t>
      </w:r>
      <w:r>
        <w:rPr>
          <w:rFonts w:hint="eastAsia" w:ascii="宋体" w:hAnsi="宋体"/>
          <w:color w:val="auto"/>
          <w:szCs w:val="21"/>
          <w:highlight w:val="none"/>
          <w:u w:val="single"/>
        </w:rPr>
        <w:t xml:space="preserve">    </w:t>
      </w:r>
      <w:r>
        <w:rPr>
          <w:rFonts w:hint="eastAsia" w:ascii="宋体" w:hAnsi="宋体"/>
          <w:color w:val="auto"/>
          <w:szCs w:val="21"/>
          <w:highlight w:val="none"/>
        </w:rPr>
        <w:t>元），</w:t>
      </w:r>
    </w:p>
    <w:p>
      <w:pP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center"/>
        <w:rPr>
          <w:rFonts w:ascii="宋体" w:hAnsi="宋体"/>
          <w:color w:val="auto"/>
          <w:szCs w:val="21"/>
          <w:highlight w:val="none"/>
        </w:rPr>
      </w:pPr>
      <w:r>
        <w:rPr>
          <w:rFonts w:hint="eastAsia" w:ascii="宋体" w:hAnsi="宋体"/>
          <w:color w:val="auto"/>
          <w:szCs w:val="21"/>
          <w:highlight w:val="none"/>
        </w:rPr>
        <w:t xml:space="preserve">                                                        年 月 日</w:t>
      </w:r>
    </w:p>
    <w:p>
      <w:pPr>
        <w:rPr>
          <w:rFonts w:ascii="宋体" w:hAnsi="宋体"/>
          <w:color w:val="auto"/>
          <w:szCs w:val="21"/>
          <w:highlight w:val="none"/>
        </w:rPr>
      </w:pPr>
      <w:r>
        <w:rPr>
          <w:rFonts w:hint="eastAsia" w:ascii="宋体" w:hAnsi="宋体"/>
          <w:color w:val="auto"/>
          <w:szCs w:val="21"/>
          <w:highlight w:val="none"/>
        </w:rPr>
        <w:t>单位名称：</w:t>
      </w:r>
    </w:p>
    <w:p>
      <w:pPr>
        <w:rPr>
          <w:rFonts w:ascii="宋体" w:hAnsi="宋体"/>
          <w:color w:val="auto"/>
          <w:szCs w:val="21"/>
          <w:highlight w:val="none"/>
        </w:rPr>
      </w:pPr>
      <w:r>
        <w:rPr>
          <w:rFonts w:hint="eastAsia" w:ascii="宋体" w:hAnsi="宋体"/>
          <w:color w:val="auto"/>
          <w:szCs w:val="21"/>
          <w:highlight w:val="none"/>
        </w:rPr>
        <w:t>单位地址：</w:t>
      </w:r>
    </w:p>
    <w:p>
      <w:pPr>
        <w:rPr>
          <w:rFonts w:ascii="宋体" w:hAnsi="宋体"/>
          <w:color w:val="auto"/>
          <w:szCs w:val="21"/>
          <w:highlight w:val="none"/>
        </w:rPr>
      </w:pPr>
      <w:r>
        <w:rPr>
          <w:rFonts w:hint="eastAsia" w:ascii="宋体" w:hAnsi="宋体"/>
          <w:color w:val="auto"/>
          <w:szCs w:val="21"/>
          <w:highlight w:val="none"/>
        </w:rPr>
        <w:t>联系人：</w:t>
      </w:r>
    </w:p>
    <w:p>
      <w:pPr>
        <w:rPr>
          <w:rFonts w:ascii="宋体" w:hAnsi="宋体"/>
          <w:color w:val="auto"/>
          <w:szCs w:val="21"/>
          <w:highlight w:val="none"/>
        </w:rPr>
      </w:pPr>
      <w:r>
        <w:rPr>
          <w:rFonts w:hint="eastAsia" w:ascii="宋体" w:hAnsi="宋体"/>
          <w:color w:val="auto"/>
          <w:szCs w:val="21"/>
          <w:highlight w:val="none"/>
        </w:rPr>
        <w:t xml:space="preserve">单位电话： </w:t>
      </w:r>
    </w:p>
    <w:p>
      <w:pPr>
        <w:rPr>
          <w:rFonts w:ascii="宋体" w:hAnsi="宋体"/>
          <w:color w:val="auto"/>
          <w:szCs w:val="21"/>
          <w:highlight w:val="none"/>
        </w:rPr>
      </w:pPr>
      <w:r>
        <w:rPr>
          <w:rFonts w:hint="eastAsia" w:ascii="宋体" w:hAnsi="宋体"/>
          <w:color w:val="auto"/>
          <w:szCs w:val="21"/>
          <w:highlight w:val="none"/>
        </w:rPr>
        <w:t>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（2）若投标人以投标担保函形式提交投标保证金，则无需在投标文件中提供此格式。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color w:val="auto"/>
          <w:szCs w:val="21"/>
          <w:highlight w:val="none"/>
        </w:rPr>
        <w:br w:type="page"/>
      </w:r>
    </w:p>
    <w:p>
      <w:pPr>
        <w:pStyle w:val="7"/>
        <w:jc w:val="center"/>
        <w:rPr>
          <w:color w:val="auto"/>
          <w:highlight w:val="none"/>
        </w:rPr>
      </w:pPr>
      <w:bookmarkStart w:id="318" w:name="_Toc26855"/>
      <w:bookmarkStart w:id="319" w:name="_Toc24545"/>
      <w:r>
        <w:rPr>
          <w:rFonts w:hint="eastAsia"/>
          <w:color w:val="auto"/>
          <w:highlight w:val="none"/>
        </w:rPr>
        <w:t>八、采购投标担保函</w:t>
      </w:r>
      <w:bookmarkEnd w:id="318"/>
      <w:bookmarkEnd w:id="319"/>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1．中标后投标人无正当理由不与采购人或者采购代理机构签订《采购合同》；</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jc w:val="right"/>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p>
    <w:p>
      <w:pPr>
        <w:rPr>
          <w:rFonts w:ascii="宋体" w:hAnsi="宋体"/>
          <w:b/>
          <w:bCs/>
          <w:color w:val="auto"/>
          <w:szCs w:val="21"/>
          <w:highlight w:val="none"/>
        </w:rPr>
      </w:pPr>
      <w:r>
        <w:rPr>
          <w:rFonts w:hint="eastAsia" w:ascii="宋体" w:hAnsi="宋体"/>
          <w:b/>
          <w:bCs/>
          <w:color w:val="auto"/>
          <w:szCs w:val="21"/>
          <w:highlight w:val="none"/>
        </w:rPr>
        <w:t>注：</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（1）若投标人不以投标担保函形式提交投标保证金，则无需在投标文件中提供此格式。</w:t>
      </w:r>
    </w:p>
    <w:p>
      <w:pPr>
        <w:ind w:firstLine="422" w:firstLineChars="200"/>
        <w:rPr>
          <w:color w:val="auto"/>
          <w:highlight w:val="none"/>
        </w:rPr>
      </w:pPr>
      <w:r>
        <w:rPr>
          <w:rFonts w:hint="eastAsia" w:ascii="宋体" w:hAnsi="宋体"/>
          <w:b/>
          <w:bCs/>
          <w:color w:val="auto"/>
          <w:szCs w:val="21"/>
          <w:highlight w:val="none"/>
        </w:rPr>
        <w:t>（2）若投标人以投标担保函形式提交投标保证金，则应将投标担保函原件交予采购代理机构。</w:t>
      </w:r>
    </w:p>
    <w:p>
      <w:pPr>
        <w:rPr>
          <w:rFonts w:ascii="黑体" w:eastAsia="黑体"/>
          <w:color w:val="auto"/>
          <w:sz w:val="30"/>
          <w:szCs w:val="30"/>
          <w:highlight w:val="none"/>
        </w:rPr>
      </w:pPr>
      <w:r>
        <w:rPr>
          <w:rFonts w:hint="eastAsia" w:ascii="宋体" w:hAnsi="宋体"/>
          <w:color w:val="auto"/>
          <w:szCs w:val="21"/>
          <w:highlight w:val="none"/>
        </w:rPr>
        <w:br w:type="page"/>
      </w:r>
    </w:p>
    <w:p>
      <w:pPr>
        <w:pStyle w:val="7"/>
        <w:jc w:val="center"/>
        <w:rPr>
          <w:color w:val="auto"/>
          <w:highlight w:val="none"/>
        </w:rPr>
      </w:pPr>
      <w:bookmarkStart w:id="320" w:name="_Toc6961"/>
      <w:r>
        <w:rPr>
          <w:rFonts w:hint="eastAsia"/>
          <w:color w:val="auto"/>
          <w:highlight w:val="none"/>
        </w:rPr>
        <w:t>九、采购履约担保函</w:t>
      </w:r>
      <w:bookmarkEnd w:id="320"/>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2"/>
        <w:rPr>
          <w:color w:val="auto"/>
          <w:highlight w:val="none"/>
        </w:rPr>
      </w:pPr>
    </w:p>
    <w:p>
      <w:pPr>
        <w:rPr>
          <w:color w:val="auto"/>
          <w:highlight w:val="none"/>
        </w:rPr>
      </w:pPr>
      <w:r>
        <w:rPr>
          <w:color w:val="auto"/>
          <w:highlight w:val="none"/>
        </w:rPr>
        <w:br w:type="page"/>
      </w:r>
    </w:p>
    <w:p>
      <w:pPr>
        <w:pStyle w:val="7"/>
        <w:jc w:val="center"/>
        <w:rPr>
          <w:color w:val="auto"/>
          <w:highlight w:val="none"/>
        </w:rPr>
      </w:pPr>
      <w:bookmarkStart w:id="321" w:name="_Toc26782"/>
      <w:bookmarkStart w:id="322" w:name="_Toc26772"/>
      <w:r>
        <w:rPr>
          <w:rFonts w:hint="eastAsia"/>
          <w:color w:val="auto"/>
          <w:highlight w:val="none"/>
        </w:rPr>
        <w:t>第四章唱标信封（单独封装）</w:t>
      </w:r>
      <w:bookmarkEnd w:id="321"/>
      <w:bookmarkEnd w:id="322"/>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ind w:firstLine="420" w:firstLineChars="200"/>
        <w:rPr>
          <w:color w:val="auto"/>
          <w:highlight w:val="none"/>
        </w:rPr>
      </w:pPr>
      <w:r>
        <w:rPr>
          <w:rFonts w:hint="eastAsia"/>
          <w:color w:val="auto"/>
          <w:highlight w:val="none"/>
        </w:rPr>
        <w:t>（3）投标保证金汇入情况说明及投标保证金汇款底单（复印件加盖公章），或《采购投标担保函》复印件。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23"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7"/>
        <w:jc w:val="center"/>
        <w:rPr>
          <w:color w:val="auto"/>
          <w:highlight w:val="none"/>
        </w:rPr>
      </w:pPr>
      <w:bookmarkStart w:id="324" w:name="_Toc2710"/>
      <w:bookmarkStart w:id="325" w:name="_Toc22736"/>
      <w:r>
        <w:rPr>
          <w:rFonts w:hint="eastAsia"/>
          <w:color w:val="auto"/>
          <w:highlight w:val="none"/>
        </w:rPr>
        <w:t>第五章联合体共同投标协议书（如有需要）</w:t>
      </w:r>
      <w:bookmarkEnd w:id="324"/>
      <w:bookmarkEnd w:id="325"/>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23"/>
    <w:p>
      <w:pPr>
        <w:pStyle w:val="2"/>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rPr>
          <w:color w:val="auto"/>
          <w:highlight w:val="none"/>
        </w:rPr>
      </w:pPr>
    </w:p>
    <w:p>
      <w:pPr>
        <w:pStyle w:val="2"/>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pStyle w:val="3"/>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3"/>
        <w:tblW w:w="4998" w:type="pct"/>
        <w:tblInd w:w="0" w:type="dxa"/>
        <w:tblLayout w:type="fixed"/>
        <w:tblCellMar>
          <w:top w:w="0" w:type="dxa"/>
          <w:left w:w="108" w:type="dxa"/>
          <w:bottom w:w="0" w:type="dxa"/>
          <w:right w:w="108" w:type="dxa"/>
        </w:tblCellMar>
      </w:tblPr>
      <w:tblGrid>
        <w:gridCol w:w="2768"/>
        <w:gridCol w:w="2354"/>
        <w:gridCol w:w="1016"/>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7"/>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7"/>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7"/>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人民币200元/份</w:t>
            </w:r>
          </w:p>
        </w:tc>
      </w:tr>
    </w:tbl>
    <w:p>
      <w:pPr>
        <w:pStyle w:val="3"/>
        <w:ind w:left="0" w:firstLine="0" w:firstLineChars="0"/>
        <w:rPr>
          <w:color w:val="auto"/>
          <w:highlight w:val="none"/>
        </w:rPr>
      </w:pPr>
    </w:p>
    <w:sectPr>
      <w:type w:val="continuous"/>
      <w:pgSz w:w="11906" w:h="16838"/>
      <w:pgMar w:top="1440" w:right="1800" w:bottom="1440" w:left="1800" w:header="708" w:footer="708" w:gutter="0"/>
      <w:cols w:space="708" w:num="1"/>
      <w:titlePg/>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14"/>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A40BA966"/>
    <w:multiLevelType w:val="singleLevel"/>
    <w:tmpl w:val="A40BA966"/>
    <w:lvl w:ilvl="0" w:tentative="0">
      <w:start w:val="1"/>
      <w:numFmt w:val="decimal"/>
      <w:suff w:val="nothing"/>
      <w:lvlText w:val="%1．"/>
      <w:lvlJc w:val="left"/>
      <w:pPr>
        <w:ind w:left="0" w:firstLine="400"/>
      </w:pPr>
      <w:rPr>
        <w:rFonts w:hint="default"/>
      </w:rPr>
    </w:lvl>
  </w:abstractNum>
  <w:abstractNum w:abstractNumId="2">
    <w:nsid w:val="BAA12ADA"/>
    <w:multiLevelType w:val="singleLevel"/>
    <w:tmpl w:val="BAA12ADA"/>
    <w:lvl w:ilvl="0" w:tentative="0">
      <w:start w:val="1"/>
      <w:numFmt w:val="decimal"/>
      <w:suff w:val="nothing"/>
      <w:lvlText w:val="（%1）"/>
      <w:lvlJc w:val="left"/>
    </w:lvl>
  </w:abstractNum>
  <w:abstractNum w:abstractNumId="3">
    <w:nsid w:val="CFF174A5"/>
    <w:multiLevelType w:val="singleLevel"/>
    <w:tmpl w:val="CFF174A5"/>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5C74D97"/>
    <w:multiLevelType w:val="multilevel"/>
    <w:tmpl w:val="05C74D9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1E126B9"/>
    <w:multiLevelType w:val="multilevel"/>
    <w:tmpl w:val="11E126B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1CCC63D8"/>
    <w:multiLevelType w:val="multilevel"/>
    <w:tmpl w:val="1CCC63D8"/>
    <w:lvl w:ilvl="0" w:tentative="0">
      <w:start w:val="1"/>
      <w:numFmt w:val="decimal"/>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06CABF7"/>
    <w:multiLevelType w:val="singleLevel"/>
    <w:tmpl w:val="206CABF7"/>
    <w:lvl w:ilvl="0" w:tentative="0">
      <w:start w:val="1"/>
      <w:numFmt w:val="decimal"/>
      <w:suff w:val="nothing"/>
      <w:lvlText w:val="（%1）"/>
      <w:lvlJc w:val="left"/>
    </w:lvl>
  </w:abstractNum>
  <w:abstractNum w:abstractNumId="11">
    <w:nsid w:val="21C127FC"/>
    <w:multiLevelType w:val="multilevel"/>
    <w:tmpl w:val="21C127FC"/>
    <w:lvl w:ilvl="0" w:tentative="0">
      <w:start w:val="1"/>
      <w:numFmt w:val="japaneseCounting"/>
      <w:lvlText w:val="（%1）"/>
      <w:lvlJc w:val="left"/>
      <w:pPr>
        <w:ind w:left="1640" w:hanging="108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316010E5"/>
    <w:multiLevelType w:val="singleLevel"/>
    <w:tmpl w:val="316010E5"/>
    <w:lvl w:ilvl="0" w:tentative="0">
      <w:start w:val="1"/>
      <w:numFmt w:val="decimal"/>
      <w:suff w:val="nothing"/>
      <w:lvlText w:val="%1．"/>
      <w:lvlJc w:val="left"/>
    </w:lvl>
  </w:abstractNum>
  <w:abstractNum w:abstractNumId="13">
    <w:nsid w:val="3B1B8417"/>
    <w:multiLevelType w:val="singleLevel"/>
    <w:tmpl w:val="3B1B8417"/>
    <w:lvl w:ilvl="0" w:tentative="0">
      <w:start w:val="1"/>
      <w:numFmt w:val="decimal"/>
      <w:suff w:val="nothing"/>
      <w:lvlText w:val="%1、"/>
      <w:lvlJc w:val="left"/>
    </w:lvl>
  </w:abstractNum>
  <w:abstractNum w:abstractNumId="14">
    <w:nsid w:val="3F88662E"/>
    <w:multiLevelType w:val="singleLevel"/>
    <w:tmpl w:val="3F88662E"/>
    <w:lvl w:ilvl="0" w:tentative="0">
      <w:start w:val="1"/>
      <w:numFmt w:val="decimal"/>
      <w:suff w:val="space"/>
      <w:lvlText w:val="%1)"/>
      <w:lvlJc w:val="left"/>
    </w:lvl>
  </w:abstractNum>
  <w:abstractNum w:abstractNumId="15">
    <w:nsid w:val="6E5CE7BD"/>
    <w:multiLevelType w:val="singleLevel"/>
    <w:tmpl w:val="6E5CE7BD"/>
    <w:lvl w:ilvl="0" w:tentative="0">
      <w:start w:val="1"/>
      <w:numFmt w:val="chineseCounting"/>
      <w:suff w:val="nothing"/>
      <w:lvlText w:val="%1、"/>
      <w:lvlJc w:val="left"/>
      <w:rPr>
        <w:rFonts w:hint="eastAsia"/>
      </w:rPr>
    </w:lvl>
  </w:abstractNum>
  <w:abstractNum w:abstractNumId="16">
    <w:nsid w:val="7CC55319"/>
    <w:multiLevelType w:val="multilevel"/>
    <w:tmpl w:val="7CC55319"/>
    <w:lvl w:ilvl="0" w:tentative="0">
      <w:start w:val="1"/>
      <w:numFmt w:val="decimal"/>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5"/>
  </w:num>
  <w:num w:numId="2">
    <w:abstractNumId w:val="13"/>
  </w:num>
  <w:num w:numId="3">
    <w:abstractNumId w:val="8"/>
  </w:num>
  <w:num w:numId="4">
    <w:abstractNumId w:val="14"/>
  </w:num>
  <w:num w:numId="5">
    <w:abstractNumId w:val="10"/>
  </w:num>
  <w:num w:numId="6">
    <w:abstractNumId w:val="4"/>
  </w:num>
  <w:num w:numId="7">
    <w:abstractNumId w:val="2"/>
  </w:num>
  <w:num w:numId="8">
    <w:abstractNumId w:val="1"/>
  </w:num>
  <w:num w:numId="9">
    <w:abstractNumId w:val="6"/>
  </w:num>
  <w:num w:numId="10">
    <w:abstractNumId w:val="7"/>
  </w:num>
  <w:num w:numId="11">
    <w:abstractNumId w:val="11"/>
  </w:num>
  <w:num w:numId="12">
    <w:abstractNumId w:val="16"/>
  </w:num>
  <w:num w:numId="13">
    <w:abstractNumId w:val="9"/>
  </w:num>
  <w:num w:numId="14">
    <w:abstractNumId w:val="3"/>
  </w:num>
  <w:num w:numId="15">
    <w:abstractNumId w:val="5"/>
  </w:num>
  <w:num w:numId="16">
    <w:abstractNumId w:val="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E1YzMxYjlkNjI3YTY0NWM4NzJjZGI3NDYxYWQzZjgifQ=="/>
  </w:docVars>
  <w:rsids>
    <w:rsidRoot w:val="00664F6B"/>
    <w:rsid w:val="00006462"/>
    <w:rsid w:val="0001757B"/>
    <w:rsid w:val="0002148C"/>
    <w:rsid w:val="000300E4"/>
    <w:rsid w:val="0003307E"/>
    <w:rsid w:val="000336BA"/>
    <w:rsid w:val="000359A1"/>
    <w:rsid w:val="0007500F"/>
    <w:rsid w:val="0008282E"/>
    <w:rsid w:val="000855B5"/>
    <w:rsid w:val="0009376C"/>
    <w:rsid w:val="000A363F"/>
    <w:rsid w:val="000A42A8"/>
    <w:rsid w:val="000A5063"/>
    <w:rsid w:val="000A5DBD"/>
    <w:rsid w:val="000C4524"/>
    <w:rsid w:val="000D44A6"/>
    <w:rsid w:val="000D5273"/>
    <w:rsid w:val="000F09D9"/>
    <w:rsid w:val="000F0E98"/>
    <w:rsid w:val="00102AF1"/>
    <w:rsid w:val="001049A5"/>
    <w:rsid w:val="00116627"/>
    <w:rsid w:val="001242F3"/>
    <w:rsid w:val="00134CAD"/>
    <w:rsid w:val="00136E8D"/>
    <w:rsid w:val="0013730B"/>
    <w:rsid w:val="00137853"/>
    <w:rsid w:val="00137E1C"/>
    <w:rsid w:val="00147012"/>
    <w:rsid w:val="00152B99"/>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E02BF"/>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2D0B"/>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84B95"/>
    <w:rsid w:val="00490B9E"/>
    <w:rsid w:val="00497577"/>
    <w:rsid w:val="004A05D7"/>
    <w:rsid w:val="004A07D0"/>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D6C6A"/>
    <w:rsid w:val="005F573A"/>
    <w:rsid w:val="005F7EB1"/>
    <w:rsid w:val="00604B81"/>
    <w:rsid w:val="00613417"/>
    <w:rsid w:val="0061545F"/>
    <w:rsid w:val="006175DE"/>
    <w:rsid w:val="006215AC"/>
    <w:rsid w:val="00621821"/>
    <w:rsid w:val="00622362"/>
    <w:rsid w:val="00622497"/>
    <w:rsid w:val="006276AD"/>
    <w:rsid w:val="00627BCA"/>
    <w:rsid w:val="006378D4"/>
    <w:rsid w:val="0064416A"/>
    <w:rsid w:val="0065365D"/>
    <w:rsid w:val="0065543F"/>
    <w:rsid w:val="006578CD"/>
    <w:rsid w:val="00664F6B"/>
    <w:rsid w:val="006731D2"/>
    <w:rsid w:val="00682986"/>
    <w:rsid w:val="006858F8"/>
    <w:rsid w:val="006913C9"/>
    <w:rsid w:val="00691701"/>
    <w:rsid w:val="00691AE0"/>
    <w:rsid w:val="0069491E"/>
    <w:rsid w:val="0069735A"/>
    <w:rsid w:val="006B7878"/>
    <w:rsid w:val="006C14BD"/>
    <w:rsid w:val="006C28E5"/>
    <w:rsid w:val="006D08E0"/>
    <w:rsid w:val="006D1BA8"/>
    <w:rsid w:val="006D1BE7"/>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C51C8"/>
    <w:rsid w:val="008D429E"/>
    <w:rsid w:val="008D5A10"/>
    <w:rsid w:val="008E319F"/>
    <w:rsid w:val="008E4452"/>
    <w:rsid w:val="008E60FB"/>
    <w:rsid w:val="008E619C"/>
    <w:rsid w:val="008F6E0E"/>
    <w:rsid w:val="008F79E1"/>
    <w:rsid w:val="00906F49"/>
    <w:rsid w:val="0091006C"/>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4FA0"/>
    <w:rsid w:val="009A7058"/>
    <w:rsid w:val="009C6AD9"/>
    <w:rsid w:val="009D55C3"/>
    <w:rsid w:val="009E398C"/>
    <w:rsid w:val="009E6F05"/>
    <w:rsid w:val="00A10906"/>
    <w:rsid w:val="00A13BCD"/>
    <w:rsid w:val="00A14EEF"/>
    <w:rsid w:val="00A25E78"/>
    <w:rsid w:val="00A61230"/>
    <w:rsid w:val="00A813C5"/>
    <w:rsid w:val="00A824E6"/>
    <w:rsid w:val="00A8406E"/>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5262D"/>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05C7"/>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286C"/>
    <w:rsid w:val="00D64D28"/>
    <w:rsid w:val="00D65511"/>
    <w:rsid w:val="00D6604D"/>
    <w:rsid w:val="00D677F1"/>
    <w:rsid w:val="00D74601"/>
    <w:rsid w:val="00D83E46"/>
    <w:rsid w:val="00D847B6"/>
    <w:rsid w:val="00DA6169"/>
    <w:rsid w:val="00DB5480"/>
    <w:rsid w:val="00DB6317"/>
    <w:rsid w:val="00DC5AD9"/>
    <w:rsid w:val="00DC691F"/>
    <w:rsid w:val="00DC7585"/>
    <w:rsid w:val="00DC76EE"/>
    <w:rsid w:val="00DD02DE"/>
    <w:rsid w:val="00DD07B7"/>
    <w:rsid w:val="00DD113C"/>
    <w:rsid w:val="00DE0BEB"/>
    <w:rsid w:val="00DE4856"/>
    <w:rsid w:val="00DF485B"/>
    <w:rsid w:val="00E21B77"/>
    <w:rsid w:val="00E36688"/>
    <w:rsid w:val="00E40CAD"/>
    <w:rsid w:val="00E44530"/>
    <w:rsid w:val="00E4799D"/>
    <w:rsid w:val="00E519DA"/>
    <w:rsid w:val="00E55C4E"/>
    <w:rsid w:val="00E574A6"/>
    <w:rsid w:val="00E61D2E"/>
    <w:rsid w:val="00E62B7F"/>
    <w:rsid w:val="00E726BC"/>
    <w:rsid w:val="00E72821"/>
    <w:rsid w:val="00E77F30"/>
    <w:rsid w:val="00E81DDC"/>
    <w:rsid w:val="00E81F67"/>
    <w:rsid w:val="00E83650"/>
    <w:rsid w:val="00E83A31"/>
    <w:rsid w:val="00E93E51"/>
    <w:rsid w:val="00E950CB"/>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85695"/>
    <w:rsid w:val="00F97062"/>
    <w:rsid w:val="00F9745D"/>
    <w:rsid w:val="00FC74F1"/>
    <w:rsid w:val="00FC7B53"/>
    <w:rsid w:val="00FD48CC"/>
    <w:rsid w:val="00FE62D1"/>
    <w:rsid w:val="00FF26BF"/>
    <w:rsid w:val="016D23D2"/>
    <w:rsid w:val="018023CE"/>
    <w:rsid w:val="01881AD6"/>
    <w:rsid w:val="01B40242"/>
    <w:rsid w:val="01B938AA"/>
    <w:rsid w:val="01E74B6E"/>
    <w:rsid w:val="02126CDB"/>
    <w:rsid w:val="021832B7"/>
    <w:rsid w:val="024E2E49"/>
    <w:rsid w:val="02A741FD"/>
    <w:rsid w:val="02C16E5D"/>
    <w:rsid w:val="02D964CF"/>
    <w:rsid w:val="0340787C"/>
    <w:rsid w:val="0349583F"/>
    <w:rsid w:val="03707410"/>
    <w:rsid w:val="037F03E3"/>
    <w:rsid w:val="03A0770F"/>
    <w:rsid w:val="03A27BF9"/>
    <w:rsid w:val="03A448B8"/>
    <w:rsid w:val="03A4578A"/>
    <w:rsid w:val="03AD071E"/>
    <w:rsid w:val="03D10969"/>
    <w:rsid w:val="0494604F"/>
    <w:rsid w:val="04C674B5"/>
    <w:rsid w:val="04DF1036"/>
    <w:rsid w:val="050F6021"/>
    <w:rsid w:val="05A97DEC"/>
    <w:rsid w:val="05C81981"/>
    <w:rsid w:val="065A32ED"/>
    <w:rsid w:val="06856731"/>
    <w:rsid w:val="06BC41F2"/>
    <w:rsid w:val="06DF3DBD"/>
    <w:rsid w:val="07197D08"/>
    <w:rsid w:val="071C2CFD"/>
    <w:rsid w:val="071D3B22"/>
    <w:rsid w:val="071E5C55"/>
    <w:rsid w:val="073A47CB"/>
    <w:rsid w:val="073F7319"/>
    <w:rsid w:val="07536A42"/>
    <w:rsid w:val="07595F41"/>
    <w:rsid w:val="07615EC0"/>
    <w:rsid w:val="077005AB"/>
    <w:rsid w:val="07893465"/>
    <w:rsid w:val="078F4581"/>
    <w:rsid w:val="07995C5E"/>
    <w:rsid w:val="07BE179A"/>
    <w:rsid w:val="07BF027F"/>
    <w:rsid w:val="08031A31"/>
    <w:rsid w:val="081A5CC7"/>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F26F7"/>
    <w:rsid w:val="0C264099"/>
    <w:rsid w:val="0C2B4952"/>
    <w:rsid w:val="0C7B2220"/>
    <w:rsid w:val="0D890E47"/>
    <w:rsid w:val="0DC64A00"/>
    <w:rsid w:val="0DFC60BA"/>
    <w:rsid w:val="0E3B5D4C"/>
    <w:rsid w:val="0E4249F1"/>
    <w:rsid w:val="0E7B4FF1"/>
    <w:rsid w:val="0F6C5A53"/>
    <w:rsid w:val="0F7C5FF6"/>
    <w:rsid w:val="0FC63FBD"/>
    <w:rsid w:val="106C564D"/>
    <w:rsid w:val="107B7B8F"/>
    <w:rsid w:val="107C67CE"/>
    <w:rsid w:val="1080523F"/>
    <w:rsid w:val="108F06C9"/>
    <w:rsid w:val="109D68CB"/>
    <w:rsid w:val="10A949B8"/>
    <w:rsid w:val="10C54639"/>
    <w:rsid w:val="11200D07"/>
    <w:rsid w:val="11890163"/>
    <w:rsid w:val="11DA73AF"/>
    <w:rsid w:val="122A109C"/>
    <w:rsid w:val="1285542E"/>
    <w:rsid w:val="12C60D80"/>
    <w:rsid w:val="131867D4"/>
    <w:rsid w:val="131F7A3A"/>
    <w:rsid w:val="132645D0"/>
    <w:rsid w:val="13455ABC"/>
    <w:rsid w:val="1370322B"/>
    <w:rsid w:val="13B27845"/>
    <w:rsid w:val="13BE469F"/>
    <w:rsid w:val="13F87121"/>
    <w:rsid w:val="141A03E1"/>
    <w:rsid w:val="1437005F"/>
    <w:rsid w:val="143B2E0B"/>
    <w:rsid w:val="14672B11"/>
    <w:rsid w:val="14892735"/>
    <w:rsid w:val="14CC769D"/>
    <w:rsid w:val="157D38E3"/>
    <w:rsid w:val="15D359D7"/>
    <w:rsid w:val="15D81E0F"/>
    <w:rsid w:val="161771F3"/>
    <w:rsid w:val="16222D6D"/>
    <w:rsid w:val="163C77BE"/>
    <w:rsid w:val="16632F86"/>
    <w:rsid w:val="1679588C"/>
    <w:rsid w:val="167E758F"/>
    <w:rsid w:val="16994962"/>
    <w:rsid w:val="16A71041"/>
    <w:rsid w:val="16AA24BF"/>
    <w:rsid w:val="16F2389F"/>
    <w:rsid w:val="16F72341"/>
    <w:rsid w:val="17680CAB"/>
    <w:rsid w:val="176E4128"/>
    <w:rsid w:val="1783371F"/>
    <w:rsid w:val="17E62B67"/>
    <w:rsid w:val="180C0192"/>
    <w:rsid w:val="180F4499"/>
    <w:rsid w:val="18221ECE"/>
    <w:rsid w:val="18DB40E1"/>
    <w:rsid w:val="190B7894"/>
    <w:rsid w:val="19A2789F"/>
    <w:rsid w:val="1A460CF5"/>
    <w:rsid w:val="1A7F297D"/>
    <w:rsid w:val="1AB16AC1"/>
    <w:rsid w:val="1B034A52"/>
    <w:rsid w:val="1B1F34AD"/>
    <w:rsid w:val="1B8D5DC6"/>
    <w:rsid w:val="1BFE1D3B"/>
    <w:rsid w:val="1C2775EC"/>
    <w:rsid w:val="1C750ECE"/>
    <w:rsid w:val="1CA22168"/>
    <w:rsid w:val="1D0836D7"/>
    <w:rsid w:val="1D196139"/>
    <w:rsid w:val="1D1E643F"/>
    <w:rsid w:val="1DB85900"/>
    <w:rsid w:val="1DC05348"/>
    <w:rsid w:val="1DF051AF"/>
    <w:rsid w:val="1E010AF7"/>
    <w:rsid w:val="1E0178EB"/>
    <w:rsid w:val="1E301173"/>
    <w:rsid w:val="1E38333E"/>
    <w:rsid w:val="1E5C7612"/>
    <w:rsid w:val="1EA40BB4"/>
    <w:rsid w:val="1F43381C"/>
    <w:rsid w:val="1F691E82"/>
    <w:rsid w:val="1FA4148D"/>
    <w:rsid w:val="20121621"/>
    <w:rsid w:val="201A421D"/>
    <w:rsid w:val="20341172"/>
    <w:rsid w:val="204E554F"/>
    <w:rsid w:val="20590035"/>
    <w:rsid w:val="20C35213"/>
    <w:rsid w:val="20FC799E"/>
    <w:rsid w:val="211110C2"/>
    <w:rsid w:val="22154DDD"/>
    <w:rsid w:val="22213E42"/>
    <w:rsid w:val="22336873"/>
    <w:rsid w:val="23175889"/>
    <w:rsid w:val="238C2182"/>
    <w:rsid w:val="239015D1"/>
    <w:rsid w:val="23BB4E7D"/>
    <w:rsid w:val="23C172D6"/>
    <w:rsid w:val="23F04F64"/>
    <w:rsid w:val="247051F5"/>
    <w:rsid w:val="24814CBE"/>
    <w:rsid w:val="24AC168B"/>
    <w:rsid w:val="258C3BEC"/>
    <w:rsid w:val="25E576CC"/>
    <w:rsid w:val="260E3862"/>
    <w:rsid w:val="262569FC"/>
    <w:rsid w:val="26344C98"/>
    <w:rsid w:val="26F56CE2"/>
    <w:rsid w:val="27295937"/>
    <w:rsid w:val="27435D49"/>
    <w:rsid w:val="27A34F71"/>
    <w:rsid w:val="27B36A67"/>
    <w:rsid w:val="27EB0D9B"/>
    <w:rsid w:val="286602C8"/>
    <w:rsid w:val="28665C95"/>
    <w:rsid w:val="288F0111"/>
    <w:rsid w:val="28A64522"/>
    <w:rsid w:val="28CC5B40"/>
    <w:rsid w:val="290B3EB9"/>
    <w:rsid w:val="291418C2"/>
    <w:rsid w:val="2950768C"/>
    <w:rsid w:val="29794227"/>
    <w:rsid w:val="297A5FC4"/>
    <w:rsid w:val="2A1113BC"/>
    <w:rsid w:val="2A8D4F8F"/>
    <w:rsid w:val="2A911082"/>
    <w:rsid w:val="2A917B34"/>
    <w:rsid w:val="2AD34750"/>
    <w:rsid w:val="2AE3766F"/>
    <w:rsid w:val="2B7E4054"/>
    <w:rsid w:val="2B900322"/>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0F11E2"/>
    <w:rsid w:val="308A038C"/>
    <w:rsid w:val="308C7755"/>
    <w:rsid w:val="30FF27D2"/>
    <w:rsid w:val="31170995"/>
    <w:rsid w:val="31264A30"/>
    <w:rsid w:val="31372D40"/>
    <w:rsid w:val="31884E67"/>
    <w:rsid w:val="31A0275E"/>
    <w:rsid w:val="31B7357A"/>
    <w:rsid w:val="31ED6B08"/>
    <w:rsid w:val="31F915C9"/>
    <w:rsid w:val="321449A9"/>
    <w:rsid w:val="32610CE6"/>
    <w:rsid w:val="32631A32"/>
    <w:rsid w:val="326C21BA"/>
    <w:rsid w:val="328464CE"/>
    <w:rsid w:val="32AB70C5"/>
    <w:rsid w:val="32DC33E0"/>
    <w:rsid w:val="335D0AF5"/>
    <w:rsid w:val="3370088C"/>
    <w:rsid w:val="33A3154A"/>
    <w:rsid w:val="33B73A4E"/>
    <w:rsid w:val="33DC2F78"/>
    <w:rsid w:val="3428227C"/>
    <w:rsid w:val="35260F83"/>
    <w:rsid w:val="35602226"/>
    <w:rsid w:val="356B72E7"/>
    <w:rsid w:val="3572424F"/>
    <w:rsid w:val="35FC3844"/>
    <w:rsid w:val="36532047"/>
    <w:rsid w:val="366061FD"/>
    <w:rsid w:val="36794DEF"/>
    <w:rsid w:val="36AD519D"/>
    <w:rsid w:val="36B57705"/>
    <w:rsid w:val="371A0A04"/>
    <w:rsid w:val="374F1A0B"/>
    <w:rsid w:val="3767321B"/>
    <w:rsid w:val="37A103ED"/>
    <w:rsid w:val="37EA5E6E"/>
    <w:rsid w:val="37F77C8B"/>
    <w:rsid w:val="37FF016F"/>
    <w:rsid w:val="38427C0B"/>
    <w:rsid w:val="38620344"/>
    <w:rsid w:val="387C5ABE"/>
    <w:rsid w:val="389B3A1E"/>
    <w:rsid w:val="38EB6119"/>
    <w:rsid w:val="396B2FE9"/>
    <w:rsid w:val="39DE33DA"/>
    <w:rsid w:val="39FA5B4A"/>
    <w:rsid w:val="39FE0BE9"/>
    <w:rsid w:val="3A3C1AAF"/>
    <w:rsid w:val="3A424C25"/>
    <w:rsid w:val="3A4B7CC1"/>
    <w:rsid w:val="3A51228C"/>
    <w:rsid w:val="3A552E60"/>
    <w:rsid w:val="3A5D642F"/>
    <w:rsid w:val="3AB210FC"/>
    <w:rsid w:val="3ACE216B"/>
    <w:rsid w:val="3ACF69A3"/>
    <w:rsid w:val="3AD95C13"/>
    <w:rsid w:val="3B261E51"/>
    <w:rsid w:val="3B973F88"/>
    <w:rsid w:val="3BCD72F7"/>
    <w:rsid w:val="3BF267D2"/>
    <w:rsid w:val="3BFB073F"/>
    <w:rsid w:val="3C414142"/>
    <w:rsid w:val="3CE114D9"/>
    <w:rsid w:val="3CF737A2"/>
    <w:rsid w:val="3CF7509A"/>
    <w:rsid w:val="3D10295A"/>
    <w:rsid w:val="3E0572FD"/>
    <w:rsid w:val="3E1A5292"/>
    <w:rsid w:val="3E5A7FE7"/>
    <w:rsid w:val="3EC8179E"/>
    <w:rsid w:val="3EF66B2E"/>
    <w:rsid w:val="3F217914"/>
    <w:rsid w:val="3F942B76"/>
    <w:rsid w:val="3FD70BB0"/>
    <w:rsid w:val="3FE13F11"/>
    <w:rsid w:val="3FFB55AC"/>
    <w:rsid w:val="401C5F9D"/>
    <w:rsid w:val="401C690C"/>
    <w:rsid w:val="401D7195"/>
    <w:rsid w:val="405F1BE4"/>
    <w:rsid w:val="40A51286"/>
    <w:rsid w:val="40CE3DC0"/>
    <w:rsid w:val="40D7455A"/>
    <w:rsid w:val="40E743E5"/>
    <w:rsid w:val="4110038E"/>
    <w:rsid w:val="41734CBA"/>
    <w:rsid w:val="41B51F6B"/>
    <w:rsid w:val="41C01B53"/>
    <w:rsid w:val="41DD7057"/>
    <w:rsid w:val="420F7A65"/>
    <w:rsid w:val="4216611A"/>
    <w:rsid w:val="423E300F"/>
    <w:rsid w:val="425656C8"/>
    <w:rsid w:val="4257273C"/>
    <w:rsid w:val="425D7213"/>
    <w:rsid w:val="42677B61"/>
    <w:rsid w:val="42756DB0"/>
    <w:rsid w:val="42B21AD2"/>
    <w:rsid w:val="42FD694D"/>
    <w:rsid w:val="434A6D8F"/>
    <w:rsid w:val="43BD77F1"/>
    <w:rsid w:val="43FA5777"/>
    <w:rsid w:val="44044D92"/>
    <w:rsid w:val="441C1611"/>
    <w:rsid w:val="443C440B"/>
    <w:rsid w:val="443F7DBF"/>
    <w:rsid w:val="44514F52"/>
    <w:rsid w:val="448965CB"/>
    <w:rsid w:val="44B35566"/>
    <w:rsid w:val="44C5497E"/>
    <w:rsid w:val="44FA2D53"/>
    <w:rsid w:val="4571374F"/>
    <w:rsid w:val="45736B2A"/>
    <w:rsid w:val="458B1BB0"/>
    <w:rsid w:val="4611075B"/>
    <w:rsid w:val="46214818"/>
    <w:rsid w:val="467A0297"/>
    <w:rsid w:val="468B7125"/>
    <w:rsid w:val="46C4691F"/>
    <w:rsid w:val="470D5A07"/>
    <w:rsid w:val="472A6F97"/>
    <w:rsid w:val="47841568"/>
    <w:rsid w:val="479D1D34"/>
    <w:rsid w:val="47B609C0"/>
    <w:rsid w:val="47CF543E"/>
    <w:rsid w:val="482D31EA"/>
    <w:rsid w:val="485970A0"/>
    <w:rsid w:val="48847961"/>
    <w:rsid w:val="48A41906"/>
    <w:rsid w:val="48B65C71"/>
    <w:rsid w:val="48C525AA"/>
    <w:rsid w:val="48F303D7"/>
    <w:rsid w:val="492837FF"/>
    <w:rsid w:val="492E6A57"/>
    <w:rsid w:val="49385671"/>
    <w:rsid w:val="49B86103"/>
    <w:rsid w:val="4A0030EE"/>
    <w:rsid w:val="4AC36065"/>
    <w:rsid w:val="4AEC7135"/>
    <w:rsid w:val="4B1926BD"/>
    <w:rsid w:val="4B560086"/>
    <w:rsid w:val="4B7501F5"/>
    <w:rsid w:val="4B8C2DEB"/>
    <w:rsid w:val="4BFA3C9F"/>
    <w:rsid w:val="4C0E3379"/>
    <w:rsid w:val="4C107F48"/>
    <w:rsid w:val="4C235ADD"/>
    <w:rsid w:val="4C3277BC"/>
    <w:rsid w:val="4C686851"/>
    <w:rsid w:val="4CB25875"/>
    <w:rsid w:val="4CC353EB"/>
    <w:rsid w:val="4CC86E99"/>
    <w:rsid w:val="4CF36F3C"/>
    <w:rsid w:val="4D3E2FAE"/>
    <w:rsid w:val="4D4F67BA"/>
    <w:rsid w:val="4D603399"/>
    <w:rsid w:val="4D867EE1"/>
    <w:rsid w:val="4DBC4C65"/>
    <w:rsid w:val="4DF6568D"/>
    <w:rsid w:val="4E2E1A80"/>
    <w:rsid w:val="4E550010"/>
    <w:rsid w:val="4E5F14CB"/>
    <w:rsid w:val="4F3705F8"/>
    <w:rsid w:val="4F651D09"/>
    <w:rsid w:val="4FAC3540"/>
    <w:rsid w:val="4FBB12F4"/>
    <w:rsid w:val="4FCF1583"/>
    <w:rsid w:val="4FFA7625"/>
    <w:rsid w:val="501B0BF9"/>
    <w:rsid w:val="507D2599"/>
    <w:rsid w:val="5096229D"/>
    <w:rsid w:val="50B44FCE"/>
    <w:rsid w:val="50DC4184"/>
    <w:rsid w:val="51475B39"/>
    <w:rsid w:val="514C3EA7"/>
    <w:rsid w:val="519849E5"/>
    <w:rsid w:val="51B36892"/>
    <w:rsid w:val="52506DA7"/>
    <w:rsid w:val="53153936"/>
    <w:rsid w:val="533B2B84"/>
    <w:rsid w:val="537A7243"/>
    <w:rsid w:val="539C1B81"/>
    <w:rsid w:val="53AA6184"/>
    <w:rsid w:val="53AE750F"/>
    <w:rsid w:val="53EB0895"/>
    <w:rsid w:val="53F263AD"/>
    <w:rsid w:val="54693932"/>
    <w:rsid w:val="549A6BFA"/>
    <w:rsid w:val="54E72921"/>
    <w:rsid w:val="55806F07"/>
    <w:rsid w:val="55FA2961"/>
    <w:rsid w:val="562D673C"/>
    <w:rsid w:val="565A0E46"/>
    <w:rsid w:val="565E3E0E"/>
    <w:rsid w:val="565E7F4F"/>
    <w:rsid w:val="56775789"/>
    <w:rsid w:val="56857D06"/>
    <w:rsid w:val="56914056"/>
    <w:rsid w:val="569F0E63"/>
    <w:rsid w:val="56DB613D"/>
    <w:rsid w:val="56F5149D"/>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AF72FCB"/>
    <w:rsid w:val="5B2243E9"/>
    <w:rsid w:val="5B4E1A44"/>
    <w:rsid w:val="5B666742"/>
    <w:rsid w:val="5B6919B0"/>
    <w:rsid w:val="5B873201"/>
    <w:rsid w:val="5B89551D"/>
    <w:rsid w:val="5B967767"/>
    <w:rsid w:val="5B9E55DE"/>
    <w:rsid w:val="5BB22BEC"/>
    <w:rsid w:val="5C1D18D2"/>
    <w:rsid w:val="5C286807"/>
    <w:rsid w:val="5C446BC8"/>
    <w:rsid w:val="5C4C687B"/>
    <w:rsid w:val="5C7C2768"/>
    <w:rsid w:val="5CB23AE6"/>
    <w:rsid w:val="5CF55792"/>
    <w:rsid w:val="5CFD533A"/>
    <w:rsid w:val="5D1426D7"/>
    <w:rsid w:val="5D893B14"/>
    <w:rsid w:val="5D9F3D30"/>
    <w:rsid w:val="5E2810D5"/>
    <w:rsid w:val="5E2B7D62"/>
    <w:rsid w:val="5E4C1408"/>
    <w:rsid w:val="5E71411E"/>
    <w:rsid w:val="5EA06921"/>
    <w:rsid w:val="5ED5006A"/>
    <w:rsid w:val="5F576E4B"/>
    <w:rsid w:val="5F5D4EDE"/>
    <w:rsid w:val="5F7A2C30"/>
    <w:rsid w:val="5FBE370A"/>
    <w:rsid w:val="5FD25204"/>
    <w:rsid w:val="60292845"/>
    <w:rsid w:val="608B4E35"/>
    <w:rsid w:val="61027308"/>
    <w:rsid w:val="612E1A5D"/>
    <w:rsid w:val="61816046"/>
    <w:rsid w:val="62107A8C"/>
    <w:rsid w:val="62182687"/>
    <w:rsid w:val="62391564"/>
    <w:rsid w:val="62816669"/>
    <w:rsid w:val="62BA0953"/>
    <w:rsid w:val="62D03A7C"/>
    <w:rsid w:val="62F16BCB"/>
    <w:rsid w:val="62F648FE"/>
    <w:rsid w:val="63341DB1"/>
    <w:rsid w:val="63447612"/>
    <w:rsid w:val="636A10D8"/>
    <w:rsid w:val="63907004"/>
    <w:rsid w:val="63A10995"/>
    <w:rsid w:val="63C23EFA"/>
    <w:rsid w:val="643A070A"/>
    <w:rsid w:val="644C573D"/>
    <w:rsid w:val="648667A7"/>
    <w:rsid w:val="649C52DD"/>
    <w:rsid w:val="64DB383A"/>
    <w:rsid w:val="65032F85"/>
    <w:rsid w:val="65136B50"/>
    <w:rsid w:val="657E2A35"/>
    <w:rsid w:val="65A94E9D"/>
    <w:rsid w:val="65C60A92"/>
    <w:rsid w:val="662203DD"/>
    <w:rsid w:val="66526A59"/>
    <w:rsid w:val="666B723B"/>
    <w:rsid w:val="6678045A"/>
    <w:rsid w:val="669A4C72"/>
    <w:rsid w:val="66DD6702"/>
    <w:rsid w:val="679406CB"/>
    <w:rsid w:val="67AB52F1"/>
    <w:rsid w:val="67C35C0B"/>
    <w:rsid w:val="67E6573B"/>
    <w:rsid w:val="681233D2"/>
    <w:rsid w:val="681D5EE5"/>
    <w:rsid w:val="68207679"/>
    <w:rsid w:val="683D5031"/>
    <w:rsid w:val="68652AB3"/>
    <w:rsid w:val="6895578E"/>
    <w:rsid w:val="689F1926"/>
    <w:rsid w:val="68AD17BB"/>
    <w:rsid w:val="68C25B6F"/>
    <w:rsid w:val="68D94D22"/>
    <w:rsid w:val="692B2E4A"/>
    <w:rsid w:val="694303FB"/>
    <w:rsid w:val="696A0B34"/>
    <w:rsid w:val="698D6A17"/>
    <w:rsid w:val="69A233E7"/>
    <w:rsid w:val="69EE3535"/>
    <w:rsid w:val="69F954C1"/>
    <w:rsid w:val="6A2031B6"/>
    <w:rsid w:val="6A440C53"/>
    <w:rsid w:val="6AC61F6F"/>
    <w:rsid w:val="6ADE74F0"/>
    <w:rsid w:val="6B1002C0"/>
    <w:rsid w:val="6B1F5CFA"/>
    <w:rsid w:val="6B433439"/>
    <w:rsid w:val="6B723594"/>
    <w:rsid w:val="6B805156"/>
    <w:rsid w:val="6BD50977"/>
    <w:rsid w:val="6BEA2A9B"/>
    <w:rsid w:val="6C016C58"/>
    <w:rsid w:val="6C9C0875"/>
    <w:rsid w:val="6C9D1F03"/>
    <w:rsid w:val="6CAA3931"/>
    <w:rsid w:val="6CDD0BF2"/>
    <w:rsid w:val="6D3933CA"/>
    <w:rsid w:val="6D7B61EC"/>
    <w:rsid w:val="6DC3266E"/>
    <w:rsid w:val="6DD049FF"/>
    <w:rsid w:val="6E09491E"/>
    <w:rsid w:val="6E0D3655"/>
    <w:rsid w:val="6E5D7B7F"/>
    <w:rsid w:val="6E5F4465"/>
    <w:rsid w:val="6E8C54DA"/>
    <w:rsid w:val="6E8E6D06"/>
    <w:rsid w:val="6EF11E03"/>
    <w:rsid w:val="6F111C62"/>
    <w:rsid w:val="6F2176E5"/>
    <w:rsid w:val="6F3053CA"/>
    <w:rsid w:val="6F592303"/>
    <w:rsid w:val="6F5F5B74"/>
    <w:rsid w:val="6F9B1C65"/>
    <w:rsid w:val="6FD47A25"/>
    <w:rsid w:val="6FF06202"/>
    <w:rsid w:val="6FF44026"/>
    <w:rsid w:val="6FF66A38"/>
    <w:rsid w:val="6FFB146E"/>
    <w:rsid w:val="701A5C74"/>
    <w:rsid w:val="706516C3"/>
    <w:rsid w:val="70864A71"/>
    <w:rsid w:val="70896E68"/>
    <w:rsid w:val="7107057F"/>
    <w:rsid w:val="714556B4"/>
    <w:rsid w:val="715B60E9"/>
    <w:rsid w:val="71E96309"/>
    <w:rsid w:val="71EA1FED"/>
    <w:rsid w:val="72284A0C"/>
    <w:rsid w:val="72C16204"/>
    <w:rsid w:val="730313F6"/>
    <w:rsid w:val="731E1007"/>
    <w:rsid w:val="73370D24"/>
    <w:rsid w:val="7359268C"/>
    <w:rsid w:val="739503EB"/>
    <w:rsid w:val="73A05B28"/>
    <w:rsid w:val="73C07D69"/>
    <w:rsid w:val="749E2255"/>
    <w:rsid w:val="74B42AE4"/>
    <w:rsid w:val="750A429D"/>
    <w:rsid w:val="75167F59"/>
    <w:rsid w:val="75461F61"/>
    <w:rsid w:val="754D77D2"/>
    <w:rsid w:val="755D38A7"/>
    <w:rsid w:val="755F5A0F"/>
    <w:rsid w:val="75614792"/>
    <w:rsid w:val="756E5849"/>
    <w:rsid w:val="75784473"/>
    <w:rsid w:val="757E044C"/>
    <w:rsid w:val="75977BC3"/>
    <w:rsid w:val="759C54AC"/>
    <w:rsid w:val="75B161B3"/>
    <w:rsid w:val="75E470E3"/>
    <w:rsid w:val="76424830"/>
    <w:rsid w:val="76736B32"/>
    <w:rsid w:val="769E3900"/>
    <w:rsid w:val="76E3765E"/>
    <w:rsid w:val="76FC2AFA"/>
    <w:rsid w:val="773F0836"/>
    <w:rsid w:val="77653671"/>
    <w:rsid w:val="778546CC"/>
    <w:rsid w:val="77AC0FA8"/>
    <w:rsid w:val="77B56730"/>
    <w:rsid w:val="77C04A8B"/>
    <w:rsid w:val="77D85DB3"/>
    <w:rsid w:val="780252A0"/>
    <w:rsid w:val="78027772"/>
    <w:rsid w:val="78A50513"/>
    <w:rsid w:val="793B7339"/>
    <w:rsid w:val="796518DD"/>
    <w:rsid w:val="796E0C55"/>
    <w:rsid w:val="79AA0532"/>
    <w:rsid w:val="79F70999"/>
    <w:rsid w:val="79FE1DDD"/>
    <w:rsid w:val="7A075767"/>
    <w:rsid w:val="7A212062"/>
    <w:rsid w:val="7A282A11"/>
    <w:rsid w:val="7AB90FF6"/>
    <w:rsid w:val="7AC21562"/>
    <w:rsid w:val="7AD474A4"/>
    <w:rsid w:val="7B115232"/>
    <w:rsid w:val="7B131549"/>
    <w:rsid w:val="7B416BDC"/>
    <w:rsid w:val="7B5350AD"/>
    <w:rsid w:val="7B6867EB"/>
    <w:rsid w:val="7B697C89"/>
    <w:rsid w:val="7B8D34C3"/>
    <w:rsid w:val="7B971D84"/>
    <w:rsid w:val="7BF32F03"/>
    <w:rsid w:val="7C1724A5"/>
    <w:rsid w:val="7C5E03C9"/>
    <w:rsid w:val="7C8E3CCF"/>
    <w:rsid w:val="7CA54112"/>
    <w:rsid w:val="7CE50CE4"/>
    <w:rsid w:val="7D2177E3"/>
    <w:rsid w:val="7D2E5ABF"/>
    <w:rsid w:val="7E2142A2"/>
    <w:rsid w:val="7E4F5384"/>
    <w:rsid w:val="7E5A6DFA"/>
    <w:rsid w:val="7E7B0BF2"/>
    <w:rsid w:val="7E7C7A78"/>
    <w:rsid w:val="7E8D75B6"/>
    <w:rsid w:val="7EB2417D"/>
    <w:rsid w:val="7EF760EE"/>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5">
    <w:name w:val="heading 1"/>
    <w:basedOn w:val="1"/>
    <w:next w:val="1"/>
    <w:qFormat/>
    <w:uiPriority w:val="9"/>
    <w:pPr>
      <w:keepNext/>
      <w:keepLines/>
      <w:spacing w:before="340" w:after="330" w:line="578" w:lineRule="auto"/>
      <w:outlineLvl w:val="0"/>
    </w:pPr>
    <w:rPr>
      <w:b/>
      <w:bCs/>
      <w:kern w:val="44"/>
      <w:sz w:val="44"/>
      <w:szCs w:val="44"/>
    </w:rPr>
  </w:style>
  <w:style w:type="paragraph" w:styleId="6">
    <w:name w:val="heading 2"/>
    <w:basedOn w:val="7"/>
    <w:next w:val="1"/>
    <w:link w:val="32"/>
    <w:unhideWhenUsed/>
    <w:qFormat/>
    <w:uiPriority w:val="9"/>
    <w:pPr>
      <w:spacing w:before="260" w:after="260" w:line="416" w:lineRule="auto"/>
      <w:outlineLvl w:val="1"/>
    </w:pPr>
    <w:rPr>
      <w:rFonts w:eastAsiaTheme="majorEastAsia"/>
      <w:sz w:val="32"/>
    </w:rPr>
  </w:style>
  <w:style w:type="paragraph" w:styleId="7">
    <w:name w:val="heading 3"/>
    <w:basedOn w:val="8"/>
    <w:next w:val="1"/>
    <w:link w:val="33"/>
    <w:unhideWhenUsed/>
    <w:qFormat/>
    <w:uiPriority w:val="9"/>
    <w:pPr>
      <w:outlineLvl w:val="2"/>
    </w:pPr>
    <w:rPr>
      <w:sz w:val="28"/>
      <w:szCs w:val="32"/>
    </w:rPr>
  </w:style>
  <w:style w:type="paragraph" w:styleId="8">
    <w:name w:val="heading 4"/>
    <w:basedOn w:val="1"/>
    <w:next w:val="1"/>
    <w:link w:val="35"/>
    <w:unhideWhenUsed/>
    <w:qFormat/>
    <w:uiPriority w:val="9"/>
    <w:pPr>
      <w:keepNext/>
      <w:keepLines/>
      <w:outlineLvl w:val="3"/>
    </w:pPr>
    <w:rPr>
      <w:rFonts w:asciiTheme="majorHAnsi" w:hAnsiTheme="majorHAns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spacing w:before="161"/>
      <w:ind w:left="120"/>
    </w:pPr>
    <w:rPr>
      <w:rFonts w:ascii="宋体" w:hAnsi="宋体" w:cs="宋体"/>
      <w:sz w:val="24"/>
      <w:lang w:val="zh-CN" w:bidi="zh-CN"/>
    </w:rPr>
  </w:style>
  <w:style w:type="paragraph" w:styleId="3">
    <w:name w:val="Body Text First Indent"/>
    <w:basedOn w:val="2"/>
    <w:next w:val="4"/>
    <w:unhideWhenUsed/>
    <w:qFormat/>
    <w:uiPriority w:val="99"/>
    <w:pPr>
      <w:ind w:firstLine="420" w:firstLineChars="100"/>
    </w:pPr>
    <w:rPr>
      <w:rFonts w:ascii="Times New Roman" w:hAnsi="Times New Roman" w:cs="Times New Roman"/>
    </w:rPr>
  </w:style>
  <w:style w:type="paragraph" w:styleId="4">
    <w:name w:val="toc 6"/>
    <w:basedOn w:val="1"/>
    <w:next w:val="1"/>
    <w:qFormat/>
    <w:uiPriority w:val="0"/>
    <w:pPr>
      <w:ind w:left="1200"/>
    </w:pPr>
    <w:rPr>
      <w:rFonts w:ascii="Calibri" w:cs="Calibri"/>
      <w:sz w:val="18"/>
      <w:szCs w:val="18"/>
    </w:rPr>
  </w:style>
  <w:style w:type="paragraph" w:styleId="9">
    <w:name w:val="annotation text"/>
    <w:basedOn w:val="1"/>
    <w:semiHidden/>
    <w:unhideWhenUsed/>
    <w:qFormat/>
    <w:uiPriority w:val="99"/>
  </w:style>
  <w:style w:type="paragraph" w:styleId="10">
    <w:name w:val="toc 3"/>
    <w:basedOn w:val="1"/>
    <w:next w:val="1"/>
    <w:unhideWhenUsed/>
    <w:qFormat/>
    <w:uiPriority w:val="39"/>
    <w:pPr>
      <w:tabs>
        <w:tab w:val="right" w:leader="dot" w:pos="8296"/>
      </w:tabs>
      <w:ind w:left="838" w:leftChars="381"/>
    </w:pPr>
    <w:rPr>
      <w:szCs w:val="21"/>
    </w:rPr>
  </w:style>
  <w:style w:type="paragraph" w:styleId="11">
    <w:name w:val="Plain Text"/>
    <w:basedOn w:val="1"/>
    <w:link w:val="46"/>
    <w:qFormat/>
    <w:uiPriority w:val="0"/>
    <w:pPr>
      <w:widowControl w:val="0"/>
      <w:adjustRightInd/>
      <w:snapToGrid/>
      <w:jc w:val="both"/>
    </w:pPr>
    <w:rPr>
      <w:rFonts w:ascii="宋体" w:hAnsi="Courier New" w:cs="Times New Roman"/>
      <w:b/>
      <w:kern w:val="2"/>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49"/>
    <w:semiHidden/>
    <w:unhideWhenUsed/>
    <w:qFormat/>
    <w:uiPriority w:val="99"/>
    <w:rPr>
      <w:sz w:val="18"/>
      <w:szCs w:val="18"/>
    </w:rPr>
  </w:style>
  <w:style w:type="paragraph" w:styleId="14">
    <w:name w:val="footer"/>
    <w:basedOn w:val="1"/>
    <w:link w:val="48"/>
    <w:unhideWhenUsed/>
    <w:qFormat/>
    <w:uiPriority w:val="99"/>
    <w:pPr>
      <w:tabs>
        <w:tab w:val="center" w:pos="4153"/>
        <w:tab w:val="right" w:pos="8306"/>
      </w:tabs>
    </w:pPr>
    <w:rPr>
      <w:sz w:val="18"/>
      <w:szCs w:val="18"/>
    </w:rPr>
  </w:style>
  <w:style w:type="paragraph" w:styleId="15">
    <w:name w:val="header"/>
    <w:basedOn w:val="1"/>
    <w:link w:val="47"/>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footnote text"/>
    <w:basedOn w:val="1"/>
    <w:semiHidden/>
    <w:unhideWhenUsed/>
    <w:qFormat/>
    <w:uiPriority w:val="99"/>
    <w:rPr>
      <w:sz w:val="18"/>
    </w:rPr>
  </w:style>
  <w:style w:type="paragraph" w:styleId="21">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2">
    <w:name w:val="Normal (Web)"/>
    <w:basedOn w:val="1"/>
    <w:link w:val="51"/>
    <w:qFormat/>
    <w:uiPriority w:val="0"/>
    <w:pPr>
      <w:widowControl w:val="0"/>
      <w:adjustRightInd/>
      <w:snapToGrid/>
      <w:jc w:val="both"/>
    </w:pPr>
    <w:rPr>
      <w:rFonts w:asciiTheme="minorHAnsi" w:hAnsiTheme="minorHAnsi"/>
      <w:kern w:val="2"/>
      <w:sz w:val="24"/>
      <w:szCs w:val="24"/>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Emphasis"/>
    <w:basedOn w:val="25"/>
    <w:qFormat/>
    <w:uiPriority w:val="20"/>
    <w:rPr>
      <w:i/>
      <w:iCs/>
    </w:rPr>
  </w:style>
  <w:style w:type="character" w:styleId="28">
    <w:name w:val="Hyperlink"/>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5"/>
    <w:semiHidden/>
    <w:unhideWhenUsed/>
    <w:qFormat/>
    <w:uiPriority w:val="99"/>
    <w:rPr>
      <w:sz w:val="21"/>
      <w:szCs w:val="21"/>
    </w:rPr>
  </w:style>
  <w:style w:type="character" w:styleId="30">
    <w:name w:val="footnote reference"/>
    <w:basedOn w:val="25"/>
    <w:semiHidden/>
    <w:unhideWhenUsed/>
    <w:qFormat/>
    <w:uiPriority w:val="99"/>
    <w:rPr>
      <w:vertAlign w:val="superscript"/>
    </w:rPr>
  </w:style>
  <w:style w:type="paragraph" w:customStyle="1" w:styleId="31">
    <w:name w:val="表格文字"/>
    <w:basedOn w:val="1"/>
    <w:qFormat/>
    <w:uiPriority w:val="0"/>
    <w:pPr>
      <w:adjustRightInd/>
      <w:spacing w:before="25" w:after="25"/>
    </w:pPr>
    <w:rPr>
      <w:rFonts w:ascii="Times New Roman"/>
      <w:bCs/>
      <w:spacing w:val="10"/>
      <w:szCs w:val="20"/>
    </w:rPr>
  </w:style>
  <w:style w:type="character" w:customStyle="1" w:styleId="32">
    <w:name w:val="标题 2 字符"/>
    <w:basedOn w:val="25"/>
    <w:link w:val="6"/>
    <w:qFormat/>
    <w:uiPriority w:val="9"/>
    <w:rPr>
      <w:rFonts w:asciiTheme="majorHAnsi" w:hAnsiTheme="majorHAnsi" w:eastAsiaTheme="majorEastAsia" w:cstheme="majorBidi"/>
      <w:b/>
      <w:bCs/>
      <w:sz w:val="32"/>
      <w:szCs w:val="32"/>
    </w:rPr>
  </w:style>
  <w:style w:type="character" w:customStyle="1" w:styleId="33">
    <w:name w:val="标题 3 字符"/>
    <w:basedOn w:val="25"/>
    <w:link w:val="7"/>
    <w:qFormat/>
    <w:uiPriority w:val="9"/>
    <w:rPr>
      <w:rFonts w:ascii="Tahoma" w:hAnsi="Tahoma" w:eastAsia="宋体"/>
      <w:b/>
      <w:bCs/>
      <w:sz w:val="28"/>
      <w:szCs w:val="32"/>
    </w:rPr>
  </w:style>
  <w:style w:type="paragraph" w:styleId="34">
    <w:name w:val="List Paragraph"/>
    <w:basedOn w:val="1"/>
    <w:qFormat/>
    <w:uiPriority w:val="34"/>
    <w:pPr>
      <w:ind w:firstLine="420" w:firstLineChars="200"/>
    </w:pPr>
  </w:style>
  <w:style w:type="character" w:customStyle="1" w:styleId="35">
    <w:name w:val="标题 4 字符"/>
    <w:basedOn w:val="25"/>
    <w:link w:val="8"/>
    <w:qFormat/>
    <w:uiPriority w:val="9"/>
    <w:rPr>
      <w:rFonts w:eastAsia="宋体" w:asciiTheme="majorHAnsi" w:hAnsiTheme="majorHAnsi" w:cstheme="majorBidi"/>
      <w:b/>
      <w:bCs/>
      <w:sz w:val="24"/>
      <w:szCs w:val="28"/>
    </w:rPr>
  </w:style>
  <w:style w:type="character" w:customStyle="1" w:styleId="36">
    <w:name w:val="正文缩进2格 Char"/>
    <w:link w:val="37"/>
    <w:qFormat/>
    <w:uiPriority w:val="0"/>
    <w:rPr>
      <w:rFonts w:ascii="仿宋_GB2312" w:hAnsi="宋体" w:eastAsia="仿宋_GB2312"/>
      <w:kern w:val="2"/>
      <w:sz w:val="31"/>
    </w:rPr>
  </w:style>
  <w:style w:type="paragraph" w:customStyle="1" w:styleId="37">
    <w:name w:val="正文缩进2格"/>
    <w:basedOn w:val="1"/>
    <w:link w:val="36"/>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8">
    <w:name w:val="正文缩进4格"/>
    <w:basedOn w:val="37"/>
    <w:qFormat/>
    <w:uiPriority w:val="0"/>
    <w:pPr>
      <w:ind w:left="2" w:firstLine="538" w:firstLineChars="192"/>
    </w:pPr>
    <w:rPr>
      <w:color w:val="0000FF"/>
      <w:sz w:val="28"/>
    </w:rPr>
  </w:style>
  <w:style w:type="character" w:customStyle="1" w:styleId="39">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0">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41">
    <w:name w:val="标题1"/>
    <w:qFormat/>
    <w:uiPriority w:val="0"/>
    <w:rPr>
      <w:rFonts w:ascii="Times New Roman" w:hAnsi="Times New Roman" w:eastAsia="宋体" w:cs="Times New Roman"/>
      <w:b/>
      <w:kern w:val="0"/>
      <w:sz w:val="24"/>
      <w:szCs w:val="20"/>
      <w:lang w:eastAsia="en-US"/>
    </w:rPr>
  </w:style>
  <w:style w:type="character" w:customStyle="1" w:styleId="42">
    <w:name w:val="标题 3.1 Char"/>
    <w:link w:val="43"/>
    <w:qFormat/>
    <w:uiPriority w:val="0"/>
    <w:rPr>
      <w:rFonts w:ascii="宋体" w:hAnsi="宋体" w:eastAsia="宋体"/>
      <w:b/>
      <w:color w:val="FF0000"/>
      <w:kern w:val="2"/>
      <w:sz w:val="32"/>
    </w:rPr>
  </w:style>
  <w:style w:type="paragraph" w:customStyle="1" w:styleId="43">
    <w:name w:val="标题 3.1"/>
    <w:basedOn w:val="7"/>
    <w:link w:val="42"/>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4">
    <w:name w:val="样式 楷体_GB2312 小四"/>
    <w:qFormat/>
    <w:uiPriority w:val="0"/>
    <w:rPr>
      <w:rFonts w:ascii="楷体_GB2312" w:hAnsi="楷体_GB2312" w:eastAsia="仿宋_GB2312"/>
      <w:sz w:val="24"/>
    </w:rPr>
  </w:style>
  <w:style w:type="character" w:customStyle="1" w:styleId="45">
    <w:name w:val="纯文本 Char"/>
    <w:qFormat/>
    <w:uiPriority w:val="0"/>
    <w:rPr>
      <w:rFonts w:ascii="宋体" w:hAnsi="Courier New" w:eastAsia="宋体" w:cs="Times New Roman"/>
      <w:b/>
      <w:kern w:val="2"/>
      <w:sz w:val="21"/>
      <w:szCs w:val="20"/>
    </w:rPr>
  </w:style>
  <w:style w:type="character" w:customStyle="1" w:styleId="46">
    <w:name w:val="纯文本 字符"/>
    <w:basedOn w:val="25"/>
    <w:link w:val="11"/>
    <w:semiHidden/>
    <w:qFormat/>
    <w:uiPriority w:val="99"/>
    <w:rPr>
      <w:rFonts w:ascii="宋体" w:hAnsi="Courier New" w:eastAsia="宋体" w:cs="Courier New"/>
      <w:sz w:val="21"/>
      <w:szCs w:val="21"/>
    </w:rPr>
  </w:style>
  <w:style w:type="character" w:customStyle="1" w:styleId="47">
    <w:name w:val="页眉 字符"/>
    <w:basedOn w:val="25"/>
    <w:link w:val="15"/>
    <w:qFormat/>
    <w:uiPriority w:val="99"/>
    <w:rPr>
      <w:rFonts w:ascii="Tahoma" w:hAnsi="Tahoma"/>
      <w:sz w:val="18"/>
      <w:szCs w:val="18"/>
    </w:rPr>
  </w:style>
  <w:style w:type="character" w:customStyle="1" w:styleId="48">
    <w:name w:val="页脚 字符"/>
    <w:basedOn w:val="25"/>
    <w:link w:val="14"/>
    <w:qFormat/>
    <w:uiPriority w:val="99"/>
    <w:rPr>
      <w:rFonts w:ascii="Tahoma" w:hAnsi="Tahoma"/>
      <w:sz w:val="18"/>
      <w:szCs w:val="18"/>
    </w:rPr>
  </w:style>
  <w:style w:type="character" w:customStyle="1" w:styleId="49">
    <w:name w:val="批注框文本 字符"/>
    <w:basedOn w:val="25"/>
    <w:link w:val="13"/>
    <w:semiHidden/>
    <w:qFormat/>
    <w:uiPriority w:val="99"/>
    <w:rPr>
      <w:rFonts w:ascii="Tahoma" w:hAnsi="Tahoma"/>
      <w:sz w:val="18"/>
      <w:szCs w:val="18"/>
    </w:rPr>
  </w:style>
  <w:style w:type="paragraph" w:customStyle="1" w:styleId="50">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1">
    <w:name w:val="普通(网站) 字符"/>
    <w:link w:val="22"/>
    <w:qFormat/>
    <w:uiPriority w:val="0"/>
    <w:rPr>
      <w:rFonts w:eastAsia="宋体"/>
      <w:kern w:val="2"/>
      <w:sz w:val="24"/>
      <w:szCs w:val="24"/>
    </w:rPr>
  </w:style>
  <w:style w:type="paragraph" w:customStyle="1" w:styleId="52">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3">
    <w:name w:val="p141"/>
    <w:qFormat/>
    <w:uiPriority w:val="0"/>
    <w:rPr>
      <w:sz w:val="21"/>
      <w:szCs w:val="21"/>
    </w:rPr>
  </w:style>
  <w:style w:type="paragraph" w:customStyle="1" w:styleId="54">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5">
    <w:name w:val="正文无缩进"/>
    <w:basedOn w:val="37"/>
    <w:qFormat/>
    <w:uiPriority w:val="0"/>
    <w:pPr>
      <w:ind w:firstLine="0" w:firstLineChars="0"/>
    </w:pPr>
  </w:style>
  <w:style w:type="paragraph" w:customStyle="1" w:styleId="56">
    <w:name w:val="一级条标题"/>
    <w:basedOn w:val="57"/>
    <w:next w:val="58"/>
    <w:qFormat/>
    <w:uiPriority w:val="0"/>
    <w:pPr>
      <w:tabs>
        <w:tab w:val="left" w:pos="720"/>
      </w:tabs>
      <w:spacing w:beforeLines="0" w:afterLines="0"/>
      <w:outlineLvl w:val="2"/>
    </w:pPr>
  </w:style>
  <w:style w:type="paragraph" w:customStyle="1" w:styleId="57">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8">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9">
    <w:name w:val="缺省文本"/>
    <w:basedOn w:val="1"/>
    <w:qFormat/>
    <w:uiPriority w:val="0"/>
    <w:pPr>
      <w:widowControl w:val="0"/>
      <w:autoSpaceDE w:val="0"/>
      <w:autoSpaceDN w:val="0"/>
      <w:snapToGrid/>
      <w:spacing w:line="240" w:lineRule="auto"/>
    </w:pPr>
    <w:rPr>
      <w:rFonts w:ascii="Times New Roman" w:hAnsi="Times New Roman"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90</Pages>
  <Words>37810</Words>
  <Characters>38911</Characters>
  <Lines>344</Lines>
  <Paragraphs>96</Paragraphs>
  <TotalTime>0</TotalTime>
  <ScaleCrop>false</ScaleCrop>
  <LinksUpToDate>false</LinksUpToDate>
  <CharactersWithSpaces>41881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2022-05-31T09:28:00Z</dcterms:created>
  <dc:creator>MyPC</dc:creator>
  <cp:keywords>文件格式版本</cp:keywords>
  <cp:lastModifiedBy>admin</cp:lastModifiedBy>
  <cp:lastPrinted>2022-06-02T07:15:00Z</cp:lastPrinted>
  <dcterms:modified xsi:type="dcterms:W3CDTF">2022-06-02T10:59:15Z</dcterms:modified>
  <dc:subject>公开招标文件版本</dc:subject>
  <dc:title>公开招标文件版本</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6B6FC0D22B1B4FA6A0EDBE8EB50D0F2A</vt:lpwstr>
  </property>
</Properties>
</file>