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黑体" w:eastAsia="黑体"/>
          <w:b/>
          <w:color w:val="auto"/>
          <w:sz w:val="32"/>
          <w:szCs w:val="32"/>
          <w:lang w:val="en-US" w:eastAsia="zh-CN"/>
        </w:rPr>
      </w:pPr>
    </w:p>
    <w:p>
      <w:pPr>
        <w:jc w:val="center"/>
        <w:rPr>
          <w:b/>
          <w:color w:val="auto"/>
          <w:sz w:val="72"/>
          <w:szCs w:val="32"/>
        </w:rPr>
      </w:pPr>
      <w:r>
        <w:rPr>
          <w:rFonts w:hint="eastAsia" w:ascii="黑体" w:eastAsia="黑体"/>
          <w:b/>
          <w:color w:val="auto"/>
          <w:sz w:val="72"/>
          <w:szCs w:val="32"/>
          <w:lang w:val="en-US" w:eastAsia="zh-CN"/>
        </w:rPr>
        <w:t>公开招标</w:t>
      </w:r>
      <w:r>
        <w:rPr>
          <w:rFonts w:hint="eastAsia" w:ascii="黑体" w:eastAsia="黑体"/>
          <w:b/>
          <w:color w:val="auto"/>
          <w:sz w:val="72"/>
          <w:szCs w:val="32"/>
        </w:rPr>
        <w:t>文件</w:t>
      </w:r>
    </w:p>
    <w:p>
      <w:pPr>
        <w:pStyle w:val="7"/>
        <w:jc w:val="center"/>
        <w:rPr>
          <w:rFonts w:hint="eastAsia" w:ascii="黑体" w:eastAsia="黑体"/>
          <w:color w:val="auto"/>
          <w:szCs w:val="21"/>
          <w:lang w:eastAsia="zh-CN"/>
        </w:rPr>
      </w:pPr>
      <w:r>
        <w:rPr>
          <w:rFonts w:hint="eastAsia" w:ascii="黑体" w:eastAsia="黑体"/>
          <w:color w:val="auto"/>
          <w:szCs w:val="21"/>
          <w:lang w:eastAsia="zh-CN"/>
        </w:rPr>
        <w:drawing>
          <wp:inline distT="0" distB="0" distL="114300" distR="114300">
            <wp:extent cx="2129790" cy="2035175"/>
            <wp:effectExtent l="0" t="0" r="3810" b="3175"/>
            <wp:docPr id="9" name="图片 9" descr="QQ截图2020060316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截图20200603163454"/>
                    <pic:cNvPicPr>
                      <a:picLocks noChangeAspect="1"/>
                    </pic:cNvPicPr>
                  </pic:nvPicPr>
                  <pic:blipFill>
                    <a:blip r:embed="rId14"/>
                    <a:srcRect l="6233" t="18358" r="67326" b="19339"/>
                    <a:stretch>
                      <a:fillRect/>
                    </a:stretch>
                  </pic:blipFill>
                  <pic:spPr>
                    <a:xfrm>
                      <a:off x="0" y="0"/>
                      <a:ext cx="2129790" cy="2035175"/>
                    </a:xfrm>
                    <a:prstGeom prst="rect">
                      <a:avLst/>
                    </a:prstGeom>
                  </pic:spPr>
                </pic:pic>
              </a:graphicData>
            </a:graphic>
          </wp:inline>
        </w:drawing>
      </w:r>
    </w:p>
    <w:p>
      <w:pPr>
        <w:pStyle w:val="8"/>
        <w:rPr>
          <w:rFonts w:hint="eastAsia" w:ascii="黑体" w:eastAsia="黑体"/>
          <w:color w:val="auto"/>
          <w:szCs w:val="21"/>
          <w:lang w:eastAsia="zh-CN"/>
        </w:rPr>
      </w:pPr>
    </w:p>
    <w:p>
      <w:pPr>
        <w:pStyle w:val="8"/>
        <w:ind w:left="0" w:leftChars="0" w:firstLine="0" w:firstLineChars="0"/>
        <w:rPr>
          <w:rFonts w:hint="eastAsia" w:ascii="黑体" w:eastAsia="黑体"/>
          <w:color w:val="auto"/>
          <w:szCs w:val="21"/>
          <w:lang w:eastAsia="zh-CN"/>
        </w:rPr>
      </w:pPr>
    </w:p>
    <w:p>
      <w:pPr>
        <w:pStyle w:val="8"/>
        <w:ind w:left="0" w:leftChars="0" w:firstLine="0" w:firstLineChars="0"/>
        <w:rPr>
          <w:rFonts w:hint="eastAsia" w:ascii="黑体" w:eastAsia="黑体"/>
          <w:color w:val="auto"/>
          <w:szCs w:val="21"/>
          <w:lang w:eastAsia="zh-CN"/>
        </w:rPr>
      </w:pPr>
    </w:p>
    <w:tbl>
      <w:tblPr>
        <w:tblStyle w:val="24"/>
        <w:tblW w:w="0" w:type="auto"/>
        <w:tblInd w:w="-294"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3100"/>
        <w:gridCol w:w="571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lang w:val="en-US" w:eastAsia="zh-CN"/>
              </w:rPr>
              <w:t>项目编号</w:t>
            </w:r>
            <w:r>
              <w:rPr>
                <w:rFonts w:hint="eastAsia" w:ascii="黑体" w:hAnsi="黑体" w:eastAsia="黑体" w:cs="黑体"/>
                <w:bCs/>
                <w:color w:val="auto"/>
                <w:sz w:val="32"/>
                <w:szCs w:val="24"/>
              </w:rPr>
              <w:t>：</w:t>
            </w:r>
          </w:p>
        </w:tc>
        <w:tc>
          <w:tcPr>
            <w:tcW w:w="5716" w:type="dxa"/>
            <w:noWrap/>
            <w:vAlign w:val="center"/>
          </w:tcPr>
          <w:p>
            <w:pPr>
              <w:spacing w:before="200"/>
              <w:jc w:val="both"/>
              <w:rPr>
                <w:rFonts w:hint="eastAsia" w:ascii="黑体" w:hAnsi="黑体" w:eastAsia="黑体" w:cs="黑体"/>
                <w:bCs/>
                <w:color w:val="auto"/>
                <w:sz w:val="32"/>
                <w:szCs w:val="24"/>
                <w:lang w:eastAsia="zh-CN"/>
              </w:rPr>
            </w:pPr>
            <w:r>
              <w:rPr>
                <w:rFonts w:hint="eastAsia" w:ascii="黑体" w:hAnsi="黑体" w:eastAsia="黑体" w:cs="黑体"/>
                <w:bCs/>
                <w:color w:val="auto"/>
                <w:sz w:val="32"/>
                <w:szCs w:val="24"/>
                <w:lang w:eastAsia="zh-CN"/>
              </w:rPr>
              <w:t>GDZT2022119C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ascii="黑体" w:hAnsi="黑体" w:eastAsia="黑体" w:cs="黑体"/>
                <w:bCs/>
                <w:color w:val="auto"/>
                <w:sz w:val="32"/>
                <w:szCs w:val="24"/>
              </w:rPr>
            </w:pPr>
            <w:r>
              <w:rPr>
                <w:rFonts w:hint="eastAsia" w:ascii="黑体" w:hAnsi="黑体" w:eastAsia="黑体" w:cs="黑体"/>
                <w:bCs/>
                <w:color w:val="auto"/>
                <w:sz w:val="32"/>
                <w:szCs w:val="24"/>
              </w:rPr>
              <w:t>项目名称：</w:t>
            </w:r>
          </w:p>
        </w:tc>
        <w:tc>
          <w:tcPr>
            <w:tcW w:w="5716" w:type="dxa"/>
            <w:noWrap/>
            <w:vAlign w:val="center"/>
          </w:tcPr>
          <w:p>
            <w:pPr>
              <w:spacing w:before="200"/>
              <w:jc w:val="both"/>
              <w:rPr>
                <w:rFonts w:hint="eastAsia" w:ascii="黑体" w:hAnsi="黑体" w:eastAsia="黑体" w:cs="黑体"/>
                <w:bCs/>
                <w:color w:val="auto"/>
                <w:sz w:val="32"/>
                <w:szCs w:val="24"/>
                <w:lang w:eastAsia="zh-CN"/>
              </w:rPr>
            </w:pPr>
            <w:r>
              <w:rPr>
                <w:rFonts w:hint="eastAsia" w:ascii="黑体" w:hAnsi="黑体" w:eastAsia="黑体" w:cs="黑体"/>
                <w:bCs/>
                <w:color w:val="auto"/>
                <w:sz w:val="32"/>
                <w:szCs w:val="24"/>
                <w:lang w:eastAsia="zh-CN"/>
              </w:rPr>
              <w:t>东莞新锋光伏能源科技有限公司光伏储能新能源工程设计服务资格采购项目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rPr>
            </w:pPr>
            <w:r>
              <w:rPr>
                <w:rFonts w:hint="eastAsia" w:ascii="黑体" w:hAnsi="黑体" w:eastAsia="黑体" w:cs="黑体"/>
                <w:bCs/>
                <w:color w:val="auto"/>
                <w:sz w:val="32"/>
                <w:szCs w:val="24"/>
              </w:rPr>
              <w:t>采购人</w:t>
            </w:r>
            <w:r>
              <w:rPr>
                <w:rFonts w:hint="eastAsia" w:ascii="黑体" w:hAnsi="黑体" w:eastAsia="黑体" w:cs="黑体"/>
                <w:bCs/>
                <w:color w:val="auto"/>
                <w:sz w:val="32"/>
                <w:szCs w:val="24"/>
                <w:lang w:eastAsia="zh-CN"/>
              </w:rPr>
              <w:t>（</w:t>
            </w:r>
            <w:r>
              <w:rPr>
                <w:rFonts w:hint="eastAsia" w:ascii="黑体" w:hAnsi="黑体" w:eastAsia="黑体" w:cs="黑体"/>
                <w:bCs/>
                <w:color w:val="auto"/>
                <w:sz w:val="32"/>
                <w:szCs w:val="24"/>
                <w:lang w:val="en-US" w:eastAsia="zh-CN"/>
              </w:rPr>
              <w:t>盖章</w:t>
            </w:r>
            <w:r>
              <w:rPr>
                <w:rFonts w:hint="eastAsia" w:ascii="黑体" w:hAnsi="黑体" w:eastAsia="黑体" w:cs="黑体"/>
                <w:bCs/>
                <w:color w:val="auto"/>
                <w:sz w:val="32"/>
                <w:szCs w:val="24"/>
                <w:lang w:eastAsia="zh-CN"/>
              </w:rPr>
              <w:t>）</w:t>
            </w:r>
            <w:r>
              <w:rPr>
                <w:rFonts w:hint="eastAsia" w:ascii="黑体" w:hAnsi="黑体" w:eastAsia="黑体" w:cs="黑体"/>
                <w:bCs/>
                <w:color w:val="auto"/>
                <w:sz w:val="32"/>
                <w:szCs w:val="24"/>
              </w:rPr>
              <w:t>：</w:t>
            </w:r>
          </w:p>
        </w:tc>
        <w:tc>
          <w:tcPr>
            <w:tcW w:w="5716" w:type="dxa"/>
            <w:noWrap/>
            <w:vAlign w:val="center"/>
          </w:tcPr>
          <w:p>
            <w:pPr>
              <w:spacing w:before="200"/>
              <w:jc w:val="both"/>
              <w:rPr>
                <w:rFonts w:hint="eastAsia" w:ascii="黑体" w:hAnsi="黑体" w:eastAsia="黑体" w:cs="黑体"/>
                <w:bCs/>
                <w:color w:val="auto"/>
                <w:sz w:val="32"/>
                <w:szCs w:val="24"/>
                <w:lang w:eastAsia="zh-CN"/>
              </w:rPr>
            </w:pPr>
            <w:r>
              <w:rPr>
                <w:rFonts w:hint="eastAsia" w:ascii="黑体" w:hAnsi="黑体" w:eastAsia="黑体" w:cs="黑体"/>
                <w:bCs/>
                <w:color w:val="auto"/>
                <w:sz w:val="32"/>
                <w:szCs w:val="24"/>
                <w:lang w:eastAsia="zh-CN"/>
              </w:rPr>
              <w:t>东莞新锋光伏能源科技有限公司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9" w:hRule="atLeast"/>
        </w:trPr>
        <w:tc>
          <w:tcPr>
            <w:tcW w:w="3100" w:type="dxa"/>
            <w:noWrap/>
            <w:vAlign w:val="center"/>
          </w:tcPr>
          <w:p>
            <w:pPr>
              <w:spacing w:before="200"/>
              <w:jc w:val="both"/>
              <w:rPr>
                <w:rFonts w:hint="eastAsia" w:ascii="黑体" w:hAnsi="黑体" w:eastAsia="黑体" w:cs="黑体"/>
                <w:bCs/>
                <w:color w:val="auto"/>
                <w:sz w:val="32"/>
                <w:szCs w:val="24"/>
                <w:lang w:val="en-US" w:eastAsia="zh-CN"/>
              </w:rPr>
            </w:pPr>
            <w:r>
              <w:rPr>
                <w:rFonts w:hint="eastAsia" w:ascii="黑体" w:hAnsi="黑体" w:eastAsia="黑体" w:cs="黑体"/>
                <w:bCs/>
                <w:color w:val="auto"/>
                <w:sz w:val="32"/>
                <w:szCs w:val="24"/>
                <w:lang w:val="en-US" w:eastAsia="zh-CN"/>
              </w:rPr>
              <w:t>招标代理（盖章）：</w:t>
            </w:r>
          </w:p>
        </w:tc>
        <w:tc>
          <w:tcPr>
            <w:tcW w:w="5716" w:type="dxa"/>
            <w:noWrap/>
            <w:vAlign w:val="center"/>
          </w:tcPr>
          <w:p>
            <w:pPr>
              <w:spacing w:before="200"/>
              <w:jc w:val="both"/>
              <w:rPr>
                <w:rFonts w:hint="eastAsia" w:ascii="黑体" w:hAnsi="黑体" w:eastAsia="黑体" w:cs="黑体"/>
                <w:bCs/>
                <w:color w:val="auto"/>
                <w:sz w:val="32"/>
                <w:szCs w:val="24"/>
                <w:lang w:eastAsia="zh-CN"/>
              </w:rPr>
            </w:pPr>
            <w:r>
              <w:rPr>
                <w:rFonts w:hint="eastAsia" w:ascii="黑体" w:hAnsi="黑体" w:eastAsia="黑体" w:cs="黑体"/>
                <w:bCs/>
                <w:color w:val="auto"/>
                <w:sz w:val="32"/>
                <w:szCs w:val="24"/>
                <w:lang w:eastAsia="zh-CN"/>
              </w:rPr>
              <w:t>广东政通招标有限公司</w:t>
            </w:r>
          </w:p>
        </w:tc>
      </w:tr>
    </w:tbl>
    <w:p>
      <w:pPr>
        <w:jc w:val="both"/>
        <w:rPr>
          <w:rFonts w:ascii="黑体" w:eastAsia="黑体"/>
          <w:color w:val="auto"/>
          <w:szCs w:val="21"/>
        </w:rPr>
      </w:pPr>
    </w:p>
    <w:p>
      <w:pPr>
        <w:pStyle w:val="21"/>
        <w:rPr>
          <w:color w:val="auto"/>
          <w:sz w:val="32"/>
          <w:szCs w:val="32"/>
        </w:rPr>
        <w:sectPr>
          <w:headerReference r:id="rId6" w:type="first"/>
          <w:footerReference r:id="rId8" w:type="first"/>
          <w:headerReference r:id="rId5" w:type="default"/>
          <w:footerReference r:id="rId7" w:type="default"/>
          <w:pgSz w:w="11906" w:h="16838"/>
          <w:pgMar w:top="1440" w:right="1800" w:bottom="1440" w:left="1800" w:header="708" w:footer="708" w:gutter="0"/>
          <w:pgBorders>
            <w:top w:val="none" w:sz="0" w:space="0"/>
            <w:left w:val="none" w:sz="0" w:space="0"/>
            <w:bottom w:val="none" w:sz="0" w:space="0"/>
            <w:right w:val="none" w:sz="0" w:space="0"/>
          </w:pgBorders>
          <w:pgNumType w:fmt="decimal" w:start="1"/>
          <w:cols w:space="708" w:num="1"/>
          <w:titlePg/>
          <w:docGrid w:type="lines" w:linePitch="360" w:charSpace="0"/>
        </w:sect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bCs w:val="0"/>
          <w:color w:val="auto"/>
          <w:sz w:val="28"/>
          <w:szCs w:val="28"/>
        </w:rPr>
      </w:pPr>
      <w:r>
        <w:rPr>
          <w:rFonts w:hint="eastAsia" w:ascii="宋体" w:hAnsi="宋体" w:eastAsia="宋体" w:cs="宋体"/>
          <w:b/>
          <w:bCs w:val="0"/>
          <w:color w:val="auto"/>
          <w:sz w:val="28"/>
          <w:szCs w:val="28"/>
        </w:rPr>
        <w:t>温馨提示</w:t>
      </w:r>
    </w:p>
    <w:p>
      <w:pPr>
        <w:keepNext w:val="0"/>
        <w:keepLines w:val="0"/>
        <w:pageBreakBefore w:val="0"/>
        <w:widowControl/>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u w:val="none"/>
        </w:rPr>
      </w:pPr>
      <w:r>
        <w:rPr>
          <w:rFonts w:hint="eastAsia" w:ascii="宋体" w:hAnsi="宋体" w:eastAsia="宋体" w:cs="宋体"/>
          <w:b/>
          <w:bCs w:val="0"/>
          <w:color w:val="auto"/>
          <w:sz w:val="21"/>
          <w:szCs w:val="21"/>
          <w:u w:val="none"/>
        </w:rPr>
        <w:t>（本提示内容非招标文件的组成部分，仅</w:t>
      </w:r>
      <w:r>
        <w:rPr>
          <w:rFonts w:hint="eastAsia" w:ascii="宋体" w:hAnsi="宋体" w:eastAsia="宋体" w:cs="宋体"/>
          <w:b/>
          <w:bCs w:val="0"/>
          <w:color w:val="auto"/>
          <w:sz w:val="21"/>
          <w:szCs w:val="21"/>
          <w:u w:val="none"/>
          <w:lang w:val="en-US" w:eastAsia="zh-CN"/>
        </w:rPr>
        <w:t>起</w:t>
      </w:r>
      <w:r>
        <w:rPr>
          <w:rFonts w:hint="eastAsia" w:ascii="宋体" w:hAnsi="宋体" w:eastAsia="宋体" w:cs="宋体"/>
          <w:b/>
          <w:bCs w:val="0"/>
          <w:color w:val="auto"/>
          <w:sz w:val="21"/>
          <w:szCs w:val="21"/>
          <w:u w:val="none"/>
        </w:rPr>
        <w:t>提醒</w:t>
      </w:r>
      <w:r>
        <w:rPr>
          <w:rFonts w:hint="eastAsia" w:ascii="宋体" w:hAnsi="宋体" w:eastAsia="宋体" w:cs="宋体"/>
          <w:b/>
          <w:bCs w:val="0"/>
          <w:color w:val="auto"/>
          <w:sz w:val="21"/>
          <w:szCs w:val="21"/>
          <w:u w:val="none"/>
          <w:lang w:val="en-US" w:eastAsia="zh-CN"/>
        </w:rPr>
        <w:t>作用</w:t>
      </w:r>
      <w:r>
        <w:rPr>
          <w:rFonts w:hint="eastAsia" w:ascii="宋体" w:hAnsi="宋体" w:eastAsia="宋体" w:cs="宋体"/>
          <w:b/>
          <w:bCs w:val="0"/>
          <w:color w:val="auto"/>
          <w:sz w:val="21"/>
          <w:szCs w:val="21"/>
          <w:u w:val="none"/>
        </w:rPr>
        <w:t>；如有不一致，以招标文件为准）</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textAlignment w:val="auto"/>
        <w:rPr>
          <w:rFonts w:hint="eastAsia" w:ascii="宋体" w:hAnsi="宋体" w:eastAsia="宋体" w:cs="宋体"/>
          <w:b/>
          <w:bCs w:val="0"/>
          <w:color w:val="auto"/>
          <w:sz w:val="21"/>
          <w:szCs w:val="21"/>
          <w:u w:val="none"/>
        </w:rPr>
      </w:pPr>
      <w:r>
        <w:rPr>
          <w:rFonts w:hint="eastAsia" w:ascii="宋体" w:hAnsi="宋体" w:eastAsia="宋体" w:cs="宋体"/>
          <w:b/>
          <w:bCs w:val="0"/>
          <w:color w:val="auto"/>
          <w:sz w:val="21"/>
          <w:szCs w:val="21"/>
          <w:u w:val="none"/>
          <w:lang w:val="en-US" w:eastAsia="zh-CN"/>
        </w:rPr>
        <w:t>1、</w:t>
      </w:r>
      <w:r>
        <w:rPr>
          <w:rFonts w:hint="eastAsia" w:ascii="宋体" w:hAnsi="宋体" w:eastAsia="宋体" w:cs="宋体"/>
          <w:b/>
          <w:bCs w:val="0"/>
          <w:color w:val="auto"/>
          <w:sz w:val="21"/>
          <w:szCs w:val="21"/>
          <w:u w:val="none"/>
        </w:rPr>
        <w:t>请各投标供应商在制作投标文件时认真阅读本招标文件的内容。</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2</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建议投标供应商将投标文件正本、副本、唱标信封分别密封包装，并按照招标文件“第</w:t>
      </w:r>
      <w:r>
        <w:rPr>
          <w:rFonts w:hint="eastAsia" w:ascii="宋体" w:hAnsi="宋体" w:cs="宋体"/>
          <w:b/>
          <w:bCs w:val="0"/>
          <w:color w:val="auto"/>
          <w:sz w:val="21"/>
          <w:szCs w:val="21"/>
          <w:u w:val="none"/>
          <w:lang w:val="en-US" w:eastAsia="zh-CN"/>
        </w:rPr>
        <w:t>四</w:t>
      </w:r>
      <w:r>
        <w:rPr>
          <w:rFonts w:hint="eastAsia" w:ascii="宋体" w:hAnsi="宋体" w:eastAsia="宋体" w:cs="宋体"/>
          <w:b/>
          <w:bCs w:val="0"/>
          <w:color w:val="auto"/>
          <w:sz w:val="21"/>
          <w:szCs w:val="21"/>
          <w:u w:val="none"/>
          <w:lang w:val="en-US" w:eastAsia="zh-CN"/>
        </w:rPr>
        <w:t>部分</w:t>
      </w:r>
      <w:r>
        <w:rPr>
          <w:rFonts w:hint="eastAsia" w:ascii="宋体" w:hAnsi="宋体" w:eastAsia="宋体" w:cs="宋体"/>
          <w:b/>
          <w:bCs w:val="0"/>
          <w:color w:val="auto"/>
          <w:sz w:val="21"/>
          <w:szCs w:val="21"/>
          <w:u w:val="none"/>
        </w:rPr>
        <w:t xml:space="preserve"> 投标人须知 </w:t>
      </w:r>
      <w:r>
        <w:rPr>
          <w:rFonts w:hint="eastAsia" w:ascii="宋体" w:hAnsi="宋体" w:eastAsia="宋体" w:cs="宋体"/>
          <w:b/>
          <w:bCs w:val="0"/>
          <w:color w:val="auto"/>
          <w:sz w:val="21"/>
          <w:szCs w:val="21"/>
          <w:u w:val="none"/>
          <w:lang w:val="en-US" w:eastAsia="zh-CN"/>
        </w:rPr>
        <w:t>第四章</w:t>
      </w:r>
      <w:r>
        <w:rPr>
          <w:rFonts w:hint="eastAsia" w:ascii="宋体" w:hAnsi="宋体" w:eastAsia="宋体" w:cs="宋体"/>
          <w:b/>
          <w:bCs w:val="0"/>
          <w:color w:val="auto"/>
          <w:sz w:val="21"/>
          <w:szCs w:val="21"/>
          <w:u w:val="none"/>
        </w:rPr>
        <w:t>投标文件的递交”中相关要求进行提交，避免因密封包装不符合要求而导致投标文件被退回。</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3</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请正确填写《</w:t>
      </w:r>
      <w:r>
        <w:rPr>
          <w:rFonts w:hint="eastAsia" w:ascii="宋体" w:hAnsi="宋体" w:eastAsia="宋体" w:cs="宋体"/>
          <w:b/>
          <w:bCs w:val="0"/>
          <w:color w:val="auto"/>
          <w:sz w:val="21"/>
          <w:szCs w:val="21"/>
          <w:u w:val="none"/>
          <w:lang w:val="en-US" w:eastAsia="zh-CN"/>
        </w:rPr>
        <w:t>唱标</w:t>
      </w:r>
      <w:r>
        <w:rPr>
          <w:rFonts w:hint="eastAsia" w:ascii="宋体" w:hAnsi="宋体" w:eastAsia="宋体" w:cs="宋体"/>
          <w:b/>
          <w:bCs w:val="0"/>
          <w:color w:val="auto"/>
          <w:sz w:val="21"/>
          <w:szCs w:val="21"/>
          <w:u w:val="none"/>
        </w:rPr>
        <w:t>一览表》。多包项目请仔细检查包组号，包组号跟包组名称必须一致。</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4</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投标文件应</w:t>
      </w:r>
      <w:r>
        <w:rPr>
          <w:rFonts w:hint="eastAsia" w:ascii="宋体" w:hAnsi="宋体" w:eastAsia="宋体" w:cs="宋体"/>
          <w:b/>
          <w:bCs w:val="0"/>
          <w:color w:val="auto"/>
          <w:sz w:val="21"/>
          <w:szCs w:val="21"/>
          <w:u w:val="none"/>
          <w:lang w:val="en-US" w:eastAsia="zh-CN"/>
        </w:rPr>
        <w:t>编制目录及</w:t>
      </w:r>
      <w:r>
        <w:rPr>
          <w:rFonts w:hint="eastAsia" w:ascii="宋体" w:hAnsi="宋体" w:eastAsia="宋体" w:cs="宋体"/>
          <w:b/>
          <w:bCs w:val="0"/>
          <w:color w:val="auto"/>
          <w:sz w:val="21"/>
          <w:szCs w:val="21"/>
          <w:u w:val="none"/>
        </w:rPr>
        <w:t>按顺序编制页码。</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5</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请仔细检查投标文件是否已按招标文件盖章、签名(或盖私章)、签署日期。</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6</w:t>
      </w:r>
      <w:r>
        <w:rPr>
          <w:rFonts w:hint="eastAsia" w:ascii="宋体" w:hAnsi="宋体" w:eastAsia="宋体" w:cs="宋体"/>
          <w:b/>
          <w:bCs w:val="0"/>
          <w:color w:val="auto"/>
          <w:sz w:val="21"/>
          <w:szCs w:val="21"/>
          <w:u w:val="none"/>
          <w:lang w:val="en-US" w:eastAsia="zh-CN"/>
        </w:rPr>
        <w:t>、加</w:t>
      </w:r>
      <w:r>
        <w:rPr>
          <w:rFonts w:hint="eastAsia" w:ascii="宋体" w:hAnsi="宋体" w:eastAsia="宋体" w:cs="宋体"/>
          <w:b/>
          <w:bCs w:val="0"/>
          <w:color w:val="auto"/>
          <w:sz w:val="21"/>
          <w:szCs w:val="21"/>
          <w:u w:val="none"/>
        </w:rPr>
        <w:t>★号</w:t>
      </w:r>
      <w:r>
        <w:rPr>
          <w:rFonts w:hint="eastAsia" w:ascii="宋体" w:hAnsi="宋体" w:eastAsia="宋体" w:cs="宋体"/>
          <w:b/>
          <w:bCs w:val="0"/>
          <w:color w:val="auto"/>
          <w:sz w:val="21"/>
          <w:szCs w:val="21"/>
          <w:u w:val="none"/>
          <w:lang w:val="en-US" w:eastAsia="zh-CN"/>
        </w:rPr>
        <w:t>条款</w:t>
      </w:r>
      <w:r>
        <w:rPr>
          <w:rFonts w:hint="eastAsia" w:ascii="宋体" w:hAnsi="宋体" w:eastAsia="宋体" w:cs="宋体"/>
          <w:b/>
          <w:bCs w:val="0"/>
          <w:color w:val="auto"/>
          <w:sz w:val="21"/>
          <w:szCs w:val="21"/>
          <w:u w:val="none"/>
        </w:rPr>
        <w:t>必须完全响应，不响应或负偏离将导致投标无效</w:t>
      </w:r>
      <w:r>
        <w:rPr>
          <w:rFonts w:hint="eastAsia" w:ascii="宋体" w:hAnsi="宋体" w:eastAsia="宋体" w:cs="宋体"/>
          <w:b/>
          <w:bCs w:val="0"/>
          <w:color w:val="auto"/>
          <w:sz w:val="21"/>
          <w:szCs w:val="21"/>
          <w:u w:val="none"/>
          <w:lang w:eastAsia="zh-CN"/>
        </w:rPr>
        <w:t>。</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lang w:val="en-US" w:eastAsia="zh-CN"/>
        </w:rPr>
      </w:pPr>
      <w:r>
        <w:rPr>
          <w:rFonts w:hint="eastAsia" w:ascii="宋体" w:hAnsi="宋体" w:cs="宋体"/>
          <w:b/>
          <w:bCs w:val="0"/>
          <w:color w:val="auto"/>
          <w:sz w:val="21"/>
          <w:szCs w:val="21"/>
          <w:u w:val="none"/>
          <w:lang w:val="en-US" w:eastAsia="zh-CN"/>
        </w:rPr>
        <w:t>7</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为避免因迟到而无法按时递交投标文件，投标供应商</w:t>
      </w:r>
      <w:r>
        <w:rPr>
          <w:rFonts w:hint="eastAsia" w:ascii="宋体" w:hAnsi="宋体" w:eastAsia="宋体" w:cs="宋体"/>
          <w:b/>
          <w:bCs w:val="0"/>
          <w:color w:val="auto"/>
          <w:sz w:val="21"/>
          <w:szCs w:val="21"/>
          <w:u w:val="none"/>
          <w:lang w:val="en-US" w:eastAsia="zh-CN"/>
        </w:rPr>
        <w:t>应自行计算路途可能出现塞车的时间，建议</w:t>
      </w:r>
      <w:r>
        <w:rPr>
          <w:rFonts w:hint="eastAsia" w:ascii="宋体" w:hAnsi="宋体" w:eastAsia="宋体" w:cs="宋体"/>
          <w:b/>
          <w:bCs w:val="0"/>
          <w:color w:val="auto"/>
          <w:sz w:val="21"/>
          <w:szCs w:val="21"/>
          <w:u w:val="none"/>
        </w:rPr>
        <w:t>在投标文件递交截止时间之前30分钟内到达开标地点</w:t>
      </w:r>
      <w:r>
        <w:rPr>
          <w:rFonts w:hint="eastAsia" w:ascii="宋体" w:hAnsi="宋体" w:eastAsia="宋体" w:cs="宋体"/>
          <w:b/>
          <w:bCs w:val="0"/>
          <w:color w:val="auto"/>
          <w:sz w:val="21"/>
          <w:szCs w:val="21"/>
          <w:u w:val="none"/>
          <w:lang w:eastAsia="zh-CN"/>
        </w:rPr>
        <w:t>，投标截止时间一到，本公司不接收任何投标文件。</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8</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请各投标供应商缴纳投标保证金前务必核对正确的缴纳账户，由于错缴、误缴而导致未按项目缴纳投标保证金的情况将由投标供应商自行负责。</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9</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投标保证金必须于投标文件递交截止时间前到达</w:t>
      </w:r>
      <w:r>
        <w:rPr>
          <w:rFonts w:hint="eastAsia" w:ascii="宋体" w:hAnsi="宋体" w:eastAsia="宋体" w:cs="宋体"/>
          <w:b/>
          <w:bCs w:val="0"/>
          <w:color w:val="auto"/>
          <w:sz w:val="21"/>
          <w:szCs w:val="21"/>
          <w:u w:val="none"/>
          <w:lang w:val="zh-CN"/>
        </w:rPr>
        <w:t>广东政通招标有限公司</w:t>
      </w:r>
      <w:r>
        <w:rPr>
          <w:rFonts w:hint="eastAsia" w:ascii="宋体" w:hAnsi="宋体" w:eastAsia="宋体" w:cs="宋体"/>
          <w:b/>
          <w:bCs w:val="0"/>
          <w:color w:val="auto"/>
          <w:sz w:val="21"/>
          <w:szCs w:val="21"/>
          <w:u w:val="none"/>
        </w:rPr>
        <w:t>账户</w:t>
      </w:r>
      <w:r>
        <w:rPr>
          <w:rFonts w:hint="eastAsia" w:ascii="宋体" w:hAnsi="宋体" w:eastAsia="宋体" w:cs="宋体"/>
          <w:b/>
          <w:bCs w:val="0"/>
          <w:color w:val="auto"/>
          <w:sz w:val="21"/>
          <w:szCs w:val="21"/>
          <w:u w:val="none"/>
          <w:lang w:eastAsia="zh-CN"/>
        </w:rPr>
        <w:t>，</w:t>
      </w:r>
      <w:r>
        <w:rPr>
          <w:rFonts w:hint="eastAsia" w:ascii="宋体" w:hAnsi="宋体" w:eastAsia="宋体" w:cs="宋体"/>
          <w:b/>
          <w:bCs w:val="0"/>
          <w:color w:val="auto"/>
          <w:sz w:val="21"/>
          <w:szCs w:val="21"/>
          <w:u w:val="none"/>
          <w:lang w:val="en-US" w:eastAsia="zh-CN"/>
        </w:rPr>
        <w:t>账户详见招标文件</w:t>
      </w:r>
      <w:r>
        <w:rPr>
          <w:rFonts w:hint="eastAsia" w:ascii="宋体" w:hAnsi="宋体" w:eastAsia="宋体" w:cs="宋体"/>
          <w:b/>
          <w:bCs w:val="0"/>
          <w:color w:val="auto"/>
          <w:sz w:val="21"/>
          <w:szCs w:val="21"/>
          <w:u w:val="none"/>
        </w:rPr>
        <w:t>。由于转账当天不能确保实时到账，为避免因投标保证金未到账而导致投标被拒绝，建议提前2个工作日转账。</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r>
        <w:rPr>
          <w:rFonts w:hint="eastAsia" w:ascii="宋体" w:hAnsi="宋体" w:cs="宋体"/>
          <w:b/>
          <w:bCs w:val="0"/>
          <w:color w:val="auto"/>
          <w:sz w:val="21"/>
          <w:szCs w:val="21"/>
          <w:u w:val="none"/>
          <w:lang w:val="en-US" w:eastAsia="zh-CN"/>
        </w:rPr>
        <w:t>10</w:t>
      </w:r>
      <w:r>
        <w:rPr>
          <w:rFonts w:hint="eastAsia" w:ascii="宋体" w:hAnsi="宋体" w:eastAsia="宋体" w:cs="宋体"/>
          <w:b/>
          <w:bCs w:val="0"/>
          <w:color w:val="auto"/>
          <w:sz w:val="21"/>
          <w:szCs w:val="21"/>
          <w:u w:val="none"/>
          <w:lang w:val="en-US" w:eastAsia="zh-CN"/>
        </w:rPr>
        <w:t>、</w:t>
      </w:r>
      <w:r>
        <w:rPr>
          <w:rFonts w:hint="eastAsia" w:ascii="宋体" w:hAnsi="宋体" w:eastAsia="宋体" w:cs="宋体"/>
          <w:b/>
          <w:bCs w:val="0"/>
          <w:color w:val="auto"/>
          <w:sz w:val="21"/>
          <w:szCs w:val="21"/>
          <w:u w:val="none"/>
        </w:rPr>
        <w:t>为了提高采购效率，节约社会交易成本与时间，希望领购了招标文件而决定不参加本项目投标的供应商，在投标文件递交截止时间的</w:t>
      </w:r>
      <w:r>
        <w:rPr>
          <w:rFonts w:hint="eastAsia" w:ascii="宋体" w:hAnsi="宋体" w:eastAsia="宋体" w:cs="宋体"/>
          <w:b/>
          <w:bCs w:val="0"/>
          <w:color w:val="auto"/>
          <w:sz w:val="21"/>
          <w:szCs w:val="21"/>
          <w:u w:val="none"/>
          <w:lang w:val="en-US" w:eastAsia="zh-CN"/>
        </w:rPr>
        <w:t>2</w:t>
      </w:r>
      <w:r>
        <w:rPr>
          <w:rFonts w:hint="eastAsia" w:ascii="宋体" w:hAnsi="宋体" w:eastAsia="宋体" w:cs="宋体"/>
          <w:b/>
          <w:bCs w:val="0"/>
          <w:color w:val="auto"/>
          <w:sz w:val="21"/>
          <w:szCs w:val="21"/>
          <w:u w:val="none"/>
        </w:rPr>
        <w:t>日前，按《投标邀请函》中的联系方式，以书面形式告知采购代理机构。对您的支持与配合，谨此致谢。</w:t>
      </w: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p>
    <w:p>
      <w:pPr>
        <w:pStyle w:val="33"/>
        <w:keepNext w:val="0"/>
        <w:keepLines w:val="0"/>
        <w:pageBreakBefore w:val="0"/>
        <w:widowControl/>
        <w:numPr>
          <w:ilvl w:val="0"/>
          <w:numId w:val="0"/>
        </w:numPr>
        <w:kinsoku/>
        <w:wordWrap/>
        <w:overflowPunct/>
        <w:topLinePunct w:val="0"/>
        <w:autoSpaceDE/>
        <w:autoSpaceDN/>
        <w:bidi w:val="0"/>
        <w:adjustRightInd w:val="0"/>
        <w:snapToGrid w:val="0"/>
        <w:spacing w:after="0" w:line="480" w:lineRule="auto"/>
        <w:ind w:leftChars="0"/>
        <w:textAlignment w:val="auto"/>
        <w:rPr>
          <w:rFonts w:hint="eastAsia" w:ascii="宋体" w:hAnsi="宋体" w:eastAsia="宋体" w:cs="宋体"/>
          <w:b/>
          <w:bCs w:val="0"/>
          <w:color w:val="auto"/>
          <w:sz w:val="21"/>
          <w:szCs w:val="21"/>
          <w:u w:val="none"/>
        </w:rPr>
      </w:pPr>
    </w:p>
    <w:p>
      <w:pPr>
        <w:keepNext w:val="0"/>
        <w:keepLines w:val="0"/>
        <w:pageBreakBefore w:val="0"/>
        <w:widowControl/>
        <w:kinsoku/>
        <w:wordWrap/>
        <w:overflowPunct/>
        <w:topLinePunct w:val="0"/>
        <w:autoSpaceDE/>
        <w:autoSpaceDN/>
        <w:bidi w:val="0"/>
        <w:adjustRightInd w:val="0"/>
        <w:snapToGrid w:val="0"/>
        <w:textAlignment w:val="auto"/>
        <w:rPr>
          <w:rFonts w:hint="default"/>
          <w:b/>
          <w:bCs/>
          <w:color w:val="auto"/>
          <w:sz w:val="24"/>
          <w:szCs w:val="24"/>
          <w:lang w:val="en-US" w:eastAsia="zh-CN"/>
        </w:rPr>
      </w:pPr>
      <w:r>
        <w:rPr>
          <w:rFonts w:hint="eastAsia"/>
          <w:b/>
          <w:bCs/>
          <w:color w:val="auto"/>
          <w:sz w:val="24"/>
          <w:szCs w:val="24"/>
          <w:lang w:val="en-US" w:eastAsia="zh-CN"/>
        </w:rPr>
        <w:t>11、公司位置：</w:t>
      </w: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eastAsia="宋体"/>
          <w:color w:val="auto"/>
          <w:sz w:val="40"/>
          <w:szCs w:val="40"/>
          <w:lang w:eastAsia="zh-CN"/>
        </w:rPr>
      </w:pPr>
      <w:r>
        <w:rPr>
          <w:rFonts w:hint="eastAsia" w:eastAsia="宋体"/>
          <w:color w:val="auto"/>
          <w:sz w:val="40"/>
          <w:szCs w:val="40"/>
          <w:lang w:eastAsia="zh-CN"/>
        </w:rPr>
        <w:drawing>
          <wp:inline distT="0" distB="0" distL="114300" distR="114300">
            <wp:extent cx="5266690" cy="4297680"/>
            <wp:effectExtent l="0" t="0" r="10160" b="7620"/>
            <wp:docPr id="15" name="图片 15" descr="6b06e13f751603eb58ed4f62016a9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6b06e13f751603eb58ed4f62016a95a"/>
                    <pic:cNvPicPr>
                      <a:picLocks noChangeAspect="1"/>
                    </pic:cNvPicPr>
                  </pic:nvPicPr>
                  <pic:blipFill>
                    <a:blip r:embed="rId15"/>
                    <a:stretch>
                      <a:fillRect/>
                    </a:stretch>
                  </pic:blipFill>
                  <pic:spPr>
                    <a:xfrm>
                      <a:off x="0" y="0"/>
                      <a:ext cx="5266690" cy="4297680"/>
                    </a:xfrm>
                    <a:prstGeom prst="rect">
                      <a:avLst/>
                    </a:prstGeom>
                  </pic:spPr>
                </pic:pic>
              </a:graphicData>
            </a:graphic>
          </wp:inline>
        </w:drawing>
      </w: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rPr>
        <w:sectPr>
          <w:footerReference r:id="rId10" w:type="first"/>
          <w:footerReference r:id="rId9"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rPr>
      </w:pP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rPr>
      </w:pP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rPr>
      </w:pP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rPr>
      </w:pP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rPr>
      </w:pP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rPr>
      </w:pP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rPr>
      </w:pP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rFonts w:hint="eastAsia"/>
          <w:color w:val="auto"/>
          <w:sz w:val="40"/>
          <w:szCs w:val="40"/>
        </w:rPr>
      </w:pPr>
    </w:p>
    <w:p>
      <w:pPr>
        <w:pStyle w:val="21"/>
        <w:keepNext w:val="0"/>
        <w:keepLines w:val="0"/>
        <w:pageBreakBefore w:val="0"/>
        <w:widowControl/>
        <w:kinsoku/>
        <w:wordWrap/>
        <w:overflowPunct/>
        <w:topLinePunct w:val="0"/>
        <w:autoSpaceDE/>
        <w:autoSpaceDN/>
        <w:bidi w:val="0"/>
        <w:adjustRightInd w:val="0"/>
        <w:snapToGrid w:val="0"/>
        <w:ind w:left="0" w:leftChars="0"/>
        <w:textAlignment w:val="auto"/>
        <w:rPr>
          <w:color w:val="auto"/>
          <w:sz w:val="40"/>
          <w:szCs w:val="40"/>
        </w:rPr>
      </w:pPr>
      <w:r>
        <w:rPr>
          <w:rFonts w:hint="eastAsia"/>
          <w:color w:val="auto"/>
          <w:sz w:val="40"/>
          <w:szCs w:val="40"/>
        </w:rPr>
        <w:t>目录</w:t>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cs="宋体"/>
          <w:color w:val="auto"/>
          <w:szCs w:val="21"/>
        </w:rPr>
        <w:fldChar w:fldCharType="begin"/>
      </w:r>
      <w:r>
        <w:rPr>
          <w:rFonts w:cs="宋体"/>
          <w:color w:val="auto"/>
          <w:szCs w:val="21"/>
        </w:rPr>
        <w:instrText xml:space="preserve">TOC \o "1-4" \h \u </w:instrText>
      </w:r>
      <w:r>
        <w:rPr>
          <w:rFonts w:cs="宋体"/>
          <w:color w:val="auto"/>
          <w:szCs w:val="21"/>
        </w:rPr>
        <w:fldChar w:fldCharType="separate"/>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第一部分 投标邀请</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_Toc7123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投标邀请书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_Toc7123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_Toc24505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第二部分 投标资料表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_Toc24505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_Toc5749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第三部分 评分权重分配表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_Toc5749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_Toc21613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商务技术评分及价格权重细则表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_Toc21613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_Toc30638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四</w:t>
      </w:r>
      <w:r>
        <w:rPr>
          <w:rFonts w:hint="eastAsia" w:ascii="宋体" w:hAnsi="宋体" w:eastAsia="宋体" w:cs="宋体"/>
          <w:color w:val="auto"/>
          <w:sz w:val="21"/>
          <w:szCs w:val="21"/>
        </w:rPr>
        <w:t>部分 投标人须知</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_Toc30638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_Toc11105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第一章</w:t>
      </w:r>
      <w:r>
        <w:rPr>
          <w:rFonts w:hint="eastAsia" w:ascii="宋体" w:hAnsi="宋体" w:eastAsia="宋体" w:cs="宋体"/>
          <w:color w:val="auto"/>
          <w:sz w:val="21"/>
          <w:szCs w:val="21"/>
        </w:rPr>
        <w:t>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_Toc11105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_Toc22803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1.适用范围</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_Toc22803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_Toc21002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2.定义</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_Toc21002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_Toc2996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3.货物和服务</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_Toc2996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_Toc12536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4.投标费用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_Toc12536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_Toc19094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5.知识产权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_Toc19094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_Toc8432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6.关于联合体投标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_Toc8432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_Toc13811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7.关于分支机构投标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_Toc13811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_Toc27045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第二章</w:t>
      </w:r>
      <w:r>
        <w:rPr>
          <w:rFonts w:hint="eastAsia" w:ascii="宋体" w:hAnsi="宋体" w:eastAsia="宋体" w:cs="宋体"/>
          <w:color w:val="auto"/>
          <w:sz w:val="21"/>
          <w:szCs w:val="21"/>
        </w:rPr>
        <w:t>招标文件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_Toc27045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8.招标文件的组成</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_Toc1423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_Toc7997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9.招标文件的澄清或修改</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_Toc7997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_Toc4773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第三章</w:t>
      </w:r>
      <w:r>
        <w:rPr>
          <w:rFonts w:hint="eastAsia" w:ascii="宋体" w:hAnsi="宋体" w:eastAsia="宋体" w:cs="宋体"/>
          <w:color w:val="auto"/>
          <w:sz w:val="21"/>
          <w:szCs w:val="21"/>
        </w:rPr>
        <w:t>投标文件的编制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_Toc4773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_Toc7434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10.投标文件的语言及度量衡单位</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_Toc7434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_Toc7728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11.投标文件的组成</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_Toc7728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_Toc3882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12.投标文件编制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_Toc3882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_Toc7847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13.投标报价说明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_Toc7847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_Toc18911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14.投标人所提供的服务或货物的证明文件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_Toc18911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_Toc30815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15.投标有效期</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_Toc30815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_Toc25817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16.投标保证金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_Toc25817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_Toc24109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第四章</w:t>
      </w:r>
      <w:r>
        <w:rPr>
          <w:rFonts w:hint="eastAsia" w:ascii="宋体" w:hAnsi="宋体" w:eastAsia="宋体" w:cs="宋体"/>
          <w:color w:val="auto"/>
          <w:sz w:val="21"/>
          <w:szCs w:val="21"/>
        </w:rPr>
        <w:t>投标文件的递交</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_Toc24109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_Toc473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17.投标文件的装订，签署，密封和标记</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_Toc473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_Toc17417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18.迟交的投标文件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_Toc17417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_Toc8526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19.投标样品（如需提交）</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_Toc8526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_Toc23477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20.投标截止期</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_Toc23477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_Toc15569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21.投标文件的补充、修改与撤回</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_Toc15569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_Toc5049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第五章</w:t>
      </w:r>
      <w:r>
        <w:rPr>
          <w:rFonts w:hint="eastAsia" w:ascii="宋体" w:hAnsi="宋体" w:eastAsia="宋体" w:cs="宋体"/>
          <w:color w:val="auto"/>
          <w:sz w:val="21"/>
          <w:szCs w:val="21"/>
        </w:rPr>
        <w:t>开标与评标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_Toc5049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_Toc24251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22.开标</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_Toc24251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_Toc4921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23.评标委员会及评标方法</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_Toc4921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_Toc26402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24.评审原则及评标过程的保密</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_Toc26402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_Toc16745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25.投标文件的初审</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_Toc16745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_Toc29184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26.商务、技术、价格评审（具体评审项目详见投标资料表）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_Toc29184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_Toc12115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w:t>
      </w:r>
      <w:r>
        <w:rPr>
          <w:rFonts w:hint="eastAsia" w:ascii="宋体" w:hAnsi="宋体" w:cs="宋体"/>
          <w:color w:val="auto"/>
          <w:sz w:val="21"/>
          <w:szCs w:val="21"/>
          <w:lang w:val="en-US" w:eastAsia="zh-CN"/>
        </w:rPr>
        <w:t>7</w:t>
      </w:r>
      <w:r>
        <w:rPr>
          <w:rFonts w:hint="eastAsia" w:ascii="宋体" w:hAnsi="宋体" w:eastAsia="宋体" w:cs="宋体"/>
          <w:color w:val="auto"/>
          <w:sz w:val="21"/>
          <w:szCs w:val="21"/>
        </w:rPr>
        <w:t>.纪律和保密事项</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_Toc12115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_Toc5528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第六章</w:t>
      </w:r>
      <w:r>
        <w:rPr>
          <w:rFonts w:hint="eastAsia" w:ascii="宋体" w:hAnsi="宋体" w:eastAsia="宋体" w:cs="宋体"/>
          <w:color w:val="auto"/>
          <w:sz w:val="21"/>
          <w:szCs w:val="21"/>
        </w:rPr>
        <w:t>授予合同</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_Toc5528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_Toc17778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2</w:t>
      </w:r>
      <w:r>
        <w:rPr>
          <w:rFonts w:hint="eastAsia" w:ascii="宋体" w:hAnsi="宋体" w:cs="宋体"/>
          <w:color w:val="auto"/>
          <w:sz w:val="21"/>
          <w:szCs w:val="21"/>
          <w:lang w:val="en-US" w:eastAsia="zh-CN"/>
        </w:rPr>
        <w:t>8</w:t>
      </w:r>
      <w:r>
        <w:rPr>
          <w:rFonts w:hint="eastAsia" w:ascii="宋体" w:hAnsi="宋体" w:eastAsia="宋体" w:cs="宋体"/>
          <w:color w:val="auto"/>
          <w:sz w:val="21"/>
          <w:szCs w:val="21"/>
        </w:rPr>
        <w:t>.合同授予标准</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_Toc17778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_Toc12440 </w:instrText>
      </w:r>
      <w:r>
        <w:rPr>
          <w:rFonts w:hint="eastAsia" w:ascii="宋体" w:hAnsi="宋体" w:eastAsia="宋体" w:cs="宋体"/>
          <w:color w:val="auto"/>
          <w:sz w:val="21"/>
          <w:szCs w:val="21"/>
        </w:rPr>
        <w:fldChar w:fldCharType="separate"/>
      </w:r>
      <w:r>
        <w:rPr>
          <w:rFonts w:hint="eastAsia" w:ascii="宋体" w:hAnsi="宋体" w:cs="宋体"/>
          <w:color w:val="auto"/>
          <w:sz w:val="21"/>
          <w:szCs w:val="21"/>
          <w:lang w:val="en-US" w:eastAsia="zh-CN"/>
        </w:rPr>
        <w:t>29</w:t>
      </w:r>
      <w:r>
        <w:rPr>
          <w:rFonts w:hint="eastAsia" w:ascii="宋体" w:hAnsi="宋体" w:eastAsia="宋体" w:cs="宋体"/>
          <w:color w:val="auto"/>
          <w:sz w:val="21"/>
          <w:szCs w:val="21"/>
        </w:rPr>
        <w:t>.发布采购结果</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_Toc12440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_Toc22262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w:t>
      </w:r>
      <w:r>
        <w:rPr>
          <w:rFonts w:hint="eastAsia" w:ascii="宋体" w:hAnsi="宋体" w:cs="宋体"/>
          <w:color w:val="auto"/>
          <w:sz w:val="21"/>
          <w:szCs w:val="21"/>
          <w:lang w:val="en-US" w:eastAsia="zh-CN"/>
        </w:rPr>
        <w:t>0</w:t>
      </w:r>
      <w:r>
        <w:rPr>
          <w:rFonts w:hint="eastAsia" w:ascii="宋体" w:hAnsi="宋体" w:eastAsia="宋体" w:cs="宋体"/>
          <w:color w:val="auto"/>
          <w:sz w:val="21"/>
          <w:szCs w:val="21"/>
        </w:rPr>
        <w:t>.合同的签订与履行</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_Toc22262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_Toc25756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w:t>
      </w:r>
      <w:r>
        <w:rPr>
          <w:rFonts w:hint="eastAsia" w:ascii="宋体" w:hAnsi="宋体" w:cs="宋体"/>
          <w:color w:val="auto"/>
          <w:sz w:val="21"/>
          <w:szCs w:val="21"/>
          <w:lang w:val="en-US" w:eastAsia="zh-CN"/>
        </w:rPr>
        <w:t>1</w:t>
      </w:r>
      <w:r>
        <w:rPr>
          <w:rFonts w:hint="eastAsia" w:ascii="宋体" w:hAnsi="宋体" w:eastAsia="宋体" w:cs="宋体"/>
          <w:color w:val="auto"/>
          <w:sz w:val="21"/>
          <w:szCs w:val="21"/>
        </w:rPr>
        <w:t>.履约保证金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_Toc25756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_Toc20699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第七章</w:t>
      </w:r>
      <w:r>
        <w:rPr>
          <w:rFonts w:hint="eastAsia" w:ascii="宋体" w:hAnsi="宋体" w:eastAsia="宋体" w:cs="宋体"/>
          <w:color w:val="auto"/>
          <w:sz w:val="21"/>
          <w:szCs w:val="21"/>
        </w:rPr>
        <w:t>询问或质疑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_Toc20699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_Toc17974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w:t>
      </w: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.询问</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_Toc17974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w:t>
      </w:r>
      <w:r>
        <w:rPr>
          <w:rFonts w:hint="eastAsia" w:ascii="宋体" w:hAnsi="宋体" w:cs="宋体"/>
          <w:color w:val="auto"/>
          <w:sz w:val="21"/>
          <w:szCs w:val="21"/>
          <w:lang w:val="en-US" w:eastAsia="zh-CN"/>
        </w:rPr>
        <w:t>3</w:t>
      </w:r>
      <w:r>
        <w:rPr>
          <w:rFonts w:hint="eastAsia" w:ascii="宋体" w:hAnsi="宋体" w:eastAsia="宋体" w:cs="宋体"/>
          <w:color w:val="auto"/>
          <w:sz w:val="21"/>
          <w:szCs w:val="21"/>
        </w:rPr>
        <w:t>.质疑</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_Toc5690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第八章</w:t>
      </w:r>
      <w:r>
        <w:rPr>
          <w:rFonts w:hint="eastAsia" w:ascii="宋体" w:hAnsi="宋体" w:eastAsia="宋体" w:cs="宋体"/>
          <w:color w:val="auto"/>
          <w:sz w:val="21"/>
          <w:szCs w:val="21"/>
        </w:rPr>
        <w:t>其他</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_Toc5690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_Toc21187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w:t>
      </w:r>
      <w:r>
        <w:rPr>
          <w:rFonts w:hint="eastAsia" w:ascii="宋体" w:hAnsi="宋体" w:cs="宋体"/>
          <w:color w:val="auto"/>
          <w:sz w:val="21"/>
          <w:szCs w:val="21"/>
          <w:lang w:val="en-US" w:eastAsia="zh-CN"/>
        </w:rPr>
        <w:t>4</w:t>
      </w:r>
      <w:r>
        <w:rPr>
          <w:rFonts w:hint="eastAsia" w:ascii="宋体" w:hAnsi="宋体" w:eastAsia="宋体" w:cs="宋体"/>
          <w:color w:val="auto"/>
          <w:sz w:val="21"/>
          <w:szCs w:val="21"/>
        </w:rPr>
        <w:t>.招标文件的解释权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_Toc21187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五</w:t>
      </w:r>
      <w:r>
        <w:rPr>
          <w:rFonts w:hint="eastAsia" w:ascii="宋体" w:hAnsi="宋体" w:eastAsia="宋体" w:cs="宋体"/>
          <w:color w:val="auto"/>
          <w:sz w:val="21"/>
          <w:szCs w:val="21"/>
        </w:rPr>
        <w:t>部分 用户需求书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_Toc382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_Toc1593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第一章 商务需求书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_Toc1593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_Toc19316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第二章 技术需求书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_Toc19316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_Toc12014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六</w:t>
      </w:r>
      <w:r>
        <w:rPr>
          <w:rFonts w:hint="eastAsia" w:ascii="宋体" w:hAnsi="宋体" w:eastAsia="宋体" w:cs="宋体"/>
          <w:color w:val="auto"/>
          <w:sz w:val="21"/>
          <w:szCs w:val="21"/>
        </w:rPr>
        <w:t>部分 合同格式（仅供参考）</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_Toc12014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39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合同格式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21"/>
        <w:keepNext w:val="0"/>
        <w:keepLines w:val="0"/>
        <w:pageBreakBefore w:val="0"/>
        <w:widowControl/>
        <w:tabs>
          <w:tab w:val="right" w:leader="dot" w:pos="8306"/>
          <w:tab w:val="clear" w:pos="8296"/>
        </w:tabs>
        <w:kinsoku/>
        <w:wordWrap/>
        <w:overflowPunct/>
        <w:topLinePunct w:val="0"/>
        <w:autoSpaceDE/>
        <w:autoSpaceDN/>
        <w:bidi w:val="0"/>
        <w:adjustRightInd w:val="0"/>
        <w:snapToGrid w:val="0"/>
        <w:spacing w:after="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第</w:t>
      </w:r>
      <w:r>
        <w:rPr>
          <w:rFonts w:hint="eastAsia" w:ascii="宋体" w:hAnsi="宋体" w:eastAsia="宋体" w:cs="宋体"/>
          <w:color w:val="auto"/>
          <w:sz w:val="21"/>
          <w:szCs w:val="21"/>
          <w:lang w:val="en-US" w:eastAsia="zh-CN"/>
        </w:rPr>
        <w:t>七</w:t>
      </w:r>
      <w:r>
        <w:rPr>
          <w:rFonts w:hint="eastAsia" w:ascii="宋体" w:hAnsi="宋体" w:eastAsia="宋体" w:cs="宋体"/>
          <w:color w:val="auto"/>
          <w:sz w:val="21"/>
          <w:szCs w:val="21"/>
        </w:rPr>
        <w:t>部分  投标文件格式</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_Toc1478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_Toc5794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投标文件目录</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_Toc5794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_Toc5670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评分标准索引表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_Toc5670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_Toc8194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第一章价格文件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_Toc8194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_Toc19750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一、唱标一览表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_Toc19750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_Toc31172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二、报价明细表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_Toc31172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49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_Toc6471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第二章商务文件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_Toc6471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_Toc1952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一、投标函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_Toc1952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_Toc28616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二、资格申明函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_Toc28616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_Toc32742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三、在参与采购活动前三年未有重大违法记录、没有不良信用记录的声明函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_Toc32742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_Toc3894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四、法定代表人证明书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_Toc3894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_Toc5626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五、法定代表人授权书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_Toc5626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_Toc18562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六、投标人基本情况说明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_Toc18562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_Toc28067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七、</w:t>
      </w:r>
      <w:r>
        <w:rPr>
          <w:rFonts w:hint="eastAsia" w:ascii="宋体" w:hAnsi="宋体" w:eastAsia="宋体" w:cs="宋体"/>
          <w:color w:val="auto"/>
          <w:sz w:val="21"/>
          <w:szCs w:val="21"/>
        </w:rPr>
        <w:t>营业执照</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_Toc28067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_Toc21638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八、</w:t>
      </w:r>
      <w:r>
        <w:rPr>
          <w:rFonts w:hint="eastAsia" w:ascii="宋体" w:hAnsi="宋体" w:eastAsia="宋体" w:cs="宋体"/>
          <w:color w:val="auto"/>
          <w:sz w:val="21"/>
          <w:szCs w:val="21"/>
        </w:rPr>
        <w:t>特殊资格要求证明文件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_Toc21638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_Toc14263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九、</w:t>
      </w:r>
      <w:r>
        <w:rPr>
          <w:rFonts w:hint="eastAsia" w:ascii="宋体" w:hAnsi="宋体" w:eastAsia="宋体" w:cs="宋体"/>
          <w:color w:val="auto"/>
          <w:sz w:val="21"/>
          <w:szCs w:val="21"/>
        </w:rPr>
        <w:t>承诺书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_Toc14263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_Toc13955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十、招标代理服务费承诺书</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_Toc13955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59</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_Toc12598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十一、</w:t>
      </w:r>
      <w:r>
        <w:rPr>
          <w:rFonts w:hint="eastAsia" w:ascii="宋体" w:hAnsi="宋体" w:eastAsia="宋体" w:cs="宋体"/>
          <w:color w:val="auto"/>
          <w:sz w:val="21"/>
          <w:szCs w:val="21"/>
        </w:rPr>
        <w:t>商务条款偏离表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_Toc12598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_Toc19276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十二、</w:t>
      </w:r>
      <w:r>
        <w:rPr>
          <w:rFonts w:hint="eastAsia" w:ascii="宋体" w:hAnsi="宋体" w:eastAsia="宋体" w:cs="宋体"/>
          <w:color w:val="auto"/>
          <w:sz w:val="21"/>
          <w:szCs w:val="21"/>
        </w:rPr>
        <w:t>业绩表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_Toc19276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61</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_Toc20520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第三章技术文件</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_Toc20520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_Toc13097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一、</w:t>
      </w:r>
      <w:r>
        <w:rPr>
          <w:rFonts w:hint="eastAsia" w:ascii="宋体" w:hAnsi="宋体" w:eastAsia="宋体" w:cs="宋体"/>
          <w:color w:val="auto"/>
          <w:sz w:val="21"/>
          <w:szCs w:val="21"/>
        </w:rPr>
        <w:t>技术规格偏离表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_Toc13097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_Toc13461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二、</w:t>
      </w:r>
      <w:r>
        <w:rPr>
          <w:rFonts w:hint="eastAsia" w:ascii="宋体" w:hAnsi="宋体" w:eastAsia="宋体" w:cs="宋体"/>
          <w:color w:val="auto"/>
          <w:sz w:val="21"/>
          <w:szCs w:val="21"/>
        </w:rPr>
        <w:t>重要技术参数（▲）响应表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_Toc13461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63</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_Toc27139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三、</w:t>
      </w:r>
      <w:r>
        <w:rPr>
          <w:rFonts w:hint="eastAsia" w:ascii="宋体" w:hAnsi="宋体" w:eastAsia="宋体" w:cs="宋体"/>
          <w:color w:val="auto"/>
          <w:sz w:val="21"/>
          <w:szCs w:val="21"/>
        </w:rPr>
        <w:t>实质性条款（标记★）投标响应表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_Toc27139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_Toc21519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四、</w:t>
      </w:r>
      <w:r>
        <w:rPr>
          <w:rFonts w:hint="eastAsia" w:ascii="宋体" w:hAnsi="宋体" w:eastAsia="宋体" w:cs="宋体"/>
          <w:color w:val="auto"/>
          <w:sz w:val="21"/>
          <w:szCs w:val="21"/>
        </w:rPr>
        <w:t>项目</w:t>
      </w:r>
      <w:r>
        <w:rPr>
          <w:rFonts w:hint="eastAsia" w:ascii="宋体" w:hAnsi="宋体" w:eastAsia="宋体" w:cs="宋体"/>
          <w:color w:val="auto"/>
          <w:sz w:val="21"/>
          <w:szCs w:val="21"/>
          <w:lang w:val="en-US" w:eastAsia="zh-CN"/>
        </w:rPr>
        <w:t>技术</w:t>
      </w:r>
      <w:r>
        <w:rPr>
          <w:rFonts w:hint="eastAsia" w:ascii="宋体" w:hAnsi="宋体" w:eastAsia="宋体" w:cs="宋体"/>
          <w:color w:val="auto"/>
          <w:sz w:val="21"/>
          <w:szCs w:val="21"/>
        </w:rPr>
        <w:t>方案</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_Toc21519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五、项目负责人及团队成员资料表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_Toc26880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66</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_Toc26980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六、投标货物明细一览表</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_Toc26980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67</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_Toc16710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七、投标保证金汇入情况说明</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_Toc16710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68</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_Toc26855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八、采购投标担保函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_Toc26855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70</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_Toc6961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九、采购履约担保函</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_Toc6961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72</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_Toc26772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第四章唱标信封（单独封装）</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_Toc26772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74</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0"/>
        <w:keepNext w:val="0"/>
        <w:keepLines w:val="0"/>
        <w:pageBreakBefore w:val="0"/>
        <w:widowControl/>
        <w:tabs>
          <w:tab w:val="right" w:leader="dot" w:pos="8306"/>
          <w:tab w:val="clear" w:pos="8296"/>
        </w:tabs>
        <w:kinsoku/>
        <w:wordWrap/>
        <w:overflowPunct/>
        <w:topLinePunct w:val="0"/>
        <w:autoSpaceDE/>
        <w:autoSpaceDN/>
        <w:bidi w:val="0"/>
        <w:adjustRightInd w:val="0"/>
        <w:snapToGrid w:val="0"/>
        <w:ind w:left="0" w:leftChars="0"/>
        <w:textAlignment w:val="auto"/>
        <w:rPr>
          <w:color w:val="auto"/>
        </w:rPr>
      </w:pP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HYPERLINK \l _Toc2710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lang w:val="en-US" w:eastAsia="zh-CN"/>
        </w:rPr>
        <w:t>第五章联合体共同投标协议书（如有需要）</w:t>
      </w:r>
      <w:r>
        <w:rPr>
          <w:rFonts w:hint="eastAsia" w:ascii="宋体" w:hAnsi="宋体" w:eastAsia="宋体" w:cs="宋体"/>
          <w:color w:val="auto"/>
          <w:sz w:val="21"/>
          <w:szCs w:val="21"/>
        </w:rPr>
        <w:tab/>
      </w:r>
      <w:r>
        <w:rPr>
          <w:rFonts w:hint="eastAsia" w:ascii="宋体" w:hAnsi="宋体" w:eastAsia="宋体" w:cs="宋体"/>
          <w:color w:val="auto"/>
          <w:sz w:val="21"/>
          <w:szCs w:val="21"/>
        </w:rPr>
        <w:fldChar w:fldCharType="begin"/>
      </w:r>
      <w:r>
        <w:rPr>
          <w:rFonts w:hint="eastAsia" w:ascii="宋体" w:hAnsi="宋体" w:eastAsia="宋体" w:cs="宋体"/>
          <w:color w:val="auto"/>
          <w:sz w:val="21"/>
          <w:szCs w:val="21"/>
        </w:rPr>
        <w:instrText xml:space="preserve"> PAGEREF _Toc2710 </w:instrText>
      </w:r>
      <w:r>
        <w:rPr>
          <w:rFonts w:hint="eastAsia" w:ascii="宋体" w:hAnsi="宋体" w:eastAsia="宋体" w:cs="宋体"/>
          <w:color w:val="auto"/>
          <w:sz w:val="21"/>
          <w:szCs w:val="21"/>
        </w:rPr>
        <w:fldChar w:fldCharType="separate"/>
      </w:r>
      <w:r>
        <w:rPr>
          <w:rFonts w:hint="eastAsia" w:ascii="宋体" w:hAnsi="宋体" w:eastAsia="宋体" w:cs="宋体"/>
          <w:color w:val="auto"/>
          <w:sz w:val="21"/>
          <w:szCs w:val="21"/>
        </w:rPr>
        <w:t>75</w:t>
      </w:r>
      <w:r>
        <w:rPr>
          <w:rFonts w:hint="eastAsia" w:ascii="宋体" w:hAnsi="宋体" w:eastAsia="宋体" w:cs="宋体"/>
          <w:color w:val="auto"/>
          <w:sz w:val="21"/>
          <w:szCs w:val="21"/>
        </w:rPr>
        <w:fldChar w:fldCharType="end"/>
      </w:r>
      <w:r>
        <w:rPr>
          <w:rFonts w:hint="eastAsia" w:ascii="宋体" w:hAnsi="宋体" w:eastAsia="宋体" w:cs="宋体"/>
          <w:color w:val="auto"/>
          <w:sz w:val="21"/>
          <w:szCs w:val="21"/>
        </w:rPr>
        <w:fldChar w:fldCharType="end"/>
      </w:r>
    </w:p>
    <w:p>
      <w:pPr>
        <w:pStyle w:val="17"/>
        <w:tabs>
          <w:tab w:val="right" w:leader="dot" w:pos="8306"/>
          <w:tab w:val="clear" w:pos="8296"/>
        </w:tabs>
        <w:spacing w:after="0" w:line="360" w:lineRule="auto"/>
        <w:ind w:left="0" w:leftChars="0"/>
        <w:jc w:val="both"/>
        <w:rPr>
          <w:rFonts w:cs="宋体"/>
          <w:color w:val="auto"/>
          <w:szCs w:val="21"/>
        </w:rPr>
      </w:pPr>
      <w:r>
        <w:rPr>
          <w:rFonts w:cs="宋体"/>
          <w:color w:val="auto"/>
          <w:szCs w:val="21"/>
        </w:rPr>
        <w:fldChar w:fldCharType="end"/>
      </w:r>
    </w:p>
    <w:p>
      <w:pPr>
        <w:rPr>
          <w:rFonts w:ascii="宋体" w:hAnsi="宋体" w:eastAsia="宋体" w:cs="宋体"/>
          <w:color w:val="auto"/>
          <w:szCs w:val="21"/>
        </w:rPr>
      </w:pPr>
      <w:r>
        <w:rPr>
          <w:rFonts w:hint="eastAsia" w:ascii="宋体" w:hAnsi="宋体" w:eastAsia="宋体" w:cs="宋体"/>
          <w:color w:val="auto"/>
          <w:szCs w:val="21"/>
        </w:rPr>
        <w:br w:type="page"/>
      </w:r>
    </w:p>
    <w:p>
      <w:pPr>
        <w:pStyle w:val="3"/>
        <w:spacing w:before="0" w:after="0" w:line="240" w:lineRule="auto"/>
        <w:rPr>
          <w:color w:val="auto"/>
          <w:sz w:val="28"/>
          <w:szCs w:val="28"/>
        </w:rPr>
      </w:pPr>
      <w:bookmarkStart w:id="0" w:name="_Toc17306"/>
      <w:bookmarkStart w:id="1" w:name="_Toc2456"/>
      <w:r>
        <w:rPr>
          <w:rFonts w:hint="eastAsia"/>
          <w:color w:val="auto"/>
          <w:sz w:val="28"/>
          <w:szCs w:val="28"/>
        </w:rPr>
        <w:t>第一部分 投标邀请</w:t>
      </w:r>
      <w:bookmarkEnd w:id="0"/>
      <w:bookmarkEnd w:id="1"/>
    </w:p>
    <w:p>
      <w:pPr>
        <w:pStyle w:val="4"/>
        <w:spacing w:before="0" w:after="0" w:line="360" w:lineRule="auto"/>
        <w:jc w:val="center"/>
        <w:rPr>
          <w:rFonts w:ascii="宋体" w:hAnsi="宋体" w:eastAsia="宋体" w:cs="宋体"/>
          <w:color w:val="auto"/>
        </w:rPr>
      </w:pPr>
      <w:bookmarkStart w:id="2" w:name="_Toc7123"/>
      <w:bookmarkStart w:id="3" w:name="_Toc1420"/>
      <w:bookmarkStart w:id="4" w:name="_Toc8850"/>
      <w:r>
        <w:rPr>
          <w:rFonts w:hint="eastAsia" w:ascii="宋体" w:hAnsi="宋体" w:eastAsia="宋体" w:cs="宋体"/>
          <w:color w:val="auto"/>
        </w:rPr>
        <w:t>投标邀请书</w:t>
      </w:r>
      <w:bookmarkEnd w:id="2"/>
      <w:bookmarkEnd w:id="3"/>
      <w:bookmarkEnd w:id="4"/>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lang w:eastAsia="zh-CN"/>
        </w:rPr>
        <w:t>广东政通招标有限公司</w:t>
      </w:r>
      <w:r>
        <w:rPr>
          <w:rFonts w:ascii="宋体" w:hAnsi="宋体" w:eastAsia="宋体"/>
          <w:color w:val="auto"/>
          <w:sz w:val="21"/>
          <w:szCs w:val="21"/>
        </w:rPr>
        <w:t>（以下简称</w:t>
      </w:r>
      <w:r>
        <w:rPr>
          <w:rFonts w:hint="eastAsia" w:ascii="宋体" w:hAnsi="宋体" w:eastAsia="宋体"/>
          <w:color w:val="auto"/>
          <w:sz w:val="21"/>
          <w:szCs w:val="21"/>
        </w:rPr>
        <w:t>“采购代理机构”</w:t>
      </w:r>
      <w:r>
        <w:rPr>
          <w:rFonts w:ascii="宋体" w:hAnsi="宋体" w:eastAsia="宋体"/>
          <w:color w:val="auto"/>
          <w:sz w:val="21"/>
          <w:szCs w:val="21"/>
        </w:rPr>
        <w:t>）受</w:t>
      </w:r>
      <w:r>
        <w:rPr>
          <w:rFonts w:hint="eastAsia" w:ascii="宋体" w:hAnsi="宋体" w:cs="宋体"/>
          <w:b/>
          <w:bCs/>
          <w:color w:val="auto"/>
          <w:sz w:val="21"/>
          <w:szCs w:val="21"/>
          <w:highlight w:val="none"/>
          <w:u w:val="single"/>
          <w:lang w:val="en-US" w:eastAsia="zh-CN"/>
        </w:rPr>
        <w:t>东莞新锋光伏能源科技有限公司</w:t>
      </w:r>
      <w:r>
        <w:rPr>
          <w:rFonts w:ascii="宋体" w:hAnsi="宋体" w:eastAsia="宋体"/>
          <w:color w:val="auto"/>
          <w:sz w:val="21"/>
          <w:szCs w:val="21"/>
        </w:rPr>
        <w:t>（以下简称</w:t>
      </w:r>
      <w:r>
        <w:rPr>
          <w:rFonts w:hint="eastAsia" w:ascii="宋体" w:hAnsi="宋体" w:eastAsia="宋体"/>
          <w:color w:val="auto"/>
          <w:sz w:val="21"/>
          <w:szCs w:val="21"/>
        </w:rPr>
        <w:t>“采购人”</w:t>
      </w:r>
      <w:r>
        <w:rPr>
          <w:rFonts w:ascii="宋体" w:hAnsi="宋体" w:eastAsia="宋体"/>
          <w:color w:val="auto"/>
          <w:sz w:val="21"/>
          <w:szCs w:val="21"/>
        </w:rPr>
        <w:t>）委托，</w:t>
      </w:r>
      <w:r>
        <w:rPr>
          <w:rFonts w:hint="eastAsia" w:ascii="宋体" w:hAnsi="宋体" w:eastAsia="宋体"/>
          <w:color w:val="auto"/>
          <w:sz w:val="21"/>
          <w:szCs w:val="21"/>
        </w:rPr>
        <w:t>现</w:t>
      </w:r>
      <w:r>
        <w:rPr>
          <w:rFonts w:ascii="宋体" w:hAnsi="宋体" w:eastAsia="宋体"/>
          <w:color w:val="auto"/>
          <w:sz w:val="21"/>
          <w:szCs w:val="21"/>
        </w:rPr>
        <w:t>就</w:t>
      </w:r>
      <w:r>
        <w:rPr>
          <w:rFonts w:hint="eastAsia" w:ascii="宋体" w:hAnsi="宋体" w:cs="宋体"/>
          <w:b/>
          <w:bCs/>
          <w:color w:val="auto"/>
          <w:sz w:val="21"/>
          <w:szCs w:val="21"/>
          <w:highlight w:val="none"/>
          <w:u w:val="single"/>
          <w:lang w:val="en-US" w:eastAsia="zh-CN"/>
        </w:rPr>
        <w:t>东莞新锋光伏能源科技有限公司光伏储能新能源工程设计服务资格采购项目</w:t>
      </w:r>
      <w:r>
        <w:rPr>
          <w:rFonts w:hint="eastAsia" w:ascii="宋体" w:hAnsi="宋体" w:eastAsia="宋体" w:cs="Times New Roman"/>
          <w:color w:val="auto"/>
          <w:sz w:val="21"/>
          <w:szCs w:val="21"/>
        </w:rPr>
        <w:t>进行国内公开招标采购</w:t>
      </w:r>
      <w:r>
        <w:rPr>
          <w:rFonts w:hint="eastAsia" w:ascii="宋体" w:hAnsi="宋体" w:eastAsia="宋体"/>
          <w:color w:val="auto"/>
          <w:sz w:val="21"/>
          <w:szCs w:val="21"/>
        </w:rPr>
        <w:t>，欢迎符合招标文件要求的国内投标人参加投标</w:t>
      </w:r>
      <w:r>
        <w:rPr>
          <w:rFonts w:ascii="宋体" w:hAnsi="宋体" w:eastAsia="宋体"/>
          <w:color w:val="auto"/>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color w:val="auto"/>
          <w:sz w:val="21"/>
          <w:szCs w:val="21"/>
        </w:rPr>
      </w:pPr>
    </w:p>
    <w:p>
      <w:pPr>
        <w:numPr>
          <w:ilvl w:val="0"/>
          <w:numId w:val="1"/>
        </w:numPr>
        <w:spacing w:after="0" w:line="360" w:lineRule="auto"/>
        <w:ind w:firstLine="413" w:firstLineChars="196"/>
        <w:rPr>
          <w:rFonts w:hint="eastAsia" w:ascii="宋体" w:hAnsi="宋体" w:eastAsia="宋体"/>
          <w:b/>
          <w:color w:val="auto"/>
          <w:sz w:val="21"/>
          <w:szCs w:val="21"/>
          <w:lang w:val="en-US" w:eastAsia="zh-CN"/>
        </w:rPr>
      </w:pPr>
      <w:r>
        <w:rPr>
          <w:rFonts w:hint="eastAsia" w:ascii="宋体" w:hAnsi="宋体" w:eastAsia="宋体"/>
          <w:b/>
          <w:color w:val="auto"/>
          <w:sz w:val="21"/>
          <w:szCs w:val="21"/>
        </w:rPr>
        <w:t>招标项目</w:t>
      </w:r>
      <w:r>
        <w:rPr>
          <w:rFonts w:hint="eastAsia" w:ascii="宋体" w:hAnsi="宋体" w:eastAsia="宋体"/>
          <w:b/>
          <w:color w:val="auto"/>
          <w:sz w:val="21"/>
          <w:szCs w:val="21"/>
          <w:lang w:val="en-US" w:eastAsia="zh-CN"/>
        </w:rPr>
        <w:t>信息</w:t>
      </w:r>
    </w:p>
    <w:p>
      <w:pPr>
        <w:numPr>
          <w:ilvl w:val="0"/>
          <w:numId w:val="2"/>
        </w:numPr>
        <w:spacing w:after="0" w:line="360" w:lineRule="auto"/>
        <w:ind w:firstLine="420" w:firstLineChars="200"/>
        <w:rPr>
          <w:rFonts w:hint="eastAsia" w:ascii="宋体" w:hAnsi="宋体" w:eastAsia="宋体"/>
          <w:color w:val="auto"/>
          <w:sz w:val="21"/>
          <w:szCs w:val="21"/>
          <w:lang w:val="en-US" w:eastAsia="zh-CN"/>
        </w:rPr>
      </w:pPr>
      <w:r>
        <w:rPr>
          <w:rFonts w:hint="eastAsia" w:ascii="宋体" w:hAnsi="宋体" w:eastAsia="宋体"/>
          <w:color w:val="auto"/>
          <w:sz w:val="21"/>
          <w:szCs w:val="21"/>
        </w:rPr>
        <w:t>项目</w:t>
      </w:r>
      <w:r>
        <w:rPr>
          <w:rFonts w:hint="eastAsia" w:ascii="宋体" w:hAnsi="宋体" w:eastAsia="宋体"/>
          <w:color w:val="auto"/>
          <w:sz w:val="21"/>
          <w:szCs w:val="21"/>
          <w:lang w:val="en-US" w:eastAsia="zh-CN"/>
        </w:rPr>
        <w:t>编号：</w:t>
      </w:r>
      <w:r>
        <w:rPr>
          <w:rFonts w:hint="eastAsia" w:ascii="宋体" w:hAnsi="宋体"/>
          <w:color w:val="auto"/>
          <w:sz w:val="21"/>
          <w:szCs w:val="21"/>
          <w:lang w:val="en-US" w:eastAsia="zh-CN"/>
        </w:rPr>
        <w:t>GDZT2022119C</w:t>
      </w:r>
      <w:r>
        <w:rPr>
          <w:rFonts w:hint="eastAsia" w:ascii="宋体" w:hAnsi="宋体" w:eastAsia="宋体"/>
          <w:color w:val="auto"/>
          <w:sz w:val="21"/>
          <w:szCs w:val="21"/>
          <w:lang w:val="en-US" w:eastAsia="zh-CN"/>
        </w:rPr>
        <w:t>；</w:t>
      </w:r>
    </w:p>
    <w:p>
      <w:pPr>
        <w:numPr>
          <w:ilvl w:val="0"/>
          <w:numId w:val="2"/>
        </w:numPr>
        <w:spacing w:after="0" w:line="360" w:lineRule="auto"/>
        <w:ind w:firstLine="420" w:firstLineChars="200"/>
        <w:rPr>
          <w:rFonts w:hint="eastAsia" w:ascii="宋体" w:hAnsi="宋体" w:eastAsia="宋体"/>
          <w:color w:val="auto"/>
          <w:sz w:val="21"/>
          <w:szCs w:val="21"/>
          <w:lang w:val="en-US" w:eastAsia="zh-CN"/>
        </w:rPr>
      </w:pPr>
      <w:r>
        <w:rPr>
          <w:rFonts w:hint="eastAsia" w:ascii="宋体" w:hAnsi="宋体" w:eastAsia="宋体"/>
          <w:color w:val="auto"/>
          <w:sz w:val="21"/>
          <w:szCs w:val="21"/>
        </w:rPr>
        <w:t>项目</w:t>
      </w:r>
      <w:r>
        <w:rPr>
          <w:rFonts w:hint="eastAsia" w:ascii="宋体" w:hAnsi="宋体" w:eastAsia="宋体"/>
          <w:color w:val="auto"/>
          <w:sz w:val="21"/>
          <w:szCs w:val="21"/>
          <w:lang w:val="en-US" w:eastAsia="zh-CN"/>
        </w:rPr>
        <w:t>名称：</w:t>
      </w:r>
      <w:r>
        <w:rPr>
          <w:rFonts w:hint="eastAsia" w:ascii="宋体" w:hAnsi="宋体"/>
          <w:color w:val="auto"/>
          <w:sz w:val="21"/>
          <w:szCs w:val="21"/>
          <w:lang w:val="en-US" w:eastAsia="zh-CN"/>
        </w:rPr>
        <w:t>东莞新锋光伏能源科技有限公司光伏储能新能源工程设计服务资格采购项目</w:t>
      </w:r>
      <w:r>
        <w:rPr>
          <w:rFonts w:hint="eastAsia" w:ascii="宋体" w:hAnsi="宋体" w:eastAsia="宋体"/>
          <w:color w:val="auto"/>
          <w:sz w:val="21"/>
          <w:szCs w:val="21"/>
          <w:lang w:val="en-US" w:eastAsia="zh-CN"/>
        </w:rPr>
        <w:t>；</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lang w:val="en-US" w:eastAsia="zh-CN"/>
        </w:rPr>
        <w:t>3</w:t>
      </w:r>
      <w:r>
        <w:rPr>
          <w:rFonts w:hint="eastAsia" w:ascii="宋体" w:hAnsi="宋体" w:eastAsia="宋体"/>
          <w:color w:val="auto"/>
          <w:sz w:val="21"/>
          <w:szCs w:val="21"/>
        </w:rPr>
        <w:t>、项目内容：</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20"/>
        <w:gridCol w:w="1684"/>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3420" w:type="dxa"/>
            <w:noWrap w:val="0"/>
            <w:vAlign w:val="center"/>
          </w:tcPr>
          <w:p>
            <w:pPr>
              <w:pageBreakBefore w:val="0"/>
              <w:kinsoku/>
              <w:wordWrap/>
              <w:overflowPunct/>
              <w:topLinePunct w:val="0"/>
              <w:bidi w:val="0"/>
              <w:adjustRightInd w:val="0"/>
              <w:spacing w:after="0" w:line="360" w:lineRule="auto"/>
              <w:jc w:val="center"/>
              <w:textAlignment w:val="auto"/>
              <w:rPr>
                <w:rFonts w:hint="eastAsia" w:ascii="宋体" w:hAnsi="宋体" w:eastAsia="宋体" w:cs="宋体"/>
                <w:color w:val="auto"/>
                <w:kern w:val="28"/>
                <w:sz w:val="21"/>
                <w:szCs w:val="21"/>
                <w:highlight w:val="none"/>
              </w:rPr>
            </w:pPr>
            <w:r>
              <w:rPr>
                <w:rFonts w:hint="eastAsia" w:ascii="宋体" w:hAnsi="宋体" w:eastAsia="宋体" w:cs="宋体"/>
                <w:color w:val="auto"/>
                <w:kern w:val="28"/>
                <w:sz w:val="21"/>
                <w:szCs w:val="21"/>
                <w:highlight w:val="none"/>
              </w:rPr>
              <w:t>项目采购内容</w:t>
            </w:r>
          </w:p>
        </w:tc>
        <w:tc>
          <w:tcPr>
            <w:tcW w:w="1684" w:type="dxa"/>
            <w:noWrap w:val="0"/>
            <w:vAlign w:val="center"/>
          </w:tcPr>
          <w:p>
            <w:pPr>
              <w:pageBreakBefore w:val="0"/>
              <w:kinsoku/>
              <w:wordWrap/>
              <w:overflowPunct/>
              <w:topLinePunct w:val="0"/>
              <w:bidi w:val="0"/>
              <w:adjustRightInd w:val="0"/>
              <w:spacing w:after="0" w:line="360" w:lineRule="auto"/>
              <w:jc w:val="center"/>
              <w:textAlignment w:val="auto"/>
              <w:rPr>
                <w:rFonts w:hint="eastAsia" w:ascii="宋体" w:hAnsi="宋体" w:eastAsia="宋体" w:cs="宋体"/>
                <w:color w:val="auto"/>
                <w:kern w:val="28"/>
                <w:sz w:val="21"/>
                <w:szCs w:val="21"/>
                <w:highlight w:val="none"/>
              </w:rPr>
            </w:pPr>
            <w:r>
              <w:rPr>
                <w:rFonts w:hint="eastAsia" w:ascii="宋体" w:hAnsi="宋体" w:eastAsia="宋体" w:cs="宋体"/>
                <w:color w:val="auto"/>
                <w:kern w:val="28"/>
                <w:sz w:val="21"/>
                <w:szCs w:val="21"/>
                <w:highlight w:val="none"/>
              </w:rPr>
              <w:t>入围家数</w:t>
            </w:r>
          </w:p>
        </w:tc>
        <w:tc>
          <w:tcPr>
            <w:tcW w:w="2851" w:type="dxa"/>
            <w:noWrap w:val="0"/>
            <w:vAlign w:val="center"/>
          </w:tcPr>
          <w:p>
            <w:pPr>
              <w:pageBreakBefore w:val="0"/>
              <w:kinsoku/>
              <w:wordWrap/>
              <w:overflowPunct/>
              <w:topLinePunct w:val="0"/>
              <w:bidi w:val="0"/>
              <w:adjustRightInd w:val="0"/>
              <w:spacing w:after="0" w:line="360" w:lineRule="auto"/>
              <w:jc w:val="center"/>
              <w:textAlignment w:val="auto"/>
              <w:rPr>
                <w:rFonts w:hint="eastAsia" w:ascii="宋体" w:hAnsi="宋体" w:eastAsia="宋体" w:cs="宋体"/>
                <w:color w:val="auto"/>
                <w:kern w:val="28"/>
                <w:sz w:val="21"/>
                <w:szCs w:val="21"/>
                <w:highlight w:val="none"/>
              </w:rPr>
            </w:pPr>
            <w:r>
              <w:rPr>
                <w:rFonts w:hint="eastAsia" w:ascii="宋体" w:hAnsi="宋体" w:eastAsia="宋体" w:cs="宋体"/>
                <w:color w:val="auto"/>
                <w:kern w:val="28"/>
                <w:sz w:val="21"/>
                <w:szCs w:val="21"/>
                <w:highlight w:val="none"/>
              </w:rPr>
              <w:t>服务期限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3420" w:type="dxa"/>
            <w:noWrap w:val="0"/>
            <w:vAlign w:val="center"/>
          </w:tcPr>
          <w:p>
            <w:pPr>
              <w:pageBreakBefore w:val="0"/>
              <w:kinsoku/>
              <w:wordWrap/>
              <w:overflowPunct/>
              <w:topLinePunct w:val="0"/>
              <w:bidi w:val="0"/>
              <w:adjustRightInd w:val="0"/>
              <w:spacing w:after="0" w:line="360" w:lineRule="auto"/>
              <w:jc w:val="center"/>
              <w:textAlignment w:val="auto"/>
              <w:rPr>
                <w:rFonts w:hint="eastAsia"/>
                <w:lang w:eastAsia="zh-CN"/>
              </w:rPr>
            </w:pPr>
            <w:r>
              <w:rPr>
                <w:rFonts w:hint="eastAsia" w:ascii="宋体" w:hAnsi="宋体"/>
                <w:color w:val="auto"/>
                <w:sz w:val="21"/>
                <w:szCs w:val="21"/>
                <w:lang w:val="en-US" w:eastAsia="zh-CN"/>
              </w:rPr>
              <w:t>光伏储能新能源工程设计</w:t>
            </w:r>
            <w:r>
              <w:rPr>
                <w:rFonts w:hint="eastAsia"/>
                <w:lang w:eastAsia="zh-CN"/>
              </w:rPr>
              <w:t>单位协议供应商</w:t>
            </w:r>
          </w:p>
        </w:tc>
        <w:tc>
          <w:tcPr>
            <w:tcW w:w="1684" w:type="dxa"/>
            <w:noWrap w:val="0"/>
            <w:vAlign w:val="center"/>
          </w:tcPr>
          <w:p>
            <w:pPr>
              <w:pageBreakBefore w:val="0"/>
              <w:kinsoku/>
              <w:wordWrap/>
              <w:overflowPunct/>
              <w:topLinePunct w:val="0"/>
              <w:bidi w:val="0"/>
              <w:adjustRightInd w:val="0"/>
              <w:spacing w:after="0" w:line="360" w:lineRule="auto"/>
              <w:jc w:val="center"/>
              <w:textAlignment w:val="auto"/>
              <w:rPr>
                <w:rFonts w:hint="eastAsia" w:ascii="宋体" w:hAnsi="宋体" w:eastAsia="宋体" w:cs="宋体"/>
                <w:color w:val="auto"/>
                <w:sz w:val="21"/>
                <w:szCs w:val="21"/>
                <w:highlight w:val="none"/>
                <w:lang w:eastAsia="zh-CN"/>
              </w:rPr>
            </w:pPr>
            <w:r>
              <w:rPr>
                <w:rFonts w:hint="eastAsia" w:ascii="宋体" w:hAnsi="宋体" w:cs="宋体"/>
                <w:color w:val="auto"/>
                <w:sz w:val="21"/>
                <w:szCs w:val="21"/>
                <w:highlight w:val="none"/>
                <w:lang w:val="en-US" w:eastAsia="zh-CN"/>
              </w:rPr>
              <w:t>三</w:t>
            </w:r>
            <w:r>
              <w:rPr>
                <w:rFonts w:hint="eastAsia" w:ascii="宋体" w:hAnsi="宋体" w:eastAsia="宋体" w:cs="宋体"/>
                <w:color w:val="auto"/>
                <w:sz w:val="21"/>
                <w:szCs w:val="21"/>
                <w:highlight w:val="none"/>
              </w:rPr>
              <w:t>家</w:t>
            </w:r>
          </w:p>
        </w:tc>
        <w:tc>
          <w:tcPr>
            <w:tcW w:w="2851" w:type="dxa"/>
            <w:noWrap w:val="0"/>
            <w:vAlign w:val="center"/>
          </w:tcPr>
          <w:p>
            <w:pPr>
              <w:pStyle w:val="58"/>
              <w:pageBreakBefore w:val="0"/>
              <w:kinsoku/>
              <w:wordWrap/>
              <w:overflowPunct/>
              <w:topLinePunct w:val="0"/>
              <w:bidi w:val="0"/>
              <w:adjustRightInd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确认服务资格之日起</w:t>
            </w:r>
            <w:r>
              <w:rPr>
                <w:rFonts w:hint="eastAsia" w:hAnsi="宋体" w:cs="宋体"/>
                <w:color w:val="auto"/>
                <w:sz w:val="21"/>
                <w:szCs w:val="21"/>
                <w:highlight w:val="none"/>
                <w:lang w:val="en-US" w:eastAsia="zh-CN"/>
              </w:rPr>
              <w:t>两</w:t>
            </w:r>
            <w:r>
              <w:rPr>
                <w:rFonts w:hint="eastAsia" w:ascii="宋体" w:hAnsi="宋体" w:eastAsia="宋体" w:cs="宋体"/>
                <w:color w:val="auto"/>
                <w:sz w:val="21"/>
                <w:szCs w:val="21"/>
                <w:highlight w:val="none"/>
              </w:rPr>
              <w:t>年</w:t>
            </w:r>
          </w:p>
        </w:tc>
      </w:tr>
    </w:tbl>
    <w:p>
      <w:pPr>
        <w:pStyle w:val="7"/>
        <w:keepNext w:val="0"/>
        <w:keepLines w:val="0"/>
        <w:pageBreakBefore w:val="0"/>
        <w:widowControl/>
        <w:numPr>
          <w:ilvl w:val="0"/>
          <w:numId w:val="0"/>
        </w:numPr>
        <w:kinsoku/>
        <w:wordWrap/>
        <w:overflowPunct/>
        <w:topLinePunct w:val="0"/>
        <w:autoSpaceDE/>
        <w:autoSpaceDN/>
        <w:bidi w:val="0"/>
        <w:adjustRightInd w:val="0"/>
        <w:snapToGrid w:val="0"/>
        <w:spacing w:before="0" w:after="0" w:line="360" w:lineRule="auto"/>
        <w:ind w:leftChars="0"/>
        <w:textAlignment w:val="auto"/>
        <w:rPr>
          <w:color w:val="auto"/>
          <w:sz w:val="21"/>
          <w:szCs w:val="21"/>
        </w:rPr>
      </w:pPr>
    </w:p>
    <w:p>
      <w:pPr>
        <w:spacing w:after="0" w:line="360" w:lineRule="auto"/>
        <w:ind w:firstLine="413" w:firstLineChars="196"/>
        <w:rPr>
          <w:rFonts w:ascii="宋体" w:hAnsi="宋体" w:eastAsia="宋体"/>
          <w:b/>
          <w:color w:val="auto"/>
          <w:sz w:val="21"/>
          <w:szCs w:val="21"/>
        </w:rPr>
      </w:pPr>
      <w:r>
        <w:rPr>
          <w:rFonts w:hint="eastAsia" w:ascii="宋体" w:hAnsi="宋体" w:eastAsia="宋体"/>
          <w:b/>
          <w:color w:val="auto"/>
          <w:sz w:val="21"/>
          <w:szCs w:val="21"/>
        </w:rPr>
        <w:t>二、投标人资格要求</w:t>
      </w:r>
    </w:p>
    <w:p>
      <w:pPr>
        <w:spacing w:after="0" w:line="360" w:lineRule="auto"/>
        <w:ind w:firstLine="411" w:firstLineChars="196"/>
        <w:rPr>
          <w:rFonts w:ascii="宋体" w:hAnsi="宋体" w:eastAsia="宋体"/>
          <w:color w:val="auto"/>
          <w:sz w:val="21"/>
          <w:szCs w:val="21"/>
        </w:rPr>
      </w:pPr>
      <w:r>
        <w:rPr>
          <w:rFonts w:hint="eastAsia" w:ascii="宋体" w:hAnsi="宋体" w:eastAsia="宋体"/>
          <w:color w:val="auto"/>
          <w:sz w:val="21"/>
          <w:szCs w:val="21"/>
        </w:rPr>
        <w:t>1、一般要求：</w:t>
      </w:r>
    </w:p>
    <w:p>
      <w:pPr>
        <w:ind w:firstLine="420" w:firstLineChars="200"/>
        <w:rPr>
          <w:rFonts w:ascii="宋体" w:hAnsi="宋体"/>
          <w:color w:val="auto"/>
          <w:szCs w:val="21"/>
        </w:rPr>
      </w:pPr>
      <w:r>
        <w:rPr>
          <w:rFonts w:hint="eastAsia" w:ascii="宋体" w:hAnsi="宋体"/>
          <w:color w:val="auto"/>
          <w:szCs w:val="21"/>
        </w:rPr>
        <w:t>（1）投标人须为在中华人民共和国境内登记注册的具有独立承担民事责任能力的法人或其他组织；</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（2）参加采购活动前三年内，在经营活动中没有重大违法记录（提供书面声明）；</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 xml:space="preserve">（3）投标人的单位负责人为同一人或者存在直接控股、管理关系的不同投标人，不得参加同一合同项下的采购活动。为本项目提供整体设计、规范编制或者项目管理、监理、检测等服务的投标人，不得参加本采购项目的采购活动； </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rPr>
        <w:t>（4）未被列入“信用中国”网站(www.creditchina.gov.cn )“记录失信被执行人或重大税收违法案件当事人名单或政府采购严重违法失信行为”记录名单；不处于中国政府采购网(www.ccgp.gov.cn )“政府采购严重违法失信行为信息记录”中的禁止参加政府采购活动期间。以代理机构于投标截止日当天在“信用中国”网站及中国政府采购网查询结果为准，如相关失信记录已失效，投标人需提供相关证明资料。</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rPr>
        <w:t>（</w:t>
      </w:r>
      <w:r>
        <w:rPr>
          <w:rFonts w:hint="eastAsia" w:ascii="宋体" w:hAnsi="宋体" w:eastAsia="宋体"/>
          <w:color w:val="auto"/>
          <w:sz w:val="21"/>
          <w:szCs w:val="21"/>
          <w:lang w:val="en-US" w:eastAsia="zh-CN"/>
        </w:rPr>
        <w:t>5</w:t>
      </w:r>
      <w:r>
        <w:rPr>
          <w:rFonts w:hint="eastAsia" w:ascii="宋体" w:hAnsi="宋体" w:eastAsia="宋体"/>
          <w:color w:val="auto"/>
          <w:sz w:val="21"/>
          <w:szCs w:val="21"/>
        </w:rPr>
        <w:t>）本项目（是/否）接受联合体投标：否</w:t>
      </w:r>
    </w:p>
    <w:p>
      <w:pPr>
        <w:bidi w:val="0"/>
        <w:rPr>
          <w:rFonts w:hint="eastAsia"/>
        </w:rPr>
      </w:pPr>
    </w:p>
    <w:p>
      <w:pPr>
        <w:spacing w:after="0" w:line="360" w:lineRule="auto"/>
        <w:ind w:firstLine="411" w:firstLineChars="196"/>
        <w:rPr>
          <w:rFonts w:ascii="宋体" w:hAnsi="宋体" w:eastAsia="宋体"/>
          <w:color w:val="auto"/>
          <w:sz w:val="21"/>
          <w:szCs w:val="21"/>
        </w:rPr>
      </w:pPr>
      <w:r>
        <w:rPr>
          <w:rFonts w:hint="eastAsia" w:ascii="宋体" w:hAnsi="宋体"/>
          <w:color w:val="auto"/>
          <w:sz w:val="21"/>
          <w:szCs w:val="21"/>
          <w:lang w:val="en-US" w:eastAsia="zh-CN"/>
        </w:rPr>
        <w:t>2</w:t>
      </w:r>
      <w:r>
        <w:rPr>
          <w:rFonts w:hint="eastAsia" w:ascii="宋体" w:hAnsi="宋体" w:eastAsia="宋体"/>
          <w:color w:val="auto"/>
          <w:sz w:val="21"/>
          <w:szCs w:val="21"/>
        </w:rPr>
        <w:t>、</w:t>
      </w:r>
      <w:r>
        <w:rPr>
          <w:rFonts w:hint="eastAsia" w:ascii="宋体" w:hAnsi="宋体"/>
          <w:color w:val="auto"/>
          <w:sz w:val="21"/>
          <w:szCs w:val="21"/>
          <w:lang w:val="en-US" w:eastAsia="zh-CN"/>
        </w:rPr>
        <w:t>特殊</w:t>
      </w:r>
      <w:r>
        <w:rPr>
          <w:rFonts w:hint="eastAsia" w:ascii="宋体" w:hAnsi="宋体" w:eastAsia="宋体"/>
          <w:color w:val="auto"/>
          <w:sz w:val="21"/>
          <w:szCs w:val="21"/>
        </w:rPr>
        <w:t>要求：</w:t>
      </w:r>
    </w:p>
    <w:p>
      <w:pPr>
        <w:spacing w:after="0" w:line="360" w:lineRule="auto"/>
        <w:ind w:firstLine="411" w:firstLineChars="196"/>
        <w:rPr>
          <w:rFonts w:hint="eastAsia" w:ascii="宋体" w:hAnsi="宋体" w:eastAsia="宋体" w:cs="宋体"/>
          <w:i w:val="0"/>
          <w:caps w:val="0"/>
          <w:color w:val="auto"/>
          <w:spacing w:val="0"/>
          <w:sz w:val="21"/>
          <w:szCs w:val="21"/>
          <w:lang w:eastAsia="zh-CN"/>
        </w:rPr>
      </w:pPr>
      <w:r>
        <w:rPr>
          <w:rFonts w:hint="eastAsia" w:ascii="宋体" w:hAnsi="宋体" w:eastAsia="宋体" w:cs="宋体"/>
          <w:color w:val="auto"/>
          <w:sz w:val="21"/>
          <w:szCs w:val="21"/>
          <w:highlight w:val="none"/>
          <w:lang w:val="en-US" w:eastAsia="zh-CN"/>
        </w:rPr>
        <w:t>投标人必须具有</w:t>
      </w:r>
      <w:r>
        <w:rPr>
          <w:rFonts w:hint="eastAsia" w:ascii="宋体" w:hAnsi="宋体" w:cs="宋体"/>
          <w:color w:val="auto"/>
          <w:sz w:val="21"/>
          <w:szCs w:val="21"/>
          <w:highlight w:val="none"/>
          <w:lang w:val="en-US" w:eastAsia="zh-CN"/>
        </w:rPr>
        <w:t>有效期内</w:t>
      </w:r>
      <w:r>
        <w:rPr>
          <w:rFonts w:hint="eastAsia" w:ascii="宋体" w:hAnsi="宋体" w:eastAsia="宋体" w:cs="宋体"/>
          <w:i w:val="0"/>
          <w:caps w:val="0"/>
          <w:color w:val="auto"/>
          <w:spacing w:val="0"/>
          <w:sz w:val="21"/>
          <w:szCs w:val="21"/>
        </w:rPr>
        <w:t>工程设计综合资质</w:t>
      </w:r>
      <w:r>
        <w:rPr>
          <w:rFonts w:hint="eastAsia" w:ascii="宋体" w:hAnsi="宋体" w:eastAsia="宋体" w:cs="宋体"/>
          <w:i w:val="0"/>
          <w:caps w:val="0"/>
          <w:color w:val="auto"/>
          <w:spacing w:val="0"/>
          <w:sz w:val="21"/>
          <w:szCs w:val="21"/>
          <w:lang w:eastAsia="zh-CN"/>
        </w:rPr>
        <w:t>，</w:t>
      </w:r>
      <w:r>
        <w:rPr>
          <w:rFonts w:hint="eastAsia" w:ascii="宋体" w:hAnsi="宋体" w:eastAsia="宋体" w:cs="宋体"/>
          <w:i w:val="0"/>
          <w:caps w:val="0"/>
          <w:color w:val="auto"/>
          <w:spacing w:val="0"/>
          <w:sz w:val="21"/>
          <w:szCs w:val="21"/>
          <w:lang w:val="en-US" w:eastAsia="zh-CN"/>
        </w:rPr>
        <w:t>或</w:t>
      </w:r>
      <w:r>
        <w:rPr>
          <w:rFonts w:hint="eastAsia" w:ascii="宋体" w:hAnsi="宋体" w:eastAsia="宋体" w:cs="宋体"/>
          <w:i w:val="0"/>
          <w:caps w:val="0"/>
          <w:color w:val="auto"/>
          <w:spacing w:val="0"/>
          <w:sz w:val="21"/>
          <w:szCs w:val="21"/>
        </w:rPr>
        <w:t>电力行</w:t>
      </w:r>
      <w:r>
        <w:rPr>
          <w:rFonts w:hint="eastAsia" w:ascii="宋体" w:hAnsi="宋体" w:eastAsia="宋体" w:cs="宋体"/>
          <w:i w:val="0"/>
          <w:caps w:val="0"/>
          <w:color w:val="auto"/>
          <w:spacing w:val="0"/>
          <w:sz w:val="21"/>
          <w:szCs w:val="21"/>
          <w:lang w:val="en-US" w:eastAsia="zh-CN"/>
        </w:rPr>
        <w:t>业</w:t>
      </w:r>
      <w:r>
        <w:rPr>
          <w:rFonts w:hint="eastAsia" w:ascii="宋体" w:hAnsi="宋体" w:eastAsia="宋体" w:cs="宋体"/>
          <w:i w:val="0"/>
          <w:caps w:val="0"/>
          <w:color w:val="auto"/>
          <w:spacing w:val="0"/>
          <w:sz w:val="21"/>
          <w:szCs w:val="21"/>
        </w:rPr>
        <w:t>设计</w:t>
      </w:r>
      <w:r>
        <w:rPr>
          <w:rFonts w:hint="eastAsia" w:ascii="宋体" w:hAnsi="宋体" w:cs="宋体"/>
          <w:i w:val="0"/>
          <w:caps w:val="0"/>
          <w:color w:val="auto"/>
          <w:spacing w:val="0"/>
          <w:sz w:val="21"/>
          <w:szCs w:val="21"/>
          <w:lang w:val="en-US" w:eastAsia="zh-CN"/>
        </w:rPr>
        <w:t>乙</w:t>
      </w:r>
      <w:r>
        <w:rPr>
          <w:rFonts w:hint="eastAsia" w:ascii="宋体" w:hAnsi="宋体" w:eastAsia="宋体" w:cs="宋体"/>
          <w:i w:val="0"/>
          <w:caps w:val="0"/>
          <w:color w:val="auto"/>
          <w:spacing w:val="0"/>
          <w:sz w:val="21"/>
          <w:szCs w:val="21"/>
        </w:rPr>
        <w:t>级</w:t>
      </w:r>
      <w:r>
        <w:rPr>
          <w:rFonts w:hint="eastAsia" w:ascii="宋体" w:hAnsi="宋体" w:eastAsia="宋体" w:cs="宋体"/>
          <w:i w:val="0"/>
          <w:caps w:val="0"/>
          <w:color w:val="auto"/>
          <w:spacing w:val="0"/>
          <w:sz w:val="21"/>
          <w:szCs w:val="21"/>
          <w:lang w:eastAsia="zh-CN"/>
        </w:rPr>
        <w:t>（</w:t>
      </w:r>
      <w:r>
        <w:rPr>
          <w:rFonts w:hint="eastAsia" w:ascii="宋体" w:hAnsi="宋体" w:eastAsia="宋体" w:cs="宋体"/>
          <w:i w:val="0"/>
          <w:caps w:val="0"/>
          <w:color w:val="auto"/>
          <w:spacing w:val="0"/>
          <w:sz w:val="21"/>
          <w:szCs w:val="21"/>
        </w:rPr>
        <w:t>或以上</w:t>
      </w:r>
      <w:r>
        <w:rPr>
          <w:rFonts w:hint="eastAsia" w:ascii="宋体" w:hAnsi="宋体" w:eastAsia="宋体" w:cs="宋体"/>
          <w:i w:val="0"/>
          <w:caps w:val="0"/>
          <w:color w:val="auto"/>
          <w:spacing w:val="0"/>
          <w:sz w:val="21"/>
          <w:szCs w:val="21"/>
          <w:lang w:eastAsia="zh-CN"/>
        </w:rPr>
        <w:t>）</w:t>
      </w:r>
      <w:r>
        <w:rPr>
          <w:rFonts w:hint="eastAsia" w:ascii="宋体" w:hAnsi="宋体" w:eastAsia="宋体" w:cs="宋体"/>
          <w:i w:val="0"/>
          <w:caps w:val="0"/>
          <w:color w:val="auto"/>
          <w:spacing w:val="0"/>
          <w:sz w:val="21"/>
          <w:szCs w:val="21"/>
        </w:rPr>
        <w:t>资质</w:t>
      </w:r>
      <w:r>
        <w:rPr>
          <w:rFonts w:hint="eastAsia" w:ascii="宋体" w:hAnsi="宋体" w:eastAsia="宋体" w:cs="宋体"/>
          <w:i w:val="0"/>
          <w:caps w:val="0"/>
          <w:color w:val="auto"/>
          <w:spacing w:val="0"/>
          <w:sz w:val="21"/>
          <w:szCs w:val="21"/>
          <w:lang w:eastAsia="zh-CN"/>
        </w:rPr>
        <w:t>，</w:t>
      </w:r>
      <w:r>
        <w:rPr>
          <w:rFonts w:hint="eastAsia" w:ascii="宋体" w:hAnsi="宋体" w:eastAsia="宋体" w:cs="宋体"/>
          <w:i w:val="0"/>
          <w:caps w:val="0"/>
          <w:color w:val="auto"/>
          <w:spacing w:val="0"/>
          <w:sz w:val="21"/>
          <w:szCs w:val="21"/>
        </w:rPr>
        <w:t>或送变电工程专业设计</w:t>
      </w:r>
      <w:r>
        <w:rPr>
          <w:rFonts w:hint="eastAsia" w:ascii="宋体" w:hAnsi="宋体" w:cs="宋体"/>
          <w:i w:val="0"/>
          <w:caps w:val="0"/>
          <w:color w:val="auto"/>
          <w:spacing w:val="0"/>
          <w:sz w:val="21"/>
          <w:szCs w:val="21"/>
          <w:lang w:val="en-US" w:eastAsia="zh-CN"/>
        </w:rPr>
        <w:t>乙</w:t>
      </w:r>
      <w:r>
        <w:rPr>
          <w:rFonts w:hint="eastAsia" w:ascii="宋体" w:hAnsi="宋体" w:eastAsia="宋体" w:cs="宋体"/>
          <w:i w:val="0"/>
          <w:caps w:val="0"/>
          <w:color w:val="auto"/>
          <w:spacing w:val="0"/>
          <w:sz w:val="21"/>
          <w:szCs w:val="21"/>
        </w:rPr>
        <w:t>级</w:t>
      </w:r>
      <w:r>
        <w:rPr>
          <w:rFonts w:hint="eastAsia" w:ascii="宋体" w:hAnsi="宋体" w:eastAsia="宋体" w:cs="宋体"/>
          <w:i w:val="0"/>
          <w:caps w:val="0"/>
          <w:color w:val="auto"/>
          <w:spacing w:val="0"/>
          <w:sz w:val="21"/>
          <w:szCs w:val="21"/>
          <w:lang w:eastAsia="zh-CN"/>
        </w:rPr>
        <w:t>（</w:t>
      </w:r>
      <w:r>
        <w:rPr>
          <w:rFonts w:hint="eastAsia" w:ascii="宋体" w:hAnsi="宋体" w:eastAsia="宋体" w:cs="宋体"/>
          <w:i w:val="0"/>
          <w:caps w:val="0"/>
          <w:color w:val="auto"/>
          <w:spacing w:val="0"/>
          <w:sz w:val="21"/>
          <w:szCs w:val="21"/>
        </w:rPr>
        <w:t>或以上</w:t>
      </w:r>
      <w:r>
        <w:rPr>
          <w:rFonts w:hint="eastAsia" w:ascii="宋体" w:hAnsi="宋体" w:eastAsia="宋体" w:cs="宋体"/>
          <w:i w:val="0"/>
          <w:caps w:val="0"/>
          <w:color w:val="auto"/>
          <w:spacing w:val="0"/>
          <w:sz w:val="21"/>
          <w:szCs w:val="21"/>
          <w:lang w:eastAsia="zh-CN"/>
        </w:rPr>
        <w:t>）</w:t>
      </w:r>
      <w:r>
        <w:rPr>
          <w:rFonts w:hint="eastAsia" w:ascii="宋体" w:hAnsi="宋体" w:eastAsia="宋体" w:cs="宋体"/>
          <w:i w:val="0"/>
          <w:caps w:val="0"/>
          <w:color w:val="auto"/>
          <w:spacing w:val="0"/>
          <w:sz w:val="21"/>
          <w:szCs w:val="21"/>
        </w:rPr>
        <w:t>资质</w:t>
      </w:r>
      <w:r>
        <w:rPr>
          <w:rFonts w:hint="eastAsia" w:ascii="宋体" w:hAnsi="宋体" w:cs="宋体"/>
          <w:i w:val="0"/>
          <w:caps w:val="0"/>
          <w:color w:val="auto"/>
          <w:spacing w:val="0"/>
          <w:sz w:val="21"/>
          <w:szCs w:val="21"/>
          <w:lang w:eastAsia="zh-CN"/>
        </w:rPr>
        <w:t>，</w:t>
      </w:r>
      <w:r>
        <w:rPr>
          <w:rFonts w:hint="eastAsia" w:ascii="宋体" w:hAnsi="宋体" w:cs="宋体"/>
          <w:i w:val="0"/>
          <w:caps w:val="0"/>
          <w:color w:val="auto"/>
          <w:spacing w:val="0"/>
          <w:sz w:val="21"/>
          <w:szCs w:val="21"/>
          <w:lang w:val="en-US" w:eastAsia="zh-CN"/>
        </w:rPr>
        <w:t>或新能源发电工程专业设计乙</w:t>
      </w:r>
      <w:r>
        <w:rPr>
          <w:rFonts w:hint="eastAsia" w:ascii="宋体" w:hAnsi="宋体" w:eastAsia="宋体" w:cs="宋体"/>
          <w:i w:val="0"/>
          <w:caps w:val="0"/>
          <w:color w:val="auto"/>
          <w:spacing w:val="0"/>
          <w:sz w:val="21"/>
          <w:szCs w:val="21"/>
        </w:rPr>
        <w:t>级</w:t>
      </w:r>
      <w:r>
        <w:rPr>
          <w:rFonts w:hint="eastAsia" w:ascii="宋体" w:hAnsi="宋体" w:eastAsia="宋体" w:cs="宋体"/>
          <w:i w:val="0"/>
          <w:caps w:val="0"/>
          <w:color w:val="auto"/>
          <w:spacing w:val="0"/>
          <w:sz w:val="21"/>
          <w:szCs w:val="21"/>
          <w:lang w:eastAsia="zh-CN"/>
        </w:rPr>
        <w:t>（</w:t>
      </w:r>
      <w:r>
        <w:rPr>
          <w:rFonts w:hint="eastAsia" w:ascii="宋体" w:hAnsi="宋体" w:eastAsia="宋体" w:cs="宋体"/>
          <w:i w:val="0"/>
          <w:caps w:val="0"/>
          <w:color w:val="auto"/>
          <w:spacing w:val="0"/>
          <w:sz w:val="21"/>
          <w:szCs w:val="21"/>
        </w:rPr>
        <w:t>或以上</w:t>
      </w:r>
      <w:r>
        <w:rPr>
          <w:rFonts w:hint="eastAsia" w:ascii="宋体" w:hAnsi="宋体" w:eastAsia="宋体" w:cs="宋体"/>
          <w:i w:val="0"/>
          <w:caps w:val="0"/>
          <w:color w:val="auto"/>
          <w:spacing w:val="0"/>
          <w:sz w:val="21"/>
          <w:szCs w:val="21"/>
          <w:lang w:eastAsia="zh-CN"/>
        </w:rPr>
        <w:t>）</w:t>
      </w:r>
      <w:r>
        <w:rPr>
          <w:rFonts w:hint="eastAsia" w:ascii="宋体" w:hAnsi="宋体" w:eastAsia="宋体" w:cs="宋体"/>
          <w:i w:val="0"/>
          <w:caps w:val="0"/>
          <w:color w:val="auto"/>
          <w:spacing w:val="0"/>
          <w:sz w:val="21"/>
          <w:szCs w:val="21"/>
        </w:rPr>
        <w:t>资质</w:t>
      </w:r>
      <w:r>
        <w:rPr>
          <w:rFonts w:hint="eastAsia" w:ascii="宋体" w:hAnsi="宋体" w:cs="宋体"/>
          <w:color w:val="auto"/>
          <w:kern w:val="28"/>
          <w:sz w:val="21"/>
          <w:szCs w:val="21"/>
          <w:highlight w:val="none"/>
          <w:lang w:eastAsia="zh-CN"/>
        </w:rPr>
        <w:t>【</w:t>
      </w:r>
      <w:r>
        <w:rPr>
          <w:rFonts w:hint="eastAsia" w:ascii="宋体" w:hAnsi="宋体"/>
          <w:color w:val="auto"/>
          <w:szCs w:val="21"/>
          <w:highlight w:val="none"/>
        </w:rPr>
        <w:t>或更换资质证书前</w:t>
      </w:r>
      <w:r>
        <w:rPr>
          <w:rFonts w:hint="eastAsia" w:ascii="宋体" w:hAnsi="宋体"/>
          <w:color w:val="auto"/>
          <w:szCs w:val="21"/>
          <w:highlight w:val="none"/>
          <w:lang w:val="en-US" w:eastAsia="zh-CN"/>
        </w:rPr>
        <w:t>有效期内：</w:t>
      </w:r>
      <w:r>
        <w:rPr>
          <w:rFonts w:hint="eastAsia" w:ascii="宋体" w:hAnsi="宋体" w:eastAsia="宋体" w:cs="宋体"/>
          <w:i w:val="0"/>
          <w:caps w:val="0"/>
          <w:color w:val="auto"/>
          <w:spacing w:val="0"/>
          <w:sz w:val="21"/>
          <w:szCs w:val="21"/>
        </w:rPr>
        <w:t>电力行</w:t>
      </w:r>
      <w:r>
        <w:rPr>
          <w:rFonts w:hint="eastAsia" w:ascii="宋体" w:hAnsi="宋体" w:eastAsia="宋体" w:cs="宋体"/>
          <w:i w:val="0"/>
          <w:caps w:val="0"/>
          <w:color w:val="auto"/>
          <w:spacing w:val="0"/>
          <w:sz w:val="21"/>
          <w:szCs w:val="21"/>
          <w:lang w:val="en-US" w:eastAsia="zh-CN"/>
        </w:rPr>
        <w:t>业</w:t>
      </w:r>
      <w:r>
        <w:rPr>
          <w:rFonts w:hint="eastAsia" w:ascii="宋体" w:hAnsi="宋体" w:eastAsia="宋体" w:cs="宋体"/>
          <w:i w:val="0"/>
          <w:caps w:val="0"/>
          <w:color w:val="auto"/>
          <w:spacing w:val="0"/>
          <w:sz w:val="21"/>
          <w:szCs w:val="21"/>
        </w:rPr>
        <w:t>设计</w:t>
      </w:r>
      <w:r>
        <w:rPr>
          <w:rFonts w:hint="eastAsia" w:ascii="宋体" w:hAnsi="宋体" w:cs="宋体"/>
          <w:i w:val="0"/>
          <w:caps w:val="0"/>
          <w:color w:val="auto"/>
          <w:spacing w:val="0"/>
          <w:sz w:val="21"/>
          <w:szCs w:val="21"/>
          <w:lang w:val="en-US" w:eastAsia="zh-CN"/>
        </w:rPr>
        <w:t>丙</w:t>
      </w:r>
      <w:r>
        <w:rPr>
          <w:rFonts w:hint="eastAsia" w:ascii="宋体" w:hAnsi="宋体" w:eastAsia="宋体" w:cs="宋体"/>
          <w:i w:val="0"/>
          <w:caps w:val="0"/>
          <w:color w:val="auto"/>
          <w:spacing w:val="0"/>
          <w:sz w:val="21"/>
          <w:szCs w:val="21"/>
        </w:rPr>
        <w:t>级</w:t>
      </w:r>
      <w:r>
        <w:rPr>
          <w:rFonts w:hint="eastAsia" w:ascii="宋体" w:hAnsi="宋体" w:eastAsia="宋体" w:cs="宋体"/>
          <w:i w:val="0"/>
          <w:caps w:val="0"/>
          <w:color w:val="auto"/>
          <w:spacing w:val="0"/>
          <w:sz w:val="21"/>
          <w:szCs w:val="21"/>
          <w:lang w:eastAsia="zh-CN"/>
        </w:rPr>
        <w:t>（</w:t>
      </w:r>
      <w:r>
        <w:rPr>
          <w:rFonts w:hint="eastAsia" w:ascii="宋体" w:hAnsi="宋体" w:eastAsia="宋体" w:cs="宋体"/>
          <w:i w:val="0"/>
          <w:caps w:val="0"/>
          <w:color w:val="auto"/>
          <w:spacing w:val="0"/>
          <w:sz w:val="21"/>
          <w:szCs w:val="21"/>
        </w:rPr>
        <w:t>或以上</w:t>
      </w:r>
      <w:r>
        <w:rPr>
          <w:rFonts w:hint="eastAsia" w:ascii="宋体" w:hAnsi="宋体" w:eastAsia="宋体" w:cs="宋体"/>
          <w:i w:val="0"/>
          <w:caps w:val="0"/>
          <w:color w:val="auto"/>
          <w:spacing w:val="0"/>
          <w:sz w:val="21"/>
          <w:szCs w:val="21"/>
          <w:lang w:eastAsia="zh-CN"/>
        </w:rPr>
        <w:t>）</w:t>
      </w:r>
      <w:r>
        <w:rPr>
          <w:rFonts w:hint="eastAsia" w:ascii="宋体" w:hAnsi="宋体" w:eastAsia="宋体" w:cs="宋体"/>
          <w:i w:val="0"/>
          <w:caps w:val="0"/>
          <w:color w:val="auto"/>
          <w:spacing w:val="0"/>
          <w:sz w:val="21"/>
          <w:szCs w:val="21"/>
        </w:rPr>
        <w:t>资质</w:t>
      </w:r>
      <w:r>
        <w:rPr>
          <w:rFonts w:hint="eastAsia" w:ascii="宋体" w:hAnsi="宋体" w:cs="宋体"/>
          <w:i w:val="0"/>
          <w:caps w:val="0"/>
          <w:color w:val="auto"/>
          <w:spacing w:val="0"/>
          <w:sz w:val="21"/>
          <w:szCs w:val="21"/>
          <w:lang w:eastAsia="zh-CN"/>
        </w:rPr>
        <w:t>，</w:t>
      </w:r>
      <w:r>
        <w:rPr>
          <w:rFonts w:hint="eastAsia" w:ascii="宋体" w:hAnsi="宋体" w:cs="宋体"/>
          <w:i w:val="0"/>
          <w:caps w:val="0"/>
          <w:color w:val="auto"/>
          <w:spacing w:val="0"/>
          <w:sz w:val="21"/>
          <w:szCs w:val="21"/>
          <w:lang w:val="en-US" w:eastAsia="zh-CN"/>
        </w:rPr>
        <w:t>或送电（或变电）工程专业</w:t>
      </w:r>
      <w:r>
        <w:rPr>
          <w:rFonts w:hint="eastAsia" w:ascii="宋体" w:hAnsi="宋体" w:eastAsia="宋体" w:cs="宋体"/>
          <w:i w:val="0"/>
          <w:caps w:val="0"/>
          <w:color w:val="auto"/>
          <w:spacing w:val="0"/>
          <w:sz w:val="21"/>
          <w:szCs w:val="21"/>
        </w:rPr>
        <w:t>设计</w:t>
      </w:r>
      <w:r>
        <w:rPr>
          <w:rFonts w:hint="eastAsia" w:ascii="宋体" w:hAnsi="宋体" w:cs="宋体"/>
          <w:i w:val="0"/>
          <w:caps w:val="0"/>
          <w:color w:val="auto"/>
          <w:spacing w:val="0"/>
          <w:sz w:val="21"/>
          <w:szCs w:val="21"/>
          <w:lang w:val="en-US" w:eastAsia="zh-CN"/>
        </w:rPr>
        <w:t>丙</w:t>
      </w:r>
      <w:r>
        <w:rPr>
          <w:rFonts w:hint="eastAsia" w:ascii="宋体" w:hAnsi="宋体" w:eastAsia="宋体" w:cs="宋体"/>
          <w:i w:val="0"/>
          <w:caps w:val="0"/>
          <w:color w:val="auto"/>
          <w:spacing w:val="0"/>
          <w:sz w:val="21"/>
          <w:szCs w:val="21"/>
        </w:rPr>
        <w:t>级</w:t>
      </w:r>
      <w:r>
        <w:rPr>
          <w:rFonts w:hint="eastAsia" w:ascii="宋体" w:hAnsi="宋体" w:eastAsia="宋体" w:cs="宋体"/>
          <w:i w:val="0"/>
          <w:caps w:val="0"/>
          <w:color w:val="auto"/>
          <w:spacing w:val="0"/>
          <w:sz w:val="21"/>
          <w:szCs w:val="21"/>
          <w:lang w:eastAsia="zh-CN"/>
        </w:rPr>
        <w:t>（</w:t>
      </w:r>
      <w:r>
        <w:rPr>
          <w:rFonts w:hint="eastAsia" w:ascii="宋体" w:hAnsi="宋体" w:eastAsia="宋体" w:cs="宋体"/>
          <w:i w:val="0"/>
          <w:caps w:val="0"/>
          <w:color w:val="auto"/>
          <w:spacing w:val="0"/>
          <w:sz w:val="21"/>
          <w:szCs w:val="21"/>
        </w:rPr>
        <w:t>或以上</w:t>
      </w:r>
      <w:r>
        <w:rPr>
          <w:rFonts w:hint="eastAsia" w:ascii="宋体" w:hAnsi="宋体" w:eastAsia="宋体" w:cs="宋体"/>
          <w:i w:val="0"/>
          <w:caps w:val="0"/>
          <w:color w:val="auto"/>
          <w:spacing w:val="0"/>
          <w:sz w:val="21"/>
          <w:szCs w:val="21"/>
          <w:lang w:eastAsia="zh-CN"/>
        </w:rPr>
        <w:t>）</w:t>
      </w:r>
      <w:r>
        <w:rPr>
          <w:rFonts w:hint="eastAsia" w:ascii="宋体" w:hAnsi="宋体" w:eastAsia="宋体" w:cs="宋体"/>
          <w:i w:val="0"/>
          <w:caps w:val="0"/>
          <w:color w:val="auto"/>
          <w:spacing w:val="0"/>
          <w:sz w:val="21"/>
          <w:szCs w:val="21"/>
        </w:rPr>
        <w:t>资质</w:t>
      </w:r>
      <w:r>
        <w:rPr>
          <w:rFonts w:hint="eastAsia" w:ascii="宋体" w:hAnsi="宋体" w:cs="宋体"/>
          <w:i w:val="0"/>
          <w:caps w:val="0"/>
          <w:color w:val="auto"/>
          <w:spacing w:val="0"/>
          <w:sz w:val="21"/>
          <w:szCs w:val="21"/>
          <w:lang w:eastAsia="zh-CN"/>
        </w:rPr>
        <w:t>，</w:t>
      </w:r>
      <w:r>
        <w:rPr>
          <w:rFonts w:hint="eastAsia" w:ascii="宋体" w:hAnsi="宋体" w:cs="宋体"/>
          <w:i w:val="0"/>
          <w:caps w:val="0"/>
          <w:color w:val="auto"/>
          <w:spacing w:val="0"/>
          <w:sz w:val="21"/>
          <w:szCs w:val="21"/>
          <w:lang w:val="en-US" w:eastAsia="zh-CN"/>
        </w:rPr>
        <w:t>或新能源发电专业</w:t>
      </w:r>
      <w:r>
        <w:rPr>
          <w:rFonts w:hint="eastAsia" w:ascii="宋体" w:hAnsi="宋体" w:eastAsia="宋体" w:cs="宋体"/>
          <w:i w:val="0"/>
          <w:caps w:val="0"/>
          <w:color w:val="auto"/>
          <w:spacing w:val="0"/>
          <w:sz w:val="21"/>
          <w:szCs w:val="21"/>
        </w:rPr>
        <w:t>设计</w:t>
      </w:r>
      <w:r>
        <w:rPr>
          <w:rFonts w:hint="eastAsia" w:ascii="宋体" w:hAnsi="宋体" w:cs="宋体"/>
          <w:i w:val="0"/>
          <w:caps w:val="0"/>
          <w:color w:val="auto"/>
          <w:spacing w:val="0"/>
          <w:sz w:val="21"/>
          <w:szCs w:val="21"/>
          <w:lang w:val="en-US" w:eastAsia="zh-CN"/>
        </w:rPr>
        <w:t>丙</w:t>
      </w:r>
      <w:r>
        <w:rPr>
          <w:rFonts w:hint="eastAsia" w:ascii="宋体" w:hAnsi="宋体" w:eastAsia="宋体" w:cs="宋体"/>
          <w:i w:val="0"/>
          <w:caps w:val="0"/>
          <w:color w:val="auto"/>
          <w:spacing w:val="0"/>
          <w:sz w:val="21"/>
          <w:szCs w:val="21"/>
        </w:rPr>
        <w:t>级</w:t>
      </w:r>
      <w:r>
        <w:rPr>
          <w:rFonts w:hint="eastAsia" w:ascii="宋体" w:hAnsi="宋体" w:eastAsia="宋体" w:cs="宋体"/>
          <w:i w:val="0"/>
          <w:caps w:val="0"/>
          <w:color w:val="auto"/>
          <w:spacing w:val="0"/>
          <w:sz w:val="21"/>
          <w:szCs w:val="21"/>
          <w:lang w:eastAsia="zh-CN"/>
        </w:rPr>
        <w:t>（</w:t>
      </w:r>
      <w:r>
        <w:rPr>
          <w:rFonts w:hint="eastAsia" w:ascii="宋体" w:hAnsi="宋体" w:eastAsia="宋体" w:cs="宋体"/>
          <w:i w:val="0"/>
          <w:caps w:val="0"/>
          <w:color w:val="auto"/>
          <w:spacing w:val="0"/>
          <w:sz w:val="21"/>
          <w:szCs w:val="21"/>
        </w:rPr>
        <w:t>或以上</w:t>
      </w:r>
      <w:r>
        <w:rPr>
          <w:rFonts w:hint="eastAsia" w:ascii="宋体" w:hAnsi="宋体" w:eastAsia="宋体" w:cs="宋体"/>
          <w:i w:val="0"/>
          <w:caps w:val="0"/>
          <w:color w:val="auto"/>
          <w:spacing w:val="0"/>
          <w:sz w:val="21"/>
          <w:szCs w:val="21"/>
          <w:lang w:eastAsia="zh-CN"/>
        </w:rPr>
        <w:t>）</w:t>
      </w:r>
      <w:r>
        <w:rPr>
          <w:rFonts w:hint="eastAsia" w:ascii="宋体" w:hAnsi="宋体" w:eastAsia="宋体" w:cs="宋体"/>
          <w:i w:val="0"/>
          <w:caps w:val="0"/>
          <w:color w:val="auto"/>
          <w:spacing w:val="0"/>
          <w:sz w:val="21"/>
          <w:szCs w:val="21"/>
        </w:rPr>
        <w:t>资质</w:t>
      </w:r>
      <w:r>
        <w:rPr>
          <w:rFonts w:hint="eastAsia" w:ascii="宋体" w:hAnsi="宋体" w:cs="宋体"/>
          <w:color w:val="auto"/>
          <w:kern w:val="28"/>
          <w:sz w:val="21"/>
          <w:szCs w:val="21"/>
          <w:highlight w:val="none"/>
          <w:lang w:eastAsia="zh-CN"/>
        </w:rPr>
        <w:t>】</w:t>
      </w:r>
      <w:r>
        <w:rPr>
          <w:rFonts w:hint="eastAsia" w:ascii="宋体" w:hAnsi="宋体" w:eastAsia="宋体" w:cs="宋体"/>
          <w:i w:val="0"/>
          <w:caps w:val="0"/>
          <w:color w:val="auto"/>
          <w:spacing w:val="0"/>
          <w:sz w:val="21"/>
          <w:szCs w:val="21"/>
          <w:lang w:eastAsia="zh-CN"/>
        </w:rPr>
        <w:t>。</w:t>
      </w:r>
    </w:p>
    <w:p>
      <w:pPr>
        <w:ind w:firstLine="411" w:firstLineChars="196"/>
        <w:rPr>
          <w:color w:val="auto"/>
          <w:highlight w:val="none"/>
        </w:rPr>
      </w:pPr>
      <w:r>
        <w:rPr>
          <w:rFonts w:hint="eastAsia" w:ascii="宋体" w:hAnsi="宋体"/>
          <w:color w:val="auto"/>
          <w:szCs w:val="21"/>
          <w:highlight w:val="none"/>
        </w:rPr>
        <w:t>注：上述资质要求，依据住房和城乡建设部2020年11月30日关于印发《建设工程企业资质管理制度改革方案》的通知，在更换资质证书前有效期内适用于本项目资质证书的均为有效资格条件。</w:t>
      </w:r>
    </w:p>
    <w:p>
      <w:pPr>
        <w:bidi w:val="0"/>
        <w:rPr>
          <w:rFonts w:hint="eastAsia"/>
          <w:lang w:eastAsia="zh-CN"/>
        </w:rPr>
      </w:pPr>
    </w:p>
    <w:p>
      <w:pPr>
        <w:spacing w:after="0" w:line="360" w:lineRule="auto"/>
        <w:ind w:firstLine="413" w:firstLineChars="196"/>
        <w:rPr>
          <w:rFonts w:ascii="宋体" w:hAnsi="宋体" w:eastAsia="宋体"/>
          <w:b/>
          <w:color w:val="auto"/>
          <w:sz w:val="21"/>
          <w:szCs w:val="21"/>
        </w:rPr>
      </w:pPr>
      <w:r>
        <w:rPr>
          <w:rFonts w:hint="eastAsia" w:ascii="宋体" w:hAnsi="宋体" w:eastAsia="宋体"/>
          <w:b/>
          <w:color w:val="auto"/>
          <w:sz w:val="21"/>
          <w:szCs w:val="21"/>
        </w:rPr>
        <w:t>三、项目公示时间、招标文件领购时间、地点、方式</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1、项目公示时间：202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4</w:t>
      </w:r>
      <w:r>
        <w:rPr>
          <w:rFonts w:hint="eastAsia" w:ascii="宋体" w:hAnsi="宋体" w:eastAsia="宋体"/>
          <w:color w:val="auto"/>
          <w:sz w:val="21"/>
          <w:szCs w:val="21"/>
        </w:rPr>
        <w:t>月</w:t>
      </w:r>
      <w:r>
        <w:rPr>
          <w:rFonts w:hint="eastAsia" w:ascii="宋体" w:hAnsi="宋体"/>
          <w:color w:val="auto"/>
          <w:sz w:val="21"/>
          <w:szCs w:val="21"/>
          <w:lang w:val="en-US" w:eastAsia="zh-CN"/>
        </w:rPr>
        <w:t>29</w:t>
      </w:r>
      <w:r>
        <w:rPr>
          <w:rFonts w:hint="eastAsia" w:ascii="宋体" w:hAnsi="宋体" w:eastAsia="宋体"/>
          <w:color w:val="auto"/>
          <w:sz w:val="21"/>
          <w:szCs w:val="21"/>
        </w:rPr>
        <w:t>日起至202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5</w:t>
      </w:r>
      <w:r>
        <w:rPr>
          <w:rFonts w:hint="eastAsia" w:ascii="宋体" w:hAnsi="宋体" w:eastAsia="宋体"/>
          <w:color w:val="auto"/>
          <w:sz w:val="21"/>
          <w:szCs w:val="21"/>
        </w:rPr>
        <w:t>月</w:t>
      </w:r>
      <w:r>
        <w:rPr>
          <w:rFonts w:hint="eastAsia" w:ascii="宋体" w:hAnsi="宋体"/>
          <w:color w:val="auto"/>
          <w:sz w:val="21"/>
          <w:szCs w:val="21"/>
          <w:lang w:val="en-US" w:eastAsia="zh-CN"/>
        </w:rPr>
        <w:t>10</w:t>
      </w:r>
      <w:r>
        <w:rPr>
          <w:rFonts w:hint="eastAsia" w:ascii="宋体" w:hAnsi="宋体" w:eastAsia="宋体"/>
          <w:color w:val="auto"/>
          <w:sz w:val="21"/>
          <w:szCs w:val="21"/>
        </w:rPr>
        <w:t>日。</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2、招标文件领购</w:t>
      </w:r>
      <w:r>
        <w:rPr>
          <w:rFonts w:ascii="宋体" w:hAnsi="宋体" w:eastAsia="宋体"/>
          <w:color w:val="auto"/>
          <w:sz w:val="21"/>
          <w:szCs w:val="21"/>
        </w:rPr>
        <w:t>时间：</w:t>
      </w:r>
      <w:r>
        <w:rPr>
          <w:rFonts w:hint="eastAsia" w:ascii="宋体" w:hAnsi="宋体" w:eastAsia="宋体"/>
          <w:color w:val="auto"/>
          <w:sz w:val="21"/>
          <w:szCs w:val="21"/>
        </w:rPr>
        <w:t>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4</w:t>
      </w:r>
      <w:r>
        <w:rPr>
          <w:rFonts w:hint="eastAsia" w:ascii="宋体" w:hAnsi="宋体" w:eastAsia="宋体"/>
          <w:color w:val="auto"/>
          <w:sz w:val="21"/>
          <w:szCs w:val="21"/>
        </w:rPr>
        <w:t>月</w:t>
      </w:r>
      <w:r>
        <w:rPr>
          <w:rFonts w:hint="eastAsia" w:ascii="宋体" w:hAnsi="宋体"/>
          <w:color w:val="auto"/>
          <w:sz w:val="21"/>
          <w:szCs w:val="21"/>
          <w:lang w:val="en-US" w:eastAsia="zh-CN"/>
        </w:rPr>
        <w:t>29</w:t>
      </w:r>
      <w:r>
        <w:rPr>
          <w:rFonts w:hint="eastAsia" w:ascii="宋体" w:hAnsi="宋体" w:eastAsia="宋体"/>
          <w:color w:val="auto"/>
          <w:sz w:val="21"/>
          <w:szCs w:val="21"/>
        </w:rPr>
        <w:t>日起至202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olor w:val="auto"/>
          <w:sz w:val="21"/>
          <w:szCs w:val="21"/>
          <w:lang w:val="en-US" w:eastAsia="zh-CN"/>
        </w:rPr>
        <w:t>5</w:t>
      </w:r>
      <w:r>
        <w:rPr>
          <w:rFonts w:hint="eastAsia" w:ascii="宋体" w:hAnsi="宋体" w:eastAsia="宋体"/>
          <w:color w:val="auto"/>
          <w:sz w:val="21"/>
          <w:szCs w:val="21"/>
        </w:rPr>
        <w:t>月</w:t>
      </w:r>
      <w:r>
        <w:rPr>
          <w:rFonts w:hint="eastAsia" w:ascii="宋体" w:hAnsi="宋体"/>
          <w:color w:val="auto"/>
          <w:sz w:val="21"/>
          <w:szCs w:val="21"/>
          <w:lang w:val="en-US" w:eastAsia="zh-CN"/>
        </w:rPr>
        <w:t>10</w:t>
      </w:r>
      <w:r>
        <w:rPr>
          <w:rFonts w:hint="eastAsia" w:ascii="宋体" w:hAnsi="宋体" w:eastAsia="宋体"/>
          <w:color w:val="auto"/>
          <w:sz w:val="21"/>
          <w:szCs w:val="21"/>
        </w:rPr>
        <w:t xml:space="preserve">日（节假日除外），上午9：00～12：00，下午14：30～17：30（北京时间）。 </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注：（1）投标人可自行打印招标文件</w:t>
      </w:r>
      <w:r>
        <w:rPr>
          <w:rFonts w:hint="eastAsia" w:ascii="宋体" w:hAnsi="宋体" w:eastAsia="宋体"/>
          <w:color w:val="auto"/>
          <w:sz w:val="21"/>
          <w:szCs w:val="21"/>
          <w:lang w:val="en-US" w:eastAsia="zh-CN"/>
        </w:rPr>
        <w:t>最后1页</w:t>
      </w:r>
      <w:r>
        <w:rPr>
          <w:rFonts w:hint="eastAsia" w:ascii="宋体" w:hAnsi="宋体" w:eastAsia="宋体"/>
          <w:color w:val="auto"/>
          <w:sz w:val="21"/>
          <w:szCs w:val="21"/>
        </w:rPr>
        <w:t>中的“获取招标文件登记表”进行填写并带到现场进行领购，并现场领取发票。（招标文件领购价：人民币</w:t>
      </w:r>
      <w:r>
        <w:rPr>
          <w:rFonts w:hint="eastAsia" w:ascii="宋体" w:hAnsi="宋体"/>
          <w:color w:val="auto"/>
          <w:sz w:val="21"/>
          <w:szCs w:val="21"/>
          <w:lang w:val="en-US" w:eastAsia="zh-CN"/>
        </w:rPr>
        <w:t>200</w:t>
      </w:r>
      <w:r>
        <w:rPr>
          <w:rFonts w:hint="eastAsia" w:ascii="宋体" w:hAnsi="宋体" w:eastAsia="宋体"/>
          <w:color w:val="auto"/>
          <w:sz w:val="21"/>
          <w:szCs w:val="21"/>
        </w:rPr>
        <w:t>元整）</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（2）现场支持现金支付、微信支付、支付宝支付等支付方式，请将相应表格交予我司</w:t>
      </w:r>
      <w:r>
        <w:rPr>
          <w:rFonts w:hint="eastAsia" w:ascii="宋体" w:hAnsi="宋体" w:eastAsia="宋体"/>
          <w:color w:val="auto"/>
          <w:sz w:val="21"/>
          <w:szCs w:val="21"/>
          <w:lang w:val="en-US" w:eastAsia="zh-CN"/>
        </w:rPr>
        <w:t>简小姐</w:t>
      </w:r>
      <w:r>
        <w:rPr>
          <w:rFonts w:hint="eastAsia" w:ascii="宋体" w:hAnsi="宋体" w:eastAsia="宋体"/>
          <w:color w:val="auto"/>
          <w:sz w:val="21"/>
          <w:szCs w:val="21"/>
        </w:rPr>
        <w:t>。</w:t>
      </w:r>
    </w:p>
    <w:p>
      <w:pPr>
        <w:spacing w:after="0" w:line="360" w:lineRule="auto"/>
        <w:ind w:firstLine="420" w:firstLineChars="200"/>
        <w:rPr>
          <w:rFonts w:hint="eastAsia" w:ascii="宋体" w:hAnsi="宋体" w:eastAsia="宋体"/>
          <w:color w:val="auto"/>
          <w:sz w:val="21"/>
          <w:szCs w:val="21"/>
        </w:rPr>
      </w:pPr>
      <w:r>
        <w:rPr>
          <w:rFonts w:hint="eastAsia" w:ascii="宋体" w:hAnsi="宋体" w:eastAsia="宋体"/>
          <w:color w:val="auto"/>
          <w:sz w:val="21"/>
          <w:szCs w:val="21"/>
        </w:rPr>
        <w:t>（3）招标文件电子版可在</w:t>
      </w:r>
      <w:r>
        <w:rPr>
          <w:rFonts w:hint="eastAsia" w:ascii="宋体" w:hAnsi="宋体" w:eastAsia="宋体"/>
          <w:color w:val="auto"/>
          <w:sz w:val="21"/>
          <w:szCs w:val="21"/>
          <w:highlight w:val="none"/>
        </w:rPr>
        <w:t>政通招标网</w:t>
      </w:r>
      <w:r>
        <w:rPr>
          <w:rFonts w:hint="eastAsia" w:ascii="宋体" w:hAnsi="宋体"/>
          <w:color w:val="auto"/>
          <w:sz w:val="21"/>
          <w:szCs w:val="21"/>
          <w:highlight w:val="none"/>
          <w:lang w:eastAsia="zh-CN"/>
        </w:rPr>
        <w:t>（</w:t>
      </w:r>
      <w:r>
        <w:rPr>
          <w:rFonts w:hint="eastAsia" w:ascii="宋体" w:hAnsi="宋体" w:eastAsia="宋体"/>
          <w:color w:val="auto"/>
          <w:sz w:val="21"/>
          <w:szCs w:val="21"/>
          <w:highlight w:val="none"/>
        </w:rPr>
        <w:t>http://www.zttendering.com/</w:t>
      </w:r>
      <w:r>
        <w:rPr>
          <w:rFonts w:hint="eastAsia" w:ascii="宋体" w:hAnsi="宋体"/>
          <w:color w:val="auto"/>
          <w:sz w:val="21"/>
          <w:szCs w:val="21"/>
          <w:highlight w:val="none"/>
          <w:lang w:eastAsia="zh-CN"/>
        </w:rPr>
        <w:t>）</w:t>
      </w:r>
      <w:r>
        <w:rPr>
          <w:rFonts w:hint="eastAsia" w:ascii="宋体" w:hAnsi="宋体" w:eastAsia="宋体"/>
          <w:color w:val="auto"/>
          <w:sz w:val="21"/>
          <w:szCs w:val="21"/>
        </w:rPr>
        <w:t>相关招标信息公告下自行下载。</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3、招标文件领购地点：</w:t>
      </w:r>
      <w:r>
        <w:rPr>
          <w:rFonts w:hint="eastAsia" w:ascii="宋体" w:hAnsi="宋体"/>
          <w:color w:val="auto"/>
          <w:sz w:val="21"/>
          <w:szCs w:val="21"/>
          <w:lang w:eastAsia="zh-CN"/>
        </w:rPr>
        <w:t>东莞市南城街道鸿福路199号（市民服务中心）411室</w:t>
      </w:r>
      <w:r>
        <w:rPr>
          <w:rFonts w:hint="eastAsia" w:ascii="宋体" w:hAnsi="宋体" w:eastAsia="宋体"/>
          <w:color w:val="auto"/>
          <w:sz w:val="21"/>
          <w:szCs w:val="21"/>
        </w:rPr>
        <w:t>。</w:t>
      </w: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rPr>
        <w:t>联系人：</w:t>
      </w:r>
      <w:r>
        <w:rPr>
          <w:rFonts w:hint="eastAsia" w:ascii="宋体" w:hAnsi="宋体" w:eastAsia="宋体"/>
          <w:color w:val="auto"/>
          <w:sz w:val="21"/>
          <w:szCs w:val="21"/>
          <w:lang w:eastAsia="zh-CN"/>
        </w:rPr>
        <w:t>简海欣</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联系电话：</w:t>
      </w:r>
      <w:r>
        <w:rPr>
          <w:rFonts w:hint="eastAsia" w:ascii="宋体" w:hAnsi="宋体" w:eastAsia="宋体"/>
          <w:color w:val="auto"/>
          <w:sz w:val="21"/>
          <w:szCs w:val="21"/>
          <w:lang w:eastAsia="zh-CN"/>
        </w:rPr>
        <w:t>0769-22881803</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4、招标文件领购方式：现场领购。</w:t>
      </w: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rPr>
        <w:t>投标人在领购招标文件时</w:t>
      </w:r>
      <w:r>
        <w:rPr>
          <w:rFonts w:hint="eastAsia" w:ascii="宋体" w:hAnsi="宋体"/>
          <w:color w:val="auto"/>
          <w:sz w:val="21"/>
          <w:szCs w:val="21"/>
          <w:lang w:val="en-US" w:eastAsia="zh-CN"/>
        </w:rPr>
        <w:t>建议</w:t>
      </w:r>
      <w:r>
        <w:rPr>
          <w:rFonts w:hint="eastAsia" w:ascii="宋体" w:hAnsi="宋体" w:eastAsia="宋体"/>
          <w:color w:val="auto"/>
          <w:sz w:val="21"/>
          <w:szCs w:val="21"/>
        </w:rPr>
        <w:t>提供如下证明材料：《营业执照》复印件或《事业单位法人证书》复印件或其他主体证书复印件，自然人参加投标须提供自然人的身份证明材料</w:t>
      </w:r>
      <w:r>
        <w:rPr>
          <w:rFonts w:hint="eastAsia" w:ascii="宋体" w:hAnsi="宋体" w:eastAsia="宋体"/>
          <w:color w:val="auto"/>
          <w:sz w:val="21"/>
          <w:szCs w:val="21"/>
          <w:lang w:eastAsia="zh-CN"/>
        </w:rPr>
        <w:t>。</w:t>
      </w:r>
    </w:p>
    <w:p>
      <w:pPr>
        <w:bidi w:val="0"/>
        <w:rPr>
          <w:rFonts w:hint="default"/>
          <w:color w:val="auto"/>
          <w:lang w:val="en-US" w:eastAsia="zh-CN"/>
        </w:rPr>
      </w:pPr>
    </w:p>
    <w:p>
      <w:pPr>
        <w:spacing w:after="0" w:line="360" w:lineRule="auto"/>
        <w:ind w:firstLine="413" w:firstLineChars="196"/>
        <w:rPr>
          <w:rFonts w:ascii="宋体" w:hAnsi="宋体" w:eastAsia="宋体"/>
          <w:b/>
          <w:color w:val="auto"/>
          <w:sz w:val="21"/>
          <w:szCs w:val="21"/>
        </w:rPr>
      </w:pPr>
      <w:r>
        <w:rPr>
          <w:rFonts w:hint="eastAsia" w:ascii="宋体" w:hAnsi="宋体"/>
          <w:b/>
          <w:color w:val="auto"/>
          <w:sz w:val="21"/>
          <w:szCs w:val="21"/>
          <w:lang w:val="en-US" w:eastAsia="zh-CN"/>
        </w:rPr>
        <w:t>四</w:t>
      </w:r>
      <w:r>
        <w:rPr>
          <w:rFonts w:hint="eastAsia" w:ascii="宋体" w:hAnsi="宋体" w:eastAsia="宋体"/>
          <w:b/>
          <w:color w:val="auto"/>
          <w:sz w:val="21"/>
          <w:szCs w:val="21"/>
        </w:rPr>
        <w:t>、投标截止时间、开标时间及地点</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1、递交投标文件时间：</w:t>
      </w:r>
      <w:r>
        <w:rPr>
          <w:rFonts w:hint="eastAsia" w:ascii="宋体" w:hAnsi="宋体" w:eastAsia="宋体"/>
          <w:color w:val="auto"/>
          <w:sz w:val="21"/>
          <w:szCs w:val="21"/>
        </w:rPr>
        <w:t>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bCs/>
          <w:color w:val="auto"/>
          <w:sz w:val="21"/>
          <w:szCs w:val="21"/>
          <w:lang w:val="en-US" w:eastAsia="zh-CN"/>
        </w:rPr>
        <w:t>5</w:t>
      </w:r>
      <w:r>
        <w:rPr>
          <w:rFonts w:hint="eastAsia" w:ascii="宋体" w:hAnsi="宋体" w:eastAsia="宋体"/>
          <w:bCs/>
          <w:color w:val="auto"/>
          <w:sz w:val="21"/>
          <w:szCs w:val="21"/>
        </w:rPr>
        <w:t>月</w:t>
      </w:r>
      <w:r>
        <w:rPr>
          <w:rFonts w:hint="eastAsia" w:ascii="宋体" w:hAnsi="宋体"/>
          <w:bCs/>
          <w:color w:val="auto"/>
          <w:sz w:val="21"/>
          <w:szCs w:val="21"/>
          <w:lang w:val="en-US" w:eastAsia="zh-CN"/>
        </w:rPr>
        <w:t>24</w:t>
      </w:r>
      <w:r>
        <w:rPr>
          <w:rFonts w:hint="eastAsia" w:ascii="宋体" w:hAnsi="宋体" w:eastAsia="宋体"/>
          <w:bCs/>
          <w:color w:val="auto"/>
          <w:sz w:val="21"/>
          <w:szCs w:val="21"/>
        </w:rPr>
        <w:t>日</w:t>
      </w:r>
      <w:r>
        <w:rPr>
          <w:rFonts w:hint="eastAsia" w:ascii="宋体" w:hAnsi="宋体"/>
          <w:bCs/>
          <w:color w:val="auto"/>
          <w:sz w:val="21"/>
          <w:szCs w:val="21"/>
          <w:highlight w:val="none"/>
          <w:lang w:val="en-US" w:eastAsia="zh-CN"/>
        </w:rPr>
        <w:t>上</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9</w:t>
      </w:r>
      <w:r>
        <w:rPr>
          <w:rFonts w:hint="eastAsia" w:ascii="宋体" w:hAnsi="宋体" w:eastAsia="宋体"/>
          <w:bCs/>
          <w:color w:val="auto"/>
          <w:sz w:val="21"/>
          <w:szCs w:val="21"/>
          <w:highlight w:val="none"/>
        </w:rPr>
        <w:t>：00～</w:t>
      </w:r>
      <w:r>
        <w:rPr>
          <w:rFonts w:hint="eastAsia" w:ascii="宋体" w:hAnsi="宋体"/>
          <w:bCs/>
          <w:color w:val="auto"/>
          <w:sz w:val="21"/>
          <w:szCs w:val="21"/>
          <w:highlight w:val="none"/>
          <w:lang w:val="en-US" w:eastAsia="zh-CN"/>
        </w:rPr>
        <w:t>9</w:t>
      </w:r>
      <w:r>
        <w:rPr>
          <w:rFonts w:hint="eastAsia" w:ascii="宋体" w:hAnsi="宋体" w:eastAsia="宋体"/>
          <w:bCs/>
          <w:color w:val="auto"/>
          <w:sz w:val="21"/>
          <w:szCs w:val="21"/>
          <w:highlight w:val="none"/>
        </w:rPr>
        <w:t>：30</w:t>
      </w:r>
      <w:r>
        <w:rPr>
          <w:rFonts w:hint="eastAsia" w:ascii="宋体" w:hAnsi="宋体" w:eastAsia="宋体"/>
          <w:bCs/>
          <w:color w:val="auto"/>
          <w:sz w:val="21"/>
          <w:szCs w:val="21"/>
        </w:rPr>
        <w:t>。</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2、</w:t>
      </w:r>
      <w:r>
        <w:rPr>
          <w:rFonts w:ascii="宋体" w:hAnsi="宋体" w:eastAsia="宋体"/>
          <w:bCs/>
          <w:color w:val="auto"/>
          <w:sz w:val="21"/>
          <w:szCs w:val="21"/>
        </w:rPr>
        <w:t>投标截止</w:t>
      </w:r>
      <w:r>
        <w:rPr>
          <w:rFonts w:hint="eastAsia" w:ascii="宋体" w:hAnsi="宋体" w:eastAsia="宋体"/>
          <w:bCs/>
          <w:color w:val="auto"/>
          <w:sz w:val="21"/>
          <w:szCs w:val="21"/>
        </w:rPr>
        <w:t>及开标时间：</w:t>
      </w:r>
      <w:r>
        <w:rPr>
          <w:rFonts w:hint="eastAsia" w:ascii="宋体" w:hAnsi="宋体" w:eastAsia="宋体"/>
          <w:color w:val="auto"/>
          <w:sz w:val="21"/>
          <w:szCs w:val="21"/>
        </w:rPr>
        <w:t>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bCs/>
          <w:color w:val="auto"/>
          <w:sz w:val="21"/>
          <w:szCs w:val="21"/>
          <w:lang w:val="en-US" w:eastAsia="zh-CN"/>
        </w:rPr>
        <w:t>5</w:t>
      </w:r>
      <w:r>
        <w:rPr>
          <w:rFonts w:hint="eastAsia" w:ascii="宋体" w:hAnsi="宋体" w:eastAsia="宋体"/>
          <w:bCs/>
          <w:color w:val="auto"/>
          <w:sz w:val="21"/>
          <w:szCs w:val="21"/>
        </w:rPr>
        <w:t>月</w:t>
      </w:r>
      <w:r>
        <w:rPr>
          <w:rFonts w:hint="eastAsia" w:ascii="宋体" w:hAnsi="宋体"/>
          <w:bCs/>
          <w:color w:val="auto"/>
          <w:sz w:val="21"/>
          <w:szCs w:val="21"/>
          <w:lang w:val="en-US" w:eastAsia="zh-CN"/>
        </w:rPr>
        <w:t>24</w:t>
      </w:r>
      <w:r>
        <w:rPr>
          <w:rFonts w:hint="eastAsia" w:ascii="宋体" w:hAnsi="宋体" w:eastAsia="宋体"/>
          <w:bCs/>
          <w:color w:val="auto"/>
          <w:sz w:val="21"/>
          <w:szCs w:val="21"/>
        </w:rPr>
        <w:t>日</w:t>
      </w:r>
      <w:r>
        <w:rPr>
          <w:rFonts w:hint="eastAsia" w:ascii="宋体" w:hAnsi="宋体"/>
          <w:bCs/>
          <w:color w:val="auto"/>
          <w:sz w:val="21"/>
          <w:szCs w:val="21"/>
          <w:highlight w:val="none"/>
          <w:lang w:val="en-US" w:eastAsia="zh-CN"/>
        </w:rPr>
        <w:t>上</w:t>
      </w:r>
      <w:r>
        <w:rPr>
          <w:rFonts w:hint="eastAsia" w:ascii="宋体" w:hAnsi="宋体" w:eastAsia="宋体"/>
          <w:bCs/>
          <w:color w:val="auto"/>
          <w:sz w:val="21"/>
          <w:szCs w:val="21"/>
          <w:highlight w:val="none"/>
        </w:rPr>
        <w:t>午</w:t>
      </w:r>
      <w:r>
        <w:rPr>
          <w:rFonts w:hint="eastAsia" w:ascii="宋体" w:hAnsi="宋体"/>
          <w:bCs/>
          <w:color w:val="auto"/>
          <w:sz w:val="21"/>
          <w:szCs w:val="21"/>
          <w:highlight w:val="none"/>
          <w:lang w:val="en-US" w:eastAsia="zh-CN"/>
        </w:rPr>
        <w:t>9</w:t>
      </w:r>
      <w:r>
        <w:rPr>
          <w:rFonts w:hint="eastAsia" w:ascii="宋体" w:hAnsi="宋体" w:eastAsia="宋体"/>
          <w:bCs/>
          <w:color w:val="auto"/>
          <w:sz w:val="21"/>
          <w:szCs w:val="21"/>
        </w:rPr>
        <w:t>时30分。</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3、</w:t>
      </w:r>
      <w:r>
        <w:rPr>
          <w:rFonts w:ascii="宋体" w:hAnsi="宋体" w:eastAsia="宋体"/>
          <w:bCs/>
          <w:color w:val="auto"/>
          <w:sz w:val="21"/>
          <w:szCs w:val="21"/>
        </w:rPr>
        <w:t>开标地点：</w:t>
      </w:r>
      <w:r>
        <w:rPr>
          <w:rFonts w:hint="eastAsia" w:ascii="宋体" w:hAnsi="宋体"/>
          <w:color w:val="auto"/>
          <w:sz w:val="21"/>
          <w:szCs w:val="21"/>
          <w:lang w:eastAsia="zh-CN"/>
        </w:rPr>
        <w:t>东莞市南城街道鸿福路199号（市民服务中心）411室</w:t>
      </w:r>
      <w:r>
        <w:rPr>
          <w:rFonts w:hint="eastAsia" w:ascii="宋体" w:hAnsi="宋体" w:eastAsia="宋体"/>
          <w:bCs/>
          <w:color w:val="auto"/>
          <w:sz w:val="21"/>
          <w:szCs w:val="21"/>
        </w:rPr>
        <w:t>。</w:t>
      </w:r>
    </w:p>
    <w:p>
      <w:pPr>
        <w:spacing w:after="0" w:line="360" w:lineRule="auto"/>
        <w:ind w:firstLine="411" w:firstLineChars="196"/>
        <w:rPr>
          <w:rFonts w:ascii="宋体" w:hAnsi="宋体" w:eastAsia="宋体"/>
          <w:bCs/>
          <w:color w:val="auto"/>
          <w:sz w:val="21"/>
          <w:szCs w:val="21"/>
        </w:rPr>
      </w:pPr>
    </w:p>
    <w:p>
      <w:pPr>
        <w:spacing w:after="0" w:line="360" w:lineRule="auto"/>
        <w:ind w:firstLine="413" w:firstLineChars="196"/>
        <w:rPr>
          <w:rFonts w:ascii="宋体" w:hAnsi="宋体" w:eastAsia="宋体"/>
          <w:bCs/>
          <w:color w:val="auto"/>
          <w:sz w:val="21"/>
          <w:szCs w:val="21"/>
        </w:rPr>
      </w:pPr>
      <w:r>
        <w:rPr>
          <w:rFonts w:hint="eastAsia" w:ascii="宋体" w:hAnsi="宋体"/>
          <w:b/>
          <w:color w:val="auto"/>
          <w:sz w:val="21"/>
          <w:szCs w:val="21"/>
          <w:lang w:val="en-US" w:eastAsia="zh-CN"/>
        </w:rPr>
        <w:t>五</w:t>
      </w:r>
      <w:r>
        <w:rPr>
          <w:rFonts w:hint="eastAsia" w:ascii="宋体" w:hAnsi="宋体" w:eastAsia="宋体"/>
          <w:b/>
          <w:color w:val="auto"/>
          <w:sz w:val="21"/>
          <w:szCs w:val="21"/>
        </w:rPr>
        <w:t>、采购人及采购代理机构的名称、地址和联系方法：</w:t>
      </w:r>
    </w:p>
    <w:p>
      <w:pPr>
        <w:spacing w:after="0" w:line="360" w:lineRule="auto"/>
        <w:ind w:firstLine="420" w:firstLineChars="200"/>
        <w:rPr>
          <w:rFonts w:hint="default" w:ascii="宋体" w:hAnsi="宋体" w:eastAsia="宋体"/>
          <w:bCs/>
          <w:color w:val="auto"/>
          <w:sz w:val="21"/>
          <w:szCs w:val="21"/>
          <w:lang w:val="en-US" w:eastAsia="zh-CN"/>
        </w:rPr>
      </w:pPr>
      <w:r>
        <w:rPr>
          <w:rFonts w:hint="eastAsia" w:ascii="宋体" w:hAnsi="宋体" w:eastAsia="宋体"/>
          <w:bCs/>
          <w:color w:val="auto"/>
          <w:sz w:val="21"/>
          <w:szCs w:val="21"/>
        </w:rPr>
        <w:t>采购人联系人：方小姐</w:t>
      </w:r>
    </w:p>
    <w:p>
      <w:pPr>
        <w:spacing w:after="0" w:line="360" w:lineRule="auto"/>
        <w:ind w:firstLine="420" w:firstLineChars="200"/>
        <w:rPr>
          <w:rFonts w:hint="default" w:ascii="宋体" w:hAnsi="宋体" w:eastAsia="宋体"/>
          <w:bCs/>
          <w:color w:val="auto"/>
          <w:sz w:val="21"/>
          <w:szCs w:val="21"/>
          <w:lang w:val="en-US" w:eastAsia="zh-CN"/>
        </w:rPr>
      </w:pPr>
      <w:r>
        <w:rPr>
          <w:rFonts w:hint="eastAsia" w:ascii="宋体" w:hAnsi="宋体" w:eastAsia="宋体"/>
          <w:bCs/>
          <w:color w:val="auto"/>
          <w:sz w:val="21"/>
          <w:szCs w:val="21"/>
        </w:rPr>
        <w:t>地址：东莞市松山湖园区新城路5号道弘·龙怡智谷B栋3楼</w:t>
      </w:r>
    </w:p>
    <w:p>
      <w:pPr>
        <w:spacing w:after="0" w:line="360" w:lineRule="auto"/>
        <w:ind w:firstLine="420" w:firstLineChars="200"/>
        <w:rPr>
          <w:rFonts w:ascii="宋体" w:hAnsi="宋体" w:eastAsia="宋体"/>
          <w:bCs/>
          <w:color w:val="auto"/>
          <w:sz w:val="21"/>
          <w:szCs w:val="21"/>
        </w:rPr>
      </w:pPr>
      <w:r>
        <w:rPr>
          <w:rFonts w:hint="eastAsia" w:ascii="宋体" w:hAnsi="宋体" w:eastAsia="宋体"/>
          <w:bCs/>
          <w:color w:val="auto"/>
          <w:sz w:val="21"/>
          <w:szCs w:val="21"/>
        </w:rPr>
        <w:t>联系电话：0769-22899883</w:t>
      </w:r>
    </w:p>
    <w:p>
      <w:pPr>
        <w:spacing w:after="0" w:line="360" w:lineRule="auto"/>
        <w:ind w:firstLine="420" w:firstLineChars="200"/>
        <w:rPr>
          <w:rFonts w:ascii="宋体" w:hAnsi="宋体" w:eastAsia="宋体"/>
          <w:color w:val="auto"/>
          <w:sz w:val="21"/>
          <w:szCs w:val="21"/>
        </w:rPr>
      </w:pPr>
    </w:p>
    <w:p>
      <w:pPr>
        <w:spacing w:after="0" w:line="360" w:lineRule="auto"/>
        <w:ind w:firstLine="420" w:firstLineChars="200"/>
        <w:rPr>
          <w:rFonts w:hint="eastAsia" w:ascii="宋体" w:hAnsi="宋体" w:eastAsia="宋体"/>
          <w:color w:val="auto"/>
          <w:sz w:val="21"/>
          <w:szCs w:val="21"/>
          <w:lang w:eastAsia="zh-CN"/>
        </w:rPr>
      </w:pPr>
      <w:r>
        <w:rPr>
          <w:rFonts w:hint="eastAsia" w:ascii="宋体" w:hAnsi="宋体" w:eastAsia="宋体"/>
          <w:color w:val="auto"/>
          <w:sz w:val="21"/>
          <w:szCs w:val="21"/>
        </w:rPr>
        <w:t>采购代理机构名称：</w:t>
      </w:r>
      <w:r>
        <w:rPr>
          <w:rFonts w:hint="eastAsia" w:ascii="宋体" w:hAnsi="宋体" w:eastAsia="宋体"/>
          <w:color w:val="auto"/>
          <w:sz w:val="21"/>
          <w:szCs w:val="21"/>
          <w:lang w:eastAsia="zh-CN"/>
        </w:rPr>
        <w:t>广东政通招标有限公司</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地址：</w:t>
      </w:r>
      <w:r>
        <w:rPr>
          <w:rFonts w:hint="eastAsia" w:ascii="宋体" w:hAnsi="宋体"/>
          <w:color w:val="auto"/>
          <w:sz w:val="21"/>
          <w:szCs w:val="21"/>
          <w:lang w:eastAsia="zh-CN"/>
        </w:rPr>
        <w:t>东莞市南城街道鸿福路199号（市民服务中心）411室</w:t>
      </w:r>
      <w:r>
        <w:rPr>
          <w:rFonts w:hint="eastAsia" w:ascii="宋体" w:hAnsi="宋体" w:eastAsia="宋体"/>
          <w:color w:val="auto"/>
          <w:sz w:val="21"/>
          <w:szCs w:val="21"/>
        </w:rPr>
        <w:t>。</w:t>
      </w:r>
    </w:p>
    <w:p>
      <w:pPr>
        <w:spacing w:after="0" w:line="360" w:lineRule="auto"/>
        <w:ind w:firstLine="420" w:firstLineChars="200"/>
        <w:rPr>
          <w:rFonts w:hint="default" w:ascii="宋体" w:hAnsi="宋体" w:eastAsia="宋体"/>
          <w:color w:val="auto"/>
          <w:sz w:val="21"/>
          <w:szCs w:val="21"/>
          <w:lang w:val="en-US" w:eastAsia="zh-CN"/>
        </w:rPr>
      </w:pPr>
      <w:r>
        <w:rPr>
          <w:rFonts w:hint="eastAsia" w:ascii="宋体" w:hAnsi="宋体" w:eastAsia="宋体"/>
          <w:color w:val="auto"/>
          <w:sz w:val="21"/>
          <w:szCs w:val="21"/>
        </w:rPr>
        <w:t>采购代理机构联系人：</w:t>
      </w:r>
      <w:r>
        <w:rPr>
          <w:rFonts w:hint="eastAsia" w:ascii="宋体" w:hAnsi="宋体" w:eastAsia="宋体"/>
          <w:color w:val="auto"/>
          <w:sz w:val="21"/>
          <w:szCs w:val="21"/>
          <w:lang w:val="en-US" w:eastAsia="zh-CN"/>
        </w:rPr>
        <w:t>杨</w:t>
      </w:r>
      <w:r>
        <w:rPr>
          <w:rFonts w:hint="eastAsia" w:ascii="宋体" w:hAnsi="宋体"/>
          <w:color w:val="auto"/>
          <w:sz w:val="21"/>
          <w:szCs w:val="21"/>
          <w:lang w:val="en-US" w:eastAsia="zh-CN"/>
        </w:rPr>
        <w:t>先生</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联系电话：</w:t>
      </w:r>
      <w:r>
        <w:rPr>
          <w:rFonts w:hint="eastAsia" w:ascii="宋体" w:hAnsi="宋体" w:eastAsia="宋体"/>
          <w:color w:val="auto"/>
          <w:sz w:val="21"/>
          <w:szCs w:val="21"/>
          <w:highlight w:val="none"/>
        </w:rPr>
        <w:t>0769-22881803</w:t>
      </w:r>
    </w:p>
    <w:p>
      <w:pPr>
        <w:spacing w:after="0" w:line="360" w:lineRule="auto"/>
        <w:ind w:firstLine="420" w:firstLineChars="200"/>
        <w:rPr>
          <w:rFonts w:hint="default" w:eastAsia="宋体"/>
          <w:color w:val="auto"/>
          <w:lang w:val="en-US" w:eastAsia="zh-CN"/>
        </w:rPr>
      </w:pPr>
      <w:r>
        <w:rPr>
          <w:rFonts w:hint="eastAsia" w:ascii="宋体" w:hAnsi="宋体" w:eastAsia="宋体"/>
          <w:color w:val="auto"/>
          <w:sz w:val="21"/>
          <w:szCs w:val="21"/>
        </w:rPr>
        <w:t>E－ mail：</w:t>
      </w:r>
      <w:r>
        <w:rPr>
          <w:rFonts w:hint="eastAsia" w:ascii="宋体" w:hAnsi="宋体" w:eastAsia="宋体"/>
          <w:color w:val="auto"/>
          <w:sz w:val="21"/>
          <w:szCs w:val="21"/>
          <w:highlight w:val="none"/>
          <w:lang w:val="en-US" w:eastAsia="zh-CN"/>
        </w:rPr>
        <w:t>471539976@qq.com</w:t>
      </w:r>
    </w:p>
    <w:p>
      <w:pPr>
        <w:rPr>
          <w:color w:val="auto"/>
        </w:rPr>
      </w:pPr>
    </w:p>
    <w:p>
      <w:pPr>
        <w:ind w:right="752" w:rightChars="358"/>
        <w:jc w:val="both"/>
        <w:rPr>
          <w:color w:val="auto"/>
        </w:rPr>
      </w:pPr>
    </w:p>
    <w:p>
      <w:pPr>
        <w:ind w:right="752" w:rightChars="358"/>
        <w:jc w:val="right"/>
        <w:rPr>
          <w:rFonts w:hint="eastAsia" w:ascii="宋体" w:hAnsi="宋体" w:eastAsia="宋体" w:cs="宋体"/>
          <w:color w:val="auto"/>
          <w:sz w:val="21"/>
          <w:szCs w:val="21"/>
          <w:lang w:eastAsia="zh-CN"/>
        </w:rPr>
      </w:pPr>
      <w:r>
        <w:rPr>
          <w:rFonts w:hint="eastAsia" w:ascii="宋体" w:hAnsi="宋体" w:eastAsia="宋体" w:cs="宋体"/>
          <w:color w:val="auto"/>
          <w:sz w:val="21"/>
          <w:szCs w:val="21"/>
        </w:rPr>
        <w:t xml:space="preserve">    </w:t>
      </w:r>
      <w:r>
        <w:rPr>
          <w:rFonts w:hint="eastAsia" w:ascii="宋体" w:hAnsi="宋体" w:eastAsia="宋体" w:cs="宋体"/>
          <w:color w:val="auto"/>
          <w:sz w:val="21"/>
          <w:szCs w:val="21"/>
          <w:lang w:eastAsia="zh-CN"/>
        </w:rPr>
        <w:t>广东政通招标有限公司</w:t>
      </w:r>
    </w:p>
    <w:p>
      <w:pPr>
        <w:ind w:left="6205" w:leftChars="2755" w:hanging="420" w:hangingChars="200"/>
        <w:rPr>
          <w:rFonts w:hint="default" w:ascii="宋体" w:hAnsi="宋体" w:eastAsia="宋体" w:cs="宋体"/>
          <w:color w:val="auto"/>
          <w:sz w:val="21"/>
          <w:szCs w:val="21"/>
          <w:lang w:val="en-US" w:eastAsia="zh-CN"/>
        </w:rPr>
      </w:pPr>
      <w:r>
        <w:rPr>
          <w:rFonts w:hint="eastAsia" w:ascii="宋体" w:hAnsi="宋体" w:eastAsia="宋体"/>
          <w:color w:val="auto"/>
          <w:sz w:val="21"/>
          <w:szCs w:val="21"/>
        </w:rPr>
        <w:t>202</w:t>
      </w:r>
      <w:r>
        <w:rPr>
          <w:rFonts w:hint="eastAsia" w:ascii="宋体" w:hAnsi="宋体"/>
          <w:color w:val="auto"/>
          <w:sz w:val="21"/>
          <w:szCs w:val="21"/>
          <w:lang w:val="en-US" w:eastAsia="zh-CN"/>
        </w:rPr>
        <w:t>2</w:t>
      </w:r>
      <w:r>
        <w:rPr>
          <w:rFonts w:hint="eastAsia" w:ascii="宋体" w:hAnsi="宋体" w:eastAsia="宋体"/>
          <w:color w:val="auto"/>
          <w:sz w:val="21"/>
          <w:szCs w:val="21"/>
        </w:rPr>
        <w:t>年</w:t>
      </w:r>
      <w:r>
        <w:rPr>
          <w:rFonts w:hint="eastAsia" w:ascii="宋体" w:hAnsi="宋体" w:cs="宋体"/>
          <w:color w:val="auto"/>
          <w:sz w:val="21"/>
          <w:szCs w:val="21"/>
          <w:lang w:val="en-US" w:eastAsia="zh-CN"/>
        </w:rPr>
        <w:t>4</w:t>
      </w:r>
      <w:r>
        <w:rPr>
          <w:rFonts w:hint="eastAsia" w:ascii="宋体" w:hAnsi="宋体" w:eastAsia="宋体" w:cs="宋体"/>
          <w:color w:val="auto"/>
          <w:sz w:val="21"/>
          <w:szCs w:val="21"/>
        </w:rPr>
        <w:t>月</w:t>
      </w:r>
      <w:r>
        <w:rPr>
          <w:rFonts w:hint="eastAsia" w:ascii="宋体" w:hAnsi="宋体" w:cs="宋体"/>
          <w:color w:val="auto"/>
          <w:sz w:val="21"/>
          <w:szCs w:val="21"/>
          <w:lang w:val="en-US" w:eastAsia="zh-CN"/>
        </w:rPr>
        <w:t>29日</w:t>
      </w:r>
    </w:p>
    <w:p>
      <w:pPr>
        <w:bidi w:val="0"/>
        <w:rPr>
          <w:rFonts w:hint="eastAsia"/>
          <w:lang w:val="en-US" w:eastAsia="zh-CN"/>
        </w:rPr>
      </w:pPr>
      <w:bookmarkStart w:id="5" w:name="_Toc24505"/>
      <w:bookmarkStart w:id="6" w:name="_Toc28550"/>
    </w:p>
    <w:p>
      <w:pPr>
        <w:pStyle w:val="7"/>
        <w:rPr>
          <w:rFonts w:hint="eastAsia"/>
          <w:lang w:val="en-US" w:eastAsia="zh-CN"/>
        </w:rPr>
      </w:pPr>
    </w:p>
    <w:p>
      <w:pPr>
        <w:pStyle w:val="8"/>
        <w:rPr>
          <w:rFonts w:hint="eastAsia"/>
          <w:lang w:val="en-US" w:eastAsia="zh-CN"/>
        </w:rPr>
      </w:pPr>
    </w:p>
    <w:p>
      <w:pPr>
        <w:pStyle w:val="9"/>
        <w:rPr>
          <w:rFonts w:hint="eastAsia"/>
          <w:lang w:val="en-US" w:eastAsia="zh-CN"/>
        </w:rPr>
      </w:pPr>
    </w:p>
    <w:p>
      <w:pPr>
        <w:rPr>
          <w:rFonts w:hint="eastAsia"/>
          <w:lang w:val="en-US" w:eastAsia="zh-CN"/>
        </w:rPr>
      </w:pPr>
    </w:p>
    <w:p>
      <w:pPr>
        <w:pStyle w:val="7"/>
        <w:rPr>
          <w:rFonts w:hint="eastAsia"/>
          <w:lang w:val="en-US" w:eastAsia="zh-CN"/>
        </w:rPr>
      </w:pPr>
    </w:p>
    <w:p>
      <w:pPr>
        <w:pStyle w:val="8"/>
        <w:rPr>
          <w:rFonts w:hint="eastAsia"/>
          <w:lang w:val="en-US" w:eastAsia="zh-CN"/>
        </w:rPr>
      </w:pPr>
    </w:p>
    <w:p>
      <w:pPr>
        <w:pStyle w:val="9"/>
        <w:rPr>
          <w:rFonts w:hint="eastAsia"/>
          <w:lang w:val="en-US" w:eastAsia="zh-CN"/>
        </w:rPr>
      </w:pPr>
    </w:p>
    <w:p>
      <w:pPr>
        <w:rPr>
          <w:rFonts w:hint="eastAsia"/>
          <w:lang w:val="en-US" w:eastAsia="zh-CN"/>
        </w:rPr>
      </w:pPr>
    </w:p>
    <w:p>
      <w:pPr>
        <w:pStyle w:val="7"/>
        <w:rPr>
          <w:rFonts w:hint="eastAsia"/>
          <w:lang w:val="en-US" w:eastAsia="zh-CN"/>
        </w:rPr>
      </w:pPr>
    </w:p>
    <w:p>
      <w:pPr>
        <w:pStyle w:val="8"/>
        <w:rPr>
          <w:rFonts w:hint="eastAsia"/>
          <w:lang w:val="en-US" w:eastAsia="zh-CN"/>
        </w:rPr>
      </w:pPr>
    </w:p>
    <w:p>
      <w:pPr>
        <w:pStyle w:val="9"/>
        <w:rPr>
          <w:rFonts w:hint="eastAsia"/>
          <w:lang w:val="en-US" w:eastAsia="zh-CN"/>
        </w:rPr>
      </w:pPr>
    </w:p>
    <w:p>
      <w:pPr>
        <w:rPr>
          <w:rFonts w:hint="eastAsia"/>
          <w:lang w:val="en-US" w:eastAsia="zh-CN"/>
        </w:rPr>
      </w:pPr>
    </w:p>
    <w:p>
      <w:pPr>
        <w:pStyle w:val="7"/>
        <w:rPr>
          <w:rFonts w:hint="eastAsia"/>
          <w:lang w:val="en-US" w:eastAsia="zh-CN"/>
        </w:rPr>
      </w:pPr>
    </w:p>
    <w:p>
      <w:pPr>
        <w:pStyle w:val="8"/>
        <w:rPr>
          <w:rFonts w:hint="eastAsia"/>
          <w:lang w:val="en-US" w:eastAsia="zh-CN"/>
        </w:rPr>
      </w:pPr>
    </w:p>
    <w:p>
      <w:pPr>
        <w:pStyle w:val="9"/>
        <w:rPr>
          <w:rFonts w:hint="eastAsia"/>
          <w:lang w:val="en-US" w:eastAsia="zh-CN"/>
        </w:rPr>
      </w:pPr>
    </w:p>
    <w:p>
      <w:pPr>
        <w:rPr>
          <w:rFonts w:hint="eastAsia"/>
          <w:lang w:val="en-US" w:eastAsia="zh-CN"/>
        </w:rPr>
      </w:pPr>
    </w:p>
    <w:p>
      <w:pPr>
        <w:pStyle w:val="7"/>
        <w:rPr>
          <w:rFonts w:hint="eastAsia"/>
          <w:lang w:val="en-US" w:eastAsia="zh-CN"/>
        </w:rPr>
      </w:pPr>
    </w:p>
    <w:p>
      <w:pPr>
        <w:pStyle w:val="8"/>
        <w:rPr>
          <w:rFonts w:hint="eastAsia"/>
          <w:lang w:val="en-US" w:eastAsia="zh-CN"/>
        </w:rPr>
      </w:pPr>
    </w:p>
    <w:p>
      <w:pPr>
        <w:pStyle w:val="3"/>
        <w:spacing w:before="0" w:after="0" w:line="240" w:lineRule="auto"/>
        <w:rPr>
          <w:rFonts w:hint="eastAsia"/>
          <w:color w:val="auto"/>
          <w:sz w:val="28"/>
          <w:szCs w:val="28"/>
          <w:lang w:val="en-US" w:eastAsia="zh-CN"/>
        </w:rPr>
      </w:pPr>
      <w:r>
        <w:rPr>
          <w:rFonts w:hint="eastAsia"/>
          <w:color w:val="auto"/>
          <w:sz w:val="28"/>
          <w:szCs w:val="28"/>
          <w:lang w:val="en-US" w:eastAsia="zh-CN"/>
        </w:rPr>
        <w:t xml:space="preserve">第二部分 </w:t>
      </w:r>
      <w:bookmarkStart w:id="7" w:name="_Toc20683"/>
      <w:r>
        <w:rPr>
          <w:rFonts w:hint="eastAsia"/>
          <w:color w:val="auto"/>
          <w:sz w:val="28"/>
          <w:szCs w:val="28"/>
          <w:lang w:val="en-US" w:eastAsia="zh-CN"/>
        </w:rPr>
        <w:t>投标资料表</w:t>
      </w:r>
      <w:bookmarkEnd w:id="5"/>
      <w:bookmarkEnd w:id="6"/>
      <w:bookmarkEnd w:id="7"/>
    </w:p>
    <w:tbl>
      <w:tblPr>
        <w:tblStyle w:val="23"/>
        <w:tblW w:w="8410" w:type="dxa"/>
        <w:tblInd w:w="-24" w:type="dxa"/>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Layout w:type="fixed"/>
        <w:tblCellMar>
          <w:top w:w="0" w:type="dxa"/>
          <w:left w:w="28" w:type="dxa"/>
          <w:bottom w:w="0" w:type="dxa"/>
          <w:right w:w="28" w:type="dxa"/>
        </w:tblCellMar>
      </w:tblPr>
      <w:tblGrid>
        <w:gridCol w:w="878"/>
        <w:gridCol w:w="2531"/>
        <w:gridCol w:w="77"/>
        <w:gridCol w:w="1158"/>
        <w:gridCol w:w="1455"/>
        <w:gridCol w:w="2311"/>
      </w:tblGrid>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600" w:hRule="atLeast"/>
        </w:trPr>
        <w:tc>
          <w:tcPr>
            <w:tcW w:w="878" w:type="dxa"/>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rPr>
            </w:pPr>
            <w:r>
              <w:rPr>
                <w:rFonts w:hint="eastAsia" w:ascii="宋体" w:hAnsi="宋体" w:eastAsia="宋体"/>
                <w:color w:val="auto"/>
                <w:sz w:val="21"/>
                <w:szCs w:val="21"/>
              </w:rPr>
              <w:t>序号</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rPr>
            </w:pPr>
            <w:r>
              <w:rPr>
                <w:rFonts w:hint="eastAsia" w:ascii="宋体" w:hAnsi="宋体" w:eastAsia="宋体"/>
                <w:b/>
                <w:color w:val="auto"/>
                <w:sz w:val="21"/>
                <w:szCs w:val="21"/>
              </w:rPr>
              <w:t>内容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51" w:hRule="atLeast"/>
        </w:trPr>
        <w:tc>
          <w:tcPr>
            <w:tcW w:w="8410" w:type="dxa"/>
            <w:gridSpan w:val="6"/>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rPr>
            </w:pPr>
            <w:r>
              <w:rPr>
                <w:rFonts w:hint="eastAsia" w:ascii="宋体" w:hAnsi="宋体" w:eastAsia="宋体"/>
                <w:b/>
                <w:color w:val="auto"/>
                <w:sz w:val="21"/>
                <w:szCs w:val="21"/>
              </w:rPr>
              <w:t>一、说明</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lang w:val="en-US" w:eastAsia="zh-CN"/>
              </w:rPr>
            </w:pPr>
            <w:r>
              <w:rPr>
                <w:rFonts w:hint="eastAsia" w:ascii="宋体" w:hAnsi="宋体"/>
                <w:color w:val="auto"/>
                <w:sz w:val="21"/>
                <w:szCs w:val="21"/>
                <w:lang w:val="en-US" w:eastAsia="zh-CN"/>
              </w:rPr>
              <w:t>1</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b/>
                <w:color w:val="auto"/>
                <w:sz w:val="21"/>
                <w:szCs w:val="21"/>
                <w:lang w:eastAsia="zh-CN"/>
              </w:rPr>
            </w:pPr>
            <w:r>
              <w:rPr>
                <w:rFonts w:hint="eastAsia" w:ascii="宋体" w:hAnsi="宋体" w:eastAsia="宋体"/>
                <w:b/>
                <w:bCs/>
                <w:color w:val="auto"/>
                <w:sz w:val="21"/>
                <w:szCs w:val="21"/>
              </w:rPr>
              <w:t>资金来源</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hint="default" w:ascii="宋体" w:hAnsi="宋体" w:eastAsia="宋体"/>
                <w:b/>
                <w:color w:val="auto"/>
                <w:sz w:val="21"/>
                <w:szCs w:val="21"/>
                <w:lang w:val="en-US" w:eastAsia="zh-CN"/>
              </w:rPr>
            </w:pPr>
            <w:r>
              <w:rPr>
                <w:rFonts w:hint="eastAsia" w:ascii="宋体" w:hAnsi="宋体"/>
                <w:color w:val="auto"/>
                <w:sz w:val="21"/>
                <w:szCs w:val="21"/>
                <w:lang w:val="en-US" w:eastAsia="zh-CN"/>
              </w:rPr>
              <w:t>自筹</w:t>
            </w:r>
            <w:r>
              <w:rPr>
                <w:rFonts w:hint="eastAsia" w:ascii="宋体" w:hAnsi="宋体" w:eastAsia="宋体"/>
                <w:color w:val="auto"/>
                <w:sz w:val="21"/>
                <w:szCs w:val="21"/>
              </w:rPr>
              <w:t>资金。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lang w:val="en-US" w:eastAsia="zh-CN"/>
              </w:rPr>
            </w:pPr>
            <w:r>
              <w:rPr>
                <w:rFonts w:hint="eastAsia" w:ascii="宋体" w:hAnsi="宋体"/>
                <w:color w:val="auto"/>
                <w:sz w:val="21"/>
                <w:szCs w:val="21"/>
                <w:lang w:val="en-US" w:eastAsia="zh-CN"/>
              </w:rPr>
              <w:t>2</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olor w:val="auto"/>
                <w:sz w:val="21"/>
                <w:szCs w:val="21"/>
              </w:rPr>
            </w:pPr>
            <w:r>
              <w:rPr>
                <w:rFonts w:hint="eastAsia" w:ascii="宋体" w:hAnsi="宋体" w:eastAsia="宋体"/>
                <w:b/>
                <w:bCs/>
                <w:color w:val="auto"/>
                <w:sz w:val="21"/>
                <w:szCs w:val="21"/>
              </w:rPr>
              <w:t>项目最高限价（单位：元）</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hint="eastAsia" w:ascii="宋体" w:hAnsi="宋体" w:eastAsia="宋体"/>
                <w:color w:val="auto"/>
                <w:sz w:val="21"/>
                <w:szCs w:val="21"/>
              </w:rPr>
            </w:pPr>
            <w:r>
              <w:rPr>
                <w:rFonts w:hint="eastAsia" w:ascii="宋体" w:hAnsi="宋体" w:eastAsia="宋体"/>
                <w:bCs/>
                <w:color w:val="auto"/>
                <w:sz w:val="21"/>
                <w:szCs w:val="21"/>
              </w:rPr>
              <w:t>与项目预算一致。</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lang w:eastAsia="zh-CN"/>
              </w:rPr>
            </w:pPr>
            <w:r>
              <w:rPr>
                <w:rFonts w:hint="eastAsia" w:ascii="宋体" w:hAnsi="宋体"/>
                <w:color w:val="auto"/>
                <w:sz w:val="21"/>
                <w:szCs w:val="21"/>
                <w:lang w:val="en-US" w:eastAsia="zh-CN"/>
              </w:rPr>
              <w:t>3</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ascii="宋体" w:hAnsi="宋体" w:eastAsia="宋体"/>
                <w:b/>
                <w:color w:val="auto"/>
                <w:sz w:val="21"/>
                <w:szCs w:val="21"/>
              </w:rPr>
            </w:pPr>
            <w:r>
              <w:rPr>
                <w:rFonts w:hint="eastAsia" w:ascii="宋体" w:hAnsi="宋体" w:eastAsia="宋体"/>
                <w:b/>
                <w:color w:val="auto"/>
                <w:sz w:val="21"/>
                <w:szCs w:val="21"/>
              </w:rPr>
              <w:t>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ascii="宋体" w:hAnsi="宋体" w:eastAsia="宋体"/>
                <w:b/>
                <w:color w:val="auto"/>
                <w:sz w:val="21"/>
                <w:szCs w:val="21"/>
              </w:rPr>
            </w:pPr>
            <w:r>
              <w:rPr>
                <w:rFonts w:hint="eastAsia" w:ascii="宋体" w:hAnsi="宋体" w:eastAsia="宋体"/>
                <w:bCs/>
                <w:color w:val="auto"/>
                <w:sz w:val="21"/>
                <w:szCs w:val="21"/>
              </w:rPr>
              <w:t>本项目不组织踏勘现场。</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lang w:eastAsia="zh-CN"/>
              </w:rPr>
            </w:pPr>
            <w:r>
              <w:rPr>
                <w:rFonts w:hint="eastAsia" w:ascii="宋体" w:hAnsi="宋体"/>
                <w:color w:val="auto"/>
                <w:sz w:val="21"/>
                <w:szCs w:val="21"/>
                <w:lang w:val="en-US" w:eastAsia="zh-CN"/>
              </w:rPr>
              <w:t>4</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rPr>
            </w:pPr>
            <w:r>
              <w:rPr>
                <w:rFonts w:hint="eastAsia" w:ascii="宋体" w:hAnsi="宋体" w:eastAsia="宋体"/>
                <w:b/>
                <w:color w:val="auto"/>
                <w:sz w:val="21"/>
                <w:szCs w:val="21"/>
              </w:rPr>
              <w:t>招标信息发布网站</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6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rPr>
            </w:pPr>
          </w:p>
        </w:tc>
        <w:tc>
          <w:tcPr>
            <w:tcW w:w="253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b/>
                <w:color w:val="auto"/>
                <w:sz w:val="21"/>
                <w:szCs w:val="21"/>
              </w:rPr>
            </w:pPr>
            <w:r>
              <w:rPr>
                <w:rFonts w:hint="eastAsia" w:ascii="宋体" w:hAnsi="宋体" w:eastAsia="宋体"/>
                <w:b/>
                <w:color w:val="auto"/>
                <w:sz w:val="21"/>
                <w:szCs w:val="21"/>
              </w:rPr>
              <w:t>政通招标网</w:t>
            </w:r>
          </w:p>
        </w:tc>
        <w:tc>
          <w:tcPr>
            <w:tcW w:w="2690"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default" w:ascii="宋体" w:hAnsi="宋体" w:eastAsia="宋体"/>
                <w:b/>
                <w:color w:val="auto"/>
                <w:sz w:val="21"/>
                <w:szCs w:val="21"/>
                <w:lang w:val="en-US"/>
              </w:rPr>
            </w:pPr>
            <w:r>
              <w:rPr>
                <w:rFonts w:hint="eastAsia" w:ascii="宋体" w:hAnsi="宋体" w:eastAsia="宋体"/>
                <w:b/>
                <w:color w:val="auto"/>
                <w:sz w:val="21"/>
                <w:szCs w:val="21"/>
                <w:lang w:val="en-US" w:eastAsia="zh-CN"/>
              </w:rPr>
              <w:t>东莞</w:t>
            </w:r>
            <w:r>
              <w:rPr>
                <w:rFonts w:hint="eastAsia" w:ascii="宋体" w:hAnsi="宋体"/>
                <w:b/>
                <w:color w:val="auto"/>
                <w:sz w:val="21"/>
                <w:szCs w:val="21"/>
                <w:lang w:val="en-US" w:eastAsia="zh-CN"/>
              </w:rPr>
              <w:t>市能源投资集团</w:t>
            </w:r>
            <w:r>
              <w:rPr>
                <w:rFonts w:hint="eastAsia" w:ascii="宋体" w:hAnsi="宋体" w:eastAsia="宋体"/>
                <w:b/>
                <w:color w:val="auto"/>
                <w:sz w:val="21"/>
                <w:szCs w:val="21"/>
                <w:lang w:val="en-US" w:eastAsia="zh-CN"/>
              </w:rPr>
              <w:t>有限公司</w:t>
            </w:r>
            <w:r>
              <w:rPr>
                <w:rFonts w:hint="eastAsia" w:ascii="宋体" w:hAnsi="宋体"/>
                <w:b/>
                <w:color w:val="auto"/>
                <w:sz w:val="21"/>
                <w:szCs w:val="21"/>
                <w:lang w:val="en-US" w:eastAsia="zh-CN"/>
              </w:rPr>
              <w:t>网站</w:t>
            </w:r>
          </w:p>
        </w:tc>
        <w:tc>
          <w:tcPr>
            <w:tcW w:w="231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b/>
                <w:color w:val="auto"/>
                <w:sz w:val="21"/>
                <w:szCs w:val="21"/>
              </w:rPr>
            </w:pPr>
            <w:r>
              <w:rPr>
                <w:rFonts w:hint="eastAsia" w:ascii="宋体" w:hAnsi="宋体" w:eastAsia="宋体"/>
                <w:b/>
                <w:color w:val="auto"/>
                <w:sz w:val="21"/>
                <w:szCs w:val="21"/>
                <w:highlight w:val="none"/>
              </w:rPr>
              <w:t>中国招标投标公共服务平台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74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rPr>
            </w:pPr>
          </w:p>
        </w:tc>
        <w:tc>
          <w:tcPr>
            <w:tcW w:w="253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b/>
                <w:color w:val="auto"/>
                <w:sz w:val="21"/>
                <w:szCs w:val="21"/>
              </w:rPr>
            </w:pPr>
            <w:r>
              <w:rPr>
                <w:rFonts w:hint="eastAsia" w:ascii="宋体" w:hAnsi="宋体" w:eastAsia="宋体"/>
                <w:color w:val="auto"/>
                <w:sz w:val="21"/>
                <w:szCs w:val="21"/>
                <w:highlight w:val="none"/>
              </w:rPr>
              <w:t>http://www.zttendering.com/</w:t>
            </w:r>
          </w:p>
        </w:tc>
        <w:tc>
          <w:tcPr>
            <w:tcW w:w="2690" w:type="dxa"/>
            <w:gridSpan w:val="3"/>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b/>
                <w:color w:val="auto"/>
                <w:sz w:val="21"/>
                <w:szCs w:val="21"/>
              </w:rPr>
            </w:pPr>
            <w:r>
              <w:rPr>
                <w:rFonts w:hint="eastAsia" w:ascii="宋体" w:hAnsi="宋体" w:eastAsia="宋体"/>
                <w:bCs/>
                <w:color w:val="auto"/>
                <w:sz w:val="21"/>
                <w:szCs w:val="21"/>
                <w:highlight w:val="none"/>
              </w:rPr>
              <w:t>http://www.dg-energy.com/</w:t>
            </w:r>
          </w:p>
        </w:tc>
        <w:tc>
          <w:tcPr>
            <w:tcW w:w="2311" w:type="dxa"/>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ascii="宋体" w:hAnsi="宋体" w:eastAsia="宋体"/>
                <w:color w:val="auto"/>
                <w:sz w:val="21"/>
                <w:szCs w:val="21"/>
              </w:rPr>
            </w:pPr>
            <w:r>
              <w:rPr>
                <w:rFonts w:ascii="宋体" w:hAnsi="宋体" w:eastAsia="宋体"/>
                <w:bCs/>
                <w:color w:val="auto"/>
                <w:sz w:val="21"/>
                <w:szCs w:val="21"/>
                <w:highlight w:val="none"/>
              </w:rPr>
              <w:t>http://www.cebpubservice.com</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75" w:hRule="atLeast"/>
        </w:trPr>
        <w:tc>
          <w:tcPr>
            <w:tcW w:w="8410" w:type="dxa"/>
            <w:gridSpan w:val="6"/>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rPr>
            </w:pPr>
            <w:r>
              <w:rPr>
                <w:rFonts w:hint="eastAsia" w:ascii="宋体" w:hAnsi="宋体" w:eastAsia="宋体"/>
                <w:b/>
                <w:color w:val="auto"/>
                <w:sz w:val="21"/>
                <w:szCs w:val="21"/>
              </w:rPr>
              <w:t>二、投标文件的编制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lang w:eastAsia="zh-CN"/>
              </w:rPr>
            </w:pPr>
            <w:r>
              <w:rPr>
                <w:rFonts w:hint="eastAsia" w:ascii="宋体" w:hAnsi="宋体"/>
                <w:color w:val="auto"/>
                <w:sz w:val="21"/>
                <w:szCs w:val="21"/>
                <w:lang w:val="en-US" w:eastAsia="zh-CN"/>
              </w:rPr>
              <w:t>5</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ascii="宋体" w:hAnsi="宋体" w:eastAsia="宋体"/>
                <w:b/>
                <w:color w:val="auto"/>
                <w:sz w:val="21"/>
                <w:szCs w:val="21"/>
              </w:rPr>
            </w:pPr>
            <w:r>
              <w:rPr>
                <w:rFonts w:hint="eastAsia" w:ascii="宋体" w:hAnsi="宋体" w:eastAsia="宋体"/>
                <w:b/>
                <w:color w:val="auto"/>
                <w:sz w:val="21"/>
                <w:szCs w:val="21"/>
              </w:rPr>
              <w:t>投标语言</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25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textAlignment w:val="auto"/>
              <w:rPr>
                <w:rFonts w:ascii="宋体" w:hAnsi="宋体" w:eastAsia="宋体"/>
                <w:b/>
                <w:color w:val="auto"/>
                <w:sz w:val="21"/>
                <w:szCs w:val="21"/>
              </w:rPr>
            </w:pPr>
            <w:r>
              <w:rPr>
                <w:rFonts w:hint="eastAsia" w:ascii="宋体" w:hAnsi="宋体" w:eastAsia="宋体"/>
                <w:color w:val="auto"/>
                <w:sz w:val="21"/>
                <w:szCs w:val="21"/>
              </w:rPr>
              <w:t>中文。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lang w:eastAsia="zh-CN"/>
              </w:rPr>
            </w:pPr>
            <w:r>
              <w:rPr>
                <w:rFonts w:hint="eastAsia" w:ascii="宋体" w:hAnsi="宋体"/>
                <w:color w:val="auto"/>
                <w:sz w:val="21"/>
                <w:szCs w:val="21"/>
                <w:lang w:val="en-US" w:eastAsia="zh-CN"/>
              </w:rPr>
              <w:t>6</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rPr>
            </w:pPr>
            <w:r>
              <w:rPr>
                <w:rFonts w:hint="eastAsia" w:ascii="宋体" w:hAnsi="宋体" w:eastAsia="宋体"/>
                <w:b/>
                <w:color w:val="auto"/>
                <w:sz w:val="21"/>
                <w:szCs w:val="21"/>
              </w:rPr>
              <w:t>投标报价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rPr>
            </w:pPr>
            <w:r>
              <w:rPr>
                <w:rFonts w:hint="eastAsia" w:ascii="宋体" w:hAnsi="宋体" w:eastAsia="宋体"/>
                <w:color w:val="auto"/>
                <w:sz w:val="21"/>
                <w:szCs w:val="21"/>
              </w:rPr>
              <w:t>详见投标人须知。</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color w:val="auto"/>
                <w:sz w:val="21"/>
                <w:szCs w:val="21"/>
                <w:lang w:eastAsia="zh-CN"/>
              </w:rPr>
            </w:pPr>
            <w:r>
              <w:rPr>
                <w:rFonts w:hint="eastAsia" w:ascii="宋体" w:hAnsi="宋体"/>
                <w:color w:val="auto"/>
                <w:sz w:val="21"/>
                <w:szCs w:val="21"/>
                <w:lang w:val="en-US" w:eastAsia="zh-CN"/>
              </w:rPr>
              <w:t>7</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b/>
                <w:color w:val="auto"/>
                <w:sz w:val="21"/>
                <w:szCs w:val="21"/>
                <w:lang w:eastAsia="zh-CN"/>
              </w:rPr>
            </w:pPr>
            <w:r>
              <w:rPr>
                <w:rFonts w:hint="eastAsia" w:ascii="宋体" w:hAnsi="宋体" w:eastAsia="宋体"/>
                <w:b/>
                <w:color w:val="auto"/>
                <w:sz w:val="21"/>
                <w:szCs w:val="21"/>
              </w:rPr>
              <w:t>投标样品</w:t>
            </w:r>
            <w:r>
              <w:rPr>
                <w:rFonts w:hint="eastAsia" w:ascii="宋体" w:hAnsi="宋体"/>
                <w:b/>
                <w:color w:val="auto"/>
                <w:sz w:val="21"/>
                <w:szCs w:val="21"/>
                <w:lang w:eastAsia="zh-CN"/>
              </w:rPr>
              <w:t>（</w:t>
            </w:r>
            <w:r>
              <w:rPr>
                <w:rFonts w:hint="eastAsia" w:ascii="宋体" w:hAnsi="宋体"/>
                <w:b/>
                <w:color w:val="auto"/>
                <w:sz w:val="21"/>
                <w:szCs w:val="21"/>
                <w:lang w:val="en-US" w:eastAsia="zh-CN"/>
              </w:rPr>
              <w:t>如有</w:t>
            </w:r>
            <w:r>
              <w:rPr>
                <w:rFonts w:hint="eastAsia" w:ascii="宋体" w:hAnsi="宋体"/>
                <w:b/>
                <w:color w:val="auto"/>
                <w:sz w:val="21"/>
                <w:szCs w:val="21"/>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rPr>
            </w:pPr>
            <w:r>
              <w:rPr>
                <w:rFonts w:hint="eastAsia" w:ascii="宋体" w:hAnsi="宋体" w:eastAsia="宋体"/>
                <w:color w:val="auto"/>
                <w:sz w:val="21"/>
                <w:szCs w:val="21"/>
              </w:rPr>
              <w:t>详见用户需求。</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8</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color w:val="auto"/>
                <w:sz w:val="21"/>
                <w:szCs w:val="21"/>
              </w:rPr>
            </w:pPr>
            <w:r>
              <w:rPr>
                <w:rFonts w:hint="eastAsia" w:ascii="宋体" w:hAnsi="宋体" w:eastAsia="宋体"/>
                <w:b/>
                <w:color w:val="auto"/>
                <w:sz w:val="21"/>
                <w:szCs w:val="21"/>
              </w:rPr>
              <w:t>核心产品</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color w:val="auto"/>
                <w:sz w:val="21"/>
                <w:szCs w:val="21"/>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color w:val="auto"/>
                <w:sz w:val="21"/>
                <w:szCs w:val="21"/>
                <w:lang w:eastAsia="zh-CN"/>
              </w:rPr>
            </w:pPr>
            <w:r>
              <w:rPr>
                <w:rFonts w:hint="eastAsia" w:ascii="宋体" w:hAnsi="宋体" w:eastAsia="宋体"/>
                <w:color w:val="auto"/>
                <w:sz w:val="21"/>
                <w:szCs w:val="21"/>
              </w:rPr>
              <w:t>“●”为核心产品</w:t>
            </w:r>
            <w:r>
              <w:rPr>
                <w:rFonts w:hint="eastAsia" w:ascii="宋体" w:hAnsi="宋体"/>
                <w:color w:val="auto"/>
                <w:sz w:val="21"/>
                <w:szCs w:val="21"/>
                <w:lang w:eastAsia="zh-CN"/>
              </w:rPr>
              <w:t>（</w:t>
            </w:r>
            <w:r>
              <w:rPr>
                <w:rFonts w:hint="eastAsia" w:ascii="宋体" w:hAnsi="宋体"/>
                <w:color w:val="auto"/>
                <w:sz w:val="21"/>
                <w:szCs w:val="21"/>
                <w:lang w:val="en-US" w:eastAsia="zh-CN"/>
              </w:rPr>
              <w:t>本项目无核心产品</w:t>
            </w:r>
            <w:r>
              <w:rPr>
                <w:rFonts w:hint="eastAsia" w:ascii="宋体" w:hAnsi="宋体"/>
                <w:color w:val="auto"/>
                <w:sz w:val="21"/>
                <w:szCs w:val="21"/>
                <w:lang w:eastAsia="zh-CN"/>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9</w:t>
            </w:r>
          </w:p>
        </w:tc>
        <w:tc>
          <w:tcPr>
            <w:tcW w:w="7532" w:type="dxa"/>
            <w:gridSpan w:val="5"/>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both"/>
              <w:textAlignment w:val="auto"/>
              <w:rPr>
                <w:rFonts w:hint="eastAsia" w:ascii="宋体" w:hAnsi="宋体" w:eastAsia="宋体"/>
                <w:b/>
                <w:color w:val="auto"/>
                <w:sz w:val="21"/>
                <w:szCs w:val="21"/>
                <w:lang w:eastAsia="zh-CN"/>
              </w:rPr>
            </w:pPr>
            <w:r>
              <w:rPr>
                <w:rFonts w:hint="eastAsia" w:ascii="宋体" w:hAnsi="宋体" w:eastAsia="宋体"/>
                <w:sz w:val="21"/>
                <w:szCs w:val="21"/>
              </w:rPr>
              <w:t>★</w:t>
            </w:r>
            <w:r>
              <w:rPr>
                <w:rFonts w:hint="eastAsia" w:ascii="宋体" w:hAnsi="宋体" w:eastAsia="宋体"/>
                <w:b/>
                <w:color w:val="auto"/>
                <w:sz w:val="21"/>
                <w:szCs w:val="21"/>
              </w:rPr>
              <w:t>投标保证金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color w:val="auto"/>
                <w:sz w:val="21"/>
                <w:szCs w:val="21"/>
                <w:lang w:val="en-US" w:eastAsia="zh-CN"/>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b/>
                <w:color w:val="auto"/>
                <w:sz w:val="21"/>
                <w:szCs w:val="21"/>
              </w:rPr>
            </w:pPr>
            <w:r>
              <w:rPr>
                <w:rFonts w:hint="eastAsia" w:ascii="宋体" w:hAnsi="宋体" w:eastAsia="宋体"/>
                <w:sz w:val="21"/>
                <w:szCs w:val="21"/>
              </w:rPr>
              <w:t>（1）投标保证金金额：人民币</w:t>
            </w:r>
            <w:r>
              <w:rPr>
                <w:rFonts w:hint="eastAsia" w:ascii="宋体" w:hAnsi="宋体"/>
                <w:b/>
                <w:sz w:val="21"/>
                <w:szCs w:val="21"/>
                <w:lang w:val="en-US" w:eastAsia="zh-CN"/>
              </w:rPr>
              <w:t>壹万</w:t>
            </w:r>
            <w:r>
              <w:rPr>
                <w:rFonts w:hint="eastAsia" w:ascii="宋体" w:hAnsi="宋体" w:eastAsia="宋体"/>
                <w:sz w:val="21"/>
                <w:szCs w:val="21"/>
              </w:rPr>
              <w:t>元整（￥</w:t>
            </w:r>
            <w:r>
              <w:rPr>
                <w:rFonts w:hint="eastAsia" w:ascii="宋体" w:hAnsi="宋体"/>
                <w:b/>
                <w:sz w:val="21"/>
                <w:szCs w:val="21"/>
                <w:lang w:val="en-US" w:eastAsia="zh-CN"/>
              </w:rPr>
              <w:t>10,000.00</w:t>
            </w:r>
            <w:r>
              <w:rPr>
                <w:rFonts w:hint="eastAsia" w:ascii="宋体" w:hAnsi="宋体" w:eastAsia="宋体"/>
                <w:sz w:val="21"/>
                <w:szCs w:val="21"/>
              </w:rPr>
              <w:t>）。</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color w:val="auto"/>
                <w:sz w:val="21"/>
                <w:szCs w:val="21"/>
                <w:lang w:val="en-US" w:eastAsia="zh-CN"/>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b/>
                <w:color w:val="auto"/>
                <w:sz w:val="21"/>
                <w:szCs w:val="21"/>
              </w:rPr>
            </w:pPr>
            <w:r>
              <w:rPr>
                <w:rFonts w:hint="eastAsia" w:ascii="宋体" w:hAnsi="宋体" w:eastAsia="宋体"/>
                <w:sz w:val="21"/>
                <w:szCs w:val="21"/>
              </w:rPr>
              <w:t>（2）</w:t>
            </w:r>
            <w:r>
              <w:rPr>
                <w:rFonts w:hint="eastAsia" w:ascii="宋体" w:hAnsi="宋体" w:eastAsia="宋体"/>
                <w:sz w:val="21"/>
                <w:szCs w:val="21"/>
                <w:lang w:val="zh-CN"/>
              </w:rPr>
              <w:t>投标保证金须严格按“招标文件第</w:t>
            </w:r>
            <w:r>
              <w:rPr>
                <w:rFonts w:hint="eastAsia" w:ascii="宋体" w:hAnsi="宋体" w:eastAsia="宋体"/>
                <w:sz w:val="21"/>
                <w:szCs w:val="21"/>
              </w:rPr>
              <w:t>四部分</w:t>
            </w:r>
            <w:r>
              <w:rPr>
                <w:rFonts w:hint="eastAsia" w:ascii="宋体" w:hAnsi="宋体" w:eastAsia="宋体"/>
                <w:sz w:val="21"/>
                <w:szCs w:val="21"/>
                <w:lang w:val="en-US" w:eastAsia="zh-CN"/>
              </w:rPr>
              <w:t>投</w:t>
            </w:r>
            <w:r>
              <w:rPr>
                <w:rFonts w:hint="eastAsia" w:ascii="宋体" w:hAnsi="宋体" w:eastAsia="宋体"/>
                <w:sz w:val="21"/>
                <w:szCs w:val="21"/>
                <w:lang w:val="zh-CN"/>
              </w:rPr>
              <w:t>标人须知”要求提交。</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color w:val="auto"/>
                <w:sz w:val="21"/>
                <w:szCs w:val="21"/>
                <w:lang w:val="en-US" w:eastAsia="zh-CN"/>
              </w:rPr>
            </w:pPr>
          </w:p>
        </w:tc>
        <w:tc>
          <w:tcPr>
            <w:tcW w:w="7532" w:type="dxa"/>
            <w:gridSpan w:val="5"/>
            <w:vAlign w:val="center"/>
          </w:tcPr>
          <w:p>
            <w:pPr>
              <w:spacing w:after="0"/>
              <w:jc w:val="both"/>
              <w:rPr>
                <w:rFonts w:ascii="宋体" w:hAnsi="宋体" w:eastAsia="宋体"/>
                <w:sz w:val="21"/>
                <w:szCs w:val="21"/>
                <w:lang w:val="zh-CN"/>
              </w:rPr>
            </w:pPr>
            <w:r>
              <w:rPr>
                <w:rFonts w:hint="eastAsia" w:ascii="宋体" w:hAnsi="宋体" w:eastAsia="宋体"/>
                <w:sz w:val="21"/>
                <w:szCs w:val="21"/>
                <w:lang w:val="zh-CN"/>
              </w:rPr>
              <w:t>（3）保证金递交账户：</w:t>
            </w:r>
          </w:p>
          <w:p>
            <w:pPr>
              <w:spacing w:after="0"/>
              <w:jc w:val="both"/>
              <w:rPr>
                <w:rFonts w:hint="eastAsia" w:ascii="宋体" w:hAnsi="宋体" w:eastAsia="宋体"/>
                <w:color w:val="auto"/>
                <w:sz w:val="21"/>
                <w:szCs w:val="21"/>
                <w:lang w:val="zh-CN"/>
              </w:rPr>
            </w:pPr>
            <w:r>
              <w:rPr>
                <w:rFonts w:hint="eastAsia" w:ascii="宋体" w:hAnsi="宋体" w:eastAsia="宋体"/>
                <w:color w:val="auto"/>
                <w:sz w:val="21"/>
                <w:szCs w:val="21"/>
                <w:lang w:val="zh-CN"/>
              </w:rPr>
              <w:t>收款人：广东政通招标有限公司</w:t>
            </w:r>
          </w:p>
          <w:p>
            <w:pPr>
              <w:spacing w:after="0"/>
              <w:jc w:val="both"/>
              <w:rPr>
                <w:rFonts w:hint="eastAsia" w:ascii="宋体" w:hAnsi="宋体" w:eastAsia="宋体"/>
                <w:sz w:val="21"/>
                <w:szCs w:val="21"/>
                <w:lang w:val="zh-CN"/>
              </w:rPr>
            </w:pPr>
            <w:r>
              <w:rPr>
                <w:rFonts w:hint="eastAsia" w:ascii="宋体" w:hAnsi="宋体" w:eastAsia="宋体"/>
                <w:color w:val="auto"/>
                <w:sz w:val="21"/>
                <w:szCs w:val="21"/>
                <w:lang w:val="zh-CN"/>
              </w:rPr>
              <w:t>开户行：广发银行股份有限公司东莞新城支行</w:t>
            </w:r>
          </w:p>
          <w:p>
            <w:pPr>
              <w:spacing w:after="0"/>
              <w:jc w:val="both"/>
              <w:rPr>
                <w:rFonts w:hint="eastAsia" w:ascii="宋体" w:hAnsi="宋体" w:eastAsia="宋体"/>
                <w:sz w:val="21"/>
                <w:szCs w:val="21"/>
                <w:lang w:val="zh-CN"/>
              </w:rPr>
            </w:pPr>
          </w:p>
          <w:p>
            <w:pPr>
              <w:spacing w:after="0"/>
              <w:jc w:val="both"/>
              <w:rPr>
                <w:rFonts w:ascii="宋体" w:hAnsi="宋体" w:eastAsia="宋体"/>
                <w:sz w:val="21"/>
                <w:szCs w:val="21"/>
                <w:lang w:val="zh-CN"/>
              </w:rPr>
            </w:pPr>
            <w:r>
              <w:rPr>
                <w:rFonts w:hint="eastAsia" w:ascii="宋体" w:hAnsi="宋体" w:eastAsia="宋体"/>
                <w:sz w:val="21"/>
                <w:szCs w:val="21"/>
                <w:lang w:val="zh-CN"/>
              </w:rPr>
              <w:t>帐  号：6232590699050046489</w:t>
            </w:r>
          </w:p>
          <w:p>
            <w:pPr>
              <w:keepNext w:val="0"/>
              <w:keepLines w:val="0"/>
              <w:pageBreakBefore w:val="0"/>
              <w:kinsoku/>
              <w:wordWrap/>
              <w:overflowPunct/>
              <w:topLinePunct w:val="0"/>
              <w:autoSpaceDE/>
              <w:autoSpaceDN/>
              <w:bidi w:val="0"/>
              <w:spacing w:after="0" w:line="360" w:lineRule="auto"/>
              <w:jc w:val="both"/>
              <w:textAlignment w:val="auto"/>
              <w:rPr>
                <w:rFonts w:hint="eastAsia" w:ascii="宋体" w:hAnsi="宋体" w:eastAsia="宋体"/>
                <w:sz w:val="21"/>
                <w:szCs w:val="21"/>
              </w:rPr>
            </w:pPr>
            <w:r>
              <w:rPr>
                <w:rFonts w:hint="eastAsia" w:ascii="宋体" w:hAnsi="宋体" w:eastAsia="宋体"/>
                <w:sz w:val="21"/>
                <w:szCs w:val="21"/>
                <w:lang w:val="zh-CN"/>
              </w:rPr>
              <w:t>（各投标人在转帐或电汇时须在用途栏上写明采购项目编号）。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90"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10</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rPr>
            </w:pPr>
            <w:r>
              <w:rPr>
                <w:rFonts w:hint="eastAsia" w:ascii="宋体" w:hAnsi="宋体" w:eastAsia="宋体"/>
                <w:color w:val="auto"/>
                <w:sz w:val="21"/>
                <w:szCs w:val="21"/>
              </w:rPr>
              <w:t>★</w:t>
            </w:r>
            <w:r>
              <w:rPr>
                <w:rFonts w:hint="eastAsia" w:ascii="宋体" w:hAnsi="宋体" w:eastAsia="宋体"/>
                <w:b/>
                <w:color w:val="auto"/>
                <w:sz w:val="21"/>
                <w:szCs w:val="21"/>
              </w:rPr>
              <w:t>投标有效期</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3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rPr>
            </w:pPr>
            <w:r>
              <w:rPr>
                <w:rFonts w:hint="eastAsia" w:ascii="宋体" w:hAnsi="宋体" w:eastAsia="宋体"/>
                <w:color w:val="auto"/>
                <w:sz w:val="21"/>
                <w:szCs w:val="21"/>
              </w:rPr>
              <w:t>九十天。</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11</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rPr>
            </w:pPr>
            <w:r>
              <w:rPr>
                <w:rFonts w:hint="eastAsia" w:ascii="宋体" w:hAnsi="宋体" w:eastAsia="宋体"/>
                <w:b/>
                <w:color w:val="auto"/>
                <w:sz w:val="21"/>
                <w:szCs w:val="21"/>
              </w:rPr>
              <w:t>信用信息查询渠道</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rPr>
            </w:pPr>
          </w:p>
        </w:tc>
        <w:tc>
          <w:tcPr>
            <w:tcW w:w="3766"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rPr>
            </w:pPr>
            <w:r>
              <w:rPr>
                <w:rFonts w:hint="eastAsia" w:ascii="宋体" w:hAnsi="宋体" w:eastAsia="宋体"/>
                <w:b/>
                <w:color w:val="auto"/>
                <w:sz w:val="21"/>
                <w:szCs w:val="21"/>
              </w:rPr>
              <w:t>信用中国</w:t>
            </w:r>
          </w:p>
        </w:tc>
        <w:tc>
          <w:tcPr>
            <w:tcW w:w="3766"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rPr>
            </w:pPr>
            <w:r>
              <w:rPr>
                <w:rFonts w:hint="eastAsia" w:ascii="宋体" w:hAnsi="宋体" w:eastAsia="宋体"/>
                <w:b/>
                <w:color w:val="auto"/>
                <w:sz w:val="21"/>
                <w:szCs w:val="21"/>
              </w:rPr>
              <w:t>中国政府采购网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rPr>
            </w:pPr>
          </w:p>
        </w:tc>
        <w:tc>
          <w:tcPr>
            <w:tcW w:w="3766"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rPr>
            </w:pPr>
            <w:r>
              <w:rPr>
                <w:rFonts w:hint="eastAsia" w:ascii="宋体" w:hAnsi="宋体" w:eastAsia="宋体"/>
                <w:color w:val="auto"/>
                <w:sz w:val="21"/>
                <w:szCs w:val="21"/>
              </w:rPr>
              <w:t>https://www.creditchina.gov.cn/</w:t>
            </w:r>
          </w:p>
        </w:tc>
        <w:tc>
          <w:tcPr>
            <w:tcW w:w="3766"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rPr>
            </w:pPr>
            <w:r>
              <w:rPr>
                <w:rFonts w:ascii="宋体" w:hAnsi="宋体" w:eastAsia="宋体"/>
                <w:color w:val="auto"/>
                <w:sz w:val="21"/>
                <w:szCs w:val="21"/>
              </w:rPr>
              <w:t>http://www.ccgp.gov.cn/</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12</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rPr>
            </w:pPr>
            <w:r>
              <w:rPr>
                <w:rFonts w:hint="eastAsia" w:ascii="宋体" w:hAnsi="宋体" w:eastAsia="宋体"/>
                <w:b/>
                <w:color w:val="auto"/>
                <w:sz w:val="21"/>
                <w:szCs w:val="21"/>
              </w:rPr>
              <w:t>投标人应提交以下投标文件</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rPr>
            </w:pPr>
          </w:p>
        </w:tc>
        <w:tc>
          <w:tcPr>
            <w:tcW w:w="2608"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rPr>
            </w:pPr>
            <w:r>
              <w:rPr>
                <w:rFonts w:hint="eastAsia" w:ascii="宋体" w:hAnsi="宋体" w:eastAsia="宋体"/>
                <w:b/>
                <w:color w:val="auto"/>
                <w:sz w:val="21"/>
                <w:szCs w:val="21"/>
              </w:rPr>
              <w:t>投标文件类型</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rPr>
            </w:pPr>
            <w:r>
              <w:rPr>
                <w:rFonts w:hint="eastAsia" w:ascii="宋体" w:hAnsi="宋体" w:eastAsia="宋体"/>
                <w:b/>
                <w:color w:val="auto"/>
                <w:sz w:val="21"/>
                <w:szCs w:val="21"/>
              </w:rPr>
              <w:t>份数</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rPr>
            </w:pPr>
          </w:p>
        </w:tc>
        <w:tc>
          <w:tcPr>
            <w:tcW w:w="2608"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b/>
                <w:color w:val="auto"/>
                <w:sz w:val="21"/>
                <w:szCs w:val="21"/>
                <w:lang w:eastAsia="zh-CN"/>
              </w:rPr>
            </w:pPr>
            <w:r>
              <w:rPr>
                <w:rFonts w:hint="eastAsia" w:ascii="宋体" w:hAnsi="宋体" w:eastAsia="宋体"/>
                <w:b/>
                <w:color w:val="auto"/>
                <w:sz w:val="21"/>
                <w:szCs w:val="21"/>
                <w:lang w:eastAsia="zh-CN"/>
              </w:rPr>
              <w:t>唱标文件</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rPr>
            </w:pPr>
            <w:r>
              <w:rPr>
                <w:rFonts w:hint="eastAsia" w:ascii="宋体" w:hAnsi="宋体" w:eastAsia="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rPr>
            </w:pPr>
          </w:p>
        </w:tc>
        <w:tc>
          <w:tcPr>
            <w:tcW w:w="2608"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rPr>
            </w:pPr>
            <w:r>
              <w:rPr>
                <w:rFonts w:hint="eastAsia" w:ascii="宋体" w:hAnsi="宋体" w:eastAsia="宋体"/>
                <w:b/>
                <w:color w:val="auto"/>
                <w:sz w:val="21"/>
                <w:szCs w:val="21"/>
              </w:rPr>
              <w:t>投标文件正本</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rPr>
            </w:pPr>
            <w:r>
              <w:rPr>
                <w:rFonts w:hint="eastAsia" w:ascii="宋体" w:hAnsi="宋体" w:eastAsia="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rPr>
            </w:pPr>
          </w:p>
        </w:tc>
        <w:tc>
          <w:tcPr>
            <w:tcW w:w="2608"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rPr>
            </w:pPr>
            <w:r>
              <w:rPr>
                <w:rFonts w:hint="eastAsia" w:ascii="宋体" w:hAnsi="宋体" w:eastAsia="宋体"/>
                <w:b/>
                <w:color w:val="auto"/>
                <w:sz w:val="21"/>
                <w:szCs w:val="21"/>
              </w:rPr>
              <w:t>投标文件副本</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hint="eastAsia" w:ascii="宋体" w:hAnsi="宋体" w:eastAsia="宋体"/>
                <w:b/>
                <w:color w:val="auto"/>
                <w:sz w:val="21"/>
                <w:szCs w:val="21"/>
                <w:lang w:eastAsia="zh-CN"/>
              </w:rPr>
            </w:pPr>
            <w:r>
              <w:rPr>
                <w:rFonts w:hint="eastAsia" w:ascii="宋体" w:hAnsi="宋体"/>
                <w:b/>
                <w:color w:val="auto"/>
                <w:sz w:val="21"/>
                <w:szCs w:val="21"/>
                <w:lang w:val="en-US" w:eastAsia="zh-CN"/>
              </w:rPr>
              <w:t>5</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94"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rPr>
            </w:pPr>
          </w:p>
        </w:tc>
        <w:tc>
          <w:tcPr>
            <w:tcW w:w="2608" w:type="dxa"/>
            <w:gridSpan w:val="2"/>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rPr>
            </w:pPr>
            <w:r>
              <w:rPr>
                <w:rFonts w:hint="eastAsia" w:ascii="宋体" w:hAnsi="宋体" w:eastAsia="宋体"/>
                <w:b/>
                <w:color w:val="auto"/>
                <w:sz w:val="21"/>
                <w:szCs w:val="21"/>
              </w:rPr>
              <w:t>电子文档</w:t>
            </w:r>
          </w:p>
        </w:tc>
        <w:tc>
          <w:tcPr>
            <w:tcW w:w="4924" w:type="dxa"/>
            <w:gridSpan w:val="3"/>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rPr>
            </w:pPr>
            <w:r>
              <w:rPr>
                <w:rFonts w:hint="eastAsia" w:ascii="宋体" w:hAnsi="宋体" w:eastAsia="宋体"/>
                <w:b/>
                <w:color w:val="auto"/>
                <w:sz w:val="21"/>
                <w:szCs w:val="21"/>
              </w:rPr>
              <w:t>1</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57" w:hRule="atLeast"/>
        </w:trPr>
        <w:tc>
          <w:tcPr>
            <w:tcW w:w="8410" w:type="dxa"/>
            <w:gridSpan w:val="6"/>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rPr>
            </w:pPr>
            <w:r>
              <w:rPr>
                <w:rFonts w:hint="eastAsia" w:ascii="宋体" w:hAnsi="宋体" w:eastAsia="宋体"/>
                <w:b/>
                <w:color w:val="auto"/>
                <w:sz w:val="21"/>
                <w:szCs w:val="21"/>
              </w:rPr>
              <w:t>三、开标与评标</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3"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13</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color w:val="auto"/>
                <w:sz w:val="21"/>
                <w:szCs w:val="21"/>
              </w:rPr>
            </w:pPr>
            <w:r>
              <w:rPr>
                <w:rFonts w:hint="eastAsia" w:ascii="宋体" w:hAnsi="宋体" w:eastAsia="宋体"/>
                <w:b/>
                <w:color w:val="auto"/>
                <w:sz w:val="21"/>
                <w:szCs w:val="21"/>
              </w:rPr>
              <w:t>本项目评标方法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472"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rPr>
            </w:pP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rPr>
            </w:pPr>
            <w:r>
              <w:rPr>
                <w:rFonts w:hint="eastAsia" w:ascii="宋体" w:hAnsi="宋体" w:eastAsia="宋体"/>
                <w:color w:val="auto"/>
                <w:sz w:val="21"/>
                <w:szCs w:val="21"/>
              </w:rPr>
              <w:t>综合评分法。</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cantSplit/>
          <w:trHeight w:val="537" w:hRule="atLeast"/>
        </w:trPr>
        <w:tc>
          <w:tcPr>
            <w:tcW w:w="8410" w:type="dxa"/>
            <w:gridSpan w:val="6"/>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b/>
                <w:color w:val="auto"/>
                <w:sz w:val="21"/>
                <w:szCs w:val="21"/>
              </w:rPr>
            </w:pPr>
            <w:r>
              <w:rPr>
                <w:rFonts w:hint="eastAsia" w:ascii="宋体" w:hAnsi="宋体" w:eastAsia="宋体"/>
                <w:b/>
                <w:color w:val="auto"/>
                <w:sz w:val="21"/>
                <w:szCs w:val="21"/>
              </w:rPr>
              <w:t>四、授予合同</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39"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14</w:t>
            </w:r>
          </w:p>
        </w:tc>
        <w:tc>
          <w:tcPr>
            <w:tcW w:w="7532" w:type="dxa"/>
            <w:gridSpan w:val="5"/>
            <w:shd w:val="clear" w:color="auto" w:fill="auto"/>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rPr>
            </w:pPr>
            <w:r>
              <w:rPr>
                <w:rFonts w:hint="eastAsia" w:ascii="宋体" w:hAnsi="宋体" w:eastAsia="宋体"/>
                <w:b/>
                <w:color w:val="auto"/>
                <w:sz w:val="21"/>
                <w:szCs w:val="21"/>
              </w:rPr>
              <w:t>履约保证金</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4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rPr>
            </w:pPr>
          </w:p>
        </w:tc>
        <w:tc>
          <w:tcPr>
            <w:tcW w:w="7532" w:type="dxa"/>
            <w:gridSpan w:val="5"/>
            <w:shd w:val="clear" w:color="auto" w:fill="auto"/>
            <w:vAlign w:val="center"/>
          </w:tcPr>
          <w:p>
            <w:pPr>
              <w:spacing w:after="0"/>
              <w:jc w:val="both"/>
              <w:rPr>
                <w:rFonts w:hint="eastAsia" w:ascii="宋体" w:hAnsi="宋体" w:eastAsia="宋体"/>
                <w:color w:val="auto"/>
                <w:sz w:val="21"/>
                <w:szCs w:val="21"/>
              </w:rPr>
            </w:pPr>
            <w:r>
              <w:rPr>
                <w:rFonts w:hint="eastAsia" w:ascii="宋体" w:hAnsi="宋体" w:eastAsia="宋体"/>
                <w:color w:val="auto"/>
                <w:sz w:val="21"/>
                <w:szCs w:val="21"/>
              </w:rPr>
              <w:t>履约保证金形式：采用银行转账或者以专业担保机构、金融机构出具的担保函的形式。</w:t>
            </w:r>
          </w:p>
          <w:p>
            <w:pPr>
              <w:spacing w:after="0"/>
              <w:jc w:val="both"/>
              <w:rPr>
                <w:rFonts w:hint="eastAsia" w:ascii="宋体" w:hAnsi="宋体" w:eastAsia="宋体"/>
                <w:color w:val="auto"/>
                <w:sz w:val="21"/>
                <w:szCs w:val="21"/>
              </w:rPr>
            </w:pPr>
            <w:r>
              <w:rPr>
                <w:rFonts w:hint="eastAsia" w:ascii="宋体" w:hAnsi="宋体" w:eastAsia="宋体"/>
                <w:color w:val="auto"/>
                <w:sz w:val="21"/>
                <w:szCs w:val="21"/>
              </w:rPr>
              <w:t>履约保证金金额：人民币</w:t>
            </w:r>
            <w:r>
              <w:rPr>
                <w:rFonts w:hint="eastAsia" w:ascii="宋体" w:hAnsi="宋体"/>
                <w:color w:val="auto"/>
                <w:sz w:val="21"/>
                <w:szCs w:val="21"/>
                <w:lang w:val="en-US" w:eastAsia="zh-CN"/>
              </w:rPr>
              <w:t>壹万</w:t>
            </w:r>
            <w:r>
              <w:rPr>
                <w:rFonts w:hint="eastAsia" w:ascii="宋体" w:hAnsi="宋体" w:eastAsia="宋体"/>
                <w:color w:val="auto"/>
                <w:sz w:val="21"/>
                <w:szCs w:val="21"/>
              </w:rPr>
              <w:t>元整（¥</w:t>
            </w:r>
            <w:r>
              <w:rPr>
                <w:rFonts w:hint="eastAsia" w:ascii="宋体" w:hAnsi="宋体"/>
                <w:color w:val="auto"/>
                <w:sz w:val="21"/>
                <w:szCs w:val="21"/>
                <w:lang w:val="en-US" w:eastAsia="zh-CN"/>
              </w:rPr>
              <w:t>1</w:t>
            </w:r>
            <w:r>
              <w:rPr>
                <w:rFonts w:hint="eastAsia" w:ascii="宋体" w:hAnsi="宋体" w:eastAsia="宋体"/>
                <w:color w:val="auto"/>
                <w:sz w:val="21"/>
                <w:szCs w:val="21"/>
              </w:rPr>
              <w:t>0,000.00元）</w:t>
            </w:r>
          </w:p>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rPr>
            </w:pPr>
            <w:r>
              <w:rPr>
                <w:rFonts w:hint="eastAsia" w:ascii="宋体" w:hAnsi="宋体" w:eastAsia="宋体"/>
                <w:color w:val="auto"/>
                <w:sz w:val="21"/>
                <w:szCs w:val="21"/>
              </w:rPr>
              <w:t>履约保证金账户：采购人指定账户(单位基本账户)</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65" w:hRule="atLeast"/>
        </w:trPr>
        <w:tc>
          <w:tcPr>
            <w:tcW w:w="878" w:type="dxa"/>
            <w:vMerge w:val="restart"/>
            <w:vAlign w:val="center"/>
          </w:tcPr>
          <w:p>
            <w:pPr>
              <w:keepNext w:val="0"/>
              <w:keepLines w:val="0"/>
              <w:pageBreakBefore w:val="0"/>
              <w:kinsoku/>
              <w:wordWrap/>
              <w:overflowPunct/>
              <w:topLinePunct w:val="0"/>
              <w:autoSpaceDE/>
              <w:autoSpaceDN/>
              <w:bidi w:val="0"/>
              <w:spacing w:after="0" w:line="360" w:lineRule="auto"/>
              <w:jc w:val="center"/>
              <w:textAlignment w:val="auto"/>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15</w:t>
            </w:r>
          </w:p>
        </w:tc>
        <w:tc>
          <w:tcPr>
            <w:tcW w:w="7532" w:type="dxa"/>
            <w:gridSpan w:val="5"/>
            <w:vAlign w:val="center"/>
          </w:tcPr>
          <w:p>
            <w:pPr>
              <w:keepNext w:val="0"/>
              <w:keepLines w:val="0"/>
              <w:pageBreakBefore w:val="0"/>
              <w:kinsoku/>
              <w:wordWrap/>
              <w:overflowPunct/>
              <w:topLinePunct w:val="0"/>
              <w:autoSpaceDE/>
              <w:autoSpaceDN/>
              <w:bidi w:val="0"/>
              <w:spacing w:after="0" w:line="360" w:lineRule="auto"/>
              <w:jc w:val="both"/>
              <w:textAlignment w:val="auto"/>
              <w:rPr>
                <w:rFonts w:ascii="宋体" w:hAnsi="宋体" w:eastAsia="宋体"/>
                <w:b/>
                <w:color w:val="auto"/>
                <w:sz w:val="21"/>
                <w:szCs w:val="21"/>
              </w:rPr>
            </w:pPr>
            <w:r>
              <w:rPr>
                <w:rFonts w:hint="eastAsia" w:ascii="宋体" w:hAnsi="宋体" w:eastAsia="宋体"/>
                <w:b/>
                <w:color w:val="auto"/>
                <w:sz w:val="21"/>
                <w:szCs w:val="21"/>
              </w:rPr>
              <w:t>中标服务费</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555"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rPr>
            </w:pPr>
          </w:p>
        </w:tc>
        <w:tc>
          <w:tcPr>
            <w:tcW w:w="7532" w:type="dxa"/>
            <w:gridSpan w:val="5"/>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（1）</w:t>
            </w:r>
            <w:r>
              <w:rPr>
                <w:rFonts w:hint="eastAsia" w:ascii="宋体" w:hAnsi="宋体" w:eastAsia="宋体"/>
                <w:color w:val="auto"/>
                <w:sz w:val="21"/>
                <w:szCs w:val="21"/>
                <w:lang w:val="en-US" w:eastAsia="zh-CN"/>
              </w:rPr>
              <w:t>本项目向</w:t>
            </w:r>
            <w:r>
              <w:rPr>
                <w:rFonts w:hint="eastAsia" w:ascii="宋体" w:hAnsi="宋体"/>
                <w:color w:val="auto"/>
                <w:sz w:val="21"/>
                <w:szCs w:val="21"/>
                <w:lang w:val="en-US" w:eastAsia="zh-CN"/>
              </w:rPr>
              <w:t>每家中标单位</w:t>
            </w:r>
            <w:r>
              <w:rPr>
                <w:rFonts w:hint="eastAsia" w:ascii="宋体" w:hAnsi="宋体" w:eastAsia="宋体"/>
                <w:color w:val="auto"/>
                <w:sz w:val="21"/>
                <w:szCs w:val="21"/>
                <w:lang w:val="en-US" w:eastAsia="zh-CN"/>
              </w:rPr>
              <w:t>定额收取中标服务费</w:t>
            </w:r>
            <w:r>
              <w:rPr>
                <w:rFonts w:hint="eastAsia" w:ascii="宋体" w:hAnsi="宋体"/>
                <w:color w:val="auto"/>
                <w:sz w:val="21"/>
                <w:szCs w:val="21"/>
                <w:lang w:val="en-US" w:eastAsia="zh-CN"/>
              </w:rPr>
              <w:t>金额为：</w:t>
            </w:r>
            <w:r>
              <w:rPr>
                <w:rFonts w:hint="eastAsia" w:ascii="宋体" w:hAnsi="宋体" w:eastAsia="宋体"/>
                <w:color w:val="auto"/>
                <w:sz w:val="21"/>
                <w:szCs w:val="21"/>
                <w:lang w:val="en-US" w:eastAsia="zh-CN"/>
              </w:rPr>
              <w:t>人民币</w:t>
            </w:r>
            <w:r>
              <w:rPr>
                <w:rFonts w:hint="eastAsia" w:ascii="宋体" w:hAnsi="宋体"/>
                <w:color w:val="auto"/>
                <w:sz w:val="21"/>
                <w:szCs w:val="21"/>
                <w:lang w:val="en-US" w:eastAsia="zh-CN"/>
              </w:rPr>
              <w:t>叁仟伍佰</w:t>
            </w:r>
            <w:r>
              <w:rPr>
                <w:rFonts w:hint="eastAsia" w:ascii="宋体" w:hAnsi="宋体" w:eastAsia="宋体"/>
                <w:color w:val="auto"/>
                <w:sz w:val="21"/>
                <w:szCs w:val="21"/>
                <w:lang w:val="en-US" w:eastAsia="zh-CN"/>
              </w:rPr>
              <w:t>元整（¥</w:t>
            </w:r>
            <w:r>
              <w:rPr>
                <w:rFonts w:hint="eastAsia" w:ascii="宋体" w:hAnsi="宋体"/>
                <w:color w:val="auto"/>
                <w:sz w:val="21"/>
                <w:szCs w:val="21"/>
                <w:lang w:val="en-US" w:eastAsia="zh-CN"/>
              </w:rPr>
              <w:t>3,500</w:t>
            </w:r>
            <w:r>
              <w:rPr>
                <w:rFonts w:hint="eastAsia" w:ascii="宋体" w:hAnsi="宋体" w:eastAsia="宋体"/>
                <w:color w:val="auto"/>
                <w:sz w:val="21"/>
                <w:szCs w:val="21"/>
                <w:lang w:val="en-US" w:eastAsia="zh-CN"/>
              </w:rPr>
              <w:t>.00）</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1170" w:hRule="atLeast"/>
        </w:trPr>
        <w:tc>
          <w:tcPr>
            <w:tcW w:w="878" w:type="dxa"/>
            <w:vMerge w:val="continue"/>
            <w:vAlign w:val="center"/>
          </w:tcPr>
          <w:p>
            <w:pPr>
              <w:keepNext w:val="0"/>
              <w:keepLines w:val="0"/>
              <w:pageBreakBefore w:val="0"/>
              <w:kinsoku/>
              <w:wordWrap/>
              <w:overflowPunct/>
              <w:topLinePunct w:val="0"/>
              <w:autoSpaceDE/>
              <w:autoSpaceDN/>
              <w:bidi w:val="0"/>
              <w:spacing w:after="0" w:line="360" w:lineRule="auto"/>
              <w:jc w:val="center"/>
              <w:textAlignment w:val="auto"/>
              <w:rPr>
                <w:rFonts w:ascii="宋体" w:hAnsi="宋体" w:eastAsia="宋体"/>
                <w:color w:val="auto"/>
                <w:sz w:val="21"/>
                <w:szCs w:val="21"/>
              </w:rPr>
            </w:pPr>
          </w:p>
        </w:tc>
        <w:tc>
          <w:tcPr>
            <w:tcW w:w="7532" w:type="dxa"/>
            <w:gridSpan w:val="5"/>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（2）中标服务费以转账或现金的形式支付。采购代理机构服务费汇入账号：</w:t>
            </w:r>
          </w:p>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hint="eastAsia" w:ascii="宋体" w:hAnsi="宋体" w:eastAsia="宋体"/>
                <w:color w:val="auto"/>
                <w:sz w:val="21"/>
                <w:szCs w:val="21"/>
                <w:lang w:eastAsia="zh-CN"/>
              </w:rPr>
            </w:pPr>
            <w:r>
              <w:rPr>
                <w:rFonts w:hint="eastAsia" w:ascii="宋体" w:hAnsi="宋体" w:eastAsia="宋体"/>
                <w:color w:val="auto"/>
                <w:sz w:val="21"/>
                <w:szCs w:val="21"/>
              </w:rPr>
              <w:t>收 款 人：</w:t>
            </w:r>
            <w:r>
              <w:rPr>
                <w:rFonts w:hint="eastAsia" w:ascii="宋体" w:hAnsi="宋体" w:eastAsia="宋体"/>
                <w:color w:val="auto"/>
                <w:sz w:val="21"/>
                <w:szCs w:val="21"/>
                <w:lang w:eastAsia="zh-CN"/>
              </w:rPr>
              <w:t>广东政通招标有限公司</w:t>
            </w:r>
          </w:p>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开户银行：广发银行股份有限公司东莞南城支行</w:t>
            </w:r>
          </w:p>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账　　号：9550880331235700173</w:t>
            </w:r>
          </w:p>
        </w:tc>
      </w:tr>
      <w:tr>
        <w:tblPrEx>
          <w:tblBorders>
            <w:top w:val="thinThickLargeGap" w:color="auto" w:sz="24" w:space="0"/>
            <w:left w:val="thinThickLargeGap" w:color="auto" w:sz="24" w:space="0"/>
            <w:bottom w:val="thickThinLargeGap" w:color="auto" w:sz="24" w:space="0"/>
            <w:right w:val="thickThinLargeGap" w:color="auto" w:sz="24" w:space="0"/>
            <w:insideH w:val="single" w:color="auto" w:sz="4" w:space="0"/>
            <w:insideV w:val="single" w:color="auto" w:sz="4" w:space="0"/>
          </w:tblBorders>
          <w:tblCellMar>
            <w:top w:w="0" w:type="dxa"/>
            <w:left w:w="28" w:type="dxa"/>
            <w:bottom w:w="0" w:type="dxa"/>
            <w:right w:w="28" w:type="dxa"/>
          </w:tblCellMar>
        </w:tblPrEx>
        <w:trPr>
          <w:trHeight w:val="820" w:hRule="atLeast"/>
        </w:trPr>
        <w:tc>
          <w:tcPr>
            <w:tcW w:w="8410" w:type="dxa"/>
            <w:gridSpan w:val="6"/>
            <w:vAlign w:val="center"/>
          </w:tcPr>
          <w:p>
            <w:pPr>
              <w:keepNext w:val="0"/>
              <w:keepLines w:val="0"/>
              <w:pageBreakBefore w:val="0"/>
              <w:widowControl w:val="0"/>
              <w:tabs>
                <w:tab w:val="left" w:pos="907"/>
              </w:tabs>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注：本表关于要采购项目的具体资料，是对投标人须知的具体补充和修改，如有矛盾，应以本资料表为准。</w:t>
            </w:r>
          </w:p>
        </w:tc>
      </w:tr>
    </w:tbl>
    <w:p>
      <w:pPr>
        <w:bidi w:val="0"/>
        <w:rPr>
          <w:rFonts w:hint="eastAsia"/>
          <w:color w:val="auto"/>
        </w:rPr>
      </w:pPr>
    </w:p>
    <w:p>
      <w:pPr>
        <w:rPr>
          <w:rFonts w:hint="eastAsia"/>
          <w:color w:val="auto"/>
          <w:sz w:val="28"/>
          <w:szCs w:val="28"/>
          <w:lang w:val="en-US" w:eastAsia="zh-CN"/>
        </w:rPr>
      </w:pPr>
      <w:bookmarkStart w:id="8" w:name="_Toc5749"/>
      <w:bookmarkStart w:id="9" w:name="_Hlk55300595"/>
      <w:bookmarkStart w:id="10" w:name="_Toc13473"/>
      <w:bookmarkStart w:id="11" w:name="_Toc9572"/>
      <w:r>
        <w:rPr>
          <w:rFonts w:hint="eastAsia"/>
          <w:color w:val="auto"/>
          <w:sz w:val="28"/>
          <w:szCs w:val="28"/>
          <w:lang w:val="en-US" w:eastAsia="zh-CN"/>
        </w:rPr>
        <w:br w:type="page"/>
      </w:r>
    </w:p>
    <w:p>
      <w:pPr>
        <w:pStyle w:val="3"/>
        <w:keepNext/>
        <w:keepLines/>
        <w:pageBreakBefore w:val="0"/>
        <w:widowControl/>
        <w:kinsoku/>
        <w:wordWrap/>
        <w:overflowPunct/>
        <w:topLinePunct w:val="0"/>
        <w:autoSpaceDE/>
        <w:autoSpaceDN/>
        <w:bidi w:val="0"/>
        <w:adjustRightInd w:val="0"/>
        <w:snapToGrid w:val="0"/>
        <w:spacing w:before="0" w:after="0" w:line="360" w:lineRule="auto"/>
        <w:textAlignment w:val="auto"/>
        <w:rPr>
          <w:rFonts w:hint="eastAsia"/>
          <w:color w:val="auto"/>
        </w:rPr>
      </w:pPr>
      <w:r>
        <w:rPr>
          <w:rFonts w:hint="eastAsia"/>
          <w:color w:val="auto"/>
          <w:sz w:val="28"/>
          <w:szCs w:val="28"/>
          <w:lang w:val="en-US" w:eastAsia="zh-CN"/>
        </w:rPr>
        <w:t xml:space="preserve">第三部分 </w:t>
      </w:r>
      <w:bookmarkStart w:id="12" w:name="_Hlk55300643"/>
      <w:bookmarkStart w:id="13" w:name="_Toc71133523"/>
      <w:r>
        <w:rPr>
          <w:rFonts w:hint="eastAsia"/>
          <w:color w:val="auto"/>
          <w:sz w:val="28"/>
          <w:szCs w:val="28"/>
          <w:lang w:val="en-US" w:eastAsia="zh-CN"/>
        </w:rPr>
        <w:t>评分</w:t>
      </w:r>
      <w:bookmarkStart w:id="14" w:name="_Hlk55209874"/>
      <w:r>
        <w:rPr>
          <w:rFonts w:hint="eastAsia"/>
          <w:color w:val="auto"/>
          <w:sz w:val="28"/>
          <w:szCs w:val="28"/>
          <w:lang w:val="en-US" w:eastAsia="zh-CN"/>
        </w:rPr>
        <w:t>权重分配表</w:t>
      </w:r>
      <w:bookmarkEnd w:id="8"/>
      <w:bookmarkEnd w:id="9"/>
      <w:bookmarkEnd w:id="10"/>
      <w:bookmarkEnd w:id="12"/>
      <w:bookmarkEnd w:id="13"/>
      <w:bookmarkEnd w:id="14"/>
    </w:p>
    <w:p>
      <w:pPr>
        <w:pStyle w:val="4"/>
        <w:spacing w:before="0" w:after="0" w:line="240" w:lineRule="auto"/>
        <w:jc w:val="center"/>
        <w:rPr>
          <w:rFonts w:hint="eastAsia" w:ascii="宋体" w:hAnsi="宋体" w:cs="宋体"/>
          <w:color w:val="auto"/>
          <w:sz w:val="24"/>
          <w:szCs w:val="24"/>
          <w:lang w:eastAsia="zh-CN"/>
        </w:rPr>
      </w:pPr>
      <w:bookmarkStart w:id="15" w:name="_Toc18413"/>
      <w:bookmarkStart w:id="16" w:name="_Toc21613"/>
      <w:r>
        <w:rPr>
          <w:rFonts w:hint="eastAsia" w:ascii="宋体" w:hAnsi="宋体" w:eastAsia="宋体" w:cs="宋体"/>
          <w:color w:val="auto"/>
          <w:sz w:val="24"/>
          <w:szCs w:val="24"/>
        </w:rPr>
        <w:t>评分权重细则表</w:t>
      </w:r>
      <w:bookmarkEnd w:id="11"/>
      <w:bookmarkEnd w:id="15"/>
      <w:bookmarkEnd w:id="16"/>
      <w:r>
        <w:rPr>
          <w:rFonts w:hint="eastAsia" w:ascii="宋体" w:hAnsi="宋体" w:cs="宋体"/>
          <w:color w:val="auto"/>
          <w:sz w:val="24"/>
          <w:szCs w:val="24"/>
          <w:lang w:eastAsia="zh-CN"/>
        </w:rPr>
        <w:t>（</w:t>
      </w:r>
      <w:r>
        <w:rPr>
          <w:rFonts w:hint="eastAsia" w:ascii="宋体" w:hAnsi="宋体" w:cs="宋体"/>
          <w:color w:val="auto"/>
          <w:sz w:val="24"/>
          <w:szCs w:val="24"/>
          <w:lang w:val="en-US" w:eastAsia="zh-CN"/>
        </w:rPr>
        <w:t>满分100分</w:t>
      </w:r>
      <w:r>
        <w:rPr>
          <w:rFonts w:hint="eastAsia" w:ascii="宋体" w:hAnsi="宋体" w:cs="宋体"/>
          <w:color w:val="auto"/>
          <w:sz w:val="24"/>
          <w:szCs w:val="24"/>
          <w:lang w:eastAsia="zh-CN"/>
        </w:rPr>
        <w:t>）</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1"/>
        <w:gridCol w:w="1290"/>
        <w:gridCol w:w="5920"/>
        <w:gridCol w:w="6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序号</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评审项目</w:t>
            </w:r>
          </w:p>
        </w:tc>
        <w:tc>
          <w:tcPr>
            <w:tcW w:w="592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评审细则</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eastAsia="宋体" w:cs="宋体"/>
                <w:sz w:val="21"/>
                <w:szCs w:val="21"/>
              </w:rPr>
            </w:pPr>
            <w:r>
              <w:rPr>
                <w:rFonts w:hint="eastAsia" w:ascii="宋体" w:eastAsia="宋体" w:cs="宋体"/>
                <w:sz w:val="21"/>
                <w:szCs w:val="21"/>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8522" w:type="dxa"/>
            <w:gridSpan w:val="4"/>
            <w:tcBorders>
              <w:top w:val="single" w:color="auto" w:sz="4" w:space="0"/>
              <w:left w:val="single" w:color="auto" w:sz="4" w:space="0"/>
              <w:right w:val="single" w:color="auto" w:sz="4" w:space="0"/>
            </w:tcBorders>
            <w:vAlign w:val="center"/>
          </w:tcPr>
          <w:p>
            <w:pPr>
              <w:pStyle w:val="3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宋体" w:eastAsia="宋体" w:cs="宋体"/>
                <w:bCs/>
                <w:sz w:val="21"/>
                <w:szCs w:val="21"/>
                <w:lang w:val="zh-CN"/>
              </w:rPr>
            </w:pPr>
            <w:r>
              <w:rPr>
                <w:rFonts w:hint="eastAsia" w:ascii="宋体" w:eastAsia="宋体" w:cs="宋体"/>
                <w:sz w:val="21"/>
                <w:szCs w:val="21"/>
                <w:lang w:val="en-US" w:eastAsia="zh-CN"/>
              </w:rPr>
              <w:t>价格评分（30分）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651" w:type="dxa"/>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eastAsia="宋体" w:cs="宋体"/>
                <w:sz w:val="21"/>
                <w:szCs w:val="21"/>
              </w:rPr>
            </w:pPr>
            <w:r>
              <w:rPr>
                <w:rFonts w:hint="eastAsia" w:ascii="宋体" w:eastAsia="宋体" w:cs="宋体"/>
                <w:sz w:val="21"/>
                <w:szCs w:val="21"/>
                <w:lang w:val="en-US" w:eastAsia="zh-CN"/>
              </w:rPr>
              <w:t>1</w:t>
            </w:r>
          </w:p>
        </w:tc>
        <w:tc>
          <w:tcPr>
            <w:tcW w:w="7210" w:type="dxa"/>
            <w:gridSpan w:val="2"/>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eastAsia="宋体" w:cs="宋体"/>
                <w:bCs/>
                <w:sz w:val="21"/>
                <w:szCs w:val="21"/>
                <w:lang w:val="zh-CN" w:eastAsia="zh-CN"/>
              </w:rPr>
            </w:pPr>
            <w:r>
              <w:rPr>
                <w:rFonts w:hint="eastAsia" w:ascii="宋体" w:eastAsia="宋体" w:cs="宋体"/>
                <w:bCs/>
                <w:sz w:val="21"/>
                <w:szCs w:val="21"/>
                <w:lang w:val="zh-CN"/>
              </w:rPr>
              <w:t>格分计算方法：满足招标文件要求且投标报价最低（即最大下浮率）的投标报价为评标基准价，其价格分为满分。其他</w:t>
            </w:r>
            <w:r>
              <w:rPr>
                <w:rFonts w:hint="eastAsia" w:ascii="宋体" w:eastAsia="宋体" w:cs="宋体"/>
                <w:bCs/>
                <w:sz w:val="21"/>
                <w:szCs w:val="21"/>
                <w:lang w:val="zh-CN" w:eastAsia="zh-CN"/>
              </w:rPr>
              <w:t>供应商</w:t>
            </w:r>
            <w:r>
              <w:rPr>
                <w:rFonts w:hint="eastAsia" w:ascii="宋体" w:eastAsia="宋体" w:cs="宋体"/>
                <w:bCs/>
                <w:sz w:val="21"/>
                <w:szCs w:val="21"/>
                <w:lang w:val="zh-CN"/>
              </w:rPr>
              <w:t>的价格分统一按照下列公式计算：</w:t>
            </w:r>
            <w:r>
              <w:rPr>
                <w:rFonts w:hint="eastAsia" w:ascii="宋体" w:eastAsia="宋体" w:cs="宋体"/>
                <w:bCs/>
                <w:sz w:val="21"/>
                <w:szCs w:val="21"/>
                <w:lang w:val="zh-CN" w:eastAsia="zh-CN"/>
              </w:rPr>
              <w:t xml:space="preserve">   </w:t>
            </w:r>
          </w:p>
          <w:p>
            <w:pPr>
              <w:pStyle w:val="36"/>
              <w:keepNext w:val="0"/>
              <w:keepLines w:val="0"/>
              <w:pageBreakBefore w:val="0"/>
              <w:kinsoku/>
              <w:wordWrap/>
              <w:overflowPunct/>
              <w:topLinePunct w:val="0"/>
              <w:autoSpaceDE/>
              <w:autoSpaceDN/>
              <w:bidi w:val="0"/>
              <w:spacing w:line="240" w:lineRule="auto"/>
              <w:ind w:firstLine="420" w:firstLineChars="200"/>
              <w:textAlignment w:val="auto"/>
              <w:rPr>
                <w:rFonts w:hint="eastAsia" w:ascii="宋体" w:eastAsia="宋体" w:cs="宋体"/>
                <w:bCs/>
                <w:sz w:val="21"/>
                <w:szCs w:val="21"/>
                <w:lang w:val="zh-CN"/>
              </w:rPr>
            </w:pPr>
            <w:r>
              <w:rPr>
                <w:rFonts w:hint="eastAsia" w:ascii="宋体" w:eastAsia="宋体" w:cs="宋体"/>
                <w:bCs/>
                <w:sz w:val="21"/>
                <w:szCs w:val="21"/>
                <w:lang w:val="zh-CN"/>
              </w:rPr>
              <w:t>投标报价得分=[(1-最大下浮率)／(1-投标下浮率)] ×价格权重</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eastAsia" w:ascii="宋体" w:eastAsia="宋体" w:cs="宋体"/>
                <w:bCs/>
                <w:sz w:val="21"/>
                <w:szCs w:val="21"/>
                <w:lang w:val="en-US" w:eastAsia="zh-CN"/>
              </w:rPr>
            </w:pPr>
            <w:r>
              <w:rPr>
                <w:rFonts w:hint="eastAsia" w:ascii="宋体" w:eastAsia="宋体" w:cs="宋体"/>
                <w:bCs/>
                <w:sz w:val="21"/>
                <w:szCs w:val="21"/>
                <w:lang w:val="en-US" w:eastAsia="zh-CN"/>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8522" w:type="dxa"/>
            <w:gridSpan w:val="4"/>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eastAsia="宋体" w:cs="宋体"/>
                <w:bCs/>
                <w:sz w:val="21"/>
                <w:szCs w:val="21"/>
                <w:lang w:val="en-US" w:eastAsia="zh-CN"/>
              </w:rPr>
            </w:pPr>
            <w:r>
              <w:rPr>
                <w:rFonts w:hint="eastAsia" w:ascii="宋体" w:eastAsia="宋体" w:cs="宋体"/>
                <w:bCs/>
                <w:sz w:val="21"/>
                <w:szCs w:val="21"/>
                <w:lang w:val="en-US" w:eastAsia="zh-CN"/>
              </w:rPr>
              <w:t>商务评分（20分）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4" w:hRule="atLeast"/>
          <w:jc w:val="center"/>
        </w:trPr>
        <w:tc>
          <w:tcPr>
            <w:tcW w:w="651" w:type="dxa"/>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1</w:t>
            </w:r>
          </w:p>
        </w:tc>
        <w:tc>
          <w:tcPr>
            <w:tcW w:w="1290" w:type="dxa"/>
            <w:tcBorders>
              <w:top w:val="single" w:color="auto" w:sz="4" w:space="0"/>
              <w:left w:val="single" w:color="auto" w:sz="4" w:space="0"/>
              <w:right w:val="single" w:color="auto" w:sz="4" w:space="0"/>
            </w:tcBorders>
            <w:vAlign w:val="center"/>
          </w:tcPr>
          <w:p>
            <w:pPr>
              <w:keepLines w:val="0"/>
              <w:pageBreakBefore w:val="0"/>
              <w:kinsoku/>
              <w:wordWrap/>
              <w:overflowPunct/>
              <w:topLinePunct w:val="0"/>
              <w:bidi w:val="0"/>
              <w:spacing w:after="0" w:line="240" w:lineRule="auto"/>
              <w:jc w:val="center"/>
              <w:textAlignment w:val="auto"/>
              <w:rPr>
                <w:rFonts w:ascii="宋体" w:eastAsia="宋体" w:cs="宋体"/>
                <w:sz w:val="21"/>
                <w:szCs w:val="21"/>
              </w:rPr>
            </w:pPr>
            <w:r>
              <w:rPr>
                <w:rFonts w:hint="eastAsia" w:ascii="宋体" w:hAnsi="宋体" w:eastAsia="宋体" w:cs="宋体"/>
                <w:color w:val="auto"/>
                <w:sz w:val="21"/>
                <w:szCs w:val="21"/>
                <w:highlight w:val="none"/>
              </w:rPr>
              <w:t>企业资质管理认证</w:t>
            </w:r>
          </w:p>
        </w:tc>
        <w:tc>
          <w:tcPr>
            <w:tcW w:w="5920" w:type="dxa"/>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rPr>
              <w:t>具有国家认证认可的监督管理部门批准设立的认证机构颁发并在有效期内质量管理体系认证</w:t>
            </w:r>
            <w:r>
              <w:rPr>
                <w:rFonts w:hint="eastAsia" w:ascii="宋体" w:hAnsi="宋体" w:cs="宋体"/>
                <w:color w:val="auto"/>
                <w:szCs w:val="21"/>
                <w:highlight w:val="none"/>
                <w:lang w:eastAsia="zh-CN"/>
              </w:rPr>
              <w:t>、</w:t>
            </w:r>
            <w:r>
              <w:rPr>
                <w:rFonts w:hint="eastAsia" w:ascii="宋体" w:eastAsia="宋体" w:cs="宋体"/>
                <w:bCs/>
                <w:color w:val="auto"/>
                <w:sz w:val="21"/>
                <w:szCs w:val="21"/>
                <w:highlight w:val="none"/>
                <w:lang w:val="zh-CN"/>
              </w:rPr>
              <w:t>环境管理体系认证、职业健康安全管理体系认证</w:t>
            </w:r>
            <w:r>
              <w:rPr>
                <w:rFonts w:hint="eastAsia" w:ascii="宋体" w:hAnsi="宋体" w:cs="宋体"/>
                <w:color w:val="auto"/>
                <w:szCs w:val="21"/>
                <w:highlight w:val="none"/>
              </w:rPr>
              <w:t>证书</w:t>
            </w:r>
            <w:r>
              <w:rPr>
                <w:rFonts w:hint="eastAsia" w:ascii="宋体" w:hAnsi="宋体" w:cs="宋体"/>
                <w:color w:val="auto"/>
                <w:szCs w:val="21"/>
                <w:highlight w:val="none"/>
                <w:lang w:val="en-US" w:eastAsia="zh-CN"/>
              </w:rPr>
              <w:t>的，每具有一个</w:t>
            </w:r>
            <w:r>
              <w:rPr>
                <w:rFonts w:hint="eastAsia" w:ascii="宋体" w:hAnsi="宋体" w:cs="宋体"/>
                <w:color w:val="auto"/>
                <w:szCs w:val="21"/>
                <w:highlight w:val="none"/>
              </w:rPr>
              <w:t>得</w:t>
            </w:r>
            <w:r>
              <w:rPr>
                <w:rFonts w:hint="eastAsia" w:ascii="宋体" w:hAnsi="宋体" w:cs="宋体"/>
                <w:color w:val="auto"/>
                <w:szCs w:val="21"/>
                <w:highlight w:val="none"/>
                <w:lang w:val="en-US" w:eastAsia="zh-CN"/>
              </w:rPr>
              <w:t>1</w:t>
            </w:r>
            <w:r>
              <w:rPr>
                <w:rFonts w:hint="eastAsia" w:ascii="宋体" w:hAnsi="宋体" w:cs="宋体"/>
                <w:color w:val="auto"/>
                <w:szCs w:val="21"/>
                <w:highlight w:val="none"/>
              </w:rPr>
              <w:t>分，</w:t>
            </w:r>
            <w:r>
              <w:rPr>
                <w:rFonts w:hint="eastAsia" w:ascii="宋体" w:hAnsi="宋体" w:cs="宋体"/>
                <w:color w:val="auto"/>
                <w:szCs w:val="21"/>
                <w:highlight w:val="none"/>
                <w:lang w:val="en-US" w:eastAsia="zh-CN"/>
              </w:rPr>
              <w:t>本项最高得3分。</w:t>
            </w:r>
          </w:p>
          <w:p>
            <w:pPr>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ascii="宋体" w:eastAsia="宋体" w:cs="宋体"/>
                <w:bCs/>
                <w:sz w:val="21"/>
                <w:szCs w:val="21"/>
                <w:lang w:val="zh-CN"/>
              </w:rPr>
            </w:pPr>
            <w:r>
              <w:rPr>
                <w:rFonts w:hint="eastAsia" w:ascii="宋体" w:hAnsi="宋体" w:eastAsia="宋体" w:cs="宋体"/>
                <w:bCs/>
                <w:color w:val="auto"/>
                <w:sz w:val="21"/>
                <w:szCs w:val="21"/>
                <w:highlight w:val="none"/>
                <w:lang w:val="zh-CN"/>
              </w:rPr>
              <w:t>注：须提供有效证书复印件并加盖投标人公章，不符合以上要求的不得分。</w:t>
            </w:r>
          </w:p>
        </w:tc>
        <w:tc>
          <w:tcPr>
            <w:tcW w:w="661"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bidi w:val="0"/>
              <w:spacing w:after="0" w:line="240" w:lineRule="auto"/>
              <w:jc w:val="center"/>
              <w:textAlignment w:val="auto"/>
              <w:rPr>
                <w:rFonts w:hint="eastAsia" w:ascii="宋体" w:eastAsia="宋体" w:cs="宋体"/>
                <w:bCs/>
                <w:sz w:val="21"/>
                <w:szCs w:val="21"/>
                <w:lang w:val="en-US" w:eastAsia="zh-CN"/>
              </w:rPr>
            </w:pPr>
            <w:r>
              <w:rPr>
                <w:rFonts w:hint="eastAsia" w:ascii="宋体" w:hAnsi="宋体" w:cs="宋体"/>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6" w:hRule="atLeast"/>
          <w:jc w:val="center"/>
        </w:trPr>
        <w:tc>
          <w:tcPr>
            <w:tcW w:w="651" w:type="dxa"/>
            <w:tcBorders>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2</w:t>
            </w:r>
          </w:p>
        </w:tc>
        <w:tc>
          <w:tcPr>
            <w:tcW w:w="1290" w:type="dxa"/>
            <w:tcBorders>
              <w:left w:val="single" w:color="auto" w:sz="4" w:space="0"/>
              <w:right w:val="single" w:color="auto" w:sz="4" w:space="0"/>
            </w:tcBorders>
            <w:vAlign w:val="center"/>
          </w:tcPr>
          <w:p>
            <w:pPr>
              <w:keepLines w:val="0"/>
              <w:pageBreakBefore w:val="0"/>
              <w:kinsoku/>
              <w:wordWrap/>
              <w:overflowPunct/>
              <w:topLinePunct w:val="0"/>
              <w:bidi w:val="0"/>
              <w:spacing w:after="0" w:line="240" w:lineRule="auto"/>
              <w:jc w:val="center"/>
              <w:textAlignment w:val="auto"/>
              <w:rPr>
                <w:rFonts w:ascii="宋体" w:eastAsia="宋体" w:cs="宋体"/>
                <w:sz w:val="21"/>
                <w:szCs w:val="21"/>
              </w:rPr>
            </w:pPr>
            <w:r>
              <w:rPr>
                <w:rFonts w:hint="eastAsia" w:hAnsi="宋体" w:cs="宋体"/>
                <w:bCs/>
                <w:color w:val="auto"/>
                <w:sz w:val="21"/>
                <w:szCs w:val="21"/>
                <w:highlight w:val="none"/>
              </w:rPr>
              <w:t>财务状况</w:t>
            </w:r>
          </w:p>
        </w:tc>
        <w:tc>
          <w:tcPr>
            <w:tcW w:w="5920" w:type="dxa"/>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根据投标人201</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-202</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年的财务状况进行评审，连续三年盈利的得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rPr>
              <w:t>分，连续两年盈利的得</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分，只有一年盈利的得0.5分，其他不得分。</w:t>
            </w:r>
          </w:p>
          <w:p>
            <w:pPr>
              <w:keepLines w:val="0"/>
              <w:pageBreakBefore w:val="0"/>
              <w:widowControl/>
              <w:kinsoku/>
              <w:wordWrap/>
              <w:overflowPunct/>
              <w:topLinePunct w:val="0"/>
              <w:autoSpaceDE/>
              <w:autoSpaceDN/>
              <w:bidi w:val="0"/>
              <w:adjustRightInd w:val="0"/>
              <w:snapToGrid w:val="0"/>
              <w:spacing w:after="0" w:line="240" w:lineRule="auto"/>
              <w:ind w:firstLine="420" w:firstLineChars="200"/>
              <w:textAlignment w:val="auto"/>
              <w:rPr>
                <w:rFonts w:ascii="宋体" w:eastAsia="宋体" w:cs="宋体"/>
                <w:bCs/>
                <w:sz w:val="21"/>
                <w:szCs w:val="21"/>
                <w:lang w:val="pt-BR"/>
              </w:rPr>
            </w:pPr>
            <w:r>
              <w:rPr>
                <w:rFonts w:hint="eastAsia" w:ascii="宋体" w:hAnsi="宋体" w:eastAsia="宋体" w:cs="宋体"/>
                <w:color w:val="auto"/>
                <w:sz w:val="21"/>
                <w:szCs w:val="21"/>
                <w:highlight w:val="none"/>
              </w:rPr>
              <w:t>注：以经会计师事务所审计的财务报告复印件加盖投标人公章为准，因提供的证明材料不清晰等无法反映相关数据的，不得分。</w:t>
            </w:r>
          </w:p>
        </w:tc>
        <w:tc>
          <w:tcPr>
            <w:tcW w:w="661"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bidi w:val="0"/>
              <w:spacing w:after="0" w:line="240" w:lineRule="auto"/>
              <w:jc w:val="center"/>
              <w:textAlignment w:val="auto"/>
              <w:rPr>
                <w:rFonts w:hint="default" w:ascii="宋体" w:eastAsia="宋体" w:cs="宋体"/>
                <w:bCs/>
                <w:sz w:val="21"/>
                <w:szCs w:val="21"/>
                <w:lang w:val="en-US" w:eastAsia="zh-CN"/>
              </w:rPr>
            </w:pPr>
            <w:r>
              <w:rPr>
                <w:rFonts w:hint="eastAsia" w:ascii="宋体" w:hAnsi="宋体" w:cs="宋体"/>
                <w:color w:val="auto"/>
                <w:sz w:val="21"/>
                <w:szCs w:val="21"/>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1"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3</w:t>
            </w:r>
          </w:p>
        </w:tc>
        <w:tc>
          <w:tcPr>
            <w:tcW w:w="1290"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bidi w:val="0"/>
              <w:spacing w:after="0" w:line="240" w:lineRule="auto"/>
              <w:jc w:val="center"/>
              <w:textAlignment w:val="auto"/>
              <w:rPr>
                <w:rFonts w:ascii="宋体" w:eastAsia="宋体" w:cs="宋体"/>
                <w:sz w:val="21"/>
                <w:szCs w:val="21"/>
              </w:rPr>
            </w:pPr>
            <w:r>
              <w:rPr>
                <w:rFonts w:hint="eastAsia" w:ascii="宋体" w:hAnsi="宋体" w:eastAsia="宋体" w:cs="宋体"/>
                <w:color w:val="auto"/>
                <w:sz w:val="21"/>
                <w:szCs w:val="21"/>
                <w:highlight w:val="none"/>
              </w:rPr>
              <w:t>企业信誉</w:t>
            </w:r>
          </w:p>
        </w:tc>
        <w:tc>
          <w:tcPr>
            <w:tcW w:w="5920" w:type="dxa"/>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eastAsia="宋体" w:cs="宋体"/>
                <w:color w:val="auto"/>
                <w:szCs w:val="21"/>
                <w:highlight w:val="none"/>
              </w:rPr>
            </w:pPr>
            <w:r>
              <w:rPr>
                <w:rFonts w:hint="eastAsia" w:ascii="宋体" w:hAnsi="宋体" w:cs="宋体"/>
                <w:color w:val="auto"/>
                <w:szCs w:val="21"/>
                <w:highlight w:val="none"/>
                <w:lang w:val="en-US" w:eastAsia="zh-CN"/>
              </w:rPr>
              <w:t>投标人自</w:t>
            </w:r>
            <w:r>
              <w:rPr>
                <w:rFonts w:hint="eastAsia" w:ascii="宋体" w:hAnsi="宋体" w:eastAsia="宋体" w:cs="宋体"/>
                <w:color w:val="auto"/>
                <w:szCs w:val="21"/>
                <w:highlight w:val="none"/>
              </w:rPr>
              <w:t>201</w:t>
            </w:r>
            <w:r>
              <w:rPr>
                <w:rFonts w:hint="eastAsia" w:ascii="宋体" w:hAnsi="宋体" w:cs="宋体"/>
                <w:color w:val="auto"/>
                <w:szCs w:val="21"/>
                <w:highlight w:val="none"/>
                <w:lang w:val="en-US" w:eastAsia="zh-CN"/>
              </w:rPr>
              <w:t>9</w:t>
            </w:r>
            <w:r>
              <w:rPr>
                <w:rFonts w:hint="eastAsia" w:ascii="宋体" w:hAnsi="宋体" w:eastAsia="宋体" w:cs="宋体"/>
                <w:color w:val="auto"/>
                <w:szCs w:val="21"/>
                <w:highlight w:val="none"/>
              </w:rPr>
              <w:t>年以来连续3年获得工商部门颁发</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重合同守信用</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或</w:t>
            </w:r>
            <w:r>
              <w:rPr>
                <w:rFonts w:hint="eastAsia" w:ascii="宋体" w:hAnsi="宋体" w:eastAsia="宋体" w:cs="宋体"/>
                <w:color w:val="auto"/>
                <w:sz w:val="21"/>
                <w:szCs w:val="21"/>
                <w:highlight w:val="none"/>
              </w:rPr>
              <w:t>“守合同重信用”</w:t>
            </w:r>
            <w:r>
              <w:rPr>
                <w:rFonts w:hint="eastAsia" w:ascii="宋体" w:hAnsi="宋体" w:eastAsia="宋体" w:cs="宋体"/>
                <w:color w:val="auto"/>
                <w:szCs w:val="21"/>
                <w:highlight w:val="none"/>
              </w:rPr>
              <w:t>证书得3分，连续2年得2分，仅1年得1分，没有不得分。</w:t>
            </w:r>
          </w:p>
          <w:p>
            <w:pPr>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ascii="宋体" w:eastAsia="宋体" w:cs="宋体"/>
                <w:bCs/>
                <w:sz w:val="21"/>
                <w:szCs w:val="21"/>
                <w:lang w:val="zh-CN"/>
              </w:rPr>
            </w:pPr>
            <w:r>
              <w:rPr>
                <w:rFonts w:hint="eastAsia" w:ascii="宋体" w:hAnsi="宋体" w:eastAsia="宋体" w:cs="宋体"/>
                <w:color w:val="auto"/>
                <w:szCs w:val="21"/>
                <w:highlight w:val="none"/>
                <w:lang w:val="en-US" w:eastAsia="zh-CN"/>
              </w:rPr>
              <w:t>注：</w:t>
            </w:r>
            <w:r>
              <w:rPr>
                <w:rFonts w:hint="eastAsia" w:ascii="宋体" w:hAnsi="宋体" w:eastAsia="宋体" w:cs="宋体"/>
                <w:color w:val="auto"/>
                <w:sz w:val="21"/>
                <w:szCs w:val="21"/>
                <w:highlight w:val="none"/>
              </w:rPr>
              <w:t>以工商（市场）监管部门颁发的或由工商（市场）监管部门主管的行业协会颁发的为准，须提供有效的证书复印件加盖</w:t>
            </w:r>
            <w:r>
              <w:rPr>
                <w:rFonts w:hint="eastAsia" w:ascii="宋体" w:hAnsi="宋体" w:eastAsia="宋体" w:cs="宋体"/>
                <w:color w:val="auto"/>
                <w:sz w:val="21"/>
                <w:szCs w:val="21"/>
                <w:highlight w:val="none"/>
                <w:lang w:val="en-US" w:eastAsia="zh-CN"/>
              </w:rPr>
              <w:t>投标人</w:t>
            </w:r>
            <w:r>
              <w:rPr>
                <w:rFonts w:hint="eastAsia" w:ascii="宋体" w:hAnsi="宋体" w:eastAsia="宋体" w:cs="宋体"/>
                <w:color w:val="auto"/>
                <w:sz w:val="21"/>
                <w:szCs w:val="21"/>
                <w:highlight w:val="none"/>
              </w:rPr>
              <w:t>公章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bidi w:val="0"/>
              <w:spacing w:after="0" w:line="240" w:lineRule="auto"/>
              <w:jc w:val="center"/>
              <w:textAlignment w:val="auto"/>
              <w:rPr>
                <w:rFonts w:hint="default" w:ascii="宋体" w:eastAsia="宋体" w:cs="宋体"/>
                <w:bCs/>
                <w:sz w:val="21"/>
                <w:szCs w:val="21"/>
                <w:lang w:val="en-US" w:eastAsia="zh-CN"/>
              </w:rPr>
            </w:pPr>
            <w:r>
              <w:rPr>
                <w:rFonts w:hint="eastAsia" w:ascii="宋体" w:hAnsi="宋体" w:cs="宋体"/>
                <w:color w:val="auto"/>
                <w:sz w:val="21"/>
                <w:szCs w:val="21"/>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7" w:hRule="atLeast"/>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sz w:val="21"/>
                <w:szCs w:val="21"/>
              </w:rPr>
              <w:t>4</w:t>
            </w:r>
          </w:p>
        </w:tc>
        <w:tc>
          <w:tcPr>
            <w:tcW w:w="1290"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bidi w:val="0"/>
              <w:spacing w:after="0" w:line="240" w:lineRule="auto"/>
              <w:jc w:val="center"/>
              <w:textAlignment w:val="auto"/>
              <w:rPr>
                <w:rFonts w:ascii="宋体" w:eastAsia="宋体" w:cs="宋体"/>
                <w:sz w:val="21"/>
                <w:szCs w:val="21"/>
              </w:rPr>
            </w:pPr>
            <w:r>
              <w:rPr>
                <w:rFonts w:hint="eastAsia" w:ascii="宋体" w:hAnsi="宋体" w:eastAsia="宋体" w:cs="宋体"/>
                <w:color w:val="auto"/>
                <w:sz w:val="21"/>
                <w:szCs w:val="21"/>
                <w:highlight w:val="none"/>
              </w:rPr>
              <w:t>项目业绩</w:t>
            </w:r>
          </w:p>
        </w:tc>
        <w:tc>
          <w:tcPr>
            <w:tcW w:w="5920" w:type="dxa"/>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根据投标人自2019年以来承接过光伏电力工程设计类项目业绩进行评审，每具有一个得2分，业绩中含有“储能新能源工程设计”内容的每个增加1分，本项最高得12分。</w:t>
            </w:r>
          </w:p>
          <w:p>
            <w:pPr>
              <w:keepLines w:val="0"/>
              <w:pageBreakBefore w:val="0"/>
              <w:widowControl/>
              <w:kinsoku/>
              <w:wordWrap/>
              <w:overflowPunct/>
              <w:topLinePunct w:val="0"/>
              <w:autoSpaceDE/>
              <w:autoSpaceDN/>
              <w:bidi w:val="0"/>
              <w:adjustRightInd w:val="0"/>
              <w:snapToGrid w:val="0"/>
              <w:spacing w:line="240" w:lineRule="auto"/>
              <w:ind w:firstLine="420" w:firstLineChars="200"/>
              <w:textAlignment w:val="auto"/>
              <w:rPr>
                <w:rFonts w:ascii="宋体" w:eastAsia="宋体" w:cs="宋体"/>
                <w:sz w:val="21"/>
                <w:szCs w:val="21"/>
                <w:lang w:val="zh-CN"/>
              </w:rPr>
            </w:pPr>
            <w:r>
              <w:rPr>
                <w:rFonts w:hint="eastAsia" w:ascii="宋体" w:hAnsi="宋体" w:eastAsia="宋体" w:cs="宋体"/>
                <w:color w:val="auto"/>
                <w:sz w:val="21"/>
                <w:szCs w:val="21"/>
                <w:highlight w:val="none"/>
                <w:lang w:val="en-US" w:eastAsia="zh-CN"/>
              </w:rPr>
              <w:t>注：须提供业绩合同复印件并加盖投标人公章，否则不得分。</w:t>
            </w:r>
          </w:p>
        </w:tc>
        <w:tc>
          <w:tcPr>
            <w:tcW w:w="661" w:type="dxa"/>
            <w:tcBorders>
              <w:top w:val="single" w:color="auto" w:sz="4" w:space="0"/>
              <w:left w:val="single" w:color="auto" w:sz="4" w:space="0"/>
              <w:bottom w:val="single" w:color="auto" w:sz="4" w:space="0"/>
              <w:right w:val="single" w:color="auto" w:sz="4" w:space="0"/>
            </w:tcBorders>
            <w:vAlign w:val="center"/>
          </w:tcPr>
          <w:p>
            <w:pPr>
              <w:keepLines w:val="0"/>
              <w:pageBreakBefore w:val="0"/>
              <w:kinsoku/>
              <w:wordWrap/>
              <w:overflowPunct/>
              <w:topLinePunct w:val="0"/>
              <w:bidi w:val="0"/>
              <w:spacing w:after="0" w:line="240" w:lineRule="auto"/>
              <w:jc w:val="center"/>
              <w:textAlignment w:val="auto"/>
              <w:rPr>
                <w:rFonts w:hint="default" w:ascii="宋体" w:eastAsia="宋体" w:cs="宋体"/>
                <w:bCs/>
                <w:sz w:val="21"/>
                <w:szCs w:val="21"/>
                <w:lang w:val="en-US" w:eastAsia="zh-CN"/>
              </w:rPr>
            </w:pPr>
            <w:r>
              <w:rPr>
                <w:rFonts w:hint="eastAsia" w:ascii="宋体" w:hAnsi="宋体" w:cs="宋体"/>
                <w:color w:val="auto"/>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kinsoku/>
              <w:wordWrap/>
              <w:overflowPunct/>
              <w:topLinePunct w:val="0"/>
              <w:autoSpaceDE/>
              <w:autoSpaceDN/>
              <w:bidi w:val="0"/>
              <w:spacing w:after="0" w:line="240" w:lineRule="auto"/>
              <w:jc w:val="center"/>
              <w:textAlignment w:val="auto"/>
              <w:rPr>
                <w:rFonts w:hint="default" w:ascii="宋体" w:hAnsi="宋体" w:eastAsia="宋体" w:cs="宋体"/>
                <w:bCs/>
                <w:sz w:val="21"/>
                <w:szCs w:val="21"/>
                <w:lang w:val="en-US" w:eastAsia="zh-CN"/>
              </w:rPr>
            </w:pPr>
            <w:r>
              <w:rPr>
                <w:rFonts w:hint="eastAsia" w:ascii="宋体" w:hAnsi="宋体" w:eastAsia="宋体" w:cs="宋体"/>
                <w:bCs/>
                <w:sz w:val="21"/>
                <w:szCs w:val="21"/>
                <w:lang w:val="en-US" w:eastAsia="zh-CN"/>
              </w:rPr>
              <w:t>技术评分（5</w:t>
            </w:r>
            <w:r>
              <w:rPr>
                <w:rFonts w:hint="eastAsia" w:ascii="宋体" w:hAnsi="宋体" w:cs="宋体"/>
                <w:bCs/>
                <w:sz w:val="21"/>
                <w:szCs w:val="21"/>
                <w:lang w:val="en-US" w:eastAsia="zh-CN"/>
              </w:rPr>
              <w:t>0</w:t>
            </w:r>
            <w:r>
              <w:rPr>
                <w:rFonts w:hint="eastAsia" w:ascii="宋体" w:hAnsi="宋体" w:eastAsia="宋体" w:cs="宋体"/>
                <w:bCs/>
                <w:sz w:val="21"/>
                <w:szCs w:val="21"/>
                <w:lang w:val="en-US" w:eastAsia="zh-CN"/>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eastAsia="宋体" w:cs="宋体"/>
                <w:sz w:val="21"/>
                <w:szCs w:val="21"/>
                <w:lang w:eastAsia="zh-CN"/>
              </w:rPr>
            </w:pPr>
            <w:r>
              <w:rPr>
                <w:rFonts w:hint="eastAsia" w:ascii="宋体" w:eastAsia="宋体" w:cs="宋体"/>
                <w:sz w:val="21"/>
                <w:szCs w:val="21"/>
                <w:lang w:val="en-US" w:eastAsia="zh-CN"/>
              </w:rPr>
              <w:t>1</w:t>
            </w:r>
          </w:p>
        </w:tc>
        <w:tc>
          <w:tcPr>
            <w:tcW w:w="1290"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r>
              <w:rPr>
                <w:rFonts w:hint="eastAsia" w:ascii="宋体" w:eastAsia="宋体" w:cs="宋体"/>
                <w:color w:val="auto"/>
                <w:sz w:val="21"/>
                <w:szCs w:val="21"/>
                <w:highlight w:val="none"/>
              </w:rPr>
              <w:t>技术人员配置</w:t>
            </w:r>
          </w:p>
        </w:tc>
        <w:tc>
          <w:tcPr>
            <w:tcW w:w="5920" w:type="dxa"/>
            <w:tcBorders>
              <w:top w:val="single" w:color="auto" w:sz="4" w:space="0"/>
              <w:left w:val="single" w:color="auto" w:sz="4" w:space="0"/>
              <w:bottom w:val="single" w:color="auto" w:sz="4" w:space="0"/>
              <w:right w:val="single" w:color="auto" w:sz="4" w:space="0"/>
            </w:tcBorders>
            <w:vAlign w:val="center"/>
          </w:tcPr>
          <w:p>
            <w:pPr>
              <w:keepLines w:val="0"/>
              <w:pageBreakBefore w:val="0"/>
              <w:widowControl/>
              <w:kinsoku/>
              <w:wordWrap/>
              <w:overflowPunct/>
              <w:topLinePunct w:val="0"/>
              <w:autoSpaceDE/>
              <w:autoSpaceDN/>
              <w:bidi w:val="0"/>
              <w:adjustRightInd w:val="0"/>
              <w:snapToGrid w:val="0"/>
              <w:spacing w:line="276" w:lineRule="auto"/>
              <w:ind w:firstLine="420" w:firstLineChars="200"/>
              <w:textAlignment w:val="auto"/>
              <w:rPr>
                <w:rFonts w:hint="default"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根据投标人拟投入本项目的</w:t>
            </w:r>
            <w:r>
              <w:rPr>
                <w:rFonts w:hint="eastAsia" w:ascii="宋体" w:hAnsi="宋体" w:cs="宋体"/>
                <w:color w:val="auto"/>
                <w:sz w:val="21"/>
                <w:szCs w:val="21"/>
                <w:lang w:val="en-US" w:eastAsia="zh-CN"/>
              </w:rPr>
              <w:t>技术</w:t>
            </w:r>
            <w:r>
              <w:rPr>
                <w:rFonts w:hint="eastAsia" w:ascii="宋体" w:hAnsi="宋体" w:eastAsia="宋体" w:cs="宋体"/>
                <w:color w:val="auto"/>
                <w:sz w:val="21"/>
                <w:szCs w:val="21"/>
                <w:lang w:val="en-US" w:eastAsia="zh-CN"/>
              </w:rPr>
              <w:t>人员进行评审：</w:t>
            </w:r>
          </w:p>
          <w:p>
            <w:pPr>
              <w:keepLines w:val="0"/>
              <w:pageBreakBefore w:val="0"/>
              <w:widowControl/>
              <w:numPr>
                <w:ilvl w:val="0"/>
                <w:numId w:val="3"/>
              </w:numPr>
              <w:kinsoku/>
              <w:wordWrap/>
              <w:overflowPunct/>
              <w:topLinePunct w:val="0"/>
              <w:autoSpaceDE/>
              <w:autoSpaceDN/>
              <w:bidi w:val="0"/>
              <w:adjustRightInd w:val="0"/>
              <w:snapToGrid w:val="0"/>
              <w:spacing w:line="276"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color w:val="auto"/>
                <w:szCs w:val="21"/>
              </w:rPr>
              <w:t>注册技术人员</w:t>
            </w:r>
            <w:r>
              <w:rPr>
                <w:rFonts w:hint="eastAsia" w:ascii="宋体" w:hAnsi="宋体" w:eastAsia="宋体" w:cs="宋体"/>
                <w:color w:val="auto"/>
                <w:sz w:val="21"/>
                <w:szCs w:val="21"/>
                <w:lang w:val="en-US" w:eastAsia="zh-CN"/>
              </w:rPr>
              <w:t>：具有</w:t>
            </w:r>
            <w:r>
              <w:rPr>
                <w:rFonts w:ascii="宋体" w:hAnsi="宋体"/>
                <w:color w:val="auto"/>
                <w:szCs w:val="21"/>
              </w:rPr>
              <w:t>注册电气工程师</w:t>
            </w:r>
            <w:r>
              <w:rPr>
                <w:rFonts w:hint="eastAsia" w:ascii="宋体" w:hAnsi="宋体" w:eastAsia="宋体" w:cs="宋体"/>
                <w:color w:val="auto"/>
                <w:sz w:val="21"/>
                <w:szCs w:val="21"/>
                <w:highlight w:val="none"/>
                <w:lang w:val="en-US" w:eastAsia="zh-CN"/>
              </w:rPr>
              <w:t>执业资格的</w:t>
            </w:r>
            <w:r>
              <w:rPr>
                <w:rFonts w:hint="eastAsia" w:ascii="宋体" w:hAnsi="宋体"/>
                <w:color w:val="auto"/>
                <w:szCs w:val="21"/>
                <w:lang w:val="en-US" w:eastAsia="zh-CN"/>
              </w:rPr>
              <w:t>，每提供一人得5分，</w:t>
            </w:r>
            <w:r>
              <w:rPr>
                <w:rFonts w:hint="eastAsia" w:ascii="宋体" w:hAnsi="宋体" w:eastAsia="宋体" w:cs="宋体"/>
                <w:color w:val="auto"/>
                <w:sz w:val="21"/>
                <w:szCs w:val="21"/>
                <w:highlight w:val="none"/>
                <w:lang w:val="en-US" w:eastAsia="zh-CN"/>
              </w:rPr>
              <w:t>本项最高得</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en-US" w:eastAsia="zh-CN"/>
              </w:rPr>
              <w:t>分。</w:t>
            </w:r>
          </w:p>
          <w:p>
            <w:pPr>
              <w:keepLines w:val="0"/>
              <w:pageBreakBefore w:val="0"/>
              <w:widowControl/>
              <w:numPr>
                <w:ilvl w:val="0"/>
                <w:numId w:val="0"/>
              </w:numPr>
              <w:kinsoku/>
              <w:wordWrap/>
              <w:overflowPunct/>
              <w:topLinePunct w:val="0"/>
              <w:autoSpaceDE/>
              <w:autoSpaceDN/>
              <w:bidi w:val="0"/>
              <w:adjustRightInd w:val="0"/>
              <w:snapToGrid w:val="0"/>
              <w:spacing w:line="276" w:lineRule="auto"/>
              <w:ind w:firstLine="420" w:firstLineChars="20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2、非</w:t>
            </w:r>
            <w:r>
              <w:rPr>
                <w:rFonts w:hint="eastAsia" w:ascii="宋体" w:hAnsi="宋体"/>
                <w:color w:val="auto"/>
                <w:szCs w:val="21"/>
              </w:rPr>
              <w:t>注册技术人员</w:t>
            </w:r>
            <w:r>
              <w:rPr>
                <w:rFonts w:hint="eastAsia" w:ascii="宋体" w:hAnsi="宋体" w:eastAsia="宋体" w:cs="宋体"/>
                <w:color w:val="auto"/>
                <w:sz w:val="21"/>
                <w:szCs w:val="21"/>
                <w:lang w:val="en-US" w:eastAsia="zh-CN"/>
              </w:rPr>
              <w:t>：具</w:t>
            </w:r>
            <w:r>
              <w:rPr>
                <w:rFonts w:hint="eastAsia" w:ascii="宋体" w:hAnsi="宋体" w:cs="宋体"/>
                <w:color w:val="auto"/>
                <w:sz w:val="21"/>
                <w:szCs w:val="21"/>
                <w:lang w:val="en-US" w:eastAsia="zh-CN"/>
              </w:rPr>
              <w:t>有高级</w:t>
            </w:r>
            <w:r>
              <w:rPr>
                <w:rFonts w:hint="eastAsia" w:ascii="宋体" w:hAnsi="宋体" w:eastAsia="宋体" w:cs="宋体"/>
                <w:color w:val="auto"/>
                <w:sz w:val="21"/>
                <w:szCs w:val="21"/>
                <w:lang w:val="en-US" w:eastAsia="zh-CN"/>
              </w:rPr>
              <w:t>或以上职称的</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每提供一人得</w:t>
            </w:r>
            <w:r>
              <w:rPr>
                <w:rFonts w:hint="eastAsia" w:ascii="宋体" w:hAnsi="宋体" w:cs="宋体"/>
                <w:color w:val="auto"/>
                <w:sz w:val="21"/>
                <w:szCs w:val="21"/>
                <w:lang w:val="en-US" w:eastAsia="zh-CN"/>
              </w:rPr>
              <w:t>2</w:t>
            </w:r>
            <w:r>
              <w:rPr>
                <w:rFonts w:hint="eastAsia" w:ascii="宋体" w:hAnsi="宋体" w:eastAsia="宋体" w:cs="宋体"/>
                <w:color w:val="auto"/>
                <w:sz w:val="21"/>
                <w:szCs w:val="21"/>
                <w:lang w:val="en-US" w:eastAsia="zh-CN"/>
              </w:rPr>
              <w:t>分</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具</w:t>
            </w:r>
            <w:r>
              <w:rPr>
                <w:rFonts w:hint="eastAsia" w:ascii="宋体" w:hAnsi="宋体" w:cs="宋体"/>
                <w:color w:val="auto"/>
                <w:sz w:val="21"/>
                <w:szCs w:val="21"/>
                <w:lang w:val="en-US" w:eastAsia="zh-CN"/>
              </w:rPr>
              <w:t>有</w:t>
            </w:r>
            <w:r>
              <w:rPr>
                <w:rFonts w:hint="eastAsia" w:ascii="宋体" w:hAnsi="宋体" w:eastAsia="宋体" w:cs="宋体"/>
                <w:color w:val="auto"/>
                <w:sz w:val="21"/>
                <w:szCs w:val="21"/>
                <w:lang w:val="en-US" w:eastAsia="zh-CN"/>
              </w:rPr>
              <w:t>中级职称的</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每提供一人得</w:t>
            </w:r>
            <w:r>
              <w:rPr>
                <w:rFonts w:hint="eastAsia" w:ascii="宋体" w:hAnsi="宋体" w:cs="宋体"/>
                <w:color w:val="auto"/>
                <w:sz w:val="21"/>
                <w:szCs w:val="21"/>
                <w:lang w:val="en-US" w:eastAsia="zh-CN"/>
              </w:rPr>
              <w:t>1</w:t>
            </w:r>
            <w:r>
              <w:rPr>
                <w:rFonts w:hint="eastAsia" w:ascii="宋体" w:hAnsi="宋体" w:eastAsia="宋体" w:cs="宋体"/>
                <w:color w:val="auto"/>
                <w:sz w:val="21"/>
                <w:szCs w:val="21"/>
                <w:lang w:val="en-US" w:eastAsia="zh-CN"/>
              </w:rPr>
              <w:t>分</w:t>
            </w:r>
            <w:r>
              <w:rPr>
                <w:rFonts w:hint="eastAsia" w:ascii="宋体" w:hAnsi="宋体" w:cs="宋体"/>
                <w:color w:val="auto"/>
                <w:sz w:val="21"/>
                <w:szCs w:val="21"/>
                <w:lang w:val="en-US" w:eastAsia="zh-CN"/>
              </w:rPr>
              <w:t>；</w:t>
            </w:r>
            <w:r>
              <w:rPr>
                <w:rFonts w:hint="eastAsia" w:ascii="宋体" w:hAnsi="宋体" w:eastAsia="宋体" w:cs="宋体"/>
                <w:color w:val="auto"/>
                <w:sz w:val="21"/>
                <w:szCs w:val="21"/>
                <w:lang w:val="en-US" w:eastAsia="zh-CN"/>
              </w:rPr>
              <w:t>本项最高得10分。</w:t>
            </w:r>
          </w:p>
          <w:p>
            <w:pPr>
              <w:keepNext w:val="0"/>
              <w:keepLines w:val="0"/>
              <w:pageBreakBefore w:val="0"/>
              <w:kinsoku/>
              <w:wordWrap/>
              <w:overflowPunct/>
              <w:topLinePunct w:val="0"/>
              <w:autoSpaceDE/>
              <w:autoSpaceDN/>
              <w:bidi w:val="0"/>
              <w:spacing w:after="0" w:line="240" w:lineRule="auto"/>
              <w:ind w:firstLine="420" w:firstLineChars="200"/>
              <w:textAlignment w:val="auto"/>
              <w:rPr>
                <w:rFonts w:ascii="宋体" w:eastAsia="宋体" w:cs="宋体"/>
                <w:sz w:val="21"/>
                <w:szCs w:val="21"/>
              </w:rPr>
            </w:pPr>
            <w:r>
              <w:rPr>
                <w:rFonts w:hint="eastAsia" w:ascii="宋体" w:eastAsia="宋体" w:cs="宋体"/>
                <w:bCs/>
                <w:color w:val="auto"/>
                <w:sz w:val="21"/>
                <w:szCs w:val="21"/>
                <w:highlight w:val="none"/>
              </w:rPr>
              <w:t>注：</w:t>
            </w:r>
            <w:r>
              <w:rPr>
                <w:rFonts w:hint="eastAsia" w:ascii="宋体" w:eastAsia="宋体" w:cs="宋体"/>
                <w:bCs/>
                <w:color w:val="auto"/>
                <w:sz w:val="21"/>
                <w:szCs w:val="21"/>
                <w:highlight w:val="none"/>
                <w:lang w:val="zh-CN"/>
              </w:rPr>
              <w:t>（1）以</w:t>
            </w:r>
            <w:r>
              <w:rPr>
                <w:rFonts w:hint="eastAsia" w:ascii="宋体" w:eastAsia="宋体" w:cs="宋体"/>
                <w:bCs/>
                <w:color w:val="auto"/>
                <w:sz w:val="21"/>
                <w:szCs w:val="21"/>
                <w:highlight w:val="none"/>
                <w:lang w:val="en-US" w:eastAsia="zh-CN"/>
              </w:rPr>
              <w:t>上</w:t>
            </w:r>
            <w:r>
              <w:rPr>
                <w:rFonts w:hint="eastAsia" w:ascii="宋体" w:eastAsia="宋体" w:cs="宋体"/>
                <w:bCs/>
                <w:color w:val="auto"/>
                <w:sz w:val="21"/>
                <w:szCs w:val="21"/>
                <w:highlight w:val="none"/>
                <w:lang w:val="zh-CN"/>
              </w:rPr>
              <w:t>技术人员的名单不得重复。（2）须提供以上人员有效证书及</w:t>
            </w:r>
            <w:r>
              <w:rPr>
                <w:rFonts w:hint="eastAsia" w:ascii="宋体" w:eastAsia="宋体" w:cs="宋体"/>
                <w:bCs/>
                <w:color w:val="auto"/>
                <w:sz w:val="21"/>
                <w:szCs w:val="21"/>
                <w:highlight w:val="none"/>
              </w:rPr>
              <w:t>投标人</w:t>
            </w:r>
            <w:r>
              <w:rPr>
                <w:rFonts w:hint="eastAsia" w:ascii="宋体" w:eastAsia="宋体" w:cs="宋体"/>
                <w:bCs/>
                <w:color w:val="auto"/>
                <w:sz w:val="21"/>
                <w:szCs w:val="21"/>
                <w:highlight w:val="none"/>
                <w:lang w:val="zh-CN"/>
              </w:rPr>
              <w:t>为其缴纳的距开标时间（不含当月）</w:t>
            </w:r>
            <w:r>
              <w:rPr>
                <w:rFonts w:hint="eastAsia" w:ascii="宋体" w:cs="宋体"/>
                <w:bCs/>
                <w:color w:val="auto"/>
                <w:sz w:val="21"/>
                <w:szCs w:val="21"/>
                <w:highlight w:val="none"/>
                <w:lang w:val="en-US" w:eastAsia="zh-CN"/>
              </w:rPr>
              <w:t>前</w:t>
            </w:r>
            <w:r>
              <w:rPr>
                <w:rFonts w:hint="eastAsia" w:ascii="宋体" w:eastAsia="宋体" w:cs="宋体"/>
                <w:bCs/>
                <w:color w:val="auto"/>
                <w:sz w:val="21"/>
                <w:szCs w:val="21"/>
                <w:highlight w:val="none"/>
                <w:lang w:val="en-US" w:eastAsia="zh-CN"/>
              </w:rPr>
              <w:t>6</w:t>
            </w:r>
            <w:r>
              <w:rPr>
                <w:rFonts w:hint="eastAsia" w:ascii="宋体" w:eastAsia="宋体" w:cs="宋体"/>
                <w:bCs/>
                <w:color w:val="auto"/>
                <w:sz w:val="21"/>
                <w:szCs w:val="21"/>
                <w:highlight w:val="none"/>
                <w:lang w:val="zh-CN"/>
              </w:rPr>
              <w:t>个月</w:t>
            </w:r>
            <w:r>
              <w:rPr>
                <w:rFonts w:hint="eastAsia" w:ascii="宋体" w:cs="宋体"/>
                <w:bCs/>
                <w:color w:val="auto"/>
                <w:sz w:val="21"/>
                <w:szCs w:val="21"/>
                <w:highlight w:val="none"/>
                <w:lang w:val="en-US" w:eastAsia="zh-CN"/>
              </w:rPr>
              <w:t>中任意3个月</w:t>
            </w:r>
            <w:r>
              <w:rPr>
                <w:rFonts w:hint="eastAsia" w:ascii="宋体" w:eastAsia="宋体" w:cs="宋体"/>
                <w:bCs/>
                <w:color w:val="auto"/>
                <w:sz w:val="21"/>
                <w:szCs w:val="21"/>
                <w:highlight w:val="none"/>
                <w:lang w:val="zh-CN"/>
              </w:rPr>
              <w:t>的社保证明复印件加盖</w:t>
            </w:r>
            <w:r>
              <w:rPr>
                <w:rFonts w:hint="eastAsia" w:ascii="宋体" w:eastAsia="宋体" w:cs="宋体"/>
                <w:bCs/>
                <w:color w:val="auto"/>
                <w:sz w:val="21"/>
                <w:szCs w:val="21"/>
                <w:highlight w:val="none"/>
              </w:rPr>
              <w:t>投标人</w:t>
            </w:r>
            <w:r>
              <w:rPr>
                <w:rFonts w:hint="eastAsia" w:ascii="宋体" w:eastAsia="宋体" w:cs="宋体"/>
                <w:bCs/>
                <w:color w:val="auto"/>
                <w:sz w:val="21"/>
                <w:szCs w:val="21"/>
                <w:highlight w:val="none"/>
                <w:lang w:val="zh-CN"/>
              </w:rPr>
              <w:t>公章。</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left="0" w:leftChars="0" w:firstLine="0" w:firstLineChars="0"/>
              <w:jc w:val="center"/>
              <w:textAlignment w:val="auto"/>
              <w:rPr>
                <w:rFonts w:hint="default" w:ascii="宋体" w:eastAsia="宋体" w:cs="宋体"/>
                <w:bCs/>
                <w:sz w:val="21"/>
                <w:szCs w:val="21"/>
                <w:lang w:val="en-US" w:eastAsia="zh-CN"/>
              </w:rPr>
            </w:pPr>
            <w:r>
              <w:rPr>
                <w:rFonts w:hint="eastAsia" w:ascii="宋体" w:eastAsia="宋体" w:cs="宋体"/>
                <w:bCs/>
                <w:sz w:val="21"/>
                <w:szCs w:val="21"/>
                <w:lang w:val="en-US" w:eastAsia="zh-CN"/>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5" w:hRule="atLeast"/>
          <w:jc w:val="center"/>
        </w:trPr>
        <w:tc>
          <w:tcPr>
            <w:tcW w:w="651" w:type="dxa"/>
            <w:vMerge w:val="restart"/>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宋体" w:eastAsia="宋体" w:cs="宋体"/>
                <w:sz w:val="21"/>
                <w:szCs w:val="21"/>
                <w:lang w:val="en-US" w:eastAsia="zh-CN"/>
              </w:rPr>
            </w:pPr>
            <w:r>
              <w:rPr>
                <w:rFonts w:hint="eastAsia" w:ascii="宋体" w:eastAsia="宋体" w:cs="宋体"/>
                <w:sz w:val="21"/>
                <w:szCs w:val="21"/>
                <w:lang w:val="en-US" w:eastAsia="zh-CN"/>
              </w:rPr>
              <w:t>2</w:t>
            </w:r>
          </w:p>
        </w:tc>
        <w:tc>
          <w:tcPr>
            <w:tcW w:w="1290" w:type="dxa"/>
            <w:vMerge w:val="restart"/>
            <w:tcBorders>
              <w:top w:val="single" w:color="auto" w:sz="4" w:space="0"/>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default" w:ascii="宋体" w:eastAsia="宋体" w:cs="宋体"/>
                <w:sz w:val="21"/>
                <w:szCs w:val="21"/>
                <w:lang w:val="en-US" w:eastAsia="zh-CN"/>
              </w:rPr>
            </w:pPr>
            <w:r>
              <w:rPr>
                <w:rFonts w:hint="eastAsia" w:ascii="宋体" w:eastAsia="宋体" w:cs="宋体"/>
                <w:sz w:val="21"/>
                <w:szCs w:val="21"/>
                <w:lang w:val="en-US" w:eastAsia="zh-CN"/>
              </w:rPr>
              <w:t>服务实施方案</w:t>
            </w:r>
          </w:p>
        </w:tc>
        <w:tc>
          <w:tcPr>
            <w:tcW w:w="5920" w:type="dxa"/>
            <w:tcBorders>
              <w:top w:val="single" w:color="auto" w:sz="4" w:space="0"/>
              <w:left w:val="single" w:color="auto" w:sz="4" w:space="0"/>
              <w:bottom w:val="single" w:color="auto" w:sz="4" w:space="0"/>
              <w:right w:val="single" w:color="auto" w:sz="4" w:space="0"/>
            </w:tcBorders>
            <w:vAlign w:val="top"/>
          </w:tcPr>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根据投标人提供</w:t>
            </w:r>
            <w:r>
              <w:rPr>
                <w:rFonts w:hint="eastAsia" w:ascii="宋体" w:hAnsi="宋体" w:eastAsia="宋体" w:cs="宋体"/>
                <w:color w:val="auto"/>
                <w:sz w:val="21"/>
                <w:szCs w:val="21"/>
                <w:highlight w:val="none"/>
              </w:rPr>
              <w:t>协议服务实施方案的组织结构完善程度</w:t>
            </w:r>
            <w:r>
              <w:rPr>
                <w:rFonts w:hint="eastAsia" w:ascii="宋体" w:hAnsi="宋体" w:eastAsia="宋体" w:cs="宋体"/>
                <w:color w:val="auto"/>
                <w:sz w:val="21"/>
                <w:szCs w:val="21"/>
                <w:highlight w:val="none"/>
                <w:lang w:val="en-US" w:eastAsia="zh-CN"/>
              </w:rPr>
              <w:t>进行综合评审：</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协议服务实施方案的组织结构</w:t>
            </w:r>
            <w:r>
              <w:rPr>
                <w:rFonts w:hint="eastAsia" w:ascii="宋体" w:hAnsi="宋体" w:eastAsia="宋体" w:cs="宋体"/>
                <w:color w:val="auto"/>
                <w:sz w:val="21"/>
                <w:szCs w:val="21"/>
                <w:highlight w:val="none"/>
                <w:lang w:val="en-US" w:eastAsia="zh-CN"/>
              </w:rPr>
              <w:t>非常完善的，得</w:t>
            </w: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lang w:val="en-US" w:eastAsia="zh-CN"/>
              </w:rPr>
              <w:t>分；</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协议服务实施方案的组织结构</w:t>
            </w:r>
            <w:r>
              <w:rPr>
                <w:rFonts w:hint="eastAsia" w:ascii="宋体" w:hAnsi="宋体" w:eastAsia="宋体" w:cs="宋体"/>
                <w:color w:val="auto"/>
                <w:sz w:val="21"/>
                <w:szCs w:val="21"/>
                <w:highlight w:val="none"/>
                <w:lang w:val="en-US" w:eastAsia="zh-CN"/>
              </w:rPr>
              <w:t>完善的，得</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分；</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协议服务实施方案的组织结构</w:t>
            </w:r>
            <w:r>
              <w:rPr>
                <w:rFonts w:hint="eastAsia" w:ascii="宋体" w:hAnsi="宋体" w:eastAsia="宋体" w:cs="宋体"/>
                <w:color w:val="auto"/>
                <w:sz w:val="21"/>
                <w:szCs w:val="21"/>
                <w:highlight w:val="none"/>
                <w:lang w:val="en-US" w:eastAsia="zh-CN"/>
              </w:rPr>
              <w:t>完善性一般的，得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ascii="宋体" w:eastAsia="宋体" w:cs="宋体"/>
                <w:sz w:val="21"/>
                <w:szCs w:val="21"/>
                <w:lang w:val="zh-CN"/>
              </w:rPr>
            </w:pPr>
            <w:r>
              <w:rPr>
                <w:rFonts w:hint="eastAsia" w:ascii="宋体" w:hAnsi="宋体" w:eastAsia="宋体" w:cs="宋体"/>
                <w:color w:val="auto"/>
                <w:sz w:val="21"/>
                <w:szCs w:val="21"/>
                <w:highlight w:val="none"/>
                <w:lang w:val="en-US" w:eastAsia="zh-CN"/>
              </w:rPr>
              <w:t>未提供及其他情况不得分。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宋体" w:eastAsia="宋体" w:cs="宋体"/>
                <w:bCs/>
                <w:sz w:val="21"/>
                <w:szCs w:val="21"/>
                <w:lang w:val="en-US" w:eastAsia="zh-CN"/>
              </w:rPr>
            </w:pPr>
            <w:r>
              <w:rPr>
                <w:rFonts w:hint="eastAsia" w:ascii="宋体" w:eastAsia="宋体" w:cs="宋体"/>
                <w:color w:val="auto"/>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651" w:type="dxa"/>
            <w:vMerge w:val="continue"/>
            <w:tcBorders>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eastAsia="宋体" w:cs="宋体"/>
                <w:sz w:val="21"/>
                <w:szCs w:val="21"/>
                <w:lang w:eastAsia="zh-CN"/>
              </w:rPr>
            </w:pPr>
          </w:p>
        </w:tc>
        <w:tc>
          <w:tcPr>
            <w:tcW w:w="1290" w:type="dxa"/>
            <w:vMerge w:val="continue"/>
            <w:tcBorders>
              <w:left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ascii="宋体" w:eastAsia="宋体" w:cs="宋体"/>
                <w:sz w:val="21"/>
                <w:szCs w:val="21"/>
              </w:rPr>
            </w:pPr>
          </w:p>
        </w:tc>
        <w:tc>
          <w:tcPr>
            <w:tcW w:w="5920" w:type="dxa"/>
            <w:tcBorders>
              <w:top w:val="single" w:color="auto" w:sz="4" w:space="0"/>
              <w:left w:val="single" w:color="auto" w:sz="4" w:space="0"/>
              <w:bottom w:val="single" w:color="auto" w:sz="4" w:space="0"/>
              <w:right w:val="single" w:color="auto" w:sz="4" w:space="0"/>
            </w:tcBorders>
            <w:vAlign w:val="top"/>
          </w:tcPr>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根据投标人提供协议服务实施方案的资源支持系统完善程度进行综合评审：</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协议服务实施方案的资源支持系统非常完善的，得</w:t>
            </w: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lang w:val="en-US" w:eastAsia="zh-CN"/>
              </w:rPr>
              <w:t>分；</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协议服务实施方案的资源支持系统完善的，得</w:t>
            </w:r>
            <w:r>
              <w:rPr>
                <w:rFonts w:hint="eastAsia" w:ascii="宋体" w:hAnsi="宋体" w:cs="宋体"/>
                <w:color w:val="auto"/>
                <w:sz w:val="21"/>
                <w:szCs w:val="21"/>
                <w:highlight w:val="none"/>
                <w:lang w:val="en-US" w:eastAsia="zh-CN"/>
              </w:rPr>
              <w:t>7</w:t>
            </w:r>
            <w:r>
              <w:rPr>
                <w:rFonts w:hint="eastAsia" w:ascii="宋体" w:hAnsi="宋体" w:eastAsia="宋体" w:cs="宋体"/>
                <w:color w:val="auto"/>
                <w:sz w:val="21"/>
                <w:szCs w:val="21"/>
                <w:highlight w:val="none"/>
                <w:lang w:val="en-US" w:eastAsia="zh-CN"/>
              </w:rPr>
              <w:t>分；</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协议服务实施方案的资源支持系统完善性一般的，得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ascii="宋体" w:eastAsia="宋体" w:cs="宋体"/>
                <w:sz w:val="21"/>
                <w:szCs w:val="21"/>
                <w:lang w:val="zh-CN"/>
              </w:rPr>
            </w:pPr>
            <w:r>
              <w:rPr>
                <w:rFonts w:hint="eastAsia" w:ascii="宋体" w:hAnsi="宋体" w:eastAsia="宋体" w:cs="宋体"/>
                <w:color w:val="auto"/>
                <w:sz w:val="21"/>
                <w:szCs w:val="21"/>
                <w:highlight w:val="none"/>
                <w:lang w:val="en-US" w:eastAsia="zh-CN"/>
              </w:rPr>
              <w:t>未提供及其他情况不得分。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Lines w:val="0"/>
              <w:pageBreakBefore w:val="0"/>
              <w:kinsoku/>
              <w:wordWrap/>
              <w:overflowPunct/>
              <w:topLinePunct w:val="0"/>
              <w:bidi w:val="0"/>
              <w:adjustRightInd w:val="0"/>
              <w:snapToGrid w:val="0"/>
              <w:spacing w:line="240" w:lineRule="auto"/>
              <w:ind w:firstLine="0" w:firstLineChars="0"/>
              <w:jc w:val="center"/>
              <w:textAlignment w:val="auto"/>
              <w:rPr>
                <w:rFonts w:hint="default" w:ascii="宋体" w:eastAsia="宋体" w:cs="宋体"/>
                <w:bCs/>
                <w:sz w:val="21"/>
                <w:szCs w:val="21"/>
                <w:lang w:val="en-US" w:eastAsia="zh-CN"/>
              </w:rPr>
            </w:pPr>
            <w:r>
              <w:rPr>
                <w:rFonts w:hint="eastAsia" w:ascii="宋体" w:eastAsia="宋体" w:cs="宋体"/>
                <w:color w:val="auto"/>
                <w:sz w:val="21"/>
                <w:szCs w:val="21"/>
                <w:highlight w:val="none"/>
                <w:lang w:val="en-US" w:eastAsia="zh-CN"/>
              </w:rP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651" w:type="dxa"/>
            <w:vMerge w:val="continue"/>
            <w:tcBorders>
              <w:left w:val="single" w:color="auto" w:sz="4" w:space="0"/>
              <w:bottom w:val="single" w:color="auto" w:sz="4" w:space="0"/>
              <w:right w:val="single" w:color="auto" w:sz="4" w:space="0"/>
            </w:tcBorders>
            <w:vAlign w:val="center"/>
          </w:tcPr>
          <w:p>
            <w:pPr>
              <w:pStyle w:val="36"/>
              <w:keepNext w:val="0"/>
              <w:keepLines w:val="0"/>
              <w:pageBreakBefore w:val="0"/>
              <w:kinsoku/>
              <w:wordWrap/>
              <w:overflowPunct/>
              <w:topLinePunct w:val="0"/>
              <w:autoSpaceDE/>
              <w:autoSpaceDN/>
              <w:bidi w:val="0"/>
              <w:spacing w:line="240" w:lineRule="auto"/>
              <w:ind w:firstLine="0" w:firstLineChars="0"/>
              <w:jc w:val="center"/>
              <w:textAlignment w:val="auto"/>
              <w:rPr>
                <w:rFonts w:hint="eastAsia" w:ascii="宋体" w:eastAsia="宋体" w:cs="宋体"/>
                <w:sz w:val="21"/>
                <w:szCs w:val="21"/>
                <w:lang w:eastAsia="zh-CN"/>
              </w:rPr>
            </w:pPr>
          </w:p>
        </w:tc>
        <w:tc>
          <w:tcPr>
            <w:tcW w:w="1290" w:type="dxa"/>
            <w:vMerge w:val="continue"/>
            <w:tcBorders>
              <w:left w:val="single" w:color="auto" w:sz="4" w:space="0"/>
              <w:bottom w:val="single" w:color="auto" w:sz="4" w:space="0"/>
              <w:right w:val="single" w:color="auto" w:sz="4" w:space="0"/>
            </w:tcBorders>
            <w:vAlign w:val="center"/>
          </w:tcPr>
          <w:p>
            <w:pPr>
              <w:keepNext w:val="0"/>
              <w:keepLines w:val="0"/>
              <w:pageBreakBefore w:val="0"/>
              <w:tabs>
                <w:tab w:val="left" w:pos="8610"/>
              </w:tabs>
              <w:kinsoku/>
              <w:wordWrap/>
              <w:overflowPunct/>
              <w:topLinePunct w:val="0"/>
              <w:autoSpaceDE/>
              <w:autoSpaceDN/>
              <w:bidi w:val="0"/>
              <w:spacing w:line="240" w:lineRule="auto"/>
              <w:jc w:val="center"/>
              <w:textAlignment w:val="auto"/>
              <w:rPr>
                <w:rFonts w:ascii="宋体" w:hAnsi="宋体" w:eastAsia="宋体" w:cs="宋体"/>
                <w:sz w:val="21"/>
                <w:szCs w:val="21"/>
              </w:rPr>
            </w:pPr>
          </w:p>
        </w:tc>
        <w:tc>
          <w:tcPr>
            <w:tcW w:w="5920" w:type="dxa"/>
            <w:tcBorders>
              <w:top w:val="single" w:color="auto" w:sz="4" w:space="0"/>
              <w:left w:val="single" w:color="auto" w:sz="4" w:space="0"/>
              <w:bottom w:val="single" w:color="auto" w:sz="4" w:space="0"/>
              <w:right w:val="single" w:color="auto" w:sz="4" w:space="0"/>
            </w:tcBorders>
            <w:vAlign w:val="top"/>
          </w:tcPr>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根据投标人提供协议服务实施方案的质量和进度保证措施合理性进行综合评审：</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协议服务实施方案的质量和进度保证措施非常合理的，得</w:t>
            </w:r>
            <w:r>
              <w:rPr>
                <w:rFonts w:hint="eastAsia" w:ascii="宋体" w:hAnsi="宋体" w:cs="宋体"/>
                <w:color w:val="auto"/>
                <w:sz w:val="21"/>
                <w:szCs w:val="21"/>
                <w:highlight w:val="none"/>
                <w:lang w:val="en-US" w:eastAsia="zh-CN"/>
              </w:rPr>
              <w:t>11</w:t>
            </w:r>
            <w:r>
              <w:rPr>
                <w:rFonts w:hint="eastAsia" w:ascii="宋体" w:hAnsi="宋体" w:eastAsia="宋体" w:cs="宋体"/>
                <w:color w:val="auto"/>
                <w:sz w:val="21"/>
                <w:szCs w:val="21"/>
                <w:highlight w:val="none"/>
                <w:lang w:val="en-US" w:eastAsia="zh-CN"/>
              </w:rPr>
              <w:t>分；</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协议服务实施方案的质量和进度保证措施合理的，得</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lang w:val="en-US" w:eastAsia="zh-CN"/>
              </w:rPr>
              <w:t>分；</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协议服务实施方案的质量和进度保证措施合理性一般的，得</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分；</w:t>
            </w:r>
          </w:p>
          <w:p>
            <w:pPr>
              <w:keepLines w:val="0"/>
              <w:pageBreakBefore w:val="0"/>
              <w:kinsoku/>
              <w:wordWrap/>
              <w:overflowPunct/>
              <w:topLinePunct w:val="0"/>
              <w:autoSpaceDE w:val="0"/>
              <w:autoSpaceDN w:val="0"/>
              <w:bidi w:val="0"/>
              <w:adjustRightInd/>
              <w:snapToGrid/>
              <w:spacing w:after="0" w:line="240" w:lineRule="auto"/>
              <w:ind w:firstLine="420" w:firstLineChars="200"/>
              <w:textAlignment w:val="auto"/>
              <w:rPr>
                <w:rFonts w:ascii="宋体" w:eastAsia="宋体" w:cs="宋体"/>
                <w:sz w:val="21"/>
                <w:szCs w:val="21"/>
                <w:lang w:val="zh-CN"/>
              </w:rPr>
            </w:pPr>
            <w:r>
              <w:rPr>
                <w:rFonts w:hint="eastAsia" w:ascii="宋体" w:hAnsi="宋体" w:eastAsia="宋体" w:cs="宋体"/>
                <w:color w:val="auto"/>
                <w:sz w:val="21"/>
                <w:szCs w:val="21"/>
                <w:highlight w:val="none"/>
                <w:lang w:val="en-US" w:eastAsia="zh-CN"/>
              </w:rPr>
              <w:t>未提供及其他情况不得分。</w:t>
            </w:r>
          </w:p>
        </w:tc>
        <w:tc>
          <w:tcPr>
            <w:tcW w:w="661" w:type="dxa"/>
            <w:tcBorders>
              <w:top w:val="single" w:color="auto" w:sz="4" w:space="0"/>
              <w:left w:val="single" w:color="auto" w:sz="4" w:space="0"/>
              <w:bottom w:val="single" w:color="auto" w:sz="4" w:space="0"/>
              <w:right w:val="single" w:color="auto" w:sz="4" w:space="0"/>
            </w:tcBorders>
            <w:vAlign w:val="center"/>
          </w:tcPr>
          <w:p>
            <w:pPr>
              <w:pStyle w:val="36"/>
              <w:keepLines w:val="0"/>
              <w:pageBreakBefore w:val="0"/>
              <w:kinsoku/>
              <w:wordWrap/>
              <w:overflowPunct/>
              <w:topLinePunct w:val="0"/>
              <w:bidi w:val="0"/>
              <w:adjustRightInd w:val="0"/>
              <w:snapToGrid w:val="0"/>
              <w:spacing w:line="240" w:lineRule="auto"/>
              <w:ind w:firstLine="0" w:firstLineChars="0"/>
              <w:jc w:val="center"/>
              <w:textAlignment w:val="auto"/>
              <w:rPr>
                <w:rFonts w:hint="eastAsia" w:ascii="宋体" w:eastAsia="宋体" w:cs="宋体"/>
                <w:bCs/>
                <w:sz w:val="21"/>
                <w:szCs w:val="21"/>
                <w:lang w:val="en-US" w:eastAsia="zh-CN"/>
              </w:rPr>
            </w:pPr>
            <w:r>
              <w:rPr>
                <w:rFonts w:hint="eastAsia" w:ascii="宋体" w:eastAsia="宋体" w:cs="宋体"/>
                <w:color w:val="auto"/>
                <w:sz w:val="21"/>
                <w:szCs w:val="21"/>
                <w:highlight w:val="none"/>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jc w:val="center"/>
        </w:trPr>
        <w:tc>
          <w:tcPr>
            <w:tcW w:w="8522" w:type="dxa"/>
            <w:gridSpan w:val="4"/>
            <w:tcBorders>
              <w:top w:val="single" w:color="auto" w:sz="4" w:space="0"/>
              <w:left w:val="single" w:color="auto" w:sz="4" w:space="0"/>
              <w:bottom w:val="single" w:color="auto" w:sz="4" w:space="0"/>
              <w:right w:val="single" w:color="auto" w:sz="4" w:space="0"/>
            </w:tcBorders>
            <w:vAlign w:val="center"/>
          </w:tcPr>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w:t>
            </w:r>
          </w:p>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（1）</w:t>
            </w:r>
            <w:r>
              <w:rPr>
                <w:rFonts w:hint="eastAsia" w:ascii="宋体" w:hAnsi="宋体" w:eastAsia="宋体" w:cs="宋体"/>
                <w:b/>
                <w:color w:val="auto"/>
                <w:sz w:val="21"/>
                <w:szCs w:val="21"/>
                <w:highlight w:val="none"/>
                <w:lang w:val="en-US" w:eastAsia="zh-CN"/>
              </w:rPr>
              <w:t>除</w:t>
            </w:r>
            <w:r>
              <w:rPr>
                <w:rFonts w:hint="eastAsia" w:ascii="宋体" w:hAnsi="宋体" w:eastAsia="宋体" w:cs="宋体"/>
                <w:b/>
                <w:color w:val="auto"/>
                <w:sz w:val="21"/>
                <w:szCs w:val="21"/>
                <w:highlight w:val="none"/>
              </w:rPr>
              <w:t>特殊说明外，以上评审项，同一证明文件不重复计分。</w:t>
            </w:r>
          </w:p>
          <w:p>
            <w:pPr>
              <w:keepNext w:val="0"/>
              <w:keepLines w:val="0"/>
              <w:pageBreakBefore w:val="0"/>
              <w:tabs>
                <w:tab w:val="left" w:pos="907"/>
              </w:tabs>
              <w:kinsoku/>
              <w:wordWrap/>
              <w:overflowPunct/>
              <w:topLinePunct w:val="0"/>
              <w:autoSpaceDE/>
              <w:autoSpaceDN/>
              <w:bidi w:val="0"/>
              <w:spacing w:after="0" w:line="240" w:lineRule="auto"/>
              <w:ind w:firstLine="422" w:firstLineChars="200"/>
              <w:textAlignment w:val="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（2）</w:t>
            </w:r>
            <w:r>
              <w:rPr>
                <w:rFonts w:hint="eastAsia" w:ascii="宋体" w:hAnsi="宋体" w:eastAsia="宋体" w:cs="宋体"/>
                <w:b/>
                <w:color w:val="auto"/>
                <w:sz w:val="21"/>
                <w:szCs w:val="21"/>
                <w:highlight w:val="none"/>
                <w:lang w:eastAsia="zh-CN"/>
              </w:rPr>
              <w:t>投标人</w:t>
            </w:r>
            <w:r>
              <w:rPr>
                <w:rFonts w:hint="eastAsia" w:ascii="宋体" w:hAnsi="宋体" w:eastAsia="宋体" w:cs="宋体"/>
                <w:b/>
                <w:color w:val="auto"/>
                <w:sz w:val="21"/>
                <w:szCs w:val="21"/>
                <w:highlight w:val="none"/>
              </w:rPr>
              <w:t>根据以上评分要求提供的投标材料因模糊不清导致评标委员会无法清晰辨认进行评审的，视为无效材料。</w:t>
            </w:r>
          </w:p>
          <w:p>
            <w:pPr>
              <w:pStyle w:val="36"/>
              <w:keepNext w:val="0"/>
              <w:keepLines w:val="0"/>
              <w:pageBreakBefore w:val="0"/>
              <w:kinsoku/>
              <w:wordWrap/>
              <w:overflowPunct/>
              <w:topLinePunct w:val="0"/>
              <w:autoSpaceDE/>
              <w:autoSpaceDN/>
              <w:bidi w:val="0"/>
              <w:spacing w:line="240" w:lineRule="auto"/>
              <w:ind w:left="0" w:leftChars="0" w:firstLine="0" w:firstLineChars="0"/>
              <w:jc w:val="left"/>
              <w:textAlignment w:val="auto"/>
              <w:rPr>
                <w:rFonts w:hint="eastAsia" w:ascii="宋体" w:eastAsia="宋体" w:cs="宋体"/>
                <w:bCs/>
                <w:sz w:val="21"/>
                <w:szCs w:val="21"/>
                <w:lang w:val="en-US" w:eastAsia="zh-CN"/>
              </w:rPr>
            </w:pPr>
            <w:r>
              <w:rPr>
                <w:rFonts w:hint="eastAsia" w:ascii="宋体" w:cs="宋体"/>
                <w:b/>
                <w:color w:val="auto"/>
                <w:sz w:val="21"/>
                <w:szCs w:val="21"/>
                <w:highlight w:val="none"/>
                <w:lang w:val="en-US" w:eastAsia="zh-CN"/>
              </w:rPr>
              <w:t xml:space="preserve">   </w:t>
            </w:r>
            <w:r>
              <w:rPr>
                <w:rFonts w:hint="eastAsia" w:ascii="宋体" w:hAnsi="宋体" w:cs="宋体"/>
                <w:b/>
                <w:color w:val="auto"/>
                <w:sz w:val="21"/>
                <w:szCs w:val="21"/>
                <w:highlight w:val="none"/>
                <w:lang w:eastAsia="zh-CN"/>
              </w:rPr>
              <w:t>（</w:t>
            </w:r>
            <w:r>
              <w:rPr>
                <w:rFonts w:hint="eastAsia" w:ascii="宋体" w:hAnsi="宋体" w:cs="宋体"/>
                <w:b/>
                <w:color w:val="auto"/>
                <w:sz w:val="21"/>
                <w:szCs w:val="21"/>
                <w:highlight w:val="none"/>
                <w:lang w:val="en-US" w:eastAsia="zh-CN"/>
              </w:rPr>
              <w:t>3</w:t>
            </w:r>
            <w:r>
              <w:rPr>
                <w:rFonts w:hint="eastAsia" w:ascii="宋体" w:hAnsi="宋体" w:cs="宋体"/>
                <w:b/>
                <w:color w:val="auto"/>
                <w:sz w:val="21"/>
                <w:szCs w:val="21"/>
                <w:highlight w:val="none"/>
                <w:lang w:eastAsia="zh-CN"/>
              </w:rPr>
              <w:t>）</w:t>
            </w:r>
            <w:r>
              <w:rPr>
                <w:rFonts w:hint="eastAsia" w:ascii="宋体" w:hAnsi="宋体" w:eastAsia="宋体" w:cs="宋体"/>
                <w:b/>
                <w:color w:val="auto"/>
                <w:sz w:val="21"/>
                <w:szCs w:val="21"/>
                <w:highlight w:val="none"/>
              </w:rPr>
              <w:t>若因疫情原因暂缓统一托收或阶段性减免社会保险费而导致无法打印社保缴费证明的需提供书面说明并加盖投标人公章，否则不得分。</w:t>
            </w:r>
          </w:p>
        </w:tc>
      </w:tr>
    </w:tbl>
    <w:p>
      <w:pPr>
        <w:rPr>
          <w:rFonts w:hint="eastAsia"/>
          <w:lang w:eastAsia="zh-CN"/>
        </w:rPr>
      </w:pPr>
    </w:p>
    <w:p>
      <w:pPr>
        <w:bidi w:val="0"/>
        <w:rPr>
          <w:rFonts w:hint="eastAsia"/>
          <w:color w:val="auto"/>
        </w:rPr>
      </w:pPr>
      <w:r>
        <w:rPr>
          <w:rFonts w:hint="eastAsia"/>
          <w:color w:val="auto"/>
        </w:rPr>
        <w:br w:type="page"/>
      </w:r>
    </w:p>
    <w:p>
      <w:pPr>
        <w:pStyle w:val="3"/>
        <w:spacing w:before="0" w:after="0" w:line="240" w:lineRule="auto"/>
        <w:rPr>
          <w:color w:val="auto"/>
          <w:sz w:val="24"/>
          <w:szCs w:val="24"/>
        </w:rPr>
      </w:pPr>
      <w:bookmarkStart w:id="17" w:name="_Toc2479"/>
      <w:bookmarkStart w:id="18" w:name="_Toc29685"/>
      <w:bookmarkStart w:id="19" w:name="_Toc30638"/>
      <w:bookmarkStart w:id="20" w:name="_Toc14146"/>
      <w:r>
        <w:rPr>
          <w:rFonts w:hint="eastAsia"/>
          <w:color w:val="auto"/>
          <w:sz w:val="28"/>
          <w:szCs w:val="28"/>
        </w:rPr>
        <w:t>第</w:t>
      </w:r>
      <w:r>
        <w:rPr>
          <w:rFonts w:hint="eastAsia"/>
          <w:color w:val="auto"/>
          <w:sz w:val="28"/>
          <w:szCs w:val="28"/>
          <w:lang w:val="en-US" w:eastAsia="zh-CN"/>
        </w:rPr>
        <w:t>四</w:t>
      </w:r>
      <w:r>
        <w:rPr>
          <w:rFonts w:hint="eastAsia"/>
          <w:color w:val="auto"/>
          <w:sz w:val="28"/>
          <w:szCs w:val="28"/>
        </w:rPr>
        <w:t>部分 投标人须知</w:t>
      </w:r>
      <w:bookmarkEnd w:id="17"/>
      <w:bookmarkEnd w:id="18"/>
      <w:bookmarkEnd w:id="19"/>
    </w:p>
    <w:p>
      <w:pPr>
        <w:pStyle w:val="4"/>
        <w:numPr>
          <w:ilvl w:val="0"/>
          <w:numId w:val="0"/>
        </w:numPr>
        <w:spacing w:before="0" w:after="0" w:line="480" w:lineRule="auto"/>
        <w:ind w:leftChars="0"/>
        <w:jc w:val="center"/>
        <w:rPr>
          <w:rFonts w:ascii="宋体" w:hAnsi="宋体" w:eastAsia="宋体"/>
          <w:color w:val="auto"/>
        </w:rPr>
      </w:pPr>
      <w:bookmarkStart w:id="21" w:name="_Toc19746"/>
      <w:bookmarkStart w:id="22" w:name="_Toc11105"/>
      <w:bookmarkStart w:id="23" w:name="_Toc3095"/>
      <w:r>
        <w:rPr>
          <w:rFonts w:hint="eastAsia" w:ascii="宋体" w:hAnsi="宋体"/>
          <w:color w:val="auto"/>
          <w:lang w:val="en-US" w:eastAsia="zh-CN"/>
        </w:rPr>
        <w:t>第一章</w:t>
      </w:r>
      <w:r>
        <w:rPr>
          <w:rFonts w:hint="eastAsia" w:ascii="宋体" w:hAnsi="宋体" w:eastAsia="宋体"/>
          <w:color w:val="auto"/>
        </w:rPr>
        <w:t>说明</w:t>
      </w:r>
      <w:bookmarkEnd w:id="21"/>
      <w:bookmarkEnd w:id="22"/>
      <w:bookmarkEnd w:id="23"/>
    </w:p>
    <w:p>
      <w:pPr>
        <w:pStyle w:val="5"/>
        <w:widowControl w:val="0"/>
        <w:overflowPunct w:val="0"/>
        <w:spacing w:before="0" w:after="0" w:line="240" w:lineRule="auto"/>
        <w:rPr>
          <w:rFonts w:ascii="宋体" w:hAnsi="宋体" w:eastAsia="宋体"/>
          <w:color w:val="auto"/>
          <w:sz w:val="21"/>
          <w:szCs w:val="21"/>
        </w:rPr>
      </w:pPr>
      <w:bookmarkStart w:id="24" w:name="_Toc22803"/>
      <w:bookmarkStart w:id="25" w:name="_Toc18488"/>
      <w:bookmarkStart w:id="26" w:name="_Toc22847"/>
      <w:r>
        <w:rPr>
          <w:rFonts w:hint="eastAsia" w:ascii="宋体" w:hAnsi="宋体" w:eastAsia="宋体"/>
          <w:color w:val="auto"/>
          <w:sz w:val="21"/>
          <w:szCs w:val="21"/>
        </w:rPr>
        <w:t>1.适用范围</w:t>
      </w:r>
      <w:bookmarkEnd w:id="24"/>
      <w:bookmarkEnd w:id="25"/>
      <w:bookmarkEnd w:id="26"/>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招标范围：见本文件《用户需求书》</w:t>
      </w:r>
    </w:p>
    <w:p>
      <w:pPr>
        <w:rPr>
          <w:color w:val="auto"/>
        </w:rPr>
      </w:pPr>
    </w:p>
    <w:p>
      <w:pPr>
        <w:pStyle w:val="5"/>
        <w:widowControl w:val="0"/>
        <w:overflowPunct w:val="0"/>
        <w:spacing w:before="0" w:after="0" w:line="240" w:lineRule="auto"/>
        <w:rPr>
          <w:rFonts w:ascii="宋体" w:hAnsi="宋体" w:eastAsia="宋体"/>
          <w:color w:val="auto"/>
          <w:sz w:val="21"/>
          <w:szCs w:val="21"/>
        </w:rPr>
      </w:pPr>
      <w:bookmarkStart w:id="27" w:name="_Toc13400"/>
      <w:bookmarkStart w:id="28" w:name="_Toc21002"/>
      <w:bookmarkStart w:id="29" w:name="_Toc16848"/>
      <w:r>
        <w:rPr>
          <w:rFonts w:hint="eastAsia" w:ascii="宋体" w:hAnsi="宋体" w:eastAsia="宋体"/>
          <w:color w:val="auto"/>
          <w:sz w:val="21"/>
          <w:szCs w:val="21"/>
        </w:rPr>
        <w:t>2.</w:t>
      </w:r>
      <w:bookmarkStart w:id="30" w:name="_Toc382049092"/>
      <w:bookmarkStart w:id="31" w:name="_Toc303084246"/>
      <w:bookmarkStart w:id="32" w:name="_Toc298847174"/>
      <w:bookmarkStart w:id="33" w:name="_Toc1530"/>
      <w:r>
        <w:rPr>
          <w:rFonts w:hint="eastAsia" w:ascii="宋体" w:hAnsi="宋体" w:eastAsia="宋体"/>
          <w:color w:val="auto"/>
          <w:sz w:val="21"/>
          <w:szCs w:val="21"/>
        </w:rPr>
        <w:t>定义</w:t>
      </w:r>
      <w:bookmarkEnd w:id="27"/>
      <w:bookmarkEnd w:id="28"/>
      <w:bookmarkEnd w:id="29"/>
      <w:bookmarkEnd w:id="30"/>
      <w:bookmarkEnd w:id="31"/>
      <w:bookmarkEnd w:id="32"/>
      <w:bookmarkEnd w:id="33"/>
    </w:p>
    <w:p>
      <w:pPr>
        <w:pStyle w:val="33"/>
        <w:widowControl w:val="0"/>
        <w:numPr>
          <w:ilvl w:val="0"/>
          <w:numId w:val="4"/>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采购人：</w:t>
      </w:r>
      <w:r>
        <w:rPr>
          <w:rFonts w:ascii="宋体" w:hAnsi="宋体" w:eastAsia="宋体"/>
          <w:color w:val="auto"/>
          <w:sz w:val="21"/>
          <w:szCs w:val="21"/>
        </w:rPr>
        <w:t>是指</w:t>
      </w:r>
      <w:r>
        <w:rPr>
          <w:rFonts w:hint="eastAsia" w:ascii="宋体" w:hAnsi="宋体"/>
          <w:color w:val="auto"/>
          <w:sz w:val="21"/>
          <w:szCs w:val="21"/>
          <w:lang w:val="en-US" w:eastAsia="zh-CN"/>
        </w:rPr>
        <w:t>东莞新锋光伏能源科技有限公司</w:t>
      </w:r>
      <w:r>
        <w:rPr>
          <w:rFonts w:hint="eastAsia" w:ascii="宋体" w:hAnsi="宋体" w:eastAsia="宋体"/>
          <w:color w:val="auto"/>
          <w:sz w:val="21"/>
          <w:szCs w:val="21"/>
        </w:rPr>
        <w:t>。</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投标人：响应招标并且符合招标文件规定资格条件和参加投标竞争的法人、其他组织或者自然人。</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法人：法人是依法在国内进行注册并具有民事权利能力和民事行为能力，依法独立享有民事权利和承担民事义务的组织。</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中标人：指经评标委员会评审推荐、采购人确认的获得本项目中标资格的投标人。</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采购代理机构：</w:t>
      </w:r>
      <w:r>
        <w:rPr>
          <w:rFonts w:hint="eastAsia" w:ascii="宋体" w:hAnsi="宋体" w:eastAsia="宋体"/>
          <w:color w:val="auto"/>
          <w:sz w:val="21"/>
          <w:szCs w:val="21"/>
          <w:lang w:eastAsia="zh-CN"/>
        </w:rPr>
        <w:t>广东政通招标有限公司</w:t>
      </w:r>
      <w:r>
        <w:rPr>
          <w:rFonts w:hint="eastAsia" w:ascii="宋体" w:hAnsi="宋体" w:eastAsia="宋体"/>
          <w:color w:val="auto"/>
          <w:sz w:val="21"/>
          <w:szCs w:val="21"/>
        </w:rPr>
        <w:t>。</w:t>
      </w:r>
    </w:p>
    <w:p>
      <w:pPr>
        <w:widowControl w:val="0"/>
        <w:numPr>
          <w:ilvl w:val="1"/>
          <w:numId w:val="4"/>
        </w:numPr>
        <w:adjustRightInd/>
        <w:snapToGrid/>
        <w:spacing w:line="360" w:lineRule="exact"/>
        <w:jc w:val="both"/>
        <w:rPr>
          <w:rFonts w:ascii="宋体" w:hAnsi="宋体" w:eastAsia="宋体"/>
          <w:color w:val="auto"/>
          <w:sz w:val="21"/>
          <w:szCs w:val="21"/>
        </w:rPr>
      </w:pPr>
      <w:r>
        <w:rPr>
          <w:rFonts w:hint="eastAsia" w:ascii="宋体" w:hAnsi="宋体" w:eastAsia="宋体"/>
          <w:color w:val="auto"/>
          <w:sz w:val="21"/>
          <w:szCs w:val="21"/>
        </w:rPr>
        <w:t>评标委员会：</w:t>
      </w:r>
      <w:r>
        <w:rPr>
          <w:rFonts w:hint="eastAsia" w:ascii="宋体" w:hAnsi="宋体"/>
          <w:color w:val="auto"/>
          <w:szCs w:val="21"/>
        </w:rPr>
        <w:t>评标委员会是依据相关规定组建的专门负责本次招标其评标工作的临时性机构。</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合同：指由本次招标所产生的合同或合约文件。</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公章：</w:t>
      </w:r>
      <w:r>
        <w:rPr>
          <w:rFonts w:ascii="宋体" w:hAnsi="宋体" w:eastAsia="宋体"/>
          <w:color w:val="auto"/>
          <w:sz w:val="21"/>
          <w:szCs w:val="21"/>
        </w:rPr>
        <w:t>公章是</w:t>
      </w:r>
      <w:r>
        <w:rPr>
          <w:rFonts w:ascii="宋体" w:hAnsi="宋体" w:eastAsia="宋体"/>
          <w:iCs/>
          <w:color w:val="auto"/>
          <w:sz w:val="21"/>
          <w:szCs w:val="21"/>
        </w:rPr>
        <w:t>指</w:t>
      </w:r>
      <w:r>
        <w:rPr>
          <w:rFonts w:hint="eastAsia" w:ascii="宋体" w:hAnsi="宋体" w:eastAsia="宋体"/>
          <w:iCs/>
          <w:color w:val="auto"/>
          <w:sz w:val="21"/>
          <w:szCs w:val="21"/>
        </w:rPr>
        <w:t>经过正规的法定程序并备案的法人公章</w:t>
      </w:r>
      <w:r>
        <w:rPr>
          <w:rFonts w:hint="eastAsia" w:ascii="宋体" w:hAnsi="宋体" w:eastAsia="宋体"/>
          <w:iCs/>
          <w:color w:val="auto"/>
          <w:sz w:val="21"/>
          <w:szCs w:val="21"/>
          <w:lang w:val="en-US" w:eastAsia="zh-CN"/>
        </w:rPr>
        <w:t>或</w:t>
      </w:r>
      <w:r>
        <w:rPr>
          <w:rFonts w:hint="eastAsia" w:ascii="宋体" w:hAnsi="宋体" w:eastAsia="宋体"/>
          <w:iCs/>
          <w:color w:val="auto"/>
          <w:sz w:val="21"/>
          <w:szCs w:val="21"/>
        </w:rPr>
        <w:t>投标专用章。（投标人如在投标文件中使用“投标专用章”，应提供法定代表人签字或加盖公章说明该“投标专用章”与法人公章具备同等效力的证明文件，且投标当天应携带相关原件到现场，以供核查。因投标文件未提供相关手续复印件和无法核查投标专用章的真实性而导致的后果由投标人自行承担。</w:t>
      </w:r>
      <w:r>
        <w:rPr>
          <w:rFonts w:hint="eastAsia" w:ascii="宋体" w:hAnsi="宋体" w:eastAsia="宋体"/>
          <w:color w:val="auto"/>
          <w:sz w:val="21"/>
          <w:szCs w:val="21"/>
        </w:rPr>
        <w:t>）</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时间</w:t>
      </w:r>
      <w:r>
        <w:rPr>
          <w:rFonts w:hint="eastAsia" w:ascii="宋体" w:hAnsi="宋体" w:eastAsia="宋体"/>
          <w:iCs/>
          <w:color w:val="auto"/>
          <w:sz w:val="21"/>
          <w:szCs w:val="21"/>
        </w:rPr>
        <w:t>：本文件规定按日计算期间的，开始当天不计入，从次日开始计算。期限的最后一日是国家法定节假日的，顺延到节假日后的次日为期限的最后一日。</w:t>
      </w:r>
    </w:p>
    <w:p>
      <w:pPr>
        <w:rPr>
          <w:color w:val="auto"/>
        </w:rPr>
      </w:pPr>
    </w:p>
    <w:p>
      <w:pPr>
        <w:pStyle w:val="5"/>
        <w:widowControl w:val="0"/>
        <w:overflowPunct w:val="0"/>
        <w:spacing w:before="0" w:after="0" w:line="240" w:lineRule="auto"/>
        <w:rPr>
          <w:rFonts w:ascii="宋体" w:hAnsi="宋体" w:eastAsia="宋体"/>
          <w:color w:val="auto"/>
          <w:sz w:val="21"/>
          <w:szCs w:val="21"/>
        </w:rPr>
      </w:pPr>
      <w:bookmarkStart w:id="34" w:name="_Toc9710"/>
      <w:bookmarkStart w:id="35" w:name="_Toc2996"/>
      <w:bookmarkStart w:id="36" w:name="_Toc3780"/>
      <w:r>
        <w:rPr>
          <w:rFonts w:hint="eastAsia" w:ascii="宋体" w:hAnsi="宋体" w:eastAsia="宋体"/>
          <w:color w:val="auto"/>
          <w:sz w:val="21"/>
          <w:szCs w:val="21"/>
        </w:rPr>
        <w:t>3.货物和服务</w:t>
      </w:r>
      <w:bookmarkEnd w:id="34"/>
      <w:bookmarkEnd w:id="35"/>
      <w:bookmarkEnd w:id="36"/>
    </w:p>
    <w:p>
      <w:pPr>
        <w:pStyle w:val="33"/>
        <w:widowControl w:val="0"/>
        <w:numPr>
          <w:ilvl w:val="0"/>
          <w:numId w:val="4"/>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货物</w:t>
      </w:r>
      <w:r>
        <w:rPr>
          <w:rFonts w:ascii="宋体" w:hAnsi="宋体" w:eastAsia="宋体"/>
          <w:color w:val="auto"/>
          <w:sz w:val="21"/>
          <w:szCs w:val="21"/>
        </w:rPr>
        <w:t>是指各种形态和种类的物品，包括原材料、燃料、设备、产品等</w:t>
      </w:r>
      <w:r>
        <w:rPr>
          <w:rFonts w:hint="eastAsia" w:ascii="宋体" w:hAnsi="宋体" w:eastAsia="宋体"/>
          <w:color w:val="auto"/>
          <w:sz w:val="21"/>
          <w:szCs w:val="21"/>
        </w:rPr>
        <w:t>。</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服务是指</w:t>
      </w:r>
      <w:r>
        <w:rPr>
          <w:rFonts w:ascii="宋体" w:hAnsi="宋体" w:eastAsia="宋体"/>
          <w:color w:val="auto"/>
          <w:sz w:val="21"/>
          <w:szCs w:val="21"/>
        </w:rPr>
        <w:t>除货物和工程以外的其他采购对象</w:t>
      </w:r>
      <w:r>
        <w:rPr>
          <w:rFonts w:hint="eastAsia" w:ascii="宋体" w:hAnsi="宋体" w:eastAsia="宋体"/>
          <w:color w:val="auto"/>
          <w:sz w:val="21"/>
          <w:szCs w:val="21"/>
        </w:rPr>
        <w:t>。</w:t>
      </w:r>
    </w:p>
    <w:p>
      <w:pPr>
        <w:rPr>
          <w:color w:val="auto"/>
        </w:rPr>
      </w:pPr>
    </w:p>
    <w:p>
      <w:pPr>
        <w:pStyle w:val="5"/>
        <w:widowControl w:val="0"/>
        <w:overflowPunct w:val="0"/>
        <w:spacing w:before="0" w:after="0" w:line="240" w:lineRule="auto"/>
        <w:rPr>
          <w:rFonts w:ascii="宋体" w:hAnsi="宋体" w:eastAsia="宋体"/>
          <w:color w:val="auto"/>
          <w:sz w:val="21"/>
          <w:szCs w:val="21"/>
        </w:rPr>
      </w:pPr>
      <w:bookmarkStart w:id="37" w:name="_Toc12536"/>
      <w:bookmarkStart w:id="38" w:name="_Toc13909"/>
      <w:bookmarkStart w:id="39" w:name="_Toc15945"/>
      <w:r>
        <w:rPr>
          <w:rFonts w:hint="eastAsia" w:ascii="宋体" w:hAnsi="宋体" w:eastAsia="宋体"/>
          <w:color w:val="auto"/>
          <w:sz w:val="21"/>
          <w:szCs w:val="21"/>
        </w:rPr>
        <w:t>4.投标费用</w:t>
      </w:r>
      <w:bookmarkEnd w:id="37"/>
      <w:bookmarkEnd w:id="38"/>
      <w:bookmarkEnd w:id="39"/>
    </w:p>
    <w:p>
      <w:pPr>
        <w:pStyle w:val="33"/>
        <w:widowControl w:val="0"/>
        <w:numPr>
          <w:ilvl w:val="0"/>
          <w:numId w:val="4"/>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投标人应承担所有与编写投标文件和参加投标有关的自身的所有费用，不论投标的结果如何，采购代理机构和采购人在任何情况下均无义务和责任承担这些费用。</w:t>
      </w:r>
    </w:p>
    <w:p>
      <w:pPr>
        <w:widowControl w:val="0"/>
        <w:adjustRightInd/>
        <w:snapToGrid/>
        <w:spacing w:after="0" w:line="360" w:lineRule="exact"/>
        <w:jc w:val="both"/>
        <w:rPr>
          <w:rFonts w:ascii="宋体" w:hAnsi="宋体" w:eastAsia="宋体"/>
          <w:color w:val="auto"/>
          <w:sz w:val="21"/>
          <w:szCs w:val="21"/>
        </w:rPr>
      </w:pPr>
    </w:p>
    <w:p>
      <w:pPr>
        <w:pStyle w:val="5"/>
        <w:widowControl w:val="0"/>
        <w:overflowPunct w:val="0"/>
        <w:spacing w:before="0" w:after="0" w:line="240" w:lineRule="auto"/>
        <w:rPr>
          <w:rFonts w:ascii="宋体" w:hAnsi="宋体" w:eastAsia="宋体"/>
          <w:color w:val="auto"/>
          <w:sz w:val="21"/>
          <w:szCs w:val="21"/>
        </w:rPr>
      </w:pPr>
      <w:bookmarkStart w:id="40" w:name="_Toc19094"/>
      <w:bookmarkStart w:id="41" w:name="_Toc19532"/>
      <w:bookmarkStart w:id="42" w:name="_Toc25040"/>
      <w:r>
        <w:rPr>
          <w:rFonts w:hint="eastAsia" w:ascii="宋体" w:hAnsi="宋体" w:eastAsia="宋体"/>
          <w:color w:val="auto"/>
          <w:sz w:val="21"/>
          <w:szCs w:val="21"/>
        </w:rPr>
        <w:t>5.知识产权</w:t>
      </w:r>
      <w:bookmarkEnd w:id="40"/>
      <w:bookmarkEnd w:id="41"/>
      <w:bookmarkEnd w:id="42"/>
    </w:p>
    <w:p>
      <w:pPr>
        <w:pStyle w:val="33"/>
        <w:widowControl w:val="0"/>
        <w:numPr>
          <w:ilvl w:val="0"/>
          <w:numId w:val="4"/>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应保证在本项目使用的任何产品和服务（包括部分使用）时，不会产生因第三方提出侵犯其专利权、商标权或其它知识产权而引起的法律和经济纠纷，如因专利权、商标权或其它知识产权而引起法律和经济纠纷，由投标人承担所有相关责任。</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采购人享有本项目实施过程中产生的知识成果及知识产权。</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投标人如欲在项目实施过程中采用自有知识成果，需在投标文件中声明，并提供相关知识产权证明文件。使用该知识成果后，投标人需提供开发接口和开发手册等技术文档。</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采购货物为计算机办公设备时，投标人提供的产品必须是预装正版操作系统软件的计算机产品</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采购人有权拒绝接收使用非正版操作系统软件的计算机产品，一经发现，投标文件作无效处理，并上报相关监管部门</w:t>
      </w:r>
      <w:r>
        <w:rPr>
          <w:rFonts w:hint="eastAsia" w:ascii="宋体" w:hAnsi="宋体" w:eastAsia="宋体"/>
          <w:color w:val="auto"/>
          <w:sz w:val="21"/>
          <w:szCs w:val="21"/>
        </w:rPr>
        <w:t>。</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投标人提供的服务、货物经认定存在侵权行为的，其投标无效，并上报相关监管部门。</w:t>
      </w:r>
    </w:p>
    <w:p>
      <w:pPr>
        <w:widowControl w:val="0"/>
        <w:adjustRightInd/>
        <w:snapToGrid/>
        <w:spacing w:after="0" w:line="360" w:lineRule="exact"/>
        <w:ind w:left="567"/>
        <w:jc w:val="both"/>
        <w:rPr>
          <w:rFonts w:ascii="宋体" w:hAnsi="宋体" w:eastAsia="宋体"/>
          <w:color w:val="auto"/>
          <w:sz w:val="21"/>
          <w:szCs w:val="21"/>
        </w:rPr>
      </w:pPr>
    </w:p>
    <w:p>
      <w:pPr>
        <w:pStyle w:val="5"/>
        <w:widowControl w:val="0"/>
        <w:overflowPunct w:val="0"/>
        <w:spacing w:before="0" w:after="0" w:line="240" w:lineRule="auto"/>
        <w:rPr>
          <w:rFonts w:ascii="宋体" w:hAnsi="宋体" w:eastAsia="宋体"/>
          <w:color w:val="auto"/>
          <w:sz w:val="21"/>
          <w:szCs w:val="21"/>
        </w:rPr>
      </w:pPr>
      <w:bookmarkStart w:id="43" w:name="_Toc8432"/>
      <w:bookmarkStart w:id="44" w:name="_Toc31885"/>
      <w:bookmarkStart w:id="45" w:name="_Toc21930"/>
      <w:r>
        <w:rPr>
          <w:rFonts w:hint="eastAsia" w:ascii="宋体" w:hAnsi="宋体" w:eastAsia="宋体"/>
          <w:color w:val="auto"/>
          <w:sz w:val="21"/>
          <w:szCs w:val="21"/>
        </w:rPr>
        <w:t>6.关于联合体投标</w:t>
      </w:r>
      <w:bookmarkEnd w:id="43"/>
      <w:bookmarkEnd w:id="44"/>
      <w:bookmarkEnd w:id="45"/>
    </w:p>
    <w:p>
      <w:pPr>
        <w:pStyle w:val="33"/>
        <w:widowControl w:val="0"/>
        <w:numPr>
          <w:ilvl w:val="0"/>
          <w:numId w:val="4"/>
        </w:numPr>
        <w:adjustRightInd/>
        <w:snapToGrid/>
        <w:spacing w:after="0" w:line="360" w:lineRule="exact"/>
        <w:ind w:firstLineChars="0"/>
        <w:jc w:val="both"/>
        <w:rPr>
          <w:rFonts w:ascii="宋体" w:hAnsi="宋体" w:eastAsia="宋体"/>
          <w:vanish/>
          <w:color w:val="auto"/>
          <w:sz w:val="21"/>
          <w:szCs w:val="21"/>
        </w:rPr>
      </w:pP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对接受联合体投标的项目：两个以上的自然人、法人或者其他组织可以组成一个联合体，以一个投标人的身份共同参加采购。</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以联合体形式参与项目的供应商在领购招标文件时，应提供所有联合体组成成员的营业执照复印件，并加盖各联合体组成成员的公章。</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联合体各方均</w:t>
      </w:r>
      <w:r>
        <w:rPr>
          <w:rFonts w:hint="eastAsia" w:ascii="宋体" w:hAnsi="宋体"/>
          <w:color w:val="auto"/>
          <w:szCs w:val="21"/>
        </w:rPr>
        <w:t>应具有独立承担民事责任能力的法人或其他组织</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两个以上的自然人、法人或者其他组织组成一个联合体，以一个供应商的身份共同参加采购活动的，应当对所有联合体成员进行信用记录查询，联合体成员存在不良信用记录的，视同联合体存在不良信用记录。</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采购人根据采购项目的特殊要求规定投标人特定条件的，联合体各方中至少应当有一方符合采购人规定的特定条件。</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联合体各方之间应当签订共同投标协议并</w:t>
      </w:r>
      <w:r>
        <w:rPr>
          <w:rFonts w:ascii="宋体" w:hAnsi="宋体" w:eastAsia="宋体"/>
          <w:color w:val="auto"/>
          <w:sz w:val="21"/>
          <w:szCs w:val="21"/>
        </w:rPr>
        <w:t>在投标文件内提交</w:t>
      </w:r>
      <w:r>
        <w:rPr>
          <w:rFonts w:hint="eastAsia" w:ascii="宋体" w:hAnsi="宋体" w:eastAsia="宋体"/>
          <w:color w:val="auto"/>
          <w:sz w:val="21"/>
          <w:szCs w:val="21"/>
        </w:rPr>
        <w:t>，明确约定联合体各方承担的工作和相应的责任。联合体各方签订共同投标协议后，不得再以自己名义单独在同一项目中投标，也不得组成新的联合体参加同一项目投标。</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供应商为联合体的，可以由联合体中的任意一方交纳保证金，其交纳的保证金对联合体各方均具有约束力。</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联合体中有同类资质的投标人按照联合体分工承担相同工作的，应当按照资质等级较低的供应商确定资质等级。</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除联合体协议明确授权盖章单位外，联合体投标时投标文件中所有要求盖章的地方均须加盖联合体所有组成成员的公章，否则该处盖章无效。</w:t>
      </w:r>
    </w:p>
    <w:p>
      <w:pPr>
        <w:widowControl w:val="0"/>
        <w:numPr>
          <w:ilvl w:val="1"/>
          <w:numId w:val="4"/>
        </w:numPr>
        <w:adjustRightInd/>
        <w:snapToGrid/>
        <w:spacing w:after="0"/>
        <w:jc w:val="both"/>
        <w:rPr>
          <w:rFonts w:ascii="宋体" w:hAnsi="宋体" w:eastAsia="宋体"/>
          <w:color w:val="auto"/>
          <w:sz w:val="21"/>
          <w:szCs w:val="21"/>
        </w:rPr>
      </w:pPr>
      <w:r>
        <w:rPr>
          <w:rFonts w:hint="eastAsia" w:ascii="宋体" w:hAnsi="宋体" w:eastAsia="宋体"/>
          <w:color w:val="auto"/>
          <w:sz w:val="21"/>
          <w:szCs w:val="21"/>
        </w:rPr>
        <w:t>联合体进行评分时，业绩、奖项等的认定和评分根据共同投标协议约定的各方承担的工作和相应责任，确定一方打分，不累加打分；评审标准不明确或难以明确以哪一方计算评分情况时，按主体方</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牵头单位）</w:t>
      </w:r>
      <w:r>
        <w:rPr>
          <w:rFonts w:hint="eastAsia" w:ascii="宋体" w:hAnsi="宋体" w:eastAsia="宋体"/>
          <w:color w:val="auto"/>
          <w:sz w:val="21"/>
          <w:szCs w:val="21"/>
        </w:rPr>
        <w:t>情况评分。</w:t>
      </w:r>
    </w:p>
    <w:p>
      <w:pPr>
        <w:widowControl w:val="0"/>
        <w:adjustRightInd/>
        <w:snapToGrid/>
        <w:spacing w:after="0" w:line="360" w:lineRule="exact"/>
        <w:ind w:left="567"/>
        <w:jc w:val="both"/>
        <w:rPr>
          <w:rFonts w:ascii="宋体" w:hAnsi="宋体" w:eastAsia="宋体"/>
          <w:color w:val="auto"/>
          <w:sz w:val="21"/>
          <w:szCs w:val="21"/>
        </w:rPr>
      </w:pPr>
    </w:p>
    <w:p>
      <w:pPr>
        <w:pStyle w:val="5"/>
        <w:widowControl w:val="0"/>
        <w:overflowPunct w:val="0"/>
        <w:spacing w:before="0" w:after="0" w:line="240" w:lineRule="auto"/>
        <w:rPr>
          <w:rFonts w:ascii="宋体" w:hAnsi="宋体" w:eastAsia="宋体"/>
          <w:color w:val="auto"/>
          <w:sz w:val="21"/>
          <w:szCs w:val="21"/>
        </w:rPr>
      </w:pPr>
      <w:bookmarkStart w:id="46" w:name="_Toc13811"/>
      <w:bookmarkStart w:id="47" w:name="_Toc32331"/>
      <w:bookmarkStart w:id="48" w:name="_Toc16571"/>
      <w:bookmarkStart w:id="49" w:name="_Toc17879"/>
      <w:r>
        <w:rPr>
          <w:rFonts w:hint="eastAsia" w:ascii="宋体" w:hAnsi="宋体" w:eastAsia="宋体"/>
          <w:color w:val="auto"/>
          <w:sz w:val="21"/>
          <w:szCs w:val="21"/>
        </w:rPr>
        <w:t>7.关于分支机构投标</w:t>
      </w:r>
      <w:bookmarkEnd w:id="46"/>
      <w:bookmarkEnd w:id="47"/>
      <w:bookmarkEnd w:id="48"/>
    </w:p>
    <w:p>
      <w:pPr>
        <w:pStyle w:val="33"/>
        <w:widowControl w:val="0"/>
        <w:numPr>
          <w:ilvl w:val="0"/>
          <w:numId w:val="4"/>
        </w:numPr>
        <w:adjustRightInd/>
        <w:snapToGrid/>
        <w:spacing w:after="0" w:line="360" w:lineRule="exact"/>
        <w:ind w:firstLineChars="0"/>
        <w:jc w:val="both"/>
        <w:rPr>
          <w:rFonts w:ascii="宋体" w:hAnsi="宋体" w:eastAsia="宋体"/>
          <w:vanish/>
          <w:color w:val="auto"/>
          <w:sz w:val="21"/>
          <w:szCs w:val="21"/>
        </w:rPr>
      </w:pPr>
      <w:bookmarkStart w:id="50" w:name="EB389f116341dd4693875bc7987e7327f3"/>
    </w:p>
    <w:p>
      <w:pPr>
        <w:widowControl w:val="0"/>
        <w:numPr>
          <w:ilvl w:val="1"/>
          <w:numId w:val="4"/>
        </w:numPr>
        <w:adjustRightInd/>
        <w:snapToGrid/>
        <w:spacing w:after="0"/>
        <w:jc w:val="both"/>
        <w:rPr>
          <w:rFonts w:ascii="宋体" w:hAnsi="宋体" w:eastAsia="宋体"/>
          <w:color w:val="auto"/>
          <w:sz w:val="21"/>
          <w:szCs w:val="21"/>
        </w:rPr>
      </w:pPr>
      <w:r>
        <w:rPr>
          <w:rFonts w:ascii="宋体" w:hAnsi="宋体" w:eastAsia="宋体"/>
          <w:color w:val="auto"/>
          <w:sz w:val="21"/>
          <w:szCs w:val="21"/>
        </w:rPr>
        <w:t>对可接受</w:t>
      </w:r>
      <w:r>
        <w:rPr>
          <w:rFonts w:hint="eastAsia" w:ascii="宋体" w:hAnsi="宋体" w:eastAsia="宋体"/>
          <w:color w:val="auto"/>
          <w:sz w:val="21"/>
          <w:szCs w:val="21"/>
        </w:rPr>
        <w:t>分支机构</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分公司）</w:t>
      </w:r>
      <w:r>
        <w:rPr>
          <w:rFonts w:ascii="宋体" w:hAnsi="宋体" w:eastAsia="宋体"/>
          <w:color w:val="auto"/>
          <w:sz w:val="21"/>
          <w:szCs w:val="21"/>
        </w:rPr>
        <w:t>投标的项目，</w:t>
      </w:r>
      <w:r>
        <w:rPr>
          <w:rFonts w:hint="eastAsia" w:ascii="宋体" w:hAnsi="宋体" w:eastAsia="宋体"/>
          <w:color w:val="auto"/>
          <w:sz w:val="21"/>
          <w:szCs w:val="21"/>
        </w:rPr>
        <w:t>分支机构</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分公司）</w:t>
      </w:r>
      <w:r>
        <w:rPr>
          <w:rFonts w:ascii="宋体" w:hAnsi="宋体" w:eastAsia="宋体"/>
          <w:color w:val="auto"/>
          <w:sz w:val="21"/>
          <w:szCs w:val="21"/>
        </w:rPr>
        <w:t>投标的，需提供具有法人资格的总公司的营业执照原件扫描件及授权书，授权书须加盖总公司公章。总公司可就本项目或此类项目在一定范围或时间内出具授权书。已由总公司授权的，总公司取得的相关资质证书对分公司有效，法律法规或者行业另有规定的除外。</w:t>
      </w:r>
      <w:bookmarkEnd w:id="50"/>
    </w:p>
    <w:p>
      <w:pPr>
        <w:rPr>
          <w:color w:val="auto"/>
        </w:rPr>
      </w:pPr>
    </w:p>
    <w:p>
      <w:pPr>
        <w:pStyle w:val="4"/>
        <w:numPr>
          <w:ilvl w:val="0"/>
          <w:numId w:val="0"/>
        </w:numPr>
        <w:spacing w:before="0" w:after="0" w:line="480" w:lineRule="auto"/>
        <w:ind w:leftChars="0"/>
        <w:jc w:val="center"/>
        <w:rPr>
          <w:rFonts w:ascii="宋体" w:hAnsi="宋体" w:eastAsia="宋体"/>
          <w:color w:val="auto"/>
        </w:rPr>
      </w:pPr>
      <w:bookmarkStart w:id="51" w:name="_Toc18115"/>
      <w:bookmarkStart w:id="52" w:name="_Toc27045"/>
      <w:r>
        <w:rPr>
          <w:rFonts w:hint="eastAsia" w:ascii="宋体" w:hAnsi="宋体"/>
          <w:color w:val="auto"/>
          <w:lang w:val="en-US" w:eastAsia="zh-CN"/>
        </w:rPr>
        <w:t>第二章</w:t>
      </w:r>
      <w:r>
        <w:rPr>
          <w:rFonts w:hint="eastAsia" w:ascii="宋体" w:hAnsi="宋体" w:eastAsia="宋体"/>
          <w:color w:val="auto"/>
        </w:rPr>
        <w:t>招标文件</w:t>
      </w:r>
      <w:bookmarkEnd w:id="49"/>
      <w:bookmarkEnd w:id="51"/>
      <w:bookmarkEnd w:id="52"/>
    </w:p>
    <w:p>
      <w:pPr>
        <w:pStyle w:val="5"/>
        <w:widowControl w:val="0"/>
        <w:overflowPunct w:val="0"/>
        <w:spacing w:before="0" w:after="0" w:line="240" w:lineRule="auto"/>
        <w:rPr>
          <w:rFonts w:ascii="宋体" w:hAnsi="宋体" w:eastAsia="宋体"/>
          <w:color w:val="auto"/>
          <w:sz w:val="21"/>
          <w:szCs w:val="21"/>
        </w:rPr>
      </w:pPr>
      <w:bookmarkStart w:id="53" w:name="_Toc13494"/>
      <w:bookmarkStart w:id="54" w:name="_Toc21771"/>
      <w:bookmarkStart w:id="55" w:name="_Toc1423"/>
      <w:r>
        <w:rPr>
          <w:rFonts w:hint="eastAsia" w:ascii="宋体" w:hAnsi="宋体" w:eastAsia="宋体"/>
          <w:color w:val="auto"/>
          <w:sz w:val="21"/>
          <w:szCs w:val="21"/>
        </w:rPr>
        <w:t>8.招标文件的组成</w:t>
      </w:r>
      <w:bookmarkEnd w:id="53"/>
      <w:bookmarkEnd w:id="54"/>
      <w:bookmarkEnd w:id="55"/>
    </w:p>
    <w:p>
      <w:pPr>
        <w:pStyle w:val="33"/>
        <w:widowControl w:val="0"/>
        <w:numPr>
          <w:ilvl w:val="0"/>
          <w:numId w:val="4"/>
        </w:numPr>
        <w:adjustRightInd/>
        <w:snapToGrid/>
        <w:spacing w:after="0" w:line="360" w:lineRule="exact"/>
        <w:ind w:firstLineChars="0"/>
        <w:jc w:val="both"/>
        <w:rPr>
          <w:rFonts w:ascii="宋体" w:hAnsi="宋体" w:eastAsia="宋体"/>
          <w:vanish/>
          <w:color w:val="auto"/>
          <w:sz w:val="21"/>
          <w:szCs w:val="21"/>
        </w:rPr>
      </w:pP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（1）投标邀请书；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（2）投标资料表；</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（3）投标人须知；</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（4）用户需求书；</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（5）合同文本参考格式；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（6）投标文件参考格式；</w:t>
      </w:r>
    </w:p>
    <w:p>
      <w:pPr>
        <w:keepNext w:val="0"/>
        <w:keepLines w:val="0"/>
        <w:pageBreakBefore w:val="0"/>
        <w:widowControl w:val="0"/>
        <w:kinsoku/>
        <w:wordWrap/>
        <w:overflowPunct/>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（7）在招标过程中由采购代理机构发出的澄清更正文件等。</w:t>
      </w:r>
    </w:p>
    <w:p>
      <w:pPr>
        <w:spacing w:after="0"/>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56" w:name="_Toc14217"/>
      <w:bookmarkStart w:id="57" w:name="_Toc17274"/>
      <w:bookmarkStart w:id="58" w:name="_Toc7997"/>
      <w:r>
        <w:rPr>
          <w:rFonts w:hint="eastAsia" w:ascii="宋体" w:hAnsi="宋体" w:eastAsia="宋体"/>
          <w:color w:val="auto"/>
          <w:sz w:val="21"/>
          <w:szCs w:val="21"/>
        </w:rPr>
        <w:t>9.招标文件的澄清或修改</w:t>
      </w:r>
      <w:bookmarkEnd w:id="56"/>
      <w:bookmarkEnd w:id="57"/>
      <w:bookmarkEnd w:id="58"/>
    </w:p>
    <w:p>
      <w:pPr>
        <w:pStyle w:val="33"/>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采购人或者采购代理机构可以对已发出的招标文件、资格预审文件、投标邀请书进行必要的澄清或者修改。澄清或者修改的内容为招标文件、资格预审文件、投标邀请书的组成部分，</w:t>
      </w:r>
      <w:r>
        <w:rPr>
          <w:rFonts w:ascii="宋体" w:hAnsi="宋体" w:eastAsia="宋体"/>
          <w:color w:val="auto"/>
          <w:sz w:val="21"/>
          <w:szCs w:val="21"/>
        </w:rPr>
        <w:t>具有约束作用</w:t>
      </w:r>
      <w:r>
        <w:rPr>
          <w:rFonts w:hint="eastAsia" w:ascii="宋体" w:hAnsi="宋体" w:eastAsia="宋体"/>
          <w:color w:val="auto"/>
          <w:sz w:val="21"/>
          <w:szCs w:val="21"/>
        </w:rPr>
        <w:t>。</w:t>
      </w:r>
      <w:r>
        <w:rPr>
          <w:rFonts w:ascii="宋体" w:hAnsi="宋体" w:eastAsia="宋体"/>
          <w:color w:val="auto"/>
          <w:sz w:val="21"/>
          <w:szCs w:val="21"/>
        </w:rPr>
        <w:t>当招标文件、招标文件的澄清</w:t>
      </w:r>
      <w:r>
        <w:rPr>
          <w:rFonts w:hint="eastAsia" w:ascii="宋体" w:hAnsi="宋体" w:eastAsia="宋体"/>
          <w:color w:val="auto"/>
          <w:sz w:val="21"/>
          <w:szCs w:val="21"/>
        </w:rPr>
        <w:t>或</w:t>
      </w:r>
      <w:r>
        <w:rPr>
          <w:rFonts w:ascii="宋体" w:hAnsi="宋体" w:eastAsia="宋体"/>
          <w:color w:val="auto"/>
          <w:sz w:val="21"/>
          <w:szCs w:val="21"/>
        </w:rPr>
        <w:t>修改等在同一内容的表述上不一致时，以最后发出的书面文件</w:t>
      </w:r>
      <w:r>
        <w:rPr>
          <w:rFonts w:hint="eastAsia" w:ascii="宋体" w:hAnsi="宋体" w:eastAsia="宋体"/>
          <w:color w:val="auto"/>
          <w:sz w:val="21"/>
          <w:szCs w:val="21"/>
        </w:rPr>
        <w:t>及公告</w:t>
      </w:r>
      <w:r>
        <w:rPr>
          <w:rFonts w:ascii="宋体" w:hAnsi="宋体" w:eastAsia="宋体"/>
          <w:color w:val="auto"/>
          <w:sz w:val="21"/>
          <w:szCs w:val="21"/>
        </w:rPr>
        <w:t>为准。</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招标期间，投标人有义务上网查看，公告一经上网发布，即视为送达。因投标人未及时上网查看而造成的所有后果，由投标人自行承担。</w:t>
      </w:r>
    </w:p>
    <w:p>
      <w:pPr>
        <w:widowControl w:val="0"/>
        <w:adjustRightInd/>
        <w:snapToGrid/>
        <w:spacing w:after="0" w:line="360" w:lineRule="exact"/>
        <w:ind w:left="567"/>
        <w:jc w:val="both"/>
        <w:rPr>
          <w:rFonts w:ascii="宋体" w:hAnsi="宋体" w:eastAsia="宋体"/>
          <w:color w:val="auto"/>
          <w:sz w:val="21"/>
          <w:szCs w:val="21"/>
        </w:rPr>
      </w:pPr>
    </w:p>
    <w:p>
      <w:pPr>
        <w:pStyle w:val="4"/>
        <w:numPr>
          <w:ilvl w:val="0"/>
          <w:numId w:val="0"/>
        </w:numPr>
        <w:spacing w:before="0" w:after="0" w:line="480" w:lineRule="auto"/>
        <w:ind w:leftChars="0"/>
        <w:jc w:val="center"/>
        <w:rPr>
          <w:rFonts w:ascii="宋体" w:hAnsi="宋体" w:eastAsia="宋体"/>
          <w:color w:val="auto"/>
        </w:rPr>
      </w:pPr>
      <w:bookmarkStart w:id="59" w:name="_Toc23726"/>
      <w:bookmarkStart w:id="60" w:name="_Toc4773"/>
      <w:bookmarkStart w:id="61" w:name="_Toc16712"/>
      <w:r>
        <w:rPr>
          <w:rFonts w:hint="eastAsia" w:ascii="宋体" w:hAnsi="宋体"/>
          <w:color w:val="auto"/>
          <w:lang w:val="en-US" w:eastAsia="zh-CN"/>
        </w:rPr>
        <w:t>第三章</w:t>
      </w:r>
      <w:r>
        <w:rPr>
          <w:rFonts w:hint="eastAsia" w:ascii="宋体" w:hAnsi="宋体" w:eastAsia="宋体"/>
          <w:color w:val="auto"/>
        </w:rPr>
        <w:t>投标文件的编制</w:t>
      </w:r>
      <w:bookmarkEnd w:id="59"/>
      <w:bookmarkEnd w:id="60"/>
      <w:bookmarkEnd w:id="61"/>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62" w:name="_Toc28092"/>
      <w:bookmarkStart w:id="63" w:name="_Toc7434"/>
      <w:bookmarkStart w:id="64" w:name="_Toc20623"/>
      <w:r>
        <w:rPr>
          <w:rFonts w:hint="eastAsia" w:ascii="宋体" w:hAnsi="宋体" w:eastAsia="宋体"/>
          <w:color w:val="auto"/>
          <w:sz w:val="21"/>
          <w:szCs w:val="21"/>
        </w:rPr>
        <w:t>10.投标文件的语言及度量衡单位</w:t>
      </w:r>
      <w:bookmarkEnd w:id="62"/>
      <w:bookmarkEnd w:id="63"/>
      <w:bookmarkEnd w:id="64"/>
    </w:p>
    <w:p>
      <w:pPr>
        <w:pStyle w:val="33"/>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提交的投标文件以及投标人与采购代理机构就有关投标的所有来往函件均应使用简体中文书写。投标人提交的支持资料和已印刷的文献可以用另一种语言，但相应内容应附有中文翻译本（中文译本应由翻译机构盖章或者翻译人员签名确认，否则按无效处理），在解释投标文件的修改内容时以中文翻译本为准。</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除非招标文件在技术规格中另有规定，投标人在投标文件中及其与采购代理机构和采购人所有往来文件中的所有</w:t>
      </w:r>
      <w:r>
        <w:rPr>
          <w:rFonts w:ascii="宋体" w:hAnsi="宋体" w:eastAsia="宋体"/>
          <w:color w:val="auto"/>
          <w:sz w:val="21"/>
          <w:szCs w:val="21"/>
        </w:rPr>
        <w:t>计量单位</w:t>
      </w:r>
      <w:r>
        <w:rPr>
          <w:rFonts w:hint="eastAsia" w:ascii="宋体" w:hAnsi="宋体" w:eastAsia="宋体"/>
          <w:color w:val="auto"/>
          <w:sz w:val="21"/>
          <w:szCs w:val="21"/>
        </w:rPr>
        <w:t>均应采用中华人民共和国法定计量单位</w:t>
      </w:r>
      <w:r>
        <w:rPr>
          <w:rFonts w:ascii="宋体" w:hAnsi="宋体" w:eastAsia="宋体"/>
          <w:color w:val="auto"/>
          <w:sz w:val="21"/>
          <w:szCs w:val="21"/>
        </w:rPr>
        <w:t>。</w:t>
      </w:r>
    </w:p>
    <w:p>
      <w:pPr>
        <w:pageBreakBefore w:val="0"/>
        <w:widowControl w:val="0"/>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65" w:name="_Toc12145"/>
      <w:bookmarkStart w:id="66" w:name="_Toc307934854"/>
      <w:bookmarkStart w:id="67" w:name="_Toc28866"/>
      <w:bookmarkStart w:id="68" w:name="_Toc382049103"/>
      <w:bookmarkStart w:id="69" w:name="_Toc7728"/>
      <w:bookmarkStart w:id="70" w:name="_Toc303084256"/>
      <w:bookmarkStart w:id="71" w:name="_Toc18999"/>
      <w:r>
        <w:rPr>
          <w:rFonts w:hint="eastAsia" w:ascii="宋体" w:hAnsi="宋体" w:eastAsia="宋体"/>
          <w:color w:val="auto"/>
          <w:sz w:val="21"/>
          <w:szCs w:val="21"/>
        </w:rPr>
        <w:t>11.</w:t>
      </w:r>
      <w:r>
        <w:rPr>
          <w:rFonts w:ascii="宋体" w:hAnsi="宋体" w:eastAsia="宋体"/>
          <w:color w:val="auto"/>
          <w:sz w:val="21"/>
          <w:szCs w:val="21"/>
        </w:rPr>
        <w:t>投标文件的组成</w:t>
      </w:r>
      <w:bookmarkEnd w:id="65"/>
      <w:bookmarkEnd w:id="66"/>
      <w:bookmarkEnd w:id="67"/>
      <w:bookmarkEnd w:id="68"/>
      <w:bookmarkEnd w:id="69"/>
      <w:bookmarkEnd w:id="70"/>
      <w:bookmarkEnd w:id="71"/>
    </w:p>
    <w:p>
      <w:pPr>
        <w:pStyle w:val="33"/>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包括但不限于招标文件附件格式中要求提供的表格。</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color w:val="auto"/>
        </w:rPr>
      </w:pPr>
      <w:r>
        <w:rPr>
          <w:rFonts w:hint="eastAsia" w:ascii="宋体" w:hAnsi="宋体" w:eastAsia="宋体"/>
          <w:color w:val="auto"/>
          <w:sz w:val="21"/>
          <w:szCs w:val="21"/>
          <w:lang w:val="en-US" w:eastAsia="zh-CN"/>
        </w:rPr>
        <w:t>投标</w:t>
      </w:r>
      <w:r>
        <w:rPr>
          <w:rFonts w:hint="eastAsia" w:ascii="宋体" w:hAnsi="宋体" w:eastAsia="宋体"/>
          <w:color w:val="auto"/>
          <w:sz w:val="21"/>
          <w:szCs w:val="21"/>
        </w:rPr>
        <w:t>文件须按顺序装订成册，并编制投标文件目录。除上述文件资料外投标人还须按投标人须知的要求制作“</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”作为投标文件的一部分，单独密封</w:t>
      </w:r>
      <w:r>
        <w:rPr>
          <w:rFonts w:hint="eastAsia" w:ascii="宋体" w:hAnsi="宋体" w:eastAsia="宋体"/>
          <w:color w:val="auto"/>
          <w:sz w:val="21"/>
          <w:szCs w:val="21"/>
          <w:lang w:val="en-US" w:eastAsia="zh-CN"/>
        </w:rPr>
        <w:t>提交</w:t>
      </w:r>
      <w:r>
        <w:rPr>
          <w:rFonts w:hint="eastAsia" w:ascii="宋体" w:hAnsi="宋体" w:eastAsia="宋体"/>
          <w:color w:val="auto"/>
          <w:sz w:val="21"/>
          <w:szCs w:val="21"/>
        </w:rPr>
        <w:t>。</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72" w:name="_Toc21747"/>
      <w:bookmarkStart w:id="73" w:name="_Toc3882"/>
      <w:bookmarkStart w:id="74" w:name="_Toc30189"/>
      <w:r>
        <w:rPr>
          <w:rFonts w:hint="eastAsia" w:ascii="宋体" w:hAnsi="宋体" w:eastAsia="宋体"/>
          <w:color w:val="auto"/>
          <w:sz w:val="21"/>
          <w:szCs w:val="21"/>
        </w:rPr>
        <w:t>12.投标文件编制</w:t>
      </w:r>
      <w:bookmarkEnd w:id="72"/>
      <w:bookmarkEnd w:id="73"/>
      <w:bookmarkEnd w:id="74"/>
    </w:p>
    <w:p>
      <w:pPr>
        <w:pStyle w:val="33"/>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bookmarkStart w:id="75" w:name="_Toc303084258"/>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投标人应按招标文件的规定以及附件要求的内容和格式完整地填写</w:t>
      </w:r>
      <w:r>
        <w:rPr>
          <w:rFonts w:ascii="宋体" w:hAnsi="宋体" w:eastAsia="宋体"/>
          <w:color w:val="auto"/>
          <w:sz w:val="21"/>
          <w:szCs w:val="21"/>
        </w:rPr>
        <w:t>（表格可以按同样格式扩展）</w:t>
      </w:r>
      <w:r>
        <w:rPr>
          <w:rFonts w:hint="eastAsia" w:ascii="宋体" w:hAnsi="宋体" w:eastAsia="宋体"/>
          <w:color w:val="auto"/>
          <w:sz w:val="21"/>
          <w:szCs w:val="21"/>
        </w:rPr>
        <w:t>和提供资料，投标人必须对投标文件所提供的全部材料的真实性承担法律责任，并无条件接受采购人或采购代理机构及采购监督管理部门等对其中任何资料进行核实的要求。</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因投标文件编制存在歧义对投标人产生负面影响的，投标人自行承担后果。</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投标单位名称与投标人公章不一致，若投标单位名称已进行变更，应在投标文件中提供相应的证明材料并加盖公章，否则投标文件无效。</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投标文件密封、标记及内容与本项目采购信息不符，导致无法分辨所投项目为本项目的，投标文件无效。</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投标文件若出现以下内容，经评标委员会认定有可能间接影响评审秩序</w:t>
      </w:r>
      <w:r>
        <w:rPr>
          <w:rFonts w:hint="eastAsia" w:ascii="宋体" w:hAnsi="宋体" w:eastAsia="宋体"/>
          <w:color w:val="auto"/>
          <w:sz w:val="21"/>
          <w:szCs w:val="21"/>
          <w:lang w:eastAsia="zh-CN"/>
        </w:rPr>
        <w:t>、</w:t>
      </w:r>
      <w:r>
        <w:rPr>
          <w:rFonts w:hint="eastAsia" w:ascii="宋体" w:hAnsi="宋体" w:eastAsia="宋体"/>
          <w:color w:val="auto"/>
          <w:sz w:val="21"/>
          <w:szCs w:val="21"/>
          <w:lang w:val="en-US" w:eastAsia="zh-CN"/>
        </w:rPr>
        <w:t>评审公正性的</w:t>
      </w:r>
      <w:r>
        <w:rPr>
          <w:rFonts w:hint="eastAsia" w:ascii="宋体" w:hAnsi="宋体" w:eastAsia="宋体"/>
          <w:color w:val="auto"/>
          <w:sz w:val="21"/>
          <w:szCs w:val="21"/>
        </w:rPr>
        <w:t>，其投标无效：</w:t>
      </w:r>
    </w:p>
    <w:p>
      <w:pPr>
        <w:pStyle w:val="33"/>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rPr>
      </w:pPr>
      <w:r>
        <w:rPr>
          <w:rFonts w:hint="eastAsia" w:ascii="宋体" w:hAnsi="宋体" w:eastAsia="宋体"/>
          <w:color w:val="auto"/>
          <w:sz w:val="21"/>
          <w:szCs w:val="21"/>
        </w:rPr>
        <w:t>（1）投标文件内出现无官方证明文件的行业地域排名或</w:t>
      </w:r>
      <w:r>
        <w:rPr>
          <w:rFonts w:ascii="宋体" w:hAnsi="宋体" w:eastAsia="宋体"/>
          <w:color w:val="auto"/>
          <w:sz w:val="21"/>
          <w:szCs w:val="21"/>
        </w:rPr>
        <w:t>使用“国家级”、“最高级”、“最佳”等用语</w:t>
      </w:r>
      <w:r>
        <w:rPr>
          <w:rFonts w:hint="eastAsia" w:ascii="宋体" w:hAnsi="宋体" w:eastAsia="宋体"/>
          <w:color w:val="auto"/>
          <w:sz w:val="21"/>
          <w:szCs w:val="21"/>
        </w:rPr>
        <w:t>字眼的。</w:t>
      </w:r>
    </w:p>
    <w:p>
      <w:pPr>
        <w:pStyle w:val="33"/>
        <w:pageBreakBefore w:val="0"/>
        <w:widowControl w:val="0"/>
        <w:kinsoku/>
        <w:wordWrap/>
        <w:topLinePunct w:val="0"/>
        <w:autoSpaceDE/>
        <w:autoSpaceDN/>
        <w:bidi w:val="0"/>
        <w:adjustRightInd/>
        <w:snapToGrid/>
        <w:spacing w:after="0" w:line="360" w:lineRule="auto"/>
        <w:ind w:firstLine="0" w:firstLineChars="0"/>
        <w:jc w:val="both"/>
        <w:textAlignment w:val="auto"/>
        <w:rPr>
          <w:rFonts w:ascii="宋体" w:hAnsi="宋体" w:eastAsia="宋体"/>
          <w:color w:val="auto"/>
          <w:sz w:val="21"/>
          <w:szCs w:val="21"/>
        </w:rPr>
      </w:pPr>
      <w:r>
        <w:rPr>
          <w:rFonts w:hint="eastAsia" w:ascii="宋体" w:hAnsi="宋体" w:eastAsia="宋体"/>
          <w:color w:val="auto"/>
          <w:sz w:val="21"/>
          <w:szCs w:val="21"/>
        </w:rPr>
        <w:t>（2）投标文件内出现恶意诋毁、</w:t>
      </w:r>
      <w:r>
        <w:rPr>
          <w:rFonts w:ascii="宋体" w:hAnsi="宋体" w:eastAsia="宋体"/>
          <w:color w:val="auto"/>
          <w:sz w:val="21"/>
          <w:szCs w:val="21"/>
        </w:rPr>
        <w:t>贬低其他生产经营者的商品或者服务</w:t>
      </w:r>
      <w:r>
        <w:rPr>
          <w:rFonts w:hint="eastAsia" w:ascii="宋体" w:hAnsi="宋体" w:eastAsia="宋体"/>
          <w:color w:val="auto"/>
          <w:sz w:val="21"/>
          <w:szCs w:val="21"/>
        </w:rPr>
        <w:t>的内容。</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有下列情形之一的，视为投标人串通投标，其投标无效：</w:t>
      </w:r>
    </w:p>
    <w:bookmarkEnd w:id="75"/>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（一）不同投标人的投标文件由同一单位或者个人编制；</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（二）不同投标人委托同一单位或者个人办理投标事宜；</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（三）不同投标人的投标文件载明的项目管理成员或者联系人员为同一人；</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（四）不同投标人的投标文件异常一致或者投标报价呈规律性差异；</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（五）不同投标人的投标文件相互混装；</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（六）不同投标人的投标保证金从同一单位或者个人的账户转出。</w:t>
      </w:r>
    </w:p>
    <w:p>
      <w:pPr>
        <w:widowControl w:val="0"/>
        <w:adjustRightInd/>
        <w:snapToGrid/>
        <w:spacing w:after="0" w:line="360" w:lineRule="exact"/>
        <w:jc w:val="both"/>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76" w:name="_Toc7847"/>
      <w:bookmarkStart w:id="77" w:name="_Toc259"/>
      <w:bookmarkStart w:id="78" w:name="_Toc17188"/>
      <w:r>
        <w:rPr>
          <w:rFonts w:hint="eastAsia" w:ascii="宋体" w:hAnsi="宋体" w:eastAsia="宋体"/>
          <w:color w:val="auto"/>
          <w:sz w:val="21"/>
          <w:szCs w:val="21"/>
        </w:rPr>
        <w:t>13.投标报价说明</w:t>
      </w:r>
      <w:bookmarkEnd w:id="76"/>
      <w:bookmarkEnd w:id="77"/>
      <w:bookmarkEnd w:id="78"/>
    </w:p>
    <w:p>
      <w:pPr>
        <w:pStyle w:val="33"/>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本次招标，投标人应按用户需求中的要求进行投标报价，少报无效。</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投标人所提供的货物或服务均以人民币（或相关费率）报价。</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投标报价应包含完成本次招标所有服务内容的费用，包含各种税务费及合同实施过程中的全部费用和售后服务费等。</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中标后开出的所有发票必须与中标人的名称一致。</w:t>
      </w:r>
    </w:p>
    <w:p>
      <w:pPr>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79" w:name="_Toc18911"/>
      <w:bookmarkStart w:id="80" w:name="_Toc16535"/>
      <w:bookmarkStart w:id="81" w:name="_Toc27724"/>
      <w:r>
        <w:rPr>
          <w:rFonts w:hint="eastAsia" w:ascii="宋体" w:hAnsi="宋体" w:eastAsia="宋体"/>
          <w:color w:val="auto"/>
          <w:sz w:val="21"/>
          <w:szCs w:val="21"/>
        </w:rPr>
        <w:t>14.投标人所提供的服务或货物的证明文件</w:t>
      </w:r>
      <w:bookmarkEnd w:id="79"/>
      <w:bookmarkEnd w:id="80"/>
      <w:bookmarkEnd w:id="81"/>
    </w:p>
    <w:p>
      <w:pPr>
        <w:pStyle w:val="33"/>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bookmarkStart w:id="82" w:name="_Hlt107925638"/>
      <w:bookmarkEnd w:id="82"/>
      <w:bookmarkStart w:id="83" w:name="_Hlt107925668"/>
      <w:bookmarkEnd w:id="83"/>
      <w:r>
        <w:rPr>
          <w:rFonts w:hint="eastAsia" w:ascii="宋体" w:hAnsi="宋体" w:eastAsia="宋体"/>
          <w:color w:val="auto"/>
          <w:sz w:val="21"/>
          <w:szCs w:val="21"/>
        </w:rPr>
        <w:t>证明服务或货物的文件，它可以是文字资料、图纸和数据包括但不限于：服务主要内容、标准、质量、人员资质、计划安排、报告审核等的详细说明；对招标文件第三部分《用户需求书》中规定的要求进行详细应答和说明。</w:t>
      </w:r>
    </w:p>
    <w:p>
      <w:pPr>
        <w:pStyle w:val="33"/>
        <w:pageBreakBefore w:val="0"/>
        <w:widowControl w:val="0"/>
        <w:kinsoku/>
        <w:wordWrap/>
        <w:topLinePunct w:val="0"/>
        <w:autoSpaceDE/>
        <w:autoSpaceDN/>
        <w:bidi w:val="0"/>
        <w:adjustRightInd/>
        <w:snapToGrid/>
        <w:spacing w:after="0" w:line="360" w:lineRule="auto"/>
        <w:ind w:left="425" w:firstLine="0" w:firstLineChars="0"/>
        <w:jc w:val="both"/>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84" w:name="_Toc30815"/>
      <w:bookmarkStart w:id="85" w:name="_Toc19520"/>
      <w:bookmarkStart w:id="86" w:name="_Toc22169"/>
      <w:r>
        <w:rPr>
          <w:rFonts w:hint="eastAsia" w:ascii="宋体" w:hAnsi="宋体" w:eastAsia="宋体"/>
          <w:color w:val="auto"/>
          <w:sz w:val="21"/>
          <w:szCs w:val="21"/>
        </w:rPr>
        <w:t>15.★投标有效期</w:t>
      </w:r>
      <w:bookmarkEnd w:id="84"/>
      <w:bookmarkEnd w:id="85"/>
      <w:bookmarkEnd w:id="86"/>
    </w:p>
    <w:p>
      <w:pPr>
        <w:pStyle w:val="33"/>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投标文件应根据投标人须知的规定在投标截止日后的90天内保持有效。</w:t>
      </w:r>
    </w:p>
    <w:p>
      <w:pPr>
        <w:pageBreakBefore w:val="0"/>
        <w:widowControl w:val="0"/>
        <w:kinsoku/>
        <w:wordWrap/>
        <w:topLinePunct w:val="0"/>
        <w:autoSpaceDE/>
        <w:autoSpaceDN/>
        <w:bidi w:val="0"/>
        <w:adjustRightInd/>
        <w:snapToGrid/>
        <w:spacing w:after="0" w:line="360" w:lineRule="auto"/>
        <w:ind w:left="567"/>
        <w:jc w:val="both"/>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87" w:name="_Toc30257"/>
      <w:bookmarkStart w:id="88" w:name="_Toc12456"/>
      <w:bookmarkStart w:id="89" w:name="_Toc25817"/>
      <w:r>
        <w:rPr>
          <w:rFonts w:hint="eastAsia" w:ascii="宋体" w:hAnsi="宋体" w:eastAsia="宋体"/>
          <w:color w:val="auto"/>
          <w:sz w:val="21"/>
          <w:szCs w:val="21"/>
        </w:rPr>
        <w:t>16.★投标保证金</w:t>
      </w:r>
      <w:bookmarkEnd w:id="87"/>
      <w:bookmarkEnd w:id="88"/>
      <w:bookmarkEnd w:id="89"/>
    </w:p>
    <w:p>
      <w:pPr>
        <w:pStyle w:val="33"/>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bookmarkStart w:id="90" w:name="_Ref179619405"/>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投标人应按投标资料表中规定数额及法律规定的时间按相应包号保证金金额要求一次性提交投标保证金，以多次汇入达到招标文件要求金额的投标保证金无效。</w:t>
      </w:r>
      <w:bookmarkEnd w:id="90"/>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投标保证金金额与招标文件要求金额保持一致（详见投标资料表）。</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投标保证金有效期与投标有效期保持一致。</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投标人应一次性缴交招标文件规定数额的投标保证金，投标人与交款人名称必须一致，非投标人缴纳的投标保证金无效。</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采用银行转账、电汇方式提交的,付至采购代理机构指定账户上。 (详见投标人资料表)</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担保。是指由担保机构为供应商交纳投标保证金向采购人或者采购代理机构提供的保证担保。供应商在投标有效期内撤回投标文件或中标后不签订采购合同的，由担保机构按照担保函的约定履行支付投标保证金的责任。（投标担保格式详见附件《采购投标担保函》）</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采用《采购投标担保函》提交的，应符合下列规定：</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rPr>
      </w:pPr>
      <w:r>
        <w:rPr>
          <w:rFonts w:hint="eastAsia" w:ascii="宋体" w:hAnsi="宋体" w:eastAsia="宋体"/>
          <w:b/>
          <w:color w:val="auto"/>
          <w:sz w:val="21"/>
          <w:szCs w:val="21"/>
        </w:rPr>
        <w:t>①投标担保函有效期应与投标有效期一致；</w:t>
      </w:r>
    </w:p>
    <w:p>
      <w:pPr>
        <w:pageBreakBefore w:val="0"/>
        <w:kinsoku/>
        <w:wordWrap/>
        <w:topLinePunct w:val="0"/>
        <w:autoSpaceDE/>
        <w:autoSpaceDN/>
        <w:bidi w:val="0"/>
        <w:spacing w:after="0" w:line="360" w:lineRule="auto"/>
        <w:ind w:firstLine="422" w:firstLineChars="200"/>
        <w:textAlignment w:val="auto"/>
        <w:rPr>
          <w:rFonts w:ascii="宋体" w:hAnsi="宋体" w:eastAsia="宋体"/>
          <w:b/>
          <w:color w:val="auto"/>
          <w:sz w:val="21"/>
          <w:szCs w:val="21"/>
        </w:rPr>
      </w:pPr>
      <w:r>
        <w:rPr>
          <w:rFonts w:hint="eastAsia" w:ascii="宋体" w:hAnsi="宋体" w:eastAsia="宋体"/>
          <w:b/>
          <w:color w:val="auto"/>
          <w:sz w:val="21"/>
          <w:szCs w:val="21"/>
        </w:rPr>
        <w:t>②投标担保金额应与本项目的投标保证金一致；</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保证金不接受现金方式（包括以存现方式）提交，未按要求提交投标保证金的将导致</w:t>
      </w:r>
      <w:r>
        <w:rPr>
          <w:rFonts w:hint="eastAsia" w:ascii="宋体" w:hAnsi="宋体"/>
          <w:color w:val="auto"/>
          <w:sz w:val="21"/>
          <w:szCs w:val="21"/>
          <w:lang w:val="en-US" w:eastAsia="zh-CN"/>
        </w:rPr>
        <w:t>投标文件无效</w:t>
      </w:r>
      <w:r>
        <w:rPr>
          <w:rFonts w:hint="eastAsia" w:ascii="宋体" w:hAnsi="宋体" w:eastAsia="宋体"/>
          <w:color w:val="auto"/>
          <w:sz w:val="21"/>
          <w:szCs w:val="21"/>
        </w:rPr>
        <w:t>。</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未中标的投标人的保证金在采购结果公示发出后5个工作日内退还，中标</w:t>
      </w:r>
      <w:r>
        <w:rPr>
          <w:rFonts w:hint="eastAsia" w:ascii="宋体" w:hAnsi="宋体"/>
          <w:color w:val="auto"/>
          <w:sz w:val="21"/>
          <w:szCs w:val="21"/>
          <w:lang w:val="en-US" w:eastAsia="zh-CN"/>
        </w:rPr>
        <w:t>的</w:t>
      </w:r>
      <w:r>
        <w:rPr>
          <w:rFonts w:hint="eastAsia" w:ascii="宋体" w:hAnsi="宋体" w:eastAsia="宋体"/>
          <w:color w:val="auto"/>
          <w:sz w:val="21"/>
          <w:szCs w:val="21"/>
        </w:rPr>
        <w:t>投标人的保证金在采购合同签订后5个工作日内退还。</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为方便退还未中标的投保人的保证金，投标人应制作《投标保证金汇入情况说明》随</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一并递交。</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有下列情形之一的，投标保证金将不予退还：</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（1）投标人在提交响应文件截止时间后撤回响应文件的；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（2）投标人在响应文件中提供虚假材料的；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（3）除因不可抗力或谈判文件、询价通知书认可的情形以外，中标单位不与采购人签订合同的；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（4）投标人与采购人、其他供应商或者采购代理机构恶意串通的；</w:t>
      </w:r>
    </w:p>
    <w:p>
      <w:pPr>
        <w:pageBreakBefore w:val="0"/>
        <w:widowControl w:val="0"/>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（5）招标文件规定的其他情形。</w:t>
      </w:r>
    </w:p>
    <w:p>
      <w:pPr>
        <w:pageBreakBefore w:val="0"/>
        <w:kinsoku/>
        <w:wordWrap/>
        <w:topLinePunct w:val="0"/>
        <w:autoSpaceDE/>
        <w:autoSpaceDN/>
        <w:bidi w:val="0"/>
        <w:spacing w:line="360" w:lineRule="auto"/>
        <w:textAlignment w:val="auto"/>
        <w:rPr>
          <w:color w:val="auto"/>
        </w:rPr>
      </w:pPr>
    </w:p>
    <w:p>
      <w:pPr>
        <w:pStyle w:val="4"/>
        <w:numPr>
          <w:ilvl w:val="0"/>
          <w:numId w:val="0"/>
        </w:numPr>
        <w:spacing w:before="0" w:after="0" w:line="480" w:lineRule="auto"/>
        <w:ind w:leftChars="0"/>
        <w:jc w:val="center"/>
        <w:rPr>
          <w:rFonts w:ascii="宋体" w:hAnsi="宋体" w:eastAsia="宋体"/>
          <w:color w:val="auto"/>
        </w:rPr>
      </w:pPr>
      <w:bookmarkStart w:id="91" w:name="_Toc24109"/>
      <w:bookmarkStart w:id="92" w:name="_Toc31124"/>
      <w:bookmarkStart w:id="93" w:name="_Toc3200"/>
      <w:r>
        <w:rPr>
          <w:rFonts w:hint="eastAsia" w:ascii="宋体" w:hAnsi="宋体"/>
          <w:color w:val="auto"/>
          <w:lang w:val="en-US" w:eastAsia="zh-CN"/>
        </w:rPr>
        <w:t>第四章</w:t>
      </w:r>
      <w:r>
        <w:rPr>
          <w:rFonts w:hint="eastAsia" w:ascii="宋体" w:hAnsi="宋体" w:eastAsia="宋体"/>
          <w:color w:val="auto"/>
        </w:rPr>
        <w:t>投标文件的递交</w:t>
      </w:r>
      <w:bookmarkEnd w:id="91"/>
      <w:bookmarkEnd w:id="92"/>
      <w:bookmarkEnd w:id="93"/>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94" w:name="_Toc24997"/>
      <w:bookmarkStart w:id="95" w:name="_Toc303084264"/>
      <w:bookmarkStart w:id="96" w:name="_Toc29590"/>
      <w:bookmarkStart w:id="97" w:name="_Toc382049111"/>
      <w:bookmarkStart w:id="98" w:name="_Toc473"/>
      <w:bookmarkStart w:id="99" w:name="_Toc23678"/>
      <w:r>
        <w:rPr>
          <w:rFonts w:hint="eastAsia" w:ascii="宋体" w:hAnsi="宋体" w:eastAsia="宋体"/>
          <w:color w:val="auto"/>
          <w:sz w:val="21"/>
          <w:szCs w:val="21"/>
        </w:rPr>
        <w:t>17.</w:t>
      </w:r>
      <w:r>
        <w:rPr>
          <w:rFonts w:ascii="宋体" w:hAnsi="宋体" w:eastAsia="宋体"/>
          <w:color w:val="auto"/>
          <w:sz w:val="21"/>
          <w:szCs w:val="21"/>
        </w:rPr>
        <w:t>投标文件的</w:t>
      </w:r>
      <w:r>
        <w:rPr>
          <w:rFonts w:hint="eastAsia" w:ascii="宋体" w:hAnsi="宋体" w:eastAsia="宋体"/>
          <w:color w:val="auto"/>
          <w:sz w:val="21"/>
          <w:szCs w:val="21"/>
        </w:rPr>
        <w:t>装订，签署，</w:t>
      </w:r>
      <w:r>
        <w:rPr>
          <w:rFonts w:ascii="宋体" w:hAnsi="宋体" w:eastAsia="宋体"/>
          <w:color w:val="auto"/>
          <w:sz w:val="21"/>
          <w:szCs w:val="21"/>
        </w:rPr>
        <w:t>密封和标记</w:t>
      </w:r>
      <w:bookmarkEnd w:id="94"/>
      <w:bookmarkEnd w:id="95"/>
      <w:bookmarkEnd w:id="96"/>
      <w:bookmarkEnd w:id="97"/>
      <w:bookmarkEnd w:id="98"/>
      <w:bookmarkEnd w:id="99"/>
    </w:p>
    <w:p>
      <w:pPr>
        <w:pStyle w:val="33"/>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为方便评标委员会对投标文件进行评审</w:t>
      </w:r>
      <w:r>
        <w:rPr>
          <w:rFonts w:ascii="宋体" w:hAnsi="宋体" w:eastAsia="宋体"/>
          <w:color w:val="auto"/>
          <w:sz w:val="21"/>
          <w:szCs w:val="21"/>
        </w:rPr>
        <w:t>，</w:t>
      </w:r>
      <w:r>
        <w:rPr>
          <w:rFonts w:hint="eastAsia" w:ascii="宋体" w:hAnsi="宋体" w:eastAsia="宋体"/>
          <w:color w:val="auto"/>
          <w:sz w:val="21"/>
          <w:szCs w:val="21"/>
        </w:rPr>
        <w:t>建议投标人对投标文件进行装订，价格文件、商务文件、技术文件可</w:t>
      </w:r>
      <w:r>
        <w:rPr>
          <w:rFonts w:hint="eastAsia" w:ascii="宋体" w:hAnsi="宋体" w:eastAsia="宋体"/>
          <w:color w:val="auto"/>
          <w:sz w:val="21"/>
          <w:szCs w:val="21"/>
          <w:lang w:val="en-US" w:eastAsia="zh-CN"/>
        </w:rPr>
        <w:t>合装订</w:t>
      </w:r>
      <w:r>
        <w:rPr>
          <w:rFonts w:hint="eastAsia" w:ascii="宋体" w:hAnsi="宋体" w:eastAsia="宋体"/>
          <w:color w:val="auto"/>
          <w:sz w:val="21"/>
          <w:szCs w:val="21"/>
        </w:rPr>
        <w:t>为一册，也可根据自身需要分册</w:t>
      </w:r>
      <w:r>
        <w:rPr>
          <w:rFonts w:hint="eastAsia" w:ascii="宋体" w:hAnsi="宋体" w:eastAsia="宋体"/>
          <w:color w:val="auto"/>
          <w:sz w:val="21"/>
          <w:szCs w:val="21"/>
          <w:lang w:val="en-US" w:eastAsia="zh-CN"/>
        </w:rPr>
        <w:t>装订，</w:t>
      </w:r>
      <w:r>
        <w:rPr>
          <w:rFonts w:ascii="宋体" w:hAnsi="宋体" w:eastAsia="宋体"/>
          <w:color w:val="auto"/>
          <w:sz w:val="21"/>
          <w:szCs w:val="21"/>
        </w:rPr>
        <w:t>对未经装订的投标文件可能发生的文件缺</w:t>
      </w:r>
      <w:r>
        <w:rPr>
          <w:rFonts w:hint="eastAsia" w:ascii="宋体" w:hAnsi="宋体" w:eastAsia="宋体"/>
          <w:color w:val="auto"/>
          <w:sz w:val="21"/>
          <w:szCs w:val="21"/>
        </w:rPr>
        <w:t>损</w:t>
      </w:r>
      <w:r>
        <w:rPr>
          <w:rFonts w:ascii="宋体" w:hAnsi="宋体" w:eastAsia="宋体"/>
          <w:color w:val="auto"/>
          <w:sz w:val="21"/>
          <w:szCs w:val="21"/>
        </w:rPr>
        <w:t>，由此产生的后果由投标人承担。</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投标文件</w:t>
      </w:r>
      <w:r>
        <w:rPr>
          <w:rFonts w:hint="eastAsia" w:ascii="宋体" w:hAnsi="宋体" w:eastAsia="宋体"/>
          <w:color w:val="auto"/>
          <w:sz w:val="21"/>
          <w:szCs w:val="21"/>
        </w:rPr>
        <w:t>正本均须用不褪色墨水书写或打印。投标文件的副本可采用投标文件的正本复印件，每套</w:t>
      </w:r>
      <w:r>
        <w:rPr>
          <w:rFonts w:ascii="宋体" w:hAnsi="宋体" w:eastAsia="宋体"/>
          <w:color w:val="auto"/>
          <w:sz w:val="21"/>
          <w:szCs w:val="21"/>
        </w:rPr>
        <w:t>投标文件</w:t>
      </w:r>
      <w:r>
        <w:rPr>
          <w:rFonts w:hint="eastAsia" w:ascii="宋体" w:hAnsi="宋体" w:eastAsia="宋体"/>
          <w:color w:val="auto"/>
          <w:sz w:val="21"/>
          <w:szCs w:val="21"/>
        </w:rPr>
        <w:t>应当标</w:t>
      </w:r>
      <w:r>
        <w:rPr>
          <w:rFonts w:ascii="宋体" w:hAnsi="宋体" w:eastAsia="宋体"/>
          <w:color w:val="auto"/>
          <w:sz w:val="21"/>
          <w:szCs w:val="21"/>
        </w:rPr>
        <w:t>明“正本”</w:t>
      </w:r>
      <w:r>
        <w:rPr>
          <w:rFonts w:hint="eastAsia" w:ascii="宋体" w:hAnsi="宋体" w:eastAsia="宋体"/>
          <w:color w:val="auto"/>
          <w:sz w:val="21"/>
          <w:szCs w:val="21"/>
        </w:rPr>
        <w:t>、</w:t>
      </w:r>
      <w:r>
        <w:rPr>
          <w:rFonts w:ascii="宋体" w:hAnsi="宋体" w:eastAsia="宋体"/>
          <w:color w:val="auto"/>
          <w:sz w:val="21"/>
          <w:szCs w:val="21"/>
        </w:rPr>
        <w:t>“副本”</w:t>
      </w:r>
      <w:r>
        <w:rPr>
          <w:rFonts w:hint="eastAsia" w:ascii="宋体" w:hAnsi="宋体" w:eastAsia="宋体"/>
          <w:color w:val="auto"/>
          <w:sz w:val="21"/>
          <w:szCs w:val="21"/>
        </w:rPr>
        <w:t>的字样</w:t>
      </w:r>
      <w:r>
        <w:rPr>
          <w:rFonts w:ascii="宋体" w:hAnsi="宋体" w:eastAsia="宋体"/>
          <w:color w:val="auto"/>
          <w:sz w:val="21"/>
          <w:szCs w:val="21"/>
        </w:rPr>
        <w:t>。</w:t>
      </w:r>
      <w:r>
        <w:rPr>
          <w:rFonts w:hint="eastAsia" w:ascii="宋体" w:hAnsi="宋体" w:eastAsia="宋体"/>
          <w:color w:val="auto"/>
          <w:sz w:val="21"/>
          <w:szCs w:val="21"/>
        </w:rPr>
        <w:t>投标文件的【正本】及所有【副本】的封面及骑缝均须加盖投标人公章（文件每页盖章等同于盖骑缝章）。若</w:t>
      </w:r>
      <w:r>
        <w:rPr>
          <w:rFonts w:ascii="宋体" w:hAnsi="宋体" w:eastAsia="宋体"/>
          <w:color w:val="auto"/>
          <w:sz w:val="21"/>
          <w:szCs w:val="21"/>
        </w:rPr>
        <w:t>正本</w:t>
      </w:r>
      <w:r>
        <w:rPr>
          <w:rFonts w:hint="eastAsia" w:ascii="宋体" w:hAnsi="宋体" w:eastAsia="宋体"/>
          <w:color w:val="auto"/>
          <w:sz w:val="21"/>
          <w:szCs w:val="21"/>
        </w:rPr>
        <w:t>与</w:t>
      </w:r>
      <w:r>
        <w:rPr>
          <w:rFonts w:ascii="宋体" w:hAnsi="宋体" w:eastAsia="宋体"/>
          <w:color w:val="auto"/>
          <w:sz w:val="21"/>
          <w:szCs w:val="21"/>
        </w:rPr>
        <w:t>副本</w:t>
      </w:r>
      <w:r>
        <w:rPr>
          <w:rFonts w:hint="eastAsia" w:ascii="宋体" w:hAnsi="宋体" w:eastAsia="宋体"/>
          <w:color w:val="auto"/>
          <w:sz w:val="21"/>
          <w:szCs w:val="21"/>
        </w:rPr>
        <w:t>不符，以</w:t>
      </w:r>
      <w:r>
        <w:rPr>
          <w:rFonts w:ascii="宋体" w:hAnsi="宋体" w:eastAsia="宋体"/>
          <w:color w:val="auto"/>
          <w:sz w:val="21"/>
          <w:szCs w:val="21"/>
        </w:rPr>
        <w:t>正本为准。</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联合体投标文件的【正本】及【副本】的封面及骑缝均须加盖所有联合体组成成员的公章。（文件每页盖章等同于盖骑缝章）</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建议投标人将投标文件正本和所有的副本分开密封装在单独的信封中，且在信封上标明“正本”“副本”字样。然后再将所有信封封装在一个外层信封中。电子文件与正本密封包装，随正本提交。</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电子文件内容包括：由投标人自行制作的与正本文件一致的所有文件。电子文件</w:t>
      </w:r>
      <w:r>
        <w:rPr>
          <w:rFonts w:hint="eastAsia" w:ascii="宋体" w:hAnsi="宋体" w:eastAsia="宋体"/>
          <w:color w:val="auto"/>
          <w:sz w:val="21"/>
          <w:szCs w:val="21"/>
        </w:rPr>
        <w:t>由</w:t>
      </w:r>
      <w:r>
        <w:rPr>
          <w:rFonts w:ascii="宋体" w:hAnsi="宋体" w:eastAsia="宋体"/>
          <w:color w:val="auto"/>
          <w:sz w:val="21"/>
          <w:szCs w:val="21"/>
        </w:rPr>
        <w:t>光盘</w:t>
      </w:r>
      <w:r>
        <w:rPr>
          <w:rFonts w:hint="eastAsia" w:ascii="宋体" w:hAnsi="宋体" w:eastAsia="宋体"/>
          <w:color w:val="auto"/>
          <w:sz w:val="21"/>
          <w:szCs w:val="21"/>
        </w:rPr>
        <w:t>或U盘</w:t>
      </w:r>
      <w:r>
        <w:rPr>
          <w:rFonts w:ascii="宋体" w:hAnsi="宋体" w:eastAsia="宋体"/>
          <w:color w:val="auto"/>
          <w:sz w:val="21"/>
          <w:szCs w:val="21"/>
        </w:rPr>
        <w:t>储存</w:t>
      </w:r>
      <w:r>
        <w:rPr>
          <w:rFonts w:hint="eastAsia" w:ascii="宋体" w:hAnsi="宋体" w:eastAsia="宋体"/>
          <w:color w:val="auto"/>
          <w:sz w:val="21"/>
          <w:szCs w:val="21"/>
        </w:rPr>
        <w:t>，并注明投标人名称及项目名称、采购项目编号，随投标文件一同密封提交。</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除投标人对错误处修改外，全套投标文件应无涂改或行间插字和增删。如有修改，修改处</w:t>
      </w:r>
      <w:r>
        <w:rPr>
          <w:rFonts w:hint="eastAsia" w:ascii="宋体" w:hAnsi="宋体" w:eastAsia="宋体"/>
          <w:color w:val="auto"/>
          <w:sz w:val="21"/>
          <w:szCs w:val="21"/>
        </w:rPr>
        <w:t>须由法定代表人或其正式授权代表在旁边签字及盖章</w:t>
      </w:r>
      <w:r>
        <w:rPr>
          <w:rFonts w:ascii="宋体" w:hAnsi="宋体" w:eastAsia="宋体"/>
          <w:color w:val="auto"/>
          <w:sz w:val="21"/>
          <w:szCs w:val="21"/>
        </w:rPr>
        <w:t>。</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为方便开标唱标，投标人应将</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和授权委托书单独密封提交，并在信封上标明“</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”字样。</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内还须包括并不限于：投标保证金支付凭证银行汇款底单（复印件加盖公章，原件随身携带，以备查核）和投标保证金汇入情况说明（加盖公章）。投标人的法定代表人参加投标时，须开具法定代表人证明书，按上述要求与</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一并密封提交。“</w:t>
      </w:r>
      <w:r>
        <w:rPr>
          <w:rFonts w:hint="eastAsia" w:ascii="宋体" w:hAnsi="宋体" w:eastAsia="宋体"/>
          <w:color w:val="auto"/>
          <w:sz w:val="21"/>
          <w:szCs w:val="21"/>
          <w:lang w:eastAsia="zh-CN"/>
        </w:rPr>
        <w:t>唱标文件</w:t>
      </w:r>
      <w:r>
        <w:rPr>
          <w:rFonts w:hint="eastAsia" w:ascii="宋体" w:hAnsi="宋体" w:eastAsia="宋体"/>
          <w:color w:val="auto"/>
          <w:sz w:val="21"/>
          <w:szCs w:val="21"/>
        </w:rPr>
        <w:t>”份数及签章等要求与投标文件正本相同（1份）。</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 xml:space="preserve">所有的信封均应注明： </w:t>
      </w:r>
    </w:p>
    <w:p>
      <w:pPr>
        <w:pageBreakBefore w:val="0"/>
        <w:widowControl w:val="0"/>
        <w:numPr>
          <w:ilvl w:val="0"/>
          <w:numId w:val="5"/>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收件人：</w:t>
      </w:r>
      <w:r>
        <w:rPr>
          <w:rFonts w:hint="eastAsia" w:ascii="宋体" w:hAnsi="宋体" w:eastAsia="宋体"/>
          <w:color w:val="auto"/>
          <w:sz w:val="21"/>
          <w:szCs w:val="21"/>
          <w:lang w:eastAsia="zh-CN"/>
        </w:rPr>
        <w:t>广东政通招标有限公司</w:t>
      </w:r>
    </w:p>
    <w:p>
      <w:pPr>
        <w:pageBreakBefore w:val="0"/>
        <w:widowControl w:val="0"/>
        <w:numPr>
          <w:ilvl w:val="0"/>
          <w:numId w:val="5"/>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投标单位名称：</w:t>
      </w:r>
    </w:p>
    <w:p>
      <w:pPr>
        <w:pageBreakBefore w:val="0"/>
        <w:widowControl w:val="0"/>
        <w:numPr>
          <w:ilvl w:val="0"/>
          <w:numId w:val="5"/>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项目名称：</w:t>
      </w:r>
    </w:p>
    <w:p>
      <w:pPr>
        <w:pageBreakBefore w:val="0"/>
        <w:widowControl w:val="0"/>
        <w:numPr>
          <w:ilvl w:val="0"/>
          <w:numId w:val="5"/>
        </w:numPr>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采购项目编号：</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采购代理机构将拒绝接收出现以下情况的投标文件：</w:t>
      </w:r>
    </w:p>
    <w:p>
      <w:pPr>
        <w:pageBreakBefore w:val="0"/>
        <w:widowControl w:val="0"/>
        <w:numPr>
          <w:ilvl w:val="0"/>
          <w:numId w:val="6"/>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采用透明包装进行密封或未进行密封的投标文件；</w:t>
      </w:r>
    </w:p>
    <w:p>
      <w:pPr>
        <w:pageBreakBefore w:val="0"/>
        <w:widowControl w:val="0"/>
        <w:numPr>
          <w:ilvl w:val="0"/>
          <w:numId w:val="6"/>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密封破损导致投标文件内容直接或间接泄露的投标文件；</w:t>
      </w:r>
    </w:p>
    <w:p>
      <w:pPr>
        <w:pageBreakBefore w:val="0"/>
        <w:widowControl w:val="0"/>
        <w:numPr>
          <w:ilvl w:val="0"/>
          <w:numId w:val="6"/>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密封信封上项目编号错误的投标文件；</w:t>
      </w:r>
    </w:p>
    <w:p>
      <w:pPr>
        <w:pageBreakBefore w:val="0"/>
        <w:widowControl w:val="0"/>
        <w:numPr>
          <w:ilvl w:val="0"/>
          <w:numId w:val="6"/>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未在规定时间内领购文件的投标人的投标文件；</w:t>
      </w:r>
    </w:p>
    <w:p>
      <w:pPr>
        <w:pageBreakBefore w:val="0"/>
        <w:widowControl w:val="0"/>
        <w:numPr>
          <w:ilvl w:val="0"/>
          <w:numId w:val="6"/>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项目名称出现严重歧义或未标注所投项目信息导致无法分辨所投项目为本项目的投标文件；</w:t>
      </w:r>
    </w:p>
    <w:p>
      <w:pPr>
        <w:pageBreakBefore w:val="0"/>
        <w:widowControl w:val="0"/>
        <w:numPr>
          <w:ilvl w:val="0"/>
          <w:numId w:val="6"/>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采用传真、电传的投标文件；</w:t>
      </w:r>
    </w:p>
    <w:p>
      <w:pPr>
        <w:pageBreakBefore w:val="0"/>
        <w:widowControl w:val="0"/>
        <w:numPr>
          <w:ilvl w:val="0"/>
          <w:numId w:val="6"/>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招标文件规定的其他情形。</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采购代理机构对所有投标文件的误投或提前启封概不负责。</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投标人同时参加几个包投标时必须按招标文件要求按包号分别制作投标文件，分别密封递交。</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递交的投标文件中所提供的通讯方式应保持联络畅通，因联系不上而导致的所有后果由投标人自行承担。</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00" w:name="_Toc7473"/>
      <w:bookmarkStart w:id="101" w:name="_Toc8628"/>
      <w:bookmarkStart w:id="102" w:name="_Toc17417"/>
      <w:r>
        <w:rPr>
          <w:rFonts w:hint="eastAsia" w:ascii="宋体" w:hAnsi="宋体" w:eastAsia="宋体"/>
          <w:color w:val="auto"/>
          <w:sz w:val="21"/>
          <w:szCs w:val="21"/>
        </w:rPr>
        <w:t>18.迟交的投标文件</w:t>
      </w:r>
      <w:bookmarkEnd w:id="100"/>
      <w:bookmarkEnd w:id="101"/>
      <w:bookmarkEnd w:id="102"/>
    </w:p>
    <w:p>
      <w:pPr>
        <w:pStyle w:val="33"/>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投标人在投标截止时间之后提交的投标文件，采购代理机构将拒绝接收</w:t>
      </w:r>
      <w:r>
        <w:rPr>
          <w:rFonts w:ascii="宋体" w:hAnsi="宋体" w:eastAsia="宋体"/>
          <w:color w:val="auto"/>
          <w:sz w:val="21"/>
          <w:szCs w:val="21"/>
        </w:rPr>
        <w:t>。</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有违反其他法律规定情形的，采购代理机构将拒绝接收。</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03" w:name="_Toc13212"/>
      <w:bookmarkStart w:id="104" w:name="_Toc19649"/>
      <w:bookmarkStart w:id="105" w:name="_Toc8526"/>
      <w:r>
        <w:rPr>
          <w:rFonts w:hint="eastAsia" w:ascii="宋体" w:hAnsi="宋体" w:eastAsia="宋体"/>
          <w:color w:val="auto"/>
          <w:sz w:val="21"/>
          <w:szCs w:val="21"/>
        </w:rPr>
        <w:t>19.投标样品（如需提交）</w:t>
      </w:r>
      <w:bookmarkEnd w:id="103"/>
      <w:bookmarkEnd w:id="104"/>
      <w:bookmarkEnd w:id="105"/>
    </w:p>
    <w:p>
      <w:pPr>
        <w:pStyle w:val="33"/>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如有必要，采购代理机构可以要求投标人提供本服务项目涉及的部分设备或产品样品，投标人在投标时应提交《样品清单》。</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为方便评标，投标人在提供样品时，应在所提供的样品表面显著位置标注投标人的名称、包号、样品名称、招标文件规定的服务或货物编号。</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样品作为投标文件的一部分，除非另有说明，中标单位的样品将作为履约验收标准的参考不再退还，未中标单位须在中标公告发布后五个工作日内，前往采购代理机构领取投标样品，逾期不领，采购代理机构将不承担样品的保管责任，由此引发的样品丢失、毁损，采购代理机构不予负责。</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06" w:name="_Toc303084265"/>
      <w:bookmarkStart w:id="107" w:name="_Toc5900"/>
      <w:bookmarkStart w:id="108" w:name="_Toc9777"/>
      <w:bookmarkStart w:id="109" w:name="_Toc7689"/>
      <w:bookmarkStart w:id="110" w:name="_Toc23477"/>
      <w:bookmarkStart w:id="111" w:name="_Toc382049112"/>
      <w:r>
        <w:rPr>
          <w:rFonts w:hint="eastAsia" w:ascii="宋体" w:hAnsi="宋体" w:eastAsia="宋体"/>
          <w:color w:val="auto"/>
          <w:sz w:val="21"/>
          <w:szCs w:val="21"/>
        </w:rPr>
        <w:t>20.投标截止期</w:t>
      </w:r>
      <w:bookmarkEnd w:id="106"/>
      <w:bookmarkEnd w:id="107"/>
      <w:bookmarkEnd w:id="108"/>
      <w:bookmarkEnd w:id="109"/>
      <w:bookmarkEnd w:id="110"/>
      <w:bookmarkEnd w:id="111"/>
    </w:p>
    <w:p>
      <w:pPr>
        <w:pStyle w:val="33"/>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投标人应在招标文件规定的截止日期和时间内，将投标文件送达到指定地点。</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采购代理机构</w:t>
      </w:r>
      <w:r>
        <w:rPr>
          <w:rFonts w:ascii="宋体" w:hAnsi="宋体" w:eastAsia="宋体"/>
          <w:color w:val="auto"/>
          <w:sz w:val="21"/>
          <w:szCs w:val="21"/>
        </w:rPr>
        <w:t>可按本须知规定以</w:t>
      </w:r>
      <w:r>
        <w:rPr>
          <w:rFonts w:hint="eastAsia" w:ascii="宋体" w:hAnsi="宋体" w:eastAsia="宋体"/>
          <w:color w:val="auto"/>
          <w:sz w:val="21"/>
          <w:szCs w:val="21"/>
        </w:rPr>
        <w:t>澄清或</w:t>
      </w:r>
      <w:r>
        <w:rPr>
          <w:rFonts w:ascii="宋体" w:hAnsi="宋体" w:eastAsia="宋体"/>
          <w:color w:val="auto"/>
          <w:sz w:val="21"/>
          <w:szCs w:val="21"/>
        </w:rPr>
        <w:t>修改通知的方式，酌情延长</w:t>
      </w:r>
      <w:r>
        <w:rPr>
          <w:rFonts w:hint="eastAsia" w:ascii="宋体" w:hAnsi="宋体" w:eastAsia="宋体"/>
          <w:color w:val="auto"/>
          <w:sz w:val="21"/>
          <w:szCs w:val="21"/>
        </w:rPr>
        <w:t>递</w:t>
      </w:r>
      <w:r>
        <w:rPr>
          <w:rFonts w:ascii="宋体" w:hAnsi="宋体" w:eastAsia="宋体"/>
          <w:color w:val="auto"/>
          <w:sz w:val="21"/>
          <w:szCs w:val="21"/>
        </w:rPr>
        <w:t>交投标文件的截止时间。在此情况下，投标人的所有权利和义务以及投标人受制约的截止时间，均以延长后新的投标截止时间为准。</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12" w:name="_Toc6003"/>
      <w:bookmarkStart w:id="113" w:name="_Toc15569"/>
      <w:bookmarkStart w:id="114" w:name="_Toc11133"/>
      <w:r>
        <w:rPr>
          <w:rFonts w:hint="eastAsia" w:ascii="宋体" w:hAnsi="宋体" w:eastAsia="宋体"/>
          <w:color w:val="auto"/>
          <w:sz w:val="21"/>
          <w:szCs w:val="21"/>
        </w:rPr>
        <w:t>21.投标文件的补充、修改与撤回</w:t>
      </w:r>
      <w:bookmarkEnd w:id="112"/>
      <w:bookmarkEnd w:id="113"/>
      <w:bookmarkEnd w:id="114"/>
    </w:p>
    <w:p>
      <w:pPr>
        <w:pStyle w:val="33"/>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投标人在提交投标文件截止时间前，可以对所提交的投标文件进行补充、修改或撤回，并以纸质版形式通知采购代理机构。在提交投标文件截止时间之后，投标人不得对其投标文件做出任何的补充和修改。</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投标人对投标文件的补充、修改的内容应当按招标文件要求的签署、盖章、密封后，作为投标文件的组成部分。并按照招标文件规定密封和标记的要求提交，并在投标文件密封袋上标明“补充、修改”字样。</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投标文件一经递交不予退还。</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在提交投标文件截止时间至投标有效期满之前，投标人不得撤回其投标，否则其投标保证金将不予退还。</w:t>
      </w:r>
    </w:p>
    <w:p>
      <w:pPr>
        <w:pStyle w:val="7"/>
        <w:rPr>
          <w:color w:val="auto"/>
        </w:rPr>
      </w:pPr>
    </w:p>
    <w:p>
      <w:pPr>
        <w:pStyle w:val="4"/>
        <w:numPr>
          <w:ilvl w:val="0"/>
          <w:numId w:val="0"/>
        </w:numPr>
        <w:spacing w:before="0" w:after="0" w:line="480" w:lineRule="auto"/>
        <w:ind w:leftChars="0"/>
        <w:jc w:val="center"/>
        <w:rPr>
          <w:rFonts w:ascii="宋体" w:hAnsi="宋体" w:eastAsia="宋体"/>
          <w:color w:val="auto"/>
        </w:rPr>
      </w:pPr>
      <w:bookmarkStart w:id="115" w:name="_Toc5049"/>
      <w:bookmarkStart w:id="116" w:name="_Toc23466"/>
      <w:bookmarkStart w:id="117" w:name="_Toc29574"/>
      <w:r>
        <w:rPr>
          <w:rFonts w:hint="eastAsia" w:ascii="宋体" w:hAnsi="宋体"/>
          <w:color w:val="auto"/>
          <w:lang w:val="en-US" w:eastAsia="zh-CN"/>
        </w:rPr>
        <w:t>第五章</w:t>
      </w:r>
      <w:r>
        <w:rPr>
          <w:rFonts w:hint="eastAsia" w:ascii="宋体" w:hAnsi="宋体" w:eastAsia="宋体"/>
          <w:color w:val="auto"/>
        </w:rPr>
        <w:t>开标与评标</w:t>
      </w:r>
      <w:bookmarkEnd w:id="115"/>
      <w:bookmarkEnd w:id="116"/>
      <w:bookmarkEnd w:id="117"/>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18" w:name="_Toc27700"/>
      <w:bookmarkStart w:id="119" w:name="_Toc28458"/>
      <w:bookmarkStart w:id="120" w:name="_Toc24251"/>
      <w:r>
        <w:rPr>
          <w:rFonts w:hint="eastAsia" w:ascii="宋体" w:hAnsi="宋体" w:eastAsia="宋体"/>
          <w:color w:val="auto"/>
          <w:sz w:val="21"/>
          <w:szCs w:val="21"/>
        </w:rPr>
        <w:t>22.开标</w:t>
      </w:r>
      <w:bookmarkEnd w:id="118"/>
      <w:bookmarkEnd w:id="119"/>
      <w:bookmarkEnd w:id="120"/>
    </w:p>
    <w:p>
      <w:pPr>
        <w:pStyle w:val="33"/>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采购代理机构按</w:t>
      </w:r>
      <w:r>
        <w:rPr>
          <w:rFonts w:ascii="宋体" w:hAnsi="宋体" w:eastAsia="宋体"/>
          <w:color w:val="auto"/>
          <w:sz w:val="21"/>
          <w:szCs w:val="21"/>
        </w:rPr>
        <w:t>本</w:t>
      </w:r>
      <w:r>
        <w:rPr>
          <w:rFonts w:hint="eastAsia" w:ascii="宋体" w:hAnsi="宋体" w:eastAsia="宋体"/>
          <w:color w:val="auto"/>
          <w:sz w:val="21"/>
          <w:szCs w:val="21"/>
        </w:rPr>
        <w:t>招标文件</w:t>
      </w:r>
      <w:r>
        <w:rPr>
          <w:rFonts w:ascii="宋体" w:hAnsi="宋体" w:eastAsia="宋体"/>
          <w:color w:val="auto"/>
          <w:sz w:val="21"/>
          <w:szCs w:val="21"/>
        </w:rPr>
        <w:t>所规定的时间和地点公开开标，并邀请所有投标人</w:t>
      </w:r>
      <w:r>
        <w:rPr>
          <w:rFonts w:hint="eastAsia" w:ascii="宋体" w:hAnsi="宋体" w:eastAsia="宋体"/>
          <w:color w:val="auto"/>
          <w:sz w:val="21"/>
          <w:szCs w:val="21"/>
        </w:rPr>
        <w:t>代表</w:t>
      </w:r>
      <w:r>
        <w:rPr>
          <w:rFonts w:ascii="宋体" w:hAnsi="宋体" w:eastAsia="宋体"/>
          <w:color w:val="auto"/>
          <w:sz w:val="21"/>
          <w:szCs w:val="21"/>
        </w:rPr>
        <w:t>参加。</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开标程序：</w:t>
      </w:r>
    </w:p>
    <w:p>
      <w:pPr>
        <w:pageBreakBefore w:val="0"/>
        <w:widowControl w:val="0"/>
        <w:numPr>
          <w:ilvl w:val="2"/>
          <w:numId w:val="4"/>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开标</w:t>
      </w:r>
      <w:r>
        <w:rPr>
          <w:rFonts w:hint="eastAsia" w:ascii="宋体" w:hAnsi="宋体" w:eastAsia="宋体"/>
          <w:color w:val="auto"/>
          <w:sz w:val="21"/>
          <w:szCs w:val="21"/>
        </w:rPr>
        <w:t>会</w:t>
      </w:r>
      <w:r>
        <w:rPr>
          <w:rFonts w:ascii="宋体" w:hAnsi="宋体" w:eastAsia="宋体"/>
          <w:color w:val="auto"/>
          <w:sz w:val="21"/>
          <w:szCs w:val="21"/>
        </w:rPr>
        <w:t>由</w:t>
      </w:r>
      <w:r>
        <w:rPr>
          <w:rFonts w:hint="eastAsia" w:ascii="宋体" w:hAnsi="宋体" w:eastAsia="宋体"/>
          <w:color w:val="auto"/>
          <w:sz w:val="21"/>
          <w:szCs w:val="21"/>
        </w:rPr>
        <w:t>采购代理机构</w:t>
      </w:r>
      <w:r>
        <w:rPr>
          <w:rFonts w:ascii="宋体" w:hAnsi="宋体" w:eastAsia="宋体"/>
          <w:color w:val="auto"/>
          <w:sz w:val="21"/>
          <w:szCs w:val="21"/>
        </w:rPr>
        <w:t>主持</w:t>
      </w:r>
      <w:r>
        <w:rPr>
          <w:rFonts w:hint="eastAsia" w:ascii="宋体" w:hAnsi="宋体" w:eastAsia="宋体"/>
          <w:color w:val="auto"/>
          <w:sz w:val="21"/>
          <w:szCs w:val="21"/>
        </w:rPr>
        <w:t>，投标人的法定代表人或其授权代表携带有效身份证明准时参加开标会并签名报到。</w:t>
      </w:r>
    </w:p>
    <w:p>
      <w:pPr>
        <w:pageBreakBefore w:val="0"/>
        <w:widowControl w:val="0"/>
        <w:numPr>
          <w:ilvl w:val="2"/>
          <w:numId w:val="4"/>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开标时，由投标人或者其推选的代表检查投标文件的密封情况；经确认无误后，由采购人或者采购代理机构工作人员当众拆封，宣布投标人名称、投标价格和招标文件规定的需要宣布的其他内容；</w:t>
      </w:r>
    </w:p>
    <w:p>
      <w:pPr>
        <w:pageBreakBefore w:val="0"/>
        <w:widowControl w:val="0"/>
        <w:numPr>
          <w:ilvl w:val="2"/>
          <w:numId w:val="4"/>
        </w:numPr>
        <w:tabs>
          <w:tab w:val="left" w:pos="567"/>
          <w:tab w:val="clear" w:pos="794"/>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代表对开标过程和开标记录有异议，以及认为采购人、采购代理机构相关工作人员有需要回避的情形的，应当场提出询问或者回避申请。开标现场未提出异议的视为认同开标结果。开标结束后，投标人对开标过程和开标记录不得再提出异议。</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投标人未参加开标的，视同认可开标结果。</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color w:val="auto"/>
          <w:sz w:val="21"/>
          <w:szCs w:val="21"/>
          <w:lang w:val="en-US" w:eastAsia="zh-CN"/>
        </w:rPr>
        <w:t>现场参与的</w:t>
      </w:r>
      <w:r>
        <w:rPr>
          <w:rFonts w:hint="eastAsia" w:ascii="宋体" w:hAnsi="宋体" w:eastAsia="宋体"/>
          <w:color w:val="auto"/>
          <w:sz w:val="21"/>
          <w:szCs w:val="21"/>
        </w:rPr>
        <w:t>投标人不足3家的，不得开标；</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开标过程应当由采购人或者采购代理机构负责记录，由参加开标的各投标人代表和相关工作人员签字确认。</w:t>
      </w:r>
    </w:p>
    <w:p>
      <w:pPr>
        <w:pageBreakBefore w:val="0"/>
        <w:widowControl w:val="0"/>
        <w:kinsoku/>
        <w:wordWrap/>
        <w:topLinePunct w:val="0"/>
        <w:autoSpaceDE/>
        <w:autoSpaceDN/>
        <w:bidi w:val="0"/>
        <w:adjustRightInd/>
        <w:snapToGrid/>
        <w:spacing w:after="0" w:line="360" w:lineRule="auto"/>
        <w:ind w:left="567"/>
        <w:jc w:val="both"/>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21" w:name="_Toc5524"/>
      <w:bookmarkStart w:id="122" w:name="_Toc4921"/>
      <w:bookmarkStart w:id="123" w:name="_Toc5974"/>
      <w:r>
        <w:rPr>
          <w:rFonts w:hint="eastAsia" w:ascii="宋体" w:hAnsi="宋体" w:eastAsia="宋体"/>
          <w:color w:val="auto"/>
          <w:sz w:val="21"/>
          <w:szCs w:val="21"/>
        </w:rPr>
        <w:t>23.评标委员会及评标方法</w:t>
      </w:r>
      <w:bookmarkEnd w:id="121"/>
      <w:bookmarkEnd w:id="122"/>
      <w:bookmarkEnd w:id="123"/>
    </w:p>
    <w:p>
      <w:pPr>
        <w:pStyle w:val="33"/>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评标委员会根据招标项目的特点进行组建，并负责评标工作。</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评审方法：本次招标的评审方法采用综合评分法。</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定标原则：在最大限度</w:t>
      </w:r>
      <w:r>
        <w:rPr>
          <w:rFonts w:ascii="宋体" w:hAnsi="宋体" w:eastAsia="宋体"/>
          <w:color w:val="auto"/>
          <w:sz w:val="21"/>
          <w:szCs w:val="21"/>
        </w:rPr>
        <w:t>满足招标文件</w:t>
      </w:r>
      <w:r>
        <w:rPr>
          <w:rFonts w:hint="eastAsia" w:ascii="宋体" w:hAnsi="宋体" w:eastAsia="宋体"/>
          <w:color w:val="auto"/>
          <w:sz w:val="21"/>
          <w:szCs w:val="21"/>
        </w:rPr>
        <w:t>实质性要求前提下，按照招标文件规定的各项评价因素进行量化打分，以评标总得分最高的投标人作为中标候选人或中标人。</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评标委员会对投标文件的评审内容，分为商务评议、技术评议和价格评议。评审流程包括符合性检查、澄清问题、比较与评价、推荐中标候选人或确定中标人、编写评标报告等步骤。</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通过资格性和符合性审查的有效</w:t>
      </w:r>
      <w:r>
        <w:rPr>
          <w:rFonts w:hint="eastAsia" w:ascii="宋体" w:hAnsi="宋体"/>
          <w:color w:val="auto"/>
          <w:sz w:val="21"/>
          <w:szCs w:val="21"/>
          <w:lang w:val="en-US" w:eastAsia="zh-CN"/>
        </w:rPr>
        <w:t>投标人</w:t>
      </w:r>
      <w:r>
        <w:rPr>
          <w:rFonts w:hint="eastAsia" w:ascii="宋体" w:hAnsi="宋体" w:eastAsia="宋体"/>
          <w:color w:val="auto"/>
          <w:sz w:val="21"/>
          <w:szCs w:val="21"/>
        </w:rPr>
        <w:t>方有资格提交最终报价及进入综合评审。</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在评标期间，评标委员会可要求投标人对其投标文件进行澄清，但不得寻求、提供或允许对投标价格等实质性内容做任何更改。有关澄清的要求和答复均应以纸质版形式提交，如投标人拒绝评标委员会要求对其投标文件进行澄清的要求，所造成的后果由投标人自行承担。</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24" w:name="_Toc15231"/>
      <w:bookmarkStart w:id="125" w:name="_Toc32730"/>
      <w:bookmarkStart w:id="126" w:name="_Toc26402"/>
      <w:r>
        <w:rPr>
          <w:rFonts w:hint="eastAsia" w:ascii="宋体" w:hAnsi="宋体" w:eastAsia="宋体"/>
          <w:color w:val="auto"/>
          <w:sz w:val="21"/>
          <w:szCs w:val="21"/>
        </w:rPr>
        <w:t>24.评审原则及评标过程的保密</w:t>
      </w:r>
      <w:bookmarkEnd w:id="124"/>
      <w:bookmarkEnd w:id="125"/>
      <w:bookmarkEnd w:id="126"/>
    </w:p>
    <w:p>
      <w:pPr>
        <w:pStyle w:val="33"/>
        <w:pageBreakBefore w:val="0"/>
        <w:widowControl w:val="0"/>
        <w:numPr>
          <w:ilvl w:val="0"/>
          <w:numId w:val="4"/>
        </w:numPr>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评审的基本原则：</w:t>
      </w:r>
      <w:r>
        <w:rPr>
          <w:rFonts w:hint="eastAsia" w:ascii="宋体" w:hAnsi="宋体"/>
          <w:color w:val="auto"/>
          <w:szCs w:val="21"/>
        </w:rPr>
        <w:t>评标委员会将依据招标文件的规定，遵循“公开、公平、公正、择优、信用”的原则进行评审工作。</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lang w:val="en-US" w:eastAsia="zh-CN"/>
        </w:rPr>
        <w:t>招标</w:t>
      </w:r>
      <w:r>
        <w:rPr>
          <w:rFonts w:hint="eastAsia" w:ascii="宋体" w:hAnsi="宋体" w:eastAsia="宋体"/>
          <w:color w:val="auto"/>
          <w:sz w:val="21"/>
          <w:szCs w:val="21"/>
        </w:rPr>
        <w:t>文件中要求</w:t>
      </w:r>
      <w:r>
        <w:rPr>
          <w:rFonts w:hint="eastAsia" w:ascii="宋体" w:hAnsi="宋体" w:eastAsia="宋体"/>
          <w:color w:val="auto"/>
          <w:sz w:val="21"/>
          <w:szCs w:val="21"/>
          <w:lang w:val="en-US" w:eastAsia="zh-CN"/>
        </w:rPr>
        <w:t>投标人</w:t>
      </w:r>
      <w:r>
        <w:rPr>
          <w:rFonts w:hint="eastAsia" w:ascii="宋体" w:hAnsi="宋体" w:eastAsia="宋体"/>
          <w:color w:val="auto"/>
          <w:sz w:val="21"/>
          <w:szCs w:val="21"/>
        </w:rPr>
        <w:t>提供的相关资质证书证明材料因国家政策变动导致新旧证书名称不一致</w:t>
      </w:r>
      <w:r>
        <w:rPr>
          <w:rFonts w:hint="eastAsia" w:ascii="宋体" w:hAnsi="宋体" w:eastAsia="宋体"/>
          <w:color w:val="auto"/>
          <w:sz w:val="21"/>
          <w:szCs w:val="21"/>
          <w:lang w:val="en-US" w:eastAsia="zh-CN"/>
        </w:rPr>
        <w:t>的</w:t>
      </w:r>
      <w:r>
        <w:rPr>
          <w:rFonts w:hint="eastAsia" w:ascii="宋体" w:hAnsi="宋体" w:eastAsia="宋体"/>
          <w:color w:val="auto"/>
          <w:sz w:val="21"/>
          <w:szCs w:val="21"/>
        </w:rPr>
        <w:t>，</w:t>
      </w:r>
      <w:r>
        <w:rPr>
          <w:rFonts w:hint="eastAsia" w:ascii="宋体" w:hAnsi="宋体" w:eastAsia="宋体"/>
          <w:color w:val="auto"/>
          <w:sz w:val="21"/>
          <w:szCs w:val="21"/>
          <w:lang w:val="en-US" w:eastAsia="zh-CN"/>
        </w:rPr>
        <w:t>投标人</w:t>
      </w:r>
      <w:r>
        <w:rPr>
          <w:rFonts w:hint="eastAsia" w:ascii="宋体" w:hAnsi="宋体" w:eastAsia="宋体"/>
          <w:color w:val="auto"/>
          <w:sz w:val="21"/>
          <w:szCs w:val="21"/>
        </w:rPr>
        <w:t>提供新证书</w:t>
      </w:r>
      <w:r>
        <w:rPr>
          <w:rFonts w:hint="eastAsia" w:ascii="宋体" w:hAnsi="宋体" w:eastAsia="宋体"/>
          <w:color w:val="auto"/>
          <w:sz w:val="21"/>
          <w:szCs w:val="21"/>
          <w:lang w:val="en-US" w:eastAsia="zh-CN"/>
        </w:rPr>
        <w:t>或</w:t>
      </w:r>
      <w:r>
        <w:rPr>
          <w:rFonts w:hint="eastAsia" w:ascii="宋体" w:hAnsi="宋体" w:eastAsia="宋体"/>
          <w:color w:val="auto"/>
          <w:sz w:val="21"/>
          <w:szCs w:val="21"/>
        </w:rPr>
        <w:t>提供在有效期内的旧证书</w:t>
      </w:r>
      <w:r>
        <w:rPr>
          <w:rFonts w:hint="eastAsia" w:ascii="宋体" w:hAnsi="宋体" w:eastAsia="宋体"/>
          <w:color w:val="auto"/>
          <w:sz w:val="21"/>
          <w:szCs w:val="21"/>
          <w:lang w:val="en-US" w:eastAsia="zh-CN"/>
        </w:rPr>
        <w:t>经评审委员会认定后，均具有同等效力，</w:t>
      </w:r>
      <w:r>
        <w:rPr>
          <w:rFonts w:hint="eastAsia" w:ascii="宋体" w:hAnsi="宋体" w:eastAsia="宋体"/>
          <w:color w:val="auto"/>
          <w:sz w:val="21"/>
          <w:szCs w:val="21"/>
        </w:rPr>
        <w:t>给予同等认可。</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从公开开标到签订合同，凡与审查、澄清、评审和投标有关的资料以及定标意见相关的事项，均不得向投标人及与评标无关的其他人透露。</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任何单位和个人不得非法干预、影响评标的过程和结果。</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27" w:name="_Toc16745"/>
      <w:bookmarkStart w:id="128" w:name="_Toc18436"/>
      <w:bookmarkStart w:id="129" w:name="_Toc3762"/>
      <w:r>
        <w:rPr>
          <w:rFonts w:hint="eastAsia" w:ascii="宋体" w:hAnsi="宋体" w:eastAsia="宋体"/>
          <w:color w:val="auto"/>
          <w:sz w:val="21"/>
          <w:szCs w:val="21"/>
        </w:rPr>
        <w:t>25.投标文件的初审</w:t>
      </w:r>
      <w:bookmarkEnd w:id="127"/>
      <w:bookmarkEnd w:id="128"/>
      <w:bookmarkEnd w:id="129"/>
    </w:p>
    <w:p>
      <w:pPr>
        <w:pStyle w:val="33"/>
        <w:pageBreakBefore w:val="0"/>
        <w:widowControl w:val="0"/>
        <w:numPr>
          <w:ilvl w:val="0"/>
          <w:numId w:val="4"/>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rPr>
      </w:pPr>
      <w:r>
        <w:rPr>
          <w:rFonts w:hint="eastAsia" w:ascii="宋体" w:hAnsi="宋体" w:eastAsia="宋体"/>
          <w:color w:val="auto"/>
          <w:sz w:val="21"/>
          <w:szCs w:val="21"/>
        </w:rPr>
        <w:t>开标结束后，采购人或者采购代理机构将依法对投标人的资格进行审查。资格审查时，投标人存在不符合资格性检查所要求事项情况的，投标无效。未通过资格审查的投标人不进入符合性审查的评审，</w:t>
      </w:r>
      <w:r>
        <w:rPr>
          <w:rFonts w:hint="eastAsia" w:ascii="宋体" w:hAnsi="宋体" w:eastAsia="宋体"/>
          <w:b/>
          <w:color w:val="auto"/>
          <w:sz w:val="21"/>
          <w:szCs w:val="21"/>
        </w:rPr>
        <w:t>资格性检查中发现下列情形之一的，其投标作无效处理：</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1) 资格瑕疵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资格证明文件未提供或不符合招标文件要求的；②资格证明文件有效期过期的；③《营业执照》复印件（加盖公章）或《事业单位法人证书》复印件（加盖公章）或其他主体证书复印件（加盖公章）未提供或有效期过期的；④提供的资质材料模糊不清导致无法辨认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2) 投标保证金瑕疵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包括但不限于：①投标人未按招标文件要求提交投标保证金；②提交方式、提交时间、提交金额不符合招标文件要求；③投标保证金有效期不符合招标文件要求。</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将对符合资格的投标人的投标文件进行符合性审查，以确定其是否满足招标文件的实质性要求。投标人不得通过修正或撤消不合要求的偏离或保留从而使其投标成为实质上响应的投标。符合性审查过程中，</w:t>
      </w:r>
      <w:r>
        <w:rPr>
          <w:rFonts w:hint="eastAsia" w:ascii="宋体" w:hAnsi="宋体" w:eastAsia="宋体"/>
          <w:b/>
          <w:color w:val="auto"/>
          <w:sz w:val="21"/>
          <w:szCs w:val="21"/>
        </w:rPr>
        <w:t>发现下列情况之一的，其投标将作无效处理</w:t>
      </w:r>
      <w:r>
        <w:rPr>
          <w:rFonts w:hint="eastAsia" w:ascii="宋体" w:hAnsi="宋体" w:eastAsia="宋体"/>
          <w:color w:val="auto"/>
          <w:sz w:val="21"/>
          <w:szCs w:val="21"/>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b/>
          <w:color w:val="auto"/>
          <w:sz w:val="21"/>
          <w:szCs w:val="21"/>
        </w:rPr>
        <w:t>1) 投标文件的有效性、完整性瑕疵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投标文件的数量、制作不符合要求、投标文件内容与采购内容不符的（包括但不限于投标文件项目采购项目编号错误，投标文件项目名称错误导致无法分辨所投项目为本项目，投标文件数量少于招标文件要求的）；②投标文件中要求签字的内容无法定代表人或其授权代表签字，或签字人无法定代表人有效授权的；③签字盖章不符合招标文件要求的；④投标文件内容有严重缺漏项的；⑤投标文件的关键内容字迹模糊、无法辨认的；⑥投标有效期不符合文件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2) 技术响应瑕疵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投标文件不满足招标文件中加注星号（★）的主要参数要求或加注星号的主要参数无技术资料支持的；②一般参数超出允许偏离的最大范围或最高项数的；③投标文件技术响应与事实不符或虚假投标的；④《技术规格偏离表》未提供的；⑤</w:t>
      </w:r>
      <w:r>
        <w:rPr>
          <w:rFonts w:hint="eastAsia" w:ascii="宋体" w:hAnsi="宋体"/>
          <w:color w:val="auto"/>
          <w:sz w:val="21"/>
          <w:szCs w:val="21"/>
          <w:lang w:eastAsia="zh-CN"/>
        </w:rPr>
        <w:t>《</w:t>
      </w:r>
      <w:r>
        <w:rPr>
          <w:rFonts w:hint="eastAsia" w:ascii="宋体" w:hAnsi="宋体" w:eastAsia="宋体"/>
          <w:color w:val="auto"/>
          <w:sz w:val="21"/>
          <w:szCs w:val="21"/>
        </w:rPr>
        <w:t>实质性条款（标记★）投标响应表</w:t>
      </w:r>
      <w:r>
        <w:rPr>
          <w:rFonts w:hint="eastAsia" w:ascii="宋体" w:hAnsi="宋体"/>
          <w:color w:val="auto"/>
          <w:sz w:val="21"/>
          <w:szCs w:val="21"/>
          <w:lang w:eastAsia="zh-CN"/>
        </w:rPr>
        <w:t>》</w:t>
      </w:r>
      <w:r>
        <w:rPr>
          <w:rFonts w:hint="eastAsia" w:ascii="宋体" w:hAnsi="宋体"/>
          <w:color w:val="auto"/>
          <w:sz w:val="21"/>
          <w:szCs w:val="21"/>
          <w:lang w:val="en-US" w:eastAsia="zh-CN"/>
        </w:rPr>
        <w:t>未提供的</w:t>
      </w:r>
      <w:r>
        <w:rPr>
          <w:rFonts w:hint="eastAsia" w:ascii="宋体" w:hAnsi="宋体"/>
          <w:color w:val="auto"/>
          <w:sz w:val="21"/>
          <w:szCs w:val="21"/>
          <w:lang w:eastAsia="zh-CN"/>
        </w:rPr>
        <w:t>；</w:t>
      </w:r>
      <w:r>
        <w:rPr>
          <w:rFonts w:hint="eastAsia" w:ascii="宋体" w:hAnsi="宋体" w:eastAsia="宋体"/>
          <w:color w:val="auto"/>
          <w:sz w:val="21"/>
          <w:szCs w:val="21"/>
        </w:rPr>
        <w:t>⑥将一个包中的内容拆开投标的；⑦投标人对同一货物或服务投标时，投标方案不唯一；⑧明显不符合技术规格、技术标准要求的；⑨其他未实质性响应招标文件技术要求的。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3) 商务响应瑕疵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招标文件加注星号（★）的商务要求负偏离的；②招标项目完成期（包括但不限于：工期，服务期，交货期等）未满足招标文件要求的；③投标文件载明的货物包装方式、检验标准和方法不符合招标文件要求的；④《商务条款偏离表》未提供的；⑤投标文件附有采购人不能接受的条件的；⑥其他未实质性响应招标文件商务要求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4）投标报价瑕疵</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包括但不限于：①投标报价超过本招标文件明确的项目预算或文件明确的最高限价；②未按招标文件要求进行报价的；③报价内容或报价格式不符合招标文件要求的；④投标报价有严重缺漏项的。</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5）违规行为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包括但不限于：①以他人的名义投标、串通投标、以行贿手段谋取中标或者以其他弄虚作假方式投标的；②扰乱开标、评标秩序，干扰招标工作正常进行的。③存在经评标委员会认定的其他违规违法行为。</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color w:val="auto"/>
          <w:sz w:val="21"/>
          <w:szCs w:val="21"/>
        </w:rPr>
      </w:pPr>
      <w:r>
        <w:rPr>
          <w:rFonts w:hint="eastAsia" w:ascii="宋体" w:hAnsi="宋体" w:eastAsia="宋体"/>
          <w:b/>
          <w:color w:val="auto"/>
          <w:sz w:val="21"/>
          <w:szCs w:val="21"/>
        </w:rPr>
        <w:t>6)法律法规及招标文件中规定的其它情形。</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r>
        <w:rPr>
          <w:rFonts w:hint="eastAsia" w:ascii="宋体" w:hAnsi="宋体" w:eastAsia="宋体"/>
          <w:color w:val="auto"/>
          <w:sz w:val="21"/>
          <w:szCs w:val="21"/>
        </w:rPr>
        <w:t>根据项目情况，评标委员会有权决定招标文件中“可能导致废标”或“可能导致其投标被拒绝”等具体条款是否实施“废标”或“投标被拒绝”，但对同一条款的裁决应适用于每个投标人。</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对于投标文件中不构成实质性偏差的不正规、不一致或不规则，评标委员会可以接受，但这种接受不能损害或影响任何投标人的相对排序。</w:t>
      </w:r>
    </w:p>
    <w:p>
      <w:pPr>
        <w:pageBreakBefore w:val="0"/>
        <w:widowControl w:val="0"/>
        <w:numPr>
          <w:ilvl w:val="1"/>
          <w:numId w:val="4"/>
        </w:numPr>
        <w:kinsoku/>
        <w:wordWrap/>
        <w:topLinePunct w:val="0"/>
        <w:autoSpaceDE/>
        <w:autoSpaceDN/>
        <w:bidi w:val="0"/>
        <w:adjustRightInd/>
        <w:snapToGrid/>
        <w:spacing w:after="0" w:line="360" w:lineRule="auto"/>
        <w:jc w:val="both"/>
        <w:textAlignment w:val="auto"/>
        <w:rPr>
          <w:color w:val="auto"/>
        </w:rPr>
      </w:pPr>
      <w:r>
        <w:rPr>
          <w:rFonts w:hint="eastAsia" w:ascii="宋体" w:hAnsi="宋体" w:eastAsia="宋体"/>
          <w:color w:val="auto"/>
          <w:sz w:val="21"/>
          <w:szCs w:val="21"/>
        </w:rPr>
        <w:t>在详细评标之前，评标委员会要审查每份投标文件是否实质上响应了招标文件的要求。实质上响应的投标应该是与招标文件要求的全部主要条款（加“★”号）、条件和规格相符，没有重大偏离的投标。对关键条文的偏离、保留或反对，例如关于投标保证金、合同条款的重大偏离将被认为是实质上的偏离。评标委员会决定投标文件的响应性只根据投标文件本身的内容，而不寻求外部的证据。</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30" w:name="_Toc21742"/>
      <w:bookmarkStart w:id="131" w:name="_Toc29184"/>
      <w:bookmarkStart w:id="132" w:name="_Toc27673"/>
      <w:r>
        <w:rPr>
          <w:rFonts w:hint="eastAsia" w:ascii="宋体" w:hAnsi="宋体" w:eastAsia="宋体"/>
          <w:color w:val="auto"/>
          <w:sz w:val="21"/>
          <w:szCs w:val="21"/>
        </w:rPr>
        <w:t>26.商务、技术、价格评审（具体评审项目详见投标资料表）</w:t>
      </w:r>
      <w:bookmarkEnd w:id="130"/>
      <w:bookmarkEnd w:id="131"/>
      <w:bookmarkEnd w:id="132"/>
    </w:p>
    <w:p>
      <w:pPr>
        <w:pStyle w:val="33"/>
        <w:pageBreakBefore w:val="0"/>
        <w:widowControl w:val="0"/>
        <w:numPr>
          <w:ilvl w:val="0"/>
          <w:numId w:val="4"/>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ascii="宋体" w:hAnsi="宋体" w:eastAsia="宋体"/>
          <w:color w:val="auto"/>
          <w:sz w:val="21"/>
          <w:szCs w:val="21"/>
        </w:rPr>
        <w:t>对通过符合性检查的投标人进行商务技术综合评议，针对投标文件对招标文件的响应情况对各个投标人进行商务和技术评分</w:t>
      </w:r>
      <w:r>
        <w:rPr>
          <w:rFonts w:hint="eastAsia" w:ascii="宋体" w:hAnsi="宋体" w:eastAsia="宋体"/>
          <w:color w:val="auto"/>
          <w:sz w:val="21"/>
          <w:szCs w:val="21"/>
        </w:rPr>
        <w:t xml:space="preserve">。 </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评标委员会应当将其作为无效投标处理。</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投标文件报价出现前后不一致的，评标委员会按照下列规定修正：</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投标文件中</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（报价表）内容与投标文件中相应内容不一致的，以</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（报价表）为准；</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大写金额和小写金额不一致的，以大写金额为准；</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单价金额小数点或者百分比有明显错位的，以</w:t>
      </w:r>
      <w:r>
        <w:rPr>
          <w:rFonts w:hint="eastAsia" w:ascii="宋体" w:hAnsi="宋体" w:eastAsia="宋体"/>
          <w:color w:val="auto"/>
          <w:sz w:val="21"/>
          <w:szCs w:val="21"/>
          <w:lang w:eastAsia="zh-CN"/>
        </w:rPr>
        <w:t>唱标一览表</w:t>
      </w:r>
      <w:r>
        <w:rPr>
          <w:rFonts w:hint="eastAsia" w:ascii="宋体" w:hAnsi="宋体" w:eastAsia="宋体"/>
          <w:color w:val="auto"/>
          <w:sz w:val="21"/>
          <w:szCs w:val="21"/>
        </w:rPr>
        <w:t>的总价为准，并修改单价；</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总价金额与按单价汇总金额不一致的，以单价金额计算结果为准。</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同时出现两种以上不一致的，按照前款规定的顺序修正。修正后的报价按照经投标人确认后产生约束力，投标人不确认的，其投标无效。</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对通过符合性审查的投标文件进行详细评审。评标委员会对每一投标文件进行详细的商务评审、技术评审。按照评审程序的规定和依据评分标准，各位评委就每个投标人的技术、商务状况及其对招标文件要求的响应情况进行评议和比较，评出其技术评分和商务评分。根据招标文件规定评出得分，将价格得分、商务得分、技术得分相加得出最终评标得分。</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使用综合评分法的采购项目，核心产品提供相同品牌产品且通过资格审查、符合性审查的不同投标人参加同一合同项下投标的，按一家投标人计算，评审后得分最高的同品牌投标人获得中标人推荐资格。</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核心产品提供相同品牌产品且通过资格审查、符合性审查的不同投标人参加同一合同项下投标且评审得分相同的，按照评审因素的技术评审得分最高的投标人为排名第一的中标候选人，其他同品牌投标人不作为中标候选人。</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pageBreakBefore w:val="0"/>
        <w:widowControl w:val="0"/>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33" w:name="_Toc316375620"/>
      <w:bookmarkStart w:id="134" w:name="_Toc12115"/>
      <w:bookmarkStart w:id="135" w:name="_Toc20328"/>
      <w:bookmarkStart w:id="136" w:name="_Toc31141"/>
      <w:bookmarkStart w:id="137" w:name="_Toc22591"/>
      <w:bookmarkStart w:id="138" w:name="_Toc382049120"/>
      <w:r>
        <w:rPr>
          <w:rFonts w:hint="eastAsia" w:ascii="宋体" w:hAnsi="宋体" w:eastAsia="宋体"/>
          <w:color w:val="auto"/>
          <w:sz w:val="21"/>
          <w:szCs w:val="21"/>
        </w:rPr>
        <w:t>2</w:t>
      </w:r>
      <w:r>
        <w:rPr>
          <w:rFonts w:hint="eastAsia" w:ascii="宋体" w:hAnsi="宋体" w:eastAsia="宋体"/>
          <w:color w:val="auto"/>
          <w:sz w:val="21"/>
          <w:szCs w:val="21"/>
          <w:lang w:val="en-US" w:eastAsia="zh-CN"/>
        </w:rPr>
        <w:t>7</w:t>
      </w:r>
      <w:r>
        <w:rPr>
          <w:rFonts w:hint="eastAsia" w:ascii="宋体" w:hAnsi="宋体" w:eastAsia="宋体"/>
          <w:color w:val="auto"/>
          <w:sz w:val="21"/>
          <w:szCs w:val="21"/>
        </w:rPr>
        <w:t>.纪律和</w:t>
      </w:r>
      <w:r>
        <w:rPr>
          <w:rFonts w:ascii="宋体" w:hAnsi="宋体" w:eastAsia="宋体"/>
          <w:color w:val="auto"/>
          <w:sz w:val="21"/>
          <w:szCs w:val="21"/>
        </w:rPr>
        <w:t>保密</w:t>
      </w:r>
      <w:bookmarkEnd w:id="133"/>
      <w:r>
        <w:rPr>
          <w:rFonts w:hint="eastAsia" w:ascii="宋体" w:hAnsi="宋体" w:eastAsia="宋体"/>
          <w:color w:val="auto"/>
          <w:sz w:val="21"/>
          <w:szCs w:val="21"/>
        </w:rPr>
        <w:t>事项</w:t>
      </w:r>
      <w:bookmarkEnd w:id="134"/>
      <w:bookmarkEnd w:id="135"/>
      <w:bookmarkEnd w:id="136"/>
      <w:bookmarkEnd w:id="137"/>
      <w:bookmarkEnd w:id="138"/>
    </w:p>
    <w:p>
      <w:pPr>
        <w:pStyle w:val="33"/>
        <w:pageBreakBefore w:val="0"/>
        <w:widowControl w:val="0"/>
        <w:numPr>
          <w:ilvl w:val="0"/>
          <w:numId w:val="4"/>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从开标之日起至授予合同期间，在投标文件的审查、澄清、比较和评价阶段，投标人试图对评标委员会和采购代理机构施加任何影响或对采购人的比较及授予合同的决定产生影响，都可能导致其投标文件被拒绝。</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投标人不得串通作弊，以不正当的手段妨碍、排挤其他投标人，扰乱招标市场，破坏公平竞争原则。否则将按相关法律规定严肃处理。</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获得本招标文件的投标人，应对文件进行保密，不得用作本次投标以外的任何用途。开标后，投标人应归还招标文件中要求保密的文件和资料。</w:t>
      </w:r>
    </w:p>
    <w:p>
      <w:pPr>
        <w:rPr>
          <w:color w:val="auto"/>
        </w:rPr>
      </w:pPr>
    </w:p>
    <w:p>
      <w:pPr>
        <w:pStyle w:val="4"/>
        <w:numPr>
          <w:ilvl w:val="0"/>
          <w:numId w:val="0"/>
        </w:numPr>
        <w:spacing w:before="0" w:after="0" w:line="480" w:lineRule="auto"/>
        <w:ind w:leftChars="0"/>
        <w:jc w:val="center"/>
        <w:rPr>
          <w:rFonts w:ascii="宋体" w:hAnsi="宋体" w:eastAsia="宋体"/>
          <w:color w:val="auto"/>
        </w:rPr>
      </w:pPr>
      <w:bookmarkStart w:id="139" w:name="_Toc5528"/>
      <w:bookmarkStart w:id="140" w:name="_Toc12251"/>
      <w:bookmarkStart w:id="141" w:name="_Toc29310"/>
      <w:r>
        <w:rPr>
          <w:rFonts w:hint="eastAsia" w:ascii="宋体" w:hAnsi="宋体"/>
          <w:color w:val="auto"/>
          <w:lang w:val="en-US" w:eastAsia="zh-CN"/>
        </w:rPr>
        <w:t>第六章</w:t>
      </w:r>
      <w:r>
        <w:rPr>
          <w:rFonts w:hint="eastAsia" w:ascii="宋体" w:hAnsi="宋体" w:eastAsia="宋体"/>
          <w:color w:val="auto"/>
        </w:rPr>
        <w:t>授予合同</w:t>
      </w:r>
      <w:bookmarkEnd w:id="139"/>
      <w:bookmarkEnd w:id="140"/>
      <w:bookmarkEnd w:id="141"/>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42" w:name="_Toc6696"/>
      <w:bookmarkStart w:id="143" w:name="_Toc508284011"/>
      <w:bookmarkStart w:id="144" w:name="_Toc27817"/>
      <w:bookmarkStart w:id="145" w:name="_Toc17778"/>
      <w:r>
        <w:rPr>
          <w:rFonts w:hint="eastAsia" w:ascii="宋体" w:hAnsi="宋体" w:eastAsia="宋体"/>
          <w:color w:val="auto"/>
          <w:sz w:val="21"/>
          <w:szCs w:val="21"/>
        </w:rPr>
        <w:t>2</w:t>
      </w:r>
      <w:r>
        <w:rPr>
          <w:rFonts w:hint="eastAsia" w:ascii="宋体" w:hAnsi="宋体" w:eastAsia="宋体"/>
          <w:color w:val="auto"/>
          <w:sz w:val="21"/>
          <w:szCs w:val="21"/>
          <w:lang w:val="en-US" w:eastAsia="zh-CN"/>
        </w:rPr>
        <w:t>8</w:t>
      </w:r>
      <w:r>
        <w:rPr>
          <w:rFonts w:hint="eastAsia" w:ascii="宋体" w:hAnsi="宋体" w:eastAsia="宋体"/>
          <w:color w:val="auto"/>
          <w:sz w:val="21"/>
          <w:szCs w:val="21"/>
        </w:rPr>
        <w:t>.</w:t>
      </w:r>
      <w:r>
        <w:rPr>
          <w:rFonts w:ascii="宋体" w:hAnsi="宋体" w:eastAsia="宋体"/>
          <w:color w:val="auto"/>
          <w:sz w:val="21"/>
          <w:szCs w:val="21"/>
        </w:rPr>
        <w:t>合同授予标准</w:t>
      </w:r>
      <w:bookmarkEnd w:id="142"/>
      <w:bookmarkEnd w:id="143"/>
      <w:bookmarkEnd w:id="144"/>
      <w:bookmarkEnd w:id="145"/>
    </w:p>
    <w:p>
      <w:pPr>
        <w:pStyle w:val="33"/>
        <w:pageBreakBefore w:val="0"/>
        <w:widowControl w:val="0"/>
        <w:numPr>
          <w:ilvl w:val="0"/>
          <w:numId w:val="4"/>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根据评标委员会的评审结果，采购人按照评审报告推荐的中标候选人中按顺序依法确定中标人</w:t>
      </w:r>
      <w:r>
        <w:rPr>
          <w:rFonts w:ascii="宋体" w:hAnsi="宋体" w:eastAsia="宋体"/>
          <w:color w:val="auto"/>
          <w:sz w:val="21"/>
          <w:szCs w:val="21"/>
        </w:rPr>
        <w:t>。</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46" w:name="_Toc12440"/>
      <w:bookmarkStart w:id="147" w:name="_Toc29283"/>
      <w:bookmarkStart w:id="148" w:name="_Toc508284013"/>
      <w:bookmarkStart w:id="149" w:name="_Toc23136"/>
      <w:r>
        <w:rPr>
          <w:rFonts w:hint="eastAsia" w:ascii="宋体" w:hAnsi="宋体" w:eastAsia="宋体"/>
          <w:color w:val="auto"/>
          <w:sz w:val="21"/>
          <w:szCs w:val="21"/>
          <w:lang w:val="en-US" w:eastAsia="zh-CN"/>
        </w:rPr>
        <w:t>29</w:t>
      </w:r>
      <w:r>
        <w:rPr>
          <w:rFonts w:hint="eastAsia" w:ascii="宋体" w:hAnsi="宋体" w:eastAsia="宋体"/>
          <w:color w:val="auto"/>
          <w:sz w:val="21"/>
          <w:szCs w:val="21"/>
        </w:rPr>
        <w:t>.发布采购结果</w:t>
      </w:r>
      <w:bookmarkEnd w:id="146"/>
      <w:bookmarkEnd w:id="147"/>
      <w:bookmarkEnd w:id="148"/>
      <w:bookmarkEnd w:id="149"/>
    </w:p>
    <w:p>
      <w:pPr>
        <w:pStyle w:val="33"/>
        <w:pageBreakBefore w:val="0"/>
        <w:widowControl w:val="0"/>
        <w:numPr>
          <w:ilvl w:val="0"/>
          <w:numId w:val="4"/>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评标委员会提出评标书面报告和推荐中标意见报采购人确认后，采购代理机构将在指定的信息发布媒体上发布公告。</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中标公告期限为1个工作日。</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结果公示发布后，中标单位应及时领取中标通知书。《中标通知书》是合同的一个组成部分，《中标通知书》对采购人和中标人均具有同等法律效力。</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中标人无正当理由不得放弃中标，因中标人放弃中标而对采购人造成的损失由放弃中标的中标人承担。</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原件核查</w:t>
      </w:r>
    </w:p>
    <w:p>
      <w:pPr>
        <w:pageBreakBefore w:val="0"/>
        <w:widowControl w:val="0"/>
        <w:numPr>
          <w:ilvl w:val="2"/>
          <w:numId w:val="4"/>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采购结果发布后，采购代理机构或采购人有权对中标单位进行原件核查，中标单位应在五个工作日内把相关原件递交至采购代理机构办公地址或采购人指定地址进行核查。</w:t>
      </w:r>
    </w:p>
    <w:p>
      <w:pPr>
        <w:pageBreakBefore w:val="0"/>
        <w:widowControl w:val="0"/>
        <w:numPr>
          <w:ilvl w:val="2"/>
          <w:numId w:val="4"/>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中标单位有下列情形之一的，取消中标资格：</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拒绝采购人或采购代理机构原件核查要求的；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未在规定时间内将原件递交到到采购代理机构办公地址或采购人指定地址进行核查的；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在规定时间内递交的原件数量、内容与采购人、采购代理机构要求不一致的；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因原件续期、更改等原因不能按时递交原件且未能在规定时间内提供相应部门开具的变更、续期等证明的；</w:t>
      </w:r>
    </w:p>
    <w:p>
      <w:pPr>
        <w:pageBreakBefore w:val="0"/>
        <w:widowControl w:val="0"/>
        <w:numPr>
          <w:ilvl w:val="0"/>
          <w:numId w:val="7"/>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经查原件，投标文件内容有造假行为的。</w:t>
      </w:r>
    </w:p>
    <w:p>
      <w:pPr>
        <w:pageBreakBefore w:val="0"/>
        <w:widowControl w:val="0"/>
        <w:numPr>
          <w:ilvl w:val="2"/>
          <w:numId w:val="4"/>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采购结果发布后，采购代理机构或采购人有权对递交了投标文件的未中标投标人进行原件核查。投标人应在采购代理机构或采购人发出纸质通知五个工作日内将原件递交到采购代理机构办公地址或采购人指定地址进行核查。</w:t>
      </w:r>
    </w:p>
    <w:p>
      <w:pPr>
        <w:pageBreakBefore w:val="0"/>
        <w:widowControl w:val="0"/>
        <w:numPr>
          <w:ilvl w:val="2"/>
          <w:numId w:val="4"/>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投标人有下列情形之一的，投标文件作无效处理，其投标无效：</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拒绝采购人或采购代理机构原件核查要求的；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未在规定时间内将原件递交到到采购代理机构办公地址或采购人指定地址进行核查的；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在规定时间内递交的原件数量、内容不符合采购人、采购代理机构要求的；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因原件续期、更改等原因不能按时递交原件且未能在规定时间内提供相应部门开具的变更、续期等证明的；</w:t>
      </w:r>
    </w:p>
    <w:p>
      <w:pPr>
        <w:pageBreakBefore w:val="0"/>
        <w:widowControl w:val="0"/>
        <w:numPr>
          <w:ilvl w:val="0"/>
          <w:numId w:val="8"/>
        </w:numPr>
        <w:tabs>
          <w:tab w:val="left" w:pos="567"/>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经查原件，投标文件内容有造假行为的。</w:t>
      </w:r>
    </w:p>
    <w:p>
      <w:pPr>
        <w:pageBreakBefore w:val="0"/>
        <w:widowControl w:val="0"/>
        <w:numPr>
          <w:ilvl w:val="2"/>
          <w:numId w:val="4"/>
        </w:numPr>
        <w:tabs>
          <w:tab w:val="left" w:pos="567"/>
          <w:tab w:val="left" w:pos="907"/>
          <w:tab w:val="clear" w:pos="794"/>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若投标人出现虚假应标情况，投标文件作无效处理，其投标、中标无效。并根据相关法律上报相关监管部门。</w:t>
      </w:r>
    </w:p>
    <w:p>
      <w:pPr>
        <w:pageBreakBefore w:val="0"/>
        <w:widowControl w:val="0"/>
        <w:numPr>
          <w:ilvl w:val="2"/>
          <w:numId w:val="4"/>
        </w:numPr>
        <w:tabs>
          <w:tab w:val="left" w:pos="567"/>
          <w:tab w:val="left" w:pos="907"/>
          <w:tab w:val="clear" w:pos="794"/>
        </w:tabs>
        <w:kinsoku/>
        <w:wordWrap/>
        <w:topLinePunct w:val="0"/>
        <w:autoSpaceDE/>
        <w:autoSpaceDN/>
        <w:bidi w:val="0"/>
        <w:adjustRightInd/>
        <w:snapToGrid/>
        <w:spacing w:after="0" w:line="360" w:lineRule="auto"/>
        <w:jc w:val="both"/>
        <w:textAlignment w:val="auto"/>
        <w:rPr>
          <w:color w:val="auto"/>
        </w:rPr>
      </w:pPr>
      <w:r>
        <w:rPr>
          <w:rFonts w:hint="eastAsia" w:ascii="宋体" w:hAnsi="宋体" w:eastAsia="宋体"/>
          <w:color w:val="auto"/>
          <w:sz w:val="21"/>
          <w:szCs w:val="21"/>
        </w:rPr>
        <w:t>属于建办市函[2016]462号通知内的证件可不提供原件，仅提供带二维码原件的复印件即可。</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50" w:name="_Toc22451"/>
      <w:bookmarkStart w:id="151" w:name="_Toc22262"/>
      <w:bookmarkStart w:id="152" w:name="_Toc27279"/>
      <w:r>
        <w:rPr>
          <w:rFonts w:hint="eastAsia" w:ascii="宋体" w:hAnsi="宋体" w:eastAsia="宋体"/>
          <w:color w:val="auto"/>
          <w:sz w:val="21"/>
          <w:szCs w:val="21"/>
        </w:rPr>
        <w:t>3</w:t>
      </w:r>
      <w:r>
        <w:rPr>
          <w:rFonts w:hint="eastAsia" w:ascii="宋体" w:hAnsi="宋体" w:eastAsia="宋体"/>
          <w:color w:val="auto"/>
          <w:sz w:val="21"/>
          <w:szCs w:val="21"/>
          <w:lang w:val="en-US" w:eastAsia="zh-CN"/>
        </w:rPr>
        <w:t>0</w:t>
      </w:r>
      <w:r>
        <w:rPr>
          <w:rFonts w:hint="eastAsia" w:ascii="宋体" w:hAnsi="宋体" w:eastAsia="宋体"/>
          <w:color w:val="auto"/>
          <w:sz w:val="21"/>
          <w:szCs w:val="21"/>
        </w:rPr>
        <w:t>.合同的签订与履行</w:t>
      </w:r>
      <w:bookmarkEnd w:id="150"/>
      <w:bookmarkEnd w:id="151"/>
      <w:bookmarkEnd w:id="152"/>
    </w:p>
    <w:p>
      <w:pPr>
        <w:pStyle w:val="33"/>
        <w:pageBreakBefore w:val="0"/>
        <w:widowControl w:val="0"/>
        <w:numPr>
          <w:ilvl w:val="0"/>
          <w:numId w:val="4"/>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采购人应当自采购结果公示发出之日起30日内，按照招标文件和中标人投标文件的规定，与中标人签订书面合同。所签订的合同不得对招标文件确定的事项和中标人投标文件作实质性修改。</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采购人与中标人应当根据合同的约定依法履行合同义务。</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采购合同的履行、违约责任和解决争议的方法等适用《中华人民共和国</w:t>
      </w:r>
      <w:r>
        <w:rPr>
          <w:rFonts w:hint="eastAsia" w:ascii="宋体" w:hAnsi="宋体" w:eastAsia="宋体"/>
          <w:color w:val="auto"/>
          <w:sz w:val="21"/>
          <w:szCs w:val="21"/>
          <w:lang w:eastAsia="zh-CN"/>
        </w:rPr>
        <w:t>民法典</w:t>
      </w:r>
      <w:r>
        <w:rPr>
          <w:rFonts w:hint="eastAsia" w:ascii="宋体" w:hAnsi="宋体" w:eastAsia="宋体"/>
          <w:color w:val="auto"/>
          <w:sz w:val="21"/>
          <w:szCs w:val="21"/>
        </w:rPr>
        <w:t>》。</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color w:val="auto"/>
          <w:sz w:val="21"/>
          <w:szCs w:val="21"/>
        </w:rPr>
      </w:pPr>
      <w:r>
        <w:rPr>
          <w:rFonts w:hint="eastAsia" w:ascii="宋体" w:hAnsi="宋体" w:eastAsia="宋体"/>
          <w:b/>
          <w:color w:val="auto"/>
          <w:sz w:val="21"/>
          <w:szCs w:val="21"/>
        </w:rPr>
        <w:t>合同签订之日起2个工作日内，中标人应将所签订的合同副本（加盖公章）交至</w:t>
      </w:r>
      <w:r>
        <w:rPr>
          <w:rFonts w:hint="eastAsia" w:ascii="宋体" w:hAnsi="宋体" w:eastAsia="宋体"/>
          <w:b/>
          <w:color w:val="auto"/>
          <w:sz w:val="21"/>
          <w:szCs w:val="21"/>
          <w:lang w:eastAsia="zh-CN"/>
        </w:rPr>
        <w:t>广东政通招标有限公司</w:t>
      </w:r>
      <w:r>
        <w:rPr>
          <w:rFonts w:hint="eastAsia" w:ascii="宋体" w:hAnsi="宋体" w:eastAsia="宋体"/>
          <w:b/>
          <w:color w:val="auto"/>
          <w:sz w:val="21"/>
          <w:szCs w:val="21"/>
        </w:rPr>
        <w:t>归档。</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投标人根据招标文件的规定和采购项目的实际情况，拟在中标后将中标项目的非主体、非关键性工作分包的，应当在投标文件中载明分包承担主体，分包承担主体应当具备相应资质条件且不得再次分包。</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投标人在评审结束当天至合同履行结束，若因不可抗力的因素（如国家出台新法律法规等）造成投标人资质的变动，投标人应以纸质版形式通知采购人。若资质变动导致中标投标人不再具备履行合同资质要求，采购人有权中止合同。</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中标人拒绝与采购人签订合同的，采购人可以按照评审报告推荐的中标候选人名单排序，确定下一候选人为中标人，也可以重新开展采购活动。</w:t>
      </w:r>
    </w:p>
    <w:p>
      <w:pPr>
        <w:pageBreakBefore w:val="0"/>
        <w:kinsoku/>
        <w:wordWrap/>
        <w:topLinePunct w:val="0"/>
        <w:autoSpaceDE/>
        <w:autoSpaceDN/>
        <w:bidi w:val="0"/>
        <w:spacing w:line="360" w:lineRule="auto"/>
        <w:textAlignment w:val="auto"/>
        <w:rPr>
          <w:color w:val="auto"/>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53" w:name="_Toc303084277"/>
      <w:bookmarkStart w:id="154" w:name="_Toc382049124"/>
      <w:bookmarkStart w:id="155" w:name="_Toc2744"/>
      <w:bookmarkStart w:id="156" w:name="_Toc7405"/>
      <w:bookmarkStart w:id="157" w:name="_Toc29009"/>
      <w:bookmarkStart w:id="158" w:name="_Toc25756"/>
      <w:r>
        <w:rPr>
          <w:rFonts w:hint="eastAsia" w:ascii="宋体" w:hAnsi="宋体" w:eastAsia="宋体"/>
          <w:color w:val="auto"/>
          <w:sz w:val="21"/>
          <w:szCs w:val="21"/>
        </w:rPr>
        <w:t>3</w:t>
      </w:r>
      <w:r>
        <w:rPr>
          <w:rFonts w:hint="eastAsia" w:ascii="宋体" w:hAnsi="宋体" w:eastAsia="宋体"/>
          <w:color w:val="auto"/>
          <w:sz w:val="21"/>
          <w:szCs w:val="21"/>
          <w:lang w:val="en-US" w:eastAsia="zh-CN"/>
        </w:rPr>
        <w:t>1</w:t>
      </w:r>
      <w:r>
        <w:rPr>
          <w:rFonts w:hint="eastAsia" w:ascii="宋体" w:hAnsi="宋体" w:eastAsia="宋体"/>
          <w:color w:val="auto"/>
          <w:sz w:val="21"/>
          <w:szCs w:val="21"/>
        </w:rPr>
        <w:t>.</w:t>
      </w:r>
      <w:r>
        <w:rPr>
          <w:rFonts w:ascii="宋体" w:hAnsi="宋体" w:eastAsia="宋体"/>
          <w:color w:val="auto"/>
          <w:sz w:val="21"/>
          <w:szCs w:val="21"/>
        </w:rPr>
        <w:t>履约</w:t>
      </w:r>
      <w:r>
        <w:rPr>
          <w:rFonts w:hint="eastAsia" w:ascii="宋体" w:hAnsi="宋体" w:eastAsia="宋体"/>
          <w:color w:val="auto"/>
          <w:sz w:val="21"/>
          <w:szCs w:val="21"/>
        </w:rPr>
        <w:t>保证金</w:t>
      </w:r>
      <w:bookmarkEnd w:id="153"/>
      <w:bookmarkEnd w:id="154"/>
      <w:bookmarkEnd w:id="155"/>
      <w:bookmarkEnd w:id="156"/>
      <w:bookmarkEnd w:id="157"/>
      <w:bookmarkEnd w:id="158"/>
    </w:p>
    <w:p>
      <w:pPr>
        <w:pStyle w:val="33"/>
        <w:pageBreakBefore w:val="0"/>
        <w:widowControl w:val="0"/>
        <w:numPr>
          <w:ilvl w:val="0"/>
          <w:numId w:val="4"/>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应在领取中标通知书之后签订合同之前递交履约保证金（履约保函的提交与履约保证金的提交时间一致）。给采购人造成的损失超过投标担保数额的，还应当由其对超过部分予以赔偿，并依法追究其责任。中标人应在汇入履约保证金时在汇款单备注中注明：中标项目名称及中标项目编号。</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采用保证金（银行转帐、电汇）方式：中标人必须保证资金在签订合同前到帐。履约保证金账户采购人另行通知，到期后无息退还。</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采用履约保函方式：履约担保。是指由担保机构为供应商交纳履约保证金向采购人或采购代理机构提供的保证担保。供应商未按采购合同履行约定义务的，由担保机构按照担保函约定履行支付履约保证金的责任。（投标担保格式详见附件《采购投标担保函》）</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中标人须将履约保证金的汇款凭证 (注明中标通知书或项目编号)或履约保函（采购人注明原件已收到并盖章）用A4纸复印一式四份并加盖中标人的公章送至采购代理机构。</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履约保证金退回：履约保证金在项目验收合格后，中标人向采购人提交退回履约保证金的申请、履约保证金汇款凭证复印件、采购合同、采购项目验收报告原件、中标通知书复印件，前往采购人办理履约保证金退还手续。</w:t>
      </w:r>
    </w:p>
    <w:p>
      <w:pPr>
        <w:rPr>
          <w:color w:val="auto"/>
        </w:rPr>
      </w:pPr>
    </w:p>
    <w:p>
      <w:pPr>
        <w:pStyle w:val="4"/>
        <w:numPr>
          <w:ilvl w:val="0"/>
          <w:numId w:val="0"/>
        </w:numPr>
        <w:spacing w:before="0" w:after="0" w:line="480" w:lineRule="auto"/>
        <w:ind w:leftChars="0"/>
        <w:jc w:val="center"/>
        <w:rPr>
          <w:rFonts w:ascii="宋体" w:hAnsi="宋体" w:eastAsia="宋体"/>
          <w:color w:val="auto"/>
        </w:rPr>
      </w:pPr>
      <w:bookmarkStart w:id="159" w:name="_Toc13694"/>
      <w:bookmarkStart w:id="160" w:name="_Toc7360"/>
      <w:bookmarkStart w:id="161" w:name="_Toc20699"/>
      <w:r>
        <w:rPr>
          <w:rFonts w:hint="eastAsia" w:ascii="宋体" w:hAnsi="宋体"/>
          <w:color w:val="auto"/>
          <w:lang w:val="en-US" w:eastAsia="zh-CN"/>
        </w:rPr>
        <w:t>第七章</w:t>
      </w:r>
      <w:r>
        <w:rPr>
          <w:rFonts w:hint="eastAsia" w:ascii="宋体" w:hAnsi="宋体" w:eastAsia="宋体"/>
          <w:color w:val="auto"/>
        </w:rPr>
        <w:t>询问或质疑</w:t>
      </w:r>
      <w:bookmarkEnd w:id="159"/>
      <w:bookmarkEnd w:id="160"/>
      <w:bookmarkEnd w:id="161"/>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62" w:name="_Toc17974"/>
      <w:bookmarkStart w:id="163" w:name="_Toc22900"/>
      <w:bookmarkStart w:id="164" w:name="_Toc25498"/>
      <w:r>
        <w:rPr>
          <w:rFonts w:hint="eastAsia" w:ascii="宋体" w:hAnsi="宋体" w:eastAsia="宋体"/>
          <w:color w:val="auto"/>
          <w:sz w:val="21"/>
          <w:szCs w:val="21"/>
        </w:rPr>
        <w:t>3</w:t>
      </w:r>
      <w:r>
        <w:rPr>
          <w:rFonts w:hint="eastAsia" w:ascii="宋体" w:hAnsi="宋体" w:eastAsia="宋体"/>
          <w:color w:val="auto"/>
          <w:sz w:val="21"/>
          <w:szCs w:val="21"/>
          <w:lang w:val="en-US" w:eastAsia="zh-CN"/>
        </w:rPr>
        <w:t>2</w:t>
      </w:r>
      <w:r>
        <w:rPr>
          <w:rFonts w:hint="eastAsia" w:ascii="宋体" w:hAnsi="宋体" w:eastAsia="宋体"/>
          <w:color w:val="auto"/>
          <w:sz w:val="21"/>
          <w:szCs w:val="21"/>
        </w:rPr>
        <w:t>.询问</w:t>
      </w:r>
      <w:bookmarkEnd w:id="162"/>
      <w:bookmarkEnd w:id="163"/>
      <w:bookmarkEnd w:id="164"/>
    </w:p>
    <w:p>
      <w:pPr>
        <w:pStyle w:val="33"/>
        <w:pageBreakBefore w:val="0"/>
        <w:widowControl w:val="0"/>
        <w:numPr>
          <w:ilvl w:val="0"/>
          <w:numId w:val="4"/>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投标人对采购活动事项（招标文件、采购过程和采购结果）有疑问的，可以按规定向采购代理机构提出询问。</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color w:val="auto"/>
          <w:sz w:val="21"/>
          <w:szCs w:val="21"/>
        </w:rPr>
      </w:pPr>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65" w:name="_Toc2767"/>
      <w:bookmarkStart w:id="166" w:name="_Toc8234"/>
      <w:bookmarkStart w:id="167" w:name="_Toc11264"/>
      <w:r>
        <w:rPr>
          <w:rFonts w:hint="eastAsia" w:ascii="宋体" w:hAnsi="宋体" w:eastAsia="宋体"/>
          <w:color w:val="auto"/>
          <w:sz w:val="21"/>
          <w:szCs w:val="21"/>
        </w:rPr>
        <w:t>3</w:t>
      </w:r>
      <w:r>
        <w:rPr>
          <w:rFonts w:hint="eastAsia" w:ascii="宋体" w:hAnsi="宋体" w:eastAsia="宋体"/>
          <w:color w:val="auto"/>
          <w:sz w:val="21"/>
          <w:szCs w:val="21"/>
          <w:lang w:val="en-US" w:eastAsia="zh-CN"/>
        </w:rPr>
        <w:t>3</w:t>
      </w:r>
      <w:r>
        <w:rPr>
          <w:rFonts w:hint="eastAsia" w:ascii="宋体" w:hAnsi="宋体" w:eastAsia="宋体"/>
          <w:color w:val="auto"/>
          <w:sz w:val="21"/>
          <w:szCs w:val="21"/>
        </w:rPr>
        <w:t>.质疑</w:t>
      </w:r>
      <w:bookmarkEnd w:id="165"/>
      <w:bookmarkEnd w:id="166"/>
      <w:bookmarkEnd w:id="167"/>
    </w:p>
    <w:p>
      <w:pPr>
        <w:pStyle w:val="33"/>
        <w:pageBreakBefore w:val="0"/>
        <w:widowControl w:val="0"/>
        <w:numPr>
          <w:ilvl w:val="0"/>
          <w:numId w:val="4"/>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提出质疑的投标人应当是参与所质疑项目采购活动的供应商或是在规定的时间内已依法获取其可质疑的招标文件的潜在供应商。</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供应商认为招标文件、采购过程、中标或者成交结果使自己的权益受到损害的，可以在知道或者应知其权益受到损害之日起7个工作日内，以书面形式向采购人、采购代理机构提出质疑。超过规定时间提交的质疑函不予受理。</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投标人在法定质疑期内须一次性提出针对同一采购程序环节的质疑，对同一采购程序环节的二次质疑采购代理机构不予受理。</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应将招标文件所规定的纸质版形式（质疑须提交以下资料并加盖投标人公章：质疑函原件、营业执照复印件、法人身份证复印件、联系方式及法人授权委托书原件加盖公章；若质疑由法人提交，则将提供法人授权委托书原件加盖公章更换为提供法人身份证复印件加盖公章且签字）的质疑按法律规定提交至采购代理机构指定办公地点（递交地点、联系人详见投标邀请书）。投标人以电话、传真或电邮形式提交的质疑属于无效质疑。</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授权委托书应当载明代理人的姓名或者名称、代理事项、具体权限、期限和相关事项。</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投标人提出质疑应当提交质疑函和必要的证明材料（须注明法律依据），因缺少相关证明材料或证明材料存在不真实而导致的后果由投标人自行承担。</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不涉及对投标人利益造成损害的相关内容，不能作为质疑内容提交。</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投诉人在全国范围12个月内三次以上投诉查无实据的，由财政部门列入不良行为记录名单。</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b/>
          <w:bCs/>
          <w:color w:val="auto"/>
          <w:sz w:val="21"/>
          <w:szCs w:val="21"/>
        </w:rPr>
      </w:pPr>
      <w:r>
        <w:rPr>
          <w:rFonts w:hint="eastAsia" w:ascii="宋体" w:hAnsi="宋体" w:eastAsia="宋体"/>
          <w:b/>
          <w:bCs/>
          <w:color w:val="auto"/>
          <w:sz w:val="21"/>
          <w:szCs w:val="21"/>
        </w:rPr>
        <w:t>投诉人有下列行为之一的，属于虚假、恶意投诉，由财政部门列入不良行为记录名单，禁止其1至3年内参加全国范围内的采购活动：</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rPr>
      </w:pPr>
      <w:r>
        <w:rPr>
          <w:rFonts w:hint="eastAsia" w:ascii="宋体" w:hAnsi="宋体" w:eastAsia="宋体"/>
          <w:b/>
          <w:bCs/>
          <w:color w:val="auto"/>
          <w:sz w:val="21"/>
          <w:szCs w:val="21"/>
        </w:rPr>
        <w:t>（一）捏造事实;</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rPr>
      </w:pPr>
      <w:r>
        <w:rPr>
          <w:rFonts w:hint="eastAsia" w:ascii="宋体" w:hAnsi="宋体" w:eastAsia="宋体"/>
          <w:b/>
          <w:bCs/>
          <w:color w:val="auto"/>
          <w:sz w:val="21"/>
          <w:szCs w:val="21"/>
        </w:rPr>
        <w:t>（二）提供虚假材料;</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ascii="宋体" w:hAnsi="宋体" w:eastAsia="宋体"/>
          <w:b/>
          <w:bCs/>
          <w:color w:val="auto"/>
          <w:sz w:val="21"/>
          <w:szCs w:val="21"/>
        </w:rPr>
      </w:pPr>
      <w:r>
        <w:rPr>
          <w:rFonts w:hint="eastAsia" w:ascii="宋体" w:hAnsi="宋体" w:eastAsia="宋体"/>
          <w:b/>
          <w:bCs/>
          <w:color w:val="auto"/>
          <w:sz w:val="21"/>
          <w:szCs w:val="21"/>
        </w:rPr>
        <w:t>（三）以非法手段取得证明材料。证据来源的合法性存在明显疑问，投诉人无法证明其取得方式合法的，视为以非法手段取得证明材料。</w:t>
      </w: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以联合体形式参加采购活动的，其质疑应当由组成联合体的所有投标人共同提出。</w:t>
      </w:r>
    </w:p>
    <w:p>
      <w:pPr>
        <w:rPr>
          <w:color w:val="auto"/>
        </w:rPr>
      </w:pPr>
    </w:p>
    <w:p>
      <w:pPr>
        <w:pStyle w:val="4"/>
        <w:numPr>
          <w:ilvl w:val="0"/>
          <w:numId w:val="0"/>
        </w:numPr>
        <w:spacing w:before="0" w:after="0" w:line="480" w:lineRule="auto"/>
        <w:ind w:leftChars="0"/>
        <w:jc w:val="center"/>
        <w:rPr>
          <w:rFonts w:ascii="宋体" w:hAnsi="宋体" w:eastAsia="宋体"/>
          <w:color w:val="auto"/>
        </w:rPr>
      </w:pPr>
      <w:bookmarkStart w:id="168" w:name="_Toc8919"/>
      <w:bookmarkStart w:id="169" w:name="_Toc24383"/>
      <w:bookmarkStart w:id="170" w:name="_Toc5690"/>
      <w:r>
        <w:rPr>
          <w:rFonts w:hint="eastAsia" w:ascii="宋体" w:hAnsi="宋体"/>
          <w:color w:val="auto"/>
          <w:lang w:val="en-US" w:eastAsia="zh-CN"/>
        </w:rPr>
        <w:t>第八章</w:t>
      </w:r>
      <w:r>
        <w:rPr>
          <w:rFonts w:hint="eastAsia" w:ascii="宋体" w:hAnsi="宋体" w:eastAsia="宋体"/>
          <w:color w:val="auto"/>
        </w:rPr>
        <w:t>其他</w:t>
      </w:r>
      <w:bookmarkEnd w:id="168"/>
      <w:bookmarkEnd w:id="169"/>
      <w:bookmarkEnd w:id="170"/>
    </w:p>
    <w:p>
      <w:pPr>
        <w:pStyle w:val="5"/>
        <w:pageBreakBefore w:val="0"/>
        <w:widowControl w:val="0"/>
        <w:kinsoku/>
        <w:wordWrap/>
        <w:overflowPunct w:val="0"/>
        <w:topLinePunct w:val="0"/>
        <w:autoSpaceDE/>
        <w:autoSpaceDN/>
        <w:bidi w:val="0"/>
        <w:spacing w:before="0" w:after="0" w:line="360" w:lineRule="auto"/>
        <w:textAlignment w:val="auto"/>
        <w:rPr>
          <w:rFonts w:ascii="宋体" w:hAnsi="宋体" w:eastAsia="宋体"/>
          <w:color w:val="auto"/>
          <w:sz w:val="21"/>
          <w:szCs w:val="21"/>
        </w:rPr>
      </w:pPr>
      <w:bookmarkStart w:id="171" w:name="_Toc10082"/>
      <w:bookmarkStart w:id="172" w:name="_Toc6548"/>
      <w:bookmarkStart w:id="173" w:name="_Toc21187"/>
      <w:r>
        <w:rPr>
          <w:rFonts w:hint="eastAsia" w:ascii="宋体" w:hAnsi="宋体" w:eastAsia="宋体"/>
          <w:color w:val="auto"/>
          <w:sz w:val="21"/>
          <w:szCs w:val="21"/>
        </w:rPr>
        <w:t>3</w:t>
      </w:r>
      <w:r>
        <w:rPr>
          <w:rFonts w:hint="eastAsia" w:ascii="宋体" w:hAnsi="宋体" w:eastAsia="宋体"/>
          <w:color w:val="auto"/>
          <w:sz w:val="21"/>
          <w:szCs w:val="21"/>
          <w:lang w:val="en-US" w:eastAsia="zh-CN"/>
        </w:rPr>
        <w:t>4</w:t>
      </w:r>
      <w:r>
        <w:rPr>
          <w:rFonts w:hint="eastAsia" w:ascii="宋体" w:hAnsi="宋体" w:eastAsia="宋体"/>
          <w:color w:val="auto"/>
          <w:sz w:val="21"/>
          <w:szCs w:val="21"/>
        </w:rPr>
        <w:t>.招标文件的解释权</w:t>
      </w:r>
      <w:bookmarkEnd w:id="171"/>
      <w:bookmarkEnd w:id="172"/>
      <w:bookmarkEnd w:id="173"/>
    </w:p>
    <w:p>
      <w:pPr>
        <w:pStyle w:val="33"/>
        <w:pageBreakBefore w:val="0"/>
        <w:widowControl w:val="0"/>
        <w:numPr>
          <w:ilvl w:val="0"/>
          <w:numId w:val="4"/>
        </w:numPr>
        <w:tabs>
          <w:tab w:val="left" w:pos="907"/>
        </w:tabs>
        <w:kinsoku/>
        <w:wordWrap/>
        <w:topLinePunct w:val="0"/>
        <w:autoSpaceDE/>
        <w:autoSpaceDN/>
        <w:bidi w:val="0"/>
        <w:adjustRightInd/>
        <w:snapToGrid/>
        <w:spacing w:after="0" w:line="360" w:lineRule="auto"/>
        <w:ind w:firstLineChars="0"/>
        <w:jc w:val="both"/>
        <w:textAlignment w:val="auto"/>
        <w:rPr>
          <w:rFonts w:ascii="宋体" w:hAnsi="宋体" w:eastAsia="宋体"/>
          <w:vanish/>
          <w:color w:val="auto"/>
          <w:sz w:val="21"/>
          <w:szCs w:val="21"/>
        </w:rPr>
      </w:pPr>
    </w:p>
    <w:p>
      <w:pPr>
        <w:pageBreakBefore w:val="0"/>
        <w:widowControl w:val="0"/>
        <w:numPr>
          <w:ilvl w:val="1"/>
          <w:numId w:val="4"/>
        </w:numPr>
        <w:tabs>
          <w:tab w:val="left" w:pos="907"/>
        </w:tabs>
        <w:kinsoku/>
        <w:wordWrap/>
        <w:topLinePunct w:val="0"/>
        <w:autoSpaceDE/>
        <w:autoSpaceDN/>
        <w:bidi w:val="0"/>
        <w:adjustRightInd/>
        <w:snapToGrid/>
        <w:spacing w:after="0" w:line="360" w:lineRule="auto"/>
        <w:jc w:val="both"/>
        <w:textAlignment w:val="auto"/>
        <w:rPr>
          <w:rFonts w:ascii="宋体" w:hAnsi="宋体" w:eastAsia="宋体"/>
          <w:color w:val="auto"/>
          <w:sz w:val="21"/>
          <w:szCs w:val="21"/>
        </w:rPr>
      </w:pPr>
      <w:r>
        <w:rPr>
          <w:rFonts w:hint="eastAsia" w:ascii="宋体" w:hAnsi="宋体" w:eastAsia="宋体"/>
          <w:color w:val="auto"/>
          <w:sz w:val="21"/>
          <w:szCs w:val="21"/>
        </w:rPr>
        <w:t>招标文件版本号：</w:t>
      </w:r>
      <w:r>
        <w:rPr>
          <w:rFonts w:hint="eastAsia" w:ascii="宋体" w:hAnsi="宋体" w:eastAsia="宋体"/>
          <w:color w:val="auto"/>
          <w:sz w:val="21"/>
          <w:szCs w:val="21"/>
          <w:lang w:val="en-US" w:eastAsia="zh-CN"/>
        </w:rPr>
        <w:t>广东政通</w:t>
      </w:r>
      <w:r>
        <w:rPr>
          <w:rFonts w:hint="eastAsia" w:ascii="宋体" w:hAnsi="宋体" w:eastAsia="宋体"/>
          <w:color w:val="auto"/>
          <w:sz w:val="21"/>
          <w:szCs w:val="21"/>
        </w:rPr>
        <w:t>20</w:t>
      </w:r>
      <w:r>
        <w:rPr>
          <w:rFonts w:hint="eastAsia" w:ascii="宋体" w:hAnsi="宋体"/>
          <w:color w:val="auto"/>
          <w:sz w:val="21"/>
          <w:szCs w:val="21"/>
          <w:lang w:val="en-US" w:eastAsia="zh-CN"/>
        </w:rPr>
        <w:t>220406</w:t>
      </w:r>
      <w:r>
        <w:rPr>
          <w:rFonts w:hint="eastAsia" w:ascii="宋体" w:hAnsi="宋体" w:eastAsia="宋体"/>
          <w:color w:val="auto"/>
          <w:sz w:val="21"/>
          <w:szCs w:val="21"/>
        </w:rPr>
        <w:t>。</w:t>
      </w:r>
    </w:p>
    <w:p>
      <w:pPr>
        <w:pageBreakBefore w:val="0"/>
        <w:widowControl w:val="0"/>
        <w:tabs>
          <w:tab w:val="left" w:pos="907"/>
        </w:tabs>
        <w:kinsoku/>
        <w:wordWrap/>
        <w:topLinePunct w:val="0"/>
        <w:autoSpaceDE/>
        <w:autoSpaceDN/>
        <w:bidi w:val="0"/>
        <w:adjustRightInd/>
        <w:snapToGrid/>
        <w:spacing w:after="0" w:line="360" w:lineRule="auto"/>
        <w:ind w:left="567"/>
        <w:jc w:val="both"/>
        <w:textAlignment w:val="auto"/>
        <w:rPr>
          <w:rFonts w:hint="eastAsia" w:ascii="宋体" w:hAnsi="宋体" w:eastAsia="宋体"/>
          <w:b/>
          <w:bCs/>
          <w:color w:val="auto"/>
          <w:sz w:val="21"/>
          <w:szCs w:val="21"/>
        </w:rPr>
      </w:pPr>
      <w:r>
        <w:rPr>
          <w:rFonts w:hint="eastAsia" w:ascii="宋体" w:hAnsi="宋体" w:eastAsia="宋体"/>
          <w:b/>
          <w:bCs/>
          <w:color w:val="auto"/>
          <w:sz w:val="21"/>
          <w:szCs w:val="21"/>
        </w:rPr>
        <w:t>本招标文件是根据国家有关法律、法规以及采购管理有关规定和参照国际惯例编制，解释权属本采购代理机构。</w:t>
      </w:r>
    </w:p>
    <w:p>
      <w:pPr>
        <w:bidi w:val="0"/>
        <w:rPr>
          <w:rFonts w:hint="eastAsia"/>
          <w:color w:val="auto"/>
        </w:rPr>
      </w:pPr>
    </w:p>
    <w:bookmarkEnd w:id="20"/>
    <w:p>
      <w:pPr>
        <w:jc w:val="center"/>
        <w:rPr>
          <w:color w:val="auto"/>
        </w:rPr>
      </w:pPr>
      <w:r>
        <w:rPr>
          <w:rFonts w:hint="eastAsia"/>
          <w:color w:val="auto"/>
        </w:rPr>
        <w:br w:type="page"/>
      </w:r>
    </w:p>
    <w:p>
      <w:pPr>
        <w:pStyle w:val="3"/>
        <w:spacing w:before="0" w:after="0" w:line="240" w:lineRule="auto"/>
        <w:rPr>
          <w:rFonts w:hint="eastAsia"/>
          <w:color w:val="auto"/>
          <w:sz w:val="28"/>
          <w:szCs w:val="28"/>
        </w:rPr>
      </w:pPr>
      <w:bookmarkStart w:id="174" w:name="_Toc7011"/>
      <w:bookmarkStart w:id="175" w:name="_Toc382"/>
      <w:bookmarkStart w:id="176" w:name="_Toc31854"/>
      <w:r>
        <w:rPr>
          <w:rFonts w:hint="eastAsia"/>
          <w:color w:val="auto"/>
          <w:sz w:val="28"/>
          <w:szCs w:val="28"/>
        </w:rPr>
        <w:t>第</w:t>
      </w:r>
      <w:r>
        <w:rPr>
          <w:rFonts w:hint="eastAsia"/>
          <w:color w:val="auto"/>
          <w:sz w:val="28"/>
          <w:szCs w:val="28"/>
          <w:lang w:val="en-US" w:eastAsia="zh-CN"/>
        </w:rPr>
        <w:t>五</w:t>
      </w:r>
      <w:r>
        <w:rPr>
          <w:rFonts w:hint="eastAsia"/>
          <w:color w:val="auto"/>
          <w:sz w:val="28"/>
          <w:szCs w:val="28"/>
        </w:rPr>
        <w:t>部分 用户需求书</w:t>
      </w:r>
      <w:bookmarkEnd w:id="174"/>
      <w:bookmarkEnd w:id="175"/>
      <w:bookmarkEnd w:id="176"/>
    </w:p>
    <w:p>
      <w:pPr>
        <w:pStyle w:val="4"/>
        <w:keepNext/>
        <w:keepLines/>
        <w:pageBreakBefore w:val="0"/>
        <w:widowControl/>
        <w:numPr>
          <w:ilvl w:val="0"/>
          <w:numId w:val="0"/>
        </w:numPr>
        <w:kinsoku/>
        <w:wordWrap/>
        <w:overflowPunct/>
        <w:topLinePunct w:val="0"/>
        <w:autoSpaceDE/>
        <w:autoSpaceDN/>
        <w:bidi w:val="0"/>
        <w:adjustRightInd w:val="0"/>
        <w:snapToGrid w:val="0"/>
        <w:spacing w:before="0" w:after="0" w:line="360" w:lineRule="auto"/>
        <w:ind w:leftChars="0"/>
        <w:jc w:val="center"/>
        <w:textAlignment w:val="auto"/>
        <w:rPr>
          <w:rFonts w:hint="eastAsia" w:ascii="宋体" w:hAnsi="宋体"/>
          <w:color w:val="auto"/>
          <w:lang w:val="en-US" w:eastAsia="zh-CN"/>
        </w:rPr>
      </w:pPr>
      <w:bookmarkStart w:id="177" w:name="_Toc1593"/>
      <w:bookmarkStart w:id="178" w:name="_Toc19316"/>
      <w:r>
        <w:rPr>
          <w:rFonts w:hint="eastAsia" w:ascii="宋体" w:hAnsi="宋体"/>
          <w:color w:val="auto"/>
          <w:lang w:val="en-US" w:eastAsia="zh-CN"/>
        </w:rPr>
        <w:t xml:space="preserve"> 用户需求书</w:t>
      </w:r>
      <w:bookmarkEnd w:id="177"/>
    </w:p>
    <w:p>
      <w:pPr>
        <w:bidi w:val="0"/>
        <w:rPr>
          <w:rFonts w:hint="eastAsia"/>
          <w:color w:val="auto"/>
          <w:lang w:val="en-US" w:eastAsia="zh-CN"/>
        </w:rPr>
      </w:pPr>
    </w:p>
    <w:bookmarkEnd w:id="178"/>
    <w:p>
      <w:pPr>
        <w:pStyle w:val="5"/>
        <w:keepNext/>
        <w:keepLines/>
        <w:pageBreakBefore w:val="0"/>
        <w:widowControl/>
        <w:numPr>
          <w:ilvl w:val="0"/>
          <w:numId w:val="9"/>
        </w:numPr>
        <w:kinsoku/>
        <w:wordWrap/>
        <w:overflowPunct/>
        <w:topLinePunct w:val="0"/>
        <w:autoSpaceDE/>
        <w:autoSpaceDN/>
        <w:bidi w:val="0"/>
        <w:adjustRightInd w:val="0"/>
        <w:snapToGrid w:val="0"/>
        <w:spacing w:line="360" w:lineRule="auto"/>
        <w:ind w:left="0" w:leftChars="0" w:firstLine="0" w:firstLineChars="0"/>
        <w:textAlignment w:val="auto"/>
        <w:rPr>
          <w:rFonts w:hint="eastAsia"/>
          <w:color w:val="auto"/>
          <w:highlight w:val="none"/>
        </w:rPr>
      </w:pPr>
      <w:bookmarkStart w:id="179" w:name="_Toc31278"/>
      <w:bookmarkStart w:id="180" w:name="_Toc24679"/>
      <w:bookmarkStart w:id="181" w:name="_Toc14462"/>
      <w:bookmarkStart w:id="182" w:name="_Toc13112"/>
      <w:r>
        <w:rPr>
          <w:rFonts w:hint="eastAsia"/>
          <w:color w:val="auto"/>
          <w:highlight w:val="none"/>
        </w:rPr>
        <w:t>项目概述</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zh-CN"/>
        </w:rPr>
        <w:t>为使</w:t>
      </w:r>
      <w:r>
        <w:rPr>
          <w:rFonts w:hint="eastAsia" w:ascii="宋体" w:hAnsi="宋体" w:cs="宋体"/>
          <w:color w:val="auto"/>
          <w:sz w:val="21"/>
          <w:szCs w:val="21"/>
          <w:highlight w:val="none"/>
          <w:lang w:eastAsia="zh-CN"/>
        </w:rPr>
        <w:t>东莞新锋光伏能源科技有限公司</w:t>
      </w:r>
      <w:r>
        <w:rPr>
          <w:rFonts w:hint="eastAsia" w:ascii="宋体" w:hAnsi="宋体" w:eastAsia="宋体" w:cs="宋体"/>
          <w:color w:val="auto"/>
          <w:sz w:val="21"/>
          <w:szCs w:val="21"/>
          <w:highlight w:val="none"/>
        </w:rPr>
        <w:t>相关建设项目获得足够的技术服务支持，保障项目的顺利进行，现通过公开招标的采购方式甄选服务单位负责合同期间采购人相关建设项目的</w:t>
      </w:r>
      <w:r>
        <w:rPr>
          <w:rFonts w:hint="eastAsia" w:ascii="宋体" w:hAnsi="宋体"/>
          <w:color w:val="auto"/>
          <w:sz w:val="21"/>
          <w:szCs w:val="21"/>
          <w:lang w:val="en-US" w:eastAsia="zh-CN"/>
        </w:rPr>
        <w:t>光伏储能新能源工程设计</w:t>
      </w:r>
      <w:r>
        <w:rPr>
          <w:rFonts w:hint="eastAsia" w:ascii="宋体" w:hAnsi="宋体" w:cs="宋体"/>
          <w:color w:val="auto"/>
          <w:kern w:val="28"/>
          <w:sz w:val="21"/>
          <w:szCs w:val="21"/>
          <w:highlight w:val="none"/>
          <w:lang w:eastAsia="zh-CN"/>
        </w:rPr>
        <w:t>服务</w:t>
      </w:r>
      <w:r>
        <w:rPr>
          <w:rFonts w:hint="eastAsia" w:ascii="宋体" w:hAnsi="宋体" w:eastAsia="宋体" w:cs="宋体"/>
          <w:color w:val="auto"/>
          <w:sz w:val="21"/>
          <w:szCs w:val="21"/>
          <w:highlight w:val="none"/>
        </w:rPr>
        <w:t>工作</w:t>
      </w:r>
      <w:r>
        <w:rPr>
          <w:rFonts w:hint="eastAsia" w:ascii="宋体" w:hAnsi="宋体" w:eastAsia="宋体" w:cs="宋体"/>
          <w:color w:val="auto"/>
          <w:sz w:val="21"/>
          <w:szCs w:val="21"/>
          <w:highlight w:val="none"/>
          <w:lang w:val="zh-CN"/>
        </w:rPr>
        <w:t>。</w:t>
      </w:r>
      <w:r>
        <w:rPr>
          <w:rFonts w:hint="eastAsia" w:ascii="宋体" w:hAnsi="宋体" w:eastAsia="宋体" w:cs="宋体"/>
          <w:color w:val="auto"/>
          <w:sz w:val="21"/>
          <w:szCs w:val="21"/>
          <w:highlight w:val="none"/>
        </w:rPr>
        <w:t>为提高公司的工作效率，建立工程建设项目服务单位名录库。</w:t>
      </w:r>
    </w:p>
    <w:p>
      <w:pPr>
        <w:spacing w:line="360" w:lineRule="auto"/>
        <w:ind w:firstLine="420" w:firstLineChars="200"/>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本项目招标范围如下：</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20"/>
        <w:gridCol w:w="1684"/>
        <w:gridCol w:w="28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9" w:hRule="atLeast"/>
          <w:jc w:val="center"/>
        </w:trPr>
        <w:tc>
          <w:tcPr>
            <w:tcW w:w="3420" w:type="dxa"/>
            <w:noWrap w:val="0"/>
            <w:vAlign w:val="center"/>
          </w:tcPr>
          <w:p>
            <w:pPr>
              <w:pageBreakBefore w:val="0"/>
              <w:kinsoku/>
              <w:wordWrap/>
              <w:overflowPunct/>
              <w:topLinePunct w:val="0"/>
              <w:bidi w:val="0"/>
              <w:adjustRightInd w:val="0"/>
              <w:spacing w:after="0" w:line="360" w:lineRule="auto"/>
              <w:jc w:val="center"/>
              <w:textAlignment w:val="auto"/>
              <w:rPr>
                <w:rFonts w:hint="eastAsia" w:ascii="宋体" w:hAnsi="宋体" w:eastAsia="宋体" w:cs="宋体"/>
                <w:color w:val="auto"/>
                <w:kern w:val="28"/>
                <w:sz w:val="21"/>
                <w:szCs w:val="21"/>
                <w:highlight w:val="none"/>
              </w:rPr>
            </w:pPr>
            <w:r>
              <w:rPr>
                <w:rFonts w:hint="eastAsia" w:ascii="宋体" w:hAnsi="宋体" w:eastAsia="宋体" w:cs="宋体"/>
                <w:color w:val="auto"/>
                <w:kern w:val="28"/>
                <w:sz w:val="21"/>
                <w:szCs w:val="21"/>
                <w:highlight w:val="none"/>
              </w:rPr>
              <w:t>项目采购内容</w:t>
            </w:r>
          </w:p>
        </w:tc>
        <w:tc>
          <w:tcPr>
            <w:tcW w:w="1684" w:type="dxa"/>
            <w:noWrap w:val="0"/>
            <w:vAlign w:val="center"/>
          </w:tcPr>
          <w:p>
            <w:pPr>
              <w:pageBreakBefore w:val="0"/>
              <w:kinsoku/>
              <w:wordWrap/>
              <w:overflowPunct/>
              <w:topLinePunct w:val="0"/>
              <w:bidi w:val="0"/>
              <w:adjustRightInd w:val="0"/>
              <w:spacing w:after="0" w:line="360" w:lineRule="auto"/>
              <w:jc w:val="center"/>
              <w:textAlignment w:val="auto"/>
              <w:rPr>
                <w:rFonts w:hint="eastAsia" w:ascii="宋体" w:hAnsi="宋体" w:eastAsia="宋体" w:cs="宋体"/>
                <w:color w:val="auto"/>
                <w:kern w:val="28"/>
                <w:sz w:val="21"/>
                <w:szCs w:val="21"/>
                <w:highlight w:val="none"/>
              </w:rPr>
            </w:pPr>
            <w:r>
              <w:rPr>
                <w:rFonts w:hint="eastAsia" w:ascii="宋体" w:hAnsi="宋体" w:eastAsia="宋体" w:cs="宋体"/>
                <w:color w:val="auto"/>
                <w:kern w:val="28"/>
                <w:sz w:val="21"/>
                <w:szCs w:val="21"/>
                <w:highlight w:val="none"/>
              </w:rPr>
              <w:t>入围家数</w:t>
            </w:r>
          </w:p>
        </w:tc>
        <w:tc>
          <w:tcPr>
            <w:tcW w:w="2851" w:type="dxa"/>
            <w:noWrap w:val="0"/>
            <w:vAlign w:val="center"/>
          </w:tcPr>
          <w:p>
            <w:pPr>
              <w:pageBreakBefore w:val="0"/>
              <w:kinsoku/>
              <w:wordWrap/>
              <w:overflowPunct/>
              <w:topLinePunct w:val="0"/>
              <w:bidi w:val="0"/>
              <w:adjustRightInd w:val="0"/>
              <w:spacing w:after="0" w:line="360" w:lineRule="auto"/>
              <w:jc w:val="center"/>
              <w:textAlignment w:val="auto"/>
              <w:rPr>
                <w:rFonts w:hint="eastAsia" w:ascii="宋体" w:hAnsi="宋体" w:eastAsia="宋体" w:cs="宋体"/>
                <w:color w:val="auto"/>
                <w:kern w:val="28"/>
                <w:sz w:val="21"/>
                <w:szCs w:val="21"/>
                <w:highlight w:val="none"/>
              </w:rPr>
            </w:pPr>
            <w:r>
              <w:rPr>
                <w:rFonts w:hint="eastAsia" w:ascii="宋体" w:hAnsi="宋体" w:eastAsia="宋体" w:cs="宋体"/>
                <w:color w:val="auto"/>
                <w:kern w:val="28"/>
                <w:sz w:val="21"/>
                <w:szCs w:val="21"/>
                <w:highlight w:val="none"/>
              </w:rPr>
              <w:t>服务期限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jc w:val="center"/>
        </w:trPr>
        <w:tc>
          <w:tcPr>
            <w:tcW w:w="3420" w:type="dxa"/>
            <w:noWrap w:val="0"/>
            <w:vAlign w:val="center"/>
          </w:tcPr>
          <w:p>
            <w:pPr>
              <w:pageBreakBefore w:val="0"/>
              <w:kinsoku/>
              <w:wordWrap/>
              <w:overflowPunct/>
              <w:topLinePunct w:val="0"/>
              <w:bidi w:val="0"/>
              <w:adjustRightInd w:val="0"/>
              <w:spacing w:after="0" w:line="360" w:lineRule="auto"/>
              <w:jc w:val="center"/>
              <w:textAlignment w:val="auto"/>
              <w:rPr>
                <w:rFonts w:hint="eastAsia"/>
                <w:lang w:eastAsia="zh-CN"/>
              </w:rPr>
            </w:pPr>
            <w:r>
              <w:rPr>
                <w:rFonts w:hint="eastAsia" w:ascii="宋体" w:hAnsi="宋体"/>
                <w:color w:val="auto"/>
                <w:sz w:val="21"/>
                <w:szCs w:val="21"/>
                <w:lang w:val="en-US" w:eastAsia="zh-CN"/>
              </w:rPr>
              <w:t>光伏储能新能源工程设计</w:t>
            </w:r>
            <w:r>
              <w:rPr>
                <w:rFonts w:hint="eastAsia"/>
                <w:lang w:eastAsia="zh-CN"/>
              </w:rPr>
              <w:t>单位协议供应商</w:t>
            </w:r>
          </w:p>
        </w:tc>
        <w:tc>
          <w:tcPr>
            <w:tcW w:w="1684" w:type="dxa"/>
            <w:noWrap w:val="0"/>
            <w:vAlign w:val="center"/>
          </w:tcPr>
          <w:p>
            <w:pPr>
              <w:pageBreakBefore w:val="0"/>
              <w:kinsoku/>
              <w:wordWrap/>
              <w:overflowPunct/>
              <w:topLinePunct w:val="0"/>
              <w:bidi w:val="0"/>
              <w:adjustRightInd w:val="0"/>
              <w:spacing w:after="0" w:line="360" w:lineRule="auto"/>
              <w:jc w:val="center"/>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三</w:t>
            </w:r>
            <w:r>
              <w:rPr>
                <w:rFonts w:hint="eastAsia" w:ascii="宋体" w:hAnsi="宋体" w:eastAsia="宋体" w:cs="宋体"/>
                <w:color w:val="auto"/>
                <w:sz w:val="21"/>
                <w:szCs w:val="21"/>
                <w:highlight w:val="none"/>
              </w:rPr>
              <w:t>家</w:t>
            </w:r>
          </w:p>
        </w:tc>
        <w:tc>
          <w:tcPr>
            <w:tcW w:w="2851" w:type="dxa"/>
            <w:noWrap w:val="0"/>
            <w:vAlign w:val="center"/>
          </w:tcPr>
          <w:p>
            <w:pPr>
              <w:pStyle w:val="58"/>
              <w:pageBreakBefore w:val="0"/>
              <w:kinsoku/>
              <w:wordWrap/>
              <w:overflowPunct/>
              <w:topLinePunct w:val="0"/>
              <w:bidi w:val="0"/>
              <w:adjustRightInd w:val="0"/>
              <w:spacing w:line="360" w:lineRule="auto"/>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确认服务资格之日起</w:t>
            </w:r>
            <w:r>
              <w:rPr>
                <w:rFonts w:hint="eastAsia" w:hAnsi="宋体" w:cs="宋体"/>
                <w:color w:val="auto"/>
                <w:sz w:val="21"/>
                <w:szCs w:val="21"/>
                <w:highlight w:val="none"/>
                <w:lang w:val="en-US" w:eastAsia="zh-CN"/>
              </w:rPr>
              <w:t>两</w:t>
            </w:r>
            <w:r>
              <w:rPr>
                <w:rFonts w:hint="eastAsia" w:ascii="宋体" w:hAnsi="宋体" w:eastAsia="宋体" w:cs="宋体"/>
                <w:color w:val="auto"/>
                <w:sz w:val="21"/>
                <w:szCs w:val="21"/>
                <w:highlight w:val="none"/>
              </w:rPr>
              <w:t>年</w:t>
            </w:r>
          </w:p>
        </w:tc>
      </w:tr>
    </w:tbl>
    <w:p>
      <w:pPr>
        <w:bidi w:val="0"/>
        <w:spacing w:line="360" w:lineRule="auto"/>
        <w:rPr>
          <w:rFonts w:hint="eastAsia"/>
          <w:color w:val="auto"/>
          <w:highlight w:val="none"/>
        </w:rPr>
      </w:pPr>
    </w:p>
    <w:p>
      <w:pPr>
        <w:pStyle w:val="5"/>
        <w:bidi w:val="0"/>
        <w:rPr>
          <w:rFonts w:hint="eastAsia"/>
          <w:color w:val="auto"/>
        </w:rPr>
      </w:pPr>
      <w:r>
        <w:rPr>
          <w:rFonts w:hint="eastAsia"/>
          <w:color w:val="auto"/>
        </w:rPr>
        <w:t>二、服务范围</w:t>
      </w:r>
    </w:p>
    <w:p>
      <w:pPr>
        <w:tabs>
          <w:tab w:val="left" w:pos="210"/>
        </w:tabs>
        <w:spacing w:line="360" w:lineRule="auto"/>
        <w:ind w:firstLine="420" w:firstLineChars="200"/>
        <w:rPr>
          <w:rFonts w:hint="eastAsia" w:ascii="宋体" w:hAnsi="宋体" w:eastAsia="宋体" w:cs="宋体"/>
          <w:color w:val="auto"/>
          <w:sz w:val="21"/>
          <w:szCs w:val="21"/>
        </w:rPr>
      </w:pPr>
      <w:r>
        <w:rPr>
          <w:rFonts w:hint="eastAsia" w:ascii="宋体" w:hAnsi="宋体" w:eastAsia="宋体" w:cs="宋体"/>
          <w:color w:val="auto"/>
          <w:sz w:val="21"/>
          <w:szCs w:val="21"/>
        </w:rPr>
        <w:t>根据建设单位的工程需要，委托服务单位进行</w:t>
      </w:r>
      <w:r>
        <w:rPr>
          <w:rFonts w:hint="eastAsia" w:ascii="宋体" w:hAnsi="宋体"/>
          <w:color w:val="auto"/>
          <w:sz w:val="21"/>
          <w:szCs w:val="21"/>
          <w:lang w:val="en-US" w:eastAsia="zh-CN"/>
        </w:rPr>
        <w:t>光伏储能新能源工程设计</w:t>
      </w:r>
      <w:r>
        <w:rPr>
          <w:rFonts w:hint="eastAsia" w:ascii="宋体" w:hAnsi="宋体" w:eastAsia="宋体" w:cs="宋体"/>
          <w:color w:val="auto"/>
          <w:sz w:val="21"/>
          <w:szCs w:val="21"/>
        </w:rPr>
        <w:t>服务项目。</w:t>
      </w:r>
    </w:p>
    <w:p>
      <w:pPr>
        <w:spacing w:line="360" w:lineRule="auto"/>
        <w:rPr>
          <w:rFonts w:hint="eastAsia" w:ascii="宋体" w:hAnsi="宋体" w:eastAsia="宋体" w:cs="宋体"/>
          <w:bCs/>
          <w:color w:val="auto"/>
          <w:sz w:val="21"/>
          <w:szCs w:val="21"/>
          <w:lang w:val="zh-CN"/>
        </w:rPr>
      </w:pPr>
      <w:bookmarkStart w:id="321" w:name="_GoBack"/>
      <w:bookmarkEnd w:id="321"/>
    </w:p>
    <w:p>
      <w:pPr>
        <w:pStyle w:val="5"/>
        <w:bidi w:val="0"/>
        <w:rPr>
          <w:rFonts w:hint="default" w:eastAsia="宋体"/>
          <w:color w:val="auto"/>
          <w:lang w:val="en-US" w:eastAsia="zh-CN"/>
        </w:rPr>
      </w:pPr>
      <w:r>
        <w:rPr>
          <w:rFonts w:hint="eastAsia"/>
          <w:color w:val="auto"/>
        </w:rPr>
        <w:t>★</w:t>
      </w:r>
      <w:r>
        <w:rPr>
          <w:rFonts w:hint="eastAsia"/>
          <w:color w:val="auto"/>
          <w:lang w:val="en-US" w:eastAsia="zh-CN"/>
        </w:rPr>
        <w:t>三</w:t>
      </w:r>
      <w:r>
        <w:rPr>
          <w:rFonts w:hint="eastAsia"/>
          <w:color w:val="auto"/>
        </w:rPr>
        <w:t>、</w:t>
      </w:r>
      <w:r>
        <w:rPr>
          <w:rFonts w:hint="eastAsia"/>
          <w:color w:val="auto"/>
          <w:lang w:val="en-US" w:eastAsia="zh-CN"/>
        </w:rPr>
        <w:t>报价要求</w:t>
      </w:r>
    </w:p>
    <w:p>
      <w:pPr>
        <w:spacing w:line="360" w:lineRule="auto"/>
        <w:ind w:left="437" w:leftChars="208"/>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1、本项目服务款项的收费标准</w:t>
      </w:r>
      <w:r>
        <w:rPr>
          <w:rFonts w:hint="eastAsia" w:ascii="宋体" w:hAnsi="宋体" w:eastAsia="宋体" w:cs="宋体"/>
          <w:bCs/>
          <w:color w:val="auto"/>
          <w:sz w:val="21"/>
          <w:szCs w:val="21"/>
        </w:rPr>
        <w:t>参照</w:t>
      </w:r>
      <w:r>
        <w:rPr>
          <w:rFonts w:hint="eastAsia" w:ascii="宋体" w:hAnsi="宋体" w:eastAsia="宋体" w:cs="宋体"/>
          <w:color w:val="auto"/>
          <w:kern w:val="28"/>
          <w:sz w:val="21"/>
          <w:szCs w:val="21"/>
        </w:rPr>
        <w:t>《工程勘察设计收费标准》（2002年修订本）</w:t>
      </w:r>
      <w:r>
        <w:rPr>
          <w:rFonts w:hint="eastAsia" w:ascii="宋体" w:hAnsi="宋体" w:cs="宋体"/>
          <w:color w:val="auto"/>
          <w:kern w:val="28"/>
          <w:sz w:val="21"/>
          <w:szCs w:val="21"/>
          <w:lang w:val="en-US"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cs="宋体"/>
          <w:color w:val="auto"/>
          <w:sz w:val="21"/>
          <w:szCs w:val="21"/>
          <w:highlight w:val="none"/>
          <w:lang w:val="en-US" w:eastAsia="zh-CN"/>
        </w:rPr>
      </w:pP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zh-CN"/>
        </w:rPr>
        <w:t>投标人根据项目招标内容及要求一次性报出固定下浮率</w:t>
      </w:r>
      <w:r>
        <w:rPr>
          <w:rFonts w:hint="eastAsia" w:ascii="宋体" w:hAnsi="宋体" w:cs="宋体"/>
          <w:color w:val="auto"/>
          <w:sz w:val="21"/>
          <w:szCs w:val="21"/>
          <w:highlight w:val="none"/>
          <w:lang w:val="en-US" w:eastAsia="zh-CN"/>
        </w:rPr>
        <w:t>且下浮率不得低于20%，投标人不按上述要求报价的，视为无效投标报价。</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zh-CN" w:eastAsia="zh-CN"/>
        </w:rPr>
      </w:pPr>
      <w:r>
        <w:rPr>
          <w:rFonts w:hint="eastAsia" w:ascii="宋体" w:hAnsi="宋体" w:cs="宋体"/>
          <w:color w:val="auto"/>
          <w:sz w:val="21"/>
          <w:szCs w:val="21"/>
          <w:highlight w:val="none"/>
          <w:lang w:val="en-US" w:eastAsia="zh-CN"/>
        </w:rPr>
        <w:t>3、</w:t>
      </w:r>
      <w:r>
        <w:rPr>
          <w:rFonts w:hint="eastAsia" w:ascii="宋体" w:hAnsi="宋体" w:eastAsia="宋体" w:cs="宋体"/>
          <w:color w:val="auto"/>
          <w:sz w:val="21"/>
          <w:szCs w:val="21"/>
          <w:highlight w:val="none"/>
          <w:lang w:val="zh-CN"/>
        </w:rPr>
        <w:t>最终结算时统一采用以下方式计算费用：</w:t>
      </w:r>
      <w:r>
        <w:rPr>
          <w:rFonts w:hint="eastAsia" w:ascii="宋体" w:hAnsi="宋体" w:cs="宋体"/>
          <w:color w:val="auto"/>
          <w:sz w:val="21"/>
          <w:szCs w:val="21"/>
          <w:highlight w:val="none"/>
          <w:lang w:val="en-US" w:eastAsia="zh-CN"/>
        </w:rPr>
        <w:t>服务</w:t>
      </w:r>
      <w:r>
        <w:rPr>
          <w:rFonts w:hint="eastAsia" w:ascii="宋体" w:hAnsi="宋体" w:cs="宋体"/>
          <w:color w:val="auto"/>
          <w:sz w:val="21"/>
          <w:szCs w:val="21"/>
          <w:highlight w:val="none"/>
          <w:lang w:val="zh-CN"/>
        </w:rPr>
        <w:t>款项</w:t>
      </w:r>
      <w:r>
        <w:rPr>
          <w:rFonts w:hint="eastAsia" w:ascii="宋体" w:hAnsi="宋体" w:eastAsia="宋体" w:cs="宋体"/>
          <w:color w:val="auto"/>
          <w:sz w:val="21"/>
          <w:szCs w:val="21"/>
          <w:highlight w:val="none"/>
          <w:lang w:val="zh-CN"/>
        </w:rPr>
        <w:t>=（1-下浮率）×</w:t>
      </w:r>
      <w:r>
        <w:rPr>
          <w:rFonts w:hint="eastAsia" w:ascii="宋体" w:hAnsi="宋体" w:eastAsia="宋体" w:cs="宋体"/>
          <w:color w:val="auto"/>
          <w:kern w:val="28"/>
          <w:sz w:val="21"/>
          <w:szCs w:val="21"/>
        </w:rPr>
        <w:t>《工程勘察设计收费标准》（2002年修订本）</w:t>
      </w:r>
      <w:r>
        <w:rPr>
          <w:rFonts w:hint="eastAsia" w:ascii="宋体" w:hAnsi="宋体" w:cs="宋体"/>
          <w:color w:val="auto"/>
          <w:kern w:val="28"/>
          <w:sz w:val="21"/>
          <w:szCs w:val="21"/>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jc w:val="left"/>
        <w:textAlignment w:val="auto"/>
        <w:rPr>
          <w:rFonts w:hint="eastAsia" w:ascii="宋体" w:hAnsi="宋体" w:eastAsia="宋体" w:cs="宋体"/>
          <w:color w:val="auto"/>
          <w:sz w:val="21"/>
          <w:szCs w:val="21"/>
          <w:highlight w:val="none"/>
          <w:lang w:val="zh-CN"/>
        </w:rPr>
      </w:pP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lang w:val="zh-CN"/>
        </w:rPr>
        <w:t>下浮率定义：投标人对本项目进行投标时承诺报价下调的比率。</w:t>
      </w:r>
    </w:p>
    <w:p>
      <w:pPr>
        <w:spacing w:line="360" w:lineRule="auto"/>
        <w:ind w:firstLine="420" w:firstLineChars="200"/>
        <w:rPr>
          <w:rFonts w:hint="eastAsia" w:ascii="宋体" w:hAnsi="宋体" w:eastAsia="宋体" w:cs="宋体"/>
          <w:color w:val="auto"/>
          <w:sz w:val="21"/>
          <w:szCs w:val="21"/>
          <w:highlight w:val="none"/>
          <w:lang w:val="zh-CN"/>
        </w:rPr>
      </w:pP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lang w:val="zh-CN"/>
        </w:rPr>
        <w:t>报价应包含完成本次招标所有服务内容的费用，包括搬运费、运输费、人工费、拆除费、工具费、耗材费、各种税费、资料费、保险费、验收费、及合同实施过程中的不可预见费用等全部费用。</w:t>
      </w:r>
    </w:p>
    <w:p>
      <w:pPr>
        <w:bidi w:val="0"/>
        <w:rPr>
          <w:rFonts w:hint="eastAsia"/>
        </w:rPr>
      </w:pPr>
    </w:p>
    <w:p>
      <w:pPr>
        <w:pStyle w:val="5"/>
        <w:bidi w:val="0"/>
        <w:rPr>
          <w:rFonts w:hint="eastAsia"/>
          <w:color w:val="auto"/>
        </w:rPr>
      </w:pPr>
      <w:r>
        <w:rPr>
          <w:rFonts w:hint="eastAsia"/>
          <w:color w:val="auto"/>
          <w:lang w:val="en-US" w:eastAsia="zh-CN"/>
        </w:rPr>
        <w:t>四</w:t>
      </w:r>
      <w:r>
        <w:rPr>
          <w:rFonts w:hint="eastAsia"/>
          <w:color w:val="auto"/>
        </w:rPr>
        <w:t>、项目委派方式</w:t>
      </w:r>
    </w:p>
    <w:p>
      <w:pPr>
        <w:spacing w:line="360" w:lineRule="auto"/>
        <w:ind w:firstLine="420" w:firstLineChars="200"/>
        <w:rPr>
          <w:rFonts w:hint="eastAsia" w:ascii="宋体" w:hAnsi="宋体" w:eastAsia="宋体" w:cs="宋体"/>
          <w:color w:val="auto"/>
          <w:kern w:val="28"/>
          <w:sz w:val="21"/>
          <w:szCs w:val="21"/>
        </w:rPr>
      </w:pPr>
      <w:r>
        <w:rPr>
          <w:rFonts w:hint="eastAsia" w:ascii="宋体" w:hAnsi="宋体"/>
          <w:color w:val="auto"/>
          <w:sz w:val="21"/>
          <w:szCs w:val="21"/>
          <w:lang w:val="en-US" w:eastAsia="zh-CN"/>
        </w:rPr>
        <w:t>1、光伏储能新能源工程设计</w:t>
      </w:r>
      <w:r>
        <w:rPr>
          <w:rFonts w:hint="eastAsia" w:ascii="宋体" w:hAnsi="宋体" w:eastAsia="宋体" w:cs="宋体"/>
          <w:color w:val="auto"/>
          <w:kern w:val="28"/>
          <w:sz w:val="21"/>
          <w:szCs w:val="21"/>
        </w:rPr>
        <w:t>单位协议供应商库建成后，实行在库单位以抽签轮单轮排的方式承接任务。</w:t>
      </w:r>
    </w:p>
    <w:p>
      <w:pPr>
        <w:numPr>
          <w:ilvl w:val="0"/>
          <w:numId w:val="0"/>
        </w:numPr>
        <w:spacing w:line="360" w:lineRule="auto"/>
        <w:ind w:firstLine="420" w:firstLineChars="200"/>
        <w:jc w:val="left"/>
        <w:rPr>
          <w:rFonts w:hint="eastAsia" w:ascii="宋体" w:hAnsi="宋体" w:eastAsia="宋体" w:cs="宋体"/>
          <w:color w:val="auto"/>
          <w:sz w:val="21"/>
          <w:szCs w:val="21"/>
        </w:rPr>
      </w:pPr>
      <w:r>
        <w:rPr>
          <w:rFonts w:hint="eastAsia" w:ascii="宋体" w:hAnsi="宋体" w:cs="宋体"/>
          <w:color w:val="auto"/>
          <w:sz w:val="21"/>
          <w:szCs w:val="21"/>
          <w:lang w:val="en-US" w:eastAsia="zh-CN"/>
        </w:rPr>
        <w:t>2、</w:t>
      </w:r>
      <w:r>
        <w:rPr>
          <w:rFonts w:hint="eastAsia" w:ascii="宋体" w:hAnsi="宋体" w:eastAsia="宋体" w:cs="宋体"/>
          <w:color w:val="auto"/>
          <w:sz w:val="21"/>
          <w:szCs w:val="21"/>
        </w:rPr>
        <w:t>服务单位不得以任何理由拒绝建设单位分配的任务。对第一次拒绝接受任务的服务单位，取消本轮承担任务资格,并暂停两次抽签承接任务资格。第二次拒绝接受任务的，暂停四次抽签承接任务资格；第三次拒绝接受分配的，建设单位予以解除服务合同，并没收履约保证金。</w:t>
      </w:r>
    </w:p>
    <w:p>
      <w:pPr>
        <w:spacing w:line="360" w:lineRule="auto"/>
        <w:rPr>
          <w:rFonts w:hint="eastAsia" w:ascii="宋体" w:hAnsi="宋体" w:eastAsia="宋体" w:cs="宋体"/>
          <w:color w:val="auto"/>
          <w:sz w:val="21"/>
          <w:szCs w:val="21"/>
          <w:lang w:val="zh-CN"/>
        </w:rPr>
      </w:pPr>
    </w:p>
    <w:p>
      <w:pPr>
        <w:pStyle w:val="5"/>
        <w:bidi w:val="0"/>
        <w:rPr>
          <w:rFonts w:hint="eastAsia"/>
          <w:color w:val="auto"/>
          <w:lang w:val="zh-CN"/>
        </w:rPr>
      </w:pPr>
      <w:r>
        <w:rPr>
          <w:rFonts w:hint="eastAsia"/>
          <w:color w:val="auto"/>
          <w:lang w:val="en-US" w:eastAsia="zh-CN"/>
        </w:rPr>
        <w:t>五</w:t>
      </w:r>
      <w:r>
        <w:rPr>
          <w:rFonts w:hint="eastAsia"/>
          <w:color w:val="auto"/>
        </w:rPr>
        <w:t>、设计工作主要范围</w:t>
      </w:r>
    </w:p>
    <w:p>
      <w:pPr>
        <w:pStyle w:val="11"/>
        <w:tabs>
          <w:tab w:val="left" w:pos="540"/>
        </w:tabs>
        <w:adjustRightInd w:val="0"/>
        <w:snapToGrid w:val="0"/>
        <w:spacing w:line="360" w:lineRule="auto"/>
        <w:ind w:firstLine="422" w:firstLineChars="200"/>
        <w:rPr>
          <w:rFonts w:hint="eastAsia" w:ascii="宋体" w:hAnsi="宋体" w:eastAsia="宋体" w:cs="宋体"/>
          <w:b/>
          <w:color w:val="auto"/>
          <w:sz w:val="21"/>
          <w:szCs w:val="21"/>
        </w:rPr>
      </w:pPr>
      <w:r>
        <w:rPr>
          <w:rFonts w:hint="eastAsia" w:ascii="宋体" w:hAnsi="宋体" w:eastAsia="宋体" w:cs="宋体"/>
          <w:b/>
          <w:color w:val="auto"/>
          <w:sz w:val="21"/>
          <w:szCs w:val="21"/>
        </w:rPr>
        <w:t>以下服务范围划分仅为描述方便，最终的服务具体范围及内容以采购人与中标人签订的《服务采购合同》及采购人下达的任务书为准，不作为采购人必须承诺的内容，中标人不得以金额小等理由拒绝采购人下达的工作任务，否则取消签订合同资格。</w:t>
      </w:r>
    </w:p>
    <w:p>
      <w:pPr>
        <w:tabs>
          <w:tab w:val="left" w:pos="1620"/>
        </w:tabs>
        <w:spacing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工程设计工作包括的主要范围：</w:t>
      </w:r>
    </w:p>
    <w:p>
      <w:pPr>
        <w:pStyle w:val="59"/>
        <w:numPr>
          <w:ilvl w:val="0"/>
          <w:numId w:val="10"/>
        </w:numPr>
        <w:tabs>
          <w:tab w:val="left" w:pos="420"/>
        </w:tabs>
        <w:snapToGrid w:val="0"/>
        <w:spacing w:line="360" w:lineRule="auto"/>
        <w:ind w:firstLineChars="0"/>
        <w:rPr>
          <w:rFonts w:hint="eastAsia" w:ascii="宋体" w:hAnsi="宋体" w:eastAsia="宋体" w:cs="宋体"/>
          <w:color w:val="auto"/>
          <w:sz w:val="21"/>
          <w:szCs w:val="21"/>
        </w:rPr>
      </w:pPr>
      <w:r>
        <w:rPr>
          <w:rFonts w:hint="eastAsia" w:ascii="宋体" w:hAnsi="宋体" w:eastAsia="宋体" w:cs="宋体"/>
          <w:color w:val="auto"/>
          <w:sz w:val="21"/>
          <w:szCs w:val="21"/>
        </w:rPr>
        <w:t>概念设计（含投资估算）。</w:t>
      </w:r>
    </w:p>
    <w:p>
      <w:pPr>
        <w:pStyle w:val="59"/>
        <w:numPr>
          <w:ilvl w:val="0"/>
          <w:numId w:val="10"/>
        </w:numPr>
        <w:tabs>
          <w:tab w:val="left" w:pos="420"/>
        </w:tabs>
        <w:snapToGrid w:val="0"/>
        <w:spacing w:line="360" w:lineRule="auto"/>
        <w:ind w:firstLineChars="0"/>
        <w:rPr>
          <w:rFonts w:hint="eastAsia" w:ascii="宋体" w:hAnsi="宋体" w:eastAsia="宋体" w:cs="宋体"/>
          <w:color w:val="auto"/>
          <w:sz w:val="21"/>
          <w:szCs w:val="21"/>
        </w:rPr>
      </w:pPr>
      <w:r>
        <w:rPr>
          <w:rFonts w:hint="eastAsia" w:ascii="宋体" w:hAnsi="宋体" w:eastAsia="宋体" w:cs="宋体"/>
          <w:color w:val="auto"/>
          <w:sz w:val="21"/>
          <w:szCs w:val="21"/>
        </w:rPr>
        <w:t>初步设计、施工图设计、编制设计概算服务。</w:t>
      </w:r>
    </w:p>
    <w:p>
      <w:pPr>
        <w:bidi w:val="0"/>
        <w:rPr>
          <w:rFonts w:hint="eastAsia"/>
        </w:rPr>
      </w:pPr>
    </w:p>
    <w:p>
      <w:pPr>
        <w:pStyle w:val="5"/>
        <w:numPr>
          <w:ilvl w:val="0"/>
          <w:numId w:val="11"/>
        </w:numPr>
        <w:bidi w:val="0"/>
        <w:rPr>
          <w:rFonts w:hint="eastAsia"/>
          <w:color w:val="auto"/>
          <w:lang w:val="en-US" w:eastAsia="zh-CN"/>
        </w:rPr>
      </w:pPr>
      <w:r>
        <w:rPr>
          <w:rFonts w:hint="eastAsia"/>
          <w:color w:val="auto"/>
          <w:lang w:val="en-US" w:eastAsia="zh-CN"/>
        </w:rPr>
        <w:t>光伏储能新能源工程设计依据</w:t>
      </w:r>
    </w:p>
    <w:p>
      <w:pPr>
        <w:bidi w:val="0"/>
        <w:rPr>
          <w:rFonts w:hint="default"/>
          <w:lang w:val="en-US" w:eastAsia="zh-CN"/>
        </w:rPr>
      </w:pPr>
      <w:r>
        <w:rPr>
          <w:rFonts w:hint="default"/>
          <w:lang w:val="en-US" w:eastAsia="zh-CN"/>
        </w:rPr>
        <w:t>（1）《广东电网公司电厂接入系统设计内容深度规定》（2010-01-14 印发）</w:t>
      </w:r>
    </w:p>
    <w:p>
      <w:pPr>
        <w:bidi w:val="0"/>
        <w:rPr>
          <w:rFonts w:hint="default"/>
          <w:lang w:val="en-US" w:eastAsia="zh-CN"/>
        </w:rPr>
      </w:pPr>
      <w:r>
        <w:rPr>
          <w:rFonts w:hint="default"/>
          <w:lang w:val="en-US" w:eastAsia="zh-CN"/>
        </w:rPr>
        <w:t>（2）《广东电网公司新建电厂并网管理办法》</w:t>
      </w:r>
    </w:p>
    <w:p>
      <w:pPr>
        <w:bidi w:val="0"/>
        <w:rPr>
          <w:rFonts w:hint="default"/>
          <w:lang w:val="en-US" w:eastAsia="zh-CN"/>
        </w:rPr>
      </w:pPr>
      <w:r>
        <w:rPr>
          <w:rFonts w:hint="default"/>
          <w:lang w:val="en-US" w:eastAsia="zh-CN"/>
        </w:rPr>
        <w:t>（3）《分布式光伏发电系统接入电网技术规范》Q/CSG1211001-2014。</w:t>
      </w:r>
    </w:p>
    <w:p>
      <w:pPr>
        <w:bidi w:val="0"/>
        <w:rPr>
          <w:rFonts w:hint="default"/>
          <w:lang w:val="en-US" w:eastAsia="zh-CN"/>
        </w:rPr>
      </w:pPr>
      <w:r>
        <w:rPr>
          <w:rFonts w:hint="default"/>
          <w:lang w:val="en-US" w:eastAsia="zh-CN"/>
        </w:rPr>
        <w:t>（4）《光伏发电站接入电力系统技术规定》GB/T19964-2012</w:t>
      </w:r>
    </w:p>
    <w:p>
      <w:pPr>
        <w:bidi w:val="0"/>
        <w:rPr>
          <w:rFonts w:hint="default"/>
          <w:lang w:val="en-US" w:eastAsia="zh-CN"/>
        </w:rPr>
      </w:pPr>
      <w:r>
        <w:rPr>
          <w:rFonts w:hint="default"/>
          <w:lang w:val="en-US" w:eastAsia="zh-CN"/>
        </w:rPr>
        <w:t>（5）《光伏发电接入配电网设计规范》GB/T50865-2013</w:t>
      </w:r>
    </w:p>
    <w:p>
      <w:pPr>
        <w:bidi w:val="0"/>
        <w:rPr>
          <w:rFonts w:hint="default"/>
          <w:lang w:val="en-US" w:eastAsia="zh-CN"/>
        </w:rPr>
      </w:pPr>
      <w:r>
        <w:rPr>
          <w:rFonts w:hint="default"/>
          <w:lang w:val="en-US" w:eastAsia="zh-CN"/>
        </w:rPr>
        <w:t>（6）《光伏发电站设计规范》GB50797-2012</w:t>
      </w:r>
    </w:p>
    <w:p>
      <w:pPr>
        <w:bidi w:val="0"/>
        <w:rPr>
          <w:rFonts w:hint="default"/>
          <w:lang w:val="en-US" w:eastAsia="zh-CN"/>
        </w:rPr>
      </w:pPr>
      <w:r>
        <w:rPr>
          <w:rFonts w:hint="default"/>
          <w:lang w:val="en-US" w:eastAsia="zh-CN"/>
        </w:rPr>
        <w:t>（7）《电能质量供电电压偏差》GB/T12325-2008</w:t>
      </w:r>
    </w:p>
    <w:p>
      <w:pPr>
        <w:bidi w:val="0"/>
        <w:rPr>
          <w:rFonts w:hint="default"/>
          <w:lang w:val="en-US" w:eastAsia="zh-CN"/>
        </w:rPr>
      </w:pPr>
      <w:r>
        <w:rPr>
          <w:rFonts w:hint="default"/>
          <w:lang w:val="en-US" w:eastAsia="zh-CN"/>
        </w:rPr>
        <w:t>（8）《电能质量电压波动和闪变》GB/T12326-2008</w:t>
      </w:r>
    </w:p>
    <w:p>
      <w:pPr>
        <w:bidi w:val="0"/>
        <w:rPr>
          <w:rFonts w:hint="default"/>
          <w:lang w:val="en-US" w:eastAsia="zh-CN"/>
        </w:rPr>
      </w:pPr>
      <w:r>
        <w:rPr>
          <w:rFonts w:hint="default"/>
          <w:lang w:val="en-US" w:eastAsia="zh-CN"/>
        </w:rPr>
        <w:t>（9）《电能质量公用电网间谐波》GB/T24337-2009</w:t>
      </w:r>
    </w:p>
    <w:p>
      <w:pPr>
        <w:bidi w:val="0"/>
        <w:rPr>
          <w:rFonts w:hint="default"/>
          <w:lang w:val="en-US" w:eastAsia="zh-CN"/>
        </w:rPr>
      </w:pPr>
      <w:r>
        <w:rPr>
          <w:rFonts w:hint="default"/>
          <w:lang w:val="en-US" w:eastAsia="zh-CN"/>
        </w:rPr>
        <w:t>（10）《电能质量公用电网谐波》GB/T14549-1993</w:t>
      </w:r>
    </w:p>
    <w:p>
      <w:pPr>
        <w:bidi w:val="0"/>
        <w:rPr>
          <w:rFonts w:hint="default"/>
          <w:lang w:val="en-US" w:eastAsia="zh-CN"/>
        </w:rPr>
      </w:pPr>
      <w:r>
        <w:rPr>
          <w:rFonts w:hint="default"/>
          <w:lang w:val="en-US" w:eastAsia="zh-CN"/>
        </w:rPr>
        <w:t>（11）《电能质量三相电压允许不平衡度》GB/T15543-2008</w:t>
      </w:r>
    </w:p>
    <w:p>
      <w:pPr>
        <w:bidi w:val="0"/>
        <w:rPr>
          <w:rFonts w:hint="default"/>
          <w:lang w:val="en-US" w:eastAsia="zh-CN"/>
        </w:rPr>
      </w:pPr>
      <w:r>
        <w:rPr>
          <w:rFonts w:hint="default"/>
          <w:lang w:val="en-US" w:eastAsia="zh-CN"/>
        </w:rPr>
        <w:t>（12）《电力系统设计技术规程》DL/T5429-2009；</w:t>
      </w:r>
    </w:p>
    <w:p>
      <w:pPr>
        <w:bidi w:val="0"/>
        <w:rPr>
          <w:rFonts w:hint="default"/>
          <w:lang w:val="en-US" w:eastAsia="zh-CN"/>
        </w:rPr>
      </w:pPr>
      <w:r>
        <w:rPr>
          <w:rFonts w:hint="default"/>
          <w:lang w:val="en-US" w:eastAsia="zh-CN"/>
        </w:rPr>
        <w:t>（13）《电力系统电压和无功电力技术导则》DL/T1773-2017；</w:t>
      </w:r>
    </w:p>
    <w:p>
      <w:pPr>
        <w:bidi w:val="0"/>
        <w:rPr>
          <w:rFonts w:hint="default"/>
          <w:lang w:val="en-US" w:eastAsia="zh-CN"/>
        </w:rPr>
      </w:pPr>
      <w:r>
        <w:rPr>
          <w:rFonts w:hint="default"/>
          <w:lang w:val="en-US" w:eastAsia="zh-CN"/>
        </w:rPr>
        <w:t>（14）《电力系统安全稳定控制技术导则》GBT26399-2011。</w:t>
      </w:r>
    </w:p>
    <w:p>
      <w:pPr>
        <w:bidi w:val="0"/>
        <w:rPr>
          <w:rFonts w:hint="default"/>
          <w:lang w:val="en-US" w:eastAsia="zh-CN"/>
        </w:rPr>
      </w:pPr>
      <w:r>
        <w:rPr>
          <w:rFonts w:hint="default"/>
          <w:lang w:val="en-US" w:eastAsia="zh-CN"/>
        </w:rPr>
        <w:t>（15）《光伏系统并网技术要求》(GB/T19939－2005)；</w:t>
      </w:r>
    </w:p>
    <w:p>
      <w:pPr>
        <w:bidi w:val="0"/>
        <w:rPr>
          <w:rFonts w:hint="default"/>
          <w:lang w:val="en-US" w:eastAsia="zh-CN"/>
        </w:rPr>
      </w:pPr>
      <w:r>
        <w:rPr>
          <w:rFonts w:hint="default"/>
          <w:lang w:val="en-US" w:eastAsia="zh-CN"/>
        </w:rPr>
        <w:t>（16）《光伏发电站设计规范》(GB50797－2012)；</w:t>
      </w:r>
    </w:p>
    <w:p>
      <w:pPr>
        <w:bidi w:val="0"/>
        <w:rPr>
          <w:rFonts w:hint="default"/>
          <w:lang w:val="en-US" w:eastAsia="zh-CN"/>
        </w:rPr>
      </w:pPr>
      <w:r>
        <w:rPr>
          <w:rFonts w:hint="default"/>
          <w:lang w:val="en-US" w:eastAsia="zh-CN"/>
        </w:rPr>
        <w:t>（17）《分布式并网光伏发电系统设计规范》(FSGF 1－2014)；</w:t>
      </w:r>
    </w:p>
    <w:p>
      <w:pPr>
        <w:bidi w:val="0"/>
        <w:rPr>
          <w:rFonts w:hint="default"/>
          <w:lang w:val="en-US" w:eastAsia="zh-CN"/>
        </w:rPr>
      </w:pPr>
      <w:r>
        <w:rPr>
          <w:rFonts w:hint="default"/>
          <w:lang w:val="en-US" w:eastAsia="zh-CN"/>
        </w:rPr>
        <w:t>（18）《分布式并网光伏发电系统施工与验收规范》(FSGF 2－2014)。</w:t>
      </w:r>
    </w:p>
    <w:p>
      <w:pPr>
        <w:bidi w:val="0"/>
        <w:rPr>
          <w:rFonts w:hint="eastAsia"/>
          <w:lang w:val="en-US" w:eastAsia="zh-CN"/>
        </w:rPr>
      </w:pPr>
      <w:r>
        <w:rPr>
          <w:rFonts w:hint="eastAsia"/>
          <w:lang w:val="en-US" w:eastAsia="zh-CN"/>
        </w:rPr>
        <w:t>注：如有最新规范，以最新规范为准。</w:t>
      </w:r>
    </w:p>
    <w:p>
      <w:pPr>
        <w:bidi w:val="0"/>
        <w:rPr>
          <w:rFonts w:hint="default"/>
          <w:lang w:val="en-US" w:eastAsia="zh-CN"/>
        </w:rPr>
      </w:pPr>
    </w:p>
    <w:p>
      <w:pPr>
        <w:pStyle w:val="5"/>
        <w:bidi w:val="0"/>
        <w:rPr>
          <w:rFonts w:hint="eastAsia"/>
          <w:color w:val="auto"/>
          <w:lang w:val="zh-CN"/>
        </w:rPr>
      </w:pPr>
      <w:r>
        <w:rPr>
          <w:rFonts w:hint="eastAsia"/>
          <w:color w:val="auto"/>
          <w:lang w:val="en-US" w:eastAsia="zh-CN"/>
        </w:rPr>
        <w:t>七</w:t>
      </w:r>
      <w:r>
        <w:rPr>
          <w:rFonts w:hint="eastAsia"/>
          <w:color w:val="auto"/>
        </w:rPr>
        <w:t>、服务条款</w:t>
      </w:r>
    </w:p>
    <w:p>
      <w:pPr>
        <w:numPr>
          <w:ilvl w:val="0"/>
          <w:numId w:val="12"/>
        </w:numPr>
        <w:spacing w:line="360" w:lineRule="auto"/>
        <w:ind w:left="420" w:leftChars="200"/>
        <w:jc w:val="left"/>
        <w:rPr>
          <w:rFonts w:hint="eastAsia" w:ascii="宋体" w:hAnsi="宋体" w:eastAsia="宋体" w:cs="宋体"/>
          <w:color w:val="auto"/>
          <w:sz w:val="21"/>
          <w:szCs w:val="21"/>
        </w:rPr>
      </w:pPr>
      <w:r>
        <w:rPr>
          <w:rFonts w:hint="eastAsia" w:ascii="宋体" w:hAnsi="宋体" w:eastAsia="宋体" w:cs="宋体"/>
          <w:color w:val="auto"/>
          <w:sz w:val="21"/>
          <w:szCs w:val="21"/>
        </w:rPr>
        <w:t>服务单位须无条件接受建设单位的工作安排，不得将项目转包和分包。</w:t>
      </w:r>
    </w:p>
    <w:p>
      <w:pPr>
        <w:numPr>
          <w:ilvl w:val="0"/>
          <w:numId w:val="12"/>
        </w:numPr>
        <w:spacing w:line="360" w:lineRule="auto"/>
        <w:ind w:firstLine="367" w:firstLineChars="175"/>
        <w:jc w:val="left"/>
        <w:rPr>
          <w:rFonts w:hint="eastAsia" w:ascii="宋体" w:hAnsi="宋体" w:eastAsia="宋体" w:cs="宋体"/>
          <w:color w:val="auto"/>
          <w:sz w:val="21"/>
          <w:szCs w:val="21"/>
        </w:rPr>
      </w:pPr>
      <w:r>
        <w:rPr>
          <w:rFonts w:hint="eastAsia" w:ascii="宋体" w:hAnsi="宋体" w:eastAsia="宋体" w:cs="宋体"/>
          <w:color w:val="auto"/>
          <w:sz w:val="21"/>
          <w:szCs w:val="21"/>
        </w:rPr>
        <w:t>服务单位须指定项目负责人作为与建设单位的联系人，该联系人必须是服务单位的正式员工；服务单位负责项目工作的负责人与主要专业人员必须专职投入项目，若因特殊原因需更换负责人，需经采购人或建设单位书面同意。</w:t>
      </w:r>
    </w:p>
    <w:p>
      <w:pPr>
        <w:numPr>
          <w:ilvl w:val="0"/>
          <w:numId w:val="12"/>
        </w:numPr>
        <w:spacing w:line="360" w:lineRule="auto"/>
        <w:ind w:firstLine="367" w:firstLineChars="175"/>
        <w:jc w:val="left"/>
        <w:rPr>
          <w:rFonts w:hint="eastAsia" w:ascii="宋体" w:hAnsi="宋体" w:eastAsia="宋体" w:cs="宋体"/>
          <w:color w:val="auto"/>
          <w:sz w:val="21"/>
          <w:szCs w:val="21"/>
        </w:rPr>
      </w:pPr>
      <w:r>
        <w:rPr>
          <w:rFonts w:hint="eastAsia" w:ascii="宋体" w:hAnsi="宋体" w:eastAsia="宋体" w:cs="宋体"/>
          <w:color w:val="auto"/>
          <w:sz w:val="21"/>
          <w:szCs w:val="21"/>
        </w:rPr>
        <w:t>服务单位需按建设单位具体要求提交所要求数量的项目技术文件。</w:t>
      </w:r>
    </w:p>
    <w:p>
      <w:pPr>
        <w:numPr>
          <w:ilvl w:val="0"/>
          <w:numId w:val="12"/>
        </w:numPr>
        <w:spacing w:line="360" w:lineRule="auto"/>
        <w:ind w:firstLine="367" w:firstLineChars="175"/>
        <w:jc w:val="left"/>
        <w:rPr>
          <w:rFonts w:hint="eastAsia" w:ascii="宋体" w:hAnsi="宋体" w:eastAsia="宋体" w:cs="宋体"/>
          <w:color w:val="auto"/>
          <w:sz w:val="21"/>
          <w:szCs w:val="21"/>
        </w:rPr>
      </w:pPr>
      <w:r>
        <w:rPr>
          <w:rFonts w:hint="eastAsia" w:ascii="宋体" w:hAnsi="宋体" w:eastAsia="宋体" w:cs="宋体"/>
          <w:color w:val="auto"/>
          <w:sz w:val="21"/>
          <w:szCs w:val="21"/>
        </w:rPr>
        <w:t>服务单位应承担由自身过错导致的任何责任。</w:t>
      </w:r>
    </w:p>
    <w:p>
      <w:pPr>
        <w:numPr>
          <w:ilvl w:val="0"/>
          <w:numId w:val="12"/>
        </w:numPr>
        <w:spacing w:line="360" w:lineRule="auto"/>
        <w:ind w:firstLine="367" w:firstLineChars="175"/>
        <w:jc w:val="left"/>
        <w:rPr>
          <w:rFonts w:hint="eastAsia" w:ascii="宋体" w:hAnsi="宋体" w:eastAsia="宋体" w:cs="宋体"/>
          <w:color w:val="auto"/>
          <w:sz w:val="21"/>
          <w:szCs w:val="21"/>
        </w:rPr>
      </w:pPr>
      <w:r>
        <w:rPr>
          <w:rFonts w:hint="eastAsia" w:ascii="宋体" w:hAnsi="宋体" w:eastAsia="宋体" w:cs="宋体"/>
          <w:color w:val="auto"/>
          <w:sz w:val="21"/>
          <w:szCs w:val="21"/>
        </w:rPr>
        <w:t>服务单位应对建设单位委托各项目的内容予以严格保密。</w:t>
      </w:r>
    </w:p>
    <w:p>
      <w:pPr>
        <w:numPr>
          <w:ilvl w:val="0"/>
          <w:numId w:val="12"/>
        </w:numPr>
        <w:spacing w:line="360" w:lineRule="auto"/>
        <w:ind w:firstLine="367" w:firstLineChars="175"/>
        <w:jc w:val="left"/>
        <w:rPr>
          <w:rFonts w:hint="eastAsia" w:ascii="宋体" w:hAnsi="宋体" w:eastAsia="宋体" w:cs="宋体"/>
          <w:color w:val="auto"/>
          <w:sz w:val="21"/>
          <w:szCs w:val="21"/>
        </w:rPr>
      </w:pPr>
      <w:r>
        <w:rPr>
          <w:rFonts w:hint="eastAsia" w:ascii="宋体" w:hAnsi="宋体" w:eastAsia="宋体" w:cs="宋体"/>
          <w:color w:val="auto"/>
          <w:sz w:val="21"/>
          <w:szCs w:val="21"/>
        </w:rPr>
        <w:t>建设单位将对服务单位实行动态管理，对服务单位的服务承诺、服务态度等进行定期和不定期的考核，一旦发现服务单位违反招标文件要求及其承诺，将要求其限期整改，整改期间暂停其服务资格，整改完成后达到要求则恢复其资格，否则取消其资格。</w:t>
      </w:r>
    </w:p>
    <w:p>
      <w:pPr>
        <w:numPr>
          <w:ilvl w:val="0"/>
          <w:numId w:val="12"/>
        </w:numPr>
        <w:spacing w:line="360" w:lineRule="auto"/>
        <w:ind w:firstLine="367" w:firstLineChars="175"/>
        <w:jc w:val="left"/>
        <w:rPr>
          <w:rFonts w:hint="eastAsia" w:ascii="宋体" w:hAnsi="宋体" w:eastAsia="宋体" w:cs="宋体"/>
          <w:color w:val="auto"/>
          <w:sz w:val="21"/>
          <w:szCs w:val="21"/>
        </w:rPr>
      </w:pPr>
      <w:r>
        <w:rPr>
          <w:rFonts w:hint="eastAsia" w:ascii="宋体" w:hAnsi="宋体" w:eastAsia="宋体" w:cs="宋体"/>
          <w:color w:val="auto"/>
          <w:sz w:val="21"/>
          <w:szCs w:val="21"/>
        </w:rPr>
        <w:t>服务单位获得服务资格后，不保证其具体承担的工程设计数量。</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服务单位不得以任何理由拒绝建设单位分配的任务。对第一次拒绝接受任务的服务单位，取消本轮承担任务资格,并暂停两次抽签承接任务资格。第二次拒绝接受任务的，暂停四次抽签承接任务资格；第三次拒绝接受分配的，建设单位予以解除服务合同，并没收履约保证金。</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服务单位在协议服务资格年限内，履行本招标文件约定的义务过程中出违反国家法律法规、相关主管部门规章制度、擅自提高价格或服务质量低劣造成建设单位损失等情况的，建设单位有权视情节分别给予警告、没收协议采购履约担保或取消协议服务资格等处罚。</w:t>
      </w:r>
    </w:p>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firstLine="420" w:firstLineChars="200"/>
        <w:jc w:val="left"/>
        <w:textAlignment w:val="auto"/>
        <w:rPr>
          <w:rFonts w:hint="eastAsia" w:ascii="宋体" w:hAnsi="宋体" w:eastAsia="宋体" w:cs="宋体"/>
          <w:color w:val="auto"/>
          <w:sz w:val="21"/>
          <w:szCs w:val="21"/>
          <w:highlight w:val="none"/>
        </w:rPr>
      </w:pP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因服务单位被取消协议服务资格而造成</w:t>
      </w:r>
      <w:r>
        <w:rPr>
          <w:rFonts w:hint="eastAsia" w:ascii="宋体" w:hAnsi="宋体" w:cs="宋体"/>
          <w:color w:val="auto"/>
          <w:sz w:val="21"/>
          <w:szCs w:val="21"/>
          <w:highlight w:val="none"/>
          <w:lang w:val="en-US" w:eastAsia="zh-CN"/>
        </w:rPr>
        <w:t>光伏储能新能源工程设计</w:t>
      </w:r>
      <w:r>
        <w:rPr>
          <w:rFonts w:hint="eastAsia" w:ascii="宋体" w:hAnsi="宋体" w:eastAsia="宋体" w:cs="宋体"/>
          <w:color w:val="auto"/>
          <w:sz w:val="21"/>
          <w:szCs w:val="21"/>
          <w:highlight w:val="none"/>
        </w:rPr>
        <w:t>服务机构协议单位数量不能满足正常协议服务工作需求的，建设单位有权按顺序递补本次采购综合评分排名在中标单位后的候选单位，以保证造价咨询服务机构协议单位数量的正常需求。</w:t>
      </w:r>
    </w:p>
    <w:p>
      <w:pPr>
        <w:bidi w:val="0"/>
        <w:rPr>
          <w:rFonts w:hint="eastAsia"/>
        </w:rPr>
      </w:pPr>
    </w:p>
    <w:p>
      <w:pPr>
        <w:pStyle w:val="5"/>
        <w:keepNext/>
        <w:keepLines/>
        <w:pageBreakBefore w:val="0"/>
        <w:widowControl/>
        <w:numPr>
          <w:ilvl w:val="0"/>
          <w:numId w:val="0"/>
        </w:numPr>
        <w:kinsoku/>
        <w:wordWrap/>
        <w:overflowPunct/>
        <w:topLinePunct w:val="0"/>
        <w:autoSpaceDE/>
        <w:autoSpaceDN/>
        <w:bidi w:val="0"/>
        <w:adjustRightInd w:val="0"/>
        <w:snapToGrid w:val="0"/>
        <w:spacing w:line="360" w:lineRule="auto"/>
        <w:ind w:leftChars="0"/>
        <w:textAlignment w:val="auto"/>
        <w:rPr>
          <w:rFonts w:hint="default" w:eastAsia="宋体"/>
          <w:color w:val="auto"/>
          <w:highlight w:val="none"/>
          <w:lang w:val="en-US" w:eastAsia="zh-CN"/>
        </w:rPr>
      </w:pPr>
      <w:r>
        <w:rPr>
          <w:rFonts w:hint="eastAsia"/>
          <w:color w:val="auto"/>
          <w:highlight w:val="none"/>
          <w:lang w:val="en-US" w:eastAsia="zh-CN"/>
        </w:rPr>
        <w:t>十、考核办法</w:t>
      </w:r>
    </w:p>
    <w:p>
      <w:pPr>
        <w:spacing w:line="360" w:lineRule="auto"/>
        <w:ind w:firstLine="440" w:firstLineChars="200"/>
        <w:rPr>
          <w:rFonts w:ascii="宋体" w:hAnsi="宋体"/>
          <w:color w:val="auto"/>
          <w:sz w:val="22"/>
          <w:szCs w:val="22"/>
        </w:rPr>
      </w:pPr>
      <w:r>
        <w:rPr>
          <w:rFonts w:hint="eastAsia" w:ascii="宋体" w:hAnsi="宋体"/>
          <w:color w:val="auto"/>
          <w:sz w:val="22"/>
          <w:szCs w:val="22"/>
          <w:lang w:eastAsia="zh-CN"/>
        </w:rPr>
        <w:t>光伏储能新能源工程设计</w:t>
      </w:r>
      <w:r>
        <w:rPr>
          <w:rFonts w:hint="eastAsia" w:ascii="宋体" w:hAnsi="宋体"/>
          <w:color w:val="auto"/>
          <w:sz w:val="22"/>
          <w:szCs w:val="22"/>
        </w:rPr>
        <w:t>服务机构资格服务期限为</w:t>
      </w:r>
      <w:r>
        <w:rPr>
          <w:rFonts w:hint="eastAsia" w:ascii="宋体" w:hAnsi="宋体"/>
          <w:color w:val="auto"/>
          <w:sz w:val="22"/>
          <w:szCs w:val="22"/>
          <w:lang w:val="en-US" w:eastAsia="zh-CN"/>
        </w:rPr>
        <w:t>2</w:t>
      </w:r>
      <w:r>
        <w:rPr>
          <w:rFonts w:hint="eastAsia" w:ascii="宋体" w:hAnsi="宋体"/>
          <w:color w:val="auto"/>
          <w:sz w:val="22"/>
          <w:szCs w:val="22"/>
        </w:rPr>
        <w:t>年。服务期内，</w:t>
      </w:r>
      <w:r>
        <w:rPr>
          <w:rFonts w:hint="eastAsia" w:ascii="宋体" w:hAnsi="宋体"/>
          <w:color w:val="auto"/>
          <w:szCs w:val="21"/>
        </w:rPr>
        <w:t>由</w:t>
      </w:r>
      <w:r>
        <w:rPr>
          <w:rFonts w:hint="eastAsia" w:ascii="宋体" w:hAnsi="宋体"/>
          <w:color w:val="auto"/>
          <w:szCs w:val="21"/>
          <w:lang w:val="en-US" w:eastAsia="zh-CN"/>
        </w:rPr>
        <w:t>采购方</w:t>
      </w:r>
      <w:r>
        <w:rPr>
          <w:rFonts w:hint="eastAsia" w:ascii="宋体" w:hAnsi="宋体"/>
          <w:color w:val="auto"/>
          <w:szCs w:val="21"/>
        </w:rPr>
        <w:t>工程管理部门</w:t>
      </w:r>
      <w:r>
        <w:rPr>
          <w:rFonts w:hint="eastAsia" w:ascii="宋体" w:hAnsi="宋体"/>
          <w:color w:val="auto"/>
          <w:sz w:val="22"/>
          <w:szCs w:val="22"/>
        </w:rPr>
        <w:t>对完成设计项目的质量、效率、服务等情况进行综合评价。考核分为建设单位设计项目评价及</w:t>
      </w:r>
      <w:r>
        <w:rPr>
          <w:rFonts w:hint="eastAsia" w:ascii="宋体" w:hAnsi="宋体"/>
          <w:color w:val="auto"/>
          <w:sz w:val="22"/>
          <w:szCs w:val="22"/>
          <w:lang w:eastAsia="zh-CN"/>
        </w:rPr>
        <w:t>光伏储能新能源工程设计</w:t>
      </w:r>
      <w:r>
        <w:rPr>
          <w:rFonts w:hint="eastAsia" w:ascii="宋体" w:hAnsi="宋体"/>
          <w:color w:val="auto"/>
          <w:sz w:val="22"/>
          <w:szCs w:val="22"/>
        </w:rPr>
        <w:t>机构年度考核</w:t>
      </w:r>
      <w:r>
        <w:rPr>
          <w:rFonts w:hint="eastAsia" w:ascii="宋体" w:hAnsi="宋体"/>
          <w:color w:val="auto"/>
          <w:szCs w:val="21"/>
          <w:lang w:eastAsia="zh-CN"/>
        </w:rPr>
        <w:t>（</w:t>
      </w:r>
      <w:r>
        <w:rPr>
          <w:rFonts w:hint="eastAsia" w:ascii="宋体" w:hAnsi="宋体"/>
          <w:color w:val="auto"/>
          <w:szCs w:val="21"/>
          <w:lang w:val="en-US" w:eastAsia="zh-CN"/>
        </w:rPr>
        <w:t>详见附件1、附件2</w:t>
      </w:r>
      <w:r>
        <w:rPr>
          <w:rFonts w:hint="eastAsia" w:ascii="宋体" w:hAnsi="宋体"/>
          <w:color w:val="auto"/>
          <w:szCs w:val="21"/>
          <w:lang w:eastAsia="zh-CN"/>
        </w:rPr>
        <w:t>）</w:t>
      </w:r>
      <w:r>
        <w:rPr>
          <w:rFonts w:hint="eastAsia" w:ascii="宋体" w:hAnsi="宋体"/>
          <w:color w:val="auto"/>
          <w:sz w:val="22"/>
          <w:szCs w:val="22"/>
        </w:rPr>
        <w:t>。具体考核的内容有：</w:t>
      </w:r>
    </w:p>
    <w:p>
      <w:pPr>
        <w:spacing w:line="360" w:lineRule="auto"/>
        <w:ind w:firstLine="440" w:firstLineChars="200"/>
        <w:rPr>
          <w:rFonts w:ascii="宋体" w:hAnsi="宋体"/>
          <w:color w:val="auto"/>
          <w:sz w:val="22"/>
          <w:szCs w:val="22"/>
        </w:rPr>
      </w:pPr>
      <w:r>
        <w:rPr>
          <w:rFonts w:hint="eastAsia" w:ascii="宋体" w:hAnsi="宋体"/>
          <w:color w:val="auto"/>
          <w:sz w:val="22"/>
          <w:szCs w:val="22"/>
        </w:rPr>
        <w:t>（1）设计服务机构资质条件现状；</w:t>
      </w:r>
    </w:p>
    <w:p>
      <w:pPr>
        <w:spacing w:line="360" w:lineRule="auto"/>
        <w:ind w:firstLine="440" w:firstLineChars="200"/>
        <w:rPr>
          <w:rFonts w:ascii="宋体" w:hAnsi="宋体"/>
          <w:color w:val="auto"/>
          <w:sz w:val="22"/>
          <w:szCs w:val="22"/>
        </w:rPr>
      </w:pPr>
      <w:r>
        <w:rPr>
          <w:rFonts w:hint="eastAsia" w:ascii="宋体" w:hAnsi="宋体"/>
          <w:color w:val="auto"/>
          <w:sz w:val="22"/>
          <w:szCs w:val="22"/>
        </w:rPr>
        <w:t>（2）协议期间</w:t>
      </w:r>
      <w:r>
        <w:rPr>
          <w:rFonts w:hint="eastAsia" w:ascii="宋体" w:hAnsi="宋体"/>
          <w:color w:val="auto"/>
          <w:sz w:val="22"/>
          <w:szCs w:val="22"/>
          <w:lang w:eastAsia="zh-CN"/>
        </w:rPr>
        <w:t>光伏储能新能源工程设计</w:t>
      </w:r>
      <w:r>
        <w:rPr>
          <w:rFonts w:hint="eastAsia" w:ascii="宋体" w:hAnsi="宋体"/>
          <w:color w:val="auto"/>
          <w:sz w:val="22"/>
          <w:szCs w:val="22"/>
        </w:rPr>
        <w:t>服务机构</w:t>
      </w:r>
      <w:r>
        <w:rPr>
          <w:rFonts w:hint="eastAsia" w:ascii="宋体" w:hAnsi="宋体"/>
          <w:color w:val="auto"/>
          <w:sz w:val="22"/>
          <w:szCs w:val="22"/>
          <w:lang w:eastAsia="zh-CN"/>
        </w:rPr>
        <w:t>光伏储能新能源工程设计</w:t>
      </w:r>
      <w:r>
        <w:rPr>
          <w:rFonts w:hint="eastAsia" w:ascii="宋体" w:hAnsi="宋体"/>
          <w:color w:val="auto"/>
          <w:sz w:val="22"/>
          <w:szCs w:val="22"/>
        </w:rPr>
        <w:t>工作业绩和合同执行情况；</w:t>
      </w:r>
    </w:p>
    <w:p>
      <w:pPr>
        <w:spacing w:line="360" w:lineRule="auto"/>
        <w:ind w:firstLine="440" w:firstLineChars="200"/>
        <w:rPr>
          <w:rFonts w:ascii="宋体" w:hAnsi="宋体"/>
          <w:color w:val="auto"/>
          <w:sz w:val="22"/>
          <w:szCs w:val="22"/>
        </w:rPr>
      </w:pPr>
      <w:r>
        <w:rPr>
          <w:rFonts w:hint="eastAsia" w:ascii="宋体" w:hAnsi="宋体"/>
          <w:color w:val="auto"/>
          <w:sz w:val="22"/>
          <w:szCs w:val="22"/>
        </w:rPr>
        <w:t>（3）</w:t>
      </w:r>
      <w:r>
        <w:rPr>
          <w:rFonts w:hint="eastAsia" w:ascii="宋体" w:hAnsi="宋体"/>
          <w:color w:val="auto"/>
          <w:sz w:val="22"/>
          <w:szCs w:val="22"/>
          <w:lang w:eastAsia="zh-CN"/>
        </w:rPr>
        <w:t>光伏储能新能源工程设计</w:t>
      </w:r>
      <w:r>
        <w:rPr>
          <w:rFonts w:hint="eastAsia" w:ascii="宋体" w:hAnsi="宋体"/>
          <w:color w:val="auto"/>
          <w:sz w:val="22"/>
          <w:szCs w:val="22"/>
        </w:rPr>
        <w:t>服务机构</w:t>
      </w:r>
      <w:r>
        <w:rPr>
          <w:rFonts w:hint="eastAsia" w:ascii="宋体" w:hAnsi="宋体"/>
          <w:color w:val="auto"/>
          <w:sz w:val="22"/>
          <w:szCs w:val="22"/>
          <w:lang w:eastAsia="zh-CN"/>
        </w:rPr>
        <w:t>光伏储能新能源工程设计</w:t>
      </w:r>
      <w:r>
        <w:rPr>
          <w:rFonts w:hint="eastAsia" w:ascii="宋体" w:hAnsi="宋体"/>
          <w:color w:val="auto"/>
          <w:sz w:val="22"/>
          <w:szCs w:val="22"/>
        </w:rPr>
        <w:t>的业务水平；</w:t>
      </w:r>
    </w:p>
    <w:p>
      <w:pPr>
        <w:spacing w:line="360" w:lineRule="auto"/>
        <w:ind w:firstLine="440" w:firstLineChars="200"/>
        <w:rPr>
          <w:rFonts w:ascii="宋体" w:hAnsi="宋体"/>
          <w:color w:val="auto"/>
          <w:sz w:val="22"/>
          <w:szCs w:val="22"/>
        </w:rPr>
      </w:pPr>
      <w:r>
        <w:rPr>
          <w:rFonts w:hint="eastAsia" w:ascii="宋体" w:hAnsi="宋体"/>
          <w:color w:val="auto"/>
          <w:sz w:val="22"/>
          <w:szCs w:val="22"/>
        </w:rPr>
        <w:t>（4）</w:t>
      </w:r>
      <w:r>
        <w:rPr>
          <w:rFonts w:hint="eastAsia" w:ascii="宋体" w:hAnsi="宋体"/>
          <w:color w:val="auto"/>
          <w:sz w:val="22"/>
          <w:szCs w:val="22"/>
          <w:lang w:eastAsia="zh-CN"/>
        </w:rPr>
        <w:t>光伏储能新能源工程设计</w:t>
      </w:r>
      <w:r>
        <w:rPr>
          <w:rFonts w:hint="eastAsia" w:ascii="宋体" w:hAnsi="宋体"/>
          <w:color w:val="auto"/>
          <w:sz w:val="22"/>
          <w:szCs w:val="22"/>
        </w:rPr>
        <w:t>服务机构和从业设计人员遵守职业道德情况；</w:t>
      </w:r>
    </w:p>
    <w:p>
      <w:pPr>
        <w:spacing w:line="360" w:lineRule="auto"/>
        <w:ind w:firstLine="440" w:firstLineChars="200"/>
        <w:rPr>
          <w:rFonts w:ascii="宋体" w:hAnsi="宋体"/>
          <w:color w:val="auto"/>
          <w:sz w:val="22"/>
          <w:szCs w:val="22"/>
        </w:rPr>
      </w:pPr>
      <w:r>
        <w:rPr>
          <w:rFonts w:hint="eastAsia" w:ascii="宋体" w:hAnsi="宋体"/>
          <w:color w:val="auto"/>
          <w:sz w:val="22"/>
          <w:szCs w:val="22"/>
        </w:rPr>
        <w:t>（5）执行国家法律、法规和市场管理的有关规定；违反相关法律和损害用户单位利益的情况；</w:t>
      </w:r>
    </w:p>
    <w:p>
      <w:pPr>
        <w:spacing w:line="360" w:lineRule="auto"/>
        <w:ind w:firstLine="440" w:firstLineChars="200"/>
        <w:rPr>
          <w:rFonts w:ascii="宋体" w:hAnsi="宋体"/>
          <w:color w:val="auto"/>
          <w:sz w:val="22"/>
          <w:szCs w:val="22"/>
        </w:rPr>
      </w:pPr>
      <w:r>
        <w:rPr>
          <w:rFonts w:hint="eastAsia" w:ascii="宋体" w:hAnsi="宋体"/>
          <w:color w:val="auto"/>
          <w:sz w:val="22"/>
          <w:szCs w:val="22"/>
        </w:rPr>
        <w:t>（6）企业内部制度建设、技术档案管理和质量保证体系执行情况；</w:t>
      </w:r>
    </w:p>
    <w:p>
      <w:pPr>
        <w:spacing w:line="360" w:lineRule="auto"/>
        <w:ind w:firstLine="440" w:firstLineChars="200"/>
        <w:rPr>
          <w:rFonts w:ascii="宋体" w:hAnsi="宋体"/>
          <w:color w:val="auto"/>
          <w:sz w:val="22"/>
          <w:szCs w:val="22"/>
        </w:rPr>
      </w:pPr>
      <w:r>
        <w:rPr>
          <w:rFonts w:hint="eastAsia" w:ascii="宋体" w:hAnsi="宋体"/>
          <w:color w:val="auto"/>
          <w:sz w:val="22"/>
          <w:szCs w:val="22"/>
        </w:rPr>
        <w:t>（7）</w:t>
      </w:r>
      <w:r>
        <w:rPr>
          <w:rFonts w:hint="eastAsia" w:ascii="宋体" w:hAnsi="宋体"/>
          <w:color w:val="auto"/>
          <w:sz w:val="22"/>
          <w:szCs w:val="22"/>
          <w:lang w:eastAsia="zh-CN"/>
        </w:rPr>
        <w:t>光伏储能新能源工程设计</w:t>
      </w:r>
      <w:r>
        <w:rPr>
          <w:rFonts w:hint="eastAsia" w:ascii="宋体" w:hAnsi="宋体"/>
          <w:color w:val="auto"/>
          <w:sz w:val="22"/>
          <w:szCs w:val="22"/>
        </w:rPr>
        <w:t>服务质量。</w:t>
      </w:r>
    </w:p>
    <w:p>
      <w:pPr>
        <w:spacing w:line="360" w:lineRule="auto"/>
        <w:ind w:firstLine="440" w:firstLineChars="200"/>
        <w:rPr>
          <w:rFonts w:hint="eastAsia" w:ascii="宋体" w:hAnsi="宋体"/>
          <w:color w:val="auto"/>
          <w:sz w:val="22"/>
          <w:szCs w:val="22"/>
        </w:rPr>
      </w:pPr>
      <w:r>
        <w:rPr>
          <w:rFonts w:hint="eastAsia" w:ascii="宋体" w:hAnsi="宋体"/>
          <w:color w:val="auto"/>
          <w:sz w:val="22"/>
          <w:szCs w:val="22"/>
        </w:rPr>
        <w:t>（8）</w:t>
      </w:r>
      <w:r>
        <w:rPr>
          <w:rFonts w:hint="eastAsia" w:ascii="宋体" w:hAnsi="宋体"/>
          <w:color w:val="auto"/>
          <w:sz w:val="22"/>
          <w:szCs w:val="22"/>
          <w:lang w:eastAsia="zh-CN"/>
        </w:rPr>
        <w:t>光伏储能新能源工程设计</w:t>
      </w:r>
      <w:r>
        <w:rPr>
          <w:rFonts w:hint="eastAsia" w:ascii="宋体" w:hAnsi="宋体"/>
          <w:color w:val="auto"/>
          <w:sz w:val="22"/>
          <w:szCs w:val="22"/>
        </w:rPr>
        <w:t>单位社会信誉。</w:t>
      </w:r>
    </w:p>
    <w:p>
      <w:pPr>
        <w:bidi w:val="0"/>
        <w:rPr>
          <w:rFonts w:hint="eastAsia"/>
        </w:rPr>
      </w:pPr>
    </w:p>
    <w:p>
      <w:pPr>
        <w:pStyle w:val="5"/>
        <w:bidi w:val="0"/>
        <w:rPr>
          <w:rFonts w:hint="eastAsia"/>
          <w:color w:val="auto"/>
          <w:lang w:val="zh-CN"/>
        </w:rPr>
      </w:pPr>
      <w:r>
        <w:rPr>
          <w:rFonts w:hint="eastAsia"/>
          <w:color w:val="auto"/>
          <w:lang w:val="en-US" w:eastAsia="zh-CN"/>
        </w:rPr>
        <w:t>八</w:t>
      </w:r>
      <w:r>
        <w:rPr>
          <w:rFonts w:hint="eastAsia"/>
          <w:color w:val="auto"/>
        </w:rPr>
        <w:t>、其他要求</w:t>
      </w:r>
    </w:p>
    <w:p>
      <w:pPr>
        <w:spacing w:line="360" w:lineRule="auto"/>
        <w:ind w:firstLine="480"/>
        <w:jc w:val="left"/>
        <w:rPr>
          <w:rFonts w:hint="eastAsia" w:ascii="宋体" w:hAnsi="宋体" w:eastAsia="宋体" w:cs="宋体"/>
          <w:color w:val="auto"/>
          <w:sz w:val="21"/>
          <w:szCs w:val="21"/>
        </w:rPr>
      </w:pPr>
      <w:r>
        <w:rPr>
          <w:rFonts w:hint="eastAsia" w:ascii="宋体" w:hAnsi="宋体" w:eastAsia="宋体" w:cs="宋体"/>
          <w:color w:val="auto"/>
          <w:sz w:val="21"/>
          <w:szCs w:val="21"/>
        </w:rPr>
        <w:t>1、服务单位在</w:t>
      </w:r>
      <w:r>
        <w:rPr>
          <w:rFonts w:hint="eastAsia" w:ascii="宋体" w:hAnsi="宋体" w:eastAsia="宋体" w:cs="宋体"/>
          <w:color w:val="auto"/>
          <w:sz w:val="21"/>
          <w:szCs w:val="21"/>
          <w:lang w:val="en-US" w:eastAsia="zh-CN"/>
        </w:rPr>
        <w:t>服务范围内</w:t>
      </w:r>
      <w:r>
        <w:rPr>
          <w:rFonts w:hint="eastAsia" w:ascii="宋体" w:hAnsi="宋体" w:eastAsia="宋体" w:cs="宋体"/>
          <w:color w:val="auto"/>
          <w:sz w:val="21"/>
          <w:szCs w:val="21"/>
        </w:rPr>
        <w:t>有固定的服务场所，且办公环境、硬件设施符合国家相关规定。</w:t>
      </w:r>
    </w:p>
    <w:p>
      <w:pPr>
        <w:spacing w:line="360" w:lineRule="auto"/>
        <w:ind w:firstLine="480"/>
        <w:jc w:val="left"/>
        <w:rPr>
          <w:rFonts w:hint="eastAsia" w:ascii="宋体" w:hAnsi="宋体" w:eastAsia="宋体" w:cs="宋体"/>
          <w:color w:val="auto"/>
          <w:sz w:val="21"/>
          <w:szCs w:val="21"/>
        </w:rPr>
      </w:pPr>
      <w:r>
        <w:rPr>
          <w:rFonts w:hint="eastAsia" w:ascii="宋体" w:hAnsi="宋体" w:eastAsia="宋体" w:cs="宋体"/>
          <w:color w:val="auto"/>
          <w:sz w:val="21"/>
          <w:szCs w:val="21"/>
        </w:rPr>
        <w:t>2、有健全的组织机构的内部管理制度，有完善的质量保证体系和技术经济档案管理制度，有良好的服务态度和较好的社会信誉。</w:t>
      </w:r>
    </w:p>
    <w:p>
      <w:pPr>
        <w:spacing w:line="360" w:lineRule="auto"/>
        <w:ind w:firstLine="480"/>
        <w:jc w:val="left"/>
        <w:rPr>
          <w:rFonts w:hint="eastAsia" w:ascii="宋体" w:hAnsi="宋体" w:eastAsia="宋体" w:cs="宋体"/>
          <w:color w:val="auto"/>
          <w:sz w:val="21"/>
          <w:szCs w:val="21"/>
        </w:rPr>
      </w:pPr>
      <w:r>
        <w:rPr>
          <w:rFonts w:hint="eastAsia" w:ascii="宋体" w:hAnsi="宋体" w:eastAsia="宋体" w:cs="宋体"/>
          <w:color w:val="auto"/>
          <w:sz w:val="21"/>
          <w:szCs w:val="21"/>
        </w:rPr>
        <w:t>3、服务单位应当配合建设单位，完成其他与委托业务相关的工作。</w:t>
      </w:r>
    </w:p>
    <w:p>
      <w:pPr>
        <w:spacing w:line="360" w:lineRule="auto"/>
        <w:ind w:firstLine="480"/>
        <w:jc w:val="left"/>
        <w:rPr>
          <w:rFonts w:hint="eastAsia" w:ascii="宋体" w:hAnsi="宋体" w:eastAsia="宋体" w:cs="宋体"/>
          <w:color w:val="auto"/>
          <w:sz w:val="21"/>
          <w:szCs w:val="21"/>
        </w:rPr>
      </w:pPr>
      <w:r>
        <w:rPr>
          <w:rFonts w:hint="eastAsia" w:ascii="宋体" w:hAnsi="宋体" w:eastAsia="宋体" w:cs="宋体"/>
          <w:color w:val="auto"/>
          <w:sz w:val="21"/>
          <w:szCs w:val="21"/>
        </w:rPr>
        <w:t>4、服务单位必须贯彻“技术先进、安全可靠、适用耐久、经济合理”的设计原则。加强工程方案设计环节，并与建设单位保持密切的沟通，使设计方案符合建设单位的功能使用和运行管理的要求。</w:t>
      </w:r>
    </w:p>
    <w:p>
      <w:pPr>
        <w:spacing w:line="360" w:lineRule="auto"/>
        <w:ind w:firstLine="480"/>
        <w:jc w:val="left"/>
        <w:rPr>
          <w:rFonts w:hint="eastAsia" w:ascii="宋体" w:hAnsi="宋体" w:eastAsia="宋体" w:cs="宋体"/>
          <w:color w:val="auto"/>
          <w:sz w:val="21"/>
          <w:szCs w:val="21"/>
        </w:rPr>
      </w:pPr>
      <w:r>
        <w:rPr>
          <w:rFonts w:hint="eastAsia" w:ascii="宋体" w:hAnsi="宋体" w:eastAsia="宋体" w:cs="宋体"/>
          <w:color w:val="auto"/>
          <w:sz w:val="21"/>
          <w:szCs w:val="21"/>
        </w:rPr>
        <w:t>5、合理选用技术指标、建筑材料和设备，达到使用寿命，充分发挥工程建设项目经济、社会和环境的综合效益。</w:t>
      </w:r>
    </w:p>
    <w:p>
      <w:pPr>
        <w:spacing w:line="360" w:lineRule="auto"/>
        <w:ind w:firstLine="480"/>
        <w:jc w:val="left"/>
        <w:rPr>
          <w:rFonts w:hint="eastAsia" w:ascii="宋体" w:hAnsi="宋体" w:eastAsia="宋体" w:cs="宋体"/>
          <w:color w:val="auto"/>
          <w:sz w:val="21"/>
          <w:szCs w:val="21"/>
        </w:rPr>
      </w:pPr>
      <w:r>
        <w:rPr>
          <w:rFonts w:hint="eastAsia" w:ascii="宋体" w:hAnsi="宋体" w:eastAsia="宋体" w:cs="宋体"/>
          <w:color w:val="auto"/>
          <w:sz w:val="21"/>
          <w:szCs w:val="21"/>
        </w:rPr>
        <w:t>6、服务单位在设计中，不仅要考虑功能要求，同时也要从环境、景观等效果的角度来设计，做到施工方便易行，同时在施工过程中设计单位还须提供必要的设计技术支持服务（含设计变更）。</w:t>
      </w:r>
    </w:p>
    <w:p>
      <w:pPr>
        <w:spacing w:line="360" w:lineRule="auto"/>
        <w:ind w:firstLine="480"/>
        <w:jc w:val="left"/>
        <w:rPr>
          <w:rFonts w:hint="eastAsia" w:ascii="宋体" w:hAnsi="宋体" w:eastAsia="宋体" w:cs="宋体"/>
          <w:color w:val="auto"/>
          <w:sz w:val="21"/>
          <w:szCs w:val="21"/>
        </w:rPr>
      </w:pPr>
      <w:r>
        <w:rPr>
          <w:rFonts w:hint="eastAsia" w:ascii="宋体" w:hAnsi="宋体" w:eastAsia="宋体" w:cs="宋体"/>
          <w:color w:val="auto"/>
          <w:sz w:val="21"/>
          <w:szCs w:val="21"/>
        </w:rPr>
        <w:t>7、服务单位应在规定的时间内，按照合同的具体要求提交设计文件，并确保</w:t>
      </w:r>
      <w:r>
        <w:rPr>
          <w:rFonts w:hint="eastAsia" w:ascii="宋体" w:hAnsi="宋体" w:cs="宋体"/>
          <w:color w:val="auto"/>
          <w:sz w:val="21"/>
          <w:szCs w:val="21"/>
          <w:lang w:eastAsia="zh-CN"/>
        </w:rPr>
        <w:t>光伏储能新能源工程设计</w:t>
      </w:r>
      <w:r>
        <w:rPr>
          <w:rFonts w:hint="eastAsia" w:ascii="宋体" w:hAnsi="宋体" w:eastAsia="宋体" w:cs="宋体"/>
          <w:color w:val="auto"/>
          <w:sz w:val="21"/>
          <w:szCs w:val="21"/>
        </w:rPr>
        <w:t>质量要求。</w:t>
      </w:r>
    </w:p>
    <w:p>
      <w:pPr>
        <w:spacing w:line="360" w:lineRule="auto"/>
        <w:ind w:firstLine="480"/>
        <w:jc w:val="left"/>
        <w:rPr>
          <w:rFonts w:hint="eastAsia" w:ascii="宋体" w:hAnsi="宋体" w:eastAsia="宋体" w:cs="宋体"/>
          <w:color w:val="auto"/>
          <w:sz w:val="21"/>
          <w:szCs w:val="21"/>
        </w:rPr>
      </w:pPr>
      <w:r>
        <w:rPr>
          <w:rFonts w:hint="eastAsia" w:ascii="宋体" w:hAnsi="宋体" w:eastAsia="宋体" w:cs="宋体"/>
          <w:color w:val="auto"/>
          <w:sz w:val="21"/>
          <w:szCs w:val="21"/>
        </w:rPr>
        <w:t>8、服务单位应当坚持公正、科学、诚信的工作原则，遵守职业道德，讲求专业信誉，对社会责任负责，对建设单位负责，不得违反国家法律、法规、政策及有关管理要求。设计质量和服务效率影响工程质量及进度的，承担经济赔偿和相关的法律责任。</w:t>
      </w:r>
    </w:p>
    <w:p>
      <w:pPr>
        <w:spacing w:line="360" w:lineRule="auto"/>
        <w:ind w:firstLine="480"/>
        <w:jc w:val="left"/>
        <w:rPr>
          <w:rFonts w:hint="eastAsia" w:ascii="宋体" w:hAnsi="宋体" w:eastAsia="宋体" w:cs="宋体"/>
          <w:color w:val="auto"/>
          <w:sz w:val="21"/>
          <w:szCs w:val="21"/>
        </w:rPr>
      </w:pPr>
      <w:r>
        <w:rPr>
          <w:rFonts w:hint="eastAsia" w:ascii="宋体" w:hAnsi="宋体" w:eastAsia="宋体" w:cs="宋体"/>
          <w:color w:val="auto"/>
          <w:sz w:val="21"/>
          <w:szCs w:val="21"/>
        </w:rPr>
        <w:t>9、服务单位在编制文件过程中应积极主动与建设单位进行沟通。本着诚实信用的原则，高效率的提供本需求规定的各项服务。</w:t>
      </w:r>
    </w:p>
    <w:p>
      <w:pPr>
        <w:spacing w:after="0" w:line="360" w:lineRule="auto"/>
        <w:rPr>
          <w:rFonts w:hint="eastAsia" w:ascii="宋体" w:hAnsi="宋体" w:eastAsia="宋体" w:cs="宋体"/>
          <w:b/>
          <w:bCs/>
          <w:color w:val="auto"/>
          <w:sz w:val="21"/>
          <w:szCs w:val="21"/>
        </w:rPr>
      </w:pPr>
      <w:r>
        <w:rPr>
          <w:rFonts w:hint="eastAsia" w:ascii="宋体" w:hAnsi="宋体" w:eastAsia="宋体" w:cs="宋体"/>
          <w:color w:val="auto"/>
          <w:sz w:val="21"/>
          <w:szCs w:val="21"/>
        </w:rPr>
        <w:t xml:space="preserve">    10、本项目执行过程中将遵循国家、省、市有关法律、法规、标准、技术规范和规范性文件的最新规定。</w:t>
      </w:r>
    </w:p>
    <w:p>
      <w:pPr>
        <w:bidi w:val="0"/>
        <w:rPr>
          <w:rFonts w:hint="default"/>
          <w:color w:val="auto"/>
          <w:lang w:val="en-US" w:eastAsia="zh-CN"/>
        </w:rPr>
      </w:pPr>
    </w:p>
    <w:p>
      <w:pPr>
        <w:spacing w:after="0" w:line="360" w:lineRule="auto"/>
        <w:ind w:firstLine="422" w:firstLineChars="200"/>
        <w:rPr>
          <w:rFonts w:hint="eastAsia"/>
          <w:color w:val="auto"/>
          <w:sz w:val="28"/>
          <w:szCs w:val="28"/>
        </w:rPr>
      </w:pPr>
      <w:r>
        <w:rPr>
          <w:rFonts w:hint="eastAsia" w:ascii="宋体" w:hAnsi="宋体" w:eastAsia="宋体" w:cs="Times New Roman"/>
          <w:b/>
          <w:bCs/>
          <w:color w:val="auto"/>
          <w:sz w:val="21"/>
          <w:szCs w:val="21"/>
        </w:rPr>
        <w:t>注：不满足招标文件中 “★”条款的投标文件将作无效投标处理。</w:t>
      </w:r>
      <w:bookmarkEnd w:id="179"/>
      <w:bookmarkEnd w:id="180"/>
      <w:bookmarkEnd w:id="181"/>
      <w:bookmarkEnd w:id="182"/>
      <w:bookmarkStart w:id="183" w:name="_Toc21448"/>
      <w:bookmarkStart w:id="184" w:name="_Toc12485"/>
    </w:p>
    <w:p>
      <w:pPr>
        <w:bidi w:val="0"/>
        <w:rPr>
          <w:rFonts w:hint="eastAsia"/>
          <w:color w:val="auto"/>
        </w:rPr>
      </w:pPr>
    </w:p>
    <w:p>
      <w:pPr>
        <w:bidi w:val="0"/>
        <w:rPr>
          <w:rFonts w:hint="eastAsia"/>
          <w:color w:val="auto"/>
        </w:rPr>
      </w:pPr>
    </w:p>
    <w:p>
      <w:pPr>
        <w:bidi w:val="0"/>
        <w:rPr>
          <w:rFonts w:hint="eastAsia"/>
          <w:color w:val="auto"/>
        </w:rPr>
        <w:sectPr>
          <w:footerReference r:id="rId12" w:type="first"/>
          <w:footerReference r:id="rId11" w:type="default"/>
          <w:type w:val="continuous"/>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pPr>
    </w:p>
    <w:p>
      <w:pPr>
        <w:pStyle w:val="5"/>
        <w:bidi w:val="0"/>
        <w:jc w:val="center"/>
        <w:rPr>
          <w:rFonts w:hint="eastAsia" w:ascii="华康简标题宋" w:hAnsi="ˎ̥" w:eastAsia="华康简标题宋"/>
          <w:b/>
          <w:color w:val="auto"/>
          <w:sz w:val="28"/>
          <w:szCs w:val="28"/>
        </w:rPr>
      </w:pPr>
      <w:bookmarkStart w:id="185" w:name="_Toc12014"/>
      <w:r>
        <w:rPr>
          <w:rFonts w:hint="eastAsia" w:ascii="宋体" w:hAnsi="宋体" w:eastAsia="宋体" w:cs="宋体"/>
          <w:color w:val="auto"/>
          <w:lang w:val="en-US" w:eastAsia="zh-CN"/>
        </w:rPr>
        <w:t>附件1：</w:t>
      </w:r>
      <w:r>
        <w:rPr>
          <w:rFonts w:hint="eastAsia" w:ascii="宋体" w:hAnsi="宋体" w:eastAsia="宋体" w:cs="宋体"/>
          <w:color w:val="auto"/>
        </w:rPr>
        <w:t>建设单位设计项目评价意见表</w:t>
      </w:r>
    </w:p>
    <w:p>
      <w:pPr>
        <w:rPr>
          <w:rFonts w:ascii="宋体" w:hAnsi="宋体"/>
          <w:color w:val="auto"/>
          <w:szCs w:val="21"/>
        </w:rPr>
      </w:pPr>
      <w:r>
        <w:rPr>
          <w:rFonts w:hint="eastAsia" w:ascii="宋体" w:hAnsi="宋体"/>
          <w:color w:val="auto"/>
          <w:szCs w:val="21"/>
        </w:rPr>
        <w:t>评价部门（盖章）：                                                      索引号：</w:t>
      </w:r>
    </w:p>
    <w:tbl>
      <w:tblPr>
        <w:tblStyle w:val="23"/>
        <w:tblW w:w="0" w:type="auto"/>
        <w:jc w:val="center"/>
        <w:tblLayout w:type="autofit"/>
        <w:tblCellMar>
          <w:top w:w="0" w:type="dxa"/>
          <w:left w:w="108" w:type="dxa"/>
          <w:bottom w:w="0" w:type="dxa"/>
          <w:right w:w="108" w:type="dxa"/>
        </w:tblCellMar>
      </w:tblPr>
      <w:tblGrid>
        <w:gridCol w:w="839"/>
        <w:gridCol w:w="562"/>
        <w:gridCol w:w="2637"/>
        <w:gridCol w:w="2722"/>
        <w:gridCol w:w="1737"/>
        <w:gridCol w:w="564"/>
      </w:tblGrid>
      <w:tr>
        <w:tblPrEx>
          <w:tblCellMar>
            <w:top w:w="0" w:type="dxa"/>
            <w:left w:w="108" w:type="dxa"/>
            <w:bottom w:w="0" w:type="dxa"/>
            <w:right w:w="108" w:type="dxa"/>
          </w:tblCellMar>
        </w:tblPrEx>
        <w:trPr>
          <w:trHeight w:val="420" w:hRule="atLeast"/>
          <w:jc w:val="center"/>
        </w:trPr>
        <w:tc>
          <w:tcPr>
            <w:tcW w:w="0" w:type="auto"/>
            <w:tcBorders>
              <w:top w:val="single" w:color="auto" w:sz="4" w:space="0"/>
              <w:left w:val="single" w:color="auto" w:sz="4" w:space="0"/>
              <w:bottom w:val="nil"/>
              <w:right w:val="single" w:color="auto" w:sz="4" w:space="0"/>
            </w:tcBorders>
            <w:noWrap w:val="0"/>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项目名称</w:t>
            </w:r>
          </w:p>
        </w:tc>
        <w:tc>
          <w:tcPr>
            <w:tcW w:w="0" w:type="auto"/>
            <w:gridSpan w:val="2"/>
            <w:tcBorders>
              <w:top w:val="single" w:color="auto" w:sz="4" w:space="0"/>
              <w:left w:val="nil"/>
              <w:bottom w:val="single" w:color="auto" w:sz="4" w:space="0"/>
              <w:right w:val="nil"/>
            </w:tcBorders>
            <w:noWrap w:val="0"/>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0" w:type="auto"/>
            <w:tcBorders>
              <w:top w:val="single" w:color="auto" w:sz="4" w:space="0"/>
              <w:left w:val="single" w:color="auto" w:sz="4" w:space="0"/>
              <w:bottom w:val="nil"/>
              <w:right w:val="single" w:color="auto" w:sz="4" w:space="0"/>
            </w:tcBorders>
            <w:noWrap w:val="0"/>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lang w:eastAsia="zh-CN"/>
              </w:rPr>
              <w:t>光伏储能新能源工程设计</w:t>
            </w:r>
            <w:r>
              <w:rPr>
                <w:rFonts w:hint="eastAsia" w:ascii="宋体" w:hAnsi="宋体" w:cs="宋体"/>
                <w:color w:val="auto"/>
                <w:kern w:val="0"/>
                <w:sz w:val="18"/>
                <w:szCs w:val="18"/>
              </w:rPr>
              <w:t>单位</w:t>
            </w:r>
          </w:p>
        </w:tc>
        <w:tc>
          <w:tcPr>
            <w:tcW w:w="0" w:type="auto"/>
            <w:gridSpan w:val="2"/>
            <w:tcBorders>
              <w:top w:val="single" w:color="auto" w:sz="4" w:space="0"/>
              <w:left w:val="nil"/>
              <w:bottom w:val="single" w:color="auto" w:sz="4" w:space="0"/>
              <w:right w:val="single" w:color="auto" w:sz="4" w:space="0"/>
            </w:tcBorders>
            <w:noWrap w:val="0"/>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420"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项目计划完成时间</w:t>
            </w:r>
          </w:p>
        </w:tc>
        <w:tc>
          <w:tcPr>
            <w:tcW w:w="0" w:type="auto"/>
            <w:tcBorders>
              <w:top w:val="single" w:color="auto" w:sz="4" w:space="0"/>
              <w:left w:val="nil"/>
              <w:bottom w:val="single" w:color="auto" w:sz="4" w:space="0"/>
              <w:right w:val="single" w:color="000000" w:sz="4" w:space="0"/>
            </w:tcBorders>
            <w:noWrap w:val="0"/>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0" w:type="auto"/>
            <w:tcBorders>
              <w:top w:val="nil"/>
              <w:left w:val="nil"/>
              <w:bottom w:val="single" w:color="auto" w:sz="4" w:space="0"/>
              <w:right w:val="nil"/>
            </w:tcBorders>
            <w:noWrap w:val="0"/>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项目实际         完成时间</w:t>
            </w:r>
          </w:p>
        </w:tc>
        <w:tc>
          <w:tcPr>
            <w:tcW w:w="0" w:type="auto"/>
            <w:tcBorders>
              <w:top w:val="single" w:color="auto" w:sz="4" w:space="0"/>
              <w:left w:val="single" w:color="auto" w:sz="4" w:space="0"/>
              <w:bottom w:val="single" w:color="auto" w:sz="4" w:space="0"/>
              <w:right w:val="nil"/>
            </w:tcBorders>
            <w:noWrap w:val="0"/>
            <w:vAlign w:val="center"/>
          </w:tcPr>
          <w:p>
            <w:pPr>
              <w:widowControl/>
              <w:jc w:val="right"/>
              <w:rPr>
                <w:rFonts w:ascii="宋体" w:hAnsi="宋体" w:cs="宋体"/>
                <w:color w:val="auto"/>
                <w:kern w:val="0"/>
                <w:sz w:val="18"/>
                <w:szCs w:val="18"/>
              </w:rPr>
            </w:pPr>
            <w:r>
              <w:rPr>
                <w:rFonts w:hint="eastAsia" w:ascii="宋体" w:hAnsi="宋体" w:cs="宋体"/>
                <w:color w:val="auto"/>
                <w:kern w:val="0"/>
                <w:sz w:val="18"/>
                <w:szCs w:val="18"/>
              </w:rPr>
              <w:t>　</w:t>
            </w:r>
          </w:p>
        </w:tc>
        <w:tc>
          <w:tcPr>
            <w:tcW w:w="0" w:type="auto"/>
            <w:gridSpan w:val="2"/>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□按时完成     □延期完成</w:t>
            </w:r>
          </w:p>
        </w:tc>
      </w:tr>
      <w:tr>
        <w:tblPrEx>
          <w:tblCellMar>
            <w:top w:w="0" w:type="dxa"/>
            <w:left w:w="108" w:type="dxa"/>
            <w:bottom w:w="0" w:type="dxa"/>
            <w:right w:w="108" w:type="dxa"/>
          </w:tblCellMar>
        </w:tblPrEx>
        <w:trPr>
          <w:trHeight w:val="420" w:hRule="atLeast"/>
          <w:jc w:val="center"/>
        </w:trPr>
        <w:tc>
          <w:tcPr>
            <w:tcW w:w="0" w:type="auto"/>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评价内容</w:t>
            </w:r>
          </w:p>
        </w:tc>
        <w:tc>
          <w:tcPr>
            <w:tcW w:w="0" w:type="auto"/>
            <w:tcBorders>
              <w:top w:val="nil"/>
              <w:left w:val="nil"/>
              <w:bottom w:val="single" w:color="auto" w:sz="4" w:space="0"/>
              <w:right w:val="nil"/>
            </w:tcBorders>
            <w:noWrap w:val="0"/>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各项分值</w:t>
            </w:r>
          </w:p>
        </w:tc>
        <w:tc>
          <w:tcPr>
            <w:tcW w:w="0" w:type="auto"/>
            <w:gridSpan w:val="3"/>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具</w:t>
            </w:r>
            <w:r>
              <w:rPr>
                <w:color w:val="auto"/>
                <w:kern w:val="0"/>
                <w:sz w:val="18"/>
                <w:szCs w:val="18"/>
              </w:rPr>
              <w:t xml:space="preserve">  </w:t>
            </w:r>
            <w:r>
              <w:rPr>
                <w:rFonts w:hint="eastAsia" w:ascii="宋体" w:hAnsi="宋体" w:cs="宋体"/>
                <w:color w:val="auto"/>
                <w:kern w:val="0"/>
                <w:sz w:val="18"/>
                <w:szCs w:val="18"/>
              </w:rPr>
              <w:t>体</w:t>
            </w:r>
            <w:r>
              <w:rPr>
                <w:color w:val="auto"/>
                <w:kern w:val="0"/>
                <w:sz w:val="18"/>
                <w:szCs w:val="18"/>
              </w:rPr>
              <w:t xml:space="preserve">  </w:t>
            </w:r>
            <w:r>
              <w:rPr>
                <w:rFonts w:hint="eastAsia" w:ascii="宋体" w:hAnsi="宋体" w:cs="宋体"/>
                <w:color w:val="auto"/>
                <w:kern w:val="0"/>
                <w:sz w:val="18"/>
                <w:szCs w:val="18"/>
              </w:rPr>
              <w:t>内</w:t>
            </w:r>
            <w:r>
              <w:rPr>
                <w:color w:val="auto"/>
                <w:kern w:val="0"/>
                <w:sz w:val="18"/>
                <w:szCs w:val="18"/>
              </w:rPr>
              <w:t xml:space="preserve">  </w:t>
            </w:r>
            <w:r>
              <w:rPr>
                <w:rFonts w:hint="eastAsia" w:ascii="宋体" w:hAnsi="宋体" w:cs="宋体"/>
                <w:color w:val="auto"/>
                <w:kern w:val="0"/>
                <w:sz w:val="18"/>
                <w:szCs w:val="18"/>
              </w:rPr>
              <w:t>容</w:t>
            </w:r>
          </w:p>
        </w:tc>
        <w:tc>
          <w:tcPr>
            <w:tcW w:w="0" w:type="auto"/>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评分</w:t>
            </w:r>
          </w:p>
        </w:tc>
      </w:tr>
      <w:tr>
        <w:tblPrEx>
          <w:tblCellMar>
            <w:top w:w="0" w:type="dxa"/>
            <w:left w:w="108" w:type="dxa"/>
            <w:bottom w:w="0" w:type="dxa"/>
            <w:right w:w="108" w:type="dxa"/>
          </w:tblCellMar>
        </w:tblPrEx>
        <w:trPr>
          <w:trHeight w:val="439" w:hRule="atLeast"/>
          <w:jc w:val="center"/>
        </w:trPr>
        <w:tc>
          <w:tcPr>
            <w:tcW w:w="0" w:type="auto"/>
            <w:vMerge w:val="restart"/>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业务水平</w:t>
            </w:r>
          </w:p>
        </w:tc>
        <w:tc>
          <w:tcPr>
            <w:tcW w:w="0" w:type="auto"/>
            <w:vMerge w:val="restart"/>
            <w:tcBorders>
              <w:top w:val="nil"/>
              <w:left w:val="single" w:color="auto" w:sz="4" w:space="0"/>
              <w:bottom w:val="single" w:color="000000" w:sz="4" w:space="0"/>
              <w:right w:val="single" w:color="auto" w:sz="4" w:space="0"/>
            </w:tcBorders>
            <w:noWrap w:val="0"/>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15</w:t>
            </w:r>
          </w:p>
        </w:tc>
        <w:tc>
          <w:tcPr>
            <w:tcW w:w="0" w:type="auto"/>
            <w:gridSpan w:val="3"/>
            <w:tcBorders>
              <w:top w:val="single" w:color="auto" w:sz="4" w:space="0"/>
              <w:left w:val="nil"/>
              <w:bottom w:val="single" w:color="auto" w:sz="4" w:space="0"/>
              <w:right w:val="single" w:color="000000" w:sz="4" w:space="0"/>
            </w:tcBorders>
            <w:noWrap w:val="0"/>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项目配置的相应专业人员在建设局备案，且业务能力较强，熟练掌握行业规范的最高得3分；</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284"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auto"/>
                <w:kern w:val="0"/>
                <w:sz w:val="18"/>
                <w:szCs w:val="18"/>
              </w:rPr>
            </w:pPr>
          </w:p>
        </w:tc>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rPr>
            </w:pPr>
          </w:p>
        </w:tc>
        <w:tc>
          <w:tcPr>
            <w:tcW w:w="0" w:type="auto"/>
            <w:gridSpan w:val="3"/>
            <w:tcBorders>
              <w:top w:val="single" w:color="auto" w:sz="4" w:space="0"/>
              <w:left w:val="nil"/>
              <w:bottom w:val="single" w:color="auto" w:sz="4" w:space="0"/>
              <w:right w:val="single" w:color="000000" w:sz="4" w:space="0"/>
            </w:tcBorders>
            <w:noWrap w:val="0"/>
            <w:vAlign w:val="center"/>
          </w:tcPr>
          <w:p>
            <w:pPr>
              <w:widowControl/>
              <w:jc w:val="left"/>
              <w:rPr>
                <w:rFonts w:hint="eastAsia" w:ascii="宋体" w:hAnsi="宋体" w:cs="宋体"/>
                <w:color w:val="auto"/>
                <w:kern w:val="0"/>
                <w:sz w:val="18"/>
                <w:szCs w:val="18"/>
              </w:rPr>
            </w:pPr>
            <w:r>
              <w:rPr>
                <w:rFonts w:hint="eastAsia" w:ascii="宋体" w:hAnsi="宋体" w:cs="宋体"/>
                <w:color w:val="auto"/>
                <w:kern w:val="0"/>
                <w:sz w:val="18"/>
                <w:szCs w:val="18"/>
                <w:lang w:eastAsia="zh-CN"/>
              </w:rPr>
              <w:t>光伏储能新能源工程设计</w:t>
            </w:r>
            <w:r>
              <w:rPr>
                <w:rFonts w:hint="eastAsia" w:ascii="宋体" w:hAnsi="宋体" w:cs="宋体"/>
                <w:color w:val="auto"/>
                <w:kern w:val="0"/>
                <w:sz w:val="18"/>
                <w:szCs w:val="18"/>
              </w:rPr>
              <w:t>文件的编制符合法律、技术标准的强制性规定及合同的要求的最高得3分；</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284"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auto"/>
                <w:kern w:val="0"/>
                <w:sz w:val="18"/>
                <w:szCs w:val="18"/>
              </w:rPr>
            </w:pPr>
          </w:p>
        </w:tc>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rPr>
            </w:pPr>
          </w:p>
        </w:tc>
        <w:tc>
          <w:tcPr>
            <w:tcW w:w="0" w:type="auto"/>
            <w:gridSpan w:val="3"/>
            <w:tcBorders>
              <w:top w:val="single" w:color="auto" w:sz="4" w:space="0"/>
              <w:left w:val="nil"/>
              <w:bottom w:val="single" w:color="auto" w:sz="4" w:space="0"/>
              <w:right w:val="single" w:color="000000" w:sz="4" w:space="0"/>
            </w:tcBorders>
            <w:noWrap w:val="0"/>
            <w:vAlign w:val="center"/>
          </w:tcPr>
          <w:p>
            <w:pPr>
              <w:widowControl/>
              <w:jc w:val="left"/>
              <w:rPr>
                <w:rFonts w:hint="eastAsia" w:ascii="宋体" w:hAnsi="宋体" w:cs="宋体"/>
                <w:color w:val="auto"/>
                <w:kern w:val="0"/>
                <w:sz w:val="18"/>
                <w:szCs w:val="18"/>
              </w:rPr>
            </w:pPr>
            <w:r>
              <w:rPr>
                <w:rFonts w:hint="eastAsia" w:ascii="宋体" w:hAnsi="宋体" w:cs="宋体"/>
                <w:color w:val="auto"/>
                <w:kern w:val="0"/>
                <w:sz w:val="18"/>
                <w:szCs w:val="18"/>
                <w:lang w:eastAsia="zh-CN"/>
              </w:rPr>
              <w:t>光伏储能新能源工程设计</w:t>
            </w:r>
            <w:r>
              <w:rPr>
                <w:rFonts w:hint="eastAsia" w:ascii="宋体" w:hAnsi="宋体" w:cs="宋体"/>
                <w:color w:val="auto"/>
                <w:kern w:val="0"/>
                <w:sz w:val="18"/>
                <w:szCs w:val="18"/>
              </w:rPr>
              <w:t>依据完整、准确、可靠，设计方案论证充分，计算成果可靠，并能够实施的最高得4分；</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284"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auto"/>
                <w:kern w:val="0"/>
                <w:sz w:val="18"/>
                <w:szCs w:val="18"/>
              </w:rPr>
            </w:pPr>
          </w:p>
        </w:tc>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rPr>
            </w:pPr>
          </w:p>
        </w:tc>
        <w:tc>
          <w:tcPr>
            <w:tcW w:w="0" w:type="auto"/>
            <w:gridSpan w:val="3"/>
            <w:tcBorders>
              <w:top w:val="single" w:color="auto" w:sz="4" w:space="0"/>
              <w:left w:val="nil"/>
              <w:bottom w:val="single" w:color="auto" w:sz="4" w:space="0"/>
              <w:right w:val="single" w:color="000000" w:sz="4" w:space="0"/>
            </w:tcBorders>
            <w:noWrap w:val="0"/>
            <w:vAlign w:val="center"/>
          </w:tcPr>
          <w:p>
            <w:pPr>
              <w:widowControl/>
              <w:jc w:val="left"/>
              <w:rPr>
                <w:rFonts w:hint="eastAsia" w:ascii="宋体" w:hAnsi="宋体" w:cs="宋体"/>
                <w:color w:val="auto"/>
                <w:kern w:val="0"/>
                <w:sz w:val="18"/>
                <w:szCs w:val="18"/>
              </w:rPr>
            </w:pPr>
            <w:r>
              <w:rPr>
                <w:rFonts w:hint="eastAsia" w:ascii="宋体" w:hAnsi="宋体" w:cs="宋体"/>
                <w:color w:val="auto"/>
                <w:kern w:val="0"/>
                <w:sz w:val="18"/>
                <w:szCs w:val="18"/>
                <w:lang w:eastAsia="zh-CN"/>
              </w:rPr>
              <w:t>光伏储能新能源工程设计</w:t>
            </w:r>
            <w:r>
              <w:rPr>
                <w:rFonts w:hint="eastAsia" w:ascii="宋体" w:hAnsi="宋体" w:cs="宋体"/>
                <w:color w:val="auto"/>
                <w:kern w:val="0"/>
                <w:sz w:val="18"/>
                <w:szCs w:val="18"/>
              </w:rPr>
              <w:t>文件能保证工程质量和施工安全等方面的要求的最高得3分；</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284" w:hRule="atLeast"/>
          <w:jc w:val="center"/>
        </w:trPr>
        <w:tc>
          <w:tcPr>
            <w:tcW w:w="0" w:type="auto"/>
            <w:vMerge w:val="continue"/>
            <w:tcBorders>
              <w:top w:val="nil"/>
              <w:left w:val="single" w:color="auto" w:sz="4" w:space="0"/>
              <w:bottom w:val="single" w:color="auto" w:sz="4" w:space="0"/>
              <w:right w:val="single" w:color="auto" w:sz="4" w:space="0"/>
            </w:tcBorders>
            <w:noWrap w:val="0"/>
            <w:vAlign w:val="center"/>
          </w:tcPr>
          <w:p>
            <w:pPr>
              <w:widowControl/>
              <w:jc w:val="left"/>
              <w:rPr>
                <w:rFonts w:ascii="宋体" w:hAnsi="宋体" w:cs="宋体"/>
                <w:color w:val="auto"/>
                <w:kern w:val="0"/>
                <w:sz w:val="18"/>
                <w:szCs w:val="18"/>
              </w:rPr>
            </w:pPr>
          </w:p>
        </w:tc>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rPr>
            </w:pPr>
          </w:p>
        </w:tc>
        <w:tc>
          <w:tcPr>
            <w:tcW w:w="0" w:type="auto"/>
            <w:gridSpan w:val="3"/>
            <w:tcBorders>
              <w:top w:val="single" w:color="auto" w:sz="4" w:space="0"/>
              <w:left w:val="nil"/>
              <w:bottom w:val="single" w:color="auto" w:sz="4" w:space="0"/>
              <w:right w:val="single" w:color="000000" w:sz="4" w:space="0"/>
            </w:tcBorders>
            <w:noWrap w:val="0"/>
            <w:vAlign w:val="center"/>
          </w:tcPr>
          <w:p>
            <w:pPr>
              <w:widowControl/>
              <w:jc w:val="left"/>
              <w:rPr>
                <w:rFonts w:hint="eastAsia" w:ascii="宋体" w:hAnsi="宋体" w:cs="宋体"/>
                <w:color w:val="auto"/>
                <w:kern w:val="0"/>
                <w:sz w:val="18"/>
                <w:szCs w:val="18"/>
              </w:rPr>
            </w:pPr>
            <w:r>
              <w:rPr>
                <w:rFonts w:hint="eastAsia" w:ascii="宋体" w:hAnsi="宋体" w:cs="宋体"/>
                <w:color w:val="auto"/>
                <w:kern w:val="0"/>
                <w:sz w:val="18"/>
                <w:szCs w:val="18"/>
              </w:rPr>
              <w:t>对项目施工过程出现的一般性的设计变更，能及时作出响应并作设计变更说明的最高得2分。</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439" w:hRule="atLeast"/>
          <w:jc w:val="center"/>
        </w:trPr>
        <w:tc>
          <w:tcPr>
            <w:tcW w:w="0" w:type="auto"/>
            <w:vMerge w:val="restart"/>
            <w:tcBorders>
              <w:top w:val="nil"/>
              <w:left w:val="single" w:color="auto" w:sz="4" w:space="0"/>
              <w:bottom w:val="single" w:color="000000" w:sz="4" w:space="0"/>
              <w:right w:val="single" w:color="auto" w:sz="4" w:space="0"/>
            </w:tcBorders>
            <w:noWrap w:val="0"/>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完成质量</w:t>
            </w:r>
          </w:p>
        </w:tc>
        <w:tc>
          <w:tcPr>
            <w:tcW w:w="0" w:type="auto"/>
            <w:vMerge w:val="restart"/>
            <w:tcBorders>
              <w:top w:val="nil"/>
              <w:left w:val="single" w:color="auto" w:sz="4" w:space="0"/>
              <w:bottom w:val="single" w:color="000000" w:sz="4" w:space="0"/>
              <w:right w:val="single" w:color="auto" w:sz="4" w:space="0"/>
            </w:tcBorders>
            <w:noWrap w:val="0"/>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30</w:t>
            </w:r>
          </w:p>
        </w:tc>
        <w:tc>
          <w:tcPr>
            <w:tcW w:w="0" w:type="auto"/>
            <w:gridSpan w:val="3"/>
            <w:tcBorders>
              <w:top w:val="single" w:color="auto" w:sz="4" w:space="0"/>
              <w:left w:val="nil"/>
              <w:bottom w:val="single" w:color="auto" w:sz="4" w:space="0"/>
              <w:right w:val="single" w:color="000000" w:sz="4" w:space="0"/>
            </w:tcBorders>
            <w:noWrap w:val="0"/>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项目小组对项目需求有较好的理解，满足招标文件、合同文件的服务响应要求的最高得</w:t>
            </w:r>
            <w:r>
              <w:rPr>
                <w:rFonts w:hint="eastAsia"/>
                <w:color w:val="auto"/>
                <w:kern w:val="0"/>
                <w:sz w:val="18"/>
                <w:szCs w:val="18"/>
              </w:rPr>
              <w:t>8</w:t>
            </w:r>
            <w:r>
              <w:rPr>
                <w:rFonts w:hint="eastAsia" w:ascii="宋体" w:hAnsi="宋体" w:cs="宋体"/>
                <w:color w:val="auto"/>
                <w:kern w:val="0"/>
                <w:sz w:val="18"/>
                <w:szCs w:val="18"/>
              </w:rPr>
              <w:t>分；</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284" w:hRule="atLeast"/>
          <w:jc w:val="center"/>
        </w:trPr>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rPr>
            </w:pPr>
          </w:p>
        </w:tc>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rPr>
            </w:pPr>
          </w:p>
        </w:tc>
        <w:tc>
          <w:tcPr>
            <w:tcW w:w="0" w:type="auto"/>
            <w:gridSpan w:val="3"/>
            <w:tcBorders>
              <w:top w:val="single" w:color="auto" w:sz="4" w:space="0"/>
              <w:left w:val="nil"/>
              <w:bottom w:val="single" w:color="auto" w:sz="4" w:space="0"/>
              <w:right w:val="single" w:color="000000" w:sz="4" w:space="0"/>
            </w:tcBorders>
            <w:noWrap w:val="0"/>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在设计过程有不清晰的内容，能要求相关人员澄清，不存在主观臆断的最高得</w:t>
            </w:r>
            <w:r>
              <w:rPr>
                <w:rFonts w:hint="eastAsia"/>
                <w:color w:val="auto"/>
                <w:kern w:val="0"/>
                <w:sz w:val="18"/>
                <w:szCs w:val="18"/>
              </w:rPr>
              <w:t>7</w:t>
            </w:r>
            <w:r>
              <w:rPr>
                <w:rFonts w:hint="eastAsia" w:ascii="宋体" w:hAnsi="宋体" w:cs="宋体"/>
                <w:color w:val="auto"/>
                <w:kern w:val="0"/>
                <w:sz w:val="18"/>
                <w:szCs w:val="18"/>
              </w:rPr>
              <w:t>分；</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284" w:hRule="atLeast"/>
          <w:jc w:val="center"/>
        </w:trPr>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rPr>
            </w:pPr>
          </w:p>
        </w:tc>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rPr>
            </w:pPr>
          </w:p>
        </w:tc>
        <w:tc>
          <w:tcPr>
            <w:tcW w:w="0" w:type="auto"/>
            <w:gridSpan w:val="3"/>
            <w:tcBorders>
              <w:top w:val="single" w:color="auto" w:sz="4" w:space="0"/>
              <w:left w:val="nil"/>
              <w:bottom w:val="single" w:color="auto" w:sz="4" w:space="0"/>
              <w:right w:val="single" w:color="000000" w:sz="4" w:space="0"/>
            </w:tcBorders>
            <w:noWrap w:val="0"/>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表格之间沟稽关系正确，设计成果文件（说明书）真实、完整、准确、有条理的最高得</w:t>
            </w:r>
            <w:r>
              <w:rPr>
                <w:rFonts w:hint="eastAsia"/>
                <w:color w:val="auto"/>
                <w:kern w:val="0"/>
                <w:sz w:val="18"/>
                <w:szCs w:val="18"/>
              </w:rPr>
              <w:t>8</w:t>
            </w:r>
            <w:r>
              <w:rPr>
                <w:rFonts w:hint="eastAsia" w:ascii="宋体" w:hAnsi="宋体" w:cs="宋体"/>
                <w:color w:val="auto"/>
                <w:kern w:val="0"/>
                <w:sz w:val="18"/>
                <w:szCs w:val="18"/>
              </w:rPr>
              <w:t>分；</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284" w:hRule="atLeast"/>
          <w:jc w:val="center"/>
        </w:trPr>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rPr>
            </w:pPr>
          </w:p>
        </w:tc>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rPr>
            </w:pPr>
          </w:p>
        </w:tc>
        <w:tc>
          <w:tcPr>
            <w:tcW w:w="0" w:type="auto"/>
            <w:gridSpan w:val="3"/>
            <w:tcBorders>
              <w:top w:val="single" w:color="auto" w:sz="4" w:space="0"/>
              <w:left w:val="nil"/>
              <w:bottom w:val="single" w:color="auto" w:sz="4" w:space="0"/>
              <w:right w:val="single" w:color="000000" w:sz="4" w:space="0"/>
            </w:tcBorders>
            <w:noWrap w:val="0"/>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工作质量良好，无重大的主观差错率的最高得</w:t>
            </w:r>
            <w:r>
              <w:rPr>
                <w:rFonts w:hint="eastAsia"/>
                <w:color w:val="auto"/>
                <w:kern w:val="0"/>
                <w:sz w:val="18"/>
                <w:szCs w:val="18"/>
              </w:rPr>
              <w:t>7</w:t>
            </w:r>
            <w:r>
              <w:rPr>
                <w:rFonts w:hint="eastAsia" w:ascii="宋体" w:hAnsi="宋体" w:cs="宋体"/>
                <w:color w:val="auto"/>
                <w:kern w:val="0"/>
                <w:sz w:val="18"/>
                <w:szCs w:val="18"/>
              </w:rPr>
              <w:t>分。</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284" w:hRule="atLeast"/>
          <w:jc w:val="center"/>
        </w:trPr>
        <w:tc>
          <w:tcPr>
            <w:tcW w:w="0" w:type="auto"/>
            <w:vMerge w:val="restart"/>
            <w:tcBorders>
              <w:top w:val="nil"/>
              <w:left w:val="single" w:color="auto" w:sz="4" w:space="0"/>
              <w:bottom w:val="single" w:color="000000" w:sz="4" w:space="0"/>
              <w:right w:val="single" w:color="auto" w:sz="4" w:space="0"/>
            </w:tcBorders>
            <w:noWrap w:val="0"/>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工作效率</w:t>
            </w:r>
          </w:p>
        </w:tc>
        <w:tc>
          <w:tcPr>
            <w:tcW w:w="0" w:type="auto"/>
            <w:vMerge w:val="restart"/>
            <w:tcBorders>
              <w:top w:val="nil"/>
              <w:left w:val="single" w:color="auto" w:sz="4" w:space="0"/>
              <w:bottom w:val="single" w:color="000000" w:sz="4" w:space="0"/>
              <w:right w:val="single" w:color="auto" w:sz="4" w:space="0"/>
            </w:tcBorders>
            <w:noWrap w:val="0"/>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25</w:t>
            </w:r>
          </w:p>
        </w:tc>
        <w:tc>
          <w:tcPr>
            <w:tcW w:w="0" w:type="auto"/>
            <w:gridSpan w:val="3"/>
            <w:tcBorders>
              <w:top w:val="single" w:color="auto" w:sz="4" w:space="0"/>
              <w:left w:val="nil"/>
              <w:bottom w:val="single" w:color="auto" w:sz="4" w:space="0"/>
              <w:right w:val="single" w:color="000000" w:sz="4" w:space="0"/>
            </w:tcBorders>
            <w:noWrap w:val="0"/>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及时领取委托人的资料开展设计活动的最高得4分；</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284" w:hRule="atLeast"/>
          <w:jc w:val="center"/>
        </w:trPr>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rPr>
            </w:pPr>
          </w:p>
        </w:tc>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rPr>
            </w:pPr>
          </w:p>
        </w:tc>
        <w:tc>
          <w:tcPr>
            <w:tcW w:w="0" w:type="auto"/>
            <w:gridSpan w:val="3"/>
            <w:tcBorders>
              <w:top w:val="single" w:color="auto" w:sz="4" w:space="0"/>
              <w:left w:val="nil"/>
              <w:bottom w:val="single" w:color="auto" w:sz="4" w:space="0"/>
              <w:right w:val="single" w:color="000000" w:sz="4" w:space="0"/>
            </w:tcBorders>
            <w:noWrap w:val="0"/>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按操作规程及时进行对数、现场查勘的最高得</w:t>
            </w:r>
            <w:r>
              <w:rPr>
                <w:color w:val="auto"/>
                <w:kern w:val="0"/>
                <w:sz w:val="18"/>
                <w:szCs w:val="18"/>
              </w:rPr>
              <w:t>3</w:t>
            </w:r>
            <w:r>
              <w:rPr>
                <w:rFonts w:hint="eastAsia" w:ascii="宋体" w:hAnsi="宋体" w:cs="宋体"/>
                <w:color w:val="auto"/>
                <w:kern w:val="0"/>
                <w:sz w:val="18"/>
                <w:szCs w:val="18"/>
              </w:rPr>
              <w:t>分；</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284" w:hRule="atLeast"/>
          <w:jc w:val="center"/>
        </w:trPr>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rPr>
            </w:pPr>
          </w:p>
        </w:tc>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rPr>
            </w:pPr>
          </w:p>
        </w:tc>
        <w:tc>
          <w:tcPr>
            <w:tcW w:w="0" w:type="auto"/>
            <w:gridSpan w:val="3"/>
            <w:tcBorders>
              <w:top w:val="single" w:color="auto" w:sz="4" w:space="0"/>
              <w:left w:val="nil"/>
              <w:bottom w:val="single" w:color="auto" w:sz="4" w:space="0"/>
              <w:right w:val="single" w:color="000000" w:sz="4" w:space="0"/>
            </w:tcBorders>
            <w:noWrap w:val="0"/>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对数后做到及时修改，对反馈意见及时核实的最高得5分；</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284" w:hRule="atLeast"/>
          <w:jc w:val="center"/>
        </w:trPr>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rPr>
            </w:pPr>
          </w:p>
        </w:tc>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rPr>
            </w:pPr>
          </w:p>
        </w:tc>
        <w:tc>
          <w:tcPr>
            <w:tcW w:w="0" w:type="auto"/>
            <w:gridSpan w:val="3"/>
            <w:tcBorders>
              <w:top w:val="single" w:color="auto" w:sz="4" w:space="0"/>
              <w:left w:val="nil"/>
              <w:bottom w:val="single" w:color="auto" w:sz="4" w:space="0"/>
              <w:right w:val="single" w:color="000000" w:sz="4" w:space="0"/>
            </w:tcBorders>
            <w:noWrap w:val="0"/>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及时通知委托人补充相关资料，澄清有关疑问的最高得5分；</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284" w:hRule="atLeast"/>
          <w:jc w:val="center"/>
        </w:trPr>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rPr>
            </w:pPr>
          </w:p>
        </w:tc>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rPr>
            </w:pPr>
          </w:p>
        </w:tc>
        <w:tc>
          <w:tcPr>
            <w:tcW w:w="0" w:type="auto"/>
            <w:gridSpan w:val="3"/>
            <w:tcBorders>
              <w:top w:val="single" w:color="auto" w:sz="4" w:space="0"/>
              <w:left w:val="nil"/>
              <w:bottom w:val="single" w:color="auto" w:sz="4" w:space="0"/>
              <w:right w:val="single" w:color="000000" w:sz="4" w:space="0"/>
            </w:tcBorders>
            <w:noWrap w:val="0"/>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能严格按委托人的计划时间完成设计任务的最高得8分。</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284" w:hRule="atLeast"/>
          <w:jc w:val="center"/>
        </w:trPr>
        <w:tc>
          <w:tcPr>
            <w:tcW w:w="0" w:type="auto"/>
            <w:vMerge w:val="restart"/>
            <w:tcBorders>
              <w:top w:val="nil"/>
              <w:left w:val="single" w:color="auto" w:sz="4" w:space="0"/>
              <w:bottom w:val="single" w:color="000000" w:sz="4" w:space="0"/>
              <w:right w:val="single" w:color="auto" w:sz="4" w:space="0"/>
            </w:tcBorders>
            <w:noWrap w:val="0"/>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规范服务</w:t>
            </w:r>
          </w:p>
        </w:tc>
        <w:tc>
          <w:tcPr>
            <w:tcW w:w="0" w:type="auto"/>
            <w:vMerge w:val="restart"/>
            <w:tcBorders>
              <w:top w:val="nil"/>
              <w:left w:val="single" w:color="auto" w:sz="4" w:space="0"/>
              <w:bottom w:val="single" w:color="000000" w:sz="4" w:space="0"/>
              <w:right w:val="single" w:color="auto" w:sz="4" w:space="0"/>
            </w:tcBorders>
            <w:noWrap w:val="0"/>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15</w:t>
            </w:r>
          </w:p>
        </w:tc>
        <w:tc>
          <w:tcPr>
            <w:tcW w:w="0" w:type="auto"/>
            <w:gridSpan w:val="3"/>
            <w:tcBorders>
              <w:top w:val="single" w:color="auto" w:sz="4" w:space="0"/>
              <w:left w:val="nil"/>
              <w:bottom w:val="single" w:color="auto" w:sz="4" w:space="0"/>
              <w:right w:val="single" w:color="000000" w:sz="4" w:space="0"/>
            </w:tcBorders>
            <w:noWrap w:val="0"/>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严格按行业规范、工作规程和设计合同要求开展设计活动的最高得4分；</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284" w:hRule="atLeast"/>
          <w:jc w:val="center"/>
        </w:trPr>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rPr>
            </w:pPr>
          </w:p>
        </w:tc>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rPr>
            </w:pPr>
          </w:p>
        </w:tc>
        <w:tc>
          <w:tcPr>
            <w:tcW w:w="0" w:type="auto"/>
            <w:gridSpan w:val="3"/>
            <w:tcBorders>
              <w:top w:val="single" w:color="auto" w:sz="4" w:space="0"/>
              <w:left w:val="nil"/>
              <w:bottom w:val="single" w:color="auto" w:sz="4" w:space="0"/>
              <w:right w:val="single" w:color="000000" w:sz="4" w:space="0"/>
            </w:tcBorders>
            <w:noWrap w:val="0"/>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认真执行对数操作规程、现场查勘操作规程的最高得3分；</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439" w:hRule="atLeast"/>
          <w:jc w:val="center"/>
        </w:trPr>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rPr>
            </w:pPr>
          </w:p>
        </w:tc>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rPr>
            </w:pPr>
          </w:p>
        </w:tc>
        <w:tc>
          <w:tcPr>
            <w:tcW w:w="0" w:type="auto"/>
            <w:gridSpan w:val="3"/>
            <w:tcBorders>
              <w:top w:val="single" w:color="auto" w:sz="4" w:space="0"/>
              <w:left w:val="nil"/>
              <w:bottom w:val="single" w:color="auto" w:sz="4" w:space="0"/>
              <w:right w:val="single" w:color="000000" w:sz="4" w:space="0"/>
            </w:tcBorders>
            <w:noWrap w:val="0"/>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按照国家现行技术规范、标准、规程及委托人提出的设计要求，进行工程详测和设计，保证数据的完整性和准确性以及设计的合理性的最高得5分；</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284" w:hRule="atLeast"/>
          <w:jc w:val="center"/>
        </w:trPr>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rPr>
            </w:pPr>
          </w:p>
        </w:tc>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rPr>
            </w:pPr>
          </w:p>
        </w:tc>
        <w:tc>
          <w:tcPr>
            <w:tcW w:w="0" w:type="auto"/>
            <w:gridSpan w:val="3"/>
            <w:tcBorders>
              <w:top w:val="single" w:color="auto" w:sz="4" w:space="0"/>
              <w:left w:val="nil"/>
              <w:bottom w:val="single" w:color="auto" w:sz="4" w:space="0"/>
              <w:right w:val="single" w:color="000000" w:sz="4" w:space="0"/>
            </w:tcBorders>
            <w:noWrap w:val="0"/>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能做好</w:t>
            </w:r>
            <w:r>
              <w:rPr>
                <w:rFonts w:hint="eastAsia" w:ascii="宋体" w:hAnsi="宋体" w:cs="宋体"/>
                <w:color w:val="auto"/>
                <w:kern w:val="0"/>
                <w:sz w:val="18"/>
                <w:szCs w:val="18"/>
                <w:lang w:eastAsia="zh-CN"/>
              </w:rPr>
              <w:t>光伏储能新能源工程设计</w:t>
            </w:r>
            <w:r>
              <w:rPr>
                <w:rFonts w:hint="eastAsia" w:ascii="宋体" w:hAnsi="宋体" w:cs="宋体"/>
                <w:color w:val="auto"/>
                <w:kern w:val="0"/>
                <w:sz w:val="18"/>
                <w:szCs w:val="18"/>
              </w:rPr>
              <w:t>的质量与技术管理工作，建立健全</w:t>
            </w:r>
            <w:r>
              <w:rPr>
                <w:rFonts w:hint="eastAsia" w:ascii="宋体" w:hAnsi="宋体" w:cs="宋体"/>
                <w:color w:val="auto"/>
                <w:kern w:val="0"/>
                <w:sz w:val="18"/>
                <w:szCs w:val="18"/>
                <w:lang w:eastAsia="zh-CN"/>
              </w:rPr>
              <w:t>光伏储能新能源工程设计</w:t>
            </w:r>
            <w:r>
              <w:rPr>
                <w:rFonts w:hint="eastAsia" w:ascii="宋体" w:hAnsi="宋体" w:cs="宋体"/>
                <w:color w:val="auto"/>
                <w:kern w:val="0"/>
                <w:sz w:val="18"/>
                <w:szCs w:val="18"/>
              </w:rPr>
              <w:t>质量保证体系，加强</w:t>
            </w:r>
            <w:r>
              <w:rPr>
                <w:rFonts w:hint="eastAsia" w:ascii="宋体" w:hAnsi="宋体" w:cs="宋体"/>
                <w:color w:val="auto"/>
                <w:kern w:val="0"/>
                <w:sz w:val="18"/>
                <w:szCs w:val="18"/>
                <w:lang w:eastAsia="zh-CN"/>
              </w:rPr>
              <w:t>光伏储能新能源工程设计</w:t>
            </w:r>
            <w:r>
              <w:rPr>
                <w:rFonts w:hint="eastAsia" w:ascii="宋体" w:hAnsi="宋体" w:cs="宋体"/>
                <w:color w:val="auto"/>
                <w:kern w:val="0"/>
                <w:sz w:val="18"/>
                <w:szCs w:val="18"/>
              </w:rPr>
              <w:t>全过程的质量控制，建立完整的设计文件的设计、复核、审核、会签和批准制度，明确各阶段的责任人的最高得3分。</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439" w:hRule="atLeast"/>
          <w:jc w:val="center"/>
        </w:trPr>
        <w:tc>
          <w:tcPr>
            <w:tcW w:w="0" w:type="auto"/>
            <w:vMerge w:val="restart"/>
            <w:tcBorders>
              <w:top w:val="nil"/>
              <w:left w:val="single" w:color="auto" w:sz="4" w:space="0"/>
              <w:bottom w:val="single" w:color="000000" w:sz="4" w:space="0"/>
              <w:right w:val="single" w:color="auto" w:sz="4" w:space="0"/>
            </w:tcBorders>
            <w:noWrap w:val="0"/>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职业道德评价</w:t>
            </w:r>
          </w:p>
        </w:tc>
        <w:tc>
          <w:tcPr>
            <w:tcW w:w="0" w:type="auto"/>
            <w:vMerge w:val="restart"/>
            <w:tcBorders>
              <w:top w:val="nil"/>
              <w:left w:val="single" w:color="auto" w:sz="4" w:space="0"/>
              <w:bottom w:val="single" w:color="000000" w:sz="4" w:space="0"/>
              <w:right w:val="single" w:color="auto" w:sz="4" w:space="0"/>
            </w:tcBorders>
            <w:noWrap w:val="0"/>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15</w:t>
            </w:r>
          </w:p>
        </w:tc>
        <w:tc>
          <w:tcPr>
            <w:tcW w:w="0" w:type="auto"/>
            <w:gridSpan w:val="3"/>
            <w:tcBorders>
              <w:top w:val="single" w:color="auto" w:sz="4" w:space="0"/>
              <w:left w:val="nil"/>
              <w:bottom w:val="single" w:color="auto" w:sz="4" w:space="0"/>
              <w:right w:val="single" w:color="000000" w:sz="4" w:space="0"/>
            </w:tcBorders>
            <w:noWrap w:val="0"/>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严格遵守有关廉政建设规定，与委托人和其利益相对人有利害关系的能主动回避；满足要求得</w:t>
            </w:r>
            <w:r>
              <w:rPr>
                <w:color w:val="auto"/>
                <w:kern w:val="0"/>
                <w:sz w:val="18"/>
                <w:szCs w:val="18"/>
              </w:rPr>
              <w:t>5</w:t>
            </w:r>
            <w:r>
              <w:rPr>
                <w:rFonts w:hint="eastAsia" w:ascii="宋体" w:hAnsi="宋体" w:cs="宋体"/>
                <w:color w:val="auto"/>
                <w:kern w:val="0"/>
                <w:sz w:val="18"/>
                <w:szCs w:val="18"/>
              </w:rPr>
              <w:t>分，有不符合规定行为的不得分；</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439" w:hRule="atLeast"/>
          <w:jc w:val="center"/>
        </w:trPr>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rPr>
            </w:pPr>
          </w:p>
        </w:tc>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rPr>
            </w:pPr>
          </w:p>
        </w:tc>
        <w:tc>
          <w:tcPr>
            <w:tcW w:w="0" w:type="auto"/>
            <w:gridSpan w:val="3"/>
            <w:tcBorders>
              <w:top w:val="single" w:color="auto" w:sz="4" w:space="0"/>
              <w:left w:val="nil"/>
              <w:bottom w:val="single" w:color="auto" w:sz="4" w:space="0"/>
              <w:right w:val="single" w:color="000000" w:sz="4" w:space="0"/>
            </w:tcBorders>
            <w:noWrap w:val="0"/>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自觉维护国家利益，做到诚信、客观、公平、公正；满足要求得</w:t>
            </w:r>
            <w:r>
              <w:rPr>
                <w:color w:val="auto"/>
                <w:kern w:val="0"/>
                <w:sz w:val="18"/>
                <w:szCs w:val="18"/>
              </w:rPr>
              <w:t>4</w:t>
            </w:r>
            <w:r>
              <w:rPr>
                <w:rFonts w:hint="eastAsia" w:ascii="宋体" w:hAnsi="宋体" w:cs="宋体"/>
                <w:color w:val="auto"/>
                <w:kern w:val="0"/>
                <w:sz w:val="18"/>
                <w:szCs w:val="18"/>
              </w:rPr>
              <w:t>分，有不符合规定行为的不得分；</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284" w:hRule="atLeast"/>
          <w:jc w:val="center"/>
        </w:trPr>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rPr>
            </w:pPr>
          </w:p>
        </w:tc>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rPr>
            </w:pPr>
          </w:p>
        </w:tc>
        <w:tc>
          <w:tcPr>
            <w:tcW w:w="0" w:type="auto"/>
            <w:gridSpan w:val="3"/>
            <w:tcBorders>
              <w:top w:val="single" w:color="auto" w:sz="4" w:space="0"/>
              <w:left w:val="nil"/>
              <w:bottom w:val="single" w:color="auto" w:sz="4" w:space="0"/>
              <w:right w:val="single" w:color="000000" w:sz="4" w:space="0"/>
            </w:tcBorders>
            <w:noWrap w:val="0"/>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没有未经委托人允许擅自与委托人的利益相对人联系工作事宜的得</w:t>
            </w:r>
            <w:r>
              <w:rPr>
                <w:color w:val="auto"/>
                <w:kern w:val="0"/>
                <w:sz w:val="18"/>
                <w:szCs w:val="18"/>
              </w:rPr>
              <w:t>3</w:t>
            </w:r>
            <w:r>
              <w:rPr>
                <w:rFonts w:hint="eastAsia" w:ascii="宋体" w:hAnsi="宋体" w:cs="宋体"/>
                <w:color w:val="auto"/>
                <w:kern w:val="0"/>
                <w:sz w:val="18"/>
                <w:szCs w:val="18"/>
              </w:rPr>
              <w:t>分，有此行为的不得分；</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439" w:hRule="atLeast"/>
          <w:jc w:val="center"/>
        </w:trPr>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rPr>
            </w:pPr>
          </w:p>
        </w:tc>
        <w:tc>
          <w:tcPr>
            <w:tcW w:w="0" w:type="auto"/>
            <w:vMerge w:val="continue"/>
            <w:tcBorders>
              <w:top w:val="nil"/>
              <w:left w:val="single" w:color="auto" w:sz="4" w:space="0"/>
              <w:bottom w:val="single" w:color="000000" w:sz="4" w:space="0"/>
              <w:right w:val="single" w:color="auto" w:sz="4" w:space="0"/>
            </w:tcBorders>
            <w:noWrap w:val="0"/>
            <w:vAlign w:val="center"/>
          </w:tcPr>
          <w:p>
            <w:pPr>
              <w:widowControl/>
              <w:jc w:val="left"/>
              <w:rPr>
                <w:rFonts w:ascii="宋体" w:hAnsi="宋体" w:cs="宋体"/>
                <w:color w:val="auto"/>
                <w:kern w:val="0"/>
                <w:sz w:val="18"/>
                <w:szCs w:val="18"/>
              </w:rPr>
            </w:pPr>
          </w:p>
        </w:tc>
        <w:tc>
          <w:tcPr>
            <w:tcW w:w="0" w:type="auto"/>
            <w:gridSpan w:val="3"/>
            <w:tcBorders>
              <w:top w:val="single" w:color="auto" w:sz="4" w:space="0"/>
              <w:left w:val="nil"/>
              <w:bottom w:val="single" w:color="auto" w:sz="4" w:space="0"/>
              <w:right w:val="single" w:color="000000" w:sz="4" w:space="0"/>
            </w:tcBorders>
            <w:noWrap w:val="0"/>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独立完成设计任务，没有未经委托人允许擅自委托第三方从事设计活动的得</w:t>
            </w:r>
            <w:r>
              <w:rPr>
                <w:color w:val="auto"/>
                <w:kern w:val="0"/>
                <w:sz w:val="18"/>
                <w:szCs w:val="18"/>
              </w:rPr>
              <w:t>3</w:t>
            </w:r>
            <w:r>
              <w:rPr>
                <w:rFonts w:hint="eastAsia" w:ascii="宋体" w:hAnsi="宋体" w:cs="宋体"/>
                <w:color w:val="auto"/>
                <w:kern w:val="0"/>
                <w:sz w:val="18"/>
                <w:szCs w:val="18"/>
              </w:rPr>
              <w:t>分，有此行为的不得分。</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420" w:hRule="atLeast"/>
          <w:jc w:val="center"/>
        </w:trPr>
        <w:tc>
          <w:tcPr>
            <w:tcW w:w="0" w:type="auto"/>
            <w:gridSpan w:val="5"/>
            <w:tcBorders>
              <w:top w:val="single" w:color="auto" w:sz="4" w:space="0"/>
              <w:left w:val="single" w:color="auto" w:sz="4" w:space="0"/>
              <w:bottom w:val="single" w:color="auto" w:sz="4" w:space="0"/>
              <w:right w:val="single" w:color="000000" w:sz="4" w:space="0"/>
            </w:tcBorders>
            <w:noWrap w:val="0"/>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合计</w:t>
            </w:r>
          </w:p>
        </w:tc>
        <w:tc>
          <w:tcPr>
            <w:tcW w:w="0" w:type="auto"/>
            <w:tcBorders>
              <w:top w:val="nil"/>
              <w:left w:val="nil"/>
              <w:bottom w:val="single" w:color="auto" w:sz="4" w:space="0"/>
              <w:right w:val="single" w:color="auto" w:sz="4" w:space="0"/>
            </w:tcBorders>
            <w:noWrap w:val="0"/>
            <w:vAlign w:val="center"/>
          </w:tcPr>
          <w:p>
            <w:pPr>
              <w:widowControl/>
              <w:jc w:val="left"/>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619" w:hRule="atLeast"/>
          <w:jc w:val="center"/>
        </w:trPr>
        <w:tc>
          <w:tcPr>
            <w:tcW w:w="0" w:type="auto"/>
            <w:tcBorders>
              <w:top w:val="nil"/>
              <w:left w:val="single" w:color="auto" w:sz="4" w:space="0"/>
              <w:bottom w:val="nil"/>
              <w:right w:val="single" w:color="auto" w:sz="4" w:space="0"/>
            </w:tcBorders>
            <w:noWrap w:val="0"/>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进度与质量处理建议</w:t>
            </w:r>
          </w:p>
        </w:tc>
        <w:tc>
          <w:tcPr>
            <w:tcW w:w="0" w:type="auto"/>
            <w:gridSpan w:val="5"/>
            <w:tcBorders>
              <w:top w:val="single" w:color="auto" w:sz="4" w:space="0"/>
              <w:left w:val="nil"/>
              <w:bottom w:val="single" w:color="auto" w:sz="4" w:space="0"/>
              <w:right w:val="single" w:color="000000" w:sz="4" w:space="0"/>
            </w:tcBorders>
            <w:noWrap w:val="0"/>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r>
      <w:tr>
        <w:tblPrEx>
          <w:tblCellMar>
            <w:top w:w="0" w:type="dxa"/>
            <w:left w:w="108" w:type="dxa"/>
            <w:bottom w:w="0" w:type="dxa"/>
            <w:right w:w="108" w:type="dxa"/>
          </w:tblCellMar>
        </w:tblPrEx>
        <w:trPr>
          <w:trHeight w:val="439" w:hRule="atLeast"/>
          <w:jc w:val="center"/>
        </w:trPr>
        <w:tc>
          <w:tcPr>
            <w:tcW w:w="0" w:type="auto"/>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xml:space="preserve">评价人员签名                </w:t>
            </w:r>
          </w:p>
        </w:tc>
        <w:tc>
          <w:tcPr>
            <w:tcW w:w="0" w:type="auto"/>
            <w:tcBorders>
              <w:top w:val="single" w:color="auto" w:sz="4" w:space="0"/>
              <w:left w:val="nil"/>
              <w:bottom w:val="single" w:color="auto" w:sz="4" w:space="0"/>
              <w:right w:val="single" w:color="000000" w:sz="4" w:space="0"/>
            </w:tcBorders>
            <w:noWrap w:val="0"/>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0" w:type="auto"/>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审批人员</w:t>
            </w:r>
          </w:p>
        </w:tc>
        <w:tc>
          <w:tcPr>
            <w:tcW w:w="0" w:type="auto"/>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c>
          <w:tcPr>
            <w:tcW w:w="0" w:type="auto"/>
            <w:tcBorders>
              <w:top w:val="nil"/>
              <w:left w:val="nil"/>
              <w:bottom w:val="single" w:color="auto" w:sz="4" w:space="0"/>
              <w:right w:val="single" w:color="auto" w:sz="4" w:space="0"/>
            </w:tcBorders>
            <w:noWrap w:val="0"/>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评价日期</w:t>
            </w:r>
          </w:p>
        </w:tc>
        <w:tc>
          <w:tcPr>
            <w:tcW w:w="0" w:type="auto"/>
            <w:tcBorders>
              <w:top w:val="single" w:color="auto" w:sz="4" w:space="0"/>
              <w:left w:val="nil"/>
              <w:bottom w:val="single" w:color="auto" w:sz="4" w:space="0"/>
              <w:right w:val="single" w:color="000000" w:sz="4" w:space="0"/>
            </w:tcBorders>
            <w:noWrap w:val="0"/>
            <w:vAlign w:val="center"/>
          </w:tcPr>
          <w:p>
            <w:pPr>
              <w:widowControl/>
              <w:jc w:val="center"/>
              <w:rPr>
                <w:rFonts w:ascii="宋体" w:hAnsi="宋体" w:cs="宋体"/>
                <w:color w:val="auto"/>
                <w:kern w:val="0"/>
                <w:sz w:val="18"/>
                <w:szCs w:val="18"/>
              </w:rPr>
            </w:pPr>
            <w:r>
              <w:rPr>
                <w:rFonts w:hint="eastAsia" w:ascii="宋体" w:hAnsi="宋体" w:cs="宋体"/>
                <w:color w:val="auto"/>
                <w:kern w:val="0"/>
                <w:sz w:val="18"/>
                <w:szCs w:val="18"/>
              </w:rPr>
              <w:t>　</w:t>
            </w:r>
          </w:p>
        </w:tc>
      </w:tr>
    </w:tbl>
    <w:p>
      <w:pPr>
        <w:widowControl/>
        <w:jc w:val="left"/>
        <w:rPr>
          <w:rFonts w:hint="eastAsia" w:ascii="仿宋_GB2312" w:hAnsi="ˎ̥" w:eastAsia="仿宋_GB2312"/>
          <w:b/>
          <w:color w:val="auto"/>
          <w:sz w:val="31"/>
          <w:szCs w:val="31"/>
        </w:rPr>
        <w:sectPr>
          <w:type w:val="continuous"/>
          <w:pgSz w:w="11907" w:h="16840"/>
          <w:pgMar w:top="1869" w:right="1531" w:bottom="1869" w:left="1531" w:header="1701" w:footer="1474" w:gutter="0"/>
          <w:cols w:space="720" w:num="1"/>
        </w:sectPr>
      </w:pPr>
    </w:p>
    <w:p>
      <w:pPr>
        <w:pStyle w:val="5"/>
        <w:bidi w:val="0"/>
        <w:jc w:val="center"/>
        <w:rPr>
          <w:rFonts w:hint="eastAsia" w:ascii="宋体" w:hAnsi="宋体" w:eastAsia="宋体" w:cs="宋体"/>
          <w:color w:val="auto"/>
        </w:rPr>
      </w:pPr>
      <w:r>
        <w:rPr>
          <w:rFonts w:hint="eastAsia" w:ascii="宋体" w:hAnsi="宋体" w:eastAsia="宋体" w:cs="宋体"/>
          <w:color w:val="auto"/>
          <w:lang w:val="en-US" w:eastAsia="zh-CN"/>
        </w:rPr>
        <w:t>附件2：</w:t>
      </w:r>
      <w:r>
        <w:rPr>
          <w:rFonts w:hint="eastAsia" w:ascii="宋体" w:hAnsi="宋体" w:cs="宋体"/>
          <w:color w:val="auto"/>
          <w:lang w:eastAsia="zh-CN"/>
        </w:rPr>
        <w:t>光伏储能新能源工程设计</w:t>
      </w:r>
      <w:r>
        <w:rPr>
          <w:rFonts w:hint="eastAsia" w:ascii="宋体" w:hAnsi="宋体" w:eastAsia="宋体" w:cs="宋体"/>
          <w:color w:val="auto"/>
        </w:rPr>
        <w:t>机构年度考核表</w:t>
      </w:r>
    </w:p>
    <w:p>
      <w:pPr>
        <w:spacing w:line="360" w:lineRule="auto"/>
        <w:ind w:left="-2" w:leftChars="-1" w:firstLine="27" w:firstLineChars="13"/>
        <w:jc w:val="left"/>
        <w:rPr>
          <w:rFonts w:ascii="宋体" w:hAnsi="宋体"/>
          <w:color w:val="auto"/>
          <w:szCs w:val="21"/>
        </w:rPr>
      </w:pPr>
      <w:r>
        <w:rPr>
          <w:rFonts w:hint="eastAsia" w:ascii="宋体" w:hAnsi="宋体"/>
          <w:color w:val="auto"/>
          <w:szCs w:val="21"/>
        </w:rPr>
        <w:t>考核单位（部室）名称：</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8"/>
        <w:gridCol w:w="524"/>
        <w:gridCol w:w="6824"/>
        <w:gridCol w:w="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0" w:type="auto"/>
            <w:gridSpan w:val="2"/>
            <w:noWrap w:val="0"/>
            <w:vAlign w:val="center"/>
          </w:tcPr>
          <w:p>
            <w:pPr>
              <w:rPr>
                <w:rFonts w:ascii="宋体" w:hAnsi="宋体"/>
                <w:color w:val="auto"/>
                <w:sz w:val="18"/>
                <w:szCs w:val="18"/>
              </w:rPr>
            </w:pPr>
            <w:r>
              <w:rPr>
                <w:rFonts w:hint="eastAsia" w:ascii="宋体" w:hAnsi="宋体"/>
                <w:color w:val="auto"/>
                <w:sz w:val="18"/>
                <w:szCs w:val="18"/>
              </w:rPr>
              <w:t>被考核的供应商名称</w:t>
            </w:r>
          </w:p>
        </w:tc>
        <w:tc>
          <w:tcPr>
            <w:tcW w:w="0" w:type="auto"/>
            <w:gridSpan w:val="2"/>
            <w:noWrap w:val="0"/>
            <w:vAlign w:val="center"/>
          </w:tcPr>
          <w:p>
            <w:pPr>
              <w:jc w:val="center"/>
              <w:rPr>
                <w:rFonts w:ascii="宋体" w:hAnsi="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0" w:type="auto"/>
            <w:gridSpan w:val="2"/>
            <w:noWrap w:val="0"/>
            <w:vAlign w:val="center"/>
          </w:tcPr>
          <w:p>
            <w:pPr>
              <w:jc w:val="center"/>
              <w:rPr>
                <w:rFonts w:ascii="宋体" w:hAnsi="宋体"/>
                <w:color w:val="auto"/>
                <w:sz w:val="18"/>
                <w:szCs w:val="18"/>
              </w:rPr>
            </w:pPr>
            <w:r>
              <w:rPr>
                <w:rFonts w:hint="eastAsia" w:ascii="宋体" w:hAnsi="宋体"/>
                <w:color w:val="auto"/>
                <w:sz w:val="18"/>
                <w:szCs w:val="18"/>
              </w:rPr>
              <w:t>考核的期间</w:t>
            </w:r>
          </w:p>
        </w:tc>
        <w:tc>
          <w:tcPr>
            <w:tcW w:w="0" w:type="auto"/>
            <w:gridSpan w:val="2"/>
            <w:noWrap w:val="0"/>
            <w:vAlign w:val="center"/>
          </w:tcPr>
          <w:p>
            <w:pPr>
              <w:jc w:val="center"/>
              <w:rPr>
                <w:rFonts w:ascii="宋体" w:hAnsi="宋体"/>
                <w:color w:val="auto"/>
                <w:sz w:val="18"/>
                <w:szCs w:val="18"/>
              </w:rPr>
            </w:pPr>
            <w:r>
              <w:rPr>
                <w:rFonts w:hint="eastAsia" w:ascii="宋体" w:hAnsi="宋体"/>
                <w:color w:val="auto"/>
                <w:sz w:val="18"/>
                <w:szCs w:val="18"/>
              </w:rPr>
              <w:t>从     年  月  日至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0" w:type="auto"/>
            <w:noWrap w:val="0"/>
            <w:vAlign w:val="center"/>
          </w:tcPr>
          <w:p>
            <w:pPr>
              <w:jc w:val="center"/>
              <w:rPr>
                <w:rFonts w:ascii="宋体" w:hAnsi="宋体"/>
                <w:color w:val="auto"/>
                <w:sz w:val="18"/>
                <w:szCs w:val="18"/>
              </w:rPr>
            </w:pPr>
            <w:r>
              <w:rPr>
                <w:rFonts w:hint="eastAsia" w:ascii="宋体" w:hAnsi="宋体"/>
                <w:color w:val="auto"/>
                <w:sz w:val="18"/>
                <w:szCs w:val="18"/>
              </w:rPr>
              <w:t>评价内容</w:t>
            </w:r>
          </w:p>
        </w:tc>
        <w:tc>
          <w:tcPr>
            <w:tcW w:w="0" w:type="auto"/>
            <w:noWrap w:val="0"/>
            <w:vAlign w:val="center"/>
          </w:tcPr>
          <w:p>
            <w:pPr>
              <w:jc w:val="center"/>
              <w:rPr>
                <w:rFonts w:ascii="宋体" w:hAnsi="宋体"/>
                <w:color w:val="auto"/>
                <w:sz w:val="18"/>
                <w:szCs w:val="18"/>
              </w:rPr>
            </w:pPr>
            <w:r>
              <w:rPr>
                <w:rFonts w:hint="eastAsia" w:ascii="宋体" w:hAnsi="宋体"/>
                <w:color w:val="auto"/>
                <w:sz w:val="18"/>
                <w:szCs w:val="18"/>
              </w:rPr>
              <w:t>各项分值</w:t>
            </w:r>
          </w:p>
        </w:tc>
        <w:tc>
          <w:tcPr>
            <w:tcW w:w="0" w:type="auto"/>
            <w:noWrap w:val="0"/>
            <w:vAlign w:val="center"/>
          </w:tcPr>
          <w:p>
            <w:pPr>
              <w:jc w:val="center"/>
              <w:rPr>
                <w:rFonts w:ascii="宋体" w:hAnsi="宋体"/>
                <w:color w:val="auto"/>
                <w:sz w:val="18"/>
                <w:szCs w:val="18"/>
              </w:rPr>
            </w:pPr>
            <w:r>
              <w:rPr>
                <w:rFonts w:hint="eastAsia" w:ascii="宋体" w:hAnsi="宋体"/>
                <w:color w:val="auto"/>
                <w:sz w:val="18"/>
                <w:szCs w:val="18"/>
              </w:rPr>
              <w:t>具体内容</w:t>
            </w:r>
          </w:p>
        </w:tc>
        <w:tc>
          <w:tcPr>
            <w:tcW w:w="0" w:type="auto"/>
            <w:noWrap w:val="0"/>
            <w:vAlign w:val="center"/>
          </w:tcPr>
          <w:p>
            <w:pPr>
              <w:jc w:val="center"/>
              <w:rPr>
                <w:rFonts w:ascii="宋体" w:hAnsi="宋体"/>
                <w:color w:val="auto"/>
                <w:sz w:val="18"/>
                <w:szCs w:val="18"/>
              </w:rPr>
            </w:pPr>
            <w:r>
              <w:rPr>
                <w:rFonts w:hint="eastAsia" w:ascii="宋体" w:hAnsi="宋体"/>
                <w:color w:val="auto"/>
                <w:sz w:val="18"/>
                <w:szCs w:val="18"/>
              </w:rPr>
              <w:t>评分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jc w:val="center"/>
        </w:trPr>
        <w:tc>
          <w:tcPr>
            <w:tcW w:w="0" w:type="auto"/>
            <w:noWrap w:val="0"/>
            <w:vAlign w:val="center"/>
          </w:tcPr>
          <w:p>
            <w:pPr>
              <w:jc w:val="center"/>
              <w:rPr>
                <w:rFonts w:ascii="宋体" w:hAnsi="宋体"/>
                <w:color w:val="auto"/>
                <w:sz w:val="18"/>
                <w:szCs w:val="18"/>
              </w:rPr>
            </w:pPr>
            <w:r>
              <w:rPr>
                <w:rFonts w:hint="eastAsia" w:ascii="宋体" w:hAnsi="宋体"/>
                <w:color w:val="auto"/>
                <w:sz w:val="18"/>
                <w:szCs w:val="18"/>
              </w:rPr>
              <w:t>接受任务分配</w:t>
            </w:r>
          </w:p>
        </w:tc>
        <w:tc>
          <w:tcPr>
            <w:tcW w:w="0" w:type="auto"/>
            <w:noWrap w:val="0"/>
            <w:vAlign w:val="center"/>
          </w:tcPr>
          <w:p>
            <w:pPr>
              <w:jc w:val="center"/>
              <w:rPr>
                <w:rFonts w:ascii="宋体" w:hAnsi="宋体"/>
                <w:color w:val="auto"/>
                <w:sz w:val="18"/>
                <w:szCs w:val="18"/>
              </w:rPr>
            </w:pPr>
            <w:r>
              <w:rPr>
                <w:rFonts w:hint="eastAsia" w:ascii="宋体" w:hAnsi="宋体"/>
                <w:color w:val="auto"/>
                <w:sz w:val="18"/>
                <w:szCs w:val="18"/>
              </w:rPr>
              <w:t>10</w:t>
            </w:r>
          </w:p>
        </w:tc>
        <w:tc>
          <w:tcPr>
            <w:tcW w:w="0" w:type="auto"/>
            <w:tcBorders>
              <w:top w:val="nil"/>
            </w:tcBorders>
            <w:noWrap w:val="0"/>
            <w:vAlign w:val="center"/>
          </w:tcPr>
          <w:p>
            <w:pPr>
              <w:rPr>
                <w:rFonts w:ascii="宋体" w:hAnsi="宋体"/>
                <w:color w:val="auto"/>
                <w:sz w:val="18"/>
                <w:szCs w:val="18"/>
              </w:rPr>
            </w:pPr>
            <w:r>
              <w:rPr>
                <w:rFonts w:hint="eastAsia" w:ascii="宋体" w:hAnsi="宋体"/>
                <w:color w:val="auto"/>
                <w:sz w:val="18"/>
                <w:szCs w:val="18"/>
              </w:rPr>
              <w:t>1年内没有拒绝接受任务的，得10分；1年内拒绝接受任务1次的，得5分；1年内拒绝接受任务2次或以上的，得0分。</w:t>
            </w:r>
          </w:p>
        </w:tc>
        <w:tc>
          <w:tcPr>
            <w:tcW w:w="0" w:type="auto"/>
            <w:tcBorders>
              <w:top w:val="nil"/>
            </w:tcBorders>
            <w:noWrap w:val="0"/>
            <w:vAlign w:val="center"/>
          </w:tcPr>
          <w:p>
            <w:pPr>
              <w:jc w:val="center"/>
              <w:rPr>
                <w:rFonts w:ascii="宋体" w:hAnsi="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0" w:type="auto"/>
            <w:noWrap w:val="0"/>
            <w:vAlign w:val="center"/>
          </w:tcPr>
          <w:p>
            <w:pPr>
              <w:jc w:val="center"/>
              <w:rPr>
                <w:rFonts w:ascii="宋体" w:hAnsi="宋体"/>
                <w:color w:val="auto"/>
                <w:sz w:val="18"/>
                <w:szCs w:val="18"/>
              </w:rPr>
            </w:pPr>
            <w:r>
              <w:rPr>
                <w:rFonts w:hint="eastAsia" w:ascii="宋体" w:hAnsi="宋体"/>
                <w:color w:val="auto"/>
                <w:sz w:val="18"/>
                <w:szCs w:val="18"/>
              </w:rPr>
              <w:t>内部管理</w:t>
            </w:r>
          </w:p>
        </w:tc>
        <w:tc>
          <w:tcPr>
            <w:tcW w:w="0" w:type="auto"/>
            <w:noWrap w:val="0"/>
            <w:vAlign w:val="center"/>
          </w:tcPr>
          <w:p>
            <w:pPr>
              <w:jc w:val="center"/>
              <w:rPr>
                <w:rFonts w:ascii="宋体" w:hAnsi="宋体"/>
                <w:color w:val="auto"/>
                <w:sz w:val="18"/>
                <w:szCs w:val="18"/>
              </w:rPr>
            </w:pPr>
            <w:r>
              <w:rPr>
                <w:rFonts w:hint="eastAsia" w:ascii="宋体" w:hAnsi="宋体"/>
                <w:color w:val="auto"/>
                <w:sz w:val="18"/>
                <w:szCs w:val="18"/>
              </w:rPr>
              <w:t>15</w:t>
            </w:r>
          </w:p>
        </w:tc>
        <w:tc>
          <w:tcPr>
            <w:tcW w:w="0" w:type="auto"/>
            <w:noWrap w:val="0"/>
            <w:vAlign w:val="center"/>
          </w:tcPr>
          <w:p>
            <w:pPr>
              <w:rPr>
                <w:rFonts w:ascii="宋体" w:hAnsi="宋体"/>
                <w:color w:val="auto"/>
                <w:sz w:val="18"/>
                <w:szCs w:val="18"/>
              </w:rPr>
            </w:pPr>
            <w:r>
              <w:rPr>
                <w:rFonts w:hint="eastAsia" w:ascii="宋体" w:hAnsi="宋体"/>
                <w:color w:val="auto"/>
                <w:sz w:val="18"/>
                <w:szCs w:val="18"/>
              </w:rPr>
              <w:t>企业规章、内部管理制度健全和完善的，已建立执业质量管理制度、业务档案管理制度、人事管理制度、财务制度的得15分，每缺一项扣减2分。</w:t>
            </w:r>
          </w:p>
        </w:tc>
        <w:tc>
          <w:tcPr>
            <w:tcW w:w="0" w:type="auto"/>
            <w:noWrap w:val="0"/>
            <w:vAlign w:val="center"/>
          </w:tcPr>
          <w:p>
            <w:pPr>
              <w:rPr>
                <w:rFonts w:ascii="宋体" w:hAnsi="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0" w:type="auto"/>
            <w:vMerge w:val="restart"/>
            <w:noWrap w:val="0"/>
            <w:vAlign w:val="center"/>
          </w:tcPr>
          <w:p>
            <w:pPr>
              <w:jc w:val="center"/>
              <w:rPr>
                <w:rFonts w:ascii="宋体" w:hAnsi="宋体"/>
                <w:color w:val="auto"/>
                <w:sz w:val="18"/>
                <w:szCs w:val="18"/>
              </w:rPr>
            </w:pPr>
            <w:r>
              <w:rPr>
                <w:rFonts w:hint="eastAsia" w:ascii="宋体" w:hAnsi="宋体"/>
                <w:color w:val="auto"/>
                <w:sz w:val="18"/>
                <w:szCs w:val="18"/>
              </w:rPr>
              <w:t>服务情况</w:t>
            </w:r>
          </w:p>
        </w:tc>
        <w:tc>
          <w:tcPr>
            <w:tcW w:w="0" w:type="auto"/>
            <w:vMerge w:val="restart"/>
            <w:noWrap w:val="0"/>
            <w:vAlign w:val="center"/>
          </w:tcPr>
          <w:p>
            <w:pPr>
              <w:jc w:val="center"/>
              <w:rPr>
                <w:rFonts w:ascii="宋体" w:hAnsi="宋体"/>
                <w:color w:val="auto"/>
                <w:sz w:val="18"/>
                <w:szCs w:val="18"/>
              </w:rPr>
            </w:pPr>
            <w:r>
              <w:rPr>
                <w:rFonts w:hint="eastAsia" w:ascii="宋体" w:hAnsi="宋体"/>
                <w:color w:val="auto"/>
                <w:sz w:val="18"/>
                <w:szCs w:val="18"/>
              </w:rPr>
              <w:t>15</w:t>
            </w:r>
          </w:p>
        </w:tc>
        <w:tc>
          <w:tcPr>
            <w:tcW w:w="0" w:type="auto"/>
            <w:noWrap w:val="0"/>
            <w:vAlign w:val="center"/>
          </w:tcPr>
          <w:p>
            <w:pPr>
              <w:rPr>
                <w:rFonts w:ascii="宋体" w:hAnsi="宋体"/>
                <w:color w:val="auto"/>
                <w:sz w:val="18"/>
                <w:szCs w:val="18"/>
              </w:rPr>
            </w:pPr>
            <w:r>
              <w:rPr>
                <w:rFonts w:hint="eastAsia" w:ascii="宋体" w:hAnsi="宋体"/>
                <w:color w:val="auto"/>
                <w:sz w:val="18"/>
                <w:szCs w:val="18"/>
              </w:rPr>
              <w:t>1）收到通知后及时与采购人签订委托合同的最高得2分；</w:t>
            </w:r>
          </w:p>
        </w:tc>
        <w:tc>
          <w:tcPr>
            <w:tcW w:w="0" w:type="auto"/>
            <w:noWrap w:val="0"/>
            <w:vAlign w:val="center"/>
          </w:tcPr>
          <w:p>
            <w:pPr>
              <w:rPr>
                <w:rFonts w:ascii="宋体" w:hAnsi="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0" w:type="auto"/>
            <w:vMerge w:val="continue"/>
            <w:noWrap w:val="0"/>
            <w:vAlign w:val="center"/>
          </w:tcPr>
          <w:p>
            <w:pPr>
              <w:jc w:val="center"/>
              <w:rPr>
                <w:rFonts w:ascii="宋体" w:hAnsi="宋体"/>
                <w:color w:val="auto"/>
                <w:sz w:val="18"/>
                <w:szCs w:val="18"/>
              </w:rPr>
            </w:pPr>
          </w:p>
        </w:tc>
        <w:tc>
          <w:tcPr>
            <w:tcW w:w="0" w:type="auto"/>
            <w:vMerge w:val="continue"/>
            <w:noWrap w:val="0"/>
            <w:vAlign w:val="center"/>
          </w:tcPr>
          <w:p>
            <w:pPr>
              <w:jc w:val="center"/>
              <w:rPr>
                <w:rFonts w:ascii="宋体" w:hAnsi="宋体"/>
                <w:color w:val="auto"/>
                <w:sz w:val="18"/>
                <w:szCs w:val="18"/>
              </w:rPr>
            </w:pPr>
          </w:p>
        </w:tc>
        <w:tc>
          <w:tcPr>
            <w:tcW w:w="0" w:type="auto"/>
            <w:noWrap w:val="0"/>
            <w:vAlign w:val="center"/>
          </w:tcPr>
          <w:p>
            <w:pPr>
              <w:rPr>
                <w:rFonts w:ascii="宋体" w:hAnsi="宋体"/>
                <w:color w:val="auto"/>
                <w:sz w:val="18"/>
                <w:szCs w:val="18"/>
              </w:rPr>
            </w:pPr>
            <w:r>
              <w:rPr>
                <w:rFonts w:hint="eastAsia" w:ascii="宋体" w:hAnsi="宋体"/>
                <w:color w:val="auto"/>
                <w:sz w:val="18"/>
                <w:szCs w:val="18"/>
              </w:rPr>
              <w:t>2）能针对项目的情况与采购人充分沟通的最高得5分；</w:t>
            </w:r>
          </w:p>
        </w:tc>
        <w:tc>
          <w:tcPr>
            <w:tcW w:w="0" w:type="auto"/>
            <w:noWrap w:val="0"/>
            <w:vAlign w:val="center"/>
          </w:tcPr>
          <w:p>
            <w:pPr>
              <w:rPr>
                <w:rFonts w:ascii="宋体" w:hAnsi="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0" w:type="auto"/>
            <w:vMerge w:val="continue"/>
            <w:noWrap w:val="0"/>
            <w:vAlign w:val="center"/>
          </w:tcPr>
          <w:p>
            <w:pPr>
              <w:jc w:val="center"/>
              <w:rPr>
                <w:rFonts w:ascii="宋体" w:hAnsi="宋体"/>
                <w:color w:val="auto"/>
                <w:sz w:val="18"/>
                <w:szCs w:val="18"/>
              </w:rPr>
            </w:pPr>
          </w:p>
        </w:tc>
        <w:tc>
          <w:tcPr>
            <w:tcW w:w="0" w:type="auto"/>
            <w:vMerge w:val="continue"/>
            <w:noWrap w:val="0"/>
            <w:vAlign w:val="center"/>
          </w:tcPr>
          <w:p>
            <w:pPr>
              <w:jc w:val="center"/>
              <w:rPr>
                <w:rFonts w:ascii="宋体" w:hAnsi="宋体"/>
                <w:color w:val="auto"/>
                <w:sz w:val="18"/>
                <w:szCs w:val="18"/>
              </w:rPr>
            </w:pPr>
          </w:p>
        </w:tc>
        <w:tc>
          <w:tcPr>
            <w:tcW w:w="0" w:type="auto"/>
            <w:noWrap w:val="0"/>
            <w:vAlign w:val="center"/>
          </w:tcPr>
          <w:p>
            <w:pPr>
              <w:rPr>
                <w:rFonts w:ascii="宋体" w:hAnsi="宋体"/>
                <w:color w:val="auto"/>
                <w:sz w:val="18"/>
                <w:szCs w:val="18"/>
              </w:rPr>
            </w:pPr>
            <w:r>
              <w:rPr>
                <w:rFonts w:hint="eastAsia" w:ascii="宋体" w:hAnsi="宋体"/>
                <w:color w:val="auto"/>
                <w:sz w:val="18"/>
                <w:szCs w:val="18"/>
              </w:rPr>
              <w:t>3）工作质量良好，无重大的主观差错率的，最高得5分；</w:t>
            </w:r>
          </w:p>
        </w:tc>
        <w:tc>
          <w:tcPr>
            <w:tcW w:w="0" w:type="auto"/>
            <w:noWrap w:val="0"/>
            <w:vAlign w:val="center"/>
          </w:tcPr>
          <w:p>
            <w:pPr>
              <w:rPr>
                <w:rFonts w:ascii="宋体" w:hAnsi="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atLeast"/>
          <w:jc w:val="center"/>
        </w:trPr>
        <w:tc>
          <w:tcPr>
            <w:tcW w:w="0" w:type="auto"/>
            <w:vMerge w:val="continue"/>
            <w:noWrap w:val="0"/>
            <w:vAlign w:val="center"/>
          </w:tcPr>
          <w:p>
            <w:pPr>
              <w:jc w:val="center"/>
              <w:rPr>
                <w:rFonts w:ascii="宋体" w:hAnsi="宋体"/>
                <w:color w:val="auto"/>
                <w:sz w:val="18"/>
                <w:szCs w:val="18"/>
              </w:rPr>
            </w:pPr>
          </w:p>
        </w:tc>
        <w:tc>
          <w:tcPr>
            <w:tcW w:w="0" w:type="auto"/>
            <w:vMerge w:val="continue"/>
            <w:noWrap w:val="0"/>
            <w:vAlign w:val="center"/>
          </w:tcPr>
          <w:p>
            <w:pPr>
              <w:jc w:val="center"/>
              <w:rPr>
                <w:rFonts w:ascii="宋体" w:hAnsi="宋体"/>
                <w:color w:val="auto"/>
                <w:sz w:val="18"/>
                <w:szCs w:val="18"/>
              </w:rPr>
            </w:pPr>
          </w:p>
        </w:tc>
        <w:tc>
          <w:tcPr>
            <w:tcW w:w="0" w:type="auto"/>
            <w:noWrap w:val="0"/>
            <w:vAlign w:val="center"/>
          </w:tcPr>
          <w:p>
            <w:pPr>
              <w:rPr>
                <w:rFonts w:ascii="宋体" w:hAnsi="宋体"/>
                <w:color w:val="auto"/>
                <w:sz w:val="18"/>
                <w:szCs w:val="18"/>
              </w:rPr>
            </w:pPr>
            <w:r>
              <w:rPr>
                <w:rFonts w:hint="eastAsia" w:ascii="宋体" w:hAnsi="宋体"/>
                <w:color w:val="auto"/>
                <w:sz w:val="18"/>
                <w:szCs w:val="18"/>
              </w:rPr>
              <w:t>4）完成成果文件后，能做好跟踪服务的最高得3分。</w:t>
            </w:r>
          </w:p>
        </w:tc>
        <w:tc>
          <w:tcPr>
            <w:tcW w:w="0" w:type="auto"/>
            <w:noWrap w:val="0"/>
            <w:vAlign w:val="center"/>
          </w:tcPr>
          <w:p>
            <w:pPr>
              <w:rPr>
                <w:rFonts w:ascii="宋体" w:hAnsi="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0" w:type="auto"/>
            <w:vMerge w:val="restart"/>
            <w:noWrap w:val="0"/>
            <w:vAlign w:val="center"/>
          </w:tcPr>
          <w:p>
            <w:pPr>
              <w:jc w:val="center"/>
              <w:rPr>
                <w:rFonts w:ascii="宋体" w:hAnsi="宋体"/>
                <w:color w:val="auto"/>
                <w:sz w:val="18"/>
                <w:szCs w:val="18"/>
              </w:rPr>
            </w:pPr>
            <w:r>
              <w:rPr>
                <w:rFonts w:hint="eastAsia" w:ascii="宋体" w:hAnsi="宋体"/>
                <w:color w:val="auto"/>
                <w:sz w:val="18"/>
                <w:szCs w:val="18"/>
              </w:rPr>
              <w:t>项目质量</w:t>
            </w:r>
          </w:p>
        </w:tc>
        <w:tc>
          <w:tcPr>
            <w:tcW w:w="0" w:type="auto"/>
            <w:vMerge w:val="restart"/>
            <w:noWrap w:val="0"/>
            <w:vAlign w:val="center"/>
          </w:tcPr>
          <w:p>
            <w:pPr>
              <w:jc w:val="center"/>
              <w:rPr>
                <w:rFonts w:ascii="宋体" w:hAnsi="宋体"/>
                <w:color w:val="auto"/>
                <w:sz w:val="18"/>
                <w:szCs w:val="18"/>
              </w:rPr>
            </w:pPr>
            <w:r>
              <w:rPr>
                <w:rFonts w:hint="eastAsia" w:ascii="宋体" w:hAnsi="宋体"/>
                <w:color w:val="auto"/>
                <w:sz w:val="18"/>
                <w:szCs w:val="18"/>
              </w:rPr>
              <w:t>30</w:t>
            </w:r>
          </w:p>
        </w:tc>
        <w:tc>
          <w:tcPr>
            <w:tcW w:w="0" w:type="auto"/>
            <w:noWrap w:val="0"/>
            <w:vAlign w:val="center"/>
          </w:tcPr>
          <w:p>
            <w:pPr>
              <w:rPr>
                <w:rFonts w:ascii="宋体" w:hAnsi="宋体"/>
                <w:color w:val="auto"/>
                <w:sz w:val="18"/>
                <w:szCs w:val="18"/>
              </w:rPr>
            </w:pPr>
            <w:r>
              <w:rPr>
                <w:rFonts w:hint="eastAsia" w:ascii="宋体" w:hAnsi="宋体"/>
                <w:color w:val="auto"/>
                <w:sz w:val="18"/>
                <w:szCs w:val="18"/>
              </w:rPr>
              <w:t>1）派出的人员对相应法规、政策熟悉和理解程度，最高得5分；</w:t>
            </w:r>
          </w:p>
        </w:tc>
        <w:tc>
          <w:tcPr>
            <w:tcW w:w="0" w:type="auto"/>
            <w:noWrap w:val="0"/>
            <w:vAlign w:val="center"/>
          </w:tcPr>
          <w:p>
            <w:pPr>
              <w:rPr>
                <w:rFonts w:ascii="宋体" w:hAnsi="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0" w:type="auto"/>
            <w:vMerge w:val="continue"/>
            <w:noWrap w:val="0"/>
            <w:vAlign w:val="center"/>
          </w:tcPr>
          <w:p>
            <w:pPr>
              <w:jc w:val="center"/>
              <w:rPr>
                <w:rFonts w:ascii="宋体" w:hAnsi="宋体"/>
                <w:color w:val="auto"/>
                <w:sz w:val="18"/>
                <w:szCs w:val="18"/>
              </w:rPr>
            </w:pPr>
          </w:p>
        </w:tc>
        <w:tc>
          <w:tcPr>
            <w:tcW w:w="0" w:type="auto"/>
            <w:vMerge w:val="continue"/>
            <w:noWrap w:val="0"/>
            <w:vAlign w:val="center"/>
          </w:tcPr>
          <w:p>
            <w:pPr>
              <w:jc w:val="center"/>
              <w:rPr>
                <w:rFonts w:ascii="宋体" w:hAnsi="宋体"/>
                <w:color w:val="auto"/>
                <w:sz w:val="18"/>
                <w:szCs w:val="18"/>
              </w:rPr>
            </w:pPr>
          </w:p>
        </w:tc>
        <w:tc>
          <w:tcPr>
            <w:tcW w:w="0" w:type="auto"/>
            <w:noWrap w:val="0"/>
            <w:vAlign w:val="center"/>
          </w:tcPr>
          <w:p>
            <w:pPr>
              <w:rPr>
                <w:rFonts w:ascii="宋体" w:hAnsi="宋体"/>
                <w:color w:val="auto"/>
                <w:sz w:val="18"/>
                <w:szCs w:val="18"/>
              </w:rPr>
            </w:pPr>
            <w:r>
              <w:rPr>
                <w:rFonts w:hint="eastAsia" w:ascii="宋体" w:hAnsi="宋体"/>
                <w:color w:val="auto"/>
                <w:sz w:val="18"/>
                <w:szCs w:val="18"/>
              </w:rPr>
              <w:t>2）抽查设计项目的工作底稿质量，最高得5分；</w:t>
            </w:r>
          </w:p>
        </w:tc>
        <w:tc>
          <w:tcPr>
            <w:tcW w:w="0" w:type="auto"/>
            <w:noWrap w:val="0"/>
            <w:vAlign w:val="center"/>
          </w:tcPr>
          <w:p>
            <w:pPr>
              <w:rPr>
                <w:rFonts w:ascii="宋体" w:hAnsi="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0" w:type="auto"/>
            <w:vMerge w:val="continue"/>
            <w:noWrap w:val="0"/>
            <w:vAlign w:val="center"/>
          </w:tcPr>
          <w:p>
            <w:pPr>
              <w:jc w:val="center"/>
              <w:rPr>
                <w:rFonts w:ascii="宋体" w:hAnsi="宋体"/>
                <w:color w:val="auto"/>
                <w:sz w:val="18"/>
                <w:szCs w:val="18"/>
              </w:rPr>
            </w:pPr>
          </w:p>
        </w:tc>
        <w:tc>
          <w:tcPr>
            <w:tcW w:w="0" w:type="auto"/>
            <w:vMerge w:val="continue"/>
            <w:noWrap w:val="0"/>
            <w:vAlign w:val="center"/>
          </w:tcPr>
          <w:p>
            <w:pPr>
              <w:jc w:val="center"/>
              <w:rPr>
                <w:rFonts w:ascii="宋体" w:hAnsi="宋体"/>
                <w:color w:val="auto"/>
                <w:sz w:val="18"/>
                <w:szCs w:val="18"/>
              </w:rPr>
            </w:pPr>
          </w:p>
        </w:tc>
        <w:tc>
          <w:tcPr>
            <w:tcW w:w="0" w:type="auto"/>
            <w:noWrap w:val="0"/>
            <w:vAlign w:val="center"/>
          </w:tcPr>
          <w:p>
            <w:pPr>
              <w:rPr>
                <w:rFonts w:ascii="宋体" w:hAnsi="宋体"/>
                <w:color w:val="auto"/>
                <w:sz w:val="18"/>
                <w:szCs w:val="18"/>
              </w:rPr>
            </w:pPr>
            <w:r>
              <w:rPr>
                <w:rFonts w:hint="eastAsia" w:ascii="宋体" w:hAnsi="宋体"/>
                <w:color w:val="auto"/>
                <w:sz w:val="18"/>
                <w:szCs w:val="18"/>
              </w:rPr>
              <w:t>3）按质按量完成设计工作，</w:t>
            </w:r>
            <w:r>
              <w:rPr>
                <w:rFonts w:hint="eastAsia" w:ascii="宋体" w:hAnsi="宋体" w:cs="宋体"/>
                <w:color w:val="auto"/>
                <w:kern w:val="0"/>
                <w:sz w:val="18"/>
                <w:szCs w:val="18"/>
              </w:rPr>
              <w:t>圆满完成设计工作目标</w:t>
            </w:r>
            <w:r>
              <w:rPr>
                <w:rFonts w:hint="eastAsia" w:ascii="宋体" w:hAnsi="宋体"/>
                <w:color w:val="auto"/>
                <w:sz w:val="18"/>
                <w:szCs w:val="18"/>
              </w:rPr>
              <w:t>的，最高得10分；</w:t>
            </w:r>
          </w:p>
        </w:tc>
        <w:tc>
          <w:tcPr>
            <w:tcW w:w="0" w:type="auto"/>
            <w:noWrap w:val="0"/>
            <w:vAlign w:val="center"/>
          </w:tcPr>
          <w:p>
            <w:pPr>
              <w:rPr>
                <w:rFonts w:ascii="宋体" w:hAnsi="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0" w:type="auto"/>
            <w:vMerge w:val="continue"/>
            <w:noWrap w:val="0"/>
            <w:vAlign w:val="center"/>
          </w:tcPr>
          <w:p>
            <w:pPr>
              <w:jc w:val="center"/>
              <w:rPr>
                <w:rFonts w:ascii="宋体" w:hAnsi="宋体"/>
                <w:color w:val="auto"/>
                <w:sz w:val="18"/>
                <w:szCs w:val="18"/>
              </w:rPr>
            </w:pPr>
          </w:p>
        </w:tc>
        <w:tc>
          <w:tcPr>
            <w:tcW w:w="0" w:type="auto"/>
            <w:vMerge w:val="continue"/>
            <w:noWrap w:val="0"/>
            <w:vAlign w:val="center"/>
          </w:tcPr>
          <w:p>
            <w:pPr>
              <w:jc w:val="center"/>
              <w:rPr>
                <w:rFonts w:ascii="宋体" w:hAnsi="宋体"/>
                <w:color w:val="auto"/>
                <w:sz w:val="18"/>
                <w:szCs w:val="18"/>
              </w:rPr>
            </w:pPr>
          </w:p>
        </w:tc>
        <w:tc>
          <w:tcPr>
            <w:tcW w:w="0" w:type="auto"/>
            <w:noWrap w:val="0"/>
            <w:vAlign w:val="center"/>
          </w:tcPr>
          <w:p>
            <w:pPr>
              <w:rPr>
                <w:rFonts w:ascii="宋体" w:hAnsi="宋体"/>
                <w:color w:val="auto"/>
                <w:sz w:val="18"/>
                <w:szCs w:val="18"/>
              </w:rPr>
            </w:pPr>
            <w:r>
              <w:rPr>
                <w:rFonts w:hint="eastAsia" w:ascii="宋体" w:hAnsi="宋体"/>
                <w:color w:val="auto"/>
                <w:sz w:val="18"/>
                <w:szCs w:val="18"/>
              </w:rPr>
              <w:t>4）1年内无受到差错处罚的，得10分；受处罚1次的，得5分；受处罚2次或以上不得分。</w:t>
            </w:r>
          </w:p>
        </w:tc>
        <w:tc>
          <w:tcPr>
            <w:tcW w:w="0" w:type="auto"/>
            <w:noWrap w:val="0"/>
            <w:vAlign w:val="center"/>
          </w:tcPr>
          <w:p>
            <w:pPr>
              <w:rPr>
                <w:rFonts w:ascii="宋体" w:hAnsi="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jc w:val="center"/>
        </w:trPr>
        <w:tc>
          <w:tcPr>
            <w:tcW w:w="0" w:type="auto"/>
            <w:noWrap w:val="0"/>
            <w:vAlign w:val="center"/>
          </w:tcPr>
          <w:p>
            <w:pPr>
              <w:jc w:val="center"/>
              <w:rPr>
                <w:rFonts w:ascii="宋体" w:hAnsi="宋体"/>
                <w:color w:val="auto"/>
                <w:sz w:val="18"/>
                <w:szCs w:val="18"/>
              </w:rPr>
            </w:pPr>
            <w:r>
              <w:rPr>
                <w:rFonts w:hint="eastAsia" w:ascii="宋体" w:hAnsi="宋体"/>
                <w:color w:val="auto"/>
                <w:sz w:val="18"/>
                <w:szCs w:val="18"/>
              </w:rPr>
              <w:t>工作效率</w:t>
            </w:r>
          </w:p>
        </w:tc>
        <w:tc>
          <w:tcPr>
            <w:tcW w:w="0" w:type="auto"/>
            <w:noWrap w:val="0"/>
            <w:vAlign w:val="center"/>
          </w:tcPr>
          <w:p>
            <w:pPr>
              <w:jc w:val="center"/>
              <w:rPr>
                <w:rFonts w:ascii="宋体" w:hAnsi="宋体"/>
                <w:color w:val="auto"/>
                <w:sz w:val="18"/>
                <w:szCs w:val="18"/>
              </w:rPr>
            </w:pPr>
            <w:r>
              <w:rPr>
                <w:rFonts w:hint="eastAsia" w:ascii="宋体" w:hAnsi="宋体"/>
                <w:color w:val="auto"/>
                <w:sz w:val="18"/>
                <w:szCs w:val="18"/>
              </w:rPr>
              <w:t xml:space="preserve">15 </w:t>
            </w:r>
          </w:p>
        </w:tc>
        <w:tc>
          <w:tcPr>
            <w:tcW w:w="0" w:type="auto"/>
            <w:noWrap w:val="0"/>
            <w:vAlign w:val="center"/>
          </w:tcPr>
          <w:p>
            <w:pPr>
              <w:rPr>
                <w:rFonts w:ascii="宋体" w:hAnsi="宋体"/>
                <w:color w:val="auto"/>
                <w:sz w:val="18"/>
                <w:szCs w:val="18"/>
              </w:rPr>
            </w:pPr>
            <w:r>
              <w:rPr>
                <w:rFonts w:hint="eastAsia" w:ascii="宋体" w:hAnsi="宋体"/>
                <w:color w:val="auto"/>
                <w:sz w:val="18"/>
                <w:szCs w:val="18"/>
              </w:rPr>
              <w:t>1）按合同规定时间完成的，得15分；2）由于客观原因，未能按合同规定时间完成，但经双方协商后仍能按时完成合同的，得12-13分；3）由于供应商主观原因，未能按合同规定时间完成，但经双方协商后仍能按时完成的，得9-10分；4）由于供应商主观原因，未能按合同规定时间完成，经双方协商后仍未能及时完成的，最高得5分。</w:t>
            </w:r>
          </w:p>
        </w:tc>
        <w:tc>
          <w:tcPr>
            <w:tcW w:w="0" w:type="auto"/>
            <w:noWrap w:val="0"/>
            <w:vAlign w:val="center"/>
          </w:tcPr>
          <w:p>
            <w:pPr>
              <w:rPr>
                <w:rFonts w:ascii="宋体" w:hAnsi="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0" w:type="auto"/>
            <w:vMerge w:val="restart"/>
            <w:noWrap w:val="0"/>
            <w:vAlign w:val="center"/>
          </w:tcPr>
          <w:p>
            <w:pPr>
              <w:jc w:val="center"/>
              <w:rPr>
                <w:rFonts w:ascii="宋体" w:hAnsi="宋体"/>
                <w:color w:val="auto"/>
                <w:sz w:val="18"/>
                <w:szCs w:val="18"/>
              </w:rPr>
            </w:pPr>
            <w:r>
              <w:rPr>
                <w:rFonts w:hint="eastAsia" w:ascii="宋体" w:hAnsi="宋体"/>
                <w:color w:val="auto"/>
                <w:sz w:val="18"/>
                <w:szCs w:val="18"/>
              </w:rPr>
              <w:t>职业道德</w:t>
            </w:r>
          </w:p>
        </w:tc>
        <w:tc>
          <w:tcPr>
            <w:tcW w:w="0" w:type="auto"/>
            <w:vMerge w:val="restart"/>
            <w:noWrap w:val="0"/>
            <w:vAlign w:val="center"/>
          </w:tcPr>
          <w:p>
            <w:pPr>
              <w:jc w:val="center"/>
              <w:rPr>
                <w:rFonts w:ascii="宋体" w:hAnsi="宋体"/>
                <w:color w:val="auto"/>
                <w:sz w:val="18"/>
                <w:szCs w:val="18"/>
              </w:rPr>
            </w:pPr>
            <w:r>
              <w:rPr>
                <w:rFonts w:hint="eastAsia" w:ascii="宋体" w:hAnsi="宋体"/>
                <w:color w:val="auto"/>
                <w:sz w:val="18"/>
                <w:szCs w:val="18"/>
              </w:rPr>
              <w:t>15</w:t>
            </w:r>
          </w:p>
        </w:tc>
        <w:tc>
          <w:tcPr>
            <w:tcW w:w="0" w:type="auto"/>
            <w:noWrap w:val="0"/>
            <w:vAlign w:val="center"/>
          </w:tcPr>
          <w:p>
            <w:pPr>
              <w:rPr>
                <w:rFonts w:ascii="宋体" w:hAnsi="宋体"/>
                <w:color w:val="auto"/>
                <w:sz w:val="18"/>
                <w:szCs w:val="18"/>
              </w:rPr>
            </w:pPr>
            <w:r>
              <w:rPr>
                <w:rFonts w:hint="eastAsia" w:ascii="宋体" w:hAnsi="宋体"/>
                <w:color w:val="auto"/>
                <w:sz w:val="18"/>
                <w:szCs w:val="18"/>
              </w:rPr>
              <w:t>1）派出人员没有接受采购人或其他供应商宴请、旅游、娱乐等行为的得2分，有此行为不得分；</w:t>
            </w:r>
          </w:p>
        </w:tc>
        <w:tc>
          <w:tcPr>
            <w:tcW w:w="0" w:type="auto"/>
            <w:noWrap w:val="0"/>
            <w:vAlign w:val="center"/>
          </w:tcPr>
          <w:p>
            <w:pPr>
              <w:rPr>
                <w:rFonts w:ascii="宋体" w:hAnsi="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0" w:type="auto"/>
            <w:vMerge w:val="continue"/>
            <w:noWrap w:val="0"/>
            <w:vAlign w:val="center"/>
          </w:tcPr>
          <w:p>
            <w:pPr>
              <w:jc w:val="center"/>
              <w:rPr>
                <w:rFonts w:ascii="宋体" w:hAnsi="宋体"/>
                <w:color w:val="auto"/>
                <w:sz w:val="18"/>
                <w:szCs w:val="18"/>
              </w:rPr>
            </w:pPr>
          </w:p>
        </w:tc>
        <w:tc>
          <w:tcPr>
            <w:tcW w:w="0" w:type="auto"/>
            <w:vMerge w:val="continue"/>
            <w:noWrap w:val="0"/>
            <w:vAlign w:val="center"/>
          </w:tcPr>
          <w:p>
            <w:pPr>
              <w:jc w:val="center"/>
              <w:rPr>
                <w:rFonts w:ascii="宋体" w:hAnsi="宋体"/>
                <w:color w:val="auto"/>
                <w:sz w:val="18"/>
                <w:szCs w:val="18"/>
              </w:rPr>
            </w:pPr>
          </w:p>
        </w:tc>
        <w:tc>
          <w:tcPr>
            <w:tcW w:w="0" w:type="auto"/>
            <w:noWrap w:val="0"/>
            <w:vAlign w:val="center"/>
          </w:tcPr>
          <w:p>
            <w:pPr>
              <w:rPr>
                <w:rFonts w:ascii="宋体" w:hAnsi="宋体"/>
                <w:color w:val="auto"/>
                <w:sz w:val="18"/>
                <w:szCs w:val="18"/>
              </w:rPr>
            </w:pPr>
            <w:r>
              <w:rPr>
                <w:rFonts w:hint="eastAsia" w:ascii="宋体" w:hAnsi="宋体"/>
                <w:color w:val="auto"/>
                <w:sz w:val="18"/>
                <w:szCs w:val="18"/>
              </w:rPr>
              <w:t>2）派出人员没有要求采购人或其他供应商提供礼品、回扣、有价证卷等行为的得2分，有此行为不得分；</w:t>
            </w:r>
          </w:p>
        </w:tc>
        <w:tc>
          <w:tcPr>
            <w:tcW w:w="0" w:type="auto"/>
            <w:noWrap w:val="0"/>
            <w:vAlign w:val="center"/>
          </w:tcPr>
          <w:p>
            <w:pPr>
              <w:rPr>
                <w:rFonts w:ascii="宋体" w:hAnsi="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0" w:type="auto"/>
            <w:vMerge w:val="continue"/>
            <w:noWrap w:val="0"/>
            <w:vAlign w:val="center"/>
          </w:tcPr>
          <w:p>
            <w:pPr>
              <w:jc w:val="center"/>
              <w:rPr>
                <w:rFonts w:ascii="宋体" w:hAnsi="宋体"/>
                <w:color w:val="auto"/>
                <w:sz w:val="18"/>
                <w:szCs w:val="18"/>
              </w:rPr>
            </w:pPr>
          </w:p>
        </w:tc>
        <w:tc>
          <w:tcPr>
            <w:tcW w:w="0" w:type="auto"/>
            <w:vMerge w:val="continue"/>
            <w:noWrap w:val="0"/>
            <w:vAlign w:val="center"/>
          </w:tcPr>
          <w:p>
            <w:pPr>
              <w:jc w:val="center"/>
              <w:rPr>
                <w:rFonts w:ascii="宋体" w:hAnsi="宋体"/>
                <w:color w:val="auto"/>
                <w:sz w:val="18"/>
                <w:szCs w:val="18"/>
              </w:rPr>
            </w:pPr>
          </w:p>
        </w:tc>
        <w:tc>
          <w:tcPr>
            <w:tcW w:w="0" w:type="auto"/>
            <w:noWrap w:val="0"/>
            <w:vAlign w:val="center"/>
          </w:tcPr>
          <w:p>
            <w:pPr>
              <w:rPr>
                <w:rFonts w:ascii="宋体" w:hAnsi="宋体"/>
                <w:color w:val="auto"/>
                <w:sz w:val="18"/>
                <w:szCs w:val="18"/>
              </w:rPr>
            </w:pPr>
            <w:r>
              <w:rPr>
                <w:rFonts w:hint="eastAsia" w:ascii="宋体" w:hAnsi="宋体"/>
                <w:color w:val="auto"/>
                <w:sz w:val="18"/>
                <w:szCs w:val="18"/>
              </w:rPr>
              <w:t>3）派出人员没有在采购人或其他供应商处报销应该由人负担的费用的，得2分，有此行为不得分；</w:t>
            </w:r>
          </w:p>
        </w:tc>
        <w:tc>
          <w:tcPr>
            <w:tcW w:w="0" w:type="auto"/>
            <w:noWrap w:val="0"/>
            <w:vAlign w:val="center"/>
          </w:tcPr>
          <w:p>
            <w:pPr>
              <w:rPr>
                <w:rFonts w:ascii="宋体" w:hAnsi="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0" w:type="auto"/>
            <w:vMerge w:val="continue"/>
            <w:noWrap w:val="0"/>
            <w:vAlign w:val="center"/>
          </w:tcPr>
          <w:p>
            <w:pPr>
              <w:jc w:val="center"/>
              <w:rPr>
                <w:rFonts w:ascii="宋体" w:hAnsi="宋体"/>
                <w:color w:val="auto"/>
                <w:sz w:val="18"/>
                <w:szCs w:val="18"/>
              </w:rPr>
            </w:pPr>
          </w:p>
        </w:tc>
        <w:tc>
          <w:tcPr>
            <w:tcW w:w="0" w:type="auto"/>
            <w:vMerge w:val="continue"/>
            <w:noWrap w:val="0"/>
            <w:vAlign w:val="center"/>
          </w:tcPr>
          <w:p>
            <w:pPr>
              <w:jc w:val="center"/>
              <w:rPr>
                <w:rFonts w:ascii="宋体" w:hAnsi="宋体"/>
                <w:color w:val="auto"/>
                <w:sz w:val="18"/>
                <w:szCs w:val="18"/>
              </w:rPr>
            </w:pPr>
          </w:p>
        </w:tc>
        <w:tc>
          <w:tcPr>
            <w:tcW w:w="0" w:type="auto"/>
            <w:noWrap w:val="0"/>
            <w:vAlign w:val="center"/>
          </w:tcPr>
          <w:p>
            <w:pPr>
              <w:rPr>
                <w:rFonts w:ascii="宋体" w:hAnsi="宋体"/>
                <w:color w:val="auto"/>
                <w:sz w:val="18"/>
                <w:szCs w:val="18"/>
              </w:rPr>
            </w:pPr>
            <w:r>
              <w:rPr>
                <w:rFonts w:hint="eastAsia" w:ascii="宋体" w:hAnsi="宋体"/>
                <w:color w:val="auto"/>
                <w:sz w:val="18"/>
                <w:szCs w:val="18"/>
              </w:rPr>
              <w:t>4）派出的人员没有被有关部门进行行政处分的得3分，被行政处分过的不得分；</w:t>
            </w:r>
          </w:p>
        </w:tc>
        <w:tc>
          <w:tcPr>
            <w:tcW w:w="0" w:type="auto"/>
            <w:noWrap w:val="0"/>
            <w:vAlign w:val="center"/>
          </w:tcPr>
          <w:p>
            <w:pPr>
              <w:rPr>
                <w:rFonts w:ascii="宋体" w:hAnsi="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 w:hRule="atLeast"/>
          <w:jc w:val="center"/>
        </w:trPr>
        <w:tc>
          <w:tcPr>
            <w:tcW w:w="0" w:type="auto"/>
            <w:vMerge w:val="continue"/>
            <w:noWrap w:val="0"/>
            <w:vAlign w:val="center"/>
          </w:tcPr>
          <w:p>
            <w:pPr>
              <w:jc w:val="center"/>
              <w:rPr>
                <w:rFonts w:ascii="宋体" w:hAnsi="宋体"/>
                <w:color w:val="auto"/>
                <w:sz w:val="18"/>
                <w:szCs w:val="18"/>
              </w:rPr>
            </w:pPr>
          </w:p>
        </w:tc>
        <w:tc>
          <w:tcPr>
            <w:tcW w:w="0" w:type="auto"/>
            <w:vMerge w:val="continue"/>
            <w:noWrap w:val="0"/>
            <w:vAlign w:val="center"/>
          </w:tcPr>
          <w:p>
            <w:pPr>
              <w:jc w:val="center"/>
              <w:rPr>
                <w:rFonts w:ascii="宋体" w:hAnsi="宋体"/>
                <w:color w:val="auto"/>
                <w:sz w:val="18"/>
                <w:szCs w:val="18"/>
              </w:rPr>
            </w:pPr>
          </w:p>
        </w:tc>
        <w:tc>
          <w:tcPr>
            <w:tcW w:w="0" w:type="auto"/>
            <w:noWrap w:val="0"/>
            <w:vAlign w:val="center"/>
          </w:tcPr>
          <w:p>
            <w:pPr>
              <w:rPr>
                <w:rFonts w:ascii="宋体" w:hAnsi="宋体"/>
                <w:color w:val="auto"/>
                <w:sz w:val="18"/>
                <w:szCs w:val="18"/>
              </w:rPr>
            </w:pPr>
            <w:r>
              <w:rPr>
                <w:rFonts w:hint="eastAsia" w:ascii="宋体" w:hAnsi="宋体"/>
                <w:color w:val="auto"/>
                <w:sz w:val="18"/>
                <w:szCs w:val="18"/>
              </w:rPr>
              <w:t>5）没有其他不廉洁行为的得3分，有此行为不得分。</w:t>
            </w:r>
          </w:p>
        </w:tc>
        <w:tc>
          <w:tcPr>
            <w:tcW w:w="0" w:type="auto"/>
            <w:noWrap w:val="0"/>
            <w:vAlign w:val="center"/>
          </w:tcPr>
          <w:p>
            <w:pPr>
              <w:rPr>
                <w:rFonts w:ascii="宋体" w:hAnsi="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0" w:type="auto"/>
            <w:vMerge w:val="continue"/>
            <w:noWrap w:val="0"/>
            <w:vAlign w:val="center"/>
          </w:tcPr>
          <w:p>
            <w:pPr>
              <w:jc w:val="center"/>
              <w:rPr>
                <w:rFonts w:ascii="宋体" w:hAnsi="宋体"/>
                <w:color w:val="auto"/>
                <w:sz w:val="18"/>
                <w:szCs w:val="18"/>
              </w:rPr>
            </w:pPr>
          </w:p>
        </w:tc>
        <w:tc>
          <w:tcPr>
            <w:tcW w:w="0" w:type="auto"/>
            <w:vMerge w:val="continue"/>
            <w:noWrap w:val="0"/>
            <w:vAlign w:val="center"/>
          </w:tcPr>
          <w:p>
            <w:pPr>
              <w:jc w:val="center"/>
              <w:rPr>
                <w:rFonts w:ascii="宋体" w:hAnsi="宋体"/>
                <w:color w:val="auto"/>
                <w:sz w:val="18"/>
                <w:szCs w:val="18"/>
              </w:rPr>
            </w:pPr>
          </w:p>
        </w:tc>
        <w:tc>
          <w:tcPr>
            <w:tcW w:w="0" w:type="auto"/>
            <w:noWrap w:val="0"/>
            <w:vAlign w:val="center"/>
          </w:tcPr>
          <w:p>
            <w:pPr>
              <w:rPr>
                <w:rFonts w:ascii="宋体" w:hAnsi="宋体"/>
                <w:color w:val="auto"/>
                <w:sz w:val="18"/>
                <w:szCs w:val="18"/>
              </w:rPr>
            </w:pPr>
            <w:r>
              <w:rPr>
                <w:rFonts w:hint="eastAsia" w:ascii="宋体" w:hAnsi="宋体"/>
                <w:color w:val="auto"/>
                <w:sz w:val="18"/>
                <w:szCs w:val="18"/>
              </w:rPr>
              <w:t>6）考核的期间内，供应商没有违法违规情况的得3分，有此行为，不得分。</w:t>
            </w:r>
          </w:p>
        </w:tc>
        <w:tc>
          <w:tcPr>
            <w:tcW w:w="0" w:type="auto"/>
            <w:noWrap w:val="0"/>
            <w:vAlign w:val="center"/>
          </w:tcPr>
          <w:p>
            <w:pPr>
              <w:rPr>
                <w:rFonts w:ascii="宋体" w:hAnsi="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0" w:type="auto"/>
            <w:gridSpan w:val="3"/>
            <w:noWrap w:val="0"/>
            <w:vAlign w:val="center"/>
          </w:tcPr>
          <w:p>
            <w:pPr>
              <w:jc w:val="center"/>
              <w:rPr>
                <w:rFonts w:ascii="宋体" w:hAnsi="宋体"/>
                <w:color w:val="auto"/>
                <w:sz w:val="18"/>
                <w:szCs w:val="18"/>
              </w:rPr>
            </w:pPr>
            <w:r>
              <w:rPr>
                <w:rFonts w:hint="eastAsia" w:ascii="宋体" w:hAnsi="宋体"/>
                <w:color w:val="auto"/>
                <w:sz w:val="18"/>
                <w:szCs w:val="18"/>
              </w:rPr>
              <w:t>合计</w:t>
            </w:r>
          </w:p>
        </w:tc>
        <w:tc>
          <w:tcPr>
            <w:tcW w:w="0" w:type="auto"/>
            <w:noWrap w:val="0"/>
            <w:vAlign w:val="center"/>
          </w:tcPr>
          <w:p>
            <w:pPr>
              <w:rPr>
                <w:rFonts w:ascii="宋体" w:hAnsi="宋体"/>
                <w:color w:val="auto"/>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0" w:type="auto"/>
            <w:noWrap w:val="0"/>
            <w:vAlign w:val="center"/>
          </w:tcPr>
          <w:p>
            <w:pPr>
              <w:jc w:val="center"/>
              <w:rPr>
                <w:rFonts w:ascii="宋体" w:hAnsi="宋体"/>
                <w:color w:val="auto"/>
                <w:sz w:val="18"/>
                <w:szCs w:val="18"/>
              </w:rPr>
            </w:pPr>
            <w:r>
              <w:rPr>
                <w:rFonts w:hint="eastAsia" w:ascii="宋体" w:hAnsi="宋体"/>
                <w:color w:val="auto"/>
                <w:sz w:val="18"/>
                <w:szCs w:val="18"/>
              </w:rPr>
              <w:t>评价人</w:t>
            </w:r>
          </w:p>
        </w:tc>
        <w:tc>
          <w:tcPr>
            <w:tcW w:w="0" w:type="auto"/>
            <w:noWrap w:val="0"/>
            <w:vAlign w:val="center"/>
          </w:tcPr>
          <w:p>
            <w:pPr>
              <w:jc w:val="center"/>
              <w:rPr>
                <w:rFonts w:ascii="宋体" w:hAnsi="宋体"/>
                <w:color w:val="auto"/>
                <w:sz w:val="18"/>
                <w:szCs w:val="18"/>
              </w:rPr>
            </w:pPr>
          </w:p>
        </w:tc>
        <w:tc>
          <w:tcPr>
            <w:tcW w:w="0" w:type="auto"/>
            <w:noWrap w:val="0"/>
            <w:vAlign w:val="center"/>
          </w:tcPr>
          <w:p>
            <w:pPr>
              <w:jc w:val="center"/>
              <w:rPr>
                <w:rFonts w:ascii="宋体" w:hAnsi="宋体"/>
                <w:color w:val="auto"/>
                <w:sz w:val="18"/>
                <w:szCs w:val="18"/>
              </w:rPr>
            </w:pPr>
            <w:r>
              <w:rPr>
                <w:rFonts w:hint="eastAsia" w:ascii="宋体" w:hAnsi="宋体"/>
                <w:color w:val="auto"/>
                <w:sz w:val="18"/>
                <w:szCs w:val="18"/>
              </w:rPr>
              <w:t>评价日期</w:t>
            </w:r>
          </w:p>
        </w:tc>
        <w:tc>
          <w:tcPr>
            <w:tcW w:w="0" w:type="auto"/>
            <w:noWrap w:val="0"/>
            <w:vAlign w:val="center"/>
          </w:tcPr>
          <w:p>
            <w:pPr>
              <w:jc w:val="center"/>
              <w:rPr>
                <w:rFonts w:ascii="宋体" w:hAnsi="宋体"/>
                <w:color w:val="auto"/>
                <w:sz w:val="18"/>
                <w:szCs w:val="18"/>
              </w:rPr>
            </w:pPr>
            <w:r>
              <w:rPr>
                <w:rFonts w:hint="eastAsia" w:ascii="宋体" w:hAnsi="宋体"/>
                <w:color w:val="auto"/>
                <w:sz w:val="18"/>
                <w:szCs w:val="18"/>
              </w:rPr>
              <w:t>年  月  日</w:t>
            </w:r>
          </w:p>
        </w:tc>
      </w:tr>
    </w:tbl>
    <w:p>
      <w:pPr>
        <w:bidi w:val="0"/>
        <w:rPr>
          <w:rFonts w:hint="eastAsia"/>
        </w:rPr>
      </w:pPr>
    </w:p>
    <w:p>
      <w:pPr>
        <w:rPr>
          <w:rFonts w:hint="eastAsia"/>
        </w:rPr>
      </w:pPr>
    </w:p>
    <w:p>
      <w:pPr>
        <w:pStyle w:val="7"/>
        <w:rPr>
          <w:rFonts w:hint="eastAsia"/>
        </w:rPr>
      </w:pPr>
    </w:p>
    <w:p>
      <w:pPr>
        <w:pStyle w:val="8"/>
        <w:rPr>
          <w:rFonts w:hint="eastAsia"/>
        </w:rPr>
      </w:pPr>
    </w:p>
    <w:p>
      <w:pPr>
        <w:pStyle w:val="9"/>
        <w:rPr>
          <w:rFonts w:hint="eastAsia"/>
        </w:rPr>
      </w:pPr>
    </w:p>
    <w:p>
      <w:pPr>
        <w:rPr>
          <w:rFonts w:hint="eastAsia"/>
        </w:rPr>
      </w:pPr>
    </w:p>
    <w:p>
      <w:pPr>
        <w:pStyle w:val="7"/>
        <w:rPr>
          <w:rFonts w:hint="eastAsia"/>
        </w:rPr>
      </w:pPr>
    </w:p>
    <w:p>
      <w:pPr>
        <w:pStyle w:val="8"/>
        <w:rPr>
          <w:rFonts w:hint="eastAsia"/>
        </w:rPr>
      </w:pPr>
    </w:p>
    <w:p>
      <w:pPr>
        <w:pStyle w:val="9"/>
        <w:rPr>
          <w:rFonts w:hint="eastAsia"/>
        </w:rPr>
      </w:pPr>
    </w:p>
    <w:p>
      <w:pPr>
        <w:rPr>
          <w:rFonts w:hint="eastAsia"/>
        </w:rPr>
      </w:pPr>
    </w:p>
    <w:p>
      <w:pPr>
        <w:pStyle w:val="7"/>
        <w:rPr>
          <w:rFonts w:hint="eastAsia"/>
        </w:rPr>
      </w:pPr>
    </w:p>
    <w:p>
      <w:pPr>
        <w:pStyle w:val="8"/>
        <w:rPr>
          <w:rFonts w:hint="eastAsia"/>
        </w:rPr>
      </w:pPr>
    </w:p>
    <w:p>
      <w:pPr>
        <w:pStyle w:val="9"/>
        <w:rPr>
          <w:rFonts w:hint="eastAsia"/>
        </w:rPr>
      </w:pPr>
    </w:p>
    <w:p>
      <w:pPr>
        <w:rPr>
          <w:rFonts w:hint="eastAsia"/>
        </w:rPr>
      </w:pPr>
    </w:p>
    <w:p>
      <w:pPr>
        <w:pStyle w:val="7"/>
        <w:rPr>
          <w:rFonts w:hint="eastAsia"/>
        </w:rPr>
      </w:pPr>
    </w:p>
    <w:p>
      <w:pPr>
        <w:pStyle w:val="8"/>
        <w:rPr>
          <w:rFonts w:hint="eastAsia"/>
        </w:rPr>
      </w:pPr>
    </w:p>
    <w:p>
      <w:pPr>
        <w:pStyle w:val="9"/>
        <w:rPr>
          <w:rFonts w:hint="eastAsia"/>
        </w:rPr>
      </w:pPr>
    </w:p>
    <w:p>
      <w:pPr>
        <w:rPr>
          <w:rFonts w:hint="eastAsia"/>
        </w:rPr>
      </w:pPr>
    </w:p>
    <w:p>
      <w:pPr>
        <w:pStyle w:val="7"/>
        <w:rPr>
          <w:rFonts w:hint="eastAsia"/>
        </w:rPr>
      </w:pPr>
    </w:p>
    <w:p>
      <w:pPr>
        <w:pStyle w:val="8"/>
        <w:rPr>
          <w:rFonts w:hint="eastAsia"/>
        </w:rPr>
      </w:pPr>
    </w:p>
    <w:p>
      <w:pPr>
        <w:pStyle w:val="9"/>
        <w:rPr>
          <w:rFonts w:hint="eastAsia"/>
        </w:rPr>
      </w:pPr>
    </w:p>
    <w:p>
      <w:pPr>
        <w:rPr>
          <w:rFonts w:hint="eastAsia"/>
        </w:rPr>
      </w:pPr>
    </w:p>
    <w:p>
      <w:pPr>
        <w:pStyle w:val="7"/>
        <w:rPr>
          <w:rFonts w:hint="eastAsia"/>
        </w:rPr>
      </w:pPr>
    </w:p>
    <w:p>
      <w:pPr>
        <w:pStyle w:val="8"/>
        <w:rPr>
          <w:rFonts w:hint="eastAsia"/>
        </w:rPr>
      </w:pPr>
    </w:p>
    <w:p>
      <w:pPr>
        <w:pStyle w:val="3"/>
        <w:spacing w:before="0" w:after="0" w:line="240" w:lineRule="auto"/>
        <w:rPr>
          <w:color w:val="auto"/>
          <w:sz w:val="28"/>
          <w:szCs w:val="28"/>
        </w:rPr>
      </w:pPr>
      <w:r>
        <w:rPr>
          <w:rFonts w:hint="eastAsia"/>
          <w:color w:val="auto"/>
          <w:sz w:val="28"/>
          <w:szCs w:val="28"/>
        </w:rPr>
        <w:t>第</w:t>
      </w:r>
      <w:r>
        <w:rPr>
          <w:rFonts w:hint="eastAsia"/>
          <w:color w:val="auto"/>
          <w:sz w:val="28"/>
          <w:szCs w:val="28"/>
          <w:lang w:val="en-US" w:eastAsia="zh-CN"/>
        </w:rPr>
        <w:t>六</w:t>
      </w:r>
      <w:r>
        <w:rPr>
          <w:rFonts w:hint="eastAsia"/>
          <w:color w:val="auto"/>
          <w:sz w:val="28"/>
          <w:szCs w:val="28"/>
        </w:rPr>
        <w:t>部分 合同格式（仅供参考）</w:t>
      </w:r>
      <w:bookmarkEnd w:id="183"/>
      <w:bookmarkEnd w:id="184"/>
      <w:bookmarkEnd w:id="185"/>
      <w:bookmarkStart w:id="186" w:name="_Toc21155"/>
      <w:bookmarkStart w:id="187" w:name="_Toc13430"/>
      <w:bookmarkStart w:id="188" w:name="_Toc1534"/>
    </w:p>
    <w:p>
      <w:pPr>
        <w:pStyle w:val="4"/>
        <w:spacing w:before="0" w:after="0" w:line="240" w:lineRule="auto"/>
        <w:jc w:val="center"/>
        <w:rPr>
          <w:rFonts w:ascii="宋体" w:hAnsi="宋体" w:eastAsia="宋体" w:cs="宋体"/>
          <w:color w:val="auto"/>
        </w:rPr>
      </w:pPr>
      <w:bookmarkStart w:id="189" w:name="_Toc19575"/>
      <w:bookmarkStart w:id="190" w:name="_Toc8880"/>
      <w:bookmarkStart w:id="191" w:name="_Toc16730"/>
      <w:r>
        <w:rPr>
          <w:rFonts w:hint="eastAsia" w:ascii="宋体" w:hAnsi="宋体" w:eastAsia="宋体" w:cs="宋体"/>
          <w:color w:val="auto"/>
        </w:rPr>
        <w:t>合同格式</w:t>
      </w:r>
      <w:bookmarkEnd w:id="186"/>
      <w:bookmarkEnd w:id="187"/>
      <w:bookmarkEnd w:id="188"/>
      <w:bookmarkEnd w:id="189"/>
      <w:bookmarkEnd w:id="190"/>
      <w:bookmarkEnd w:id="191"/>
    </w:p>
    <w:p>
      <w:pPr>
        <w:spacing w:line="420" w:lineRule="atLeast"/>
        <w:ind w:right="560"/>
        <w:rPr>
          <w:rFonts w:ascii="宋体" w:hAnsi="宋体" w:eastAsia="宋体"/>
          <w:color w:val="auto"/>
          <w:sz w:val="21"/>
          <w:szCs w:val="21"/>
        </w:rPr>
      </w:pPr>
      <w:r>
        <w:rPr>
          <w:rFonts w:hint="eastAsia" w:ascii="宋体" w:hAnsi="宋体" w:eastAsia="宋体"/>
          <w:color w:val="auto"/>
          <w:sz w:val="21"/>
          <w:szCs w:val="21"/>
        </w:rPr>
        <w:t>合同编号：</w:t>
      </w:r>
    </w:p>
    <w:p>
      <w:pPr>
        <w:spacing w:line="420" w:lineRule="atLeast"/>
        <w:rPr>
          <w:rFonts w:ascii="宋体" w:hAnsi="宋体" w:eastAsia="宋体"/>
          <w:color w:val="auto"/>
          <w:sz w:val="21"/>
          <w:szCs w:val="21"/>
        </w:rPr>
      </w:pPr>
      <w:r>
        <w:rPr>
          <w:rFonts w:hint="eastAsia" w:ascii="宋体" w:hAnsi="宋体" w:eastAsia="宋体"/>
          <w:color w:val="auto"/>
          <w:sz w:val="21"/>
          <w:szCs w:val="21"/>
        </w:rPr>
        <w:t>甲方：</w:t>
      </w:r>
    </w:p>
    <w:p>
      <w:pPr>
        <w:spacing w:line="420" w:lineRule="atLeast"/>
        <w:rPr>
          <w:rFonts w:ascii="宋体" w:hAnsi="宋体" w:eastAsia="宋体"/>
          <w:color w:val="auto"/>
          <w:sz w:val="21"/>
          <w:szCs w:val="21"/>
        </w:rPr>
      </w:pPr>
      <w:r>
        <w:rPr>
          <w:rFonts w:hint="eastAsia" w:ascii="宋体" w:hAnsi="宋体" w:eastAsia="宋体"/>
          <w:color w:val="auto"/>
          <w:sz w:val="21"/>
          <w:szCs w:val="21"/>
        </w:rPr>
        <w:t>乙方：“ ”为中标单位</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受甲方委托，</w:t>
      </w:r>
      <w:r>
        <w:rPr>
          <w:rFonts w:hint="eastAsia" w:ascii="宋体" w:hAnsi="宋体" w:eastAsia="宋体"/>
          <w:color w:val="auto"/>
          <w:sz w:val="21"/>
          <w:szCs w:val="21"/>
          <w:u w:val="single"/>
        </w:rPr>
        <w:t xml:space="preserve">           (采购代理机构)</w:t>
      </w:r>
      <w:r>
        <w:rPr>
          <w:rFonts w:hint="eastAsia" w:ascii="宋体" w:hAnsi="宋体" w:eastAsia="宋体"/>
          <w:color w:val="auto"/>
          <w:sz w:val="21"/>
          <w:szCs w:val="21"/>
        </w:rPr>
        <w:t>组织对</w:t>
      </w:r>
      <w:r>
        <w:rPr>
          <w:rFonts w:hint="eastAsia" w:ascii="宋体" w:hAnsi="宋体" w:eastAsia="宋体"/>
          <w:color w:val="auto"/>
          <w:sz w:val="21"/>
          <w:szCs w:val="21"/>
          <w:u w:val="single"/>
        </w:rPr>
        <w:t xml:space="preserve">         （项目名称）</w:t>
      </w:r>
      <w:r>
        <w:rPr>
          <w:rFonts w:hint="eastAsia" w:ascii="宋体" w:hAnsi="宋体" w:eastAsia="宋体"/>
          <w:color w:val="auto"/>
          <w:sz w:val="21"/>
          <w:szCs w:val="21"/>
        </w:rPr>
        <w:t>采购项目（采购项目编号为）进行采购，于年月日通过公开招标，经评标委员会评定乙方为中标单位。为了保护甲、乙双方合法权益，根据</w:t>
      </w:r>
      <w:r>
        <w:rPr>
          <w:rFonts w:hint="eastAsia" w:ascii="宋体" w:hAnsi="宋体"/>
          <w:color w:val="auto"/>
          <w:sz w:val="21"/>
          <w:szCs w:val="21"/>
          <w:lang w:val="en-US" w:eastAsia="zh-CN"/>
        </w:rPr>
        <w:t>相关采购法律法规</w:t>
      </w:r>
      <w:r>
        <w:rPr>
          <w:rFonts w:hint="eastAsia" w:ascii="宋体" w:hAnsi="宋体" w:eastAsia="宋体"/>
          <w:color w:val="auto"/>
          <w:sz w:val="21"/>
          <w:szCs w:val="21"/>
        </w:rPr>
        <w:t>及其实施条例、《中华人民共和国</w:t>
      </w:r>
      <w:r>
        <w:rPr>
          <w:rFonts w:hint="eastAsia" w:eastAsia="宋体"/>
          <w:color w:val="auto"/>
          <w:lang w:val="en-US" w:eastAsia="zh-CN"/>
        </w:rPr>
        <w:t>民法典</w:t>
      </w:r>
      <w:r>
        <w:rPr>
          <w:rFonts w:hint="eastAsia" w:ascii="宋体" w:hAnsi="宋体" w:eastAsia="宋体"/>
          <w:color w:val="auto"/>
          <w:sz w:val="21"/>
          <w:szCs w:val="21"/>
        </w:rPr>
        <w:t>》，在平等自愿的基础上，按照下面的条款和条件，签署本合同。</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第一条 合同项目</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1、项目名称：                              ；</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2、采购项目编号：                   。</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第二条 合同组成</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1、合同文件组成内容包括：本合同书 、中标通知书、投标文件（含澄清内容）、招标文件（含招标文件澄清通知）等。</w:t>
      </w:r>
    </w:p>
    <w:p>
      <w:pPr>
        <w:spacing w:after="0" w:line="360" w:lineRule="auto"/>
        <w:ind w:firstLine="422" w:firstLineChars="200"/>
        <w:rPr>
          <w:rFonts w:ascii="宋体" w:hAnsi="宋体" w:eastAsia="宋体"/>
          <w:b/>
          <w:color w:val="auto"/>
          <w:sz w:val="21"/>
          <w:szCs w:val="21"/>
        </w:rPr>
      </w:pPr>
      <w:bookmarkStart w:id="192" w:name="_Toc86481558"/>
      <w:r>
        <w:rPr>
          <w:rFonts w:hint="eastAsia" w:ascii="宋体" w:hAnsi="宋体" w:eastAsia="宋体"/>
          <w:b/>
          <w:color w:val="auto"/>
          <w:sz w:val="21"/>
          <w:szCs w:val="21"/>
        </w:rPr>
        <w:t>第三条 服务内容、标准及要求</w:t>
      </w:r>
    </w:p>
    <w:p>
      <w:pPr>
        <w:spacing w:after="0" w:line="360" w:lineRule="auto"/>
        <w:rPr>
          <w:rFonts w:ascii="宋体" w:hAnsi="宋体" w:eastAsia="宋体" w:cs="仿宋"/>
          <w:color w:val="auto"/>
          <w:sz w:val="21"/>
          <w:szCs w:val="21"/>
          <w:u w:val="single"/>
          <w:shd w:val="clear" w:color="auto" w:fill="FFFFFF"/>
        </w:rPr>
      </w:pPr>
      <w:r>
        <w:rPr>
          <w:rFonts w:hint="eastAsia" w:ascii="宋体" w:hAnsi="宋体" w:eastAsia="宋体" w:cs="仿宋"/>
          <w:color w:val="auto"/>
          <w:sz w:val="21"/>
          <w:szCs w:val="21"/>
          <w:shd w:val="clear" w:color="auto" w:fill="FFFFFF"/>
        </w:rPr>
        <w:t>1、采购内容：</w:t>
      </w:r>
      <w:r>
        <w:rPr>
          <w:rFonts w:hint="eastAsia" w:ascii="宋体" w:hAnsi="宋体" w:eastAsia="宋体" w:cs="仿宋"/>
          <w:color w:val="auto"/>
          <w:sz w:val="21"/>
          <w:szCs w:val="21"/>
          <w:u w:val="single"/>
          <w:shd w:val="clear" w:color="auto" w:fill="FFFFFF"/>
        </w:rPr>
        <w:t xml:space="preserve">                                                              。</w:t>
      </w:r>
    </w:p>
    <w:p>
      <w:pPr>
        <w:spacing w:after="0" w:line="360" w:lineRule="auto"/>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2、采购标准：</w:t>
      </w:r>
      <w:r>
        <w:rPr>
          <w:rFonts w:hint="eastAsia" w:ascii="宋体" w:hAnsi="宋体" w:eastAsia="宋体" w:cs="仿宋"/>
          <w:color w:val="auto"/>
          <w:sz w:val="21"/>
          <w:szCs w:val="21"/>
          <w:u w:val="single"/>
          <w:shd w:val="clear" w:color="auto" w:fill="FFFFFF"/>
        </w:rPr>
        <w:t xml:space="preserve">                                                              。</w:t>
      </w:r>
    </w:p>
    <w:p>
      <w:pPr>
        <w:spacing w:after="0" w:line="360" w:lineRule="auto"/>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3、采购要求：</w:t>
      </w:r>
      <w:r>
        <w:rPr>
          <w:rFonts w:hint="eastAsia" w:ascii="宋体" w:hAnsi="宋体" w:eastAsia="宋体" w:cs="仿宋"/>
          <w:color w:val="auto"/>
          <w:sz w:val="21"/>
          <w:szCs w:val="21"/>
          <w:u w:val="single"/>
          <w:shd w:val="clear" w:color="auto" w:fill="FFFFFF"/>
        </w:rPr>
        <w:t xml:space="preserve">                                                              。</w:t>
      </w:r>
    </w:p>
    <w:p>
      <w:pPr>
        <w:spacing w:after="0" w:line="360" w:lineRule="auto"/>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4、具体采购内容采购标准及要求以招标文件用户需求书及乙方投标文件承诺条款及方案为准。</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第四条 价格</w:t>
      </w:r>
    </w:p>
    <w:p>
      <w:pPr>
        <w:spacing w:after="0" w:line="360" w:lineRule="auto"/>
        <w:ind w:firstLine="420" w:firstLineChars="200"/>
        <w:rPr>
          <w:rFonts w:ascii="宋体" w:hAnsi="宋体" w:eastAsia="宋体" w:cs="仿宋"/>
          <w:color w:val="auto"/>
          <w:sz w:val="21"/>
          <w:szCs w:val="21"/>
          <w:shd w:val="clear" w:color="auto" w:fill="FFFFFF"/>
        </w:rPr>
      </w:pPr>
      <w:r>
        <w:rPr>
          <w:rFonts w:hint="eastAsia" w:ascii="宋体" w:hAnsi="宋体" w:eastAsia="宋体" w:cs="仿宋"/>
          <w:color w:val="auto"/>
          <w:sz w:val="21"/>
          <w:szCs w:val="21"/>
          <w:shd w:val="clear" w:color="auto" w:fill="FFFFFF"/>
        </w:rPr>
        <w:t>1、合同总价包含：人工费、材料费、设备使用费、各种税费、保险费及合同实施过程中的不可预见费用等全部费用，按本次招标范围及中标价一次包干，结算时不作调整。</w:t>
      </w:r>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2、合同总价：（人民币）大写 （¥）</w:t>
      </w:r>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3、本合同价为固定不变价。</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第五条 服务期限及地点</w:t>
      </w:r>
    </w:p>
    <w:p>
      <w:pPr>
        <w:spacing w:after="0" w:line="360" w:lineRule="auto"/>
        <w:ind w:firstLine="495" w:firstLineChars="236"/>
        <w:rPr>
          <w:rFonts w:ascii="宋体" w:hAnsi="宋体" w:eastAsia="宋体"/>
          <w:color w:val="auto"/>
          <w:sz w:val="21"/>
          <w:szCs w:val="21"/>
        </w:rPr>
      </w:pPr>
      <w:r>
        <w:rPr>
          <w:rFonts w:hint="eastAsia" w:ascii="宋体" w:hAnsi="宋体" w:eastAsia="宋体"/>
          <w:color w:val="auto"/>
          <w:sz w:val="21"/>
          <w:szCs w:val="21"/>
        </w:rPr>
        <w:t>1、服务期：  年，合同生效之日自       年  月  日至     年  月  日止。</w:t>
      </w:r>
    </w:p>
    <w:p>
      <w:pPr>
        <w:spacing w:after="0" w:line="360" w:lineRule="auto"/>
        <w:ind w:firstLine="495" w:firstLineChars="236"/>
        <w:rPr>
          <w:rFonts w:ascii="宋体" w:hAnsi="宋体" w:eastAsia="宋体"/>
          <w:color w:val="auto"/>
          <w:sz w:val="21"/>
          <w:szCs w:val="21"/>
        </w:rPr>
      </w:pPr>
      <w:r>
        <w:rPr>
          <w:rFonts w:hint="eastAsia" w:ascii="宋体" w:hAnsi="宋体" w:eastAsia="宋体"/>
          <w:color w:val="auto"/>
          <w:sz w:val="21"/>
          <w:szCs w:val="21"/>
        </w:rPr>
        <w:t>2、服务地点：              或甲方指定地点。</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第六条 付款方式</w:t>
      </w:r>
    </w:p>
    <w:p>
      <w:pPr>
        <w:pStyle w:val="22"/>
        <w:spacing w:line="360" w:lineRule="auto"/>
        <w:ind w:firstLine="420" w:firstLineChars="200"/>
        <w:rPr>
          <w:rFonts w:ascii="宋体" w:hAnsi="宋体"/>
          <w:color w:val="auto"/>
          <w:sz w:val="21"/>
          <w:szCs w:val="21"/>
        </w:rPr>
      </w:pPr>
      <w:r>
        <w:rPr>
          <w:rFonts w:hint="eastAsia" w:ascii="宋体" w:hAnsi="宋体"/>
          <w:color w:val="auto"/>
          <w:sz w:val="21"/>
          <w:szCs w:val="21"/>
        </w:rPr>
        <w:t>1、本合同的付款方式为：。</w:t>
      </w:r>
    </w:p>
    <w:p>
      <w:pPr>
        <w:pStyle w:val="22"/>
        <w:spacing w:line="360" w:lineRule="auto"/>
        <w:ind w:firstLine="420" w:firstLineChars="200"/>
        <w:rPr>
          <w:rFonts w:ascii="宋体" w:hAnsi="宋体"/>
          <w:color w:val="auto"/>
          <w:sz w:val="21"/>
          <w:szCs w:val="21"/>
        </w:rPr>
      </w:pPr>
      <w:r>
        <w:rPr>
          <w:rFonts w:hint="eastAsia" w:ascii="宋体" w:hAnsi="宋体"/>
          <w:color w:val="auto"/>
          <w:sz w:val="21"/>
          <w:szCs w:val="21"/>
        </w:rPr>
        <w:t>2、付款前乙方应向甲方提出请款申请及所需的材料和等额合格发票。本合同的经费由</w:t>
      </w:r>
      <w:r>
        <w:rPr>
          <w:rFonts w:hint="eastAsia" w:ascii="宋体" w:hAnsi="宋体"/>
          <w:color w:val="auto"/>
          <w:sz w:val="21"/>
          <w:szCs w:val="21"/>
          <w:lang w:val="en-US" w:eastAsia="zh-CN"/>
        </w:rPr>
        <w:t>甲方</w:t>
      </w:r>
      <w:r>
        <w:rPr>
          <w:rFonts w:hint="eastAsia" w:ascii="宋体" w:hAnsi="宋体"/>
          <w:color w:val="auto"/>
          <w:sz w:val="21"/>
          <w:szCs w:val="21"/>
        </w:rPr>
        <w:t>拨款，如因政策影响，拨款未能及时到位，乙方不得以此为由而不履行本合同规定的义务。否则，甲方按规定扣罚。如果乙方怠于或者拒绝提供资料或者办理手续的，则因此产生的付款迟延的责任全部由乙方承担。</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第七条 验收方式</w:t>
      </w:r>
    </w:p>
    <w:p>
      <w:pPr>
        <w:pStyle w:val="22"/>
        <w:spacing w:line="360" w:lineRule="auto"/>
        <w:ind w:firstLine="480"/>
        <w:rPr>
          <w:rFonts w:ascii="宋体" w:hAnsi="宋体"/>
          <w:color w:val="auto"/>
          <w:sz w:val="21"/>
          <w:szCs w:val="21"/>
        </w:rPr>
      </w:pPr>
      <w:r>
        <w:rPr>
          <w:rFonts w:hint="eastAsia" w:ascii="宋体" w:hAnsi="宋体"/>
          <w:color w:val="auto"/>
          <w:sz w:val="21"/>
          <w:szCs w:val="21"/>
        </w:rPr>
        <w:t>1、验收应在甲乙双方共同参加下进行，依据招标文件及本合同的有关规定制定的方案进行验收，并按国家有关规定、规范进行。</w:t>
      </w:r>
    </w:p>
    <w:p>
      <w:pPr>
        <w:pStyle w:val="22"/>
        <w:spacing w:line="360" w:lineRule="auto"/>
        <w:ind w:firstLine="480"/>
        <w:rPr>
          <w:rFonts w:ascii="宋体" w:hAnsi="宋体"/>
          <w:color w:val="auto"/>
          <w:sz w:val="21"/>
          <w:szCs w:val="21"/>
        </w:rPr>
      </w:pPr>
      <w:r>
        <w:rPr>
          <w:rFonts w:hint="eastAsia" w:ascii="宋体" w:hAnsi="宋体"/>
          <w:color w:val="auto"/>
          <w:sz w:val="21"/>
          <w:szCs w:val="21"/>
        </w:rPr>
        <w:t>2、甲方组织项目验收小组按国家有关规定、规范进行验收，必要时邀请相关专业人员或机构参与验收。</w:t>
      </w:r>
    </w:p>
    <w:p>
      <w:pPr>
        <w:pStyle w:val="22"/>
        <w:spacing w:line="360" w:lineRule="auto"/>
        <w:ind w:firstLine="480"/>
        <w:rPr>
          <w:rFonts w:ascii="宋体" w:hAnsi="宋体"/>
          <w:color w:val="auto"/>
          <w:sz w:val="21"/>
          <w:szCs w:val="21"/>
        </w:rPr>
      </w:pPr>
      <w:r>
        <w:rPr>
          <w:rFonts w:hint="eastAsia" w:ascii="宋体" w:hAnsi="宋体"/>
          <w:color w:val="auto"/>
          <w:sz w:val="21"/>
          <w:szCs w:val="21"/>
        </w:rPr>
        <w:t>3、对验收不合格的部分，乙方应在甲方规定时间内及时整改完善直至合格。</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第八条 税和关税</w:t>
      </w:r>
    </w:p>
    <w:p>
      <w:pPr>
        <w:pStyle w:val="22"/>
        <w:spacing w:line="360" w:lineRule="auto"/>
        <w:ind w:firstLine="482"/>
        <w:rPr>
          <w:rFonts w:ascii="宋体" w:hAnsi="宋体"/>
          <w:color w:val="auto"/>
          <w:sz w:val="21"/>
          <w:szCs w:val="21"/>
        </w:rPr>
      </w:pPr>
      <w:r>
        <w:rPr>
          <w:rFonts w:hint="eastAsia" w:ascii="宋体" w:hAnsi="宋体"/>
          <w:color w:val="auto"/>
          <w:sz w:val="21"/>
          <w:szCs w:val="21"/>
        </w:rPr>
        <w:t>1、根据现行税法对甲方征收的与本合同有关的一切税费均应由甲方承担。</w:t>
      </w:r>
    </w:p>
    <w:p>
      <w:pPr>
        <w:pStyle w:val="22"/>
        <w:spacing w:line="360" w:lineRule="auto"/>
        <w:ind w:firstLine="482"/>
        <w:rPr>
          <w:rFonts w:ascii="宋体" w:hAnsi="宋体"/>
          <w:color w:val="auto"/>
          <w:sz w:val="21"/>
          <w:szCs w:val="21"/>
        </w:rPr>
      </w:pPr>
      <w:r>
        <w:rPr>
          <w:rFonts w:hint="eastAsia" w:ascii="宋体" w:hAnsi="宋体"/>
          <w:color w:val="auto"/>
          <w:sz w:val="21"/>
          <w:szCs w:val="21"/>
        </w:rPr>
        <w:t>2、根据现行税法规定对乙方或其雇员征收的与本合同有关的一切税费应由乙方承担。</w:t>
      </w:r>
    </w:p>
    <w:p>
      <w:pPr>
        <w:pStyle w:val="22"/>
        <w:spacing w:line="360" w:lineRule="auto"/>
        <w:ind w:firstLine="482"/>
        <w:rPr>
          <w:rFonts w:ascii="宋体" w:hAnsi="宋体"/>
          <w:color w:val="auto"/>
          <w:sz w:val="21"/>
          <w:szCs w:val="21"/>
        </w:rPr>
      </w:pPr>
      <w:r>
        <w:rPr>
          <w:rFonts w:hint="eastAsia" w:ascii="宋体" w:hAnsi="宋体"/>
          <w:color w:val="auto"/>
          <w:sz w:val="21"/>
          <w:szCs w:val="21"/>
        </w:rPr>
        <w:t>3、在中国境外发生的与本合同执行有关的一切税费均应由乙方承担。</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第九条 其它约定</w:t>
      </w:r>
    </w:p>
    <w:p>
      <w:pPr>
        <w:spacing w:after="0" w:line="360" w:lineRule="auto"/>
        <w:ind w:firstLine="420" w:firstLineChars="200"/>
        <w:rPr>
          <w:rFonts w:ascii="宋体" w:hAnsi="宋体" w:eastAsia="宋体"/>
          <w:color w:val="auto"/>
          <w:sz w:val="21"/>
          <w:szCs w:val="21"/>
        </w:rPr>
      </w:pPr>
      <w:r>
        <w:rPr>
          <w:rFonts w:ascii="宋体" w:hAnsi="宋体" w:eastAsia="宋体"/>
          <w:color w:val="auto"/>
          <w:sz w:val="21"/>
          <w:szCs w:val="21"/>
        </w:rPr>
        <w:t>1</w:t>
      </w:r>
      <w:r>
        <w:rPr>
          <w:rFonts w:hint="eastAsia" w:ascii="宋体" w:hAnsi="宋体" w:eastAsia="宋体"/>
          <w:color w:val="auto"/>
          <w:sz w:val="21"/>
          <w:szCs w:val="21"/>
        </w:rPr>
        <w:t>、严禁转包，未经甲方书面同意不得分包。</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2、乙方全部工作人员，须符合东莞市用工标准要求。</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3、乙方服务人员进行服务期间的过失或故意行为，造成甲方经济损失的，由乙方负责赔偿。</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4、服务人员的劳动关系隶属乙方，乙方负责服务人员的工资、节假日和超时加班补助费、社会保险、住宿、伙食等。</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5、乙方负责本项目服务人员购买因意外身故或伤残和因意外事故住院治疗保险，并负责办理一切保险赔偿手续。</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第十条 违约责任</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1、合同双方任何一方不履行合同条款或不按合同约定履行条款的其它情况，均属违约，由违约方承担违约责任，赔偿因其违约造成的损失，并支付合同价款总额%的违约金。</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2、由于乙方的原因，导致双方签订的合同终止，乙方因此而遭受的损失，将由乙方独立承担，甲方对此不负任何责任，也不作任何赔偿。</w:t>
      </w:r>
    </w:p>
    <w:bookmarkEnd w:id="192"/>
    <w:p>
      <w:pPr>
        <w:spacing w:after="0" w:line="360" w:lineRule="auto"/>
        <w:ind w:firstLine="422" w:firstLineChars="200"/>
        <w:rPr>
          <w:rFonts w:ascii="宋体" w:hAnsi="宋体" w:eastAsia="宋体"/>
          <w:b/>
          <w:color w:val="auto"/>
          <w:sz w:val="21"/>
          <w:szCs w:val="21"/>
        </w:rPr>
      </w:pPr>
      <w:bookmarkStart w:id="193" w:name="_Toc86481570"/>
      <w:r>
        <w:rPr>
          <w:rFonts w:hint="eastAsia" w:ascii="宋体" w:hAnsi="宋体" w:eastAsia="宋体"/>
          <w:b/>
          <w:color w:val="auto"/>
          <w:sz w:val="21"/>
          <w:szCs w:val="21"/>
        </w:rPr>
        <w:t>第十一条 争议的解决</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1、凡与本合同有关而引起的一切争议，甲乙双方应首先通过友好协商解决，如经协商后仍不能达成协议时，任何一方可以向法院提出诉讼。</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2、本合同发生的诉讼管辖地为东莞市有管辖权的法院。</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3、在进行法院审理期间，除提交法院审理的事项外，合同其他部分仍继续履行。</w:t>
      </w:r>
    </w:p>
    <w:p>
      <w:pPr>
        <w:spacing w:after="0" w:line="360" w:lineRule="auto"/>
        <w:ind w:firstLine="420" w:firstLineChars="200"/>
        <w:rPr>
          <w:rFonts w:ascii="宋体" w:hAnsi="宋体" w:eastAsia="宋体" w:cs="仿宋"/>
          <w:color w:val="auto"/>
          <w:sz w:val="21"/>
          <w:szCs w:val="21"/>
          <w:shd w:val="clear" w:color="auto" w:fill="FFFFFF"/>
        </w:rPr>
      </w:pPr>
      <w:r>
        <w:rPr>
          <w:rFonts w:hint="eastAsia" w:ascii="宋体" w:hAnsi="宋体" w:eastAsia="宋体" w:cs="宋体"/>
          <w:color w:val="auto"/>
          <w:sz w:val="21"/>
          <w:szCs w:val="21"/>
        </w:rPr>
        <w:t>4、本合同按照中华人民共和国的法律进行解释</w:t>
      </w:r>
      <w:r>
        <w:rPr>
          <w:rFonts w:hint="eastAsia" w:ascii="宋体" w:hAnsi="宋体" w:eastAsia="宋体" w:cs="仿宋"/>
          <w:color w:val="auto"/>
          <w:sz w:val="21"/>
          <w:szCs w:val="21"/>
          <w:shd w:val="clear" w:color="auto" w:fill="FFFFFF"/>
        </w:rPr>
        <w:t>。</w:t>
      </w:r>
    </w:p>
    <w:p>
      <w:pPr>
        <w:spacing w:after="0" w:line="360" w:lineRule="auto"/>
        <w:ind w:firstLine="422" w:firstLineChars="200"/>
        <w:rPr>
          <w:rFonts w:ascii="宋体" w:hAnsi="宋体" w:eastAsia="宋体"/>
          <w:b/>
          <w:color w:val="auto"/>
          <w:sz w:val="21"/>
          <w:szCs w:val="21"/>
        </w:rPr>
      </w:pPr>
      <w:bookmarkStart w:id="194" w:name="_Toc86481569"/>
      <w:r>
        <w:rPr>
          <w:rFonts w:hint="eastAsia" w:ascii="宋体" w:hAnsi="宋体" w:eastAsia="宋体"/>
          <w:b/>
          <w:color w:val="auto"/>
          <w:sz w:val="21"/>
          <w:szCs w:val="21"/>
        </w:rPr>
        <w:t>第十二条 合同生效</w:t>
      </w:r>
      <w:bookmarkEnd w:id="194"/>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1、本合同由双方法定代表人或委托代理人签字盖章后立即生效，具有同等法律效力，合同有效期随服务期结束而自然终止。</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2、本合同一式    份，其中甲方    份、乙方    份，采购代理机构 壹 份（须在合同签订之日起7个工作日内递交）。</w:t>
      </w:r>
    </w:p>
    <w:p>
      <w:pPr>
        <w:spacing w:after="0" w:line="360" w:lineRule="auto"/>
        <w:ind w:firstLine="422" w:firstLineChars="200"/>
        <w:rPr>
          <w:rFonts w:ascii="宋体" w:hAnsi="宋体" w:eastAsia="宋体"/>
          <w:b/>
          <w:color w:val="auto"/>
          <w:sz w:val="21"/>
          <w:szCs w:val="21"/>
        </w:rPr>
      </w:pPr>
      <w:r>
        <w:rPr>
          <w:rFonts w:hint="eastAsia" w:ascii="宋体" w:hAnsi="宋体" w:eastAsia="宋体"/>
          <w:b/>
          <w:color w:val="auto"/>
          <w:sz w:val="21"/>
          <w:szCs w:val="21"/>
        </w:rPr>
        <w:t>第十三条 其它</w:t>
      </w:r>
      <w:bookmarkEnd w:id="193"/>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1、本合同未尽事宜，双方可签订补充合同，补充合同与所有附件均为合同的有效组成部分，与本合同具有同等法律效力。</w:t>
      </w:r>
    </w:p>
    <w:p>
      <w:pPr>
        <w:spacing w:after="0" w:line="360" w:lineRule="auto"/>
        <w:ind w:firstLine="399" w:firstLineChars="190"/>
        <w:rPr>
          <w:rFonts w:ascii="宋体" w:hAnsi="宋体" w:eastAsia="宋体"/>
          <w:color w:val="auto"/>
          <w:sz w:val="21"/>
          <w:szCs w:val="21"/>
        </w:rPr>
      </w:pPr>
      <w:r>
        <w:rPr>
          <w:rFonts w:hint="eastAsia" w:ascii="宋体" w:hAnsi="宋体" w:eastAsia="宋体"/>
          <w:color w:val="auto"/>
          <w:sz w:val="21"/>
          <w:szCs w:val="21"/>
        </w:rPr>
        <w:t>2、在执行本合同的过程中，所有经甲乙双方签署确认的文件（包括会议纪要、补充协议、往来信函、合同附件等）即成为本合同的有效组成部分，其生效日期为双方签字盖章或确认之日期。</w:t>
      </w: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本合同合计   页A4纸张，缺页之合同为无效合同。</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甲方（盖章）：                      乙方（盖章）：</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法定代表(签字)：                   法定代表(签字)：</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 xml:space="preserve">地址：                             地址： </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电话：                             电话：</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传真：</w:t>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ab/>
      </w:r>
      <w:r>
        <w:rPr>
          <w:rFonts w:hint="eastAsia" w:ascii="宋体" w:hAnsi="宋体" w:eastAsia="宋体"/>
          <w:color w:val="auto"/>
          <w:sz w:val="21"/>
          <w:szCs w:val="21"/>
        </w:rPr>
        <w:t>传真：</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开户银行：</w:t>
      </w:r>
      <w:r>
        <w:rPr>
          <w:rFonts w:hint="eastAsia" w:ascii="宋体" w:hAnsi="宋体" w:eastAsia="宋体"/>
          <w:color w:val="auto"/>
          <w:sz w:val="21"/>
          <w:szCs w:val="21"/>
        </w:rPr>
        <w:tab/>
      </w:r>
      <w:r>
        <w:rPr>
          <w:rFonts w:hint="eastAsia" w:ascii="宋体" w:hAnsi="宋体" w:eastAsia="宋体"/>
          <w:color w:val="auto"/>
          <w:sz w:val="21"/>
          <w:szCs w:val="21"/>
        </w:rPr>
        <w:t xml:space="preserve">                     开户银行：</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账号：                             账号：</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签约时间：</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签约地点：</w:t>
      </w:r>
    </w:p>
    <w:p>
      <w:pPr>
        <w:rPr>
          <w:rFonts w:ascii="宋体" w:hAnsi="宋体" w:eastAsia="宋体"/>
          <w:b/>
          <w:color w:val="auto"/>
          <w:sz w:val="21"/>
          <w:szCs w:val="21"/>
        </w:rPr>
      </w:pPr>
      <w:r>
        <w:rPr>
          <w:rFonts w:hint="eastAsia" w:ascii="宋体" w:hAnsi="宋体" w:eastAsia="宋体"/>
          <w:b/>
          <w:color w:val="auto"/>
          <w:sz w:val="21"/>
          <w:szCs w:val="21"/>
        </w:rPr>
        <w:t>此仅为合同书样本，中标人需根据实际情况和甲方签订相应的合同！</w:t>
      </w:r>
    </w:p>
    <w:p>
      <w:pPr>
        <w:rPr>
          <w:rFonts w:ascii="宋体" w:hAnsi="宋体" w:eastAsia="宋体"/>
          <w:b/>
          <w:color w:val="auto"/>
          <w:sz w:val="21"/>
          <w:szCs w:val="21"/>
        </w:rPr>
      </w:pPr>
      <w:r>
        <w:rPr>
          <w:rFonts w:hint="eastAsia" w:ascii="宋体" w:hAnsi="宋体" w:eastAsia="宋体"/>
          <w:b/>
          <w:color w:val="auto"/>
          <w:sz w:val="21"/>
          <w:szCs w:val="21"/>
        </w:rPr>
        <w:br w:type="page"/>
      </w:r>
    </w:p>
    <w:p>
      <w:pPr>
        <w:pStyle w:val="3"/>
        <w:spacing w:before="0" w:after="0" w:line="240" w:lineRule="auto"/>
        <w:rPr>
          <w:color w:val="auto"/>
          <w:sz w:val="28"/>
          <w:szCs w:val="28"/>
        </w:rPr>
      </w:pPr>
      <w:bookmarkStart w:id="195" w:name="_Toc23749"/>
      <w:bookmarkStart w:id="196" w:name="_Toc31587"/>
      <w:bookmarkStart w:id="197" w:name="_Toc1478"/>
      <w:r>
        <w:rPr>
          <w:rFonts w:hint="eastAsia"/>
          <w:color w:val="auto"/>
          <w:sz w:val="28"/>
          <w:szCs w:val="28"/>
        </w:rPr>
        <w:t>第</w:t>
      </w:r>
      <w:r>
        <w:rPr>
          <w:rFonts w:hint="eastAsia"/>
          <w:color w:val="auto"/>
          <w:sz w:val="28"/>
          <w:szCs w:val="28"/>
          <w:lang w:val="en-US" w:eastAsia="zh-CN"/>
        </w:rPr>
        <w:t>七</w:t>
      </w:r>
      <w:r>
        <w:rPr>
          <w:rFonts w:hint="eastAsia"/>
          <w:color w:val="auto"/>
          <w:sz w:val="28"/>
          <w:szCs w:val="28"/>
        </w:rPr>
        <w:t>部分  投标文件格式</w:t>
      </w:r>
      <w:bookmarkEnd w:id="195"/>
      <w:bookmarkEnd w:id="196"/>
      <w:bookmarkEnd w:id="197"/>
    </w:p>
    <w:p>
      <w:pPr>
        <w:rPr>
          <w:color w:val="auto"/>
        </w:rPr>
      </w:pP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rPr>
      </w:pPr>
      <w:bookmarkStart w:id="198" w:name="_Toc26830"/>
      <w:bookmarkStart w:id="199" w:name="_Toc6790"/>
      <w:bookmarkStart w:id="200" w:name="_Toc5794"/>
      <w:r>
        <w:rPr>
          <w:rFonts w:hint="eastAsia"/>
          <w:color w:val="auto"/>
        </w:rPr>
        <w:t>投标文件目录</w:t>
      </w:r>
      <w:bookmarkEnd w:id="198"/>
      <w:bookmarkEnd w:id="199"/>
      <w:bookmarkEnd w:id="200"/>
    </w:p>
    <w:p>
      <w:pPr>
        <w:jc w:val="center"/>
        <w:rPr>
          <w:rFonts w:ascii="黑体" w:eastAsia="黑体"/>
          <w:color w:val="auto"/>
          <w:sz w:val="32"/>
          <w:szCs w:val="32"/>
        </w:rPr>
      </w:pPr>
    </w:p>
    <w:p>
      <w:pPr>
        <w:jc w:val="center"/>
        <w:rPr>
          <w:rFonts w:hint="eastAsia" w:asciiTheme="minorEastAsia" w:hAnsiTheme="minorEastAsia" w:eastAsiaTheme="minorEastAsia" w:cstheme="minorEastAsia"/>
          <w:b/>
          <w:bCs/>
          <w:color w:val="auto"/>
          <w:sz w:val="32"/>
          <w:szCs w:val="32"/>
        </w:rPr>
      </w:pPr>
      <w:r>
        <w:rPr>
          <w:rFonts w:hint="eastAsia" w:asciiTheme="minorEastAsia" w:hAnsiTheme="minorEastAsia" w:eastAsiaTheme="minorEastAsia" w:cstheme="minorEastAsia"/>
          <w:b/>
          <w:bCs/>
          <w:color w:val="auto"/>
          <w:sz w:val="32"/>
          <w:szCs w:val="32"/>
        </w:rPr>
        <w:t>目录</w:t>
      </w:r>
    </w:p>
    <w:p>
      <w:pPr>
        <w:adjustRightInd/>
        <w:snapToGrid/>
        <w:spacing w:line="276" w:lineRule="auto"/>
        <w:rPr>
          <w:rFonts w:ascii="宋体" w:hAnsi="宋体" w:eastAsia="宋体"/>
          <w:color w:val="auto"/>
          <w:sz w:val="21"/>
          <w:szCs w:val="21"/>
        </w:rPr>
      </w:pPr>
      <w:r>
        <w:rPr>
          <w:rFonts w:hint="eastAsia" w:ascii="宋体" w:hAnsi="宋体" w:eastAsia="宋体"/>
          <w:color w:val="auto"/>
          <w:sz w:val="21"/>
          <w:szCs w:val="21"/>
        </w:rPr>
        <w:t>格式自理。</w:t>
      </w: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r>
        <w:rPr>
          <w:rFonts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textAlignment w:val="auto"/>
        <w:rPr>
          <w:color w:val="auto"/>
        </w:rPr>
      </w:pPr>
      <w:bookmarkStart w:id="201" w:name="_Toc18893"/>
      <w:bookmarkStart w:id="202" w:name="_Toc5670"/>
      <w:bookmarkStart w:id="203" w:name="_Toc25502"/>
      <w:r>
        <w:rPr>
          <w:rFonts w:hint="eastAsia"/>
          <w:color w:val="auto"/>
        </w:rPr>
        <w:t>评分标准索引表</w:t>
      </w:r>
      <w:bookmarkEnd w:id="201"/>
      <w:bookmarkEnd w:id="202"/>
      <w:bookmarkEnd w:id="203"/>
    </w:p>
    <w:p>
      <w:pPr>
        <w:adjustRightInd/>
        <w:snapToGrid/>
        <w:spacing w:line="276" w:lineRule="auto"/>
        <w:rPr>
          <w:rFonts w:ascii="宋体" w:hAnsi="宋体" w:eastAsia="宋体"/>
          <w:color w:val="auto"/>
          <w:sz w:val="21"/>
          <w:szCs w:val="21"/>
        </w:rPr>
      </w:pPr>
    </w:p>
    <w:p>
      <w:pPr>
        <w:jc w:val="center"/>
        <w:rPr>
          <w:rFonts w:ascii="黑体" w:eastAsia="黑体"/>
          <w:color w:val="auto"/>
          <w:sz w:val="32"/>
          <w:szCs w:val="32"/>
        </w:rPr>
      </w:pPr>
      <w:r>
        <w:rPr>
          <w:rFonts w:hint="eastAsia" w:ascii="黑体" w:eastAsia="黑体"/>
          <w:color w:val="auto"/>
          <w:sz w:val="32"/>
          <w:szCs w:val="32"/>
        </w:rPr>
        <w:t>评分标准索引表</w:t>
      </w:r>
    </w:p>
    <w:tbl>
      <w:tblPr>
        <w:tblStyle w:val="23"/>
        <w:tblW w:w="8702"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48"/>
        <w:gridCol w:w="5028"/>
        <w:gridCol w:w="212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lang w:val="en-US" w:eastAsia="zh-CN"/>
              </w:rPr>
            </w:pPr>
            <w:r>
              <w:rPr>
                <w:rFonts w:hint="eastAsia" w:ascii="宋体" w:hAnsi="宋体" w:eastAsia="宋体" w:cs="宋体"/>
                <w:b/>
                <w:bCs/>
                <w:snapToGrid/>
                <w:color w:val="auto"/>
                <w:spacing w:val="0"/>
                <w:kern w:val="2"/>
                <w:sz w:val="21"/>
                <w:szCs w:val="21"/>
                <w:lang w:val="en-US" w:eastAsia="zh-CN"/>
              </w:rPr>
              <w:t>评分内容</w:t>
            </w:r>
          </w:p>
        </w:tc>
        <w:tc>
          <w:tcPr>
            <w:tcW w:w="5028"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lang w:val="en-US" w:eastAsia="zh-CN"/>
              </w:rPr>
            </w:pPr>
            <w:r>
              <w:rPr>
                <w:rFonts w:hint="eastAsia" w:ascii="宋体" w:hAnsi="宋体" w:eastAsia="宋体" w:cs="宋体"/>
                <w:b/>
                <w:bCs/>
                <w:snapToGrid/>
                <w:color w:val="auto"/>
                <w:spacing w:val="0"/>
                <w:kern w:val="2"/>
                <w:sz w:val="21"/>
                <w:szCs w:val="21"/>
                <w:lang w:val="en-US" w:eastAsia="zh-CN"/>
              </w:rPr>
              <w:t>评分细则</w:t>
            </w:r>
          </w:p>
        </w:tc>
        <w:tc>
          <w:tcPr>
            <w:tcW w:w="2126" w:type="dxa"/>
            <w:noWrap w:val="0"/>
            <w:vAlign w:val="center"/>
          </w:tcPr>
          <w:p>
            <w:pPr>
              <w:pStyle w:val="53"/>
              <w:keepNext w:val="0"/>
              <w:adjustRightInd/>
              <w:spacing w:before="0" w:after="0" w:line="240" w:lineRule="auto"/>
              <w:textAlignment w:val="auto"/>
              <w:rPr>
                <w:rFonts w:hint="eastAsia" w:ascii="宋体" w:hAnsi="宋体" w:eastAsia="宋体" w:cs="宋体"/>
                <w:b/>
                <w:bCs/>
                <w:snapToGrid/>
                <w:color w:val="auto"/>
                <w:spacing w:val="0"/>
                <w:kern w:val="2"/>
                <w:sz w:val="21"/>
                <w:szCs w:val="21"/>
                <w:lang w:val="en-US" w:eastAsia="zh-CN"/>
              </w:rPr>
            </w:pPr>
            <w:r>
              <w:rPr>
                <w:rFonts w:hint="eastAsia" w:ascii="宋体" w:hAnsi="宋体" w:eastAsia="宋体" w:cs="宋体"/>
                <w:b/>
                <w:bCs/>
                <w:snapToGrid/>
                <w:color w:val="auto"/>
                <w:spacing w:val="0"/>
                <w:kern w:val="2"/>
                <w:sz w:val="21"/>
                <w:szCs w:val="21"/>
                <w:lang w:val="en-US" w:eastAsia="zh-CN"/>
              </w:rPr>
              <w:t>页码</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30"/>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商务部分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702" w:type="dxa"/>
            <w:gridSpan w:val="3"/>
            <w:noWrap w:val="0"/>
            <w:vAlign w:val="center"/>
          </w:tcPr>
          <w:p>
            <w:pPr>
              <w:pStyle w:val="18"/>
              <w:jc w:val="center"/>
              <w:rPr>
                <w:rFonts w:hint="eastAsia" w:ascii="宋体" w:hAnsi="宋体" w:eastAsia="宋体" w:cs="宋体"/>
                <w:b/>
                <w:color w:val="auto"/>
                <w:sz w:val="21"/>
                <w:szCs w:val="21"/>
              </w:rPr>
            </w:pPr>
            <w:r>
              <w:rPr>
                <w:rFonts w:hint="eastAsia" w:ascii="宋体" w:hAnsi="宋体" w:eastAsia="宋体" w:cs="宋体"/>
                <w:b/>
                <w:color w:val="auto"/>
                <w:sz w:val="21"/>
                <w:szCs w:val="21"/>
              </w:rPr>
              <w:t>技术部分</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548" w:type="dxa"/>
            <w:noWrap w:val="0"/>
            <w:vAlign w:val="center"/>
          </w:tcPr>
          <w:p>
            <w:pPr>
              <w:pStyle w:val="30"/>
              <w:jc w:val="both"/>
              <w:rPr>
                <w:rFonts w:hint="eastAsia" w:ascii="宋体" w:hAnsi="宋体" w:eastAsia="宋体" w:cs="宋体"/>
                <w:color w:val="auto"/>
                <w:sz w:val="21"/>
                <w:szCs w:val="21"/>
              </w:rPr>
            </w:pPr>
          </w:p>
        </w:tc>
        <w:tc>
          <w:tcPr>
            <w:tcW w:w="5028" w:type="dxa"/>
            <w:noWrap w:val="0"/>
            <w:vAlign w:val="center"/>
          </w:tcPr>
          <w:p>
            <w:pPr>
              <w:pStyle w:val="30"/>
              <w:jc w:val="both"/>
              <w:rPr>
                <w:rFonts w:hint="eastAsia" w:ascii="宋体" w:hAnsi="宋体" w:eastAsia="宋体" w:cs="宋体"/>
                <w:color w:val="auto"/>
                <w:sz w:val="21"/>
                <w:szCs w:val="21"/>
              </w:rPr>
            </w:pPr>
          </w:p>
        </w:tc>
        <w:tc>
          <w:tcPr>
            <w:tcW w:w="2126" w:type="dxa"/>
            <w:noWrap w:val="0"/>
            <w:vAlign w:val="center"/>
          </w:tcPr>
          <w:p>
            <w:pPr>
              <w:pStyle w:val="18"/>
              <w:rPr>
                <w:rFonts w:hint="eastAsia" w:ascii="宋体" w:hAnsi="宋体" w:eastAsia="宋体" w:cs="宋体"/>
                <w:color w:val="auto"/>
                <w:sz w:val="21"/>
                <w:szCs w:val="21"/>
              </w:rPr>
            </w:pPr>
            <w:r>
              <w:rPr>
                <w:rFonts w:hint="eastAsia" w:ascii="宋体" w:hAnsi="宋体" w:eastAsia="宋体" w:cs="宋体"/>
                <w:color w:val="auto"/>
                <w:sz w:val="21"/>
                <w:szCs w:val="21"/>
              </w:rPr>
              <w:t>投标文件第（）页</w:t>
            </w:r>
          </w:p>
        </w:tc>
      </w:tr>
    </w:tbl>
    <w:p>
      <w:pPr>
        <w:rPr>
          <w:rFonts w:ascii="宋体" w:hAnsi="宋体" w:eastAsia="宋体"/>
          <w:color w:val="auto"/>
          <w:sz w:val="21"/>
          <w:szCs w:val="21"/>
        </w:rPr>
      </w:pPr>
    </w:p>
    <w:p>
      <w:pPr>
        <w:rPr>
          <w:rFonts w:ascii="宋体" w:hAnsi="宋体" w:eastAsia="宋体"/>
          <w:color w:val="auto"/>
          <w:sz w:val="21"/>
          <w:szCs w:val="21"/>
        </w:rPr>
      </w:pPr>
      <w:r>
        <w:rPr>
          <w:rFonts w:hint="eastAsia" w:ascii="宋体" w:hAnsi="宋体" w:eastAsia="宋体"/>
          <w:color w:val="auto"/>
          <w:sz w:val="21"/>
          <w:szCs w:val="21"/>
        </w:rPr>
        <w:t>注：</w:t>
      </w:r>
    </w:p>
    <w:p>
      <w:pPr>
        <w:numPr>
          <w:ilvl w:val="0"/>
          <w:numId w:val="13"/>
        </w:numPr>
        <w:rPr>
          <w:rFonts w:ascii="宋体" w:hAnsi="宋体" w:eastAsia="宋体"/>
          <w:color w:val="auto"/>
          <w:sz w:val="21"/>
          <w:szCs w:val="21"/>
        </w:rPr>
      </w:pPr>
      <w:r>
        <w:rPr>
          <w:rFonts w:hint="eastAsia" w:ascii="宋体" w:hAnsi="宋体" w:eastAsia="宋体"/>
          <w:color w:val="auto"/>
          <w:sz w:val="21"/>
          <w:szCs w:val="21"/>
        </w:rPr>
        <w:t>该表格为参考格式，投标人可按实际情况自行制订评分标准索引表。</w:t>
      </w:r>
    </w:p>
    <w:p>
      <w:pPr>
        <w:pStyle w:val="7"/>
        <w:spacing w:before="0"/>
        <w:ind w:left="0"/>
        <w:rPr>
          <w:color w:val="auto"/>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p>
    <w:p>
      <w:pPr>
        <w:adjustRightInd/>
        <w:snapToGrid/>
        <w:spacing w:line="276" w:lineRule="auto"/>
        <w:rPr>
          <w:rFonts w:ascii="宋体" w:hAnsi="宋体" w:eastAsia="宋体"/>
          <w:color w:val="auto"/>
          <w:sz w:val="21"/>
          <w:szCs w:val="21"/>
        </w:rPr>
      </w:pPr>
      <w:r>
        <w:rPr>
          <w:rFonts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lang w:val="en-US" w:eastAsia="zh-CN"/>
        </w:rPr>
      </w:pPr>
      <w:bookmarkStart w:id="204" w:name="_Toc22080"/>
      <w:bookmarkStart w:id="205" w:name="_Toc8194"/>
      <w:bookmarkStart w:id="206" w:name="_Toc30640"/>
      <w:r>
        <w:rPr>
          <w:rFonts w:hint="eastAsia"/>
          <w:color w:val="auto"/>
          <w:lang w:val="en-US" w:eastAsia="zh-CN"/>
        </w:rPr>
        <w:t>第一章价格文件</w:t>
      </w:r>
      <w:bookmarkEnd w:id="204"/>
      <w:bookmarkEnd w:id="205"/>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07" w:name="_Toc4168"/>
      <w:bookmarkStart w:id="208" w:name="_Toc19750"/>
      <w:r>
        <w:rPr>
          <w:rFonts w:hint="eastAsia"/>
          <w:color w:val="auto"/>
          <w:lang w:val="en-US" w:eastAsia="zh-CN"/>
        </w:rPr>
        <w:t>一、唱标一览表</w:t>
      </w:r>
      <w:bookmarkEnd w:id="207"/>
      <w:bookmarkEnd w:id="208"/>
    </w:p>
    <w:p>
      <w:pPr>
        <w:spacing w:line="360" w:lineRule="auto"/>
        <w:rPr>
          <w:color w:val="auto"/>
        </w:rPr>
      </w:pPr>
    </w:p>
    <w:tbl>
      <w:tblPr>
        <w:tblStyle w:val="23"/>
        <w:tblW w:w="906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714"/>
        <w:gridCol w:w="3085"/>
        <w:gridCol w:w="326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48" w:hRule="atLeast"/>
          <w:jc w:val="center"/>
        </w:trPr>
        <w:tc>
          <w:tcPr>
            <w:tcW w:w="2714"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r>
              <w:rPr>
                <w:rFonts w:hint="eastAsia" w:ascii="宋体" w:hAnsi="宋体" w:eastAsia="宋体"/>
                <w:color w:val="auto"/>
                <w:sz w:val="21"/>
                <w:szCs w:val="21"/>
              </w:rPr>
              <w:t>项目名称</w:t>
            </w:r>
          </w:p>
        </w:tc>
        <w:tc>
          <w:tcPr>
            <w:tcW w:w="3085"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hint="default" w:ascii="宋体" w:hAnsi="宋体" w:eastAsia="宋体"/>
                <w:color w:val="auto"/>
                <w:sz w:val="21"/>
                <w:szCs w:val="21"/>
                <w:lang w:val="en-US" w:eastAsia="zh-CN"/>
              </w:rPr>
            </w:pPr>
            <w:r>
              <w:rPr>
                <w:rFonts w:hint="eastAsia" w:ascii="宋体" w:hAnsi="宋体" w:eastAsia="宋体"/>
                <w:color w:val="auto"/>
                <w:sz w:val="21"/>
                <w:szCs w:val="21"/>
              </w:rPr>
              <w:t>投标</w:t>
            </w:r>
            <w:r>
              <w:rPr>
                <w:rFonts w:hint="eastAsia" w:ascii="宋体" w:hAnsi="宋体"/>
                <w:color w:val="auto"/>
                <w:sz w:val="21"/>
                <w:szCs w:val="21"/>
                <w:lang w:val="en-US" w:eastAsia="zh-CN"/>
              </w:rPr>
              <w:t>下浮率</w:t>
            </w:r>
          </w:p>
        </w:tc>
        <w:tc>
          <w:tcPr>
            <w:tcW w:w="3262" w:type="dxa"/>
            <w:tcBorders>
              <w:tl2br w:val="nil"/>
              <w:tr2bl w:val="nil"/>
            </w:tcBorders>
            <w:vAlign w:val="center"/>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r>
              <w:rPr>
                <w:rFonts w:hint="eastAsia" w:ascii="宋体" w:hAnsi="宋体" w:eastAsia="宋体"/>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1042" w:hRule="atLeast"/>
          <w:jc w:val="center"/>
        </w:trPr>
        <w:tc>
          <w:tcPr>
            <w:tcW w:w="2714" w:type="dxa"/>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p>
        </w:tc>
        <w:tc>
          <w:tcPr>
            <w:tcW w:w="3085" w:type="dxa"/>
            <w:tcBorders>
              <w:tl2br w:val="nil"/>
              <w:tr2bl w:val="nil"/>
            </w:tcBorders>
            <w:vAlign w:val="center"/>
          </w:tcPr>
          <w:p>
            <w:pPr>
              <w:numPr>
                <w:ilvl w:val="0"/>
                <w:numId w:val="0"/>
              </w:numPr>
              <w:spacing w:line="360" w:lineRule="auto"/>
              <w:ind w:firstLine="420" w:firstLineChars="200"/>
              <w:rPr>
                <w:rFonts w:ascii="宋体" w:hAnsi="宋体" w:eastAsia="宋体"/>
                <w:color w:val="auto"/>
                <w:sz w:val="21"/>
                <w:szCs w:val="21"/>
              </w:rPr>
            </w:pPr>
          </w:p>
        </w:tc>
        <w:tc>
          <w:tcPr>
            <w:tcW w:w="3262" w:type="dxa"/>
            <w:tcBorders>
              <w:tl2br w:val="nil"/>
              <w:tr2bl w:val="nil"/>
            </w:tcBorders>
          </w:tcPr>
          <w:p>
            <w:pPr>
              <w:tabs>
                <w:tab w:val="left" w:pos="654"/>
                <w:tab w:val="left" w:pos="1734"/>
                <w:tab w:val="left" w:pos="2814"/>
                <w:tab w:val="left" w:pos="3894"/>
                <w:tab w:val="left" w:pos="5334"/>
                <w:tab w:val="left" w:pos="6414"/>
                <w:tab w:val="left" w:pos="7254"/>
                <w:tab w:val="left" w:pos="8574"/>
                <w:tab w:val="left" w:pos="9654"/>
              </w:tabs>
              <w:spacing w:after="0"/>
              <w:jc w:val="center"/>
              <w:rPr>
                <w:rFonts w:ascii="宋体" w:hAnsi="宋体" w:eastAsia="宋体"/>
                <w:color w:val="auto"/>
                <w:sz w:val="21"/>
                <w:szCs w:val="21"/>
              </w:rPr>
            </w:pPr>
          </w:p>
        </w:tc>
      </w:tr>
    </w:tbl>
    <w:p>
      <w:pPr>
        <w:spacing w:after="0" w:line="360" w:lineRule="auto"/>
        <w:rPr>
          <w:rFonts w:ascii="宋体" w:hAnsi="宋体" w:eastAsia="宋体"/>
          <w:color w:val="auto"/>
          <w:sz w:val="21"/>
          <w:szCs w:val="21"/>
        </w:rPr>
      </w:pPr>
    </w:p>
    <w:p>
      <w:pPr>
        <w:spacing w:after="0" w:line="360" w:lineRule="auto"/>
        <w:ind w:firstLine="359" w:firstLineChars="171"/>
        <w:rPr>
          <w:rFonts w:ascii="宋体" w:hAnsi="宋体" w:eastAsia="宋体"/>
          <w:color w:val="auto"/>
          <w:sz w:val="21"/>
          <w:szCs w:val="21"/>
        </w:rPr>
      </w:pPr>
    </w:p>
    <w:p>
      <w:pPr>
        <w:spacing w:after="0" w:line="360" w:lineRule="auto"/>
        <w:ind w:firstLine="359" w:firstLineChars="171"/>
        <w:rPr>
          <w:rFonts w:ascii="宋体" w:hAnsi="宋体" w:eastAsia="宋体"/>
          <w:color w:val="auto"/>
          <w:sz w:val="21"/>
          <w:szCs w:val="21"/>
        </w:rPr>
      </w:pPr>
      <w:r>
        <w:rPr>
          <w:rFonts w:hint="eastAsia" w:ascii="宋体" w:hAnsi="宋体" w:eastAsia="宋体"/>
          <w:color w:val="auto"/>
          <w:sz w:val="21"/>
          <w:szCs w:val="21"/>
        </w:rPr>
        <w:t>投标人代表签字：</w:t>
      </w:r>
    </w:p>
    <w:p>
      <w:pPr>
        <w:spacing w:after="0" w:line="360" w:lineRule="auto"/>
        <w:ind w:firstLine="359" w:firstLineChars="171"/>
        <w:rPr>
          <w:rFonts w:ascii="宋体" w:hAnsi="宋体" w:eastAsia="宋体"/>
          <w:color w:val="auto"/>
          <w:sz w:val="21"/>
          <w:szCs w:val="21"/>
        </w:rPr>
      </w:pPr>
      <w:r>
        <w:rPr>
          <w:rFonts w:hint="eastAsia" w:ascii="宋体" w:hAnsi="宋体" w:eastAsia="宋体"/>
          <w:color w:val="auto"/>
          <w:sz w:val="21"/>
          <w:szCs w:val="21"/>
        </w:rPr>
        <w:t>投标人盖章：</w:t>
      </w:r>
    </w:p>
    <w:p>
      <w:pPr>
        <w:spacing w:after="0" w:line="360" w:lineRule="auto"/>
        <w:ind w:firstLine="359" w:firstLineChars="171"/>
        <w:rPr>
          <w:rFonts w:ascii="宋体" w:hAnsi="宋体" w:eastAsia="宋体"/>
          <w:color w:val="auto"/>
          <w:sz w:val="21"/>
          <w:szCs w:val="21"/>
        </w:rPr>
      </w:pPr>
      <w:r>
        <w:rPr>
          <w:rFonts w:hint="eastAsia" w:ascii="宋体" w:hAnsi="宋体" w:eastAsia="宋体"/>
          <w:color w:val="auto"/>
          <w:sz w:val="21"/>
          <w:szCs w:val="21"/>
        </w:rPr>
        <w:t>日期：</w:t>
      </w:r>
    </w:p>
    <w:p>
      <w:pPr>
        <w:spacing w:after="0" w:line="360" w:lineRule="auto"/>
        <w:ind w:firstLine="359" w:firstLineChars="171"/>
        <w:rPr>
          <w:rFonts w:ascii="宋体" w:hAnsi="宋体" w:eastAsia="宋体"/>
          <w:color w:val="auto"/>
          <w:sz w:val="21"/>
          <w:szCs w:val="21"/>
        </w:rPr>
      </w:pPr>
    </w:p>
    <w:p>
      <w:pPr>
        <w:spacing w:after="0" w:line="360" w:lineRule="auto"/>
        <w:ind w:left="391" w:hanging="390" w:hangingChars="186"/>
        <w:rPr>
          <w:rFonts w:ascii="宋体" w:hAnsi="宋体" w:eastAsia="宋体"/>
          <w:color w:val="auto"/>
          <w:sz w:val="21"/>
          <w:szCs w:val="21"/>
        </w:rPr>
      </w:pPr>
      <w:r>
        <w:rPr>
          <w:rFonts w:hint="eastAsia" w:ascii="宋体" w:hAnsi="宋体" w:eastAsia="宋体"/>
          <w:color w:val="auto"/>
          <w:sz w:val="21"/>
          <w:szCs w:val="21"/>
        </w:rPr>
        <w:t xml:space="preserve">       注：1、投标总价栏须</w:t>
      </w:r>
      <w:r>
        <w:rPr>
          <w:rFonts w:ascii="宋体" w:hAnsi="宋体" w:eastAsia="宋体"/>
          <w:color w:val="auto"/>
          <w:sz w:val="21"/>
          <w:szCs w:val="21"/>
        </w:rPr>
        <w:t>用</w:t>
      </w:r>
      <w:r>
        <w:rPr>
          <w:rFonts w:hint="eastAsia" w:ascii="宋体" w:hAnsi="宋体" w:eastAsia="宋体"/>
          <w:color w:val="auto"/>
          <w:sz w:val="21"/>
          <w:szCs w:val="21"/>
        </w:rPr>
        <w:t>大写金额和小写金额两种方式</w:t>
      </w:r>
      <w:r>
        <w:rPr>
          <w:rFonts w:ascii="宋体" w:hAnsi="宋体" w:eastAsia="宋体"/>
          <w:color w:val="auto"/>
          <w:sz w:val="21"/>
          <w:szCs w:val="21"/>
        </w:rPr>
        <w:t>表示的投标总价</w:t>
      </w:r>
      <w:r>
        <w:rPr>
          <w:rFonts w:hint="eastAsia" w:ascii="宋体" w:hAnsi="宋体" w:eastAsia="宋体"/>
          <w:color w:val="auto"/>
          <w:sz w:val="21"/>
          <w:szCs w:val="21"/>
        </w:rPr>
        <w:t>，报价保留小数点后两位。投标总价大小写不一致，以大写为准。投标总价必须准确唯一且应包含招标文件要求的所有费用。</w:t>
      </w:r>
    </w:p>
    <w:p>
      <w:pPr>
        <w:spacing w:after="0" w:line="360" w:lineRule="auto"/>
        <w:ind w:left="357" w:leftChars="170" w:firstLine="359" w:firstLineChars="171"/>
        <w:rPr>
          <w:rFonts w:ascii="宋体" w:hAnsi="宋体" w:eastAsia="宋体"/>
          <w:color w:val="auto"/>
          <w:sz w:val="21"/>
          <w:szCs w:val="21"/>
        </w:rPr>
      </w:pPr>
      <w:r>
        <w:rPr>
          <w:rFonts w:hint="eastAsia" w:ascii="宋体" w:hAnsi="宋体" w:eastAsia="宋体"/>
          <w:color w:val="auto"/>
          <w:sz w:val="21"/>
          <w:szCs w:val="21"/>
        </w:rPr>
        <w:t>2、此表应按投标人须知的规定密封标记并与《授权委托书》、《投标保证金汇入情况说明》</w:t>
      </w:r>
      <w:r>
        <w:rPr>
          <w:rFonts w:hint="eastAsia" w:ascii="宋体" w:hAnsi="宋体"/>
          <w:color w:val="auto"/>
          <w:sz w:val="21"/>
          <w:szCs w:val="21"/>
          <w:lang w:val="en-US" w:eastAsia="zh-CN"/>
        </w:rPr>
        <w:t>一</w:t>
      </w:r>
      <w:r>
        <w:rPr>
          <w:rFonts w:hint="eastAsia" w:ascii="宋体" w:hAnsi="宋体" w:eastAsia="宋体"/>
          <w:color w:val="auto"/>
          <w:sz w:val="21"/>
          <w:szCs w:val="21"/>
        </w:rPr>
        <w:t>同密封单独提交。</w:t>
      </w:r>
    </w:p>
    <w:p>
      <w:pPr>
        <w:bidi w:val="0"/>
        <w:rPr>
          <w:rFonts w:hint="eastAsia"/>
          <w:color w:val="auto"/>
        </w:rPr>
      </w:pPr>
    </w:p>
    <w:p>
      <w:pPr>
        <w:pStyle w:val="7"/>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pStyle w:val="7"/>
        <w:rPr>
          <w:rFonts w:hint="eastAsia"/>
          <w:color w:val="auto"/>
        </w:rPr>
      </w:pPr>
    </w:p>
    <w:p>
      <w:pPr>
        <w:pStyle w:val="8"/>
        <w:rPr>
          <w:rFonts w:hint="eastAsia"/>
        </w:rPr>
      </w:pPr>
    </w:p>
    <w:p>
      <w:pPr>
        <w:bidi w:val="0"/>
        <w:rPr>
          <w:rFonts w:hint="eastAsia"/>
          <w:color w:val="auto"/>
        </w:rPr>
      </w:pPr>
    </w:p>
    <w:p>
      <w:pPr>
        <w:bidi w:val="0"/>
        <w:rPr>
          <w:rFonts w:hint="eastAsia"/>
          <w:color w:val="auto"/>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09" w:name="_Toc31172"/>
      <w:bookmarkStart w:id="210" w:name="_Toc31062"/>
      <w:r>
        <w:rPr>
          <w:rFonts w:hint="eastAsia"/>
          <w:color w:val="auto"/>
          <w:lang w:val="en-US" w:eastAsia="zh-CN"/>
        </w:rPr>
        <w:t>二、报价明细表</w:t>
      </w:r>
      <w:bookmarkEnd w:id="209"/>
      <w:bookmarkEnd w:id="210"/>
    </w:p>
    <w:p>
      <w:pPr>
        <w:pStyle w:val="30"/>
        <w:keepNext w:val="0"/>
        <w:keepLines w:val="0"/>
        <w:pageBreakBefore w:val="0"/>
        <w:widowControl/>
        <w:kinsoku/>
        <w:wordWrap/>
        <w:overflowPunct/>
        <w:topLinePunct w:val="0"/>
        <w:autoSpaceDE/>
        <w:autoSpaceDN/>
        <w:bidi w:val="0"/>
        <w:adjustRightInd/>
        <w:snapToGrid w:val="0"/>
        <w:spacing w:before="0" w:after="0" w:line="360" w:lineRule="auto"/>
        <w:jc w:val="right"/>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单位：元</w:t>
      </w:r>
    </w:p>
    <w:tbl>
      <w:tblPr>
        <w:tblStyle w:val="23"/>
        <w:tblW w:w="8522"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2"/>
        <w:gridCol w:w="1772"/>
        <w:gridCol w:w="2059"/>
        <w:gridCol w:w="859"/>
        <w:gridCol w:w="996"/>
        <w:gridCol w:w="1076"/>
        <w:gridCol w:w="107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0" w:hRule="atLeast"/>
        </w:trPr>
        <w:tc>
          <w:tcPr>
            <w:tcW w:w="682"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序号</w:t>
            </w:r>
          </w:p>
        </w:tc>
        <w:tc>
          <w:tcPr>
            <w:tcW w:w="1772"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货物</w:t>
            </w:r>
            <w:r>
              <w:rPr>
                <w:rFonts w:hint="eastAsia" w:ascii="宋体" w:hAnsi="宋体" w:eastAsia="宋体"/>
                <w:color w:val="auto"/>
                <w:sz w:val="21"/>
                <w:szCs w:val="21"/>
                <w:lang w:val="en-US" w:eastAsia="zh-CN"/>
              </w:rPr>
              <w:t>/</w:t>
            </w:r>
            <w:r>
              <w:rPr>
                <w:rFonts w:hint="eastAsia" w:ascii="宋体" w:hAnsi="宋体" w:eastAsia="宋体"/>
                <w:color w:val="auto"/>
                <w:sz w:val="21"/>
                <w:szCs w:val="21"/>
              </w:rPr>
              <w:t>服务名称</w:t>
            </w:r>
          </w:p>
        </w:tc>
        <w:tc>
          <w:tcPr>
            <w:tcW w:w="2059"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lang w:val="en-US" w:eastAsia="zh-CN"/>
              </w:rPr>
            </w:pPr>
            <w:r>
              <w:rPr>
                <w:rFonts w:hint="eastAsia" w:ascii="宋体" w:hAnsi="宋体" w:eastAsia="宋体"/>
                <w:color w:val="auto"/>
                <w:sz w:val="21"/>
                <w:szCs w:val="21"/>
              </w:rPr>
              <w:t>规格型号</w:t>
            </w:r>
            <w:r>
              <w:rPr>
                <w:rFonts w:hint="eastAsia" w:ascii="宋体" w:hAnsi="宋体" w:eastAsia="宋体"/>
                <w:color w:val="auto"/>
                <w:sz w:val="21"/>
                <w:szCs w:val="21"/>
                <w:lang w:val="en-US" w:eastAsia="zh-CN"/>
              </w:rPr>
              <w:t>/</w:t>
            </w:r>
            <w:r>
              <w:rPr>
                <w:rFonts w:hint="eastAsia" w:ascii="宋体" w:hAnsi="宋体" w:eastAsia="宋体"/>
                <w:color w:val="auto"/>
                <w:sz w:val="21"/>
                <w:szCs w:val="21"/>
              </w:rPr>
              <w:t>服务内容</w:t>
            </w: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数量</w:t>
            </w: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单价</w:t>
            </w:r>
          </w:p>
        </w:tc>
        <w:tc>
          <w:tcPr>
            <w:tcW w:w="1076" w:type="dxa"/>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合计</w:t>
            </w: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r>
              <w:rPr>
                <w:rFonts w:hint="eastAsia" w:ascii="宋体" w:hAnsi="宋体" w:eastAsia="宋体"/>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ascii="宋体" w:hAnsi="宋体" w:eastAsia="宋体"/>
                <w:color w:val="auto"/>
                <w:sz w:val="21"/>
                <w:szCs w:val="21"/>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eastAsia"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82" w:type="dxa"/>
            <w:tcBorders>
              <w:tl2br w:val="nil"/>
              <w:tr2bl w:val="nil"/>
            </w:tcBorders>
            <w:vAlign w:val="center"/>
          </w:tcPr>
          <w:p>
            <w:pPr>
              <w:widowControl w:val="0"/>
              <w:adjustRightInd/>
              <w:snapToGrid/>
              <w:spacing w:before="100" w:beforeAutospacing="1" w:after="100" w:afterAutospacing="1"/>
              <w:jc w:val="center"/>
              <w:rPr>
                <w:rFonts w:hint="default" w:ascii="宋体" w:hAnsi="宋体" w:eastAsia="宋体"/>
                <w:color w:val="auto"/>
                <w:sz w:val="21"/>
                <w:szCs w:val="21"/>
                <w:lang w:val="en-US" w:eastAsia="zh-CN"/>
              </w:rPr>
            </w:pPr>
          </w:p>
        </w:tc>
        <w:tc>
          <w:tcPr>
            <w:tcW w:w="1772" w:type="dxa"/>
            <w:tcBorders>
              <w:tl2br w:val="nil"/>
              <w:tr2bl w:val="nil"/>
            </w:tcBorders>
            <w:vAlign w:val="center"/>
          </w:tcPr>
          <w:p>
            <w:pPr>
              <w:spacing w:before="100" w:beforeAutospacing="1" w:after="100" w:afterAutospacing="1"/>
              <w:rPr>
                <w:rFonts w:ascii="宋体" w:hAnsi="宋体" w:eastAsia="宋体"/>
                <w:color w:val="auto"/>
                <w:sz w:val="21"/>
                <w:szCs w:val="21"/>
              </w:rPr>
            </w:pPr>
          </w:p>
        </w:tc>
        <w:tc>
          <w:tcPr>
            <w:tcW w:w="20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859"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99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6"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c>
          <w:tcPr>
            <w:tcW w:w="1078" w:type="dxa"/>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6368" w:type="dxa"/>
            <w:gridSpan w:val="5"/>
            <w:tcBorders>
              <w:tl2br w:val="nil"/>
              <w:tr2bl w:val="nil"/>
            </w:tcBorders>
            <w:vAlign w:val="center"/>
          </w:tcPr>
          <w:p>
            <w:pPr>
              <w:spacing w:before="100" w:beforeAutospacing="1" w:after="100" w:afterAutospacing="1"/>
              <w:jc w:val="center"/>
              <w:rPr>
                <w:rFonts w:hint="eastAsia" w:ascii="宋体" w:hAnsi="宋体" w:eastAsia="宋体"/>
                <w:color w:val="auto"/>
                <w:sz w:val="21"/>
                <w:szCs w:val="21"/>
                <w:lang w:eastAsia="zh-CN"/>
              </w:rPr>
            </w:pPr>
            <w:r>
              <w:rPr>
                <w:rFonts w:hint="eastAsia" w:ascii="宋体" w:hAnsi="宋体" w:eastAsia="宋体"/>
                <w:color w:val="auto"/>
                <w:sz w:val="21"/>
                <w:szCs w:val="21"/>
                <w:lang w:val="en-US" w:eastAsia="zh-CN"/>
              </w:rPr>
              <w:t>合计</w:t>
            </w:r>
            <w:r>
              <w:rPr>
                <w:rFonts w:hint="eastAsia" w:ascii="宋体" w:hAnsi="宋体" w:eastAsia="宋体"/>
                <w:color w:val="auto"/>
                <w:sz w:val="21"/>
                <w:szCs w:val="21"/>
              </w:rPr>
              <w:t>总价</w:t>
            </w:r>
          </w:p>
        </w:tc>
        <w:tc>
          <w:tcPr>
            <w:tcW w:w="2154" w:type="dxa"/>
            <w:gridSpan w:val="2"/>
            <w:tcBorders>
              <w:tl2br w:val="nil"/>
              <w:tr2bl w:val="nil"/>
            </w:tcBorders>
            <w:vAlign w:val="center"/>
          </w:tcPr>
          <w:p>
            <w:pPr>
              <w:spacing w:before="100" w:beforeAutospacing="1" w:after="100" w:afterAutospacing="1"/>
              <w:jc w:val="center"/>
              <w:rPr>
                <w:rFonts w:ascii="宋体" w:hAnsi="宋体" w:eastAsia="宋体"/>
                <w:color w:val="auto"/>
                <w:sz w:val="21"/>
                <w:szCs w:val="21"/>
              </w:rPr>
            </w:pPr>
          </w:p>
        </w:tc>
      </w:tr>
    </w:tbl>
    <w:p>
      <w:pPr>
        <w:rPr>
          <w:rFonts w:ascii="宋体" w:hAnsi="宋体" w:eastAsia="宋体" w:cs="宋体"/>
          <w:b/>
          <w:color w:val="auto"/>
          <w:sz w:val="21"/>
          <w:szCs w:val="21"/>
        </w:rPr>
      </w:pPr>
    </w:p>
    <w:p>
      <w:pPr>
        <w:bidi w:val="0"/>
        <w:rPr>
          <w:color w:val="auto"/>
        </w:rPr>
      </w:pPr>
    </w:p>
    <w:p>
      <w:pPr>
        <w:spacing w:after="0"/>
        <w:rPr>
          <w:rFonts w:ascii="宋体" w:hAnsi="宋体" w:eastAsia="宋体"/>
          <w:color w:val="auto"/>
          <w:sz w:val="21"/>
          <w:szCs w:val="21"/>
        </w:rPr>
      </w:pPr>
      <w:r>
        <w:rPr>
          <w:rFonts w:hint="eastAsia" w:ascii="宋体" w:hAnsi="宋体" w:eastAsia="宋体"/>
          <w:color w:val="auto"/>
          <w:sz w:val="21"/>
          <w:szCs w:val="21"/>
        </w:rPr>
        <w:t>投标人代表签字：</w:t>
      </w:r>
    </w:p>
    <w:p>
      <w:pPr>
        <w:spacing w:after="0"/>
        <w:rPr>
          <w:rFonts w:ascii="宋体" w:hAnsi="宋体" w:eastAsia="宋体"/>
          <w:color w:val="auto"/>
          <w:sz w:val="21"/>
          <w:szCs w:val="21"/>
        </w:rPr>
      </w:pPr>
      <w:r>
        <w:rPr>
          <w:rFonts w:hint="eastAsia" w:ascii="宋体" w:hAnsi="宋体" w:eastAsia="宋体"/>
          <w:color w:val="auto"/>
          <w:sz w:val="21"/>
          <w:szCs w:val="21"/>
        </w:rPr>
        <w:t>投标人盖章：</w:t>
      </w:r>
    </w:p>
    <w:p>
      <w:pPr>
        <w:rPr>
          <w:rFonts w:ascii="宋体" w:hAnsi="宋体" w:eastAsia="宋体" w:cs="宋体"/>
          <w:b/>
          <w:color w:val="auto"/>
          <w:sz w:val="21"/>
          <w:szCs w:val="21"/>
        </w:rPr>
      </w:pPr>
      <w:r>
        <w:rPr>
          <w:rFonts w:hint="eastAsia" w:ascii="宋体" w:hAnsi="宋体" w:eastAsia="宋体"/>
          <w:color w:val="auto"/>
          <w:sz w:val="21"/>
          <w:szCs w:val="21"/>
        </w:rPr>
        <w:t>日期：</w:t>
      </w:r>
    </w:p>
    <w:p>
      <w:pPr>
        <w:pStyle w:val="30"/>
        <w:rPr>
          <w:rFonts w:ascii="黑体" w:eastAsia="黑体"/>
          <w:color w:val="auto"/>
          <w:sz w:val="32"/>
          <w:szCs w:val="32"/>
        </w:rPr>
      </w:pPr>
    </w:p>
    <w:p>
      <w:pPr>
        <w:pStyle w:val="30"/>
        <w:rPr>
          <w:rFonts w:ascii="黑体" w:eastAsia="黑体"/>
          <w:color w:val="auto"/>
          <w:sz w:val="32"/>
          <w:szCs w:val="32"/>
        </w:rPr>
      </w:pPr>
    </w:p>
    <w:p>
      <w:pPr>
        <w:adjustRightInd/>
        <w:snapToGrid/>
        <w:spacing w:line="276" w:lineRule="auto"/>
        <w:rPr>
          <w:color w:val="auto"/>
        </w:rPr>
      </w:pPr>
      <w:r>
        <w:rPr>
          <w:rFonts w:ascii="楷体_GB2312" w:eastAsia="楷体_GB2312"/>
          <w:color w:val="auto"/>
          <w:sz w:val="24"/>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11" w:name="_Toc23948"/>
      <w:bookmarkStart w:id="212" w:name="_Toc6471"/>
      <w:r>
        <w:rPr>
          <w:rFonts w:hint="eastAsia"/>
          <w:color w:val="auto"/>
          <w:lang w:val="en-US" w:eastAsia="zh-CN"/>
        </w:rPr>
        <w:t>第二章商务文件</w:t>
      </w:r>
      <w:bookmarkEnd w:id="211"/>
      <w:bookmarkEnd w:id="212"/>
    </w:p>
    <w:bookmarkEnd w:id="206"/>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13" w:name="_Toc1952"/>
      <w:bookmarkStart w:id="214" w:name="_Toc23787"/>
      <w:r>
        <w:rPr>
          <w:rFonts w:hint="eastAsia"/>
          <w:color w:val="auto"/>
          <w:lang w:val="en-US" w:eastAsia="zh-CN"/>
        </w:rPr>
        <w:t>一、投标函</w:t>
      </w:r>
      <w:bookmarkEnd w:id="213"/>
      <w:bookmarkEnd w:id="214"/>
    </w:p>
    <w:p>
      <w:pPr>
        <w:spacing w:after="0" w:line="360" w:lineRule="auto"/>
        <w:rPr>
          <w:rFonts w:ascii="宋体" w:hAnsi="宋体" w:eastAsia="宋体"/>
          <w:color w:val="auto"/>
          <w:sz w:val="21"/>
          <w:szCs w:val="21"/>
        </w:rPr>
      </w:pPr>
      <w:r>
        <w:rPr>
          <w:rFonts w:hint="eastAsia" w:ascii="宋体" w:hAnsi="宋体" w:eastAsia="宋体"/>
          <w:color w:val="auto"/>
          <w:sz w:val="21"/>
          <w:szCs w:val="21"/>
        </w:rPr>
        <w:t>致</w:t>
      </w:r>
      <w:r>
        <w:rPr>
          <w:rFonts w:hint="eastAsia" w:ascii="宋体" w:hAnsi="宋体" w:eastAsia="宋体"/>
          <w:color w:val="auto"/>
          <w:sz w:val="21"/>
          <w:szCs w:val="21"/>
          <w:lang w:eastAsia="zh-CN"/>
        </w:rPr>
        <w:t>广东政通招标有限公司</w:t>
      </w:r>
      <w:r>
        <w:rPr>
          <w:rFonts w:hint="eastAsia" w:ascii="宋体" w:hAnsi="宋体" w:eastAsia="宋体"/>
          <w:color w:val="auto"/>
          <w:sz w:val="21"/>
          <w:szCs w:val="21"/>
        </w:rPr>
        <w:t>：</w:t>
      </w:r>
    </w:p>
    <w:p>
      <w:pPr>
        <w:spacing w:after="0" w:line="360" w:lineRule="auto"/>
        <w:rPr>
          <w:rFonts w:ascii="宋体" w:hAnsi="宋体" w:eastAsia="宋体"/>
          <w:color w:val="auto"/>
          <w:sz w:val="21"/>
          <w:szCs w:val="21"/>
        </w:rPr>
      </w:pPr>
    </w:p>
    <w:p>
      <w:pPr>
        <w:keepNext w:val="0"/>
        <w:keepLines w:val="0"/>
        <w:pageBreakBefore w:val="0"/>
        <w:kinsoku/>
        <w:wordWrap/>
        <w:overflowPunct/>
        <w:topLinePunct w:val="0"/>
        <w:autoSpaceDE/>
        <w:autoSpaceDN/>
        <w:bidi w:val="0"/>
        <w:spacing w:after="0" w:line="360" w:lineRule="auto"/>
        <w:ind w:firstLine="420" w:firstLineChars="200"/>
        <w:textAlignment w:val="auto"/>
        <w:rPr>
          <w:rFonts w:hint="eastAsia" w:ascii="宋体" w:eastAsia="宋体" w:cs="宋体"/>
          <w:color w:val="auto"/>
          <w:sz w:val="22"/>
          <w:szCs w:val="22"/>
          <w:highlight w:val="none"/>
        </w:rPr>
      </w:pPr>
      <w:r>
        <w:rPr>
          <w:rFonts w:hint="eastAsia" w:ascii="宋体" w:hAnsi="宋体" w:eastAsia="宋体"/>
          <w:color w:val="auto"/>
          <w:sz w:val="21"/>
          <w:szCs w:val="21"/>
        </w:rPr>
        <w:t>根据贵方为</w:t>
      </w:r>
      <w:r>
        <w:rPr>
          <w:rFonts w:hint="eastAsia" w:ascii="宋体" w:hAnsi="宋体" w:eastAsia="宋体"/>
          <w:color w:val="auto"/>
          <w:sz w:val="21"/>
          <w:szCs w:val="21"/>
          <w:u w:val="single"/>
        </w:rPr>
        <w:t>（项目名称）（采购项目编号）</w:t>
      </w:r>
      <w:r>
        <w:rPr>
          <w:rFonts w:hint="eastAsia" w:ascii="宋体" w:hAnsi="宋体" w:eastAsia="宋体"/>
          <w:color w:val="auto"/>
          <w:sz w:val="21"/>
          <w:szCs w:val="21"/>
        </w:rPr>
        <w:t>项目招标公告/招标邀请，签字代表</w:t>
      </w:r>
      <w:r>
        <w:rPr>
          <w:rFonts w:hint="eastAsia" w:ascii="宋体" w:hAnsi="宋体" w:eastAsia="宋体"/>
          <w:color w:val="auto"/>
          <w:sz w:val="21"/>
          <w:szCs w:val="21"/>
          <w:u w:val="single"/>
        </w:rPr>
        <w:t>（姓名、职务）</w:t>
      </w:r>
      <w:r>
        <w:rPr>
          <w:rFonts w:hint="eastAsia" w:ascii="宋体" w:hAnsi="宋体" w:eastAsia="宋体"/>
          <w:color w:val="auto"/>
          <w:sz w:val="21"/>
          <w:szCs w:val="21"/>
        </w:rPr>
        <w:t>经正式授权并代表投标人</w:t>
      </w:r>
      <w:r>
        <w:rPr>
          <w:rFonts w:hint="eastAsia" w:ascii="宋体" w:hAnsi="宋体" w:eastAsia="宋体"/>
          <w:color w:val="auto"/>
          <w:sz w:val="21"/>
          <w:szCs w:val="21"/>
          <w:u w:val="single"/>
        </w:rPr>
        <w:t>（投标人名称、地址）</w:t>
      </w:r>
      <w:r>
        <w:rPr>
          <w:rFonts w:hint="eastAsia" w:ascii="宋体" w:eastAsia="宋体" w:cs="宋体"/>
          <w:color w:val="auto"/>
          <w:sz w:val="22"/>
          <w:szCs w:val="22"/>
          <w:highlight w:val="none"/>
        </w:rPr>
        <w:t>进行有关本次投标的一切事宜。</w:t>
      </w:r>
    </w:p>
    <w:p>
      <w:pPr>
        <w:keepNext w:val="0"/>
        <w:keepLines w:val="0"/>
        <w:pageBreakBefore w:val="0"/>
        <w:kinsoku/>
        <w:wordWrap/>
        <w:overflowPunct/>
        <w:topLinePunct w:val="0"/>
        <w:autoSpaceDE/>
        <w:autoSpaceDN/>
        <w:bidi w:val="0"/>
        <w:spacing w:after="0" w:line="360" w:lineRule="auto"/>
        <w:ind w:firstLine="440" w:firstLineChars="200"/>
        <w:textAlignment w:val="auto"/>
        <w:rPr>
          <w:rFonts w:ascii="宋体" w:hAnsi="宋体" w:eastAsia="宋体"/>
          <w:color w:val="auto"/>
          <w:sz w:val="21"/>
          <w:szCs w:val="21"/>
        </w:rPr>
      </w:pPr>
      <w:r>
        <w:rPr>
          <w:rFonts w:hint="eastAsia" w:ascii="宋体" w:eastAsia="宋体" w:cs="宋体"/>
          <w:color w:val="auto"/>
          <w:sz w:val="22"/>
          <w:szCs w:val="22"/>
          <w:highlight w:val="none"/>
        </w:rPr>
        <w:t>在此提交的投标文件，正本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套，副本</w:t>
      </w:r>
      <w:r>
        <w:rPr>
          <w:rFonts w:hint="eastAsia" w:ascii="宋体" w:eastAsia="宋体" w:cs="宋体"/>
          <w:color w:val="auto"/>
          <w:sz w:val="22"/>
          <w:szCs w:val="22"/>
          <w:highlight w:val="none"/>
          <w:u w:val="single"/>
        </w:rPr>
        <w:t xml:space="preserve">   </w:t>
      </w:r>
      <w:r>
        <w:rPr>
          <w:rFonts w:hint="eastAsia" w:ascii="宋体" w:eastAsia="宋体" w:cs="宋体"/>
          <w:color w:val="auto"/>
          <w:sz w:val="22"/>
          <w:szCs w:val="22"/>
          <w:highlight w:val="none"/>
        </w:rPr>
        <w:t>套，唱标信封及电子文件各1份。</w:t>
      </w:r>
    </w:p>
    <w:p>
      <w:pPr>
        <w:keepNext w:val="0"/>
        <w:keepLines w:val="0"/>
        <w:pageBreakBefore w:val="0"/>
        <w:widowControl/>
        <w:kinsoku/>
        <w:wordWrap/>
        <w:overflowPunct/>
        <w:topLinePunct w:val="0"/>
        <w:autoSpaceDE/>
        <w:autoSpaceDN/>
        <w:bidi w:val="0"/>
        <w:adjustRightInd w:val="0"/>
        <w:snapToGrid w:val="0"/>
        <w:spacing w:after="0" w:line="360" w:lineRule="auto"/>
        <w:ind w:firstLine="440" w:firstLineChars="200"/>
        <w:textAlignment w:val="auto"/>
        <w:rPr>
          <w:rFonts w:ascii="新宋体" w:hAnsi="新宋体" w:eastAsia="新宋体"/>
          <w:color w:val="auto"/>
          <w:sz w:val="22"/>
          <w:lang w:val="zh-CN"/>
        </w:rPr>
      </w:pPr>
      <w:r>
        <w:rPr>
          <w:rFonts w:hint="eastAsia" w:ascii="新宋体" w:hAnsi="新宋体" w:eastAsia="新宋体"/>
          <w:color w:val="auto"/>
          <w:sz w:val="22"/>
          <w:lang w:val="zh-CN"/>
        </w:rPr>
        <w:t>我方</w:t>
      </w:r>
      <w:r>
        <w:rPr>
          <w:rFonts w:hint="eastAsia" w:ascii="新宋体" w:hAnsi="新宋体" w:eastAsia="新宋体"/>
          <w:color w:val="auto"/>
          <w:sz w:val="22"/>
          <w:lang w:val="en-US" w:eastAsia="zh-CN"/>
        </w:rPr>
        <w:t>已</w:t>
      </w:r>
      <w:r>
        <w:rPr>
          <w:rFonts w:hint="eastAsia" w:ascii="新宋体" w:hAnsi="新宋体" w:eastAsia="新宋体"/>
          <w:color w:val="auto"/>
          <w:sz w:val="22"/>
          <w:lang w:val="zh-CN"/>
        </w:rPr>
        <w:t>完全明白招标文件的所有条款要求，并重申以下几点：</w:t>
      </w:r>
    </w:p>
    <w:p>
      <w:pPr>
        <w:keepNext w:val="0"/>
        <w:keepLines w:val="0"/>
        <w:pageBreakBefore w:val="0"/>
        <w:widowControl w:val="0"/>
        <w:numPr>
          <w:ilvl w:val="0"/>
          <w:numId w:val="14"/>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 xml:space="preserve">我方将按招标文件的规定履行合同责任和义务。 </w:t>
      </w:r>
    </w:p>
    <w:p>
      <w:pPr>
        <w:keepNext w:val="0"/>
        <w:keepLines w:val="0"/>
        <w:pageBreakBefore w:val="0"/>
        <w:widowControl w:val="0"/>
        <w:numPr>
          <w:ilvl w:val="0"/>
          <w:numId w:val="14"/>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本投标有效期为自开标日起</w:t>
      </w:r>
      <w:r>
        <w:rPr>
          <w:rFonts w:hint="eastAsia" w:ascii="宋体" w:hAnsi="宋体" w:eastAsia="宋体"/>
          <w:color w:val="auto"/>
          <w:sz w:val="21"/>
          <w:szCs w:val="21"/>
          <w:u w:val="single"/>
        </w:rPr>
        <w:t>90</w:t>
      </w:r>
      <w:r>
        <w:rPr>
          <w:rFonts w:hint="eastAsia" w:ascii="宋体" w:hAnsi="宋体" w:eastAsia="宋体"/>
          <w:color w:val="auto"/>
          <w:sz w:val="21"/>
          <w:szCs w:val="21"/>
        </w:rPr>
        <w:t>个日历日。</w:t>
      </w:r>
    </w:p>
    <w:p>
      <w:pPr>
        <w:keepNext w:val="0"/>
        <w:keepLines w:val="0"/>
        <w:pageBreakBefore w:val="0"/>
        <w:widowControl w:val="0"/>
        <w:numPr>
          <w:ilvl w:val="0"/>
          <w:numId w:val="14"/>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本公司同意按照贵公司可能提出的要求而提供与投标有关的任何其它数据、信息或资料。</w:t>
      </w:r>
    </w:p>
    <w:p>
      <w:pPr>
        <w:keepNext w:val="0"/>
        <w:keepLines w:val="0"/>
        <w:pageBreakBefore w:val="0"/>
        <w:widowControl w:val="0"/>
        <w:numPr>
          <w:ilvl w:val="0"/>
          <w:numId w:val="14"/>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我方保证遵守投标人须知中关于没收投标保证金的规定。</w:t>
      </w:r>
    </w:p>
    <w:p>
      <w:pPr>
        <w:keepNext w:val="0"/>
        <w:keepLines w:val="0"/>
        <w:pageBreakBefore w:val="0"/>
        <w:widowControl w:val="0"/>
        <w:numPr>
          <w:ilvl w:val="0"/>
          <w:numId w:val="14"/>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 xml:space="preserve">我方承诺，与买方聘请的为此项目提供咨询服务的公司及任何附属机构均无关联，我方不是买方的附属机构。 </w:t>
      </w:r>
    </w:p>
    <w:p>
      <w:pPr>
        <w:keepNext w:val="0"/>
        <w:keepLines w:val="0"/>
        <w:pageBreakBefore w:val="0"/>
        <w:widowControl w:val="0"/>
        <w:numPr>
          <w:ilvl w:val="0"/>
          <w:numId w:val="14"/>
        </w:numPr>
        <w:kinsoku/>
        <w:wordWrap/>
        <w:overflowPunct/>
        <w:topLinePunct w:val="0"/>
        <w:autoSpaceDE/>
        <w:autoSpaceDN/>
        <w:bidi w:val="0"/>
        <w:adjustRightInd/>
        <w:snapToGrid/>
        <w:spacing w:after="0" w:line="360" w:lineRule="auto"/>
        <w:ind w:firstLine="420" w:firstLineChars="200"/>
        <w:jc w:val="both"/>
        <w:textAlignment w:val="auto"/>
        <w:rPr>
          <w:rFonts w:hint="eastAsia" w:ascii="宋体" w:hAnsi="宋体" w:eastAsia="宋体"/>
          <w:color w:val="auto"/>
          <w:sz w:val="21"/>
          <w:szCs w:val="21"/>
        </w:rPr>
      </w:pPr>
      <w:r>
        <w:rPr>
          <w:rFonts w:hint="eastAsia" w:ascii="宋体" w:hAnsi="宋体" w:eastAsia="宋体"/>
          <w:color w:val="auto"/>
          <w:sz w:val="21"/>
          <w:szCs w:val="21"/>
        </w:rPr>
        <w:t>本公司如果中标，将保证履行招标文件及其澄清、修改文件（如果有）中的全部责任和义务，按质、按量、按期完成《采购需求书》及《合同书》中的全部任务。</w:t>
      </w:r>
    </w:p>
    <w:p>
      <w:pPr>
        <w:keepNext w:val="0"/>
        <w:keepLines w:val="0"/>
        <w:pageBreakBefore w:val="0"/>
        <w:widowControl w:val="0"/>
        <w:numPr>
          <w:ilvl w:val="0"/>
          <w:numId w:val="14"/>
        </w:numPr>
        <w:kinsoku/>
        <w:wordWrap/>
        <w:overflowPunct/>
        <w:topLinePunct w:val="0"/>
        <w:autoSpaceDE/>
        <w:autoSpaceDN/>
        <w:bidi w:val="0"/>
        <w:adjustRightInd/>
        <w:snapToGrid/>
        <w:spacing w:after="0" w:line="360" w:lineRule="auto"/>
        <w:ind w:firstLine="420" w:firstLineChars="200"/>
        <w:jc w:val="both"/>
        <w:textAlignment w:val="auto"/>
        <w:rPr>
          <w:rFonts w:ascii="宋体" w:hAnsi="宋体" w:eastAsia="宋体"/>
          <w:color w:val="auto"/>
          <w:sz w:val="21"/>
          <w:szCs w:val="21"/>
        </w:rPr>
      </w:pPr>
      <w:r>
        <w:rPr>
          <w:rFonts w:hint="eastAsia" w:ascii="宋体" w:hAnsi="宋体" w:eastAsia="宋体"/>
          <w:color w:val="auto"/>
          <w:sz w:val="21"/>
          <w:szCs w:val="21"/>
        </w:rPr>
        <w:t>与本投标有关的一切正式信函请寄：</w:t>
      </w:r>
    </w:p>
    <w:p>
      <w:pPr>
        <w:spacing w:after="0" w:line="360" w:lineRule="auto"/>
        <w:rPr>
          <w:rFonts w:hint="eastAsia" w:ascii="宋体" w:hAnsi="宋体" w:eastAsia="宋体"/>
          <w:color w:val="auto"/>
          <w:sz w:val="21"/>
          <w:szCs w:val="21"/>
        </w:rPr>
      </w:pPr>
    </w:p>
    <w:p>
      <w:pPr>
        <w:spacing w:after="0" w:line="360" w:lineRule="auto"/>
        <w:rPr>
          <w:rFonts w:hint="eastAsia" w:ascii="宋体" w:hAnsi="宋体" w:eastAsia="宋体"/>
          <w:color w:val="auto"/>
          <w:sz w:val="21"/>
          <w:szCs w:val="21"/>
        </w:rPr>
      </w:pPr>
      <w:r>
        <w:rPr>
          <w:rFonts w:hint="eastAsia" w:ascii="宋体" w:hAnsi="宋体" w:eastAsia="宋体"/>
          <w:color w:val="auto"/>
          <w:sz w:val="21"/>
          <w:szCs w:val="21"/>
        </w:rPr>
        <w:t>地址：　　　　　　　　　　　　　　　</w:t>
      </w:r>
    </w:p>
    <w:p>
      <w:pPr>
        <w:spacing w:after="0" w:line="360" w:lineRule="auto"/>
        <w:rPr>
          <w:rFonts w:ascii="宋体" w:hAnsi="宋体" w:eastAsia="宋体"/>
          <w:color w:val="auto"/>
          <w:sz w:val="21"/>
          <w:szCs w:val="21"/>
        </w:rPr>
      </w:pPr>
      <w:r>
        <w:rPr>
          <w:rFonts w:hint="eastAsia" w:ascii="宋体" w:hAnsi="宋体" w:eastAsia="宋体"/>
          <w:color w:val="auto"/>
          <w:sz w:val="21"/>
          <w:szCs w:val="21"/>
          <w:lang w:val="en-US" w:eastAsia="zh-CN"/>
        </w:rPr>
        <w:t>邮箱</w:t>
      </w:r>
      <w:r>
        <w:rPr>
          <w:rFonts w:hint="eastAsia" w:ascii="宋体" w:hAnsi="宋体" w:eastAsia="宋体"/>
          <w:color w:val="auto"/>
          <w:sz w:val="21"/>
          <w:szCs w:val="21"/>
        </w:rPr>
        <w:t>：　　　</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电话/移动电话：　　　　　　　　　　　　　　　</w:t>
      </w:r>
    </w:p>
    <w:p>
      <w:pPr>
        <w:spacing w:after="0" w:line="360" w:lineRule="auto"/>
        <w:rPr>
          <w:rFonts w:hint="eastAsia" w:ascii="宋体" w:hAnsi="宋体" w:eastAsia="宋体"/>
          <w:color w:val="auto"/>
          <w:sz w:val="21"/>
          <w:szCs w:val="21"/>
          <w:lang w:val="en-US" w:eastAsia="zh-CN"/>
        </w:rPr>
      </w:pPr>
      <w:r>
        <w:rPr>
          <w:rFonts w:hint="eastAsia" w:ascii="宋体" w:hAnsi="宋体" w:eastAsia="宋体"/>
          <w:color w:val="auto"/>
          <w:sz w:val="21"/>
          <w:szCs w:val="21"/>
        </w:rPr>
        <w:t xml:space="preserve">投标人代表签字： </w:t>
      </w:r>
      <w:r>
        <w:rPr>
          <w:rFonts w:hint="eastAsia" w:ascii="宋体" w:hAnsi="宋体" w:eastAsia="宋体"/>
          <w:color w:val="auto"/>
          <w:sz w:val="21"/>
          <w:szCs w:val="21"/>
          <w:lang w:val="en-US" w:eastAsia="zh-CN"/>
        </w:rPr>
        <w:t xml:space="preserve">                   </w:t>
      </w:r>
    </w:p>
    <w:p>
      <w:pPr>
        <w:spacing w:after="0" w:line="360" w:lineRule="auto"/>
        <w:rPr>
          <w:rFonts w:hint="default" w:ascii="宋体" w:hAnsi="宋体" w:eastAsia="宋体"/>
          <w:color w:val="auto"/>
          <w:sz w:val="21"/>
          <w:szCs w:val="21"/>
          <w:lang w:val="en-US" w:eastAsia="zh-CN"/>
        </w:rPr>
      </w:pPr>
      <w:r>
        <w:rPr>
          <w:rFonts w:hint="eastAsia" w:ascii="宋体" w:hAnsi="宋体" w:eastAsia="宋体"/>
          <w:color w:val="auto"/>
          <w:sz w:val="21"/>
          <w:szCs w:val="21"/>
          <w:lang w:eastAsia="zh-CN"/>
        </w:rPr>
        <w:t>投标人名称（加盖公章）</w:t>
      </w:r>
      <w:r>
        <w:rPr>
          <w:rFonts w:hint="eastAsia" w:ascii="宋体" w:hAnsi="宋体" w:eastAsia="宋体"/>
          <w:color w:val="auto"/>
          <w:sz w:val="21"/>
          <w:szCs w:val="21"/>
        </w:rPr>
        <w:t xml:space="preserve">： </w:t>
      </w:r>
    </w:p>
    <w:p>
      <w:pPr>
        <w:spacing w:after="0" w:line="360" w:lineRule="auto"/>
        <w:rPr>
          <w:rFonts w:ascii="宋体" w:hAnsi="宋体" w:eastAsia="宋体"/>
          <w:color w:val="auto"/>
          <w:sz w:val="21"/>
          <w:szCs w:val="21"/>
        </w:rPr>
      </w:pPr>
      <w:r>
        <w:rPr>
          <w:rFonts w:hint="eastAsia" w:ascii="宋体" w:hAnsi="宋体" w:eastAsia="宋体"/>
          <w:color w:val="auto"/>
          <w:sz w:val="21"/>
          <w:szCs w:val="21"/>
        </w:rPr>
        <w:t>日期：</w:t>
      </w:r>
    </w:p>
    <w:p>
      <w:pPr>
        <w:adjustRightInd/>
        <w:snapToGrid/>
        <w:spacing w:line="276" w:lineRule="auto"/>
        <w:rPr>
          <w:color w:val="auto"/>
        </w:rPr>
      </w:pPr>
      <w:r>
        <w:rPr>
          <w:color w:val="auto"/>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15" w:name="_Toc28616"/>
      <w:bookmarkStart w:id="216" w:name="_Toc15719"/>
      <w:r>
        <w:rPr>
          <w:rFonts w:hint="eastAsia"/>
          <w:color w:val="auto"/>
          <w:lang w:val="en-US" w:eastAsia="zh-CN"/>
        </w:rPr>
        <w:t>二、资格申明函</w:t>
      </w:r>
      <w:bookmarkEnd w:id="215"/>
      <w:bookmarkEnd w:id="216"/>
    </w:p>
    <w:p>
      <w:pPr>
        <w:pStyle w:val="36"/>
        <w:spacing w:line="420" w:lineRule="atLeast"/>
        <w:ind w:firstLine="0" w:firstLineChars="0"/>
        <w:rPr>
          <w:rFonts w:ascii="宋体" w:eastAsia="宋体"/>
          <w:color w:val="auto"/>
          <w:sz w:val="21"/>
          <w:szCs w:val="21"/>
        </w:rPr>
      </w:pPr>
      <w:r>
        <w:rPr>
          <w:rFonts w:hint="eastAsia" w:ascii="宋体" w:eastAsia="宋体"/>
          <w:color w:val="auto"/>
          <w:sz w:val="21"/>
          <w:szCs w:val="21"/>
          <w:lang w:val="en-US" w:eastAsia="zh-CN"/>
        </w:rPr>
        <w:t>致</w:t>
      </w:r>
      <w:r>
        <w:rPr>
          <w:rFonts w:hint="eastAsia" w:ascii="宋体" w:eastAsia="宋体"/>
          <w:color w:val="auto"/>
          <w:sz w:val="21"/>
          <w:szCs w:val="21"/>
          <w:lang w:eastAsia="zh-CN"/>
        </w:rPr>
        <w:t>广东政通招标有限公司</w:t>
      </w:r>
      <w:r>
        <w:rPr>
          <w:rFonts w:hint="eastAsia" w:ascii="宋体" w:eastAsia="宋体"/>
          <w:color w:val="auto"/>
          <w:sz w:val="21"/>
          <w:szCs w:val="21"/>
        </w:rPr>
        <w:t>：</w:t>
      </w:r>
    </w:p>
    <w:p>
      <w:pPr>
        <w:spacing w:after="0" w:line="360" w:lineRule="auto"/>
        <w:ind w:firstLine="420" w:firstLineChars="200"/>
        <w:rPr>
          <w:rFonts w:ascii="宋体" w:hAnsi="宋体" w:eastAsia="宋体"/>
          <w:color w:val="auto"/>
          <w:sz w:val="21"/>
          <w:szCs w:val="21"/>
        </w:rPr>
      </w:pPr>
    </w:p>
    <w:p>
      <w:pPr>
        <w:spacing w:after="0" w:line="360" w:lineRule="auto"/>
        <w:ind w:firstLine="420" w:firstLineChars="200"/>
        <w:rPr>
          <w:rFonts w:ascii="宋体" w:hAnsi="宋体" w:eastAsia="宋体"/>
          <w:color w:val="auto"/>
          <w:sz w:val="21"/>
          <w:szCs w:val="21"/>
        </w:rPr>
      </w:pPr>
      <w:r>
        <w:rPr>
          <w:rFonts w:hint="eastAsia" w:ascii="宋体" w:hAnsi="宋体" w:eastAsia="宋体"/>
          <w:color w:val="auto"/>
          <w:sz w:val="21"/>
          <w:szCs w:val="21"/>
        </w:rPr>
        <w:t>我方</w:t>
      </w:r>
      <w:r>
        <w:rPr>
          <w:rFonts w:ascii="宋体" w:hAnsi="宋体" w:eastAsia="宋体"/>
          <w:color w:val="auto"/>
          <w:sz w:val="21"/>
          <w:szCs w:val="21"/>
        </w:rPr>
        <w:t>愿响应</w:t>
      </w:r>
      <w:r>
        <w:rPr>
          <w:rFonts w:hint="eastAsia" w:ascii="宋体" w:hAnsi="宋体" w:eastAsia="宋体"/>
          <w:color w:val="auto"/>
          <w:sz w:val="21"/>
          <w:szCs w:val="21"/>
        </w:rPr>
        <w:t>贵</w:t>
      </w:r>
      <w:r>
        <w:rPr>
          <w:rFonts w:ascii="宋体" w:hAnsi="宋体" w:eastAsia="宋体"/>
          <w:color w:val="auto"/>
          <w:sz w:val="21"/>
          <w:szCs w:val="21"/>
        </w:rPr>
        <w:t>方</w:t>
      </w:r>
      <w:r>
        <w:rPr>
          <w:rFonts w:hint="eastAsia" w:ascii="宋体" w:hAnsi="宋体" w:eastAsia="宋体"/>
          <w:color w:val="auto"/>
          <w:sz w:val="21"/>
          <w:szCs w:val="21"/>
        </w:rPr>
        <w:t>关于（项目名称）</w:t>
      </w:r>
      <w:r>
        <w:rPr>
          <w:rFonts w:ascii="宋体" w:hAnsi="宋体" w:eastAsia="宋体"/>
          <w:color w:val="auto"/>
          <w:sz w:val="21"/>
          <w:szCs w:val="21"/>
        </w:rPr>
        <w:t>（</w:t>
      </w:r>
      <w:r>
        <w:rPr>
          <w:rFonts w:hint="eastAsia" w:ascii="宋体" w:hAnsi="宋体" w:eastAsia="宋体"/>
          <w:color w:val="auto"/>
          <w:sz w:val="21"/>
          <w:szCs w:val="21"/>
        </w:rPr>
        <w:t>采购项目编号</w:t>
      </w:r>
      <w:r>
        <w:rPr>
          <w:rFonts w:ascii="宋体" w:hAnsi="宋体" w:eastAsia="宋体"/>
          <w:color w:val="auto"/>
          <w:sz w:val="21"/>
          <w:szCs w:val="21"/>
        </w:rPr>
        <w:t>）</w:t>
      </w:r>
      <w:r>
        <w:rPr>
          <w:rFonts w:hint="eastAsia" w:ascii="宋体" w:hAnsi="宋体" w:eastAsia="宋体"/>
          <w:color w:val="auto"/>
          <w:sz w:val="21"/>
          <w:szCs w:val="21"/>
        </w:rPr>
        <w:t>的</w:t>
      </w:r>
      <w:r>
        <w:rPr>
          <w:rFonts w:ascii="宋体" w:hAnsi="宋体" w:eastAsia="宋体"/>
          <w:color w:val="auto"/>
          <w:sz w:val="21"/>
          <w:szCs w:val="21"/>
        </w:rPr>
        <w:t>投标邀请，参与投标，提供用户需求书中规定的</w:t>
      </w:r>
      <w:r>
        <w:rPr>
          <w:rFonts w:hint="eastAsia" w:ascii="宋体" w:hAnsi="宋体" w:eastAsia="宋体"/>
          <w:color w:val="auto"/>
          <w:sz w:val="21"/>
          <w:szCs w:val="21"/>
        </w:rPr>
        <w:t>货物及相关服务</w:t>
      </w:r>
      <w:r>
        <w:rPr>
          <w:rFonts w:ascii="宋体" w:hAnsi="宋体" w:eastAsia="宋体"/>
          <w:color w:val="auto"/>
          <w:sz w:val="21"/>
          <w:szCs w:val="21"/>
        </w:rPr>
        <w:t>，并按招标文件要求提交所附资格文件且声明和保证如下：</w:t>
      </w:r>
    </w:p>
    <w:p>
      <w:pPr>
        <w:ind w:firstLine="420" w:firstLineChars="200"/>
        <w:rPr>
          <w:rFonts w:ascii="宋体" w:hAnsi="宋体"/>
          <w:color w:val="auto"/>
          <w:szCs w:val="21"/>
        </w:rPr>
      </w:pPr>
      <w:r>
        <w:rPr>
          <w:rFonts w:hint="eastAsia" w:ascii="宋体" w:hAnsi="宋体"/>
          <w:color w:val="auto"/>
          <w:szCs w:val="21"/>
          <w:lang w:val="en-US" w:eastAsia="zh-CN"/>
        </w:rPr>
        <w:t>1</w:t>
      </w:r>
      <w:r>
        <w:rPr>
          <w:rFonts w:hint="eastAsia" w:ascii="宋体" w:hAnsi="宋体"/>
          <w:color w:val="auto"/>
          <w:szCs w:val="21"/>
        </w:rPr>
        <w:t>、我方具备投标人邀请中所要求得资格条件，已清楚招标文件所有要求及有关规定；并承诺参加本次采购活动中，如有违法、违规、弄虚作假行为，所造成的损失、不良后果及法律责任，一律由我方承担；</w:t>
      </w:r>
    </w:p>
    <w:p>
      <w:pPr>
        <w:ind w:firstLine="420" w:firstLineChars="200"/>
        <w:rPr>
          <w:rFonts w:ascii="宋体" w:hAnsi="宋体"/>
          <w:color w:val="auto"/>
          <w:szCs w:val="21"/>
        </w:rPr>
      </w:pPr>
      <w:r>
        <w:rPr>
          <w:rFonts w:hint="eastAsia" w:ascii="宋体" w:hAnsi="宋体"/>
          <w:color w:val="auto"/>
          <w:szCs w:val="21"/>
          <w:lang w:val="en-US" w:eastAsia="zh-CN"/>
        </w:rPr>
        <w:t>2</w:t>
      </w:r>
      <w:r>
        <w:rPr>
          <w:rFonts w:hint="eastAsia" w:ascii="宋体" w:hAnsi="宋体"/>
          <w:color w:val="auto"/>
          <w:szCs w:val="21"/>
        </w:rPr>
        <w:t>、</w:t>
      </w:r>
      <w:r>
        <w:rPr>
          <w:rFonts w:ascii="宋体" w:hAnsi="宋体"/>
          <w:color w:val="auto"/>
          <w:szCs w:val="21"/>
        </w:rPr>
        <w:t>我方依法注册，在法律上、财务上和运作上完全独立于（甲方名称）（甲方）及</w:t>
      </w:r>
      <w:r>
        <w:rPr>
          <w:rFonts w:hint="eastAsia" w:ascii="宋体" w:hAnsi="宋体"/>
          <w:color w:val="auto"/>
          <w:szCs w:val="21"/>
        </w:rPr>
        <w:t>广东政通招标有限公司</w:t>
      </w:r>
      <w:r>
        <w:rPr>
          <w:rFonts w:ascii="宋体" w:hAnsi="宋体"/>
          <w:color w:val="auto"/>
          <w:szCs w:val="21"/>
        </w:rPr>
        <w:t>（采购代理机构）</w:t>
      </w:r>
      <w:r>
        <w:rPr>
          <w:rFonts w:hint="eastAsia" w:ascii="宋体" w:hAnsi="宋体"/>
          <w:color w:val="auto"/>
          <w:szCs w:val="21"/>
        </w:rPr>
        <w:t>。</w:t>
      </w:r>
    </w:p>
    <w:p>
      <w:pPr>
        <w:pStyle w:val="36"/>
        <w:spacing w:line="500" w:lineRule="atLeast"/>
        <w:ind w:firstLine="3517" w:firstLineChars="1675"/>
        <w:rPr>
          <w:rFonts w:ascii="宋体" w:eastAsia="宋体"/>
          <w:color w:val="auto"/>
          <w:sz w:val="21"/>
          <w:szCs w:val="21"/>
        </w:rPr>
      </w:pPr>
    </w:p>
    <w:p>
      <w:pPr>
        <w:pStyle w:val="36"/>
        <w:spacing w:line="500" w:lineRule="atLeast"/>
        <w:ind w:firstLine="3517" w:firstLineChars="1675"/>
        <w:rPr>
          <w:rFonts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日     期：</w:t>
      </w:r>
    </w:p>
    <w:p>
      <w:pPr>
        <w:jc w:val="both"/>
        <w:rPr>
          <w:rFonts w:ascii="宋体" w:hAnsi="宋体" w:eastAsia="宋体"/>
          <w:color w:val="auto"/>
          <w:sz w:val="21"/>
          <w:szCs w:val="21"/>
        </w:rPr>
      </w:pPr>
    </w:p>
    <w:p>
      <w:pPr>
        <w:pStyle w:val="7"/>
        <w:rPr>
          <w:rFonts w:ascii="宋体" w:hAnsi="宋体" w:eastAsia="宋体"/>
          <w:color w:val="auto"/>
          <w:sz w:val="21"/>
          <w:szCs w:val="21"/>
        </w:rPr>
      </w:pPr>
    </w:p>
    <w:p>
      <w:pPr>
        <w:rPr>
          <w:rFonts w:ascii="宋体" w:hAnsi="宋体" w:eastAsia="宋体"/>
          <w:color w:val="auto"/>
          <w:sz w:val="21"/>
          <w:szCs w:val="21"/>
        </w:rPr>
      </w:pPr>
    </w:p>
    <w:p>
      <w:pPr>
        <w:pStyle w:val="7"/>
        <w:rPr>
          <w:rFonts w:ascii="宋体" w:hAnsi="宋体" w:eastAsia="宋体"/>
          <w:color w:val="auto"/>
          <w:sz w:val="21"/>
          <w:szCs w:val="21"/>
        </w:rPr>
      </w:pPr>
    </w:p>
    <w:p>
      <w:pPr>
        <w:rPr>
          <w:rFonts w:ascii="宋体" w:hAnsi="宋体" w:eastAsia="宋体"/>
          <w:color w:val="auto"/>
          <w:sz w:val="21"/>
          <w:szCs w:val="21"/>
        </w:rPr>
      </w:pPr>
    </w:p>
    <w:p>
      <w:pPr>
        <w:pStyle w:val="7"/>
        <w:rPr>
          <w:rFonts w:ascii="宋体" w:hAnsi="宋体" w:eastAsia="宋体"/>
          <w:color w:val="auto"/>
          <w:sz w:val="21"/>
          <w:szCs w:val="21"/>
        </w:rPr>
      </w:pPr>
    </w:p>
    <w:p>
      <w:pPr>
        <w:rPr>
          <w:rFonts w:ascii="宋体" w:hAnsi="宋体" w:eastAsia="宋体"/>
          <w:color w:val="auto"/>
          <w:sz w:val="21"/>
          <w:szCs w:val="21"/>
        </w:rPr>
      </w:pPr>
    </w:p>
    <w:p>
      <w:pPr>
        <w:pStyle w:val="7"/>
        <w:rPr>
          <w:color w:val="auto"/>
        </w:rPr>
      </w:pPr>
    </w:p>
    <w:p>
      <w:pPr>
        <w:pStyle w:val="8"/>
        <w:rPr>
          <w:color w:val="auto"/>
        </w:rPr>
      </w:pPr>
    </w:p>
    <w:p>
      <w:pPr>
        <w:pStyle w:val="9"/>
        <w:rPr>
          <w:color w:val="auto"/>
        </w:rPr>
      </w:pPr>
    </w:p>
    <w:p>
      <w:pPr>
        <w:rPr>
          <w:color w:val="auto"/>
        </w:rPr>
      </w:pPr>
    </w:p>
    <w:p>
      <w:pPr>
        <w:pStyle w:val="7"/>
        <w:rPr>
          <w:color w:val="auto"/>
        </w:rPr>
      </w:pPr>
    </w:p>
    <w:p>
      <w:pPr>
        <w:rPr>
          <w:color w:val="auto"/>
        </w:rPr>
      </w:pPr>
      <w:bookmarkStart w:id="217" w:name="_Toc16412"/>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18" w:name="_Toc32742"/>
      <w:bookmarkStart w:id="219" w:name="_Toc21273"/>
      <w:r>
        <w:rPr>
          <w:rFonts w:hint="eastAsia"/>
          <w:color w:val="auto"/>
          <w:lang w:val="en-US" w:eastAsia="zh-CN"/>
        </w:rPr>
        <w:t>三、在参与采购活动前三年未有重大违法记录、没有不良信用记录的声明函</w:t>
      </w:r>
      <w:bookmarkEnd w:id="218"/>
      <w:bookmarkEnd w:id="219"/>
    </w:p>
    <w:p>
      <w:pPr>
        <w:spacing w:after="0" w:line="360" w:lineRule="auto"/>
        <w:ind w:firstLine="420" w:firstLineChars="200"/>
        <w:rPr>
          <w:rFonts w:ascii="宋体" w:hAnsi="宋体" w:eastAsia="宋体" w:cs="宋体"/>
          <w:color w:val="auto"/>
          <w:sz w:val="21"/>
          <w:szCs w:val="21"/>
        </w:rPr>
      </w:pPr>
    </w:p>
    <w:p>
      <w:pPr>
        <w:spacing w:after="0" w:line="480" w:lineRule="auto"/>
        <w:rPr>
          <w:rFonts w:ascii="宋体" w:hAnsi="宋体" w:eastAsia="宋体" w:cs="宋体"/>
          <w:color w:val="auto"/>
          <w:sz w:val="21"/>
          <w:szCs w:val="21"/>
        </w:rPr>
      </w:pPr>
      <w:r>
        <w:rPr>
          <w:rFonts w:hint="eastAsia" w:ascii="宋体" w:hAnsi="宋体" w:eastAsia="宋体" w:cs="宋体"/>
          <w:color w:val="auto"/>
          <w:sz w:val="21"/>
          <w:szCs w:val="21"/>
          <w:lang w:val="en-US" w:eastAsia="zh-CN"/>
        </w:rPr>
        <w:t>致</w:t>
      </w:r>
      <w:r>
        <w:rPr>
          <w:rFonts w:hint="eastAsia" w:ascii="宋体" w:hAnsi="宋体" w:eastAsia="宋体" w:cs="宋体"/>
          <w:color w:val="auto"/>
          <w:sz w:val="21"/>
          <w:szCs w:val="21"/>
          <w:lang w:eastAsia="zh-CN"/>
        </w:rPr>
        <w:t>广东政通招标有限公司</w:t>
      </w:r>
      <w:r>
        <w:rPr>
          <w:rFonts w:hint="eastAsia" w:ascii="宋体" w:hAnsi="宋体" w:eastAsia="宋体" w:cs="宋体"/>
          <w:color w:val="auto"/>
          <w:sz w:val="21"/>
          <w:szCs w:val="21"/>
        </w:rPr>
        <w:t>：</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我公司郑重承诺：在参加“</w:t>
      </w:r>
      <w:r>
        <w:rPr>
          <w:rFonts w:hint="eastAsia" w:ascii="宋体" w:hAnsi="宋体" w:eastAsia="宋体" w:cs="宋体"/>
          <w:color w:val="auto"/>
          <w:sz w:val="21"/>
          <w:szCs w:val="21"/>
          <w:u w:val="single"/>
        </w:rPr>
        <w:t>（采购项目名称）</w:t>
      </w:r>
      <w:r>
        <w:rPr>
          <w:rFonts w:hint="eastAsia" w:ascii="宋体" w:hAnsi="宋体" w:eastAsia="宋体" w:cs="宋体"/>
          <w:color w:val="auto"/>
          <w:sz w:val="21"/>
          <w:szCs w:val="21"/>
        </w:rPr>
        <w:t>” （项目编号:</w:t>
      </w:r>
      <w:r>
        <w:rPr>
          <w:rFonts w:hint="eastAsia" w:ascii="宋体" w:hAnsi="宋体" w:eastAsia="宋体" w:cs="宋体"/>
          <w:color w:val="auto"/>
          <w:sz w:val="21"/>
          <w:szCs w:val="21"/>
          <w:u w:val="single"/>
          <w:lang w:val="en-US" w:eastAsia="zh-CN"/>
        </w:rPr>
        <w:t xml:space="preserve">       </w:t>
      </w:r>
      <w:r>
        <w:rPr>
          <w:rFonts w:hint="eastAsia" w:ascii="宋体" w:hAnsi="宋体" w:eastAsia="宋体" w:cs="宋体"/>
          <w:color w:val="auto"/>
          <w:sz w:val="21"/>
          <w:szCs w:val="21"/>
        </w:rPr>
        <w:t>）采购活动前三年内（设立不满三年的从设立之日计算），在经营活动中没有因违法经营受到刑事处罚或者责令停产停业、吊销许可证或者执照、较大数额罚款等行政处罚。至本项目提交投标文件截止时间止未被列入“信用中国”网站及“中国政府采购网”失信被执行人、重大税收违法案件当事人名单、政府采购严重违法失信行为记录名单。</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我公司以上承诺均为真实有效，绝无任何虚假、伪造的成份，否则，愿承担相应的后果和法律责任。</w:t>
      </w:r>
    </w:p>
    <w:p>
      <w:pPr>
        <w:spacing w:after="0" w:line="360" w:lineRule="auto"/>
        <w:ind w:firstLine="420" w:firstLineChars="200"/>
        <w:rPr>
          <w:rFonts w:ascii="宋体" w:hAnsi="宋体" w:eastAsia="宋体" w:cs="宋体"/>
          <w:color w:val="auto"/>
          <w:sz w:val="21"/>
          <w:szCs w:val="21"/>
        </w:rPr>
      </w:pPr>
    </w:p>
    <w:p>
      <w:pPr>
        <w:spacing w:after="0" w:line="360" w:lineRule="auto"/>
        <w:rPr>
          <w:rFonts w:ascii="宋体" w:hAnsi="宋体" w:eastAsia="宋体" w:cs="宋体"/>
          <w:color w:val="auto"/>
          <w:sz w:val="21"/>
          <w:szCs w:val="21"/>
        </w:rPr>
      </w:pP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lang w:eastAsia="zh-CN"/>
        </w:rPr>
        <w:t>投标人名称（加盖公章）</w:t>
      </w:r>
      <w:r>
        <w:rPr>
          <w:rFonts w:hint="eastAsia" w:ascii="宋体" w:hAnsi="宋体" w:eastAsia="宋体" w:cs="宋体"/>
          <w:color w:val="auto"/>
          <w:sz w:val="21"/>
          <w:szCs w:val="21"/>
        </w:rPr>
        <w:t>：</w:t>
      </w:r>
    </w:p>
    <w:p>
      <w:pPr>
        <w:spacing w:after="0" w:line="36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日期：</w:t>
      </w:r>
    </w:p>
    <w:p>
      <w:pPr>
        <w:adjustRightInd/>
        <w:snapToGrid/>
        <w:spacing w:line="276" w:lineRule="auto"/>
        <w:rPr>
          <w:color w:val="auto"/>
        </w:rPr>
      </w:pPr>
      <w:r>
        <w:rPr>
          <w:rFonts w:ascii="楷体_GB2312" w:eastAsia="楷体_GB2312"/>
          <w:color w:val="auto"/>
          <w:sz w:val="24"/>
        </w:rPr>
        <w:br w:type="page"/>
      </w:r>
      <w:bookmarkEnd w:id="217"/>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20" w:name="_Toc13243"/>
      <w:bookmarkStart w:id="221" w:name="_Toc3894"/>
      <w:r>
        <w:rPr>
          <w:rFonts w:hint="eastAsia"/>
          <w:color w:val="auto"/>
          <w:lang w:val="en-US" w:eastAsia="zh-CN"/>
        </w:rPr>
        <w:t>四、法定代表人证明书</w:t>
      </w:r>
      <w:bookmarkEnd w:id="220"/>
      <w:bookmarkEnd w:id="221"/>
    </w:p>
    <w:p>
      <w:pPr>
        <w:pStyle w:val="36"/>
        <w:spacing w:line="420" w:lineRule="atLeast"/>
        <w:ind w:firstLine="0" w:firstLineChars="0"/>
        <w:rPr>
          <w:rFonts w:hint="eastAsia" w:ascii="宋体" w:eastAsia="宋体"/>
          <w:color w:val="auto"/>
          <w:sz w:val="21"/>
          <w:szCs w:val="21"/>
          <w:lang w:eastAsia="zh-CN"/>
        </w:rPr>
      </w:pPr>
      <w:r>
        <w:rPr>
          <w:rFonts w:hint="eastAsia" w:ascii="宋体" w:eastAsia="宋体"/>
          <w:color w:val="auto"/>
          <w:sz w:val="21"/>
          <w:szCs w:val="21"/>
        </w:rPr>
        <w:t>致</w:t>
      </w:r>
      <w:r>
        <w:rPr>
          <w:rFonts w:hint="eastAsia" w:ascii="宋体" w:eastAsia="宋体"/>
          <w:color w:val="auto"/>
          <w:sz w:val="21"/>
          <w:szCs w:val="21"/>
          <w:lang w:eastAsia="zh-CN"/>
        </w:rPr>
        <w:t>广东政通招标有限公司：</w:t>
      </w:r>
    </w:p>
    <w:p>
      <w:pPr>
        <w:pStyle w:val="36"/>
        <w:spacing w:line="420" w:lineRule="atLeast"/>
        <w:ind w:firstLine="433"/>
        <w:rPr>
          <w:rFonts w:ascii="宋体" w:eastAsia="宋体"/>
          <w:color w:val="auto"/>
          <w:sz w:val="21"/>
          <w:szCs w:val="21"/>
        </w:rPr>
      </w:pPr>
    </w:p>
    <w:p>
      <w:pPr>
        <w:pStyle w:val="36"/>
        <w:spacing w:line="360" w:lineRule="auto"/>
        <w:ind w:firstLine="420" w:firstLineChars="200"/>
        <w:rPr>
          <w:rFonts w:hint="eastAsia" w:ascii="宋体" w:eastAsia="宋体"/>
          <w:color w:val="auto"/>
          <w:kern w:val="0"/>
          <w:sz w:val="21"/>
          <w:szCs w:val="21"/>
        </w:rPr>
      </w:pPr>
      <w:r>
        <w:rPr>
          <w:rFonts w:hint="eastAsia" w:ascii="宋体" w:eastAsia="宋体"/>
          <w:color w:val="auto"/>
          <w:kern w:val="0"/>
          <w:sz w:val="21"/>
          <w:szCs w:val="21"/>
        </w:rPr>
        <w:t>本证明书声明：</w:t>
      </w:r>
      <w:r>
        <w:rPr>
          <w:rFonts w:hint="eastAsia" w:ascii="宋体" w:eastAsia="宋体"/>
          <w:color w:val="auto"/>
          <w:sz w:val="21"/>
          <w:szCs w:val="21"/>
        </w:rPr>
        <w:t>注册于</w:t>
      </w:r>
      <w:r>
        <w:rPr>
          <w:rFonts w:hint="eastAsia" w:ascii="宋体" w:eastAsia="宋体"/>
          <w:color w:val="auto"/>
          <w:sz w:val="21"/>
          <w:szCs w:val="21"/>
          <w:u w:val="single"/>
        </w:rPr>
        <w:t xml:space="preserve">  （国家或地区）  </w:t>
      </w:r>
      <w:r>
        <w:rPr>
          <w:rFonts w:hint="eastAsia" w:ascii="宋体" w:eastAsia="宋体"/>
          <w:color w:val="auto"/>
          <w:sz w:val="21"/>
          <w:szCs w:val="21"/>
        </w:rPr>
        <w:t>的</w:t>
      </w:r>
      <w:r>
        <w:rPr>
          <w:rFonts w:hint="eastAsia" w:ascii="宋体" w:eastAsia="宋体"/>
          <w:color w:val="auto"/>
          <w:sz w:val="21"/>
          <w:szCs w:val="21"/>
          <w:u w:val="single"/>
        </w:rPr>
        <w:t xml:space="preserve">   （投标人名称）  </w:t>
      </w:r>
      <w:r>
        <w:rPr>
          <w:rFonts w:hint="eastAsia" w:ascii="宋体" w:eastAsia="宋体"/>
          <w:color w:val="auto"/>
          <w:sz w:val="21"/>
          <w:szCs w:val="21"/>
        </w:rPr>
        <w:t xml:space="preserve">的在下面签字的 </w:t>
      </w:r>
      <w:r>
        <w:rPr>
          <w:rFonts w:hint="eastAsia" w:ascii="宋体" w:eastAsia="宋体"/>
          <w:color w:val="auto"/>
          <w:sz w:val="21"/>
          <w:szCs w:val="21"/>
          <w:u w:val="single"/>
        </w:rPr>
        <w:t xml:space="preserve">   （法定代表人姓名、职务）  </w:t>
      </w:r>
      <w:r>
        <w:rPr>
          <w:rFonts w:hint="eastAsia" w:ascii="宋体" w:eastAsia="宋体"/>
          <w:color w:val="auto"/>
          <w:kern w:val="0"/>
          <w:sz w:val="21"/>
          <w:szCs w:val="21"/>
        </w:rPr>
        <w:t>为本公司的法定代表人。</w:t>
      </w:r>
    </w:p>
    <w:p>
      <w:pPr>
        <w:spacing w:line="420" w:lineRule="atLeast"/>
        <w:ind w:firstLine="420" w:firstLineChars="200"/>
        <w:rPr>
          <w:rFonts w:ascii="宋体" w:hAnsi="宋体" w:eastAsia="宋体"/>
          <w:color w:val="auto"/>
          <w:sz w:val="21"/>
          <w:szCs w:val="21"/>
        </w:rPr>
      </w:pPr>
      <w:r>
        <w:rPr>
          <w:rFonts w:hint="eastAsia" w:ascii="宋体" w:hAnsi="宋体" w:eastAsia="宋体"/>
          <w:color w:val="auto"/>
          <w:sz w:val="21"/>
          <w:szCs w:val="21"/>
        </w:rPr>
        <w:t>特此证明。</w:t>
      </w:r>
    </w:p>
    <w:p>
      <w:pPr>
        <w:pStyle w:val="36"/>
        <w:spacing w:line="500" w:lineRule="atLeast"/>
        <w:ind w:firstLine="3517" w:firstLineChars="1675"/>
        <w:rPr>
          <w:rFonts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法定代表人（签名或盖私章）：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联系方式：</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身份证号码：</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日     期：</w:t>
      </w:r>
    </w:p>
    <w:p>
      <w:pPr>
        <w:ind w:firstLine="420" w:firstLineChars="200"/>
        <w:rPr>
          <w:rFonts w:ascii="宋体" w:hAnsi="宋体" w:eastAsia="宋体"/>
          <w:color w:val="auto"/>
          <w:sz w:val="21"/>
          <w:szCs w:val="21"/>
        </w:rPr>
      </w:pPr>
    </w:p>
    <w:p>
      <w:pPr>
        <w:ind w:firstLine="420" w:firstLineChars="200"/>
        <w:rPr>
          <w:rFonts w:ascii="宋体" w:hAnsi="宋体" w:eastAsia="宋体"/>
          <w:color w:val="auto"/>
          <w:sz w:val="21"/>
          <w:szCs w:val="21"/>
        </w:rPr>
      </w:pPr>
      <w:r>
        <w:rPr>
          <w:rFonts w:hint="eastAsia" w:ascii="宋体" w:hAnsi="宋体" w:eastAsia="宋体"/>
          <w:color w:val="auto"/>
          <w:sz w:val="21"/>
          <w:szCs w:val="21"/>
        </w:rPr>
        <w:t>注：</w:t>
      </w:r>
      <w:r>
        <w:rPr>
          <w:rFonts w:hint="eastAsia" w:ascii="宋体" w:hAnsi="宋体" w:eastAsia="宋体"/>
          <w:color w:val="auto"/>
          <w:sz w:val="21"/>
          <w:szCs w:val="21"/>
          <w:lang w:val="en-US" w:eastAsia="zh-CN"/>
        </w:rPr>
        <w:t>须</w:t>
      </w:r>
      <w:r>
        <w:rPr>
          <w:rFonts w:hint="eastAsia" w:ascii="宋体" w:hAnsi="宋体" w:eastAsia="宋体"/>
          <w:color w:val="auto"/>
          <w:sz w:val="21"/>
          <w:szCs w:val="21"/>
        </w:rPr>
        <w:t>附法人代表身份证复印件。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pStyle w:val="36"/>
              <w:spacing w:line="460" w:lineRule="exact"/>
              <w:ind w:firstLine="0" w:firstLineChars="0"/>
              <w:jc w:val="center"/>
              <w:rPr>
                <w:rFonts w:ascii="宋体" w:eastAsia="宋体"/>
                <w:color w:val="auto"/>
                <w:sz w:val="22"/>
              </w:rPr>
            </w:pPr>
            <w:r>
              <w:rPr>
                <w:rFonts w:hint="eastAsia" w:ascii="宋体" w:hAnsi="宋体" w:eastAsia="宋体"/>
                <w:color w:val="auto"/>
                <w:sz w:val="21"/>
                <w:szCs w:val="21"/>
              </w:rPr>
              <w:t>法人代表身份证</w:t>
            </w:r>
            <w:r>
              <w:rPr>
                <w:rFonts w:hint="eastAsia" w:ascii="宋体" w:eastAsia="宋体"/>
                <w:color w:val="auto"/>
                <w:sz w:val="21"/>
                <w:szCs w:val="21"/>
                <w:lang w:eastAsia="zh-CN"/>
              </w:rPr>
              <w:t>：</w:t>
            </w:r>
            <w:r>
              <w:rPr>
                <w:rFonts w:hint="eastAsia" w:ascii="宋体" w:eastAsia="宋体"/>
                <w:color w:val="auto"/>
                <w:sz w:val="21"/>
                <w:szCs w:val="21"/>
                <w:lang w:val="en-US" w:eastAsia="zh-CN"/>
              </w:rPr>
              <w:t>正面、反面</w:t>
            </w:r>
            <w:r>
              <w:rPr>
                <w:rFonts w:hint="eastAsia" w:ascii="宋体" w:hAnsi="宋体" w:eastAsia="宋体"/>
                <w:color w:val="auto"/>
                <w:sz w:val="21"/>
                <w:szCs w:val="21"/>
              </w:rPr>
              <w:t>复印件</w:t>
            </w:r>
          </w:p>
        </w:tc>
      </w:tr>
    </w:tbl>
    <w:p>
      <w:pPr>
        <w:rPr>
          <w:color w:val="auto"/>
        </w:rPr>
      </w:pPr>
    </w:p>
    <w:p>
      <w:pPr>
        <w:adjustRightInd/>
        <w:snapToGrid/>
        <w:spacing w:line="276" w:lineRule="auto"/>
        <w:rPr>
          <w:color w:val="auto"/>
        </w:rPr>
      </w:pPr>
      <w:r>
        <w:rPr>
          <w:rFonts w:ascii="楷体_GB2312" w:eastAsia="楷体_GB2312"/>
          <w:color w:val="auto"/>
          <w:sz w:val="24"/>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22" w:name="_Toc5918"/>
      <w:bookmarkStart w:id="223" w:name="_Toc5626"/>
      <w:r>
        <w:rPr>
          <w:rFonts w:hint="eastAsia"/>
          <w:color w:val="auto"/>
          <w:lang w:val="en-US" w:eastAsia="zh-CN"/>
        </w:rPr>
        <w:t>五、法定代表人授权书</w:t>
      </w:r>
      <w:bookmarkEnd w:id="222"/>
      <w:bookmarkEnd w:id="223"/>
    </w:p>
    <w:p>
      <w:pPr>
        <w:pStyle w:val="36"/>
        <w:spacing w:line="420" w:lineRule="atLeast"/>
        <w:ind w:firstLine="0" w:firstLineChars="0"/>
        <w:rPr>
          <w:rFonts w:hint="eastAsia" w:ascii="宋体" w:eastAsia="宋体"/>
          <w:color w:val="auto"/>
          <w:sz w:val="21"/>
          <w:szCs w:val="21"/>
          <w:lang w:eastAsia="zh-CN"/>
        </w:rPr>
      </w:pPr>
      <w:r>
        <w:rPr>
          <w:rFonts w:hint="eastAsia" w:ascii="宋体" w:eastAsia="宋体"/>
          <w:color w:val="auto"/>
          <w:sz w:val="21"/>
          <w:szCs w:val="21"/>
        </w:rPr>
        <w:t>致</w:t>
      </w:r>
      <w:r>
        <w:rPr>
          <w:rFonts w:hint="eastAsia" w:ascii="宋体" w:eastAsia="宋体"/>
          <w:color w:val="auto"/>
          <w:sz w:val="21"/>
          <w:szCs w:val="21"/>
          <w:lang w:eastAsia="zh-CN"/>
        </w:rPr>
        <w:t>广东政通招标有限公司：</w:t>
      </w:r>
    </w:p>
    <w:p>
      <w:pPr>
        <w:pStyle w:val="36"/>
        <w:spacing w:line="420" w:lineRule="atLeast"/>
        <w:ind w:firstLine="433"/>
        <w:rPr>
          <w:rFonts w:ascii="宋体" w:eastAsia="宋体"/>
          <w:color w:val="auto"/>
          <w:sz w:val="21"/>
          <w:szCs w:val="21"/>
        </w:rPr>
      </w:pPr>
    </w:p>
    <w:p>
      <w:pPr>
        <w:spacing w:after="0" w:line="360" w:lineRule="auto"/>
        <w:ind w:firstLine="420" w:firstLineChars="200"/>
        <w:rPr>
          <w:rFonts w:hint="eastAsia" w:ascii="宋体" w:hAnsi="宋体" w:eastAsia="宋体" w:cs="Times New Roman"/>
          <w:color w:val="auto"/>
          <w:sz w:val="21"/>
          <w:szCs w:val="21"/>
        </w:rPr>
      </w:pPr>
      <w:r>
        <w:rPr>
          <w:rFonts w:hint="eastAsia" w:ascii="宋体" w:hAnsi="宋体" w:eastAsia="宋体" w:cs="Times New Roman"/>
          <w:color w:val="auto"/>
          <w:sz w:val="21"/>
          <w:szCs w:val="21"/>
        </w:rPr>
        <w:t>本授权书声明：本人</w:t>
      </w:r>
      <w:r>
        <w:rPr>
          <w:rFonts w:hint="eastAsia" w:ascii="宋体" w:hAnsi="宋体" w:eastAsia="宋体" w:cs="Times New Roman"/>
          <w:color w:val="auto"/>
          <w:sz w:val="21"/>
          <w:szCs w:val="21"/>
          <w:u w:val="single"/>
        </w:rPr>
        <w:t xml:space="preserve">   （姓名、职务）  </w:t>
      </w:r>
      <w:r>
        <w:rPr>
          <w:rFonts w:hint="eastAsia" w:ascii="宋体" w:hAnsi="宋体" w:eastAsia="宋体" w:cs="Times New Roman"/>
          <w:color w:val="auto"/>
          <w:sz w:val="21"/>
          <w:szCs w:val="21"/>
        </w:rPr>
        <w:t>系</w:t>
      </w:r>
      <w:r>
        <w:rPr>
          <w:rFonts w:hint="eastAsia" w:ascii="宋体" w:hAnsi="宋体" w:eastAsia="宋体" w:cs="Times New Roman"/>
          <w:color w:val="auto"/>
          <w:sz w:val="21"/>
          <w:szCs w:val="21"/>
          <w:u w:val="single"/>
        </w:rPr>
        <w:t xml:space="preserve">     （投标人名称）    </w:t>
      </w:r>
      <w:r>
        <w:rPr>
          <w:rFonts w:hint="eastAsia" w:ascii="宋体" w:hAnsi="宋体" w:eastAsia="宋体" w:cs="Times New Roman"/>
          <w:color w:val="auto"/>
          <w:sz w:val="21"/>
          <w:szCs w:val="21"/>
        </w:rPr>
        <w:t>的法定代表人，现委托</w:t>
      </w:r>
      <w:r>
        <w:rPr>
          <w:rFonts w:hint="eastAsia" w:ascii="宋体" w:hAnsi="宋体" w:eastAsia="宋体" w:cs="Times New Roman"/>
          <w:color w:val="auto"/>
          <w:sz w:val="21"/>
          <w:szCs w:val="21"/>
          <w:u w:val="single"/>
        </w:rPr>
        <w:t xml:space="preserve"> （姓名、职务） </w:t>
      </w:r>
      <w:r>
        <w:rPr>
          <w:rFonts w:hint="eastAsia" w:ascii="宋体" w:hAnsi="宋体" w:eastAsia="宋体" w:cs="Times New Roman"/>
          <w:color w:val="auto"/>
          <w:sz w:val="21"/>
          <w:szCs w:val="21"/>
        </w:rPr>
        <w:t>为我方合法代理人。代理人根据授权，以我方名义签署、澄清、说明、补正、递交、撤回、修改</w:t>
      </w:r>
      <w:r>
        <w:rPr>
          <w:rFonts w:hint="eastAsia" w:ascii="宋体" w:hAnsi="宋体" w:eastAsia="宋体" w:cs="Times New Roman"/>
          <w:color w:val="auto"/>
          <w:sz w:val="21"/>
          <w:szCs w:val="21"/>
          <w:u w:val="single"/>
        </w:rPr>
        <w:t xml:space="preserve"> （项目名称）</w:t>
      </w:r>
      <w:r>
        <w:rPr>
          <w:rFonts w:hint="eastAsia" w:ascii="宋体" w:hAnsi="宋体" w:eastAsia="宋体" w:cs="Times New Roman"/>
          <w:color w:val="auto"/>
          <w:sz w:val="21"/>
          <w:szCs w:val="21"/>
        </w:rPr>
        <w:t>（项目编号：</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）投标文件、签订合同和处理有关事宜，其法律后果由我方承担。</w:t>
      </w:r>
    </w:p>
    <w:p>
      <w:pPr>
        <w:spacing w:after="0" w:line="360" w:lineRule="auto"/>
        <w:ind w:firstLine="315" w:firstLineChars="150"/>
        <w:rPr>
          <w:rFonts w:ascii="宋体" w:hAnsi="宋体" w:eastAsia="宋体" w:cs="Times New Roman"/>
          <w:color w:val="auto"/>
          <w:sz w:val="21"/>
          <w:szCs w:val="21"/>
        </w:rPr>
      </w:pPr>
      <w:r>
        <w:rPr>
          <w:rFonts w:hint="eastAsia" w:ascii="宋体" w:hAnsi="宋体" w:eastAsia="宋体" w:cs="Times New Roman"/>
          <w:color w:val="auto"/>
          <w:sz w:val="21"/>
          <w:szCs w:val="21"/>
        </w:rPr>
        <w:t>本授权书于</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年</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月</w:t>
      </w:r>
      <w:r>
        <w:rPr>
          <w:rFonts w:hint="eastAsia" w:ascii="宋体" w:hAnsi="宋体" w:eastAsia="宋体" w:cs="Times New Roman"/>
          <w:color w:val="auto"/>
          <w:sz w:val="21"/>
          <w:szCs w:val="21"/>
          <w:u w:val="single"/>
        </w:rPr>
        <w:t>　　</w:t>
      </w:r>
      <w:r>
        <w:rPr>
          <w:rFonts w:hint="eastAsia" w:ascii="宋体" w:hAnsi="宋体" w:eastAsia="宋体" w:cs="Times New Roman"/>
          <w:color w:val="auto"/>
          <w:sz w:val="21"/>
          <w:szCs w:val="21"/>
        </w:rPr>
        <w:t>日签字生效，特此声明。</w:t>
      </w:r>
    </w:p>
    <w:p>
      <w:pPr>
        <w:pStyle w:val="36"/>
        <w:spacing w:line="500" w:lineRule="atLeast"/>
        <w:ind w:firstLine="3517" w:firstLineChars="1675"/>
        <w:rPr>
          <w:rFonts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投标人名称（加盖公章）：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法定代表人签字（签名或盖私章）：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被授权人签字：</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lang w:val="en-US" w:eastAsia="zh-CN"/>
        </w:rPr>
        <w:t>联系方式</w:t>
      </w:r>
      <w:r>
        <w:rPr>
          <w:rFonts w:hint="eastAsia"/>
          <w:color w:val="auto"/>
        </w:rPr>
        <w:t xml:space="preserve">：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 xml:space="preserve">邮箱：                          </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日     期：</w:t>
      </w:r>
    </w:p>
    <w:p>
      <w:pPr>
        <w:pStyle w:val="36"/>
        <w:spacing w:line="460" w:lineRule="exact"/>
        <w:ind w:firstLine="433"/>
        <w:rPr>
          <w:rFonts w:ascii="宋体" w:eastAsia="宋体"/>
          <w:color w:val="auto"/>
          <w:sz w:val="21"/>
          <w:szCs w:val="21"/>
        </w:rPr>
      </w:pPr>
    </w:p>
    <w:p>
      <w:pPr>
        <w:ind w:firstLine="420" w:firstLineChars="200"/>
        <w:rPr>
          <w:rFonts w:eastAsia="宋体"/>
          <w:color w:val="auto"/>
        </w:rPr>
      </w:pPr>
      <w:r>
        <w:rPr>
          <w:rFonts w:hint="eastAsia" w:ascii="宋体" w:hAnsi="宋体" w:eastAsia="宋体"/>
          <w:color w:val="auto"/>
          <w:sz w:val="21"/>
          <w:szCs w:val="21"/>
          <w:lang w:val="en-US" w:eastAsia="zh-CN"/>
        </w:rPr>
        <w:t>注：须附</w:t>
      </w:r>
      <w:r>
        <w:rPr>
          <w:rFonts w:hint="eastAsia" w:ascii="宋体" w:hAnsi="宋体" w:eastAsia="宋体"/>
          <w:color w:val="auto"/>
          <w:sz w:val="21"/>
          <w:szCs w:val="21"/>
        </w:rPr>
        <w:t>被授权人身份证复印件。</w:t>
      </w:r>
    </w:p>
    <w:tbl>
      <w:tblPr>
        <w:tblStyle w:val="23"/>
        <w:tblW w:w="5732" w:type="dxa"/>
        <w:jc w:val="center"/>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Layout w:type="fixed"/>
        <w:tblCellMar>
          <w:top w:w="0" w:type="dxa"/>
          <w:left w:w="108" w:type="dxa"/>
          <w:bottom w:w="0" w:type="dxa"/>
          <w:right w:w="108" w:type="dxa"/>
        </w:tblCellMar>
      </w:tblPr>
      <w:tblGrid>
        <w:gridCol w:w="5732"/>
      </w:tblGrid>
      <w:tr>
        <w:tblPrEx>
          <w:tblBorders>
            <w:top w:val="dashed" w:color="auto" w:sz="4" w:space="0"/>
            <w:left w:val="dashed" w:color="auto" w:sz="4" w:space="0"/>
            <w:bottom w:val="dashed" w:color="auto" w:sz="4" w:space="0"/>
            <w:right w:val="dashed" w:color="auto" w:sz="4" w:space="0"/>
            <w:insideH w:val="dashed" w:color="auto" w:sz="4" w:space="0"/>
            <w:insideV w:val="dashed" w:color="auto" w:sz="4" w:space="0"/>
          </w:tblBorders>
          <w:tblCellMar>
            <w:top w:w="0" w:type="dxa"/>
            <w:left w:w="108" w:type="dxa"/>
            <w:bottom w:w="0" w:type="dxa"/>
            <w:right w:w="108" w:type="dxa"/>
          </w:tblCellMar>
        </w:tblPrEx>
        <w:trPr>
          <w:trHeight w:val="3627" w:hRule="atLeast"/>
          <w:jc w:val="center"/>
        </w:trPr>
        <w:tc>
          <w:tcPr>
            <w:tcW w:w="5732" w:type="dxa"/>
            <w:vAlign w:val="center"/>
          </w:tcPr>
          <w:p>
            <w:pPr>
              <w:adjustRightInd/>
              <w:snapToGrid/>
              <w:spacing w:line="276" w:lineRule="auto"/>
              <w:rPr>
                <w:rFonts w:ascii="宋体" w:eastAsia="宋体"/>
                <w:color w:val="auto"/>
                <w:sz w:val="22"/>
              </w:rPr>
            </w:pPr>
            <w:bookmarkStart w:id="224" w:name="_Toc22486"/>
            <w:r>
              <w:rPr>
                <w:rFonts w:hint="eastAsia" w:ascii="宋体" w:hAnsi="宋体" w:eastAsia="宋体"/>
                <w:color w:val="auto"/>
                <w:sz w:val="21"/>
                <w:szCs w:val="21"/>
              </w:rPr>
              <w:t>被授权人身份证</w:t>
            </w:r>
            <w:r>
              <w:rPr>
                <w:rFonts w:hint="eastAsia" w:ascii="宋体" w:eastAsia="宋体"/>
                <w:color w:val="auto"/>
                <w:sz w:val="21"/>
                <w:szCs w:val="21"/>
                <w:lang w:eastAsia="zh-CN"/>
              </w:rPr>
              <w:t>：</w:t>
            </w:r>
            <w:r>
              <w:rPr>
                <w:rFonts w:hint="eastAsia" w:ascii="宋体" w:eastAsia="宋体"/>
                <w:color w:val="auto"/>
                <w:sz w:val="21"/>
                <w:szCs w:val="21"/>
                <w:lang w:val="en-US" w:eastAsia="zh-CN"/>
              </w:rPr>
              <w:t>正面、反面</w:t>
            </w:r>
            <w:r>
              <w:rPr>
                <w:rFonts w:hint="eastAsia" w:ascii="宋体" w:hAnsi="宋体" w:eastAsia="宋体"/>
                <w:color w:val="auto"/>
                <w:sz w:val="21"/>
                <w:szCs w:val="21"/>
              </w:rPr>
              <w:t>复印件</w:t>
            </w:r>
          </w:p>
        </w:tc>
      </w:tr>
    </w:tbl>
    <w:p>
      <w:pPr>
        <w:adjustRightInd/>
        <w:snapToGrid/>
        <w:spacing w:line="276" w:lineRule="auto"/>
        <w:rPr>
          <w:color w:val="auto"/>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right="0"/>
        <w:jc w:val="center"/>
        <w:textAlignment w:val="auto"/>
        <w:rPr>
          <w:rFonts w:hint="eastAsia" w:ascii="宋体" w:eastAsia="宋体"/>
          <w:color w:val="auto"/>
          <w:sz w:val="21"/>
          <w:szCs w:val="21"/>
        </w:rPr>
      </w:pPr>
      <w:r>
        <w:rPr>
          <w:rFonts w:hint="eastAsia" w:asci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25" w:name="_Toc18562"/>
      <w:bookmarkStart w:id="226" w:name="_Toc24013"/>
      <w:r>
        <w:rPr>
          <w:rFonts w:hint="eastAsia"/>
          <w:color w:val="auto"/>
          <w:lang w:val="en-US" w:eastAsia="zh-CN"/>
        </w:rPr>
        <w:t>六、投标人基本情况说明</w:t>
      </w:r>
      <w:bookmarkEnd w:id="225"/>
      <w:bookmarkEnd w:id="226"/>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一、投标人基本情况</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1、投标人名称：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2、地    址：                                                                   </w:t>
      </w:r>
      <w:r>
        <w:rPr>
          <w:rFonts w:hint="eastAsia" w:ascii="宋体" w:hAnsi="宋体" w:eastAsia="宋体" w:cs="宋体"/>
          <w:color w:val="auto"/>
          <w:sz w:val="21"/>
          <w:szCs w:val="21"/>
          <w:highlight w:val="none"/>
          <w:u w:val="single"/>
        </w:rPr>
        <w:t xml:space="preserve"> </w:t>
      </w:r>
    </w:p>
    <w:p>
      <w:pPr>
        <w:keepNext w:val="0"/>
        <w:keepLines w:val="0"/>
        <w:pageBreakBefore w:val="0"/>
        <w:widowControl/>
        <w:tabs>
          <w:tab w:val="left" w:pos="4678"/>
        </w:tabs>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3、电话号码：                             传    真：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u w:val="single"/>
        </w:rPr>
      </w:pPr>
      <w:r>
        <w:rPr>
          <w:rFonts w:hint="eastAsia" w:ascii="宋体" w:hAnsi="宋体" w:eastAsia="宋体" w:cs="宋体"/>
          <w:color w:val="auto"/>
          <w:sz w:val="21"/>
          <w:szCs w:val="21"/>
          <w:highlight w:val="none"/>
        </w:rPr>
        <w:t xml:space="preserve">4、注册资金：                             经济性质：                            </w:t>
      </w:r>
      <w:r>
        <w:rPr>
          <w:rFonts w:hint="eastAsia" w:ascii="宋体" w:hAnsi="宋体" w:eastAsia="宋体" w:cs="宋体"/>
          <w:color w:val="auto"/>
          <w:sz w:val="21"/>
          <w:szCs w:val="21"/>
          <w:highlight w:val="none"/>
          <w:u w:val="singl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5、投标人开户银行名称及账号：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6、营业执照注册号（或信用代码）：  </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7、投标人简介:</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pStyle w:val="7"/>
        <w:rPr>
          <w:rFonts w:hint="eastAsia" w:ascii="宋体" w:hAnsi="宋体" w:eastAsia="宋体" w:cs="宋体"/>
          <w:b/>
          <w:color w:val="auto"/>
          <w:sz w:val="21"/>
          <w:szCs w:val="21"/>
          <w:highlight w:val="none"/>
        </w:rPr>
      </w:pPr>
    </w:p>
    <w:p>
      <w:pPr>
        <w:rPr>
          <w:rFonts w:hint="eastAsia"/>
          <w:color w:val="auto"/>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b/>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after="0" w:line="360" w:lineRule="auto"/>
        <w:ind w:right="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w:t>
      </w: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36"/>
        <w:spacing w:line="500" w:lineRule="atLeast"/>
        <w:ind w:firstLine="433"/>
        <w:rPr>
          <w:rFonts w:ascii="宋体" w:eastAsia="宋体"/>
          <w:color w:val="auto"/>
          <w:sz w:val="21"/>
          <w:szCs w:val="21"/>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color w:val="auto"/>
        </w:rPr>
      </w:pPr>
      <w:bookmarkStart w:id="227" w:name="_Toc24210"/>
      <w:bookmarkStart w:id="228" w:name="_Toc1511"/>
      <w:bookmarkStart w:id="229" w:name="_Toc5919"/>
      <w:bookmarkStart w:id="230" w:name="_Toc28067"/>
      <w:bookmarkStart w:id="231" w:name="_Toc4926"/>
      <w:bookmarkStart w:id="232" w:name="_Toc29995"/>
      <w:bookmarkStart w:id="233" w:name="_Toc17470"/>
      <w:r>
        <w:rPr>
          <w:rFonts w:hint="eastAsia"/>
          <w:color w:val="auto"/>
          <w:lang w:val="en-US" w:eastAsia="zh-CN"/>
        </w:rPr>
        <w:t>七、</w:t>
      </w:r>
      <w:r>
        <w:rPr>
          <w:rFonts w:hint="eastAsia"/>
          <w:color w:val="auto"/>
        </w:rPr>
        <w:t>营业执照</w:t>
      </w:r>
      <w:bookmarkEnd w:id="227"/>
      <w:bookmarkEnd w:id="228"/>
      <w:bookmarkEnd w:id="229"/>
      <w:bookmarkEnd w:id="230"/>
      <w:bookmarkEnd w:id="231"/>
      <w:bookmarkEnd w:id="232"/>
      <w:bookmarkEnd w:id="233"/>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rPr>
      </w:pPr>
      <w:r>
        <w:rPr>
          <w:rFonts w:hint="eastAsia"/>
          <w:color w:val="auto"/>
        </w:rPr>
        <w:t>（或者事业单位法人证书、或者社会团体登记证书、或者民办非企业登记证书、或者其他组织核准执业证件）</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供应商应提供相关证明复印件盖公章。</w:t>
      </w:r>
    </w:p>
    <w:p>
      <w:pPr>
        <w:jc w:val="center"/>
        <w:rPr>
          <w:color w:val="auto"/>
        </w:rPr>
      </w:pPr>
      <w:r>
        <w:rPr>
          <w:rFonts w:hint="eastAsia" w:ascii="黑体" w:eastAsia="黑体"/>
          <w:color w:val="auto"/>
          <w:sz w:val="28"/>
          <w:szCs w:val="28"/>
        </w:rPr>
        <w:br w:type="page"/>
      </w:r>
    </w:p>
    <w:bookmarkEnd w:id="224"/>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34" w:name="_Toc29439"/>
      <w:bookmarkStart w:id="235" w:name="_Toc21638"/>
      <w:r>
        <w:rPr>
          <w:rFonts w:hint="eastAsia"/>
          <w:color w:val="auto"/>
          <w:lang w:val="en-US" w:eastAsia="zh-CN"/>
        </w:rPr>
        <w:t>八、</w:t>
      </w:r>
      <w:r>
        <w:rPr>
          <w:rFonts w:hint="eastAsia"/>
          <w:color w:val="auto"/>
        </w:rPr>
        <w:t>特殊资格要求证明文件</w:t>
      </w:r>
      <w:bookmarkEnd w:id="234"/>
      <w:bookmarkEnd w:id="235"/>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若采购项目对供应商资格无特殊要求，可删除本格式。</w:t>
      </w: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rFonts w:hint="eastAsia"/>
          <w:color w:val="auto"/>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36" w:name="_Toc14263"/>
      <w:bookmarkStart w:id="237" w:name="_Toc23341"/>
      <w:r>
        <w:rPr>
          <w:rFonts w:hint="eastAsia"/>
          <w:color w:val="auto"/>
          <w:lang w:val="en-US" w:eastAsia="zh-CN"/>
        </w:rPr>
        <w:t>九、</w:t>
      </w:r>
      <w:r>
        <w:rPr>
          <w:rFonts w:hint="eastAsia"/>
          <w:color w:val="auto"/>
        </w:rPr>
        <w:t>承诺书</w:t>
      </w:r>
      <w:bookmarkEnd w:id="236"/>
      <w:bookmarkEnd w:id="237"/>
    </w:p>
    <w:p>
      <w:pPr>
        <w:pStyle w:val="36"/>
        <w:spacing w:line="420" w:lineRule="atLeast"/>
        <w:ind w:firstLine="0" w:firstLineChars="0"/>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rPr>
        <w:t>致</w:t>
      </w:r>
      <w:r>
        <w:rPr>
          <w:rFonts w:hint="eastAsia" w:ascii="宋体" w:hAnsi="宋体" w:eastAsia="宋体" w:cs="宋体"/>
          <w:b w:val="0"/>
          <w:bCs w:val="0"/>
          <w:color w:val="auto"/>
          <w:sz w:val="21"/>
          <w:szCs w:val="21"/>
          <w:lang w:eastAsia="zh-CN"/>
        </w:rPr>
        <w:t>广东政通招标有限公司：</w:t>
      </w:r>
    </w:p>
    <w:p>
      <w:pPr>
        <w:jc w:val="center"/>
        <w:rPr>
          <w:rFonts w:hint="eastAsia" w:ascii="宋体" w:hAnsi="宋体" w:eastAsia="宋体" w:cs="宋体"/>
          <w:b w:val="0"/>
          <w:bCs w:val="0"/>
          <w:color w:val="auto"/>
          <w:sz w:val="21"/>
          <w:szCs w:val="21"/>
          <w:highlight w:val="none"/>
        </w:rPr>
      </w:pPr>
    </w:p>
    <w:p>
      <w:pPr>
        <w:pStyle w:val="36"/>
        <w:spacing w:line="420" w:lineRule="exact"/>
        <w:ind w:firstLine="455"/>
        <w:rPr>
          <w:rFonts w:hint="eastAsia" w:ascii="宋体" w:hAnsi="宋体" w:eastAsia="宋体" w:cs="宋体"/>
          <w:b w:val="0"/>
          <w:bCs w:val="0"/>
          <w:color w:val="auto"/>
          <w:sz w:val="21"/>
          <w:szCs w:val="21"/>
          <w:highlight w:val="none"/>
        </w:rPr>
      </w:pPr>
      <w:bookmarkStart w:id="238" w:name="_Toc313537922"/>
      <w:r>
        <w:rPr>
          <w:rFonts w:hint="eastAsia" w:ascii="宋体" w:hAnsi="宋体" w:eastAsia="宋体" w:cs="宋体"/>
          <w:b w:val="0"/>
          <w:bCs w:val="0"/>
          <w:color w:val="auto"/>
          <w:sz w:val="21"/>
          <w:szCs w:val="21"/>
          <w:highlight w:val="none"/>
        </w:rPr>
        <w:t>我方已完整阅读了</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u w:val="single"/>
        </w:rPr>
        <w:t>（项目名称）</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项目（项目编号：</w:t>
      </w:r>
      <w:r>
        <w:rPr>
          <w:rFonts w:hint="eastAsia" w:ascii="宋体" w:hAnsi="宋体" w:eastAsia="宋体" w:cs="宋体"/>
          <w:b w:val="0"/>
          <w:bCs w:val="0"/>
          <w:color w:val="auto"/>
          <w:sz w:val="21"/>
          <w:szCs w:val="21"/>
          <w:highlight w:val="none"/>
          <w:u w:val="single"/>
        </w:rPr>
        <w:t xml:space="preserve">            </w:t>
      </w:r>
      <w:r>
        <w:rPr>
          <w:rFonts w:hint="eastAsia" w:ascii="宋体" w:hAnsi="宋体" w:eastAsia="宋体" w:cs="宋体"/>
          <w:b w:val="0"/>
          <w:bCs w:val="0"/>
          <w:color w:val="auto"/>
          <w:sz w:val="21"/>
          <w:szCs w:val="21"/>
          <w:highlight w:val="none"/>
        </w:rPr>
        <w:t>）招标文件的所有内容（包括澄清，以及所有已提供的参考资料和有关附件），并完全理解上述文件所表达的意思，该项目递交投标文件时间截止后，我方承诺不再对上述文件内容进行询问或质疑。</w:t>
      </w:r>
      <w:bookmarkEnd w:id="238"/>
      <w:r>
        <w:rPr>
          <w:rFonts w:hint="eastAsia" w:ascii="宋体" w:hAnsi="宋体" w:eastAsia="宋体" w:cs="宋体"/>
          <w:b w:val="0"/>
          <w:bCs w:val="0"/>
          <w:color w:val="auto"/>
          <w:sz w:val="21"/>
          <w:szCs w:val="21"/>
          <w:highlight w:val="none"/>
        </w:rPr>
        <w:cr/>
      </w:r>
    </w:p>
    <w:p>
      <w:pPr>
        <w:pStyle w:val="36"/>
        <w:spacing w:line="420" w:lineRule="exact"/>
        <w:ind w:firstLine="455"/>
        <w:rPr>
          <w:rFonts w:hint="eastAsia" w:ascii="宋体" w:hAnsi="宋体" w:eastAsia="宋体" w:cs="宋体"/>
          <w:b w:val="0"/>
          <w:bCs w:val="0"/>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w:t>
      </w:r>
      <w:r>
        <w:rPr>
          <w:rFonts w:hint="eastAsia" w:ascii="宋体" w:hAnsi="宋体" w:eastAsia="宋体" w:cs="宋体"/>
          <w:b w:val="0"/>
          <w:bCs w:val="0"/>
          <w:color w:val="auto"/>
          <w:sz w:val="21"/>
          <w:szCs w:val="21"/>
        </w:rPr>
        <w:t>被授权人</w:t>
      </w:r>
      <w:r>
        <w:rPr>
          <w:rFonts w:hint="eastAsia" w:ascii="宋体" w:hAnsi="宋体" w:eastAsia="宋体" w:cs="宋体"/>
          <w:b w:val="0"/>
          <w:bCs w:val="0"/>
          <w:color w:val="auto"/>
          <w:sz w:val="21"/>
          <w:szCs w:val="21"/>
          <w:highlight w:val="none"/>
        </w:rPr>
        <w:t>（签名或盖私章）：</w:t>
      </w:r>
    </w:p>
    <w:p>
      <w:pPr>
        <w:keepNext w:val="0"/>
        <w:keepLines w:val="0"/>
        <w:pageBreakBefore w:val="0"/>
        <w:widowControl/>
        <w:kinsoku/>
        <w:wordWrap/>
        <w:overflowPunct/>
        <w:topLinePunct w:val="0"/>
        <w:autoSpaceDE/>
        <w:autoSpaceDN/>
        <w:bidi w:val="0"/>
        <w:adjustRightInd w:val="0"/>
        <w:snapToGrid w:val="0"/>
        <w:spacing w:line="360" w:lineRule="auto"/>
        <w:ind w:right="561" w:firstLine="420" w:firstLineChars="200"/>
        <w:textAlignment w:val="auto"/>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pStyle w:val="7"/>
        <w:rPr>
          <w:rFonts w:hint="eastAsia" w:ascii="宋体" w:hAnsi="宋体" w:eastAsia="宋体" w:cs="宋体"/>
          <w:b w:val="0"/>
          <w:bCs w:val="0"/>
          <w:color w:val="auto"/>
          <w:sz w:val="21"/>
          <w:szCs w:val="21"/>
          <w:highlight w:val="none"/>
        </w:rPr>
      </w:pPr>
    </w:p>
    <w:p>
      <w:pPr>
        <w:rPr>
          <w:rFonts w:hint="eastAsia" w:ascii="宋体" w:hAnsi="宋体" w:eastAsia="宋体" w:cs="宋体"/>
          <w:b w:val="0"/>
          <w:bCs w:val="0"/>
          <w:color w:val="auto"/>
          <w:sz w:val="21"/>
          <w:szCs w:val="21"/>
          <w:highlight w:val="none"/>
        </w:rPr>
      </w:pPr>
    </w:p>
    <w:p>
      <w:pPr>
        <w:rPr>
          <w:rFonts w:hint="eastAsia"/>
          <w:color w:val="auto"/>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239" w:name="_Toc13653"/>
      <w:bookmarkStart w:id="240" w:name="_Toc13955"/>
      <w:r>
        <w:rPr>
          <w:rFonts w:hint="eastAsia"/>
          <w:color w:val="auto"/>
          <w:lang w:val="en-US" w:eastAsia="zh-CN"/>
        </w:rPr>
        <w:t>十、招标代理服务费承诺书</w:t>
      </w:r>
      <w:bookmarkEnd w:id="239"/>
      <w:bookmarkEnd w:id="240"/>
    </w:p>
    <w:p>
      <w:pPr>
        <w:pStyle w:val="36"/>
        <w:spacing w:line="420" w:lineRule="atLeast"/>
        <w:ind w:firstLine="0" w:firstLineChars="0"/>
        <w:rPr>
          <w:rFonts w:hint="eastAsia" w:ascii="宋体" w:hAnsi="宋体" w:eastAsia="宋体" w:cs="宋体"/>
          <w:b w:val="0"/>
          <w:bCs w:val="0"/>
          <w:color w:val="auto"/>
          <w:sz w:val="21"/>
          <w:szCs w:val="21"/>
          <w:lang w:eastAsia="zh-CN"/>
        </w:rPr>
      </w:pPr>
      <w:r>
        <w:rPr>
          <w:rFonts w:hint="eastAsia" w:ascii="宋体" w:hAnsi="宋体" w:eastAsia="宋体" w:cs="宋体"/>
          <w:b w:val="0"/>
          <w:bCs w:val="0"/>
          <w:color w:val="auto"/>
          <w:sz w:val="21"/>
          <w:szCs w:val="21"/>
        </w:rPr>
        <w:t>致</w:t>
      </w:r>
      <w:r>
        <w:rPr>
          <w:rFonts w:hint="eastAsia" w:ascii="宋体" w:hAnsi="宋体" w:eastAsia="宋体" w:cs="宋体"/>
          <w:b w:val="0"/>
          <w:bCs w:val="0"/>
          <w:color w:val="auto"/>
          <w:sz w:val="21"/>
          <w:szCs w:val="21"/>
          <w:lang w:eastAsia="zh-CN"/>
        </w:rPr>
        <w:t>广东政通招标有限公司：</w:t>
      </w:r>
    </w:p>
    <w:p>
      <w:pPr>
        <w:pStyle w:val="11"/>
        <w:keepNext w:val="0"/>
        <w:keepLines w:val="0"/>
        <w:pageBreakBefore w:val="0"/>
        <w:widowControl w:val="0"/>
        <w:kinsoku/>
        <w:wordWrap/>
        <w:overflowPunct/>
        <w:topLinePunct w:val="0"/>
        <w:autoSpaceDE/>
        <w:autoSpaceDN/>
        <w:bidi w:val="0"/>
        <w:adjustRightInd/>
        <w:snapToGrid/>
        <w:spacing w:after="0" w:line="360" w:lineRule="auto"/>
        <w:ind w:firstLine="420"/>
        <w:textAlignment w:val="auto"/>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我公司</w:t>
      </w:r>
      <w:r>
        <w:rPr>
          <w:rFonts w:hint="eastAsia" w:ascii="宋体" w:hAnsi="宋体" w:eastAsia="宋体" w:cs="宋体"/>
          <w:b w:val="0"/>
          <w:bCs w:val="0"/>
          <w:color w:val="auto"/>
          <w:sz w:val="21"/>
          <w:szCs w:val="21"/>
          <w:u w:val="single"/>
        </w:rPr>
        <w:t xml:space="preserve">   （投标人名称）   </w:t>
      </w:r>
      <w:r>
        <w:rPr>
          <w:rFonts w:hint="eastAsia" w:ascii="宋体" w:hAnsi="宋体" w:eastAsia="宋体" w:cs="宋体"/>
          <w:b w:val="0"/>
          <w:bCs w:val="0"/>
          <w:color w:val="auto"/>
          <w:sz w:val="21"/>
          <w:szCs w:val="21"/>
        </w:rPr>
        <w:t>在参加贵司进行的</w:t>
      </w:r>
      <w:r>
        <w:rPr>
          <w:rFonts w:hint="eastAsia" w:ascii="宋体" w:hAnsi="宋体" w:eastAsia="宋体" w:cs="宋体"/>
          <w:b w:val="0"/>
          <w:bCs w:val="0"/>
          <w:color w:val="auto"/>
          <w:sz w:val="21"/>
          <w:szCs w:val="21"/>
          <w:u w:val="single"/>
        </w:rPr>
        <w:t xml:space="preserve">   （项目名称）  （项目编号：      ）（包号：  ）</w:t>
      </w:r>
      <w:r>
        <w:rPr>
          <w:rFonts w:hint="eastAsia" w:ascii="宋体" w:hAnsi="宋体" w:eastAsia="宋体" w:cs="宋体"/>
          <w:b w:val="0"/>
          <w:bCs w:val="0"/>
          <w:color w:val="auto"/>
          <w:sz w:val="21"/>
          <w:szCs w:val="21"/>
        </w:rPr>
        <w:t>招标中如获中标，我公司承诺</w:t>
      </w:r>
      <w:r>
        <w:rPr>
          <w:rFonts w:hint="eastAsia" w:ascii="宋体" w:hAnsi="宋体" w:eastAsia="宋体" w:cs="宋体"/>
          <w:b w:val="0"/>
          <w:bCs w:val="0"/>
          <w:color w:val="auto"/>
          <w:sz w:val="21"/>
          <w:szCs w:val="21"/>
          <w:lang w:val="en-US" w:eastAsia="zh-CN"/>
        </w:rPr>
        <w:t>在</w:t>
      </w:r>
      <w:r>
        <w:rPr>
          <w:rFonts w:hint="eastAsia" w:ascii="宋体" w:hAnsi="宋体" w:eastAsia="宋体" w:cs="宋体"/>
          <w:b w:val="0"/>
          <w:bCs w:val="0"/>
          <w:color w:val="auto"/>
          <w:sz w:val="21"/>
          <w:szCs w:val="21"/>
        </w:rPr>
        <w:t>本项目“采购结果公告”发布之日起15日内，向贵司一次性交纳招标代理服务费。</w:t>
      </w:r>
    </w:p>
    <w:p>
      <w:pPr>
        <w:bidi w:val="0"/>
        <w:ind w:firstLine="420" w:firstLineChars="200"/>
        <w:rPr>
          <w:rFonts w:hint="eastAsia"/>
          <w:color w:val="auto"/>
          <w:lang w:eastAsia="zh-CN"/>
        </w:rPr>
      </w:pPr>
      <w:r>
        <w:rPr>
          <w:rFonts w:hint="eastAsia"/>
          <w:color w:val="auto"/>
        </w:rPr>
        <w:t>特此承诺</w:t>
      </w:r>
      <w:r>
        <w:rPr>
          <w:rFonts w:hint="eastAsia"/>
          <w:color w:val="auto"/>
          <w:lang w:eastAsia="zh-CN"/>
        </w:rPr>
        <w:t>。</w:t>
      </w:r>
    </w:p>
    <w:p>
      <w:pPr>
        <w:jc w:val="center"/>
        <w:rPr>
          <w:rFonts w:hint="eastAsia" w:ascii="宋体" w:hAnsi="宋体" w:eastAsia="宋体" w:cs="宋体"/>
          <w:b w:val="0"/>
          <w:bCs w:val="0"/>
          <w:color w:val="auto"/>
          <w:sz w:val="21"/>
          <w:szCs w:val="21"/>
        </w:rPr>
      </w:pPr>
    </w:p>
    <w:p>
      <w:pPr>
        <w:bidi w:val="0"/>
        <w:rPr>
          <w:rFonts w:hint="eastAsia"/>
          <w:color w:val="auto"/>
        </w:rPr>
      </w:pP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投标人名称（加盖公章）：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法定代表人或</w:t>
      </w:r>
      <w:r>
        <w:rPr>
          <w:rFonts w:hint="eastAsia" w:ascii="宋体" w:hAnsi="宋体" w:eastAsia="宋体" w:cs="宋体"/>
          <w:b w:val="0"/>
          <w:bCs w:val="0"/>
          <w:color w:val="auto"/>
          <w:sz w:val="21"/>
          <w:szCs w:val="21"/>
        </w:rPr>
        <w:t>被授权人</w:t>
      </w:r>
      <w:r>
        <w:rPr>
          <w:rFonts w:hint="eastAsia" w:ascii="宋体" w:hAnsi="宋体" w:eastAsia="宋体" w:cs="宋体"/>
          <w:b w:val="0"/>
          <w:bCs w:val="0"/>
          <w:color w:val="auto"/>
          <w:sz w:val="21"/>
          <w:szCs w:val="21"/>
          <w:highlight w:val="none"/>
        </w:rPr>
        <w:t>（签名或盖私章）：</w:t>
      </w:r>
    </w:p>
    <w:p>
      <w:pPr>
        <w:spacing w:line="420" w:lineRule="exact"/>
        <w:ind w:right="561"/>
        <w:rPr>
          <w:rFonts w:hint="eastAsia" w:ascii="宋体" w:hAnsi="宋体" w:eastAsia="宋体" w:cs="宋体"/>
          <w:b w:val="0"/>
          <w:bCs w:val="0"/>
          <w:color w:val="auto"/>
          <w:sz w:val="21"/>
          <w:szCs w:val="21"/>
          <w:highlight w:val="none"/>
        </w:rPr>
      </w:pPr>
      <w:r>
        <w:rPr>
          <w:rFonts w:hint="eastAsia" w:ascii="宋体" w:hAnsi="宋体" w:eastAsia="宋体" w:cs="宋体"/>
          <w:b w:val="0"/>
          <w:bCs w:val="0"/>
          <w:color w:val="auto"/>
          <w:sz w:val="21"/>
          <w:szCs w:val="21"/>
          <w:highlight w:val="none"/>
        </w:rPr>
        <w:t>日      期：</w:t>
      </w:r>
    </w:p>
    <w:p>
      <w:pPr>
        <w:jc w:val="center"/>
        <w:rPr>
          <w:rFonts w:ascii="黑体" w:eastAsia="黑体"/>
          <w:color w:val="auto"/>
          <w:sz w:val="28"/>
          <w:szCs w:val="28"/>
        </w:rPr>
      </w:pPr>
      <w:r>
        <w:rPr>
          <w:rFonts w:hint="eastAsia" w:ascii="黑体" w:eastAsia="黑体"/>
          <w:color w:val="auto"/>
          <w:sz w:val="28"/>
          <w:szCs w:val="28"/>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41" w:name="_Toc12598"/>
      <w:bookmarkStart w:id="242" w:name="_Toc1975"/>
      <w:r>
        <w:rPr>
          <w:rFonts w:hint="eastAsia"/>
          <w:color w:val="auto"/>
          <w:lang w:val="en-US" w:eastAsia="zh-CN"/>
        </w:rPr>
        <w:t>十一、</w:t>
      </w:r>
      <w:r>
        <w:rPr>
          <w:rFonts w:hint="eastAsia"/>
          <w:color w:val="auto"/>
        </w:rPr>
        <w:t>商务条款偏离表</w:t>
      </w:r>
      <w:bookmarkEnd w:id="241"/>
      <w:bookmarkEnd w:id="242"/>
    </w:p>
    <w:tbl>
      <w:tblPr>
        <w:tblStyle w:val="23"/>
        <w:tblW w:w="8257" w:type="dxa"/>
        <w:tblInd w:w="18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3"/>
        <w:gridCol w:w="1590"/>
        <w:gridCol w:w="1755"/>
        <w:gridCol w:w="1920"/>
        <w:gridCol w:w="1412"/>
        <w:gridCol w:w="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713"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序号</w:t>
            </w:r>
          </w:p>
        </w:tc>
        <w:tc>
          <w:tcPr>
            <w:tcW w:w="1590"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lang w:val="en-US" w:eastAsia="zh-CN"/>
              </w:rPr>
              <w:t>商务条款</w:t>
            </w:r>
            <w:r>
              <w:rPr>
                <w:rFonts w:hint="eastAsia" w:ascii="宋体" w:hAnsi="宋体" w:eastAsia="宋体"/>
                <w:color w:val="auto"/>
                <w:sz w:val="21"/>
                <w:szCs w:val="21"/>
              </w:rPr>
              <w:t>名称</w:t>
            </w:r>
          </w:p>
        </w:tc>
        <w:tc>
          <w:tcPr>
            <w:tcW w:w="1755"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招标</w:t>
            </w:r>
            <w:r>
              <w:rPr>
                <w:rFonts w:hint="eastAsia" w:ascii="宋体" w:hAnsi="宋体" w:eastAsia="宋体"/>
                <w:color w:val="auto"/>
                <w:sz w:val="21"/>
                <w:szCs w:val="21"/>
                <w:lang w:val="en-US" w:eastAsia="zh-CN"/>
              </w:rPr>
              <w:t>文件</w:t>
            </w:r>
            <w:r>
              <w:rPr>
                <w:rFonts w:hint="eastAsia" w:ascii="宋体" w:hAnsi="宋体" w:eastAsia="宋体"/>
                <w:color w:val="auto"/>
                <w:sz w:val="21"/>
                <w:szCs w:val="21"/>
              </w:rPr>
              <w:t>要求</w:t>
            </w:r>
          </w:p>
        </w:tc>
        <w:tc>
          <w:tcPr>
            <w:tcW w:w="1920"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投标实际响应</w:t>
            </w:r>
          </w:p>
        </w:tc>
        <w:tc>
          <w:tcPr>
            <w:tcW w:w="1412" w:type="dxa"/>
            <w:tcBorders>
              <w:tl2br w:val="nil"/>
              <w:tr2bl w:val="nil"/>
            </w:tcBorders>
            <w:vAlign w:val="center"/>
          </w:tcPr>
          <w:p>
            <w:pPr>
              <w:spacing w:after="0"/>
              <w:jc w:val="center"/>
              <w:rPr>
                <w:rFonts w:hint="eastAsia" w:ascii="宋体" w:hAnsi="宋体" w:eastAsia="宋体"/>
                <w:color w:val="auto"/>
                <w:sz w:val="21"/>
                <w:szCs w:val="21"/>
                <w:lang w:val="en-US" w:eastAsia="zh-CN"/>
              </w:rPr>
            </w:pPr>
            <w:r>
              <w:rPr>
                <w:rFonts w:hint="eastAsia" w:ascii="宋体" w:hAnsi="宋体" w:eastAsia="宋体"/>
                <w:color w:val="auto"/>
                <w:sz w:val="21"/>
                <w:szCs w:val="21"/>
              </w:rPr>
              <w:t>偏离</w:t>
            </w:r>
            <w:r>
              <w:rPr>
                <w:rFonts w:hint="eastAsia" w:ascii="宋体" w:hAnsi="宋体" w:eastAsia="宋体"/>
                <w:color w:val="auto"/>
                <w:sz w:val="21"/>
                <w:szCs w:val="21"/>
                <w:lang w:val="en-US" w:eastAsia="zh-CN"/>
              </w:rPr>
              <w:t>情况</w:t>
            </w:r>
          </w:p>
        </w:tc>
        <w:tc>
          <w:tcPr>
            <w:tcW w:w="867" w:type="dxa"/>
            <w:tcBorders>
              <w:tl2br w:val="nil"/>
              <w:tr2bl w:val="nil"/>
            </w:tcBorders>
            <w:vAlign w:val="center"/>
          </w:tcPr>
          <w:p>
            <w:pPr>
              <w:spacing w:after="0"/>
              <w:jc w:val="center"/>
              <w:rPr>
                <w:rFonts w:ascii="宋体" w:hAnsi="宋体" w:eastAsia="宋体"/>
                <w:color w:val="auto"/>
                <w:sz w:val="21"/>
                <w:szCs w:val="21"/>
              </w:rPr>
            </w:pPr>
            <w:r>
              <w:rPr>
                <w:rFonts w:hint="eastAsia" w:ascii="宋体" w:hAnsi="宋体" w:eastAsia="宋体"/>
                <w:color w:val="auto"/>
                <w:sz w:val="21"/>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13" w:type="dxa"/>
            <w:tcBorders>
              <w:tl2br w:val="nil"/>
              <w:tr2bl w:val="nil"/>
            </w:tcBorders>
            <w:vAlign w:val="center"/>
          </w:tcPr>
          <w:p>
            <w:pPr>
              <w:jc w:val="center"/>
              <w:rPr>
                <w:rFonts w:ascii="宋体" w:hAnsi="宋体" w:eastAsia="宋体"/>
                <w:color w:val="auto"/>
                <w:sz w:val="21"/>
                <w:szCs w:val="21"/>
              </w:rPr>
            </w:pPr>
          </w:p>
        </w:tc>
        <w:tc>
          <w:tcPr>
            <w:tcW w:w="1590" w:type="dxa"/>
            <w:tcBorders>
              <w:tl2br w:val="nil"/>
              <w:tr2bl w:val="nil"/>
            </w:tcBorders>
            <w:vAlign w:val="center"/>
          </w:tcPr>
          <w:p>
            <w:pPr>
              <w:jc w:val="center"/>
              <w:rPr>
                <w:rFonts w:ascii="宋体" w:hAnsi="宋体" w:eastAsia="宋体"/>
                <w:color w:val="auto"/>
                <w:sz w:val="21"/>
                <w:szCs w:val="21"/>
              </w:rPr>
            </w:pPr>
          </w:p>
        </w:tc>
        <w:tc>
          <w:tcPr>
            <w:tcW w:w="1755" w:type="dxa"/>
            <w:tcBorders>
              <w:tl2br w:val="nil"/>
              <w:tr2bl w:val="nil"/>
            </w:tcBorders>
            <w:vAlign w:val="center"/>
          </w:tcPr>
          <w:p>
            <w:pPr>
              <w:jc w:val="center"/>
              <w:rPr>
                <w:rFonts w:ascii="宋体" w:hAnsi="宋体" w:eastAsia="宋体"/>
                <w:color w:val="auto"/>
                <w:sz w:val="21"/>
                <w:szCs w:val="21"/>
              </w:rPr>
            </w:pPr>
          </w:p>
        </w:tc>
        <w:tc>
          <w:tcPr>
            <w:tcW w:w="1920" w:type="dxa"/>
            <w:tcBorders>
              <w:tl2br w:val="nil"/>
              <w:tr2bl w:val="nil"/>
            </w:tcBorders>
            <w:vAlign w:val="center"/>
          </w:tcPr>
          <w:p>
            <w:pPr>
              <w:jc w:val="center"/>
              <w:rPr>
                <w:rFonts w:ascii="宋体" w:hAnsi="宋体" w:eastAsia="宋体"/>
                <w:color w:val="auto"/>
                <w:sz w:val="21"/>
                <w:szCs w:val="21"/>
              </w:rPr>
            </w:pPr>
          </w:p>
        </w:tc>
        <w:tc>
          <w:tcPr>
            <w:tcW w:w="1412" w:type="dxa"/>
            <w:tcBorders>
              <w:tl2br w:val="nil"/>
              <w:tr2bl w:val="nil"/>
            </w:tcBorders>
            <w:vAlign w:val="center"/>
          </w:tcPr>
          <w:p>
            <w:pPr>
              <w:jc w:val="center"/>
              <w:rPr>
                <w:rFonts w:ascii="宋体" w:hAnsi="宋体" w:eastAsia="宋体"/>
                <w:color w:val="auto"/>
                <w:sz w:val="21"/>
                <w:szCs w:val="21"/>
              </w:rPr>
            </w:pPr>
          </w:p>
        </w:tc>
        <w:tc>
          <w:tcPr>
            <w:tcW w:w="867" w:type="dxa"/>
            <w:tcBorders>
              <w:tl2br w:val="nil"/>
              <w:tr2bl w:val="nil"/>
            </w:tcBorders>
            <w:vAlign w:val="center"/>
          </w:tcPr>
          <w:p>
            <w:pPr>
              <w:jc w:val="center"/>
              <w:rPr>
                <w:rFonts w:ascii="宋体" w:hAnsi="宋体" w:eastAsia="宋体"/>
                <w:color w:val="auto"/>
                <w:sz w:val="21"/>
                <w:szCs w:val="21"/>
              </w:rPr>
            </w:pPr>
          </w:p>
        </w:tc>
      </w:tr>
    </w:tbl>
    <w:p>
      <w:pPr>
        <w:rPr>
          <w:rFonts w:ascii="宋体" w:hAnsi="宋体" w:eastAsia="宋体"/>
          <w:color w:val="auto"/>
          <w:sz w:val="21"/>
          <w:szCs w:val="21"/>
        </w:rPr>
      </w:pPr>
    </w:p>
    <w:p>
      <w:pPr>
        <w:rPr>
          <w:rFonts w:ascii="宋体" w:hAnsi="宋体" w:eastAsia="宋体"/>
          <w:color w:val="auto"/>
          <w:sz w:val="21"/>
          <w:szCs w:val="21"/>
        </w:rPr>
      </w:pPr>
      <w:r>
        <w:rPr>
          <w:rFonts w:hint="eastAsia" w:ascii="宋体" w:hAnsi="宋体" w:eastAsia="宋体"/>
          <w:color w:val="auto"/>
          <w:sz w:val="21"/>
          <w:szCs w:val="21"/>
        </w:rPr>
        <w:t>投标人代表签字：</w:t>
      </w:r>
    </w:p>
    <w:p>
      <w:pPr>
        <w:rPr>
          <w:rFonts w:ascii="宋体" w:hAnsi="宋体" w:eastAsia="宋体"/>
          <w:color w:val="auto"/>
          <w:sz w:val="21"/>
          <w:szCs w:val="21"/>
        </w:rPr>
      </w:pPr>
      <w:r>
        <w:rPr>
          <w:rFonts w:hint="eastAsia" w:ascii="宋体" w:hAnsi="宋体" w:eastAsia="宋体"/>
          <w:color w:val="auto"/>
          <w:sz w:val="21"/>
          <w:szCs w:val="21"/>
        </w:rPr>
        <w:t>投标人盖章：</w:t>
      </w:r>
    </w:p>
    <w:p>
      <w:pPr>
        <w:rPr>
          <w:rFonts w:ascii="宋体" w:hAns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0" w:firstLineChars="0"/>
        <w:textAlignment w:val="auto"/>
        <w:rPr>
          <w:rFonts w:hint="eastAsia" w:ascii="宋体" w:hAnsi="宋体" w:eastAsia="宋体"/>
          <w:color w:val="auto"/>
          <w:sz w:val="21"/>
          <w:szCs w:val="21"/>
        </w:rPr>
      </w:pPr>
      <w:r>
        <w:rPr>
          <w:rFonts w:hint="eastAsia" w:ascii="宋体" w:hAnsi="宋体" w:eastAsia="宋体"/>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rPr>
      </w:pPr>
      <w:r>
        <w:rPr>
          <w:rFonts w:hint="eastAsia" w:ascii="宋体" w:hAnsi="宋体" w:eastAsia="宋体"/>
          <w:color w:val="auto"/>
          <w:sz w:val="21"/>
          <w:szCs w:val="21"/>
        </w:rPr>
        <w:t>1、投标人应对照招标文件商务要求，在“偏离</w:t>
      </w:r>
      <w:r>
        <w:rPr>
          <w:rFonts w:hint="eastAsia" w:ascii="宋体" w:hAnsi="宋体" w:eastAsia="宋体"/>
          <w:color w:val="auto"/>
          <w:sz w:val="21"/>
          <w:szCs w:val="21"/>
          <w:lang w:val="en-US" w:eastAsia="zh-CN"/>
        </w:rPr>
        <w:t>情况</w:t>
      </w:r>
      <w:r>
        <w:rPr>
          <w:rFonts w:hint="eastAsia" w:ascii="宋体" w:hAnsi="宋体" w:eastAsia="宋体"/>
          <w:color w:val="auto"/>
          <w:sz w:val="21"/>
          <w:szCs w:val="21"/>
        </w:rPr>
        <w:t>”项中填写“无</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”、“正</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w:t>
      </w:r>
      <w:r>
        <w:rPr>
          <w:rFonts w:hint="eastAsia" w:ascii="宋体" w:hAnsi="宋体" w:eastAsia="宋体"/>
          <w:color w:val="auto"/>
          <w:sz w:val="21"/>
          <w:szCs w:val="21"/>
          <w:lang w:val="en-US" w:eastAsia="zh-CN"/>
        </w:rPr>
        <w:t>或</w:t>
      </w:r>
      <w:r>
        <w:rPr>
          <w:rFonts w:hint="eastAsia" w:ascii="宋体" w:hAnsi="宋体" w:eastAsia="宋体"/>
          <w:color w:val="auto"/>
          <w:sz w:val="21"/>
          <w:szCs w:val="21"/>
        </w:rPr>
        <w:t>“负</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”，逐条说明已对招标文件的商务内容做出了实质性的响应，并申明与招标文件的偏差和例外。</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2、商务条款包括但不限于合格投标人资格、</w:t>
      </w:r>
      <w:r>
        <w:rPr>
          <w:rFonts w:hint="eastAsia" w:ascii="宋体" w:hAnsi="宋体" w:eastAsia="宋体"/>
          <w:color w:val="auto"/>
          <w:sz w:val="21"/>
          <w:szCs w:val="21"/>
          <w:lang w:val="en-US" w:eastAsia="zh-CN"/>
        </w:rPr>
        <w:t>合同期限、</w:t>
      </w:r>
      <w:r>
        <w:rPr>
          <w:rFonts w:hint="eastAsia" w:ascii="宋体" w:hAnsi="宋体" w:eastAsia="宋体"/>
          <w:color w:val="auto"/>
          <w:sz w:val="21"/>
          <w:szCs w:val="21"/>
        </w:rPr>
        <w:t>付款方式、</w:t>
      </w:r>
      <w:r>
        <w:rPr>
          <w:rFonts w:hint="eastAsia" w:ascii="宋体" w:hAnsi="宋体" w:eastAsia="宋体"/>
          <w:color w:val="auto"/>
          <w:sz w:val="21"/>
          <w:szCs w:val="21"/>
          <w:lang w:val="en-US" w:eastAsia="zh-CN"/>
        </w:rPr>
        <w:t>报价要求、</w:t>
      </w:r>
      <w:r>
        <w:rPr>
          <w:rFonts w:hint="eastAsia" w:ascii="宋体" w:hAnsi="宋体" w:eastAsia="宋体"/>
          <w:color w:val="auto"/>
          <w:sz w:val="21"/>
          <w:szCs w:val="21"/>
        </w:rPr>
        <w:t>履约保证金、售后服务、检验及验收等要求。</w:t>
      </w:r>
    </w:p>
    <w:p>
      <w:pPr>
        <w:adjustRightInd/>
        <w:snapToGrid/>
        <w:spacing w:line="276" w:lineRule="auto"/>
        <w:rPr>
          <w:color w:val="auto"/>
        </w:rPr>
      </w:pPr>
    </w:p>
    <w:p>
      <w:pPr>
        <w:adjustRightInd/>
        <w:snapToGrid/>
        <w:spacing w:line="276" w:lineRule="auto"/>
        <w:rPr>
          <w:color w:val="auto"/>
        </w:rPr>
      </w:pPr>
    </w:p>
    <w:p>
      <w:pPr>
        <w:adjustRightInd/>
        <w:snapToGrid/>
        <w:spacing w:line="276" w:lineRule="auto"/>
        <w:rPr>
          <w:rFonts w:hint="eastAsia"/>
          <w:color w:val="auto"/>
        </w:rPr>
      </w:pPr>
      <w:r>
        <w:rPr>
          <w:color w:val="auto"/>
        </w:rPr>
        <w:br w:type="page"/>
      </w:r>
      <w:bookmarkStart w:id="243" w:name="_Toc32183"/>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44" w:name="_Toc25391"/>
      <w:bookmarkStart w:id="245" w:name="_Toc19276"/>
      <w:r>
        <w:rPr>
          <w:rFonts w:hint="eastAsia"/>
          <w:color w:val="auto"/>
          <w:lang w:val="en-US" w:eastAsia="zh-CN"/>
        </w:rPr>
        <w:t>十二、</w:t>
      </w:r>
      <w:r>
        <w:rPr>
          <w:rFonts w:hint="eastAsia"/>
          <w:color w:val="auto"/>
        </w:rPr>
        <w:t>业绩表</w:t>
      </w:r>
      <w:bookmarkEnd w:id="244"/>
      <w:bookmarkEnd w:id="245"/>
    </w:p>
    <w:tbl>
      <w:tblPr>
        <w:tblStyle w:val="23"/>
        <w:tblW w:w="8325" w:type="dxa"/>
        <w:tblInd w:w="166"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55"/>
        <w:gridCol w:w="1140"/>
        <w:gridCol w:w="1178"/>
        <w:gridCol w:w="1365"/>
        <w:gridCol w:w="1815"/>
        <w:gridCol w:w="1207"/>
        <w:gridCol w:w="76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21" w:hRule="atLeast"/>
        </w:trPr>
        <w:tc>
          <w:tcPr>
            <w:tcW w:w="855" w:type="dxa"/>
            <w:tcBorders>
              <w:tl2br w:val="nil"/>
              <w:tr2bl w:val="nil"/>
            </w:tcBorders>
            <w:noWrap w:val="0"/>
            <w:vAlign w:val="center"/>
          </w:tcPr>
          <w:p>
            <w:pPr>
              <w:ind w:left="-178" w:leftChars="-85"/>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 xml:space="preserve"> 序号</w:t>
            </w:r>
          </w:p>
        </w:tc>
        <w:tc>
          <w:tcPr>
            <w:tcW w:w="1140"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项目名称</w:t>
            </w:r>
          </w:p>
        </w:tc>
        <w:tc>
          <w:tcPr>
            <w:tcW w:w="1178"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合同金额</w:t>
            </w:r>
          </w:p>
        </w:tc>
        <w:tc>
          <w:tcPr>
            <w:tcW w:w="13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签约时间</w:t>
            </w:r>
          </w:p>
        </w:tc>
        <w:tc>
          <w:tcPr>
            <w:tcW w:w="1815" w:type="dxa"/>
            <w:tcBorders>
              <w:tl2br w:val="nil"/>
              <w:tr2bl w:val="nil"/>
            </w:tcBorders>
            <w:noWrap w:val="0"/>
            <w:vAlign w:val="center"/>
          </w:tcPr>
          <w:p>
            <w:pPr>
              <w:jc w:val="center"/>
              <w:rPr>
                <w:rFonts w:hint="eastAsia" w:ascii="宋体" w:hAnsi="宋体" w:eastAsia="宋体" w:cs="宋体"/>
                <w:b w:val="0"/>
                <w:bCs/>
                <w:color w:val="auto"/>
                <w:sz w:val="21"/>
                <w:szCs w:val="21"/>
                <w:highlight w:val="none"/>
                <w:lang w:eastAsia="zh-CN"/>
              </w:rPr>
            </w:pPr>
            <w:r>
              <w:rPr>
                <w:rFonts w:hint="eastAsia" w:ascii="宋体" w:hAnsi="宋体" w:eastAsia="宋体" w:cs="宋体"/>
                <w:b w:val="0"/>
                <w:bCs/>
                <w:color w:val="auto"/>
                <w:sz w:val="21"/>
                <w:szCs w:val="21"/>
                <w:highlight w:val="none"/>
              </w:rPr>
              <w:t>联系人</w:t>
            </w:r>
            <w:r>
              <w:rPr>
                <w:rFonts w:hint="eastAsia" w:ascii="宋体" w:hAnsi="宋体" w:eastAsia="宋体" w:cs="宋体"/>
                <w:b w:val="0"/>
                <w:bCs/>
                <w:color w:val="auto"/>
                <w:sz w:val="21"/>
                <w:szCs w:val="21"/>
                <w:highlight w:val="none"/>
                <w:lang w:val="en-US" w:eastAsia="zh-CN"/>
              </w:rPr>
              <w:t>及电话</w:t>
            </w:r>
          </w:p>
        </w:tc>
        <w:tc>
          <w:tcPr>
            <w:tcW w:w="1207"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完成情况</w:t>
            </w:r>
          </w:p>
        </w:tc>
        <w:tc>
          <w:tcPr>
            <w:tcW w:w="76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r>
              <w:rPr>
                <w:rFonts w:hint="eastAsia" w:ascii="宋体" w:hAnsi="宋体" w:eastAsia="宋体" w:cs="宋体"/>
                <w:b w:val="0"/>
                <w:bCs/>
                <w:color w:val="auto"/>
                <w:sz w:val="21"/>
                <w:szCs w:val="21"/>
                <w:highlight w:val="none"/>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trPr>
        <w:tc>
          <w:tcPr>
            <w:tcW w:w="855" w:type="dxa"/>
            <w:tcBorders>
              <w:tl2br w:val="nil"/>
              <w:tr2bl w:val="nil"/>
            </w:tcBorders>
            <w:noWrap w:val="0"/>
            <w:vAlign w:val="center"/>
          </w:tcPr>
          <w:p>
            <w:pPr>
              <w:jc w:val="center"/>
              <w:rPr>
                <w:rFonts w:hint="eastAsia" w:ascii="宋体" w:hAnsi="宋体" w:eastAsia="宋体" w:cs="宋体"/>
                <w:b w:val="0"/>
                <w:bCs/>
                <w:color w:val="auto"/>
                <w:sz w:val="21"/>
                <w:szCs w:val="21"/>
                <w:highlight w:val="none"/>
              </w:rPr>
            </w:pPr>
          </w:p>
        </w:tc>
        <w:tc>
          <w:tcPr>
            <w:tcW w:w="1140"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178"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3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81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1207"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c>
          <w:tcPr>
            <w:tcW w:w="765" w:type="dxa"/>
            <w:tcBorders>
              <w:tl2br w:val="nil"/>
              <w:tr2bl w:val="nil"/>
            </w:tcBorders>
            <w:noWrap w:val="0"/>
            <w:vAlign w:val="center"/>
          </w:tcPr>
          <w:p>
            <w:pPr>
              <w:rPr>
                <w:rFonts w:hint="eastAsia" w:ascii="宋体" w:hAnsi="宋体" w:eastAsia="宋体" w:cs="宋体"/>
                <w:b w:val="0"/>
                <w:bCs/>
                <w:color w:val="auto"/>
                <w:sz w:val="21"/>
                <w:szCs w:val="21"/>
                <w:highlight w:val="none"/>
              </w:rPr>
            </w:pPr>
          </w:p>
        </w:tc>
      </w:tr>
    </w:tbl>
    <w:p>
      <w:pPr>
        <w:pStyle w:val="33"/>
        <w:spacing w:after="0"/>
        <w:rPr>
          <w:rFonts w:ascii="宋体" w:hAnsi="宋体" w:eastAsia="宋体"/>
          <w:color w:val="auto"/>
          <w:sz w:val="21"/>
          <w:szCs w:val="21"/>
        </w:rPr>
      </w:pPr>
    </w:p>
    <w:p>
      <w:pPr>
        <w:pStyle w:val="33"/>
        <w:spacing w:after="0"/>
        <w:rPr>
          <w:rFonts w:ascii="宋体" w:hAnsi="宋体" w:eastAsia="宋体"/>
          <w:color w:val="auto"/>
          <w:sz w:val="21"/>
          <w:szCs w:val="21"/>
        </w:rPr>
      </w:pPr>
      <w:r>
        <w:rPr>
          <w:rFonts w:hint="eastAsia" w:ascii="宋体" w:hAnsi="宋体" w:eastAsia="宋体"/>
          <w:color w:val="auto"/>
          <w:sz w:val="21"/>
          <w:szCs w:val="21"/>
        </w:rPr>
        <w:t>注：</w:t>
      </w:r>
      <w:r>
        <w:rPr>
          <w:rFonts w:hint="eastAsia" w:ascii="宋体" w:hAnsi="宋体" w:eastAsia="宋体"/>
          <w:color w:val="auto"/>
          <w:sz w:val="21"/>
          <w:szCs w:val="21"/>
          <w:lang w:val="en-US" w:eastAsia="zh-CN"/>
        </w:rPr>
        <w:t>须提供须提供证明资料，</w:t>
      </w:r>
      <w:r>
        <w:rPr>
          <w:rFonts w:hint="eastAsia" w:ascii="宋体" w:hAnsi="宋体" w:eastAsia="宋体"/>
          <w:color w:val="auto"/>
          <w:sz w:val="21"/>
          <w:szCs w:val="21"/>
        </w:rPr>
        <w:t>业绩表所列出的材料应为真实准确的，并应提供相关证明材料复印件加盖公章。</w:t>
      </w: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pStyle w:val="7"/>
        <w:rPr>
          <w:rFonts w:hint="eastAsia"/>
          <w:color w:val="auto"/>
        </w:rPr>
      </w:pPr>
    </w:p>
    <w:p>
      <w:pPr>
        <w:pStyle w:val="7"/>
        <w:ind w:left="0" w:leftChars="0" w:firstLine="0" w:firstLineChars="0"/>
        <w:rPr>
          <w:rFonts w:hint="eastAsia"/>
          <w:color w:val="auto"/>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ascii="黑体" w:eastAsia="黑体"/>
          <w:color w:val="auto"/>
          <w:sz w:val="28"/>
          <w:szCs w:val="28"/>
        </w:rPr>
      </w:pPr>
      <w:bookmarkStart w:id="246" w:name="_Toc20520"/>
      <w:bookmarkStart w:id="247" w:name="_Toc14688"/>
      <w:r>
        <w:rPr>
          <w:rFonts w:hint="eastAsia"/>
          <w:color w:val="auto"/>
          <w:lang w:val="en-US" w:eastAsia="zh-CN"/>
        </w:rPr>
        <w:t>第三章技术文件</w:t>
      </w:r>
      <w:bookmarkEnd w:id="243"/>
      <w:bookmarkEnd w:id="246"/>
      <w:bookmarkEnd w:id="247"/>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48" w:name="_Toc7092"/>
      <w:bookmarkStart w:id="249" w:name="_Toc13097"/>
      <w:r>
        <w:rPr>
          <w:rFonts w:hint="eastAsia"/>
          <w:color w:val="auto"/>
          <w:lang w:val="en-US" w:eastAsia="zh-CN"/>
        </w:rPr>
        <w:t>一、</w:t>
      </w:r>
      <w:r>
        <w:rPr>
          <w:rFonts w:hint="eastAsia"/>
          <w:color w:val="auto"/>
        </w:rPr>
        <w:t>技术规格偏离表</w:t>
      </w:r>
      <w:bookmarkEnd w:id="248"/>
      <w:bookmarkEnd w:id="249"/>
    </w:p>
    <w:tbl>
      <w:tblPr>
        <w:tblStyle w:val="23"/>
        <w:tblW w:w="8205" w:type="dxa"/>
        <w:tblInd w:w="121"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17"/>
        <w:gridCol w:w="1623"/>
        <w:gridCol w:w="1815"/>
        <w:gridCol w:w="1590"/>
        <w:gridCol w:w="1260"/>
        <w:gridCol w:w="1200"/>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6" w:hRule="atLeast"/>
        </w:trPr>
        <w:tc>
          <w:tcPr>
            <w:tcW w:w="717"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序号</w:t>
            </w:r>
          </w:p>
        </w:tc>
        <w:tc>
          <w:tcPr>
            <w:tcW w:w="1623"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技术规格</w:t>
            </w:r>
          </w:p>
        </w:tc>
        <w:tc>
          <w:tcPr>
            <w:tcW w:w="1815"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招标</w:t>
            </w:r>
            <w:r>
              <w:rPr>
                <w:rFonts w:hint="eastAsia" w:ascii="宋体" w:hAnsi="宋体" w:eastAsia="宋体" w:cs="宋体"/>
                <w:color w:val="auto"/>
                <w:sz w:val="21"/>
                <w:szCs w:val="21"/>
                <w:lang w:val="en-US" w:eastAsia="zh-CN"/>
              </w:rPr>
              <w:t>文件</w:t>
            </w:r>
            <w:r>
              <w:rPr>
                <w:rFonts w:hint="eastAsia" w:ascii="宋体" w:hAnsi="宋体" w:eastAsia="宋体" w:cs="宋体"/>
                <w:color w:val="auto"/>
                <w:sz w:val="21"/>
                <w:szCs w:val="21"/>
              </w:rPr>
              <w:t>要求</w:t>
            </w:r>
          </w:p>
        </w:tc>
        <w:tc>
          <w:tcPr>
            <w:tcW w:w="1590"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投标实际响应</w:t>
            </w:r>
          </w:p>
        </w:tc>
        <w:tc>
          <w:tcPr>
            <w:tcW w:w="1260" w:type="dxa"/>
            <w:tcBorders>
              <w:tl2br w:val="nil"/>
              <w:tr2bl w:val="nil"/>
            </w:tcBorders>
            <w:vAlign w:val="center"/>
          </w:tcPr>
          <w:p>
            <w:pPr>
              <w:spacing w:after="0"/>
              <w:jc w:val="center"/>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rPr>
              <w:t>偏离</w:t>
            </w:r>
            <w:r>
              <w:rPr>
                <w:rFonts w:hint="eastAsia" w:ascii="宋体" w:hAnsi="宋体" w:eastAsia="宋体" w:cs="宋体"/>
                <w:color w:val="auto"/>
                <w:sz w:val="21"/>
                <w:szCs w:val="21"/>
                <w:lang w:val="en-US" w:eastAsia="zh-CN"/>
              </w:rPr>
              <w:t>情况</w:t>
            </w:r>
          </w:p>
        </w:tc>
        <w:tc>
          <w:tcPr>
            <w:tcW w:w="1200" w:type="dxa"/>
            <w:tcBorders>
              <w:tl2br w:val="nil"/>
              <w:tr2bl w:val="nil"/>
            </w:tcBorders>
            <w:vAlign w:val="center"/>
          </w:tcPr>
          <w:p>
            <w:pPr>
              <w:spacing w:after="0"/>
              <w:jc w:val="center"/>
              <w:rPr>
                <w:rFonts w:hint="eastAsia" w:ascii="宋体" w:hAnsi="宋体" w:eastAsia="宋体" w:cs="宋体"/>
                <w:color w:val="auto"/>
                <w:sz w:val="21"/>
                <w:szCs w:val="21"/>
              </w:rPr>
            </w:pPr>
            <w:r>
              <w:rPr>
                <w:rFonts w:hint="eastAsia" w:ascii="宋体" w:hAnsi="宋体" w:eastAsia="宋体" w:cs="宋体"/>
                <w:color w:val="auto"/>
                <w:sz w:val="21"/>
                <w:szCs w:val="21"/>
              </w:rPr>
              <w:t>说明</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49" w:hRule="atLeast"/>
        </w:trPr>
        <w:tc>
          <w:tcPr>
            <w:tcW w:w="717" w:type="dxa"/>
            <w:tcBorders>
              <w:tl2br w:val="nil"/>
              <w:tr2bl w:val="nil"/>
            </w:tcBorders>
            <w:vAlign w:val="center"/>
          </w:tcPr>
          <w:p>
            <w:pPr>
              <w:jc w:val="center"/>
              <w:rPr>
                <w:rFonts w:hint="eastAsia" w:ascii="宋体" w:hAnsi="宋体" w:eastAsia="宋体" w:cs="宋体"/>
                <w:color w:val="auto"/>
                <w:sz w:val="21"/>
                <w:szCs w:val="21"/>
              </w:rPr>
            </w:pPr>
          </w:p>
        </w:tc>
        <w:tc>
          <w:tcPr>
            <w:tcW w:w="1623" w:type="dxa"/>
            <w:tcBorders>
              <w:tl2br w:val="nil"/>
              <w:tr2bl w:val="nil"/>
            </w:tcBorders>
            <w:vAlign w:val="center"/>
          </w:tcPr>
          <w:p>
            <w:pPr>
              <w:jc w:val="center"/>
              <w:rPr>
                <w:rFonts w:hint="eastAsia" w:ascii="宋体" w:hAnsi="宋体" w:eastAsia="宋体" w:cs="宋体"/>
                <w:color w:val="auto"/>
                <w:sz w:val="21"/>
                <w:szCs w:val="21"/>
              </w:rPr>
            </w:pPr>
          </w:p>
        </w:tc>
        <w:tc>
          <w:tcPr>
            <w:tcW w:w="1815" w:type="dxa"/>
            <w:tcBorders>
              <w:tl2br w:val="nil"/>
              <w:tr2bl w:val="nil"/>
            </w:tcBorders>
            <w:vAlign w:val="center"/>
          </w:tcPr>
          <w:p>
            <w:pPr>
              <w:jc w:val="center"/>
              <w:rPr>
                <w:rFonts w:hint="eastAsia" w:ascii="宋体" w:hAnsi="宋体" w:eastAsia="宋体" w:cs="宋体"/>
                <w:color w:val="auto"/>
                <w:sz w:val="21"/>
                <w:szCs w:val="21"/>
              </w:rPr>
            </w:pPr>
          </w:p>
        </w:tc>
        <w:tc>
          <w:tcPr>
            <w:tcW w:w="1590" w:type="dxa"/>
            <w:tcBorders>
              <w:tl2br w:val="nil"/>
              <w:tr2bl w:val="nil"/>
            </w:tcBorders>
            <w:vAlign w:val="center"/>
          </w:tcPr>
          <w:p>
            <w:pPr>
              <w:jc w:val="center"/>
              <w:rPr>
                <w:rFonts w:hint="eastAsia" w:ascii="宋体" w:hAnsi="宋体" w:eastAsia="宋体" w:cs="宋体"/>
                <w:color w:val="auto"/>
                <w:sz w:val="21"/>
                <w:szCs w:val="21"/>
              </w:rPr>
            </w:pPr>
          </w:p>
        </w:tc>
        <w:tc>
          <w:tcPr>
            <w:tcW w:w="1260" w:type="dxa"/>
            <w:tcBorders>
              <w:tl2br w:val="nil"/>
              <w:tr2bl w:val="nil"/>
            </w:tcBorders>
            <w:vAlign w:val="center"/>
          </w:tcPr>
          <w:p>
            <w:pPr>
              <w:jc w:val="center"/>
              <w:rPr>
                <w:rFonts w:hint="eastAsia" w:ascii="宋体" w:hAnsi="宋体" w:eastAsia="宋体" w:cs="宋体"/>
                <w:color w:val="auto"/>
                <w:sz w:val="21"/>
                <w:szCs w:val="21"/>
              </w:rPr>
            </w:pPr>
          </w:p>
        </w:tc>
        <w:tc>
          <w:tcPr>
            <w:tcW w:w="1200" w:type="dxa"/>
            <w:tcBorders>
              <w:tl2br w:val="nil"/>
              <w:tr2bl w:val="nil"/>
            </w:tcBorders>
            <w:vAlign w:val="center"/>
          </w:tcPr>
          <w:p>
            <w:pPr>
              <w:jc w:val="center"/>
              <w:rPr>
                <w:rFonts w:hint="eastAsia" w:ascii="宋体" w:hAnsi="宋体" w:eastAsia="宋体" w:cs="宋体"/>
                <w:color w:val="auto"/>
                <w:sz w:val="21"/>
                <w:szCs w:val="21"/>
              </w:rPr>
            </w:pPr>
          </w:p>
        </w:tc>
      </w:tr>
    </w:tbl>
    <w:p>
      <w:pPr>
        <w:rPr>
          <w:rFonts w:ascii="宋体" w:hAnsi="宋体" w:eastAsia="宋体"/>
          <w:color w:val="auto"/>
          <w:sz w:val="21"/>
          <w:szCs w:val="21"/>
        </w:rPr>
      </w:pPr>
    </w:p>
    <w:p>
      <w:pPr>
        <w:bidi w:val="0"/>
        <w:rPr>
          <w:color w:val="auto"/>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rPr>
        <w:t>投标人盖章：</w:t>
      </w:r>
    </w:p>
    <w:p>
      <w:pPr>
        <w:ind w:firstLine="178" w:firstLineChars="85"/>
        <w:rPr>
          <w:rFonts w:ascii="宋体" w:hAnsi="宋体" w:eastAsia="宋体"/>
          <w:color w:val="auto"/>
          <w:sz w:val="21"/>
          <w:szCs w:val="21"/>
        </w:rPr>
      </w:pPr>
    </w:p>
    <w:p>
      <w:pPr>
        <w:keepNext w:val="0"/>
        <w:keepLines w:val="0"/>
        <w:pageBreakBefore w:val="0"/>
        <w:widowControl/>
        <w:kinsoku/>
        <w:wordWrap/>
        <w:overflowPunct/>
        <w:topLinePunct w:val="0"/>
        <w:autoSpaceDE/>
        <w:autoSpaceDN/>
        <w:bidi w:val="0"/>
        <w:adjustRightInd w:val="0"/>
        <w:snapToGrid w:val="0"/>
        <w:spacing w:after="0" w:line="360" w:lineRule="auto"/>
        <w:ind w:left="0" w:firstLine="420" w:firstLineChars="200"/>
        <w:textAlignment w:val="auto"/>
        <w:rPr>
          <w:rFonts w:hint="eastAsia" w:ascii="宋体" w:hAnsi="宋体" w:eastAsia="宋体"/>
          <w:color w:val="auto"/>
          <w:sz w:val="21"/>
          <w:szCs w:val="21"/>
        </w:rPr>
      </w:pPr>
      <w:r>
        <w:rPr>
          <w:rFonts w:hint="eastAsia" w:ascii="宋体" w:hAnsi="宋体" w:eastAsia="宋体"/>
          <w:color w:val="auto"/>
          <w:sz w:val="21"/>
          <w:szCs w:val="21"/>
        </w:rPr>
        <w:t>注：投标人应对照招标文件</w:t>
      </w:r>
      <w:r>
        <w:rPr>
          <w:rFonts w:hint="eastAsia" w:ascii="宋体" w:hAnsi="宋体"/>
          <w:color w:val="auto"/>
          <w:sz w:val="21"/>
          <w:szCs w:val="21"/>
          <w:lang w:val="en-US" w:eastAsia="zh-CN"/>
        </w:rPr>
        <w:t>技术</w:t>
      </w:r>
      <w:r>
        <w:rPr>
          <w:rFonts w:hint="eastAsia" w:ascii="宋体" w:hAnsi="宋体" w:eastAsia="宋体"/>
          <w:color w:val="auto"/>
          <w:sz w:val="21"/>
          <w:szCs w:val="21"/>
        </w:rPr>
        <w:t>要求，在“偏离</w:t>
      </w:r>
      <w:r>
        <w:rPr>
          <w:rFonts w:hint="eastAsia" w:ascii="宋体" w:hAnsi="宋体" w:eastAsia="宋体"/>
          <w:color w:val="auto"/>
          <w:sz w:val="21"/>
          <w:szCs w:val="21"/>
          <w:lang w:val="en-US" w:eastAsia="zh-CN"/>
        </w:rPr>
        <w:t>情况</w:t>
      </w:r>
      <w:r>
        <w:rPr>
          <w:rFonts w:hint="eastAsia" w:ascii="宋体" w:hAnsi="宋体" w:eastAsia="宋体"/>
          <w:color w:val="auto"/>
          <w:sz w:val="21"/>
          <w:szCs w:val="21"/>
        </w:rPr>
        <w:t>”项中填写“无</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”、“正</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w:t>
      </w:r>
      <w:r>
        <w:rPr>
          <w:rFonts w:hint="eastAsia" w:ascii="宋体" w:hAnsi="宋体" w:eastAsia="宋体"/>
          <w:color w:val="auto"/>
          <w:sz w:val="21"/>
          <w:szCs w:val="21"/>
          <w:lang w:val="en-US" w:eastAsia="zh-CN"/>
        </w:rPr>
        <w:t>或</w:t>
      </w:r>
      <w:r>
        <w:rPr>
          <w:rFonts w:hint="eastAsia" w:ascii="宋体" w:hAnsi="宋体" w:eastAsia="宋体"/>
          <w:color w:val="auto"/>
          <w:sz w:val="21"/>
          <w:szCs w:val="21"/>
        </w:rPr>
        <w:t>“负</w:t>
      </w:r>
      <w:r>
        <w:rPr>
          <w:rFonts w:hint="eastAsia" w:ascii="宋体" w:hAnsi="宋体" w:eastAsia="宋体"/>
          <w:color w:val="auto"/>
          <w:sz w:val="21"/>
          <w:szCs w:val="21"/>
          <w:lang w:val="en-US" w:eastAsia="zh-CN"/>
        </w:rPr>
        <w:t>偏离</w:t>
      </w:r>
      <w:r>
        <w:rPr>
          <w:rFonts w:hint="eastAsia" w:ascii="宋体" w:hAnsi="宋体" w:eastAsia="宋体"/>
          <w:color w:val="auto"/>
          <w:sz w:val="21"/>
          <w:szCs w:val="21"/>
        </w:rPr>
        <w:t>”，逐条说明已对招标文件的</w:t>
      </w:r>
      <w:r>
        <w:rPr>
          <w:rFonts w:hint="eastAsia" w:ascii="宋体" w:hAnsi="宋体"/>
          <w:color w:val="auto"/>
          <w:sz w:val="21"/>
          <w:szCs w:val="21"/>
          <w:lang w:val="en-US" w:eastAsia="zh-CN"/>
        </w:rPr>
        <w:t>技术</w:t>
      </w:r>
      <w:r>
        <w:rPr>
          <w:rFonts w:hint="eastAsia" w:ascii="宋体" w:hAnsi="宋体" w:eastAsia="宋体"/>
          <w:color w:val="auto"/>
          <w:sz w:val="21"/>
          <w:szCs w:val="21"/>
        </w:rPr>
        <w:t>内容做出了实质性的响应，并申明与招标文件的偏差和例外。</w:t>
      </w:r>
    </w:p>
    <w:p>
      <w:pPr>
        <w:rPr>
          <w:rFonts w:hint="eastAsia" w:ascii="宋体" w:hAnsi="宋体" w:eastAsia="宋体"/>
          <w:color w:val="auto"/>
          <w:sz w:val="21"/>
          <w:szCs w:val="21"/>
        </w:rPr>
      </w:pPr>
    </w:p>
    <w:p>
      <w:pPr>
        <w:rPr>
          <w:rFonts w:ascii="宋体" w:hAnsi="宋体" w:eastAsia="宋体"/>
          <w:color w:val="auto"/>
          <w:sz w:val="21"/>
          <w:szCs w:val="21"/>
        </w:rPr>
      </w:pPr>
    </w:p>
    <w:p>
      <w:pPr>
        <w:spacing w:after="0" w:line="360" w:lineRule="auto"/>
        <w:rPr>
          <w:rFonts w:ascii="宋体" w:hAnsi="宋体" w:eastAsia="宋体"/>
          <w:color w:val="auto"/>
          <w:sz w:val="21"/>
          <w:szCs w:val="21"/>
        </w:rPr>
      </w:pPr>
    </w:p>
    <w:p>
      <w:pPr>
        <w:adjustRightInd/>
        <w:snapToGrid/>
        <w:spacing w:line="276" w:lineRule="auto"/>
        <w:rPr>
          <w:color w:val="auto"/>
        </w:rPr>
      </w:pPr>
    </w:p>
    <w:p>
      <w:pPr>
        <w:rPr>
          <w:rFonts w:ascii="黑体" w:eastAsia="黑体"/>
          <w:color w:val="auto"/>
          <w:sz w:val="28"/>
          <w:szCs w:val="28"/>
        </w:rPr>
      </w:pPr>
      <w:bookmarkStart w:id="250" w:name="_Toc17691"/>
      <w:r>
        <w:rPr>
          <w:rFonts w:hint="eastAsia" w:ascii="宋体" w:hAnsi="宋体" w:eastAsia="宋体"/>
          <w:color w:val="auto"/>
          <w:sz w:val="21"/>
          <w:szCs w:val="21"/>
        </w:rPr>
        <w:br w:type="page"/>
      </w:r>
      <w:bookmarkEnd w:id="250"/>
      <w:bookmarkStart w:id="251" w:name="_Toc6080"/>
      <w:bookmarkStart w:id="252" w:name="_Toc4827"/>
      <w:bookmarkStart w:id="253" w:name="_Toc4464"/>
      <w:bookmarkStart w:id="254" w:name="_Toc26078"/>
      <w:bookmarkStart w:id="255" w:name="_Toc18668"/>
      <w:bookmarkStart w:id="256" w:name="_Toc1274"/>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257" w:name="_Toc10734"/>
      <w:bookmarkStart w:id="258" w:name="_Toc13461"/>
      <w:r>
        <w:rPr>
          <w:rFonts w:hint="eastAsia"/>
          <w:color w:val="auto"/>
          <w:lang w:val="en-US" w:eastAsia="zh-CN"/>
        </w:rPr>
        <w:t>二、</w:t>
      </w:r>
      <w:r>
        <w:rPr>
          <w:rFonts w:hint="eastAsia"/>
          <w:color w:val="auto"/>
        </w:rPr>
        <w:t>重要技术参数（▲）响应表</w:t>
      </w:r>
      <w:bookmarkEnd w:id="251"/>
      <w:bookmarkEnd w:id="252"/>
      <w:bookmarkEnd w:id="253"/>
      <w:bookmarkEnd w:id="254"/>
      <w:bookmarkEnd w:id="255"/>
      <w:bookmarkEnd w:id="256"/>
      <w:bookmarkEnd w:id="257"/>
      <w:bookmarkEnd w:id="258"/>
    </w:p>
    <w:tbl>
      <w:tblPr>
        <w:tblStyle w:val="24"/>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856"/>
        <w:gridCol w:w="2550"/>
        <w:gridCol w:w="2280"/>
        <w:gridCol w:w="1109"/>
        <w:gridCol w:w="1591"/>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lang w:val="en-US" w:eastAsia="zh-CN"/>
              </w:rPr>
            </w:pPr>
            <w:bookmarkStart w:id="259" w:name="_Toc29642"/>
            <w:bookmarkStart w:id="260" w:name="_Toc29560"/>
            <w:bookmarkStart w:id="261" w:name="_Toc27079"/>
            <w:r>
              <w:rPr>
                <w:rFonts w:hint="eastAsia" w:ascii="宋体" w:hAnsi="宋体" w:eastAsia="宋体" w:cs="宋体"/>
                <w:b w:val="0"/>
                <w:bCs w:val="0"/>
                <w:color w:val="auto"/>
                <w:sz w:val="21"/>
                <w:szCs w:val="21"/>
                <w:lang w:val="en-US" w:eastAsia="zh-CN"/>
              </w:rPr>
              <w:t>序号</w:t>
            </w:r>
            <w:bookmarkEnd w:id="259"/>
            <w:bookmarkEnd w:id="260"/>
            <w:bookmarkEnd w:id="261"/>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bookmarkStart w:id="262" w:name="_Toc26124"/>
            <w:bookmarkStart w:id="263" w:name="_Toc15903"/>
            <w:bookmarkStart w:id="264" w:name="_Toc27090"/>
            <w:bookmarkStart w:id="265" w:name="_Toc2700"/>
            <w:bookmarkStart w:id="266" w:name="_Toc4304"/>
            <w:bookmarkStart w:id="267" w:name="_Toc22448"/>
            <w:bookmarkStart w:id="268" w:name="_Toc15368"/>
            <w:bookmarkStart w:id="269" w:name="_Toc16872"/>
            <w:bookmarkStart w:id="270" w:name="_Toc10045"/>
            <w:bookmarkStart w:id="271" w:name="_Toc14815"/>
            <w:bookmarkStart w:id="272" w:name="_Toc21739"/>
            <w:bookmarkStart w:id="273" w:name="_Toc1016"/>
            <w:bookmarkStart w:id="274" w:name="_Toc12049"/>
            <w:bookmarkStart w:id="275" w:name="_Toc8312"/>
            <w:bookmarkStart w:id="276" w:name="_Toc27442"/>
            <w:bookmarkStart w:id="277" w:name="_Toc21809"/>
            <w:bookmarkStart w:id="278" w:name="_Toc19251"/>
            <w:bookmarkStart w:id="279" w:name="_Toc7333"/>
            <w:bookmarkStart w:id="280" w:name="_Toc22879"/>
            <w:bookmarkStart w:id="281" w:name="_Toc24662"/>
            <w:bookmarkStart w:id="282" w:name="_Toc8490"/>
            <w:bookmarkStart w:id="283" w:name="_Toc22917"/>
            <w:bookmarkStart w:id="284" w:name="_Toc32531"/>
            <w:r>
              <w:rPr>
                <w:rFonts w:hint="eastAsia" w:ascii="宋体" w:hAnsi="宋体" w:eastAsia="宋体" w:cs="宋体"/>
                <w:b w:val="0"/>
                <w:bCs w:val="0"/>
                <w:color w:val="auto"/>
                <w:sz w:val="21"/>
                <w:szCs w:val="21"/>
                <w:lang w:val="en-US" w:eastAsia="zh-CN"/>
              </w:rPr>
              <w:t>重要</w:t>
            </w:r>
            <w:r>
              <w:rPr>
                <w:rFonts w:hint="eastAsia" w:ascii="宋体" w:hAnsi="宋体" w:eastAsia="宋体" w:cs="宋体"/>
                <w:b w:val="0"/>
                <w:bCs w:val="0"/>
                <w:color w:val="auto"/>
                <w:sz w:val="21"/>
                <w:szCs w:val="21"/>
              </w:rPr>
              <w:t>技术参</w:t>
            </w:r>
            <w:r>
              <w:rPr>
                <w:rFonts w:hint="eastAsia" w:ascii="宋体" w:hAnsi="宋体" w:eastAsia="宋体" w:cs="宋体"/>
                <w:b w:val="0"/>
                <w:bCs w:val="0"/>
                <w:color w:val="auto"/>
                <w:sz w:val="21"/>
                <w:szCs w:val="21"/>
                <w:lang w:val="en-US" w:eastAsia="zh-CN"/>
              </w:rPr>
              <w:t>数评分条款</w:t>
            </w:r>
            <w:r>
              <w:rPr>
                <w:rFonts w:hint="eastAsia" w:ascii="宋体" w:hAnsi="宋体" w:eastAsia="宋体" w:cs="宋体"/>
                <w:b w:val="0"/>
                <w:bCs w:val="0"/>
                <w:color w:val="auto"/>
                <w:sz w:val="21"/>
                <w:szCs w:val="21"/>
              </w:rPr>
              <w:t>（▲）</w:t>
            </w:r>
            <w:bookmarkEnd w:id="262"/>
            <w:bookmarkEnd w:id="263"/>
            <w:bookmarkEnd w:id="264"/>
            <w:bookmarkEnd w:id="265"/>
            <w:bookmarkEnd w:id="266"/>
            <w:bookmarkEnd w:id="267"/>
            <w:bookmarkEnd w:id="268"/>
            <w:bookmarkEnd w:id="269"/>
            <w:bookmarkEnd w:id="270"/>
            <w:bookmarkEnd w:id="271"/>
            <w:bookmarkEnd w:id="272"/>
            <w:bookmarkEnd w:id="273"/>
            <w:bookmarkEnd w:id="274"/>
          </w:p>
          <w:bookmarkEnd w:id="275"/>
          <w:bookmarkEnd w:id="276"/>
          <w:bookmarkEnd w:id="277"/>
          <w:bookmarkEnd w:id="278"/>
          <w:bookmarkEnd w:id="279"/>
          <w:bookmarkEnd w:id="280"/>
          <w:bookmarkEnd w:id="281"/>
          <w:bookmarkEnd w:id="282"/>
          <w:bookmarkEnd w:id="283"/>
          <w:bookmarkEnd w:id="284"/>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bookmarkStart w:id="285" w:name="_Toc2408"/>
            <w:bookmarkStart w:id="286" w:name="_Toc22153"/>
            <w:bookmarkStart w:id="287" w:name="_Toc10122"/>
            <w:r>
              <w:rPr>
                <w:rFonts w:hint="eastAsia" w:ascii="宋体" w:hAnsi="宋体" w:eastAsia="宋体" w:cs="宋体"/>
                <w:b w:val="0"/>
                <w:bCs w:val="0"/>
                <w:color w:val="auto"/>
                <w:kern w:val="0"/>
                <w:sz w:val="21"/>
                <w:szCs w:val="21"/>
              </w:rPr>
              <w:t>投标文件响应内容</w:t>
            </w:r>
            <w:bookmarkEnd w:id="285"/>
            <w:bookmarkEnd w:id="286"/>
            <w:bookmarkEnd w:id="287"/>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lang w:val="en-US" w:eastAsia="zh-CN"/>
              </w:rPr>
            </w:pPr>
            <w:bookmarkStart w:id="288" w:name="_Toc27285"/>
            <w:bookmarkStart w:id="289" w:name="_Toc29838"/>
            <w:bookmarkStart w:id="290" w:name="_Toc16003"/>
            <w:bookmarkStart w:id="291" w:name="_Toc17642"/>
            <w:bookmarkStart w:id="292" w:name="_Toc5563"/>
            <w:bookmarkStart w:id="293" w:name="_Toc1330"/>
            <w:bookmarkStart w:id="294" w:name="_Toc20139"/>
            <w:bookmarkStart w:id="295" w:name="_Toc3701"/>
            <w:bookmarkStart w:id="296" w:name="_Toc20820"/>
            <w:bookmarkStart w:id="297" w:name="_Toc1912"/>
            <w:bookmarkStart w:id="298" w:name="_Toc27185"/>
            <w:bookmarkStart w:id="299" w:name="_Toc5992"/>
            <w:bookmarkStart w:id="300" w:name="_Toc17296"/>
            <w:r>
              <w:rPr>
                <w:rFonts w:hint="eastAsia" w:ascii="宋体" w:hAnsi="宋体" w:eastAsia="宋体" w:cs="宋体"/>
                <w:b w:val="0"/>
                <w:bCs w:val="0"/>
                <w:color w:val="auto"/>
                <w:sz w:val="21"/>
                <w:szCs w:val="21"/>
                <w:lang w:val="en-US" w:eastAsia="zh-CN"/>
              </w:rPr>
              <w:t>说明</w:t>
            </w:r>
            <w:bookmarkEnd w:id="288"/>
            <w:bookmarkEnd w:id="289"/>
            <w:bookmarkEnd w:id="290"/>
          </w:p>
        </w:tc>
        <w:tc>
          <w:tcPr>
            <w:tcW w:w="1591"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bookmarkStart w:id="301" w:name="_Toc857"/>
            <w:bookmarkStart w:id="302" w:name="_Toc3520"/>
            <w:bookmarkStart w:id="303" w:name="_Toc19105"/>
            <w:r>
              <w:rPr>
                <w:rFonts w:hint="eastAsia" w:ascii="宋体" w:hAnsi="宋体" w:eastAsia="宋体" w:cs="宋体"/>
                <w:b w:val="0"/>
                <w:bCs w:val="0"/>
                <w:color w:val="auto"/>
                <w:sz w:val="21"/>
                <w:szCs w:val="21"/>
              </w:rPr>
              <w:t>页码范围</w:t>
            </w:r>
            <w:bookmarkEnd w:id="291"/>
            <w:bookmarkEnd w:id="292"/>
            <w:bookmarkEnd w:id="293"/>
            <w:bookmarkEnd w:id="294"/>
            <w:bookmarkEnd w:id="295"/>
            <w:bookmarkEnd w:id="296"/>
            <w:bookmarkEnd w:id="297"/>
            <w:bookmarkEnd w:id="298"/>
            <w:bookmarkEnd w:id="299"/>
            <w:bookmarkEnd w:id="300"/>
            <w:bookmarkEnd w:id="301"/>
            <w:bookmarkEnd w:id="302"/>
            <w:bookmarkEnd w:id="303"/>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8" w:hRule="atLeast"/>
        </w:trPr>
        <w:tc>
          <w:tcPr>
            <w:tcW w:w="856"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55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2280"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109" w:type="dxa"/>
            <w:tcBorders>
              <w:tl2br w:val="nil"/>
              <w:tr2bl w:val="nil"/>
            </w:tcBorders>
            <w:vAlign w:val="center"/>
          </w:tcPr>
          <w:p>
            <w:pPr>
              <w:pStyle w:val="5"/>
              <w:widowControl w:val="0"/>
              <w:overflowPunct w:val="0"/>
              <w:spacing w:before="0" w:after="0" w:line="240" w:lineRule="auto"/>
              <w:jc w:val="center"/>
              <w:rPr>
                <w:rFonts w:hint="eastAsia" w:ascii="宋体" w:hAnsi="宋体" w:eastAsia="宋体" w:cs="宋体"/>
                <w:b w:val="0"/>
                <w:bCs w:val="0"/>
                <w:color w:val="auto"/>
                <w:sz w:val="21"/>
                <w:szCs w:val="21"/>
              </w:rPr>
            </w:pPr>
          </w:p>
        </w:tc>
        <w:tc>
          <w:tcPr>
            <w:tcW w:w="1591" w:type="dxa"/>
            <w:tcBorders>
              <w:tl2br w:val="nil"/>
              <w:tr2bl w:val="nil"/>
            </w:tcBorders>
            <w:vAlign w:val="center"/>
          </w:tcPr>
          <w:p>
            <w:pPr>
              <w:widowControl/>
              <w:jc w:val="center"/>
              <w:rPr>
                <w:rFonts w:hint="eastAsia" w:ascii="宋体" w:hAnsi="宋体" w:eastAsia="宋体" w:cs="宋体"/>
                <w:b w:val="0"/>
                <w:bCs w:val="0"/>
                <w:color w:val="auto"/>
                <w:sz w:val="21"/>
                <w:szCs w:val="21"/>
              </w:rPr>
            </w:pPr>
            <w:r>
              <w:rPr>
                <w:rFonts w:hint="eastAsia" w:ascii="宋体" w:hAnsi="宋体" w:eastAsia="宋体" w:cs="宋体"/>
                <w:b w:val="0"/>
                <w:bCs w:val="0"/>
                <w:color w:val="auto"/>
                <w:sz w:val="21"/>
                <w:szCs w:val="21"/>
              </w:rPr>
              <w:t>详见投标文件第（）页</w:t>
            </w:r>
          </w:p>
        </w:tc>
      </w:tr>
    </w:tbl>
    <w:p>
      <w:pPr>
        <w:pStyle w:val="33"/>
        <w:spacing w:after="0" w:line="360" w:lineRule="auto"/>
        <w:rPr>
          <w:rFonts w:ascii="宋体" w:hAnsi="宋体" w:eastAsia="宋体"/>
          <w:color w:val="auto"/>
          <w:sz w:val="21"/>
          <w:szCs w:val="21"/>
        </w:rPr>
      </w:pPr>
    </w:p>
    <w:p>
      <w:pPr>
        <w:pStyle w:val="33"/>
        <w:spacing w:after="0" w:line="360" w:lineRule="auto"/>
        <w:rPr>
          <w:rFonts w:hint="eastAsia" w:ascii="宋体" w:hAnsi="宋体" w:eastAsia="宋体"/>
          <w:color w:val="auto"/>
          <w:sz w:val="21"/>
          <w:szCs w:val="21"/>
        </w:rPr>
      </w:pPr>
      <w:r>
        <w:rPr>
          <w:rFonts w:hint="eastAsia" w:ascii="宋体" w:hAnsi="宋体" w:eastAsia="宋体"/>
          <w:color w:val="auto"/>
          <w:sz w:val="21"/>
          <w:szCs w:val="21"/>
        </w:rPr>
        <w:t>注：</w:t>
      </w:r>
    </w:p>
    <w:p>
      <w:pPr>
        <w:pStyle w:val="33"/>
        <w:spacing w:after="0" w:line="360" w:lineRule="auto"/>
        <w:rPr>
          <w:rFonts w:hint="eastAsia" w:ascii="宋体" w:hAnsi="宋体" w:eastAsia="宋体"/>
          <w:color w:val="auto"/>
          <w:sz w:val="21"/>
          <w:szCs w:val="21"/>
        </w:rPr>
      </w:pPr>
      <w:r>
        <w:rPr>
          <w:rFonts w:hint="eastAsia" w:ascii="宋体" w:hAnsi="宋体" w:eastAsia="宋体"/>
          <w:color w:val="auto"/>
          <w:sz w:val="21"/>
          <w:szCs w:val="21"/>
          <w:lang w:val="en-US" w:eastAsia="zh-CN"/>
        </w:rPr>
        <w:t>1、投标人</w:t>
      </w:r>
      <w:r>
        <w:rPr>
          <w:rFonts w:hint="eastAsia" w:ascii="宋体" w:hAnsi="宋体" w:eastAsia="宋体"/>
          <w:color w:val="auto"/>
          <w:sz w:val="21"/>
          <w:szCs w:val="21"/>
        </w:rPr>
        <w:t>应逐条对照招标文件重要评分条款，如实地说明投标响应情况。</w:t>
      </w:r>
    </w:p>
    <w:p>
      <w:pPr>
        <w:pStyle w:val="33"/>
        <w:spacing w:after="0" w:line="360" w:lineRule="auto"/>
        <w:rPr>
          <w:rFonts w:hint="eastAsia" w:ascii="宋体" w:hAnsi="宋体" w:eastAsia="宋体"/>
          <w:color w:val="auto"/>
          <w:sz w:val="21"/>
          <w:szCs w:val="21"/>
        </w:rPr>
      </w:pPr>
      <w:r>
        <w:rPr>
          <w:rFonts w:hint="eastAsia" w:ascii="宋体" w:hAnsi="宋体" w:eastAsia="宋体"/>
          <w:color w:val="auto"/>
          <w:sz w:val="21"/>
          <w:szCs w:val="21"/>
          <w:lang w:val="en-US" w:eastAsia="zh-CN"/>
        </w:rPr>
        <w:t>2、</w:t>
      </w:r>
      <w:r>
        <w:rPr>
          <w:rFonts w:hint="eastAsia" w:ascii="宋体" w:hAnsi="宋体" w:eastAsia="宋体"/>
          <w:color w:val="auto"/>
          <w:sz w:val="21"/>
          <w:szCs w:val="21"/>
        </w:rPr>
        <w:t>若该重要技术参数（</w:t>
      </w:r>
      <w:r>
        <w:rPr>
          <w:rFonts w:hint="eastAsia" w:ascii="宋体" w:hAnsi="宋体" w:eastAsia="宋体" w:cs="Times New Roman"/>
          <w:color w:val="auto"/>
          <w:sz w:val="21"/>
          <w:szCs w:val="21"/>
        </w:rPr>
        <w:t>▲</w:t>
      </w:r>
      <w:r>
        <w:rPr>
          <w:rFonts w:hint="eastAsia" w:ascii="宋体" w:hAnsi="宋体" w:eastAsia="宋体"/>
          <w:color w:val="auto"/>
          <w:sz w:val="21"/>
          <w:szCs w:val="21"/>
        </w:rPr>
        <w:t>）规定提交相关证明材料的，供应商应当提供，并附于本格式后。未按要求提供或提供不符合要求的证明材料，视为不满足，按评分标准进行扣分处理。</w:t>
      </w:r>
    </w:p>
    <w:p>
      <w:pPr>
        <w:pStyle w:val="33"/>
        <w:spacing w:after="0" w:line="360" w:lineRule="auto"/>
        <w:rPr>
          <w:rFonts w:hint="eastAsia" w:ascii="宋体" w:hAnsi="宋体" w:eastAsia="宋体"/>
          <w:b/>
          <w:bCs/>
          <w:color w:val="auto"/>
          <w:sz w:val="21"/>
          <w:szCs w:val="21"/>
        </w:rPr>
      </w:pPr>
      <w:r>
        <w:rPr>
          <w:rFonts w:hint="eastAsia" w:ascii="宋体" w:hAnsi="宋体" w:eastAsia="宋体"/>
          <w:b/>
          <w:bCs/>
          <w:color w:val="auto"/>
          <w:sz w:val="21"/>
          <w:szCs w:val="21"/>
          <w:lang w:val="en-US" w:eastAsia="zh-CN"/>
        </w:rPr>
        <w:t>3、</w:t>
      </w:r>
      <w:r>
        <w:rPr>
          <w:rFonts w:hint="eastAsia" w:ascii="宋体" w:hAnsi="宋体" w:eastAsia="宋体"/>
          <w:b/>
          <w:bCs/>
          <w:color w:val="auto"/>
          <w:sz w:val="21"/>
          <w:szCs w:val="21"/>
        </w:rPr>
        <w:t>若招标文件未设定重要技术参数（</w:t>
      </w:r>
      <w:r>
        <w:rPr>
          <w:rFonts w:hint="eastAsia" w:ascii="宋体" w:hAnsi="宋体" w:eastAsia="宋体" w:cs="Times New Roman"/>
          <w:b/>
          <w:bCs/>
          <w:color w:val="auto"/>
          <w:sz w:val="21"/>
          <w:szCs w:val="21"/>
        </w:rPr>
        <w:t>▲</w:t>
      </w:r>
      <w:r>
        <w:rPr>
          <w:rFonts w:hint="eastAsia" w:ascii="宋体" w:hAnsi="宋体" w:eastAsia="宋体"/>
          <w:b/>
          <w:bCs/>
          <w:color w:val="auto"/>
          <w:sz w:val="21"/>
          <w:szCs w:val="21"/>
        </w:rPr>
        <w:t>）评分条款的，可删除本格式。</w:t>
      </w:r>
    </w:p>
    <w:p>
      <w:pPr>
        <w:pStyle w:val="33"/>
        <w:spacing w:after="0" w:line="360" w:lineRule="auto"/>
        <w:rPr>
          <w:rFonts w:ascii="宋体" w:hAnsi="宋体" w:eastAsia="宋体"/>
          <w:color w:val="auto"/>
          <w:sz w:val="21"/>
          <w:szCs w:val="21"/>
        </w:rPr>
      </w:pPr>
    </w:p>
    <w:p>
      <w:pPr>
        <w:pStyle w:val="33"/>
        <w:numPr>
          <w:ilvl w:val="0"/>
          <w:numId w:val="15"/>
        </w:numPr>
        <w:spacing w:after="0"/>
        <w:rPr>
          <w:rFonts w:ascii="黑体" w:eastAsia="黑体"/>
          <w:color w:val="auto"/>
          <w:sz w:val="32"/>
          <w:szCs w:val="32"/>
        </w:rPr>
      </w:pP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04" w:name="_Toc27139"/>
      <w:bookmarkStart w:id="305" w:name="_Toc19349"/>
      <w:r>
        <w:rPr>
          <w:rFonts w:hint="eastAsia"/>
          <w:color w:val="auto"/>
          <w:lang w:val="en-US" w:eastAsia="zh-CN"/>
        </w:rPr>
        <w:t>三、</w:t>
      </w:r>
      <w:r>
        <w:rPr>
          <w:rFonts w:hint="eastAsia"/>
          <w:color w:val="auto"/>
        </w:rPr>
        <w:t>实质性条款（标记★）投标响应表</w:t>
      </w:r>
      <w:bookmarkEnd w:id="304"/>
    </w:p>
    <w:tbl>
      <w:tblPr>
        <w:tblStyle w:val="23"/>
        <w:tblW w:w="0" w:type="auto"/>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78"/>
        <w:gridCol w:w="2398"/>
        <w:gridCol w:w="2399"/>
        <w:gridCol w:w="1180"/>
        <w:gridCol w:w="186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序号</w:t>
            </w: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招标文件实质性条款</w:t>
            </w: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投标文件响应内容</w:t>
            </w:r>
          </w:p>
        </w:tc>
        <w:tc>
          <w:tcPr>
            <w:tcW w:w="1180" w:type="dxa"/>
            <w:tcBorders>
              <w:tl2br w:val="nil"/>
              <w:tr2bl w:val="nil"/>
            </w:tcBorders>
            <w:noWrap w:val="0"/>
            <w:vAlign w:val="center"/>
          </w:tcPr>
          <w:p>
            <w:pPr>
              <w:widowControl/>
              <w:jc w:val="center"/>
              <w:rPr>
                <w:rFonts w:hint="eastAsia" w:ascii="宋体" w:hAnsi="宋体" w:cs="宋体"/>
                <w:color w:val="auto"/>
                <w:kern w:val="0"/>
                <w:sz w:val="24"/>
                <w:szCs w:val="24"/>
              </w:rPr>
            </w:pPr>
            <w:r>
              <w:rPr>
                <w:rFonts w:hint="eastAsia" w:ascii="宋体" w:hAnsi="宋体" w:cs="宋体"/>
                <w:color w:val="auto"/>
                <w:kern w:val="0"/>
                <w:sz w:val="24"/>
                <w:szCs w:val="24"/>
              </w:rPr>
              <w:t>是否偏离</w:t>
            </w: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s="宋体"/>
                <w:color w:val="auto"/>
                <w:kern w:val="0"/>
                <w:sz w:val="24"/>
                <w:szCs w:val="24"/>
              </w:rPr>
              <w:t>证明材料</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ascii="宋体" w:hAnsi="宋体" w:cs="宋体"/>
                <w:color w:val="auto"/>
                <w:kern w:val="0"/>
                <w:sz w:val="24"/>
                <w:szCs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hint="eastAsia" w:ascii="宋体" w:hAnsi="宋体"/>
                <w:color w:val="auto"/>
                <w:sz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hint="eastAsia" w:ascii="宋体" w:hAnsi="宋体"/>
                <w:color w:val="auto"/>
                <w:sz w:val="24"/>
              </w:rPr>
            </w:pPr>
            <w:r>
              <w:rPr>
                <w:rFonts w:hint="eastAsia" w:ascii="宋体" w:hAnsi="宋体"/>
                <w:color w:val="auto"/>
                <w:sz w:val="24"/>
              </w:rPr>
              <w:t>详见投标文件第（）页</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810" w:hRule="atLeast"/>
          <w:jc w:val="center"/>
        </w:trPr>
        <w:tc>
          <w:tcPr>
            <w:tcW w:w="0" w:type="auto"/>
            <w:tcBorders>
              <w:tl2br w:val="nil"/>
              <w:tr2bl w:val="nil"/>
            </w:tcBorders>
            <w:noWrap w:val="0"/>
            <w:vAlign w:val="center"/>
          </w:tcPr>
          <w:p>
            <w:pPr>
              <w:widowControl/>
              <w:jc w:val="center"/>
              <w:rPr>
                <w:rFonts w:ascii="宋体" w:hAnsi="宋体" w:cs="宋体"/>
                <w:color w:val="auto"/>
                <w:kern w:val="0"/>
                <w:sz w:val="24"/>
                <w:szCs w:val="24"/>
              </w:rPr>
            </w:pPr>
          </w:p>
        </w:tc>
        <w:tc>
          <w:tcPr>
            <w:tcW w:w="2398" w:type="dxa"/>
            <w:tcBorders>
              <w:tl2br w:val="nil"/>
              <w:tr2bl w:val="nil"/>
            </w:tcBorders>
            <w:noWrap w:val="0"/>
            <w:vAlign w:val="center"/>
          </w:tcPr>
          <w:p>
            <w:pPr>
              <w:widowControl/>
              <w:jc w:val="center"/>
              <w:rPr>
                <w:rFonts w:ascii="宋体" w:hAnsi="宋体" w:cs="宋体"/>
                <w:color w:val="auto"/>
                <w:kern w:val="0"/>
                <w:sz w:val="24"/>
                <w:szCs w:val="24"/>
              </w:rPr>
            </w:pPr>
          </w:p>
        </w:tc>
        <w:tc>
          <w:tcPr>
            <w:tcW w:w="2399" w:type="dxa"/>
            <w:tcBorders>
              <w:tl2br w:val="nil"/>
              <w:tr2bl w:val="nil"/>
            </w:tcBorders>
            <w:noWrap w:val="0"/>
            <w:vAlign w:val="center"/>
          </w:tcPr>
          <w:p>
            <w:pPr>
              <w:widowControl/>
              <w:jc w:val="center"/>
              <w:rPr>
                <w:rFonts w:ascii="宋体" w:hAnsi="宋体" w:cs="宋体"/>
                <w:color w:val="auto"/>
                <w:kern w:val="0"/>
                <w:sz w:val="24"/>
                <w:szCs w:val="24"/>
              </w:rPr>
            </w:pPr>
          </w:p>
        </w:tc>
        <w:tc>
          <w:tcPr>
            <w:tcW w:w="1180" w:type="dxa"/>
            <w:tcBorders>
              <w:tl2br w:val="nil"/>
              <w:tr2bl w:val="nil"/>
            </w:tcBorders>
            <w:noWrap w:val="0"/>
            <w:vAlign w:val="center"/>
          </w:tcPr>
          <w:p>
            <w:pPr>
              <w:widowControl/>
              <w:jc w:val="center"/>
              <w:rPr>
                <w:rFonts w:hint="eastAsia" w:ascii="宋体" w:hAnsi="宋体"/>
                <w:color w:val="auto"/>
                <w:sz w:val="24"/>
              </w:rPr>
            </w:pPr>
          </w:p>
        </w:tc>
        <w:tc>
          <w:tcPr>
            <w:tcW w:w="1867" w:type="dxa"/>
            <w:tcBorders>
              <w:tl2br w:val="nil"/>
              <w:tr2bl w:val="nil"/>
            </w:tcBorders>
            <w:noWrap w:val="0"/>
            <w:vAlign w:val="center"/>
          </w:tcPr>
          <w:p>
            <w:pPr>
              <w:widowControl/>
              <w:jc w:val="center"/>
              <w:rPr>
                <w:rFonts w:hint="eastAsia" w:ascii="宋体" w:hAnsi="宋体"/>
                <w:color w:val="auto"/>
                <w:sz w:val="24"/>
              </w:rPr>
            </w:pPr>
            <w:r>
              <w:rPr>
                <w:rFonts w:hint="eastAsia" w:ascii="宋体" w:hAnsi="宋体"/>
                <w:color w:val="auto"/>
                <w:sz w:val="24"/>
              </w:rPr>
              <w:t>详见投标文件第（）页</w:t>
            </w:r>
          </w:p>
        </w:tc>
      </w:tr>
    </w:tbl>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rPr>
      </w:pPr>
    </w:p>
    <w:p>
      <w:pPr>
        <w:bidi w:val="0"/>
        <w:rPr>
          <w:rFonts w:hint="eastAsia"/>
          <w:color w:val="auto"/>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rPr>
        <w:t>投标人盖章：</w:t>
      </w:r>
    </w:p>
    <w:p>
      <w:pPr>
        <w:bidi w:val="0"/>
        <w:rPr>
          <w:rFonts w:hint="eastAsia"/>
          <w:color w:val="auto"/>
          <w:lang w:val="en-US" w:eastAsia="zh-CN"/>
        </w:rPr>
      </w:pPr>
    </w:p>
    <w:p>
      <w:pPr>
        <w:bidi w:val="0"/>
        <w:rPr>
          <w:rFonts w:hint="eastAsia"/>
          <w:color w:val="auto"/>
          <w:lang w:val="en-US" w:eastAsia="zh-CN"/>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color w:val="auto"/>
        </w:rPr>
      </w:pPr>
      <w:r>
        <w:rPr>
          <w:rFonts w:hint="eastAsia"/>
          <w:color w:val="auto"/>
        </w:rPr>
        <w:t>注：</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rPr>
      </w:pPr>
      <w:r>
        <w:rPr>
          <w:rFonts w:hint="eastAsia"/>
          <w:color w:val="auto"/>
          <w:lang w:val="en-US" w:eastAsia="zh-CN"/>
        </w:rPr>
        <w:t>1、</w:t>
      </w:r>
      <w:r>
        <w:rPr>
          <w:rFonts w:hint="eastAsia"/>
          <w:color w:val="auto"/>
        </w:rPr>
        <w:t>供应商应逐条对照招标文件实质性条款，如实地说明投标响应情况。不满足的按无效投标处理。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rPr>
      </w:pPr>
      <w:r>
        <w:rPr>
          <w:rFonts w:hint="eastAsia"/>
          <w:color w:val="auto"/>
          <w:lang w:val="en-US" w:eastAsia="zh-CN"/>
        </w:rPr>
        <w:t>2、</w:t>
      </w:r>
      <w:r>
        <w:rPr>
          <w:rFonts w:hint="eastAsia"/>
          <w:color w:val="auto"/>
        </w:rPr>
        <w:t>若该实质性条款规定提交相关证明材料的，供应商应当提供，并附于本格式后。未按要求提供或提供不符合要求的证明材料，视为不满足，按无效投标处理。</w:t>
      </w:r>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eastAsia"/>
          <w:color w:val="auto"/>
          <w:lang w:val="en-US" w:eastAsia="zh-CN"/>
        </w:rPr>
      </w:pPr>
      <w:r>
        <w:rPr>
          <w:rFonts w:hint="eastAsia"/>
          <w:color w:val="auto"/>
          <w:lang w:val="en-US" w:eastAsia="zh-CN"/>
        </w:rPr>
        <w:t>3、</w:t>
      </w:r>
      <w:r>
        <w:rPr>
          <w:rFonts w:hint="eastAsia"/>
          <w:color w:val="auto"/>
        </w:rPr>
        <w:t>若招标文件未设定实质性条款的，可删除本格式。</w:t>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rPr>
      </w:pPr>
      <w:bookmarkStart w:id="306" w:name="_Toc21519"/>
      <w:r>
        <w:rPr>
          <w:rFonts w:hint="eastAsia"/>
          <w:color w:val="auto"/>
          <w:lang w:val="en-US" w:eastAsia="zh-CN"/>
        </w:rPr>
        <w:t>四、</w:t>
      </w:r>
      <w:r>
        <w:rPr>
          <w:rFonts w:hint="eastAsia"/>
          <w:color w:val="auto"/>
        </w:rPr>
        <w:t>项目</w:t>
      </w:r>
      <w:r>
        <w:rPr>
          <w:rFonts w:hint="eastAsia"/>
          <w:color w:val="auto"/>
          <w:lang w:val="en-US" w:eastAsia="zh-CN"/>
        </w:rPr>
        <w:t>技术</w:t>
      </w:r>
      <w:r>
        <w:rPr>
          <w:rFonts w:hint="eastAsia"/>
          <w:color w:val="auto"/>
        </w:rPr>
        <w:t>方案</w:t>
      </w:r>
      <w:bookmarkEnd w:id="305"/>
      <w:bookmarkEnd w:id="306"/>
    </w:p>
    <w:p>
      <w:pPr>
        <w:spacing w:after="0" w:line="360" w:lineRule="auto"/>
        <w:ind w:left="718" w:leftChars="200" w:hanging="298" w:hangingChars="142"/>
        <w:rPr>
          <w:rFonts w:ascii="宋体" w:hAnsi="宋体" w:eastAsia="宋体" w:cs="Times New Roman"/>
          <w:color w:val="auto"/>
          <w:sz w:val="21"/>
          <w:szCs w:val="21"/>
        </w:rPr>
      </w:pPr>
      <w:r>
        <w:rPr>
          <w:rFonts w:hint="eastAsia" w:ascii="宋体" w:hAnsi="宋体" w:eastAsia="宋体"/>
          <w:color w:val="auto"/>
          <w:sz w:val="21"/>
          <w:szCs w:val="21"/>
          <w:lang w:val="en-US" w:eastAsia="zh-CN"/>
        </w:rPr>
        <w:t>根据用户需求及技术评审要求</w:t>
      </w:r>
      <w:r>
        <w:rPr>
          <w:rFonts w:hint="eastAsia" w:ascii="宋体" w:hAnsi="宋体" w:eastAsia="宋体"/>
          <w:color w:val="auto"/>
          <w:sz w:val="21"/>
          <w:szCs w:val="21"/>
        </w:rPr>
        <w:t>自行编写。</w:t>
      </w:r>
    </w:p>
    <w:p>
      <w:pPr>
        <w:spacing w:after="0" w:line="360" w:lineRule="auto"/>
        <w:ind w:left="718" w:leftChars="200" w:hanging="298" w:hangingChars="142"/>
        <w:rPr>
          <w:rFonts w:ascii="宋体" w:hAnsi="宋体" w:eastAsia="宋体"/>
          <w:color w:val="auto"/>
          <w:sz w:val="21"/>
          <w:szCs w:val="21"/>
        </w:rPr>
      </w:pPr>
    </w:p>
    <w:p>
      <w:pPr>
        <w:spacing w:after="0" w:line="360" w:lineRule="auto"/>
        <w:ind w:left="718" w:leftChars="200" w:hanging="298" w:hangingChars="142"/>
        <w:rPr>
          <w:rFonts w:ascii="宋体" w:hAnsi="宋体" w:eastAsia="宋体"/>
          <w:color w:val="auto"/>
          <w:sz w:val="21"/>
          <w:szCs w:val="21"/>
        </w:rPr>
      </w:pPr>
    </w:p>
    <w:p>
      <w:pPr>
        <w:spacing w:after="0" w:line="360" w:lineRule="auto"/>
        <w:ind w:left="718" w:leftChars="200" w:hanging="298" w:hangingChars="142"/>
        <w:rPr>
          <w:rFonts w:ascii="宋体" w:hAnsi="宋体" w:eastAsia="宋体"/>
          <w:color w:val="auto"/>
          <w:sz w:val="21"/>
          <w:szCs w:val="21"/>
        </w:rPr>
      </w:pP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07" w:name="_Toc26880"/>
      <w:bookmarkStart w:id="308" w:name="_Toc16328"/>
      <w:r>
        <w:rPr>
          <w:rFonts w:hint="eastAsia"/>
          <w:color w:val="auto"/>
          <w:lang w:val="en-US" w:eastAsia="zh-CN"/>
        </w:rPr>
        <w:t>五、项目负责人及团队成员资料表</w:t>
      </w:r>
      <w:bookmarkEnd w:id="307"/>
      <w:bookmarkEnd w:id="308"/>
    </w:p>
    <w:p>
      <w:pPr>
        <w:keepNext w:val="0"/>
        <w:keepLines w:val="0"/>
        <w:pageBreakBefore w:val="0"/>
        <w:widowControl/>
        <w:kinsoku/>
        <w:wordWrap/>
        <w:overflowPunct/>
        <w:topLinePunct w:val="0"/>
        <w:autoSpaceDE/>
        <w:autoSpaceDN/>
        <w:bidi w:val="0"/>
        <w:adjustRightInd w:val="0"/>
        <w:snapToGrid w:val="0"/>
        <w:spacing w:line="360" w:lineRule="auto"/>
        <w:ind w:firstLine="420" w:firstLineChars="200"/>
        <w:textAlignment w:val="auto"/>
        <w:rPr>
          <w:rFonts w:hint="default" w:ascii="宋体" w:hAnsi="宋体" w:eastAsia="宋体"/>
          <w:color w:val="auto"/>
          <w:sz w:val="21"/>
          <w:szCs w:val="21"/>
          <w:lang w:val="en-US" w:eastAsia="zh-CN"/>
        </w:rPr>
      </w:pPr>
      <w:r>
        <w:rPr>
          <w:rFonts w:hint="eastAsia" w:ascii="宋体" w:hAnsi="宋体"/>
          <w:color w:val="auto"/>
          <w:sz w:val="21"/>
          <w:szCs w:val="21"/>
          <w:lang w:val="en-US" w:eastAsia="zh-CN"/>
        </w:rPr>
        <w:t>表格格式自行编辑。</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rPr>
      </w:pPr>
      <w:r>
        <w:rPr>
          <w:rFonts w:hint="eastAsia" w:ascii="宋体" w:hAnsi="宋体" w:eastAsia="宋体"/>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olor w:val="auto"/>
          <w:sz w:val="21"/>
          <w:szCs w:val="21"/>
          <w:lang w:val="en-US" w:eastAsia="zh-CN"/>
        </w:rPr>
        <w:t>1、证明资料须加盖公章。</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hint="eastAsia" w:ascii="宋体" w:hAnsi="宋体" w:eastAsia="宋体"/>
          <w:color w:val="auto"/>
          <w:sz w:val="21"/>
          <w:szCs w:val="21"/>
        </w:rPr>
      </w:pPr>
      <w:r>
        <w:rPr>
          <w:rFonts w:hint="eastAsia" w:ascii="宋体" w:hAnsi="宋体" w:eastAsia="宋体"/>
          <w:color w:val="auto"/>
          <w:sz w:val="21"/>
          <w:szCs w:val="21"/>
          <w:lang w:val="en-US" w:eastAsia="zh-CN"/>
        </w:rPr>
        <w:t>2、</w:t>
      </w:r>
      <w:r>
        <w:rPr>
          <w:rFonts w:hint="eastAsia" w:ascii="宋体" w:hAnsi="宋体" w:eastAsia="宋体"/>
          <w:color w:val="auto"/>
          <w:sz w:val="21"/>
          <w:szCs w:val="21"/>
        </w:rPr>
        <w:t>如本项目不涉及</w:t>
      </w:r>
      <w:r>
        <w:rPr>
          <w:rFonts w:hint="eastAsia" w:ascii="宋体" w:hAnsi="宋体"/>
          <w:color w:val="auto"/>
          <w:sz w:val="21"/>
          <w:szCs w:val="21"/>
          <w:lang w:val="en-US" w:eastAsia="zh-CN"/>
        </w:rPr>
        <w:t>人员</w:t>
      </w:r>
      <w:r>
        <w:rPr>
          <w:rFonts w:hint="eastAsia" w:ascii="宋体" w:hAnsi="宋体" w:eastAsia="宋体"/>
          <w:color w:val="auto"/>
          <w:sz w:val="21"/>
          <w:szCs w:val="21"/>
        </w:rPr>
        <w:t>内容，则无需提供此表。</w:t>
      </w:r>
    </w:p>
    <w:p>
      <w:pPr>
        <w:ind w:firstLine="178" w:firstLineChars="85"/>
        <w:rPr>
          <w:rFonts w:hint="eastAsia" w:ascii="宋体" w:hAnsi="宋体" w:eastAsia="宋体"/>
          <w:color w:val="auto"/>
          <w:sz w:val="21"/>
          <w:szCs w:val="21"/>
        </w:rPr>
      </w:pPr>
    </w:p>
    <w:p>
      <w:pPr>
        <w:pStyle w:val="7"/>
        <w:rPr>
          <w:rFonts w:hint="eastAsia"/>
          <w:color w:val="auto"/>
        </w:rPr>
      </w:pPr>
    </w:p>
    <w:p>
      <w:pPr>
        <w:rPr>
          <w:rFonts w:ascii="黑体" w:eastAsia="黑体"/>
          <w:color w:val="auto"/>
          <w:sz w:val="28"/>
          <w:szCs w:val="28"/>
        </w:rPr>
      </w:pP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default"/>
          <w:color w:val="auto"/>
          <w:lang w:val="en-US" w:eastAsia="zh-CN"/>
        </w:rPr>
      </w:pPr>
      <w:bookmarkStart w:id="309" w:name="_Toc15431"/>
      <w:bookmarkStart w:id="310" w:name="_Toc26980"/>
      <w:r>
        <w:rPr>
          <w:rFonts w:hint="eastAsia"/>
          <w:color w:val="auto"/>
          <w:lang w:val="en-US" w:eastAsia="zh-CN"/>
        </w:rPr>
        <w:t>六、投标货物明细一览表</w:t>
      </w:r>
      <w:bookmarkEnd w:id="309"/>
      <w:bookmarkEnd w:id="310"/>
    </w:p>
    <w:tbl>
      <w:tblPr>
        <w:tblStyle w:val="23"/>
        <w:tblW w:w="845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45"/>
        <w:gridCol w:w="763"/>
        <w:gridCol w:w="1155"/>
        <w:gridCol w:w="682"/>
        <w:gridCol w:w="738"/>
        <w:gridCol w:w="1616"/>
        <w:gridCol w:w="134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序号</w:t>
            </w: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货物名称</w:t>
            </w: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品牌</w:t>
            </w: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货物型号</w:t>
            </w: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单位</w:t>
            </w:r>
          </w:p>
        </w:tc>
        <w:tc>
          <w:tcPr>
            <w:tcW w:w="738"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数量</w:t>
            </w:r>
          </w:p>
        </w:tc>
        <w:tc>
          <w:tcPr>
            <w:tcW w:w="1616"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技术参数</w:t>
            </w: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817"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34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63"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1155"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68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c>
          <w:tcPr>
            <w:tcW w:w="738"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616" w:type="dxa"/>
            <w:tcBorders>
              <w:tl2br w:val="nil"/>
              <w:tr2bl w:val="nil"/>
            </w:tcBorders>
          </w:tcPr>
          <w:p>
            <w:pPr>
              <w:pStyle w:val="11"/>
              <w:spacing w:line="300" w:lineRule="auto"/>
              <w:jc w:val="center"/>
              <w:rPr>
                <w:rFonts w:hint="eastAsia" w:ascii="宋体" w:hAnsi="宋体" w:eastAsia="宋体" w:cs="宋体"/>
                <w:b w:val="0"/>
                <w:bCs/>
                <w:color w:val="auto"/>
                <w:sz w:val="21"/>
                <w:szCs w:val="21"/>
              </w:rPr>
            </w:pPr>
          </w:p>
        </w:tc>
        <w:tc>
          <w:tcPr>
            <w:tcW w:w="1342" w:type="dxa"/>
            <w:tcBorders>
              <w:tl2br w:val="nil"/>
              <w:tr2bl w:val="nil"/>
            </w:tcBorders>
            <w:vAlign w:val="center"/>
          </w:tcPr>
          <w:p>
            <w:pPr>
              <w:pStyle w:val="11"/>
              <w:spacing w:line="300" w:lineRule="auto"/>
              <w:jc w:val="center"/>
              <w:rPr>
                <w:rFonts w:hint="eastAsia" w:ascii="宋体" w:hAnsi="宋体" w:eastAsia="宋体" w:cs="宋体"/>
                <w:b w:val="0"/>
                <w:bCs/>
                <w:color w:val="auto"/>
                <w:sz w:val="21"/>
                <w:szCs w:val="21"/>
              </w:rPr>
            </w:pPr>
          </w:p>
        </w:tc>
      </w:tr>
    </w:tbl>
    <w:p>
      <w:pPr>
        <w:spacing w:after="0"/>
        <w:rPr>
          <w:color w:val="auto"/>
        </w:rPr>
      </w:pPr>
      <w:r>
        <w:rPr>
          <w:rFonts w:hint="eastAsia" w:ascii="宋体" w:hAnsi="宋体" w:eastAsia="宋体" w:cs="Times New Roman"/>
          <w:color w:val="auto"/>
          <w:sz w:val="21"/>
          <w:szCs w:val="21"/>
        </w:rPr>
        <w:t>注：</w:t>
      </w:r>
      <w:r>
        <w:rPr>
          <w:rFonts w:hint="eastAsia" w:ascii="宋体" w:hAnsi="宋体" w:eastAsia="宋体"/>
          <w:color w:val="auto"/>
          <w:sz w:val="21"/>
          <w:szCs w:val="21"/>
        </w:rPr>
        <w:t>如本项目不涉及此表内容，则无需提供此表。</w:t>
      </w:r>
    </w:p>
    <w:p>
      <w:pPr>
        <w:rPr>
          <w:rFonts w:hint="eastAsia" w:ascii="宋体" w:hAnsi="宋体" w:eastAsia="宋体" w:cs="Times New Roman"/>
          <w:color w:val="auto"/>
          <w:sz w:val="21"/>
          <w:szCs w:val="21"/>
        </w:rPr>
      </w:pPr>
    </w:p>
    <w:p>
      <w:pPr>
        <w:rPr>
          <w:rFonts w:hint="eastAsia" w:ascii="宋体" w:hAnsi="宋体" w:eastAsia="宋体" w:cs="Times New Roman"/>
          <w:color w:val="auto"/>
          <w:sz w:val="21"/>
          <w:szCs w:val="21"/>
        </w:rPr>
      </w:pP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s="Times New Roman"/>
          <w:color w:val="auto"/>
          <w:sz w:val="21"/>
          <w:szCs w:val="21"/>
        </w:rPr>
      </w:pPr>
      <w:r>
        <w:rPr>
          <w:rFonts w:hint="eastAsia" w:ascii="宋体" w:hAnsi="宋体" w:eastAsia="宋体" w:cs="Times New Roman"/>
          <w:color w:val="auto"/>
          <w:sz w:val="21"/>
          <w:szCs w:val="21"/>
        </w:rPr>
        <w:t>投标人代表签字：</w:t>
      </w:r>
    </w:p>
    <w:p>
      <w:pPr>
        <w:keepNext w:val="0"/>
        <w:keepLines w:val="0"/>
        <w:pageBreakBefore w:val="0"/>
        <w:widowControl/>
        <w:kinsoku/>
        <w:wordWrap/>
        <w:overflowPunct/>
        <w:topLinePunct w:val="0"/>
        <w:autoSpaceDE/>
        <w:autoSpaceDN/>
        <w:bidi w:val="0"/>
        <w:adjustRightInd w:val="0"/>
        <w:snapToGrid w:val="0"/>
        <w:spacing w:line="360" w:lineRule="auto"/>
        <w:textAlignment w:val="auto"/>
        <w:rPr>
          <w:rFonts w:ascii="宋体" w:hAnsi="宋体" w:eastAsia="宋体"/>
          <w:color w:val="auto"/>
          <w:sz w:val="21"/>
          <w:szCs w:val="21"/>
        </w:rPr>
      </w:pPr>
      <w:r>
        <w:rPr>
          <w:rFonts w:hint="eastAsia" w:ascii="宋体" w:hAnsi="宋体" w:eastAsia="宋体" w:cs="Times New Roman"/>
          <w:color w:val="auto"/>
          <w:sz w:val="21"/>
          <w:szCs w:val="21"/>
        </w:rPr>
        <w:t>投标人盖章：</w:t>
      </w: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11" w:name="_Toc16710"/>
      <w:bookmarkStart w:id="312" w:name="_Toc21541"/>
      <w:r>
        <w:rPr>
          <w:rFonts w:hint="eastAsia"/>
          <w:color w:val="auto"/>
          <w:lang w:val="en-US" w:eastAsia="zh-CN"/>
        </w:rPr>
        <w:t>七、投标保证金汇入情况说明</w:t>
      </w:r>
      <w:bookmarkEnd w:id="311"/>
      <w:bookmarkEnd w:id="312"/>
    </w:p>
    <w:p>
      <w:pPr>
        <w:spacing w:after="0" w:line="480" w:lineRule="auto"/>
        <w:rPr>
          <w:rFonts w:ascii="宋体" w:hAnsi="宋体" w:eastAsia="宋体"/>
          <w:color w:val="auto"/>
          <w:sz w:val="21"/>
          <w:szCs w:val="21"/>
        </w:rPr>
      </w:pPr>
      <w:r>
        <w:rPr>
          <w:rFonts w:hint="eastAsia" w:ascii="宋体" w:hAnsi="宋体" w:eastAsia="宋体"/>
          <w:color w:val="auto"/>
          <w:sz w:val="21"/>
          <w:szCs w:val="21"/>
        </w:rPr>
        <w:t>致：</w:t>
      </w:r>
      <w:r>
        <w:rPr>
          <w:rFonts w:hint="eastAsia" w:ascii="宋体" w:hAnsi="宋体" w:eastAsia="宋体"/>
          <w:color w:val="auto"/>
          <w:sz w:val="21"/>
          <w:szCs w:val="21"/>
          <w:lang w:eastAsia="zh-CN"/>
        </w:rPr>
        <w:t>广东政通招标有限公司</w:t>
      </w:r>
      <w:r>
        <w:rPr>
          <w:rFonts w:hint="eastAsia" w:ascii="宋体" w:hAnsi="宋体" w:eastAsia="宋体"/>
          <w:color w:val="auto"/>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本单位已按</w:t>
      </w:r>
      <w:r>
        <w:rPr>
          <w:rFonts w:hint="eastAsia" w:ascii="宋体" w:hAnsi="宋体"/>
          <w:color w:val="auto"/>
          <w:sz w:val="21"/>
          <w:szCs w:val="21"/>
          <w:lang w:eastAsia="zh-CN"/>
        </w:rPr>
        <w:t>（</w:t>
      </w:r>
      <w:r>
        <w:rPr>
          <w:rFonts w:hint="eastAsia" w:ascii="宋体" w:hAnsi="宋体" w:eastAsia="宋体"/>
          <w:color w:val="auto"/>
          <w:sz w:val="21"/>
          <w:szCs w:val="21"/>
        </w:rPr>
        <w:t>项目</w:t>
      </w:r>
      <w:r>
        <w:rPr>
          <w:rFonts w:hint="eastAsia" w:ascii="宋体" w:hAnsi="宋体"/>
          <w:color w:val="auto"/>
          <w:sz w:val="21"/>
          <w:szCs w:val="21"/>
          <w:lang w:val="en-US" w:eastAsia="zh-CN"/>
        </w:rPr>
        <w:t>名称）</w:t>
      </w:r>
      <w:r>
        <w:rPr>
          <w:rFonts w:hint="eastAsia" w:ascii="宋体" w:hAnsi="宋体" w:eastAsia="宋体"/>
          <w:color w:val="auto"/>
          <w:sz w:val="21"/>
          <w:szCs w:val="21"/>
        </w:rPr>
        <w:t>包</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（采购项目编号：</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）的招标文件要求，于</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年</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月</w:t>
      </w:r>
      <w:r>
        <w:rPr>
          <w:rFonts w:hint="eastAsia" w:ascii="宋体" w:hAnsi="宋体" w:eastAsia="宋体"/>
          <w:color w:val="auto"/>
          <w:sz w:val="21"/>
          <w:szCs w:val="21"/>
          <w:lang w:val="en-US" w:eastAsia="zh-CN"/>
        </w:rPr>
        <w:t xml:space="preserve">  </w:t>
      </w:r>
      <w:r>
        <w:rPr>
          <w:rFonts w:hint="eastAsia" w:ascii="宋体" w:hAnsi="宋体" w:eastAsia="宋体"/>
          <w:color w:val="auto"/>
          <w:sz w:val="21"/>
          <w:szCs w:val="21"/>
        </w:rPr>
        <w:t>日前以</w:t>
      </w:r>
      <w:r>
        <w:rPr>
          <w:rFonts w:hint="eastAsia" w:ascii="宋体" w:hAnsi="宋体" w:eastAsia="宋体"/>
          <w:color w:val="auto"/>
          <w:sz w:val="21"/>
          <w:szCs w:val="21"/>
          <w:u w:val="single"/>
        </w:rPr>
        <w:t xml:space="preserve">           （付款形式）</w:t>
      </w:r>
      <w:r>
        <w:rPr>
          <w:rFonts w:hint="eastAsia" w:ascii="宋体" w:hAnsi="宋体" w:eastAsia="宋体"/>
          <w:color w:val="auto"/>
          <w:sz w:val="21"/>
          <w:szCs w:val="21"/>
        </w:rPr>
        <w:t>方式汇入指定帐户（帐户名称：</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，帐号：</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u w:val="single"/>
        </w:rPr>
        <w:t xml:space="preserve"> </w:t>
      </w:r>
      <w:r>
        <w:rPr>
          <w:rFonts w:hint="eastAsia" w:ascii="宋体" w:hAnsi="宋体" w:eastAsia="宋体"/>
          <w:color w:val="auto"/>
          <w:sz w:val="21"/>
          <w:szCs w:val="21"/>
        </w:rPr>
        <w:t>,开户银行：</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本单位投标保证金的汇款情况：（详见附件－投标保证金进帐单）</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汇出时间：</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年</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月</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日；</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汇款金额：</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（大写）人民币（小写：￥</w:t>
      </w:r>
      <w:r>
        <w:rPr>
          <w:rFonts w:hint="eastAsia" w:ascii="宋体" w:hAnsi="宋体" w:eastAsia="宋体"/>
          <w:color w:val="auto"/>
          <w:sz w:val="21"/>
          <w:szCs w:val="21"/>
          <w:u w:val="single"/>
          <w:lang w:val="en-US" w:eastAsia="zh-CN"/>
        </w:rPr>
        <w:t xml:space="preserve">    </w:t>
      </w:r>
      <w:r>
        <w:rPr>
          <w:rFonts w:hint="eastAsia" w:ascii="宋体" w:hAnsi="宋体" w:eastAsia="宋体"/>
          <w:color w:val="auto"/>
          <w:sz w:val="21"/>
          <w:szCs w:val="21"/>
        </w:rPr>
        <w:t>元），</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汇款帐户名称：</w:t>
      </w:r>
      <w:r>
        <w:rPr>
          <w:rFonts w:hint="eastAsia" w:ascii="宋体" w:hAnsi="宋体" w:eastAsia="宋体"/>
          <w:color w:val="auto"/>
          <w:sz w:val="21"/>
          <w:szCs w:val="21"/>
          <w:u w:val="single"/>
        </w:rPr>
        <w:t xml:space="preserve">  （必须是投标时使用的帐户名）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帐        号：</w:t>
      </w:r>
      <w:r>
        <w:rPr>
          <w:rFonts w:hint="eastAsia" w:ascii="宋体" w:hAnsi="宋体" w:eastAsia="宋体"/>
          <w:color w:val="auto"/>
          <w:sz w:val="21"/>
          <w:szCs w:val="21"/>
          <w:u w:val="single"/>
        </w:rPr>
        <w:t xml:space="preserve">  （必须是投标时使用的帐号）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u w:val="single"/>
        </w:rPr>
      </w:pPr>
      <w:r>
        <w:rPr>
          <w:rFonts w:hint="eastAsia" w:ascii="宋体" w:hAnsi="宋体" w:eastAsia="宋体"/>
          <w:color w:val="auto"/>
          <w:sz w:val="21"/>
          <w:szCs w:val="21"/>
        </w:rPr>
        <w:t>开 户  银 行：</w:t>
      </w:r>
      <w:r>
        <w:rPr>
          <w:rFonts w:hint="eastAsia" w:ascii="宋体" w:hAnsi="宋体" w:eastAsia="宋体"/>
          <w:color w:val="auto"/>
          <w:sz w:val="21"/>
          <w:szCs w:val="21"/>
          <w:u w:val="single"/>
        </w:rPr>
        <w:t xml:space="preserve">  （      银行   分行  支行    ）</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本单位谨承诺上述资料是正确、真实的，如因上述证明与事实不符导致的一切损失，本单位保证承担赔偿等一切法律责任。</w:t>
      </w:r>
    </w:p>
    <w:p>
      <w:pPr>
        <w:keepNext w:val="0"/>
        <w:keepLines w:val="0"/>
        <w:pageBreakBefore w:val="0"/>
        <w:widowControl/>
        <w:kinsoku/>
        <w:wordWrap/>
        <w:overflowPunct/>
        <w:topLinePunct w:val="0"/>
        <w:autoSpaceDE/>
        <w:autoSpaceDN/>
        <w:bidi w:val="0"/>
        <w:adjustRightInd w:val="0"/>
        <w:snapToGrid w:val="0"/>
        <w:spacing w:after="0" w:line="360" w:lineRule="auto"/>
        <w:ind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投标保证金退回时，请按上述资料退回。</w:t>
      </w:r>
    </w:p>
    <w:p>
      <w:pPr>
        <w:spacing w:after="0" w:line="480" w:lineRule="auto"/>
        <w:ind w:right="844" w:rightChars="402"/>
        <w:jc w:val="right"/>
        <w:rPr>
          <w:rFonts w:ascii="宋体" w:hAnsi="宋体" w:eastAsia="宋体"/>
          <w:color w:val="auto"/>
          <w:sz w:val="21"/>
          <w:szCs w:val="21"/>
        </w:rPr>
      </w:pPr>
      <w:r>
        <w:rPr>
          <w:rFonts w:hint="eastAsia" w:ascii="宋体" w:hAnsi="宋体" w:eastAsia="宋体"/>
          <w:color w:val="auto"/>
          <w:sz w:val="21"/>
          <w:szCs w:val="21"/>
        </w:rPr>
        <w:t>（单位公章）</w:t>
      </w:r>
    </w:p>
    <w:p>
      <w:pPr>
        <w:spacing w:after="0" w:line="480" w:lineRule="auto"/>
        <w:ind w:right="628" w:rightChars="299"/>
        <w:jc w:val="center"/>
        <w:rPr>
          <w:rFonts w:ascii="宋体" w:hAnsi="宋体" w:eastAsia="宋体"/>
          <w:color w:val="auto"/>
          <w:sz w:val="21"/>
          <w:szCs w:val="21"/>
        </w:rPr>
      </w:pPr>
      <w:r>
        <w:rPr>
          <w:rFonts w:hint="eastAsia" w:ascii="宋体" w:hAnsi="宋体" w:eastAsia="宋体"/>
          <w:color w:val="auto"/>
          <w:sz w:val="21"/>
          <w:szCs w:val="21"/>
          <w:lang w:val="en-US" w:eastAsia="zh-CN"/>
        </w:rPr>
        <w:t xml:space="preserve">                                                        </w:t>
      </w:r>
      <w:r>
        <w:rPr>
          <w:rFonts w:hint="eastAsia" w:ascii="宋体" w:hAnsi="宋体" w:eastAsia="宋体"/>
          <w:color w:val="auto"/>
          <w:sz w:val="21"/>
          <w:szCs w:val="21"/>
        </w:rPr>
        <w:t>年 月 日</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rPr>
      </w:pPr>
      <w:r>
        <w:rPr>
          <w:rFonts w:hint="eastAsia" w:ascii="宋体" w:hAnsi="宋体" w:eastAsia="宋体"/>
          <w:color w:val="auto"/>
          <w:sz w:val="21"/>
          <w:szCs w:val="21"/>
        </w:rPr>
        <w:t>单位名称：</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rPr>
      </w:pPr>
      <w:r>
        <w:rPr>
          <w:rFonts w:hint="eastAsia" w:ascii="宋体" w:hAnsi="宋体" w:eastAsia="宋体"/>
          <w:color w:val="auto"/>
          <w:sz w:val="21"/>
          <w:szCs w:val="21"/>
        </w:rPr>
        <w:t>单位地址：</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rPr>
      </w:pPr>
      <w:r>
        <w:rPr>
          <w:rFonts w:hint="eastAsia" w:ascii="宋体" w:hAnsi="宋体" w:eastAsia="宋体"/>
          <w:color w:val="auto"/>
          <w:sz w:val="21"/>
          <w:szCs w:val="21"/>
        </w:rPr>
        <w:t>联系人：</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olor w:val="auto"/>
          <w:sz w:val="21"/>
          <w:szCs w:val="21"/>
        </w:rPr>
      </w:pPr>
      <w:r>
        <w:rPr>
          <w:rFonts w:hint="eastAsia" w:ascii="宋体" w:hAnsi="宋体" w:eastAsia="宋体"/>
          <w:color w:val="auto"/>
          <w:sz w:val="21"/>
          <w:szCs w:val="21"/>
        </w:rPr>
        <w:t xml:space="preserve">单位电话：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ascii="宋体" w:hAnsi="宋体" w:eastAsia="宋体"/>
          <w:color w:val="auto"/>
          <w:sz w:val="21"/>
          <w:szCs w:val="21"/>
        </w:rPr>
      </w:pPr>
      <w:r>
        <w:rPr>
          <w:rFonts w:hint="eastAsia" w:ascii="宋体" w:hAnsi="宋体" w:eastAsia="宋体"/>
          <w:color w:val="auto"/>
          <w:sz w:val="21"/>
          <w:szCs w:val="21"/>
        </w:rPr>
        <w:t>联系人手机：</w:t>
      </w:r>
    </w:p>
    <w:p>
      <w:pPr>
        <w:spacing w:after="0"/>
        <w:rPr>
          <w:rFonts w:ascii="宋体" w:hAnsi="宋体" w:eastAsia="宋体"/>
          <w:color w:val="auto"/>
          <w:sz w:val="21"/>
          <w:szCs w:val="21"/>
        </w:rPr>
      </w:pPr>
    </w:p>
    <w:p>
      <w:pPr>
        <w:spacing w:after="0" w:line="380" w:lineRule="exact"/>
        <w:ind w:firstLine="420" w:firstLineChars="200"/>
        <w:rPr>
          <w:rFonts w:ascii="宋体" w:hAnsi="宋体" w:eastAsia="宋体"/>
          <w:color w:val="auto"/>
          <w:sz w:val="21"/>
          <w:szCs w:val="21"/>
        </w:rPr>
      </w:pPr>
      <w:r>
        <w:rPr>
          <w:rFonts w:hint="eastAsia" w:ascii="宋体" w:hAnsi="宋体" w:eastAsia="宋体"/>
          <w:color w:val="auto"/>
          <w:sz w:val="21"/>
          <w:szCs w:val="21"/>
        </w:rPr>
        <w:br w:type="page"/>
      </w:r>
    </w:p>
    <w:p>
      <w:pPr>
        <w:spacing w:after="0" w:line="380" w:lineRule="exact"/>
        <w:ind w:firstLine="420" w:firstLineChars="200"/>
        <w:rPr>
          <w:rFonts w:ascii="宋体" w:hAnsi="宋体" w:eastAsia="宋体"/>
          <w:color w:val="auto"/>
          <w:sz w:val="21"/>
          <w:szCs w:val="21"/>
        </w:rPr>
      </w:pPr>
      <w:r>
        <w:rPr>
          <w:rFonts w:hint="eastAsia" w:ascii="宋体" w:hAnsi="宋体" w:eastAsia="宋体"/>
          <w:color w:val="auto"/>
          <w:sz w:val="21"/>
          <w:szCs w:val="21"/>
        </w:rPr>
        <w:t>附：我方投标保证金汇款凭证</w:t>
      </w:r>
    </w:p>
    <w:tbl>
      <w:tblPr>
        <w:tblStyle w:val="23"/>
        <w:tblW w:w="8316"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89" w:hRule="atLeast"/>
        </w:trPr>
        <w:tc>
          <w:tcPr>
            <w:tcW w:w="8316" w:type="dxa"/>
            <w:vAlign w:val="center"/>
          </w:tcPr>
          <w:p>
            <w:pPr>
              <w:tabs>
                <w:tab w:val="left" w:pos="3885"/>
              </w:tabs>
              <w:spacing w:line="360" w:lineRule="auto"/>
              <w:jc w:val="center"/>
              <w:rPr>
                <w:rFonts w:ascii="宋体" w:hAnsi="宋体" w:eastAsia="宋体"/>
                <w:color w:val="auto"/>
                <w:sz w:val="21"/>
                <w:szCs w:val="21"/>
              </w:rPr>
            </w:pPr>
            <w:r>
              <w:rPr>
                <w:rFonts w:hint="eastAsia" w:ascii="宋体" w:hAnsi="宋体" w:eastAsia="宋体"/>
                <w:color w:val="auto"/>
                <w:sz w:val="21"/>
                <w:szCs w:val="21"/>
              </w:rPr>
              <w:t>（粘贴汇款单或转账</w:t>
            </w:r>
            <w:r>
              <w:rPr>
                <w:rFonts w:ascii="宋体" w:hAnsi="宋体" w:eastAsia="宋体"/>
                <w:color w:val="auto"/>
                <w:sz w:val="21"/>
                <w:szCs w:val="21"/>
              </w:rPr>
              <w:t>凭证</w:t>
            </w:r>
            <w:r>
              <w:rPr>
                <w:rFonts w:hint="eastAsia" w:ascii="宋体" w:hAnsi="宋体" w:eastAsia="宋体"/>
                <w:color w:val="auto"/>
                <w:sz w:val="21"/>
                <w:szCs w:val="21"/>
              </w:rPr>
              <w:t>复印件，并在骑缝上加盖投标人公章，或是直接把转账</w:t>
            </w:r>
            <w:r>
              <w:rPr>
                <w:rFonts w:ascii="宋体" w:hAnsi="宋体" w:eastAsia="宋体"/>
                <w:color w:val="auto"/>
                <w:sz w:val="21"/>
                <w:szCs w:val="21"/>
              </w:rPr>
              <w:t>凭证</w:t>
            </w:r>
            <w:r>
              <w:rPr>
                <w:rFonts w:hint="eastAsia" w:ascii="宋体" w:hAnsi="宋体" w:eastAsia="宋体"/>
                <w:color w:val="auto"/>
                <w:sz w:val="21"/>
                <w:szCs w:val="21"/>
              </w:rPr>
              <w:t>复印到此张纸上）</w:t>
            </w:r>
          </w:p>
        </w:tc>
      </w:tr>
    </w:tbl>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rPr>
      </w:pPr>
      <w:r>
        <w:rPr>
          <w:rFonts w:hint="eastAsia" w:ascii="宋体" w:hAnsi="宋体" w:eastAsia="宋体"/>
          <w:b/>
          <w:bCs/>
          <w:color w:val="auto"/>
          <w:sz w:val="21"/>
          <w:szCs w:val="21"/>
        </w:rPr>
        <w:t>注：</w:t>
      </w:r>
      <w:r>
        <w:rPr>
          <w:rFonts w:hint="eastAsia" w:ascii="宋体" w:hAnsi="宋体" w:eastAsia="宋体"/>
          <w:b/>
          <w:bCs/>
          <w:color w:val="auto"/>
          <w:sz w:val="21"/>
          <w:szCs w:val="21"/>
          <w:lang w:eastAsia="zh-CN"/>
        </w:rPr>
        <w:t>（</w:t>
      </w:r>
      <w:r>
        <w:rPr>
          <w:rFonts w:hint="eastAsia" w:ascii="宋体" w:hAnsi="宋体" w:eastAsia="宋体"/>
          <w:b/>
          <w:bCs/>
          <w:color w:val="auto"/>
          <w:sz w:val="21"/>
          <w:szCs w:val="21"/>
          <w:lang w:val="en-US" w:eastAsia="zh-CN"/>
        </w:rPr>
        <w:t>1</w:t>
      </w:r>
      <w:r>
        <w:rPr>
          <w:rFonts w:hint="eastAsia" w:ascii="宋体" w:hAnsi="宋体" w:eastAsia="宋体"/>
          <w:b/>
          <w:bCs/>
          <w:color w:val="auto"/>
          <w:sz w:val="21"/>
          <w:szCs w:val="21"/>
          <w:lang w:eastAsia="zh-CN"/>
        </w:rPr>
        <w:t>）</w:t>
      </w:r>
      <w:r>
        <w:rPr>
          <w:rFonts w:hint="eastAsia" w:ascii="宋体" w:hAnsi="宋体" w:eastAsia="宋体"/>
          <w:b/>
          <w:bCs/>
          <w:color w:val="auto"/>
          <w:sz w:val="21"/>
          <w:szCs w:val="21"/>
        </w:rPr>
        <w:t>此表既要装订在投标文件中，又要按投标人须知的规定与</w:t>
      </w:r>
      <w:r>
        <w:rPr>
          <w:rFonts w:hint="eastAsia" w:ascii="宋体" w:hAnsi="宋体" w:eastAsia="宋体"/>
          <w:b/>
          <w:bCs/>
          <w:color w:val="auto"/>
          <w:sz w:val="21"/>
          <w:szCs w:val="21"/>
          <w:lang w:eastAsia="zh-CN"/>
        </w:rPr>
        <w:t>唱标一览表</w:t>
      </w:r>
      <w:r>
        <w:rPr>
          <w:rFonts w:hint="eastAsia" w:ascii="宋体" w:hAnsi="宋体" w:eastAsia="宋体"/>
          <w:b/>
          <w:bCs/>
          <w:color w:val="auto"/>
          <w:sz w:val="21"/>
          <w:szCs w:val="21"/>
        </w:rPr>
        <w:t>、投标保证金汇款底单复印件及授权委托书一同密封装入</w:t>
      </w:r>
      <w:r>
        <w:rPr>
          <w:rFonts w:hint="eastAsia" w:ascii="宋体" w:hAnsi="宋体" w:eastAsia="宋体"/>
          <w:b/>
          <w:bCs/>
          <w:color w:val="auto"/>
          <w:sz w:val="21"/>
          <w:szCs w:val="21"/>
          <w:lang w:eastAsia="zh-CN"/>
        </w:rPr>
        <w:t>唱标文件</w:t>
      </w:r>
      <w:r>
        <w:rPr>
          <w:rFonts w:hint="eastAsia" w:ascii="宋体" w:hAnsi="宋体" w:eastAsia="宋体"/>
          <w:b/>
          <w:bCs/>
          <w:color w:val="auto"/>
          <w:sz w:val="21"/>
          <w:szCs w:val="21"/>
        </w:rPr>
        <w:t>，</w:t>
      </w:r>
      <w:r>
        <w:rPr>
          <w:rFonts w:hint="eastAsia" w:ascii="宋体" w:hAnsi="宋体" w:eastAsia="宋体"/>
          <w:b/>
          <w:bCs/>
          <w:color w:val="auto"/>
          <w:sz w:val="21"/>
          <w:szCs w:val="21"/>
          <w:lang w:eastAsia="zh-CN"/>
        </w:rPr>
        <w:t>唱标文件</w:t>
      </w:r>
      <w:r>
        <w:rPr>
          <w:rFonts w:hint="eastAsia" w:ascii="宋体" w:hAnsi="宋体" w:eastAsia="宋体"/>
          <w:b/>
          <w:bCs/>
          <w:color w:val="auto"/>
          <w:sz w:val="21"/>
          <w:szCs w:val="21"/>
        </w:rPr>
        <w:t>单独提交。</w:t>
      </w:r>
    </w:p>
    <w:p>
      <w:pPr>
        <w:keepNext w:val="0"/>
        <w:keepLines w:val="0"/>
        <w:pageBreakBefore w:val="0"/>
        <w:widowControl/>
        <w:kinsoku/>
        <w:wordWrap/>
        <w:overflowPunct/>
        <w:topLinePunct w:val="0"/>
        <w:autoSpaceDE/>
        <w:autoSpaceDN/>
        <w:bidi w:val="0"/>
        <w:adjustRightInd w:val="0"/>
        <w:snapToGrid w:val="0"/>
        <w:spacing w:line="360" w:lineRule="auto"/>
        <w:ind w:firstLine="422" w:firstLineChars="200"/>
        <w:textAlignment w:val="auto"/>
        <w:rPr>
          <w:rFonts w:ascii="宋体" w:hAnsi="宋体" w:eastAsia="宋体"/>
          <w:b/>
          <w:bCs/>
          <w:color w:val="auto"/>
          <w:sz w:val="21"/>
          <w:szCs w:val="21"/>
        </w:rPr>
      </w:pPr>
      <w:r>
        <w:rPr>
          <w:rFonts w:hint="eastAsia" w:ascii="宋体" w:hAnsi="宋体" w:eastAsia="宋体"/>
          <w:b/>
          <w:bCs/>
          <w:color w:val="auto"/>
          <w:sz w:val="21"/>
          <w:szCs w:val="21"/>
          <w:lang w:eastAsia="zh-CN"/>
        </w:rPr>
        <w:t>（</w:t>
      </w:r>
      <w:r>
        <w:rPr>
          <w:rFonts w:hint="eastAsia" w:ascii="宋体" w:hAnsi="宋体" w:eastAsia="宋体"/>
          <w:b/>
          <w:bCs/>
          <w:color w:val="auto"/>
          <w:sz w:val="21"/>
          <w:szCs w:val="21"/>
          <w:lang w:val="en-US" w:eastAsia="zh-CN"/>
        </w:rPr>
        <w:t>2</w:t>
      </w:r>
      <w:r>
        <w:rPr>
          <w:rFonts w:hint="eastAsia" w:ascii="宋体" w:hAnsi="宋体" w:eastAsia="宋体"/>
          <w:b/>
          <w:bCs/>
          <w:color w:val="auto"/>
          <w:sz w:val="21"/>
          <w:szCs w:val="21"/>
          <w:lang w:eastAsia="zh-CN"/>
        </w:rPr>
        <w:t>）</w:t>
      </w:r>
      <w:r>
        <w:rPr>
          <w:rFonts w:hint="eastAsia" w:ascii="宋体" w:hAnsi="宋体" w:eastAsia="宋体"/>
          <w:b/>
          <w:bCs/>
          <w:color w:val="auto"/>
          <w:sz w:val="21"/>
          <w:szCs w:val="21"/>
        </w:rPr>
        <w:t>若投标人以投标担保函形式提交投标保证金，则无需在投标文件中提供此格式。</w:t>
      </w:r>
    </w:p>
    <w:p>
      <w:pPr>
        <w:rPr>
          <w:rFonts w:ascii="黑体" w:eastAsia="黑体"/>
          <w:color w:val="auto"/>
          <w:sz w:val="28"/>
          <w:szCs w:val="28"/>
        </w:rPr>
      </w:pP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13" w:name="_Toc24545"/>
      <w:bookmarkStart w:id="314" w:name="_Toc26855"/>
      <w:r>
        <w:rPr>
          <w:rFonts w:hint="eastAsia"/>
          <w:color w:val="auto"/>
          <w:lang w:val="en-US" w:eastAsia="zh-CN"/>
        </w:rPr>
        <w:t>八、采购投标担保函</w:t>
      </w:r>
      <w:bookmarkEnd w:id="313"/>
      <w:bookmarkEnd w:id="314"/>
    </w:p>
    <w:p>
      <w:pPr>
        <w:wordWrap w:val="0"/>
        <w:jc w:val="right"/>
        <w:rPr>
          <w:rFonts w:ascii="仿宋_GB2312" w:eastAsia="仿宋_GB2312"/>
          <w:color w:val="auto"/>
          <w:sz w:val="32"/>
          <w:szCs w:val="32"/>
        </w:rPr>
      </w:pPr>
      <w:r>
        <w:rPr>
          <w:rFonts w:hint="eastAsia" w:ascii="黑体" w:eastAsia="黑体"/>
          <w:color w:val="auto"/>
          <w:sz w:val="28"/>
          <w:szCs w:val="28"/>
        </w:rPr>
        <w:t xml:space="preserve"> 编号：</w:t>
      </w:r>
    </w:p>
    <w:p>
      <w:pPr>
        <w:spacing w:after="0" w:line="480" w:lineRule="auto"/>
        <w:rPr>
          <w:rFonts w:ascii="宋体" w:hAnsi="宋体" w:eastAsia="宋体" w:cs="宋体"/>
          <w:color w:val="auto"/>
          <w:sz w:val="21"/>
          <w:szCs w:val="21"/>
        </w:rPr>
      </w:pPr>
      <w:r>
        <w:rPr>
          <w:rFonts w:hint="eastAsia" w:ascii="宋体" w:hAnsi="宋体" w:eastAsia="宋体" w:cs="宋体"/>
          <w:color w:val="auto"/>
          <w:sz w:val="21"/>
          <w:szCs w:val="21"/>
        </w:rPr>
        <w:t>（采购人或采购代理机构）：</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鉴于（以下简称“投标人”）拟参加编号为</w:t>
      </w:r>
      <w:r>
        <w:rPr>
          <w:rFonts w:hint="eastAsia" w:ascii="宋体" w:hAnsi="宋体" w:eastAsia="宋体" w:cs="宋体"/>
          <w:color w:val="auto"/>
          <w:sz w:val="21"/>
          <w:szCs w:val="21"/>
          <w:u w:val="single"/>
        </w:rPr>
        <w:t xml:space="preserve">            的</w:t>
      </w:r>
    </w:p>
    <w:p>
      <w:pPr>
        <w:spacing w:after="0" w:line="480" w:lineRule="auto"/>
        <w:rPr>
          <w:rFonts w:ascii="宋体" w:hAnsi="宋体" w:eastAsia="宋体" w:cs="宋体"/>
          <w:color w:val="auto"/>
          <w:sz w:val="21"/>
          <w:szCs w:val="21"/>
        </w:rPr>
      </w:pPr>
      <w:r>
        <w:rPr>
          <w:rFonts w:hint="eastAsia" w:ascii="宋体" w:hAnsi="宋体" w:eastAsia="宋体" w:cs="宋体"/>
          <w:color w:val="auto"/>
          <w:sz w:val="21"/>
          <w:szCs w:val="21"/>
        </w:rPr>
        <w:t>项目（以下简称“本项目”）投标，根据本项目招标文件，供应商参加投标时应向你方交纳投标保证金，且可以投标担保函的形式交纳投标保证金。应供应商的申请，我方以保证的方式向你方提供如下投标保证金担保：</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一、保证责任的情形及保证金额</w:t>
      </w:r>
    </w:p>
    <w:p>
      <w:pPr>
        <w:spacing w:after="0" w:line="480" w:lineRule="auto"/>
        <w:ind w:firstLine="210" w:firstLineChars="100"/>
        <w:rPr>
          <w:rFonts w:ascii="宋体" w:hAnsi="宋体" w:eastAsia="宋体" w:cs="宋体"/>
          <w:color w:val="auto"/>
          <w:sz w:val="21"/>
          <w:szCs w:val="21"/>
        </w:rPr>
      </w:pPr>
      <w:r>
        <w:rPr>
          <w:rFonts w:hint="eastAsia" w:ascii="宋体" w:hAnsi="宋体" w:eastAsia="宋体" w:cs="宋体"/>
          <w:color w:val="auto"/>
          <w:sz w:val="21"/>
          <w:szCs w:val="21"/>
        </w:rPr>
        <w:t>（一）在投标人出现下列情形之一时，我方承担保证责任：</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1．中标后投标人无正当理由不与采购人或者采购代理机构签订《采购合同》；</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2．招标文件规定的投标人应当缴纳保证金的其他情形。</w:t>
      </w:r>
    </w:p>
    <w:p>
      <w:pPr>
        <w:spacing w:after="0" w:line="480" w:lineRule="auto"/>
        <w:ind w:firstLine="210" w:firstLineChars="100"/>
        <w:rPr>
          <w:rFonts w:ascii="宋体" w:hAnsi="宋体" w:eastAsia="宋体" w:cs="宋体"/>
          <w:color w:val="auto"/>
          <w:sz w:val="21"/>
          <w:szCs w:val="21"/>
        </w:rPr>
      </w:pPr>
      <w:r>
        <w:rPr>
          <w:rFonts w:hint="eastAsia" w:ascii="宋体" w:hAnsi="宋体" w:eastAsia="宋体" w:cs="宋体"/>
          <w:color w:val="auto"/>
          <w:sz w:val="21"/>
          <w:szCs w:val="21"/>
        </w:rPr>
        <w:t>（二）我方承担保证责任的最高金额为人民币元（大写），即本项目的投标保证金金额。</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二、保证的方式及保证期间</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我方保证的方式为：连带责任保证。</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我方的保证期间为：自本保函生效之日起个月止。</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三、承担保证责任的程序</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1．你方要求我方承担保证责任的，应在本保函保证期间内向我方发出书面索赔通知。索赔通知应写明要求索赔的金额，支付款项应到达的账号，并附有证明投标人发生我方应承担保证责任情形的事实材料。</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2．我方在收到索赔通知及相关证明材料后，在</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个工作日内进行审查，符合应承担保证责任情形的，我方应按照你方的要求代投标人向你方支付投标保证金。</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四、保证责任的终止</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1．保证期间届满你方未向我方书面主张保证责任的，自保证期间届满次日起，我方保证责任自动终止。</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2．我方按照本保函向你贵方履行了保证责任后，自我方向你贵方支付款项（支付款项从我方账户划出）之日起，保证责任终止。</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3．按照法律法规的规定或出现我方保证责任终止的其它情形的，我方在本保函项下的保证责任亦终止。</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五、免责条款</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1．依照法律规定或你方与投标人的另行约定，全部或者部分免除投标人投标保证金义务时，我方亦免除相应的保证责任。</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2．因你方原因致使投标人发生本保函第一条第（一）款约定情形的，我方不承担保证责任。</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3．因不可抗力造成投标人发生本保函第一条约定情形的，我方不承担保证责任。</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4．你方或其他有权机关对招标文件进行任何澄清或修改，加重我方保证责任的，我方对加重部分不承担保证责任，但该澄清或修改经我方事先书面同意的除外。</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六、争议的解决</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因本保函发生的纠纷，由你我双方协商解决，协商不成的，通过诉讼程序解决，诉讼管辖地法院为法院。</w:t>
      </w:r>
    </w:p>
    <w:p>
      <w:pPr>
        <w:spacing w:after="0" w:line="480" w:lineRule="auto"/>
        <w:ind w:firstLine="422" w:firstLineChars="200"/>
        <w:rPr>
          <w:rFonts w:ascii="宋体" w:hAnsi="宋体" w:eastAsia="宋体" w:cs="宋体"/>
          <w:b/>
          <w:color w:val="auto"/>
          <w:sz w:val="21"/>
          <w:szCs w:val="21"/>
        </w:rPr>
      </w:pPr>
      <w:r>
        <w:rPr>
          <w:rFonts w:hint="eastAsia" w:ascii="宋体" w:hAnsi="宋体" w:eastAsia="宋体" w:cs="宋体"/>
          <w:b/>
          <w:color w:val="auto"/>
          <w:sz w:val="21"/>
          <w:szCs w:val="21"/>
        </w:rPr>
        <w:t>七、保函的生效</w:t>
      </w:r>
    </w:p>
    <w:p>
      <w:pPr>
        <w:spacing w:after="0" w:line="480" w:lineRule="auto"/>
        <w:ind w:firstLine="420" w:firstLineChars="200"/>
        <w:rPr>
          <w:rFonts w:ascii="宋体" w:hAnsi="宋体" w:eastAsia="宋体" w:cs="宋体"/>
          <w:color w:val="auto"/>
          <w:sz w:val="21"/>
          <w:szCs w:val="21"/>
        </w:rPr>
      </w:pPr>
      <w:r>
        <w:rPr>
          <w:rFonts w:hint="eastAsia" w:ascii="宋体" w:hAnsi="宋体" w:eastAsia="宋体" w:cs="宋体"/>
          <w:color w:val="auto"/>
          <w:sz w:val="21"/>
          <w:szCs w:val="21"/>
        </w:rPr>
        <w:t>本保函自我方加盖公章之日起生效。</w:t>
      </w:r>
    </w:p>
    <w:p>
      <w:pPr>
        <w:spacing w:after="0" w:line="480" w:lineRule="auto"/>
        <w:jc w:val="right"/>
        <w:rPr>
          <w:rFonts w:ascii="宋体" w:hAnsi="宋体" w:eastAsia="宋体" w:cs="宋体"/>
          <w:color w:val="auto"/>
          <w:sz w:val="21"/>
          <w:szCs w:val="21"/>
        </w:rPr>
      </w:pPr>
    </w:p>
    <w:p>
      <w:pPr>
        <w:spacing w:after="0" w:line="480" w:lineRule="auto"/>
        <w:jc w:val="right"/>
        <w:rPr>
          <w:rFonts w:ascii="宋体" w:hAnsi="宋体" w:eastAsia="宋体" w:cs="宋体"/>
          <w:color w:val="auto"/>
          <w:sz w:val="21"/>
          <w:szCs w:val="21"/>
        </w:rPr>
      </w:pPr>
      <w:r>
        <w:rPr>
          <w:rFonts w:hint="eastAsia" w:ascii="宋体" w:hAnsi="宋体" w:eastAsia="宋体" w:cs="宋体"/>
          <w:color w:val="auto"/>
          <w:sz w:val="21"/>
          <w:szCs w:val="21"/>
        </w:rPr>
        <w:t>保证人：（公章）</w:t>
      </w:r>
    </w:p>
    <w:p>
      <w:pPr>
        <w:spacing w:after="0" w:line="480" w:lineRule="auto"/>
        <w:jc w:val="right"/>
        <w:rPr>
          <w:rFonts w:ascii="宋体" w:hAnsi="宋体" w:eastAsia="宋体" w:cs="宋体"/>
          <w:color w:val="auto"/>
          <w:sz w:val="21"/>
          <w:szCs w:val="21"/>
        </w:rPr>
      </w:pPr>
      <w:r>
        <w:rPr>
          <w:rFonts w:hint="eastAsia" w:ascii="宋体" w:hAnsi="宋体" w:eastAsia="宋体" w:cs="宋体"/>
          <w:color w:val="auto"/>
          <w:sz w:val="21"/>
          <w:szCs w:val="21"/>
        </w:rPr>
        <w:t>年     月      日</w:t>
      </w:r>
    </w:p>
    <w:p>
      <w:pPr>
        <w:spacing w:after="0"/>
        <w:rPr>
          <w:rFonts w:ascii="宋体" w:hAnsi="宋体" w:eastAsia="宋体"/>
          <w:color w:val="auto"/>
          <w:sz w:val="21"/>
          <w:szCs w:val="21"/>
        </w:rPr>
      </w:pPr>
    </w:p>
    <w:p>
      <w:pPr>
        <w:spacing w:after="0"/>
        <w:rPr>
          <w:rFonts w:ascii="宋体" w:hAnsi="宋体" w:eastAsia="宋体"/>
          <w:b/>
          <w:bCs/>
          <w:color w:val="auto"/>
          <w:sz w:val="21"/>
          <w:szCs w:val="21"/>
        </w:rPr>
      </w:pPr>
      <w:r>
        <w:rPr>
          <w:rFonts w:hint="eastAsia" w:ascii="宋体" w:hAnsi="宋体" w:eastAsia="宋体"/>
          <w:b/>
          <w:bCs/>
          <w:color w:val="auto"/>
          <w:sz w:val="21"/>
          <w:szCs w:val="21"/>
        </w:rPr>
        <w:t>注：</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ascii="宋体" w:hAnsi="宋体" w:eastAsia="宋体"/>
          <w:b/>
          <w:bCs/>
          <w:color w:val="auto"/>
          <w:sz w:val="21"/>
          <w:szCs w:val="21"/>
        </w:rPr>
      </w:pPr>
      <w:r>
        <w:rPr>
          <w:rFonts w:hint="eastAsia" w:ascii="宋体" w:hAnsi="宋体" w:eastAsia="宋体"/>
          <w:b/>
          <w:bCs/>
          <w:color w:val="auto"/>
          <w:sz w:val="21"/>
          <w:szCs w:val="21"/>
        </w:rPr>
        <w:t>（1）若投标人不以投标担保函形式提交投标保证金，则无需在投标文件中提供此格式。</w:t>
      </w:r>
    </w:p>
    <w:p>
      <w:pPr>
        <w:keepNext w:val="0"/>
        <w:keepLines w:val="0"/>
        <w:pageBreakBefore w:val="0"/>
        <w:widowControl/>
        <w:kinsoku/>
        <w:wordWrap/>
        <w:overflowPunct/>
        <w:topLinePunct w:val="0"/>
        <w:autoSpaceDE/>
        <w:autoSpaceDN/>
        <w:bidi w:val="0"/>
        <w:adjustRightInd w:val="0"/>
        <w:snapToGrid w:val="0"/>
        <w:spacing w:after="0" w:line="360" w:lineRule="auto"/>
        <w:ind w:firstLine="422" w:firstLineChars="200"/>
        <w:textAlignment w:val="auto"/>
        <w:rPr>
          <w:rFonts w:hint="eastAsia"/>
          <w:color w:val="auto"/>
        </w:rPr>
      </w:pPr>
      <w:r>
        <w:rPr>
          <w:rFonts w:hint="eastAsia" w:ascii="宋体" w:hAnsi="宋体" w:eastAsia="宋体"/>
          <w:b/>
          <w:bCs/>
          <w:color w:val="auto"/>
          <w:sz w:val="21"/>
          <w:szCs w:val="21"/>
        </w:rPr>
        <w:t>（2）若投标人以投标担保函形式提交投标保证金，则应将投标担保函原件交予采购代理机构。</w:t>
      </w:r>
    </w:p>
    <w:p>
      <w:pPr>
        <w:spacing w:after="0"/>
        <w:rPr>
          <w:rFonts w:ascii="黑体" w:eastAsia="黑体"/>
          <w:color w:val="auto"/>
          <w:sz w:val="30"/>
          <w:szCs w:val="30"/>
        </w:rPr>
      </w:pPr>
      <w:r>
        <w:rPr>
          <w:rFonts w:hint="eastAsia" w:ascii="宋体" w:hAnsi="宋体" w:eastAsia="宋体"/>
          <w:color w:val="auto"/>
          <w:sz w:val="21"/>
          <w:szCs w:val="21"/>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15" w:name="_Toc6961"/>
      <w:r>
        <w:rPr>
          <w:rFonts w:hint="eastAsia"/>
          <w:color w:val="auto"/>
          <w:lang w:val="en-US" w:eastAsia="zh-CN"/>
        </w:rPr>
        <w:t>九、采购履约担保函</w:t>
      </w:r>
      <w:bookmarkEnd w:id="315"/>
    </w:p>
    <w:p>
      <w:pPr>
        <w:keepNext w:val="0"/>
        <w:keepLines w:val="0"/>
        <w:pageBreakBefore w:val="0"/>
        <w:widowControl/>
        <w:kinsoku/>
        <w:wordWrap w:val="0"/>
        <w:overflowPunct/>
        <w:topLinePunct w:val="0"/>
        <w:autoSpaceDE/>
        <w:autoSpaceDN/>
        <w:bidi w:val="0"/>
        <w:adjustRightInd w:val="0"/>
        <w:snapToGrid w:val="0"/>
        <w:spacing w:line="360" w:lineRule="auto"/>
        <w:ind w:right="0" w:rightChars="0"/>
        <w:jc w:val="right"/>
        <w:textAlignment w:val="auto"/>
        <w:rPr>
          <w:rFonts w:ascii="仿宋_GB2312" w:eastAsia="仿宋_GB2312"/>
          <w:color w:val="auto"/>
          <w:sz w:val="32"/>
          <w:szCs w:val="32"/>
        </w:rPr>
      </w:pPr>
      <w:r>
        <w:rPr>
          <w:rFonts w:hint="eastAsia" w:ascii="黑体" w:eastAsia="黑体"/>
          <w:color w:val="auto"/>
          <w:sz w:val="28"/>
          <w:szCs w:val="28"/>
        </w:rPr>
        <w:t xml:space="preserve">编号：  </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r>
        <w:rPr>
          <w:rFonts w:hint="eastAsia" w:ascii="宋体" w:hAnsi="宋体" w:eastAsia="宋体" w:cs="宋体"/>
          <w:color w:val="auto"/>
          <w:sz w:val="21"/>
          <w:szCs w:val="21"/>
        </w:rPr>
        <w:t>（采购人）：</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鉴于你方与（以下简称供应商）于年月日签定编号为   的《采购合同》（以下简称主合同），且依据该合同的约定，供应商应在年月日前向你方交纳履约保证金，且可以履约担保函的形式交纳履约保证金。应供应商的申请，我方以保证的方式向你方提供如下履约保证金担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一、保证责任的情形及保证金额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（一）在供应商出现下列情形之一时，我方承担保证责任：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1．将中标项目转让给他人，或者在投标文件中未说明，且未经采购招标机构人同意，将中标项目分包给他人的；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 xml:space="preserve">2．主合同约定的应当缴纳履约保证金的情形: </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（1）未按主合同约定的质量、数量和期限供应货物/提供服务/完成工程的；</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（2）。</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（二）我方的保证范围是主合同约定的合同价款总额</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r>
        <w:rPr>
          <w:rFonts w:hint="eastAsia" w:ascii="宋体" w:hAnsi="宋体" w:eastAsia="宋体" w:cs="宋体"/>
          <w:color w:val="auto"/>
          <w:sz w:val="21"/>
          <w:szCs w:val="21"/>
        </w:rPr>
        <w:t>%数额为元（大写），为。（即主合同履约保证金金额）</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二、保证的方式及保证期间</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我方保证的方式为：连带责任保证。</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我方保证的期间为：自本合同生效之日起至供应商按照主合同约定的供货/完工期限届满后日内。</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如果供应商未按主合同约定向贵方供应货物/提供服务/完成工程的，由我方在保证金额内向你方支付上述款项。</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三、承担保证责任的程序</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1．你方要求我方承担保证责任的，应在本保函保证期间内向我方发出书面索赔通知。索赔通知应写明要求索赔的金额，支付款项应到达的帐号。并附有证明供应商违约事实的证明材料。</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如果你方与供应商因货物质量问题产生争议，你方还需同时提供部门出具的质量检测报告，或经诉讼（仲裁）程序裁决后的裁决书、调解书，本保证人即按照检测结果或裁决书、调解书决定是否承担保证责任。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u w:val="single"/>
        </w:rPr>
      </w:pPr>
      <w:r>
        <w:rPr>
          <w:rFonts w:hint="eastAsia" w:ascii="宋体" w:hAnsi="宋体" w:eastAsia="宋体" w:cs="宋体"/>
          <w:color w:val="auto"/>
          <w:sz w:val="21"/>
          <w:szCs w:val="21"/>
        </w:rPr>
        <w:t>2．我方收到你方的书面索赔通知及相应证明材料，在</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hint="eastAsia" w:ascii="宋体" w:hAnsi="宋体" w:eastAsia="宋体" w:cs="宋体"/>
          <w:b/>
          <w:color w:val="auto"/>
          <w:sz w:val="21"/>
          <w:szCs w:val="21"/>
        </w:rPr>
      </w:pPr>
      <w:r>
        <w:rPr>
          <w:rFonts w:hint="eastAsia" w:ascii="宋体" w:hAnsi="宋体" w:eastAsia="宋体" w:cs="宋体"/>
          <w:color w:val="auto"/>
          <w:sz w:val="21"/>
          <w:szCs w:val="21"/>
        </w:rPr>
        <w:t>工作日内进行核定后按照本保函的承诺承担保证责任。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四、保证责任的终止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1．保证期间届满你方未向我方书面主张保证责任的，自保证期间届满次日起，我方保证责任自动终止。保证期间届满前，主合同约定的货物\工程\服务全部验收合格的，自验收合格日起，我方保证责任自动终止。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2．我方按照本保函向你方履行了保证责任后，自我方向你方支付款项（支付款项从我方账户划出）之日起，保证责任即终止。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3．按照法律法规的规定或出现应终止我方保证责任的其它情形的，我方在本保函项下的保证责任亦终止。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4．你方与供应商修改主合同，加重我方保证责任的，我方对加重部分不承担保证责任，但该等修改事先经我方书面同意的除外；你方与供应商修改主合同履行期限，我方保证期间仍依修改前的履行期限计算，但该等修改事先经我方书面同意的除外。</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五、免责条款</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1．因你方违反主合同约定致使供应商不能履行义务的，我方不承担保证责任。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2．依照法律法规的规定或你方与供应商的另行约定，全部或者部分免除供应商应缴纳的保证金义务的，我方亦免除相应的保证责任。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3．因不可抗力造成供应商不能履行供货义务的，我方不承担保证责任。</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六、争议的解决</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因本保函发生的纠纷，由你我双方协商解决，协商不成的，通过诉讼程序解决，诉讼管辖地法院为法院。</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2" w:firstLineChars="200"/>
        <w:textAlignment w:val="auto"/>
        <w:rPr>
          <w:rFonts w:ascii="宋体" w:hAnsi="宋体" w:eastAsia="宋体" w:cs="宋体"/>
          <w:b/>
          <w:color w:val="auto"/>
          <w:sz w:val="21"/>
          <w:szCs w:val="21"/>
        </w:rPr>
      </w:pPr>
      <w:r>
        <w:rPr>
          <w:rFonts w:hint="eastAsia" w:ascii="宋体" w:hAnsi="宋体" w:eastAsia="宋体" w:cs="宋体"/>
          <w:b/>
          <w:color w:val="auto"/>
          <w:sz w:val="21"/>
          <w:szCs w:val="21"/>
        </w:rPr>
        <w:t>七、保函的生效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s="宋体"/>
          <w:color w:val="auto"/>
          <w:sz w:val="21"/>
          <w:szCs w:val="21"/>
        </w:rPr>
      </w:pPr>
      <w:r>
        <w:rPr>
          <w:rFonts w:hint="eastAsia" w:ascii="宋体" w:hAnsi="宋体" w:eastAsia="宋体" w:cs="宋体"/>
          <w:color w:val="auto"/>
          <w:sz w:val="21"/>
          <w:szCs w:val="21"/>
        </w:rPr>
        <w:t>本保函自我方加盖公章之日起生效。</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s="宋体"/>
          <w:color w:val="auto"/>
          <w:sz w:val="21"/>
          <w:szCs w:val="21"/>
        </w:rPr>
      </w:pP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rPr>
      </w:pPr>
      <w:r>
        <w:rPr>
          <w:rFonts w:hint="eastAsia" w:ascii="宋体" w:hAnsi="宋体" w:eastAsia="宋体" w:cs="宋体"/>
          <w:color w:val="auto"/>
          <w:sz w:val="21"/>
          <w:szCs w:val="21"/>
        </w:rPr>
        <w:t>保证人：（公章）</w:t>
      </w:r>
    </w:p>
    <w:p>
      <w:pPr>
        <w:keepNext w:val="0"/>
        <w:keepLines w:val="0"/>
        <w:pageBreakBefore w:val="0"/>
        <w:widowControl/>
        <w:kinsoku/>
        <w:overflowPunct/>
        <w:topLinePunct w:val="0"/>
        <w:autoSpaceDE/>
        <w:autoSpaceDN/>
        <w:bidi w:val="0"/>
        <w:adjustRightInd w:val="0"/>
        <w:snapToGrid w:val="0"/>
        <w:spacing w:after="0" w:line="360" w:lineRule="auto"/>
        <w:ind w:right="0" w:rightChars="0"/>
        <w:jc w:val="right"/>
        <w:textAlignment w:val="auto"/>
        <w:rPr>
          <w:rFonts w:ascii="宋体" w:hAnsi="宋体" w:eastAsia="宋体" w:cs="宋体"/>
          <w:color w:val="auto"/>
          <w:sz w:val="21"/>
          <w:szCs w:val="21"/>
        </w:rPr>
      </w:pPr>
      <w:r>
        <w:rPr>
          <w:rFonts w:hint="eastAsia" w:ascii="宋体" w:hAnsi="宋体" w:eastAsia="宋体" w:cs="宋体"/>
          <w:color w:val="auto"/>
          <w:sz w:val="21"/>
          <w:szCs w:val="21"/>
        </w:rPr>
        <w:t>年     月      日</w:t>
      </w:r>
    </w:p>
    <w:p>
      <w:pPr>
        <w:keepNext w:val="0"/>
        <w:keepLines w:val="0"/>
        <w:pageBreakBefore w:val="0"/>
        <w:widowControl/>
        <w:kinsoku/>
        <w:overflowPunct/>
        <w:topLinePunct w:val="0"/>
        <w:autoSpaceDE/>
        <w:autoSpaceDN/>
        <w:bidi w:val="0"/>
        <w:adjustRightInd w:val="0"/>
        <w:snapToGrid w:val="0"/>
        <w:spacing w:after="0" w:line="360" w:lineRule="auto"/>
        <w:ind w:right="0" w:rightChars="0"/>
        <w:textAlignment w:val="auto"/>
        <w:rPr>
          <w:rFonts w:ascii="宋体" w:hAnsi="宋体" w:eastAsia="宋体"/>
          <w:color w:val="auto"/>
          <w:sz w:val="21"/>
          <w:szCs w:val="21"/>
        </w:rPr>
      </w:pPr>
      <w:r>
        <w:rPr>
          <w:rFonts w:hint="eastAsia" w:ascii="宋体" w:hAnsi="宋体" w:eastAsia="宋体"/>
          <w:color w:val="auto"/>
          <w:sz w:val="21"/>
          <w:szCs w:val="21"/>
        </w:rPr>
        <w:t>注：</w:t>
      </w:r>
    </w:p>
    <w:p>
      <w:pPr>
        <w:keepNext w:val="0"/>
        <w:keepLines w:val="0"/>
        <w:pageBreakBefore w:val="0"/>
        <w:widowControl/>
        <w:kinsoku/>
        <w:overflowPunct/>
        <w:topLinePunct w:val="0"/>
        <w:autoSpaceDE/>
        <w:autoSpaceDN/>
        <w:bidi w:val="0"/>
        <w:adjustRightInd w:val="0"/>
        <w:snapToGrid w:val="0"/>
        <w:spacing w:after="0" w:line="360" w:lineRule="auto"/>
        <w:ind w:right="0" w:rightChars="0" w:firstLine="420" w:firstLineChars="200"/>
        <w:textAlignment w:val="auto"/>
        <w:rPr>
          <w:rFonts w:ascii="宋体" w:hAnsi="宋体" w:eastAsia="宋体"/>
          <w:color w:val="auto"/>
          <w:sz w:val="21"/>
          <w:szCs w:val="21"/>
        </w:rPr>
      </w:pPr>
      <w:r>
        <w:rPr>
          <w:rFonts w:hint="eastAsia" w:ascii="宋体" w:hAnsi="宋体" w:eastAsia="宋体"/>
          <w:color w:val="auto"/>
          <w:sz w:val="21"/>
          <w:szCs w:val="21"/>
        </w:rPr>
        <w:t>（1）此格式为履约担保函格式，无需在投标文件中提供此格式。</w:t>
      </w:r>
    </w:p>
    <w:p>
      <w:pPr>
        <w:pStyle w:val="7"/>
        <w:rPr>
          <w:color w:val="auto"/>
        </w:rPr>
      </w:pPr>
    </w:p>
    <w:p>
      <w:pPr>
        <w:bidi w:val="0"/>
        <w:rPr>
          <w:color w:val="auto"/>
        </w:rPr>
      </w:pPr>
      <w:r>
        <w:rPr>
          <w:color w:val="auto"/>
        </w:rPr>
        <w:br w:type="page"/>
      </w: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16" w:name="_Toc26772"/>
      <w:bookmarkStart w:id="317" w:name="_Toc26782"/>
      <w:r>
        <w:rPr>
          <w:rFonts w:hint="eastAsia"/>
          <w:color w:val="auto"/>
          <w:lang w:val="en-US" w:eastAsia="zh-CN"/>
        </w:rPr>
        <w:t>第四章唱标信封（单独封装）</w:t>
      </w:r>
      <w:bookmarkEnd w:id="316"/>
      <w:bookmarkEnd w:id="317"/>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（1）开标一览表；</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color w:val="auto"/>
        </w:rPr>
      </w:pPr>
      <w:r>
        <w:rPr>
          <w:rFonts w:hint="eastAsia"/>
          <w:color w:val="auto"/>
        </w:rPr>
        <w:t>（2）法人代表授权书</w:t>
      </w:r>
      <w:r>
        <w:rPr>
          <w:rFonts w:hint="eastAsia"/>
          <w:color w:val="auto"/>
          <w:lang w:val="en-US" w:eastAsia="zh-CN"/>
        </w:rPr>
        <w:t>及</w:t>
      </w:r>
      <w:r>
        <w:rPr>
          <w:rFonts w:hint="eastAsia"/>
          <w:color w:val="auto"/>
        </w:rPr>
        <w:t>被授权代表身份证（复印件加盖公章）；</w:t>
      </w:r>
    </w:p>
    <w:p>
      <w:pPr>
        <w:keepNext w:val="0"/>
        <w:keepLines w:val="0"/>
        <w:pageBreakBefore w:val="0"/>
        <w:widowControl/>
        <w:kinsoku/>
        <w:wordWrap/>
        <w:overflowPunct/>
        <w:topLinePunct w:val="0"/>
        <w:autoSpaceDE/>
        <w:autoSpaceDN/>
        <w:bidi w:val="0"/>
        <w:adjustRightInd w:val="0"/>
        <w:snapToGrid w:val="0"/>
        <w:ind w:firstLine="420" w:firstLineChars="200"/>
        <w:textAlignment w:val="auto"/>
        <w:rPr>
          <w:rFonts w:hint="eastAsia"/>
          <w:color w:val="auto"/>
          <w:lang w:val="en-US" w:eastAsia="zh-CN"/>
        </w:rPr>
      </w:pPr>
      <w:r>
        <w:rPr>
          <w:rFonts w:hint="eastAsia"/>
          <w:color w:val="auto"/>
        </w:rPr>
        <w:t>（</w:t>
      </w:r>
      <w:r>
        <w:rPr>
          <w:rFonts w:hint="eastAsia"/>
          <w:color w:val="auto"/>
          <w:lang w:val="en-US" w:eastAsia="zh-CN"/>
        </w:rPr>
        <w:t>3</w:t>
      </w:r>
      <w:r>
        <w:rPr>
          <w:rFonts w:hint="eastAsia"/>
          <w:color w:val="auto"/>
        </w:rPr>
        <w:t>）投标保证金汇入情况说明</w:t>
      </w:r>
      <w:r>
        <w:rPr>
          <w:rFonts w:hint="eastAsia"/>
          <w:color w:val="auto"/>
          <w:lang w:val="en-US" w:eastAsia="zh-CN"/>
        </w:rPr>
        <w:t>及</w:t>
      </w:r>
      <w:r>
        <w:rPr>
          <w:rFonts w:hint="eastAsia"/>
          <w:color w:val="auto"/>
        </w:rPr>
        <w:t>投标保证金汇款底单（复印件加盖公章）</w:t>
      </w:r>
      <w:r>
        <w:rPr>
          <w:rFonts w:hint="eastAsia"/>
          <w:color w:val="auto"/>
          <w:lang w:eastAsia="zh-CN"/>
        </w:rPr>
        <w:t>，</w:t>
      </w:r>
      <w:r>
        <w:rPr>
          <w:rFonts w:hint="eastAsia"/>
          <w:color w:val="auto"/>
          <w:lang w:val="en-US" w:eastAsia="zh-CN"/>
        </w:rPr>
        <w:t>或《采购投标担保函》复印件。</w:t>
      </w:r>
    </w:p>
    <w:p>
      <w:pPr>
        <w:rPr>
          <w:color w:val="auto"/>
        </w:rPr>
      </w:pPr>
    </w:p>
    <w:p>
      <w:pPr>
        <w:bidi w:val="0"/>
        <w:rPr>
          <w:color w:val="auto"/>
        </w:rPr>
      </w:pPr>
    </w:p>
    <w:p>
      <w:pPr>
        <w:rPr>
          <w:color w:val="auto"/>
        </w:rPr>
      </w:pPr>
    </w:p>
    <w:p>
      <w:pPr>
        <w:bidi w:val="0"/>
        <w:rPr>
          <w:color w:val="auto"/>
        </w:rPr>
      </w:pPr>
    </w:p>
    <w:p>
      <w:pPr>
        <w:rPr>
          <w:color w:val="auto"/>
        </w:rPr>
      </w:pPr>
    </w:p>
    <w:p>
      <w:pPr>
        <w:bidi w:val="0"/>
        <w:rPr>
          <w:color w:val="auto"/>
        </w:rPr>
      </w:pPr>
    </w:p>
    <w:p>
      <w:pPr>
        <w:rPr>
          <w:color w:val="auto"/>
        </w:rPr>
      </w:pPr>
    </w:p>
    <w:p>
      <w:pPr>
        <w:bidi w:val="0"/>
        <w:rPr>
          <w:color w:val="auto"/>
        </w:rPr>
      </w:pPr>
    </w:p>
    <w:p>
      <w:pPr>
        <w:rPr>
          <w:color w:val="auto"/>
        </w:rPr>
      </w:pPr>
    </w:p>
    <w:p>
      <w:pPr>
        <w:bidi w:val="0"/>
        <w:rPr>
          <w:color w:val="auto"/>
        </w:rPr>
      </w:pPr>
    </w:p>
    <w:p>
      <w:pPr>
        <w:bidi w:val="0"/>
        <w:rPr>
          <w:color w:val="auto"/>
        </w:rPr>
      </w:pPr>
    </w:p>
    <w:p>
      <w:pPr>
        <w:bidi w:val="0"/>
        <w:rPr>
          <w:color w:val="auto"/>
        </w:rPr>
      </w:pPr>
    </w:p>
    <w:p>
      <w:pPr>
        <w:bidi w:val="0"/>
        <w:rPr>
          <w:rFonts w:hint="eastAsia"/>
          <w:color w:val="auto"/>
        </w:rPr>
      </w:pPr>
      <w:bookmarkStart w:id="318" w:name="_Toc11182"/>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bidi w:val="0"/>
        <w:rPr>
          <w:rFonts w:hint="eastAsia"/>
          <w:color w:val="auto"/>
        </w:rPr>
      </w:pPr>
    </w:p>
    <w:p>
      <w:pPr>
        <w:pStyle w:val="7"/>
        <w:rPr>
          <w:rFonts w:hint="eastAsia"/>
          <w:color w:val="auto"/>
        </w:rPr>
      </w:pPr>
    </w:p>
    <w:p>
      <w:pPr>
        <w:rPr>
          <w:rFonts w:hint="eastAsia"/>
          <w:color w:val="auto"/>
        </w:rPr>
      </w:pPr>
    </w:p>
    <w:p>
      <w:pPr>
        <w:pStyle w:val="7"/>
        <w:rPr>
          <w:rFonts w:hint="eastAsia"/>
          <w:color w:val="auto"/>
        </w:rPr>
      </w:pPr>
    </w:p>
    <w:p>
      <w:pPr>
        <w:rPr>
          <w:rFonts w:hint="eastAsia"/>
          <w:color w:val="auto"/>
        </w:rPr>
      </w:pPr>
    </w:p>
    <w:p>
      <w:pPr>
        <w:pStyle w:val="7"/>
        <w:rPr>
          <w:rFonts w:hint="eastAsia"/>
          <w:color w:val="auto"/>
        </w:rPr>
      </w:pPr>
    </w:p>
    <w:p>
      <w:pPr>
        <w:rPr>
          <w:rFonts w:hint="eastAsia"/>
          <w:color w:val="auto"/>
        </w:rPr>
      </w:pPr>
    </w:p>
    <w:p>
      <w:pPr>
        <w:pStyle w:val="7"/>
        <w:rPr>
          <w:rFonts w:hint="eastAsia"/>
          <w:color w:val="auto"/>
        </w:rPr>
      </w:pPr>
    </w:p>
    <w:p>
      <w:pPr>
        <w:rPr>
          <w:rFonts w:hint="eastAsia"/>
          <w:color w:val="auto"/>
        </w:rPr>
      </w:pPr>
    </w:p>
    <w:p>
      <w:pPr>
        <w:pStyle w:val="4"/>
        <w:keepNext/>
        <w:keepLines/>
        <w:pageBreakBefore w:val="0"/>
        <w:widowControl/>
        <w:kinsoku/>
        <w:wordWrap/>
        <w:overflowPunct/>
        <w:topLinePunct w:val="0"/>
        <w:autoSpaceDE/>
        <w:autoSpaceDN/>
        <w:bidi w:val="0"/>
        <w:adjustRightInd w:val="0"/>
        <w:snapToGrid w:val="0"/>
        <w:spacing w:after="0"/>
        <w:jc w:val="center"/>
        <w:textAlignment w:val="auto"/>
        <w:rPr>
          <w:rFonts w:hint="eastAsia"/>
          <w:color w:val="auto"/>
          <w:lang w:val="en-US" w:eastAsia="zh-CN"/>
        </w:rPr>
      </w:pPr>
      <w:bookmarkStart w:id="319" w:name="_Toc2710"/>
      <w:bookmarkStart w:id="320" w:name="_Toc22736"/>
      <w:r>
        <w:rPr>
          <w:rFonts w:hint="eastAsia"/>
          <w:color w:val="auto"/>
          <w:lang w:val="en-US" w:eastAsia="zh-CN"/>
        </w:rPr>
        <w:t>第五章联合体共同投标协议书（如有需要）</w:t>
      </w:r>
      <w:bookmarkEnd w:id="319"/>
      <w:bookmarkEnd w:id="320"/>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u w:val="single"/>
          <w:lang w:eastAsia="zh-CN"/>
        </w:rPr>
      </w:pPr>
      <w:r>
        <w:rPr>
          <w:rFonts w:hint="eastAsia" w:ascii="宋体" w:hAnsi="宋体" w:eastAsia="宋体" w:cs="宋体"/>
          <w:color w:val="auto"/>
          <w:kern w:val="0"/>
          <w:sz w:val="21"/>
          <w:szCs w:val="21"/>
          <w:u w:val="single"/>
        </w:rPr>
        <w:t>致：</w:t>
      </w:r>
      <w:r>
        <w:rPr>
          <w:rFonts w:hint="eastAsia" w:ascii="宋体" w:hAnsi="宋体" w:eastAsia="宋体" w:cs="宋体"/>
          <w:color w:val="auto"/>
          <w:kern w:val="0"/>
          <w:sz w:val="21"/>
          <w:szCs w:val="21"/>
          <w:u w:val="single"/>
          <w:lang w:eastAsia="zh-CN"/>
        </w:rPr>
        <w:t>（</w:t>
      </w:r>
      <w:r>
        <w:rPr>
          <w:rFonts w:hint="eastAsia" w:ascii="宋体" w:hAnsi="宋体" w:eastAsia="宋体" w:cs="宋体"/>
          <w:color w:val="auto"/>
          <w:kern w:val="0"/>
          <w:sz w:val="21"/>
          <w:szCs w:val="21"/>
          <w:u w:val="single"/>
          <w:lang w:val="en-US" w:eastAsia="zh-CN"/>
        </w:rPr>
        <w:t>采购人</w:t>
      </w:r>
      <w:r>
        <w:rPr>
          <w:rFonts w:hint="eastAsia" w:ascii="宋体" w:hAnsi="宋体" w:eastAsia="宋体" w:cs="宋体"/>
          <w:color w:val="auto"/>
          <w:kern w:val="0"/>
          <w:sz w:val="21"/>
          <w:szCs w:val="21"/>
          <w:u w:val="single"/>
          <w:lang w:eastAsia="zh-CN"/>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u w:val="single"/>
        </w:rPr>
        <w:t>（甲公司全称）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（乙公司全称）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（……公司全称）</w:t>
      </w:r>
      <w:r>
        <w:rPr>
          <w:rFonts w:hint="eastAsia" w:ascii="宋体" w:hAnsi="宋体" w:eastAsia="宋体" w:cs="宋体"/>
          <w:color w:val="auto"/>
          <w:kern w:val="0"/>
          <w:sz w:val="21"/>
          <w:szCs w:val="21"/>
        </w:rPr>
        <w:t>共同组成一个联合体，</w:t>
      </w:r>
      <w:r>
        <w:rPr>
          <w:rFonts w:hint="eastAsia" w:ascii="宋体" w:hAnsi="宋体" w:eastAsia="宋体" w:cs="宋体"/>
          <w:color w:val="auto"/>
          <w:kern w:val="10"/>
          <w:sz w:val="21"/>
          <w:szCs w:val="21"/>
        </w:rPr>
        <w:t>以一个投标供应商的身份共同</w:t>
      </w:r>
      <w:r>
        <w:rPr>
          <w:rFonts w:hint="eastAsia" w:ascii="宋体" w:hAnsi="宋体" w:eastAsia="宋体" w:cs="宋体"/>
          <w:color w:val="auto"/>
          <w:kern w:val="0"/>
          <w:sz w:val="21"/>
          <w:szCs w:val="21"/>
        </w:rPr>
        <w:t>参加</w:t>
      </w:r>
      <w:r>
        <w:rPr>
          <w:rFonts w:hint="eastAsia" w:ascii="宋体" w:hAnsi="宋体" w:eastAsia="宋体" w:cs="宋体"/>
          <w:color w:val="auto"/>
          <w:kern w:val="0"/>
          <w:sz w:val="21"/>
          <w:szCs w:val="21"/>
          <w:u w:val="single"/>
        </w:rPr>
        <w:t>（采购项目名称）</w:t>
      </w:r>
      <w:r>
        <w:rPr>
          <w:rFonts w:hint="eastAsia" w:ascii="宋体" w:hAnsi="宋体" w:eastAsia="宋体" w:cs="宋体"/>
          <w:color w:val="auto"/>
          <w:kern w:val="0"/>
          <w:sz w:val="21"/>
          <w:szCs w:val="21"/>
        </w:rPr>
        <w:t xml:space="preserve"> </w:t>
      </w:r>
      <w:r>
        <w:rPr>
          <w:rFonts w:hint="eastAsia" w:ascii="宋体" w:hAnsi="宋体" w:eastAsia="宋体" w:cs="宋体"/>
          <w:color w:val="auto"/>
          <w:kern w:val="0"/>
          <w:sz w:val="21"/>
          <w:szCs w:val="21"/>
          <w:u w:val="single"/>
        </w:rPr>
        <w:t>（采购项目编号）</w:t>
      </w:r>
      <w:r>
        <w:rPr>
          <w:rFonts w:hint="eastAsia" w:ascii="宋体" w:hAnsi="宋体" w:eastAsia="宋体" w:cs="宋体"/>
          <w:color w:val="auto"/>
          <w:kern w:val="0"/>
          <w:sz w:val="21"/>
          <w:szCs w:val="21"/>
        </w:rPr>
        <w:t>的投标响应。</w:t>
      </w:r>
      <w:r>
        <w:rPr>
          <w:rFonts w:hint="eastAsia" w:ascii="宋体" w:hAnsi="宋体" w:eastAsia="宋体" w:cs="宋体"/>
          <w:color w:val="auto"/>
          <w:sz w:val="21"/>
          <w:szCs w:val="21"/>
        </w:rPr>
        <w:t>经协商一致，就本</w:t>
      </w:r>
      <w:r>
        <w:rPr>
          <w:rFonts w:hint="eastAsia" w:ascii="宋体" w:hAnsi="宋体" w:eastAsia="宋体" w:cs="宋体"/>
          <w:color w:val="auto"/>
          <w:kern w:val="10"/>
          <w:sz w:val="21"/>
          <w:szCs w:val="21"/>
        </w:rPr>
        <w:t>项目的投标响应和合同实施阶段的有关事务</w:t>
      </w:r>
      <w:r>
        <w:rPr>
          <w:rFonts w:hint="eastAsia" w:ascii="宋体" w:hAnsi="宋体" w:eastAsia="宋体" w:cs="宋体"/>
          <w:color w:val="auto"/>
          <w:kern w:val="0"/>
          <w:sz w:val="21"/>
          <w:szCs w:val="21"/>
        </w:rPr>
        <w:t>订立协议如下</w:t>
      </w:r>
      <w:r>
        <w:rPr>
          <w:rFonts w:hint="eastAsia" w:ascii="宋体" w:hAnsi="宋体" w:eastAsia="宋体" w:cs="宋体"/>
          <w:color w:val="auto"/>
          <w:sz w:val="21"/>
          <w:szCs w:val="21"/>
        </w:rPr>
        <w:t>：</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一、联合体各方关系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u w:val="single"/>
        </w:rPr>
        <w:t>（甲公司全称）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（乙公司全称）</w:t>
      </w:r>
      <w:r>
        <w:rPr>
          <w:rFonts w:hint="eastAsia" w:ascii="宋体" w:hAnsi="宋体" w:eastAsia="宋体" w:cs="宋体"/>
          <w:color w:val="auto"/>
          <w:kern w:val="0"/>
          <w:sz w:val="21"/>
          <w:szCs w:val="21"/>
        </w:rPr>
        <w:t>、</w:t>
      </w:r>
      <w:r>
        <w:rPr>
          <w:rFonts w:hint="eastAsia" w:ascii="宋体" w:hAnsi="宋体" w:eastAsia="宋体" w:cs="宋体"/>
          <w:color w:val="auto"/>
          <w:kern w:val="0"/>
          <w:sz w:val="21"/>
          <w:szCs w:val="21"/>
          <w:u w:val="single"/>
        </w:rPr>
        <w:t>（……公司全称）</w:t>
      </w:r>
      <w:r>
        <w:rPr>
          <w:rFonts w:hint="eastAsia" w:ascii="宋体" w:hAnsi="宋体" w:eastAsia="宋体" w:cs="宋体"/>
          <w:color w:val="auto"/>
          <w:sz w:val="21"/>
          <w:szCs w:val="21"/>
        </w:rPr>
        <w:t>作为联合体成员，若中标、成交，联合体各方共同与采购人签订采购合同。其中</w:t>
      </w:r>
      <w:r>
        <w:rPr>
          <w:rFonts w:hint="eastAsia" w:ascii="宋体" w:hAnsi="宋体" w:eastAsia="宋体" w:cs="宋体"/>
          <w:color w:val="auto"/>
          <w:sz w:val="21"/>
          <w:szCs w:val="21"/>
          <w:u w:val="single"/>
        </w:rPr>
        <w:t xml:space="preserve">（…公司全称）   </w:t>
      </w:r>
      <w:r>
        <w:rPr>
          <w:rFonts w:hint="eastAsia" w:ascii="宋体" w:hAnsi="宋体" w:eastAsia="宋体" w:cs="宋体"/>
          <w:color w:val="auto"/>
          <w:sz w:val="21"/>
          <w:szCs w:val="21"/>
        </w:rPr>
        <w:t>是联合体牵头方，</w:t>
      </w:r>
      <w:r>
        <w:rPr>
          <w:rFonts w:hint="eastAsia" w:ascii="宋体" w:hAnsi="宋体" w:eastAsia="宋体" w:cs="宋体"/>
          <w:color w:val="auto"/>
          <w:sz w:val="21"/>
          <w:szCs w:val="21"/>
          <w:u w:val="single"/>
        </w:rPr>
        <w:t xml:space="preserve">（…公司全称）   </w:t>
      </w:r>
      <w:r>
        <w:rPr>
          <w:rFonts w:hint="eastAsia" w:ascii="宋体" w:hAnsi="宋体" w:eastAsia="宋体" w:cs="宋体"/>
          <w:color w:val="auto"/>
          <w:sz w:val="21"/>
          <w:szCs w:val="21"/>
        </w:rPr>
        <w:t>是联合体其他成员方。</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二、联合体内部有关事项约定如下：</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1.联合体由联合体共同授权人员负责与采购人联系。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2.联合体投标工作由联合体共同负责，由联合体各方组成的响应小组具体实施。</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3.联合体将严格按照文件的各项要求，递交响应文件，切实执行一切合同文件，共同承担合同规定的一切义务和责任，同时按照内部职责的划分，承担自身所负的责任和风险，在法律在承担连带责任。</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4.联合体内部各自按下列分工负责项目工作：</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（甲公司全称）承担本项目</w:t>
      </w:r>
      <w:r>
        <w:rPr>
          <w:rFonts w:hint="eastAsia" w:ascii="宋体" w:hAnsi="宋体" w:eastAsia="宋体" w:cs="宋体"/>
          <w:color w:val="auto"/>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u w:val="single"/>
        </w:rPr>
      </w:pPr>
      <w:r>
        <w:rPr>
          <w:rFonts w:hint="eastAsia" w:ascii="宋体" w:hAnsi="宋体" w:eastAsia="宋体" w:cs="宋体"/>
          <w:color w:val="auto"/>
          <w:sz w:val="21"/>
          <w:szCs w:val="21"/>
        </w:rPr>
        <w:t>（乙公司全称）承担本项目</w:t>
      </w:r>
      <w:r>
        <w:rPr>
          <w:rFonts w:hint="eastAsia" w:ascii="宋体" w:hAnsi="宋体" w:eastAsia="宋体" w:cs="宋体"/>
          <w:color w:val="auto"/>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u w:val="single"/>
        </w:rPr>
      </w:pPr>
      <w:r>
        <w:rPr>
          <w:rFonts w:hint="eastAsia" w:ascii="宋体" w:hAnsi="宋体" w:eastAsia="宋体" w:cs="宋体"/>
          <w:color w:val="auto"/>
          <w:sz w:val="21"/>
          <w:szCs w:val="21"/>
        </w:rPr>
        <w:t>（…公司全称）承担本项目</w:t>
      </w:r>
      <w:r>
        <w:rPr>
          <w:rFonts w:hint="eastAsia" w:ascii="宋体" w:hAnsi="宋体" w:eastAsia="宋体" w:cs="宋体"/>
          <w:color w:val="auto"/>
          <w:sz w:val="21"/>
          <w:szCs w:val="21"/>
          <w:u w:val="single"/>
        </w:rPr>
        <w:t xml:space="preserve">        （填写分工内容）        </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5.联合体成员</w:t>
      </w:r>
      <w:r>
        <w:rPr>
          <w:rFonts w:hint="eastAsia" w:ascii="宋体" w:hAnsi="宋体" w:eastAsia="宋体" w:cs="宋体"/>
          <w:color w:val="auto"/>
          <w:sz w:val="21"/>
          <w:szCs w:val="21"/>
          <w:u w:val="single"/>
        </w:rPr>
        <w:t>　（公司全称）　</w:t>
      </w:r>
      <w:r>
        <w:rPr>
          <w:rFonts w:hint="eastAsia" w:ascii="宋体" w:hAnsi="宋体" w:eastAsia="宋体" w:cs="宋体"/>
          <w:color w:val="auto"/>
          <w:sz w:val="21"/>
          <w:szCs w:val="21"/>
        </w:rPr>
        <w:t>为</w:t>
      </w:r>
      <w:r>
        <w:rPr>
          <w:rFonts w:hint="eastAsia" w:ascii="宋体" w:hAnsi="宋体" w:eastAsia="宋体" w:cs="宋体"/>
          <w:color w:val="auto"/>
          <w:sz w:val="21"/>
          <w:szCs w:val="21"/>
          <w:u w:val="single"/>
        </w:rPr>
        <w:t>（请填写：小型、微型）</w:t>
      </w:r>
      <w:r>
        <w:rPr>
          <w:rFonts w:hint="eastAsia" w:ascii="宋体" w:hAnsi="宋体" w:eastAsia="宋体" w:cs="宋体"/>
          <w:color w:val="auto"/>
          <w:sz w:val="21"/>
          <w:szCs w:val="21"/>
        </w:rPr>
        <w:t>企业，将承担合同总金额</w:t>
      </w:r>
      <w:r>
        <w:rPr>
          <w:rFonts w:hint="eastAsia" w:ascii="宋体" w:hAnsi="宋体" w:eastAsia="宋体" w:cs="宋体"/>
          <w:color w:val="auto"/>
          <w:sz w:val="21"/>
          <w:szCs w:val="21"/>
          <w:u w:val="single"/>
        </w:rPr>
        <w:t>　　</w:t>
      </w:r>
      <w:r>
        <w:rPr>
          <w:rFonts w:hint="eastAsia" w:ascii="宋体" w:hAnsi="宋体" w:eastAsia="宋体" w:cs="宋体"/>
          <w:color w:val="auto"/>
          <w:sz w:val="21"/>
          <w:szCs w:val="21"/>
        </w:rPr>
        <w:t>%的工作内容（联合体成员中有小型、微型企业时适用）。</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三、联合体各方不得再以自己名义参与本项目响应，联合体各方不能作为其它联合体或单独响应单位的项目组成员参加本项目响应。因发生上述问题导致联合体响应成为无效报价，联合体的其他成员可追究其违约责任和经济损失。</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四、联合体如因违约过失责任而导致采购人经济损失或被索赔时，本联合体任何一方均同意无条件优先清偿采购人的一切债务和经济赔偿。</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sz w:val="21"/>
          <w:szCs w:val="21"/>
        </w:rPr>
      </w:pPr>
      <w:r>
        <w:rPr>
          <w:rFonts w:hint="eastAsia" w:ascii="宋体" w:hAnsi="宋体" w:eastAsia="宋体" w:cs="宋体"/>
          <w:color w:val="auto"/>
          <w:kern w:val="0"/>
          <w:sz w:val="21"/>
          <w:szCs w:val="21"/>
        </w:rPr>
        <w:t>五、</w:t>
      </w:r>
      <w:r>
        <w:rPr>
          <w:rFonts w:hint="eastAsia" w:ascii="宋体" w:hAnsi="宋体" w:eastAsia="宋体" w:cs="宋体"/>
          <w:color w:val="auto"/>
          <w:sz w:val="21"/>
          <w:szCs w:val="21"/>
        </w:rPr>
        <w:t>本协议在自签署之日起生效，响应有效期内有效。如获中标、成交资格，本协议有效期延续至采购合同履行完毕之日。</w:t>
      </w:r>
    </w:p>
    <w:p>
      <w:pPr>
        <w:keepNext w:val="0"/>
        <w:keepLines w:val="0"/>
        <w:pageBreakBefore w:val="0"/>
        <w:widowControl/>
        <w:kinsoku/>
        <w:wordWrap/>
        <w:overflowPunct/>
        <w:topLinePunct w:val="0"/>
        <w:autoSpaceDE/>
        <w:autoSpaceDN/>
        <w:bidi w:val="0"/>
        <w:adjustRightInd w:val="0"/>
        <w:snapToGrid w:val="0"/>
        <w:spacing w:after="0" w:line="360" w:lineRule="auto"/>
        <w:ind w:left="0" w:leftChars="0" w:firstLine="420" w:firstLineChars="200"/>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六、本协议书一式</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份，随响应文件装订</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份，联合体成员各</w:t>
      </w:r>
      <w:r>
        <w:rPr>
          <w:rFonts w:hint="eastAsia" w:ascii="宋体" w:hAnsi="宋体" w:eastAsia="宋体" w:cs="宋体"/>
          <w:color w:val="auto"/>
          <w:kern w:val="0"/>
          <w:sz w:val="21"/>
          <w:szCs w:val="21"/>
          <w:u w:val="single"/>
        </w:rPr>
        <w:t xml:space="preserve">    </w:t>
      </w:r>
      <w:r>
        <w:rPr>
          <w:rFonts w:hint="eastAsia" w:ascii="宋体" w:hAnsi="宋体" w:eastAsia="宋体" w:cs="宋体"/>
          <w:color w:val="auto"/>
          <w:kern w:val="0"/>
          <w:sz w:val="21"/>
          <w:szCs w:val="21"/>
        </w:rPr>
        <w:t>份。</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 xml:space="preserve">甲公司全称：（盖章） </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乙公司全称：（盖章）</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……公司全称（盖章）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法定代表人：（签字或</w:t>
      </w:r>
      <w:r>
        <w:rPr>
          <w:rFonts w:hint="eastAsia" w:ascii="宋体" w:hAnsi="宋体" w:eastAsia="宋体" w:cs="宋体"/>
          <w:color w:val="auto"/>
          <w:sz w:val="21"/>
          <w:szCs w:val="21"/>
        </w:rPr>
        <w:t>盖章</w:t>
      </w:r>
      <w:r>
        <w:rPr>
          <w:rFonts w:hint="eastAsia" w:ascii="宋体" w:hAnsi="宋体" w:eastAsia="宋体" w:cs="宋体"/>
          <w:color w:val="auto"/>
          <w:kern w:val="0"/>
          <w:sz w:val="21"/>
          <w:szCs w:val="21"/>
        </w:rPr>
        <w:t>）法定代表人（签字或</w:t>
      </w:r>
      <w:r>
        <w:rPr>
          <w:rFonts w:hint="eastAsia" w:ascii="宋体" w:hAnsi="宋体" w:eastAsia="宋体" w:cs="宋体"/>
          <w:color w:val="auto"/>
          <w:sz w:val="21"/>
          <w:szCs w:val="21"/>
        </w:rPr>
        <w:t>盖章</w:t>
      </w:r>
      <w:r>
        <w:rPr>
          <w:rFonts w:hint="eastAsia" w:ascii="宋体" w:hAnsi="宋体" w:eastAsia="宋体" w:cs="宋体"/>
          <w:color w:val="auto"/>
          <w:kern w:val="0"/>
          <w:sz w:val="21"/>
          <w:szCs w:val="21"/>
        </w:rPr>
        <w:t>）法定代表人（签字或</w:t>
      </w:r>
      <w:r>
        <w:rPr>
          <w:rFonts w:hint="eastAsia" w:ascii="宋体" w:hAnsi="宋体" w:eastAsia="宋体" w:cs="宋体"/>
          <w:color w:val="auto"/>
          <w:sz w:val="21"/>
          <w:szCs w:val="21"/>
        </w:rPr>
        <w:t>盖</w:t>
      </w:r>
      <w:r>
        <w:rPr>
          <w:rFonts w:hint="eastAsia" w:ascii="宋体" w:hAnsi="宋体" w:cs="宋体"/>
          <w:color w:val="auto"/>
          <w:sz w:val="21"/>
          <w:szCs w:val="21"/>
          <w:lang w:val="en-US" w:eastAsia="zh-CN"/>
        </w:rPr>
        <w:t>章）</w:t>
      </w:r>
    </w:p>
    <w:p>
      <w:pPr>
        <w:keepNext w:val="0"/>
        <w:keepLines w:val="0"/>
        <w:pageBreakBefore w:val="0"/>
        <w:widowControl/>
        <w:tabs>
          <w:tab w:val="left" w:pos="2977"/>
          <w:tab w:val="left" w:pos="5954"/>
        </w:tabs>
        <w:kinsoku/>
        <w:wordWrap/>
        <w:overflowPunct/>
        <w:topLinePunct w:val="0"/>
        <w:autoSpaceDE/>
        <w:autoSpaceDN/>
        <w:bidi w:val="0"/>
        <w:adjustRightInd w:val="0"/>
        <w:snapToGrid w:val="0"/>
        <w:spacing w:after="0" w:line="360" w:lineRule="auto"/>
        <w:ind w:left="0" w:leftChars="0" w:firstLine="420" w:firstLineChars="200"/>
        <w:jc w:val="left"/>
        <w:textAlignment w:val="auto"/>
        <w:rPr>
          <w:rFonts w:hint="eastAsia" w:ascii="宋体" w:hAnsi="宋体" w:eastAsia="宋体" w:cs="宋体"/>
          <w:color w:val="auto"/>
          <w:kern w:val="0"/>
          <w:sz w:val="21"/>
          <w:szCs w:val="21"/>
        </w:rPr>
      </w:pPr>
      <w:r>
        <w:rPr>
          <w:rFonts w:hint="eastAsia" w:ascii="宋体" w:hAnsi="宋体" w:eastAsia="宋体" w:cs="宋体"/>
          <w:color w:val="auto"/>
          <w:kern w:val="0"/>
          <w:sz w:val="21"/>
          <w:szCs w:val="21"/>
        </w:rPr>
        <w:t>年　　月　　日</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　　年　　月　　日</w:t>
      </w:r>
      <w:r>
        <w:rPr>
          <w:rFonts w:hint="eastAsia" w:ascii="宋体" w:hAnsi="宋体" w:eastAsia="宋体" w:cs="宋体"/>
          <w:color w:val="auto"/>
          <w:kern w:val="0"/>
          <w:sz w:val="21"/>
          <w:szCs w:val="21"/>
        </w:rPr>
        <w:tab/>
      </w:r>
      <w:r>
        <w:rPr>
          <w:rFonts w:hint="eastAsia" w:ascii="宋体" w:hAnsi="宋体" w:eastAsia="宋体" w:cs="宋体"/>
          <w:color w:val="auto"/>
          <w:kern w:val="0"/>
          <w:sz w:val="21"/>
          <w:szCs w:val="21"/>
        </w:rPr>
        <w:t>　　年　　月　　日</w:t>
      </w:r>
    </w:p>
    <w:bookmarkEnd w:id="318"/>
    <w:p>
      <w:pPr>
        <w:pStyle w:val="7"/>
        <w:ind w:left="0" w:leftChars="0" w:firstLine="0" w:firstLineChars="0"/>
        <w:rPr>
          <w:color w:val="auto"/>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w:t>质疑函格式（如有需要）</w:t>
      </w: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质疑函</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val="en-US" w:eastAsia="zh-CN"/>
        </w:rPr>
        <w:t>致广东政通招标有限公司</w:t>
      </w: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一、质疑供应商基本信息</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质疑供应商：</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地址：</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联系人：</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授权代表：</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地址： </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邮编：</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二、质疑项目基本情况</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质疑项目的名称：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质疑项目的编号：</w:t>
      </w:r>
      <w:r>
        <w:rPr>
          <w:rFonts w:hint="eastAsia" w:ascii="宋体" w:hAnsi="宋体" w:eastAsia="宋体" w:cs="宋体"/>
          <w:color w:val="auto"/>
          <w:sz w:val="21"/>
          <w:szCs w:val="21"/>
          <w:highlight w:val="none"/>
          <w:u w:val="dotted"/>
        </w:rPr>
        <w:t xml:space="preserve">                </w:t>
      </w:r>
      <w:r>
        <w:rPr>
          <w:rFonts w:hint="eastAsia" w:ascii="宋体" w:hAnsi="宋体" w:eastAsia="宋体" w:cs="宋体"/>
          <w:color w:val="auto"/>
          <w:sz w:val="21"/>
          <w:szCs w:val="21"/>
          <w:highlight w:val="none"/>
        </w:rPr>
        <w:t>包号：</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采购人名称：</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采购文件获取日期：</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三、质疑事项具体内容</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质疑事项1：</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事实依据：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法律依据：</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质疑事项2</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bCs/>
          <w:color w:val="auto"/>
          <w:sz w:val="21"/>
          <w:szCs w:val="21"/>
          <w:highlight w:val="none"/>
        </w:rPr>
      </w:pPr>
      <w:r>
        <w:rPr>
          <w:rFonts w:hint="eastAsia" w:ascii="宋体" w:hAnsi="宋体" w:eastAsia="宋体" w:cs="宋体"/>
          <w:bCs/>
          <w:color w:val="auto"/>
          <w:sz w:val="21"/>
          <w:szCs w:val="21"/>
          <w:highlight w:val="none"/>
        </w:rPr>
        <w:t>四、与质疑事项相关的质疑请求</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u w:val="dotted"/>
        </w:rPr>
      </w:pPr>
      <w:r>
        <w:rPr>
          <w:rFonts w:hint="eastAsia" w:ascii="宋体" w:hAnsi="宋体" w:eastAsia="宋体" w:cs="宋体"/>
          <w:color w:val="auto"/>
          <w:sz w:val="21"/>
          <w:szCs w:val="21"/>
          <w:highlight w:val="none"/>
        </w:rPr>
        <w:t>请求：</w:t>
      </w:r>
      <w:r>
        <w:rPr>
          <w:rFonts w:hint="eastAsia" w:ascii="宋体" w:hAnsi="宋体" w:eastAsia="宋体" w:cs="宋体"/>
          <w:color w:val="auto"/>
          <w:sz w:val="21"/>
          <w:szCs w:val="21"/>
          <w:highlight w:val="none"/>
          <w:u w:val="dotted"/>
        </w:rPr>
        <w:t xml:space="preserve">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签字(签章)：                   公章：                      </w:t>
      </w:r>
    </w:p>
    <w:p>
      <w:pPr>
        <w:keepNext w:val="0"/>
        <w:keepLines w:val="0"/>
        <w:pageBreakBefore w:val="0"/>
        <w:widowControl/>
        <w:kinsoku/>
        <w:wordWrap/>
        <w:overflowPunct/>
        <w:topLinePunct w:val="0"/>
        <w:autoSpaceDE/>
        <w:autoSpaceDN/>
        <w:bidi w:val="0"/>
        <w:adjustRightInd w:val="0"/>
        <w:snapToGrid w:val="0"/>
        <w:spacing w:after="0" w:line="360" w:lineRule="auto"/>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日期：</w:t>
      </w:r>
    </w:p>
    <w:p>
      <w:pPr>
        <w:spacing w:after="0" w:line="360" w:lineRule="auto"/>
        <w:rPr>
          <w:rFonts w:hint="eastAsia" w:ascii="宋体" w:hAnsi="宋体" w:eastAsia="宋体" w:cs="宋体"/>
          <w:color w:val="auto"/>
          <w:sz w:val="21"/>
          <w:szCs w:val="21"/>
        </w:rPr>
      </w:pPr>
      <w:r>
        <w:rPr>
          <w:rFonts w:hint="eastAsia" w:ascii="宋体" w:hAnsi="宋体" w:eastAsia="宋体" w:cs="宋体"/>
          <w:color w:val="auto"/>
          <w:sz w:val="21"/>
          <w:szCs w:val="21"/>
        </w:rPr>
        <w:t xml:space="preserve">   </w:t>
      </w:r>
    </w:p>
    <w:p>
      <w:pPr>
        <w:pStyle w:val="7"/>
        <w:rPr>
          <w:rFonts w:hint="eastAsia" w:ascii="宋体" w:hAnsi="宋体" w:eastAsia="宋体" w:cs="宋体"/>
          <w:color w:val="auto"/>
          <w:sz w:val="21"/>
          <w:szCs w:val="21"/>
        </w:rPr>
      </w:pPr>
    </w:p>
    <w:p>
      <w:pPr>
        <w:rPr>
          <w:rFonts w:hint="eastAsia" w:ascii="宋体" w:hAnsi="宋体" w:eastAsia="宋体" w:cs="宋体"/>
          <w:color w:val="auto"/>
          <w:sz w:val="21"/>
          <w:szCs w:val="21"/>
        </w:rPr>
      </w:pPr>
    </w:p>
    <w:p>
      <w:pPr>
        <w:pStyle w:val="7"/>
        <w:rPr>
          <w:color w:val="auto"/>
        </w:rPr>
      </w:pP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质疑函制作说明：</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1.供应商提出质疑时，应提交质疑函和必要的证明材料。</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3.质疑供应商若对项目的某一分包进行质疑，质疑函中应列明具体分包号。</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4.质疑函的质疑事项应具体、明确，并有必要的事实依据和法律依据。</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5.质疑函的质疑请求应与质疑事项相关。</w:t>
      </w:r>
    </w:p>
    <w:p>
      <w:pPr>
        <w:spacing w:after="0" w:line="360" w:lineRule="auto"/>
        <w:rPr>
          <w:rFonts w:ascii="宋体" w:hAnsi="宋体" w:eastAsia="宋体" w:cs="宋体"/>
          <w:color w:val="auto"/>
          <w:sz w:val="21"/>
          <w:szCs w:val="21"/>
        </w:rPr>
      </w:pPr>
      <w:r>
        <w:rPr>
          <w:rFonts w:hint="eastAsia" w:ascii="宋体" w:hAnsi="宋体" w:eastAsia="宋体" w:cs="宋体"/>
          <w:color w:val="auto"/>
          <w:sz w:val="21"/>
          <w:szCs w:val="21"/>
        </w:rPr>
        <w:t>6.质疑供应商为自然人的，质疑函应由本人签字；质疑供应商为法人或者其他组织的，质疑函应由法定代表人、主要负责人，或者其授权代表签字或者盖章，并加盖公章。</w:t>
      </w:r>
    </w:p>
    <w:p>
      <w:pPr>
        <w:pStyle w:val="7"/>
        <w:rPr>
          <w:color w:val="auto"/>
        </w:rPr>
      </w:pPr>
    </w:p>
    <w:p>
      <w:pPr>
        <w:spacing w:after="0" w:line="360" w:lineRule="auto"/>
        <w:rPr>
          <w:color w:val="auto"/>
        </w:rPr>
      </w:pPr>
    </w:p>
    <w:p>
      <w:pPr>
        <w:pStyle w:val="7"/>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pStyle w:val="8"/>
        <w:rPr>
          <w:color w:val="auto"/>
        </w:rPr>
      </w:pPr>
    </w:p>
    <w:p>
      <w:pPr>
        <w:spacing w:after="0"/>
        <w:jc w:val="both"/>
        <w:rPr>
          <w:rFonts w:hint="eastAsia" w:ascii="黑体" w:hAnsi="黑体" w:eastAsia="黑体" w:cs="黑体"/>
          <w:color w:val="auto"/>
          <w:sz w:val="36"/>
          <w:szCs w:val="36"/>
        </w:rPr>
      </w:pPr>
    </w:p>
    <w:p>
      <w:pPr>
        <w:keepNext w:val="0"/>
        <w:keepLines w:val="0"/>
        <w:pageBreakBefore w:val="0"/>
        <w:widowControl/>
        <w:kinsoku/>
        <w:wordWrap/>
        <w:overflowPunct/>
        <w:topLinePunct w:val="0"/>
        <w:autoSpaceDE/>
        <w:autoSpaceDN/>
        <w:bidi w:val="0"/>
        <w:adjustRightInd w:val="0"/>
        <w:snapToGrid w:val="0"/>
        <w:spacing w:after="0" w:line="360" w:lineRule="auto"/>
        <w:jc w:val="center"/>
        <w:textAlignment w:val="auto"/>
        <w:rPr>
          <w:rFonts w:hint="eastAsia" w:ascii="黑体" w:hAnsi="黑体" w:eastAsia="黑体" w:cs="黑体"/>
          <w:color w:val="auto"/>
          <w:sz w:val="52"/>
          <w:szCs w:val="52"/>
        </w:rPr>
      </w:pPr>
      <w:r>
        <w:rPr>
          <w:rFonts w:hint="eastAsia" w:ascii="黑体" w:hAnsi="黑体" w:eastAsia="黑体" w:cs="黑体"/>
          <w:color w:val="auto"/>
          <w:sz w:val="52"/>
          <w:szCs w:val="52"/>
        </w:rPr>
        <w:t>获取</w:t>
      </w:r>
      <w:r>
        <w:rPr>
          <w:rFonts w:hint="eastAsia" w:ascii="黑体" w:hAnsi="黑体" w:eastAsia="黑体" w:cs="黑体"/>
          <w:color w:val="auto"/>
          <w:sz w:val="52"/>
          <w:szCs w:val="52"/>
          <w:lang w:eastAsia="zh-CN"/>
        </w:rPr>
        <w:t>招标文件</w:t>
      </w:r>
      <w:r>
        <w:rPr>
          <w:rFonts w:hint="eastAsia" w:ascii="黑体" w:hAnsi="黑体" w:eastAsia="黑体" w:cs="黑体"/>
          <w:color w:val="auto"/>
          <w:sz w:val="52"/>
          <w:szCs w:val="52"/>
        </w:rPr>
        <w:t>登记表</w:t>
      </w:r>
    </w:p>
    <w:tbl>
      <w:tblPr>
        <w:tblStyle w:val="23"/>
        <w:tblW w:w="4998" w:type="pct"/>
        <w:tblInd w:w="0" w:type="dxa"/>
        <w:shd w:val="clear" w:color="auto" w:fill="auto"/>
        <w:tblLayout w:type="fixed"/>
        <w:tblCellMar>
          <w:top w:w="0" w:type="dxa"/>
          <w:left w:w="108" w:type="dxa"/>
          <w:bottom w:w="0" w:type="dxa"/>
          <w:right w:w="108" w:type="dxa"/>
        </w:tblCellMar>
      </w:tblPr>
      <w:tblGrid>
        <w:gridCol w:w="2769"/>
        <w:gridCol w:w="2355"/>
        <w:gridCol w:w="1016"/>
        <w:gridCol w:w="2379"/>
      </w:tblGrid>
      <w:tr>
        <w:tblPrEx>
          <w:tblCellMar>
            <w:top w:w="0" w:type="dxa"/>
            <w:left w:w="108" w:type="dxa"/>
            <w:bottom w:w="0" w:type="dxa"/>
            <w:right w:w="108" w:type="dxa"/>
          </w:tblCellMar>
        </w:tblPrEx>
        <w:trPr>
          <w:trHeight w:val="120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拟报名项目名称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103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项目编号</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包号</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136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供应商全称</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供应商联系人</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电话</w:t>
            </w:r>
          </w:p>
        </w:tc>
        <w:tc>
          <w:tcPr>
            <w:tcW w:w="1382"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c>
          <w:tcPr>
            <w:tcW w:w="5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手机</w:t>
            </w:r>
          </w:p>
        </w:tc>
        <w:tc>
          <w:tcPr>
            <w:tcW w:w="1396"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电子邮箱</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kinsoku/>
              <w:wordWrap/>
              <w:overflowPunct/>
              <w:topLinePunct w:val="0"/>
              <w:autoSpaceDE/>
              <w:autoSpaceDN/>
              <w:bidi w:val="0"/>
              <w:adjustRightInd w:val="0"/>
              <w:snapToGrid w:val="0"/>
              <w:spacing w:after="0" w:line="360" w:lineRule="auto"/>
              <w:jc w:val="center"/>
              <w:rPr>
                <w:rFonts w:hint="eastAsia" w:ascii="宋体" w:hAnsi="宋体" w:eastAsia="宋体" w:cs="宋体"/>
                <w:i w:val="0"/>
                <w:iCs w:val="0"/>
                <w:color w:val="auto"/>
                <w:sz w:val="28"/>
                <w:szCs w:val="28"/>
                <w:u w:val="none"/>
              </w:rPr>
            </w:pPr>
          </w:p>
        </w:tc>
      </w:tr>
      <w:tr>
        <w:tblPrEx>
          <w:shd w:val="clear" w:color="auto" w:fill="auto"/>
          <w:tblCellMar>
            <w:top w:w="0" w:type="dxa"/>
            <w:left w:w="108" w:type="dxa"/>
            <w:bottom w:w="0" w:type="dxa"/>
            <w:right w:w="108" w:type="dxa"/>
          </w:tblCellMar>
        </w:tblPrEx>
        <w:trPr>
          <w:trHeight w:val="850"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获取招标文件时间</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年    月    日    时    分</w:t>
            </w:r>
          </w:p>
        </w:tc>
      </w:tr>
      <w:tr>
        <w:tblPrEx>
          <w:shd w:val="clear" w:color="auto" w:fill="auto"/>
          <w:tblCellMar>
            <w:top w:w="0" w:type="dxa"/>
            <w:left w:w="108" w:type="dxa"/>
            <w:bottom w:w="0" w:type="dxa"/>
            <w:right w:w="108" w:type="dxa"/>
          </w:tblCellMar>
        </w:tblPrEx>
        <w:trPr>
          <w:trHeight w:val="850" w:hRule="atLeast"/>
        </w:trPr>
        <w:tc>
          <w:tcPr>
            <w:tcW w:w="5000" w:type="pct"/>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承诺:</w:t>
            </w:r>
          </w:p>
          <w:p>
            <w:pPr>
              <w:keepNext w:val="0"/>
              <w:keepLines w:val="0"/>
              <w:pageBreakBefore w:val="0"/>
              <w:widowControl/>
              <w:numPr>
                <w:ilvl w:val="0"/>
                <w:numId w:val="16"/>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本公司对招标文件的内容已经了解，并自愿购买该招标文件。</w:t>
            </w:r>
          </w:p>
          <w:p>
            <w:pPr>
              <w:keepNext w:val="0"/>
              <w:keepLines w:val="0"/>
              <w:pageBreakBefore w:val="0"/>
              <w:widowControl/>
              <w:numPr>
                <w:ilvl w:val="0"/>
                <w:numId w:val="16"/>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本公司对提供的所有资料的真实性、有效性承担责任。</w:t>
            </w:r>
          </w:p>
          <w:p>
            <w:pPr>
              <w:keepNext w:val="0"/>
              <w:keepLines w:val="0"/>
              <w:pageBreakBefore w:val="0"/>
              <w:widowControl/>
              <w:numPr>
                <w:ilvl w:val="0"/>
                <w:numId w:val="16"/>
              </w:numPr>
              <w:suppressLineNumbers w:val="0"/>
              <w:kinsoku/>
              <w:wordWrap/>
              <w:overflowPunct/>
              <w:topLinePunct w:val="0"/>
              <w:autoSpaceDE/>
              <w:autoSpaceDN/>
              <w:bidi w:val="0"/>
              <w:adjustRightInd w:val="0"/>
              <w:snapToGrid w:val="0"/>
              <w:spacing w:after="0" w:line="360" w:lineRule="auto"/>
              <w:ind w:firstLine="560" w:firstLineChars="200"/>
              <w:jc w:val="left"/>
              <w:textAlignment w:val="center"/>
              <w:rPr>
                <w:rFonts w:hint="eastAsia"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招标文件售后不退。</w:t>
            </w:r>
          </w:p>
          <w:p>
            <w:pPr>
              <w:keepNext w:val="0"/>
              <w:keepLines w:val="0"/>
              <w:pageBreakBefore w:val="0"/>
              <w:widowControl/>
              <w:numPr>
                <w:ilvl w:val="0"/>
                <w:numId w:val="0"/>
              </w:numPr>
              <w:suppressLineNumbers w:val="0"/>
              <w:kinsoku/>
              <w:wordWrap/>
              <w:overflowPunct/>
              <w:topLinePunct w:val="0"/>
              <w:autoSpaceDE/>
              <w:autoSpaceDN/>
              <w:bidi w:val="0"/>
              <w:adjustRightInd w:val="0"/>
              <w:snapToGrid w:val="0"/>
              <w:spacing w:after="0" w:line="360" w:lineRule="auto"/>
              <w:ind w:left="0" w:leftChars="0" w:firstLine="3738" w:firstLineChars="1335"/>
              <w:jc w:val="both"/>
              <w:textAlignment w:val="center"/>
              <w:rPr>
                <w:rFonts w:hint="default" w:ascii="宋体" w:hAnsi="宋体" w:eastAsia="宋体" w:cs="宋体"/>
                <w:i w:val="0"/>
                <w:iCs w:val="0"/>
                <w:color w:val="auto"/>
                <w:kern w:val="0"/>
                <w:sz w:val="28"/>
                <w:szCs w:val="28"/>
                <w:u w:val="none"/>
                <w:lang w:val="en-US" w:eastAsia="zh-CN" w:bidi="ar"/>
              </w:rPr>
            </w:pPr>
            <w:r>
              <w:rPr>
                <w:rFonts w:hint="eastAsia" w:ascii="宋体" w:hAnsi="宋体" w:eastAsia="宋体" w:cs="宋体"/>
                <w:i w:val="0"/>
                <w:iCs w:val="0"/>
                <w:color w:val="auto"/>
                <w:kern w:val="0"/>
                <w:sz w:val="28"/>
                <w:szCs w:val="28"/>
                <w:u w:val="none"/>
                <w:lang w:val="en-US" w:eastAsia="zh-CN" w:bidi="ar"/>
              </w:rPr>
              <w:t xml:space="preserve">招标文件领取人签名: </w:t>
            </w:r>
            <w:r>
              <w:rPr>
                <w:rFonts w:hint="eastAsia" w:ascii="宋体" w:hAnsi="宋体" w:eastAsia="宋体" w:cs="宋体"/>
                <w:i w:val="0"/>
                <w:iCs w:val="0"/>
                <w:color w:val="auto"/>
                <w:kern w:val="0"/>
                <w:sz w:val="28"/>
                <w:szCs w:val="28"/>
                <w:u w:val="single"/>
                <w:lang w:val="en-US" w:eastAsia="zh-CN" w:bidi="ar"/>
              </w:rPr>
              <w:t xml:space="preserve">     </w:t>
            </w:r>
            <w:r>
              <w:rPr>
                <w:rFonts w:hint="eastAsia" w:ascii="宋体" w:hAnsi="宋体" w:eastAsia="宋体" w:cs="宋体"/>
                <w:i w:val="0"/>
                <w:iCs w:val="0"/>
                <w:color w:val="auto"/>
                <w:kern w:val="0"/>
                <w:sz w:val="28"/>
                <w:szCs w:val="28"/>
                <w:u w:val="none"/>
                <w:vertAlign w:val="subscript"/>
                <w:lang w:val="en-US" w:eastAsia="zh-CN" w:bidi="ar"/>
              </w:rPr>
              <w:t xml:space="preserve"> </w:t>
            </w:r>
            <w:r>
              <w:rPr>
                <w:rFonts w:hint="eastAsia" w:ascii="宋体" w:hAnsi="宋体" w:eastAsia="宋体" w:cs="宋体"/>
                <w:i w:val="0"/>
                <w:iCs w:val="0"/>
                <w:color w:val="auto"/>
                <w:kern w:val="0"/>
                <w:sz w:val="28"/>
                <w:szCs w:val="28"/>
                <w:u w:val="none"/>
                <w:lang w:val="en-US" w:eastAsia="zh-CN" w:bidi="ar"/>
              </w:rPr>
              <w:t xml:space="preserve">              </w:t>
            </w:r>
            <w:r>
              <w:rPr>
                <w:rFonts w:hint="eastAsia" w:ascii="宋体" w:hAnsi="宋体" w:eastAsia="宋体" w:cs="宋体"/>
                <w:i w:val="0"/>
                <w:iCs w:val="0"/>
                <w:color w:val="auto"/>
                <w:kern w:val="0"/>
                <w:sz w:val="28"/>
                <w:szCs w:val="28"/>
                <w:u w:val="single"/>
                <w:lang w:val="en-US" w:eastAsia="zh-CN" w:bidi="ar"/>
              </w:rPr>
              <w:t xml:space="preserve">                </w:t>
            </w:r>
          </w:p>
        </w:tc>
      </w:tr>
      <w:tr>
        <w:tblPrEx>
          <w:shd w:val="clear" w:color="auto" w:fill="auto"/>
          <w:tblCellMar>
            <w:top w:w="0" w:type="dxa"/>
            <w:left w:w="108" w:type="dxa"/>
            <w:bottom w:w="0" w:type="dxa"/>
            <w:right w:w="108" w:type="dxa"/>
          </w:tblCellMar>
        </w:tblPrEx>
        <w:trPr>
          <w:trHeight w:val="825" w:hRule="atLeast"/>
        </w:trPr>
        <w:tc>
          <w:tcPr>
            <w:tcW w:w="1625" w:type="pc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招标文件售价</w:t>
            </w:r>
          </w:p>
        </w:tc>
        <w:tc>
          <w:tcPr>
            <w:tcW w:w="3374" w:type="pct"/>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kinsoku/>
              <w:wordWrap/>
              <w:overflowPunct/>
              <w:topLinePunct w:val="0"/>
              <w:autoSpaceDE/>
              <w:autoSpaceDN/>
              <w:bidi w:val="0"/>
              <w:adjustRightInd w:val="0"/>
              <w:snapToGrid w:val="0"/>
              <w:spacing w:after="0" w:line="360" w:lineRule="auto"/>
              <w:jc w:val="center"/>
              <w:textAlignment w:val="center"/>
              <w:rPr>
                <w:rFonts w:hint="eastAsia" w:ascii="宋体" w:hAnsi="宋体" w:eastAsia="宋体" w:cs="宋体"/>
                <w:i w:val="0"/>
                <w:iCs w:val="0"/>
                <w:color w:val="auto"/>
                <w:sz w:val="28"/>
                <w:szCs w:val="28"/>
                <w:u w:val="none"/>
              </w:rPr>
            </w:pPr>
            <w:r>
              <w:rPr>
                <w:rFonts w:hint="eastAsia" w:ascii="宋体" w:hAnsi="宋体" w:eastAsia="宋体" w:cs="宋体"/>
                <w:i w:val="0"/>
                <w:iCs w:val="0"/>
                <w:color w:val="auto"/>
                <w:kern w:val="0"/>
                <w:sz w:val="28"/>
                <w:szCs w:val="28"/>
                <w:u w:val="none"/>
                <w:lang w:val="en-US" w:eastAsia="zh-CN" w:bidi="ar"/>
              </w:rPr>
              <w:t>人民币</w:t>
            </w:r>
            <w:r>
              <w:rPr>
                <w:rFonts w:hint="eastAsia" w:ascii="宋体" w:hAnsi="宋体" w:cs="宋体"/>
                <w:i w:val="0"/>
                <w:iCs w:val="0"/>
                <w:color w:val="auto"/>
                <w:kern w:val="0"/>
                <w:sz w:val="28"/>
                <w:szCs w:val="28"/>
                <w:u w:val="none"/>
                <w:lang w:val="en-US" w:eastAsia="zh-CN" w:bidi="ar"/>
              </w:rPr>
              <w:t>200</w:t>
            </w:r>
            <w:r>
              <w:rPr>
                <w:rFonts w:hint="eastAsia" w:ascii="宋体" w:hAnsi="宋体" w:eastAsia="宋体" w:cs="宋体"/>
                <w:i w:val="0"/>
                <w:iCs w:val="0"/>
                <w:color w:val="auto"/>
                <w:kern w:val="0"/>
                <w:sz w:val="28"/>
                <w:szCs w:val="28"/>
                <w:u w:val="none"/>
                <w:lang w:val="en-US" w:eastAsia="zh-CN" w:bidi="ar"/>
              </w:rPr>
              <w:t>元/份</w:t>
            </w:r>
          </w:p>
        </w:tc>
      </w:tr>
    </w:tbl>
    <w:p>
      <w:pPr>
        <w:pStyle w:val="8"/>
        <w:ind w:left="0" w:leftChars="0" w:firstLine="0" w:firstLineChars="0"/>
        <w:rPr>
          <w:color w:val="auto"/>
        </w:rPr>
      </w:pPr>
    </w:p>
    <w:sectPr>
      <w:type w:val="continuous"/>
      <w:pgSz w:w="11906" w:h="16838"/>
      <w:pgMar w:top="1440" w:right="1800" w:bottom="1440" w:left="1800" w:header="708" w:footer="708" w:gutter="0"/>
      <w:pgBorders>
        <w:top w:val="none" w:sz="0" w:space="0"/>
        <w:left w:val="none" w:sz="0" w:space="0"/>
        <w:bottom w:val="none" w:sz="0" w:space="0"/>
        <w:right w:val="none" w:sz="0" w:space="0"/>
      </w:pgBorders>
      <w:pgNumType w:fmt="decimal"/>
      <w:cols w:space="708" w:num="1"/>
      <w:titlePg/>
      <w:docGrid w:type="lines"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Cambria">
    <w:panose1 w:val="02040503050406030204"/>
    <w:charset w:val="00"/>
    <w:family w:val="roman"/>
    <w:pitch w:val="default"/>
    <w:sig w:usb0="E00006FF" w:usb1="420024FF" w:usb2="0200000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华康简标题宋">
    <w:altName w:val="黑体"/>
    <w:panose1 w:val="00000000000000000000"/>
    <w:charset w:val="86"/>
    <w:family w:val="modern"/>
    <w:pitch w:val="default"/>
    <w:sig w:usb0="00000000" w:usb1="00000000" w:usb2="00000010" w:usb3="00000000" w:csb0="00040000" w:csb1="00000000"/>
  </w:font>
  <w:font w:name="ˎ̥">
    <w:altName w:val="Times New Roman"/>
    <w:panose1 w:val="00000000000000000000"/>
    <w:charset w:val="00"/>
    <w:family w:val="roman"/>
    <w:pitch w:val="default"/>
    <w:sig w:usb0="00000000" w:usb1="00000000" w:usb2="00000000" w:usb3="00000000" w:csb0="00040001" w:csb1="00000000"/>
  </w:font>
  <w:font w:name="新宋体">
    <w:panose1 w:val="02010609030101010101"/>
    <w:charset w:val="86"/>
    <w:family w:val="modern"/>
    <w:pitch w:val="default"/>
    <w:sig w:usb0="00000283" w:usb1="288F0000" w:usb2="0000000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tabs>
        <w:tab w:val="left" w:pos="4847"/>
        <w:tab w:val="clear" w:pos="4153"/>
      </w:tabs>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pPr>
                      <w:pStyle w:val="14"/>
                      <w:rPr>
                        <w:rFonts w:hint="eastAsia" w:eastAsia="宋体"/>
                        <w:lang w:eastAsia="zh-CN"/>
                      </w:rPr>
                    </w:pP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N7/ldIBAACnAwAADgAAAGRycy9lMm9Eb2MueG1srVNNjtMwFN4jcQfL&#10;e5o00oxK1HQEqgYhIUAaOIDrOI0l28/yc5v0AnADVmzYc66eg2cn7aBhMws29vvz5/d9fl7fjdaw&#10;owqowTV8uSg5U05Cq92+4V+/3L9acYZRuFYYcKrhJ4X8bvPyxXrwtaqgB9OqwAjEYT34hvcx+roo&#10;UPbKClyAV46SHQQrIrlhX7RBDIRuTVGV5W0xQGh9AKkQKbqdknxGDM8BhK7TUm1BHqxycUINyohI&#10;lLDXHvkmd9t1SsZPXYcqMtNwYhrzSpeQvUtrsVmLeh+E77WcWxDPaeEJJyu0o0uvUFsRBTsE/Q+U&#10;1TIAQhcXEmwxEcmKEItl+USbh154lbmQ1OivouP/g5Ufj58D0y1NAmdOWHrw84/v55+/z7++sWVZ&#10;3SaFBo81FT54Ko3jWxhT9RxHCibiYxds2okSozzpe7rqq8bIZDq0qlarklKScheHcIrH4z5gfKfA&#10;smQ0PNADZl3F8QPGqfRSkm5zcK+NobiojWNDw1/fVDf5wDVD4MalApXHYYZJlKbWkxXH3Tjz2UF7&#10;IpoDjUTDHf0Azsx7R4qn6bkY4WLsZiPho39ziNRPbjOhTlBELzn0fpnoPGtpQP72c9Xj/9r8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M6pebnPAAAABQEAAA8AAAAAAAAAAQAgAAAAIgAAAGRycy9k&#10;b3ducmV2LnhtbFBLAQIUABQAAAAIAIdO4kCw3v+V0gEAAKcDAAAOAAAAAAAAAAEAIAAAAB4BAABk&#10;cnMvZTJvRG9jLnhtbFBLBQYAAAAABgAGAFkBAABiBQ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l7D8NEBAACnAwAADgAAAGRycy9lMm9Eb2MueG1srVNLbtswEN0XyB0I&#10;7mPJRlO4guWghZEgQNEWSHoAmiItAvyBQ1vyBdobdNVN9z2Xz9EhJTlNssmiG2l+fJz3Zri67o0m&#10;BxFAOVvT+aykRFjuGmV3Nf32cHO5pAQisw3TzoqaHgXQ6/XFm1XnK7FwrdONCARBLFSdr2kbo6+K&#10;AngrDIOZ88JiUrpgWEQ37IomsA7RjS4WZfmu6FxofHBcAGB0MyTpiBheA+ikVFxsHN8bYeOAGoRm&#10;ESlBqzzQde5WSsHjFylBRKJrikxj/uIlaG/Tt1ivWLULzLeKjy2w17TwjJNhyuKlZ6gNi4zsg3oB&#10;ZRQPDpyMM+5MMRDJiiCLeflMm/uWeZG5oNTgz6LD/4Plnw9fA1FNTd9SYpnBgZ9+/jj9+nP6/Z3M&#10;y8VVUqjzUGHhvcfS2H90Pe7NFAcMJuK9DCb9kRLBPOp7POsr+kh4OrRcLJclpjjmJgfxi8fjPkC8&#10;Fc6QZNQ04ACzruzwCeJQOpWk26y7UVrnIWpLupq+v8KWn2QQXNsUEXkdRphEaWg9WbHf9iPPrWuO&#10;SLPDlaipxRdAib6zqHjanskIk7EdjYQP/sM+Yj+5zYQ6QCG95OD8MtFx19KC/Ovnqsf3tf4L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zql5uc8AAAAFAQAADwAAAAAAAAABACAAAAAiAAAAZHJzL2Rv&#10;d25yZXYueG1sUEsBAhQAFAAAAAgAh07iQBZew/DRAQAApwMAAA4AAAAAAAAAAQAgAAAAHgEAAGRy&#10;cy9lMm9Eb2MueG1sUEsFBgAAAAAGAAYAWQEAAGEFA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BCM1Y9MBAACnAwAADgAAAGRycy9lMm9Eb2MueG1srVPNjtMwEL4j8Q6W&#10;7zRppK5K1HS1q2oREgKkhQdwHbux5D953CZ9AXgDTly481x9DsZO0kXLZQ9c7BnP+PN834w3t4PR&#10;5CQCKGcbulyUlAjLXavsoaFfvzy8WVMCkdmWaWdFQ88C6O329atN72tRuc7pVgSCIBbq3je0i9HX&#10;RQG8E4bBwnlhMShdMCyiGw5FG1iP6EYXVVneFL0LrQ+OCwA83Y1BOiGGlwA6KRUXO8ePRtg4ogah&#10;WURK0CkPdJurlVLw+ElKEJHohiLTmFd8BO19WovthtWHwHyn+FQCe0kJzzgZpiw+eoXascjIMah/&#10;oIziwYGTccGdKUYiWRFksSyfafPYMS8yF5Qa/FV0+H+w/OPpcyCqbeiKEssMNvzy4/vl5+/Lr29k&#10;WVY3SaHeQ42Jjx5T43DvBpyb+RzwMBEfZDBpR0oE46jv+aqvGCLh6dK6Wq9LDHGMzQ7iF0/XfYD4&#10;TjhDktHQgA3MurLTB4hj6pySXrPuQWmdm6gt6Rv6dlWt8oVrBMG1Tbkij8MEkyiNpScrDvth4rl3&#10;7Rlp9jgSDbX4AyjR7y0qnqZnNsJs7Ccj4YO/O0asJ5eZUEcopJcc7F8mOs1aGpC//Zz19L+2f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DOqXm5zwAAAAUBAAAPAAAAAAAAAAEAIAAAACIAAABkcnMv&#10;ZG93bnJldi54bWxQSwECFAAUAAAACACHTuJABCM1Y9MBAACnAwAADgAAAAAAAAABACAAAAAeAQAA&#10;ZHJzL2Uyb0RvYy54bWxQSwUGAAAAAAYABgBZAQAAYw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pPr>
                      <w:pStyle w:val="14"/>
                      <w:rPr>
                        <w:rFonts w:hint="eastAsia" w:eastAsia="宋体"/>
                        <w:lang w:eastAsia="zh-CN"/>
                      </w:rPr>
                    </w:pPr>
                    <w:r>
                      <w:rPr>
                        <w:rFonts w:hint="eastAsia"/>
                        <w:lang w:eastAsia="zh-CN"/>
                      </w:rPr>
                      <w:t xml:space="preserve">第 </w:t>
                    </w: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3</w:t>
                    </w:r>
                    <w:r>
                      <w:rPr>
                        <w:rFonts w:hint="eastAsia"/>
                        <w:lang w:eastAsia="zh-CN"/>
                      </w:rPr>
                      <w:fldChar w:fldCharType="end"/>
                    </w:r>
                    <w:r>
                      <w:rPr>
                        <w:rFonts w:hint="eastAsia"/>
                        <w:lang w:eastAsia="zh-CN"/>
                      </w:rPr>
                      <w:t xml:space="preserve"> 页 共 </w:t>
                    </w:r>
                    <w:r>
                      <w:rPr>
                        <w:rFonts w:hint="eastAsia"/>
                        <w:lang w:eastAsia="zh-CN"/>
                      </w:rPr>
                      <w:fldChar w:fldCharType="begin"/>
                    </w:r>
                    <w:r>
                      <w:rPr>
                        <w:rFonts w:hint="eastAsia"/>
                        <w:lang w:eastAsia="zh-CN"/>
                      </w:rPr>
                      <w:instrText xml:space="preserve"> NUMPAGES  \* MERGEFORMAT </w:instrText>
                    </w:r>
                    <w:r>
                      <w:rPr>
                        <w:rFonts w:hint="eastAsia"/>
                        <w:lang w:eastAsia="zh-CN"/>
                      </w:rPr>
                      <w:fldChar w:fldCharType="separate"/>
                    </w:r>
                    <w:r>
                      <w:rPr>
                        <w:rFonts w:hint="eastAsia"/>
                        <w:lang w:eastAsia="zh-CN"/>
                      </w:rPr>
                      <w:t>80</w:t>
                    </w:r>
                    <w:r>
                      <w:rPr>
                        <w:rFonts w:hint="eastAsia"/>
                        <w:lang w:eastAsia="zh-CN"/>
                      </w:rPr>
                      <w:fldChar w:fldCharType="end"/>
                    </w:r>
                    <w:r>
                      <w:rPr>
                        <w:rFonts w:hint="eastAsia"/>
                        <w:lang w:eastAsia="zh-CN"/>
                      </w:rPr>
                      <w:t xml:space="preserve"> 页</w:t>
                    </w:r>
                  </w:p>
                </w:txbxContent>
              </v:textbox>
            </v:shape>
          </w:pict>
        </mc:Fallback>
      </mc:AlternateContent>
    </w: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lang w:eastAsia="zh-CN"/>
                            </w:rPr>
                          </w:pP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pPr>
                      <w:rPr>
                        <w:rFonts w:hint="eastAsia"/>
                        <w:lang w:eastAsia="zh-CN"/>
                      </w:rPr>
                    </w:pPr>
                  </w:p>
                </w:txbxContent>
              </v:textbox>
            </v:shape>
          </w:pict>
        </mc:Fallback>
      </mc:AlternateContent>
    </w: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4"/>
                          </w:pPr>
                        </w:p>
                      </w:txbxContent>
                    </wps:txbx>
                    <wps:bodyPr wrap="none" lIns="0" tIns="0" rIns="0" bIns="0">
                      <a:spAutoFit/>
                    </wps:bodyPr>
                  </wps:wsp>
                </a:graphicData>
              </a:graphic>
            </wp:anchor>
          </w:drawing>
        </mc:Choice>
        <mc:Fallback>
          <w:pict>
            <v:shape id="文本框 1025"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zCCmi9ABAACnAwAADgAAAGRycy9lMm9Eb2MueG1srVNLbtswEN0XyB0I&#10;7mPJBhK4gumghZGiQNEWSHMAmqIsAvyBQ1vyBdobdNVN9z2Xz9EhJTm/TRbZSPPj47w3w9VNbzQ5&#10;yADKWUbns5ISaYWrld0xev/j9nJJCURua66dlYweJdCb9cW7VecruXCt07UMBEEsVJ1ntI3RV0UB&#10;opWGw8x5aTHZuGB4RDfsijrwDtGNLhZleV10LtQ+OCEBMLoZknREDK8BdE2jhNw4sTfSxgE1SM0j&#10;UoJWeaDr3G3TSBG/NQ3ISDSjyDTmL16C9jZ9i/WKV7vAfavE2AJ/TQvPOBmuLF56htrwyMk+qBdQ&#10;RongwDVxJpwpBiJZEWQxL59pc9dyLzMXlBr8WXR4O1jx9fA9EFUzek2J5QYHfvr96/Tn3+nvTzIv&#10;F1dJoc5DhYV3Hktj/9H1uDdTHDCYiPdNMOmPlAjmUd/jWV/ZRyLSoeViuSwxJTA3OYhfPBz3AeIn&#10;6QxJBqMBB5h15YcvEIfSqSTdZt2t0joPUVvSMfr+Clt+kkFwbVNE5nUYYRKlofVkxX7bjzy3rj4i&#10;zQ5XglGLL4AS/dmi4ml7JiNMxnY0Ej74D/uI/eQ2E+oAhfSSg/PLRMddSwvy2M9VD+9r/R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OqXm5zwAAAAUBAAAPAAAAAAAAAAEAIAAAACIAAABkcnMvZG93&#10;bnJldi54bWxQSwECFAAUAAAACACHTuJAzCCmi9ABAACnAwAADgAAAAAAAAABACAAAAAeAQAAZHJz&#10;L2Uyb0RvYy54bWxQSwUGAAAAAAYABgBZAQAAYAUAAAAA&#10;">
              <v:fill on="f" focussize="0,0"/>
              <v:stroke on="f"/>
              <v:imagedata o:title=""/>
              <o:lock v:ext="edit" aspectratio="f"/>
              <v:textbox inset="0mm,0mm,0mm,0mm" style="mso-fit-shape-to-text:t;">
                <w:txbxContent>
                  <w:p>
                    <w:pPr>
                      <w:pStyle w:val="14"/>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lang w:eastAsia="zh-CN"/>
      </w:rPr>
      <w:drawing>
        <wp:anchor distT="0" distB="0" distL="114300" distR="114300" simplePos="0" relativeHeight="251662336" behindDoc="0" locked="0" layoutInCell="1" allowOverlap="1">
          <wp:simplePos x="0" y="0"/>
          <wp:positionH relativeFrom="column">
            <wp:posOffset>8255</wp:posOffset>
          </wp:positionH>
          <wp:positionV relativeFrom="paragraph">
            <wp:posOffset>0</wp:posOffset>
          </wp:positionV>
          <wp:extent cx="5264150" cy="444500"/>
          <wp:effectExtent l="0" t="0" r="12700" b="12700"/>
          <wp:wrapSquare wrapText="bothSides"/>
          <wp:docPr id="3" name="图片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logo"/>
                  <pic:cNvPicPr>
                    <a:picLocks noChangeAspect="1"/>
                  </pic:cNvPicPr>
                </pic:nvPicPr>
                <pic:blipFill>
                  <a:blip r:embed="rId1"/>
                  <a:stretch>
                    <a:fillRect/>
                  </a:stretch>
                </pic:blipFill>
                <pic:spPr>
                  <a:xfrm>
                    <a:off x="0" y="0"/>
                    <a:ext cx="5264150" cy="444500"/>
                  </a:xfrm>
                  <a:prstGeom prst="rect">
                    <a:avLst/>
                  </a:prstGeom>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5"/>
    </w:pPr>
    <w:r>
      <w:rPr>
        <w:rFonts w:hint="eastAsia" w:eastAsiaTheme="minorEastAsia"/>
        <w:lang w:eastAsia="zh-CN"/>
      </w:rPr>
      <w:drawing>
        <wp:anchor distT="0" distB="0" distL="114300" distR="114300" simplePos="0" relativeHeight="251661312" behindDoc="0" locked="0" layoutInCell="1" allowOverlap="1">
          <wp:simplePos x="0" y="0"/>
          <wp:positionH relativeFrom="column">
            <wp:posOffset>-1270</wp:posOffset>
          </wp:positionH>
          <wp:positionV relativeFrom="paragraph">
            <wp:posOffset>9525</wp:posOffset>
          </wp:positionV>
          <wp:extent cx="5282565" cy="444500"/>
          <wp:effectExtent l="0" t="0" r="13335" b="12700"/>
          <wp:wrapSquare wrapText="bothSides"/>
          <wp:docPr id="2" name="图片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logo"/>
                  <pic:cNvPicPr>
                    <a:picLocks noChangeAspect="1"/>
                  </pic:cNvPicPr>
                </pic:nvPicPr>
                <pic:blipFill>
                  <a:blip r:embed="rId1"/>
                  <a:stretch>
                    <a:fillRect/>
                  </a:stretch>
                </pic:blipFill>
                <pic:spPr>
                  <a:xfrm>
                    <a:off x="0" y="0"/>
                    <a:ext cx="5282565" cy="4445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3587489"/>
    <w:multiLevelType w:val="singleLevel"/>
    <w:tmpl w:val="93587489"/>
    <w:lvl w:ilvl="0" w:tentative="0">
      <w:start w:val="1"/>
      <w:numFmt w:val="decimal"/>
      <w:suff w:val="nothing"/>
      <w:lvlText w:val="%1、"/>
      <w:lvlJc w:val="left"/>
    </w:lvl>
  </w:abstractNum>
  <w:abstractNum w:abstractNumId="1">
    <w:nsid w:val="A28BD6AB"/>
    <w:multiLevelType w:val="singleLevel"/>
    <w:tmpl w:val="A28BD6AB"/>
    <w:lvl w:ilvl="0" w:tentative="0">
      <w:start w:val="1"/>
      <w:numFmt w:val="decimal"/>
      <w:suff w:val="nothing"/>
      <w:lvlText w:val="%1、"/>
      <w:lvlJc w:val="left"/>
    </w:lvl>
  </w:abstractNum>
  <w:abstractNum w:abstractNumId="2">
    <w:nsid w:val="BAA12ADA"/>
    <w:multiLevelType w:val="singleLevel"/>
    <w:tmpl w:val="BAA12ADA"/>
    <w:lvl w:ilvl="0" w:tentative="0">
      <w:start w:val="1"/>
      <w:numFmt w:val="decimal"/>
      <w:suff w:val="nothing"/>
      <w:lvlText w:val="（%1）"/>
      <w:lvlJc w:val="left"/>
    </w:lvl>
  </w:abstractNum>
  <w:abstractNum w:abstractNumId="3">
    <w:nsid w:val="CFF174A5"/>
    <w:multiLevelType w:val="singleLevel"/>
    <w:tmpl w:val="CFF174A5"/>
    <w:lvl w:ilvl="0" w:tentative="0">
      <w:start w:val="1"/>
      <w:numFmt w:val="decimal"/>
      <w:suff w:val="nothing"/>
      <w:lvlText w:val="%1、"/>
      <w:lvlJc w:val="left"/>
    </w:lvl>
  </w:abstractNum>
  <w:abstractNum w:abstractNumId="4">
    <w:nsid w:val="F73DC5D7"/>
    <w:multiLevelType w:val="singleLevel"/>
    <w:tmpl w:val="F73DC5D7"/>
    <w:lvl w:ilvl="0" w:tentative="0">
      <w:start w:val="1"/>
      <w:numFmt w:val="decimal"/>
      <w:suff w:val="nothing"/>
      <w:lvlText w:val="（%1）"/>
      <w:lvlJc w:val="left"/>
    </w:lvl>
  </w:abstractNum>
  <w:abstractNum w:abstractNumId="5">
    <w:nsid w:val="00000005"/>
    <w:multiLevelType w:val="multilevel"/>
    <w:tmpl w:val="00000005"/>
    <w:lvl w:ilvl="0" w:tentative="0">
      <w:start w:val="1"/>
      <w:numFmt w:val="decimal"/>
      <w:lvlText w:val="%1."/>
      <w:lvlJc w:val="left"/>
      <w:pPr>
        <w:tabs>
          <w:tab w:val="left" w:pos="0"/>
        </w:tabs>
        <w:ind w:left="0" w:firstLine="420"/>
      </w:pPr>
      <w:rPr>
        <w:rFonts w:hint="default"/>
        <w:color w:val="auto"/>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13387DFE"/>
    <w:multiLevelType w:val="multilevel"/>
    <w:tmpl w:val="13387DFE"/>
    <w:lvl w:ilvl="0" w:tentative="0">
      <w:start w:val="1"/>
      <w:numFmt w:val="decimal"/>
      <w:lvlText w:val="%1."/>
      <w:lvlJc w:val="left"/>
      <w:pPr>
        <w:tabs>
          <w:tab w:val="left" w:pos="425"/>
        </w:tabs>
        <w:ind w:left="425" w:hanging="425"/>
      </w:pPr>
      <w:rPr>
        <w:rFonts w:hint="eastAsia" w:ascii="宋体" w:hAnsi="宋体" w:eastAsia="宋体"/>
      </w:rPr>
    </w:lvl>
    <w:lvl w:ilvl="1" w:tentative="0">
      <w:start w:val="1"/>
      <w:numFmt w:val="decimal"/>
      <w:lvlText w:val="%1.%2."/>
      <w:lvlJc w:val="left"/>
      <w:pPr>
        <w:tabs>
          <w:tab w:val="left" w:pos="567"/>
        </w:tabs>
        <w:ind w:left="567" w:hanging="567"/>
      </w:pPr>
      <w:rPr>
        <w:rFonts w:hint="eastAsia" w:ascii="宋体" w:hAnsi="宋体" w:eastAsia="宋体"/>
        <w:color w:val="auto"/>
      </w:rPr>
    </w:lvl>
    <w:lvl w:ilvl="2" w:tentative="0">
      <w:start w:val="1"/>
      <w:numFmt w:val="decimal"/>
      <w:lvlText w:val="%1.%2.%3."/>
      <w:lvlJc w:val="left"/>
      <w:pPr>
        <w:tabs>
          <w:tab w:val="left" w:pos="794"/>
        </w:tabs>
        <w:ind w:left="794" w:hanging="794"/>
      </w:pPr>
      <w:rPr>
        <w:rFonts w:hint="eastAsia" w:ascii="宋体" w:hAnsi="宋体" w:eastAsia="宋体"/>
      </w:rPr>
    </w:lvl>
    <w:lvl w:ilvl="3" w:tentative="0">
      <w:start w:val="1"/>
      <w:numFmt w:val="decimal"/>
      <w:lvlText w:val="%1.%2.%3.%4."/>
      <w:lvlJc w:val="left"/>
      <w:pPr>
        <w:tabs>
          <w:tab w:val="left" w:pos="454"/>
        </w:tabs>
        <w:ind w:left="1021" w:hanging="1021"/>
      </w:pPr>
      <w:rPr>
        <w:rFonts w:hint="eastAsia" w:ascii="宋体" w:hAnsi="宋体" w:eastAsia="宋体"/>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7">
    <w:nsid w:val="206CABF7"/>
    <w:multiLevelType w:val="singleLevel"/>
    <w:tmpl w:val="206CABF7"/>
    <w:lvl w:ilvl="0" w:tentative="0">
      <w:start w:val="1"/>
      <w:numFmt w:val="decimal"/>
      <w:suff w:val="nothing"/>
      <w:lvlText w:val="（%1）"/>
      <w:lvlJc w:val="left"/>
    </w:lvl>
  </w:abstractNum>
  <w:abstractNum w:abstractNumId="8">
    <w:nsid w:val="24C1285F"/>
    <w:multiLevelType w:val="multilevel"/>
    <w:tmpl w:val="24C1285F"/>
    <w:lvl w:ilvl="0" w:tentative="0">
      <w:start w:val="1"/>
      <w:numFmt w:val="decimal"/>
      <w:lvlText w:val="%1."/>
      <w:lvlJc w:val="left"/>
      <w:pPr>
        <w:ind w:left="420" w:hanging="420"/>
      </w:pPr>
      <w:rPr>
        <w:rFonts w:ascii="宋体" w:hAnsi="宋体" w:eastAsia="宋体"/>
        <w:b w:val="0"/>
        <w:color w:val="000000"/>
        <w:sz w:val="21"/>
        <w:szCs w:val="21"/>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2658A294"/>
    <w:multiLevelType w:val="singleLevel"/>
    <w:tmpl w:val="2658A294"/>
    <w:lvl w:ilvl="0" w:tentative="0">
      <w:start w:val="1"/>
      <w:numFmt w:val="chineseCounting"/>
      <w:suff w:val="nothing"/>
      <w:lvlText w:val="%1、"/>
      <w:lvlJc w:val="left"/>
      <w:pPr>
        <w:ind w:left="0" w:firstLine="420"/>
      </w:pPr>
      <w:rPr>
        <w:rFonts w:hint="eastAsia"/>
      </w:rPr>
    </w:lvl>
  </w:abstractNum>
  <w:abstractNum w:abstractNumId="10">
    <w:nsid w:val="316010E5"/>
    <w:multiLevelType w:val="singleLevel"/>
    <w:tmpl w:val="316010E5"/>
    <w:lvl w:ilvl="0" w:tentative="0">
      <w:start w:val="1"/>
      <w:numFmt w:val="decimal"/>
      <w:suff w:val="nothing"/>
      <w:lvlText w:val="%1．"/>
      <w:lvlJc w:val="left"/>
    </w:lvl>
  </w:abstractNum>
  <w:abstractNum w:abstractNumId="11">
    <w:nsid w:val="3B1B8417"/>
    <w:multiLevelType w:val="singleLevel"/>
    <w:tmpl w:val="3B1B8417"/>
    <w:lvl w:ilvl="0" w:tentative="0">
      <w:start w:val="1"/>
      <w:numFmt w:val="decimal"/>
      <w:suff w:val="nothing"/>
      <w:lvlText w:val="%1、"/>
      <w:lvlJc w:val="left"/>
    </w:lvl>
  </w:abstractNum>
  <w:abstractNum w:abstractNumId="12">
    <w:nsid w:val="3F88662E"/>
    <w:multiLevelType w:val="singleLevel"/>
    <w:tmpl w:val="3F88662E"/>
    <w:lvl w:ilvl="0" w:tentative="0">
      <w:start w:val="1"/>
      <w:numFmt w:val="decimal"/>
      <w:suff w:val="space"/>
      <w:lvlText w:val="%1)"/>
      <w:lvlJc w:val="left"/>
    </w:lvl>
  </w:abstractNum>
  <w:abstractNum w:abstractNumId="13">
    <w:nsid w:val="57A83E91"/>
    <w:multiLevelType w:val="singleLevel"/>
    <w:tmpl w:val="57A83E91"/>
    <w:lvl w:ilvl="0" w:tentative="0">
      <w:start w:val="1"/>
      <w:numFmt w:val="decimal"/>
      <w:suff w:val="nothing"/>
      <w:lvlText w:val="%1、"/>
      <w:lvlJc w:val="left"/>
      <w:rPr>
        <w:rFonts w:cs="Times New Roman"/>
      </w:rPr>
    </w:lvl>
  </w:abstractNum>
  <w:abstractNum w:abstractNumId="14">
    <w:nsid w:val="6E5CE7BD"/>
    <w:multiLevelType w:val="singleLevel"/>
    <w:tmpl w:val="6E5CE7BD"/>
    <w:lvl w:ilvl="0" w:tentative="0">
      <w:start w:val="1"/>
      <w:numFmt w:val="chineseCounting"/>
      <w:suff w:val="nothing"/>
      <w:lvlText w:val="%1、"/>
      <w:lvlJc w:val="left"/>
      <w:rPr>
        <w:rFonts w:hint="eastAsia"/>
      </w:rPr>
    </w:lvl>
  </w:abstractNum>
  <w:abstractNum w:abstractNumId="15">
    <w:nsid w:val="72CAEED9"/>
    <w:multiLevelType w:val="singleLevel"/>
    <w:tmpl w:val="72CAEED9"/>
    <w:lvl w:ilvl="0" w:tentative="0">
      <w:start w:val="6"/>
      <w:numFmt w:val="chineseCounting"/>
      <w:suff w:val="nothing"/>
      <w:lvlText w:val="%1、"/>
      <w:lvlJc w:val="left"/>
      <w:rPr>
        <w:rFonts w:hint="eastAsia"/>
      </w:rPr>
    </w:lvl>
  </w:abstractNum>
  <w:num w:numId="1">
    <w:abstractNumId w:val="14"/>
  </w:num>
  <w:num w:numId="2">
    <w:abstractNumId w:val="11"/>
  </w:num>
  <w:num w:numId="3">
    <w:abstractNumId w:val="1"/>
  </w:num>
  <w:num w:numId="4">
    <w:abstractNumId w:val="6"/>
  </w:num>
  <w:num w:numId="5">
    <w:abstractNumId w:val="12"/>
  </w:num>
  <w:num w:numId="6">
    <w:abstractNumId w:val="7"/>
  </w:num>
  <w:num w:numId="7">
    <w:abstractNumId w:val="4"/>
  </w:num>
  <w:num w:numId="8">
    <w:abstractNumId w:val="2"/>
  </w:num>
  <w:num w:numId="9">
    <w:abstractNumId w:val="9"/>
  </w:num>
  <w:num w:numId="10">
    <w:abstractNumId w:val="8"/>
  </w:num>
  <w:num w:numId="11">
    <w:abstractNumId w:val="15"/>
  </w:num>
  <w:num w:numId="12">
    <w:abstractNumId w:val="13"/>
  </w:num>
  <w:num w:numId="13">
    <w:abstractNumId w:val="3"/>
  </w:num>
  <w:num w:numId="14">
    <w:abstractNumId w:val="5"/>
  </w:num>
  <w:num w:numId="15">
    <w:abstractNumId w:val="0"/>
  </w:num>
  <w:num w:numId="1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720"/>
  <w:drawingGridHorizontalSpacing w:val="110"/>
  <w:displayHorizontalDrawingGridEvery w:val="1"/>
  <w:displayVerticalDrawingGridEvery w:val="1"/>
  <w:noPunctuationKerning w:val="1"/>
  <w:characterSpacingControl w:val="doNotCompress"/>
  <w:hdrShapeDefaults>
    <o:shapelayout v:ext="edit">
      <o:idmap v:ext="edit" data="1,3"/>
    </o:shapelayout>
  </w:hdrShapeDefault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E1YzMxYjlkNjI3YTY0NWM4NzJjZGI3NDYxYWQzZjgifQ=="/>
  </w:docVars>
  <w:rsids>
    <w:rsidRoot w:val="00664F6B"/>
    <w:rsid w:val="00006462"/>
    <w:rsid w:val="000300E4"/>
    <w:rsid w:val="0003307E"/>
    <w:rsid w:val="000336BA"/>
    <w:rsid w:val="000359A1"/>
    <w:rsid w:val="0007500F"/>
    <w:rsid w:val="0008282E"/>
    <w:rsid w:val="000A363F"/>
    <w:rsid w:val="000A42A8"/>
    <w:rsid w:val="000A5063"/>
    <w:rsid w:val="000A5DBD"/>
    <w:rsid w:val="000C4524"/>
    <w:rsid w:val="000D44A6"/>
    <w:rsid w:val="000D5273"/>
    <w:rsid w:val="000F09D9"/>
    <w:rsid w:val="000F0E98"/>
    <w:rsid w:val="001049A5"/>
    <w:rsid w:val="001242F3"/>
    <w:rsid w:val="00134CAD"/>
    <w:rsid w:val="0013730B"/>
    <w:rsid w:val="00137853"/>
    <w:rsid w:val="00137E1C"/>
    <w:rsid w:val="00147012"/>
    <w:rsid w:val="00153E0B"/>
    <w:rsid w:val="00173126"/>
    <w:rsid w:val="00173905"/>
    <w:rsid w:val="00173E04"/>
    <w:rsid w:val="00175D29"/>
    <w:rsid w:val="001844F4"/>
    <w:rsid w:val="00185039"/>
    <w:rsid w:val="001A06D8"/>
    <w:rsid w:val="001A2D42"/>
    <w:rsid w:val="001A2EF7"/>
    <w:rsid w:val="001B41CF"/>
    <w:rsid w:val="001B5860"/>
    <w:rsid w:val="001C1135"/>
    <w:rsid w:val="001C15AE"/>
    <w:rsid w:val="001C4661"/>
    <w:rsid w:val="001C5689"/>
    <w:rsid w:val="001C6E4B"/>
    <w:rsid w:val="001F0070"/>
    <w:rsid w:val="001F4B02"/>
    <w:rsid w:val="002065A7"/>
    <w:rsid w:val="0021149E"/>
    <w:rsid w:val="00213021"/>
    <w:rsid w:val="00216BE9"/>
    <w:rsid w:val="0022503E"/>
    <w:rsid w:val="00225BB4"/>
    <w:rsid w:val="00226313"/>
    <w:rsid w:val="00240F5F"/>
    <w:rsid w:val="00244C00"/>
    <w:rsid w:val="00247AE0"/>
    <w:rsid w:val="002504F8"/>
    <w:rsid w:val="00260AC1"/>
    <w:rsid w:val="0026312D"/>
    <w:rsid w:val="0027078E"/>
    <w:rsid w:val="00284156"/>
    <w:rsid w:val="00285643"/>
    <w:rsid w:val="002867A1"/>
    <w:rsid w:val="002901F8"/>
    <w:rsid w:val="002A540A"/>
    <w:rsid w:val="002B4087"/>
    <w:rsid w:val="002B5F6C"/>
    <w:rsid w:val="002C165E"/>
    <w:rsid w:val="002C6C78"/>
    <w:rsid w:val="002D1594"/>
    <w:rsid w:val="002D3F9C"/>
    <w:rsid w:val="002D503C"/>
    <w:rsid w:val="002D7E27"/>
    <w:rsid w:val="002E17E5"/>
    <w:rsid w:val="002E6B7E"/>
    <w:rsid w:val="0030669E"/>
    <w:rsid w:val="00320CEA"/>
    <w:rsid w:val="00323B43"/>
    <w:rsid w:val="00326831"/>
    <w:rsid w:val="003274CE"/>
    <w:rsid w:val="003430F6"/>
    <w:rsid w:val="0038564C"/>
    <w:rsid w:val="00393B1D"/>
    <w:rsid w:val="003A1D97"/>
    <w:rsid w:val="003C3B19"/>
    <w:rsid w:val="003C412B"/>
    <w:rsid w:val="003C415C"/>
    <w:rsid w:val="003D36FB"/>
    <w:rsid w:val="003D37D8"/>
    <w:rsid w:val="003E2B8C"/>
    <w:rsid w:val="003F4822"/>
    <w:rsid w:val="00401CC0"/>
    <w:rsid w:val="00410F11"/>
    <w:rsid w:val="004203B9"/>
    <w:rsid w:val="00421BCF"/>
    <w:rsid w:val="004322A2"/>
    <w:rsid w:val="004358AB"/>
    <w:rsid w:val="00451EB4"/>
    <w:rsid w:val="00453AD3"/>
    <w:rsid w:val="00460B31"/>
    <w:rsid w:val="00462105"/>
    <w:rsid w:val="00475A80"/>
    <w:rsid w:val="00490B9E"/>
    <w:rsid w:val="00497577"/>
    <w:rsid w:val="004A05D7"/>
    <w:rsid w:val="004A2B28"/>
    <w:rsid w:val="004A69F1"/>
    <w:rsid w:val="004B3550"/>
    <w:rsid w:val="004D51A2"/>
    <w:rsid w:val="004D5AFB"/>
    <w:rsid w:val="004E04FD"/>
    <w:rsid w:val="004F1BB7"/>
    <w:rsid w:val="0050759C"/>
    <w:rsid w:val="005269A9"/>
    <w:rsid w:val="00546A42"/>
    <w:rsid w:val="0055408D"/>
    <w:rsid w:val="0057492D"/>
    <w:rsid w:val="00590819"/>
    <w:rsid w:val="00593D68"/>
    <w:rsid w:val="005A208B"/>
    <w:rsid w:val="005A7612"/>
    <w:rsid w:val="005C702E"/>
    <w:rsid w:val="005D01B8"/>
    <w:rsid w:val="005D066B"/>
    <w:rsid w:val="005F573A"/>
    <w:rsid w:val="005F7EB1"/>
    <w:rsid w:val="00604B81"/>
    <w:rsid w:val="00613417"/>
    <w:rsid w:val="0061545F"/>
    <w:rsid w:val="006175DE"/>
    <w:rsid w:val="006215AC"/>
    <w:rsid w:val="00621821"/>
    <w:rsid w:val="00622362"/>
    <w:rsid w:val="00622497"/>
    <w:rsid w:val="006276AD"/>
    <w:rsid w:val="006378D4"/>
    <w:rsid w:val="0064416A"/>
    <w:rsid w:val="0065365D"/>
    <w:rsid w:val="0065543F"/>
    <w:rsid w:val="006578CD"/>
    <w:rsid w:val="00664F6B"/>
    <w:rsid w:val="006731D2"/>
    <w:rsid w:val="00682986"/>
    <w:rsid w:val="006858F8"/>
    <w:rsid w:val="006913C9"/>
    <w:rsid w:val="00691701"/>
    <w:rsid w:val="00691AE0"/>
    <w:rsid w:val="0069491E"/>
    <w:rsid w:val="006B7878"/>
    <w:rsid w:val="006C14BD"/>
    <w:rsid w:val="006C28E5"/>
    <w:rsid w:val="006D08E0"/>
    <w:rsid w:val="006D1BA8"/>
    <w:rsid w:val="006D393E"/>
    <w:rsid w:val="006D4AD8"/>
    <w:rsid w:val="006E0B58"/>
    <w:rsid w:val="006E0C4B"/>
    <w:rsid w:val="007110BA"/>
    <w:rsid w:val="00711465"/>
    <w:rsid w:val="0072310A"/>
    <w:rsid w:val="00723B11"/>
    <w:rsid w:val="007343A7"/>
    <w:rsid w:val="00734BB2"/>
    <w:rsid w:val="0075028E"/>
    <w:rsid w:val="007608B9"/>
    <w:rsid w:val="00761AAB"/>
    <w:rsid w:val="007724B4"/>
    <w:rsid w:val="007818FB"/>
    <w:rsid w:val="007916E7"/>
    <w:rsid w:val="00797C5D"/>
    <w:rsid w:val="00797D2F"/>
    <w:rsid w:val="007A34B9"/>
    <w:rsid w:val="007A6F47"/>
    <w:rsid w:val="007C4F46"/>
    <w:rsid w:val="007C7297"/>
    <w:rsid w:val="007C7A38"/>
    <w:rsid w:val="007D1B4F"/>
    <w:rsid w:val="007D2F9E"/>
    <w:rsid w:val="007D3175"/>
    <w:rsid w:val="007D48BF"/>
    <w:rsid w:val="007D5C45"/>
    <w:rsid w:val="007E2543"/>
    <w:rsid w:val="007E4A26"/>
    <w:rsid w:val="007F01B0"/>
    <w:rsid w:val="007F2CD8"/>
    <w:rsid w:val="007F4DC5"/>
    <w:rsid w:val="00806380"/>
    <w:rsid w:val="0081104F"/>
    <w:rsid w:val="00822299"/>
    <w:rsid w:val="00833E43"/>
    <w:rsid w:val="0083486A"/>
    <w:rsid w:val="00841378"/>
    <w:rsid w:val="00842B87"/>
    <w:rsid w:val="00845BEB"/>
    <w:rsid w:val="008472E6"/>
    <w:rsid w:val="00853463"/>
    <w:rsid w:val="0086026F"/>
    <w:rsid w:val="008640F5"/>
    <w:rsid w:val="008907DA"/>
    <w:rsid w:val="008A0587"/>
    <w:rsid w:val="008B1E93"/>
    <w:rsid w:val="008B7726"/>
    <w:rsid w:val="008D429E"/>
    <w:rsid w:val="008D5A10"/>
    <w:rsid w:val="008E319F"/>
    <w:rsid w:val="008E4452"/>
    <w:rsid w:val="008E619C"/>
    <w:rsid w:val="008F6E0E"/>
    <w:rsid w:val="008F79E1"/>
    <w:rsid w:val="00906F49"/>
    <w:rsid w:val="009108BB"/>
    <w:rsid w:val="00914604"/>
    <w:rsid w:val="00923533"/>
    <w:rsid w:val="00930A38"/>
    <w:rsid w:val="00934170"/>
    <w:rsid w:val="00942948"/>
    <w:rsid w:val="009474B5"/>
    <w:rsid w:val="00972D86"/>
    <w:rsid w:val="009736BF"/>
    <w:rsid w:val="0097392B"/>
    <w:rsid w:val="00976066"/>
    <w:rsid w:val="00980A66"/>
    <w:rsid w:val="009904F7"/>
    <w:rsid w:val="009910F6"/>
    <w:rsid w:val="009A7058"/>
    <w:rsid w:val="009C6AD9"/>
    <w:rsid w:val="009D55C3"/>
    <w:rsid w:val="009E398C"/>
    <w:rsid w:val="009E6F05"/>
    <w:rsid w:val="00A10906"/>
    <w:rsid w:val="00A14EEF"/>
    <w:rsid w:val="00A25E78"/>
    <w:rsid w:val="00A61230"/>
    <w:rsid w:val="00A813C5"/>
    <w:rsid w:val="00A824E6"/>
    <w:rsid w:val="00A858DC"/>
    <w:rsid w:val="00A94D14"/>
    <w:rsid w:val="00AB19CE"/>
    <w:rsid w:val="00AB3969"/>
    <w:rsid w:val="00AC187B"/>
    <w:rsid w:val="00AC5C21"/>
    <w:rsid w:val="00AE310E"/>
    <w:rsid w:val="00AE4FC5"/>
    <w:rsid w:val="00AF5796"/>
    <w:rsid w:val="00AF5F1F"/>
    <w:rsid w:val="00B027A4"/>
    <w:rsid w:val="00B236B3"/>
    <w:rsid w:val="00B26534"/>
    <w:rsid w:val="00B26806"/>
    <w:rsid w:val="00B31B24"/>
    <w:rsid w:val="00B4287F"/>
    <w:rsid w:val="00B4315F"/>
    <w:rsid w:val="00B60DAB"/>
    <w:rsid w:val="00B7194E"/>
    <w:rsid w:val="00B763B0"/>
    <w:rsid w:val="00B93045"/>
    <w:rsid w:val="00BA4130"/>
    <w:rsid w:val="00BB2CAF"/>
    <w:rsid w:val="00BC3E74"/>
    <w:rsid w:val="00BD630F"/>
    <w:rsid w:val="00BD7C1B"/>
    <w:rsid w:val="00BF17FD"/>
    <w:rsid w:val="00BF41D4"/>
    <w:rsid w:val="00BF5AFB"/>
    <w:rsid w:val="00C16734"/>
    <w:rsid w:val="00C17B47"/>
    <w:rsid w:val="00C25C77"/>
    <w:rsid w:val="00C303E7"/>
    <w:rsid w:val="00C319C2"/>
    <w:rsid w:val="00C62E44"/>
    <w:rsid w:val="00C63BD8"/>
    <w:rsid w:val="00C65954"/>
    <w:rsid w:val="00C7126B"/>
    <w:rsid w:val="00C72C24"/>
    <w:rsid w:val="00C73468"/>
    <w:rsid w:val="00C80EC4"/>
    <w:rsid w:val="00C8568E"/>
    <w:rsid w:val="00CB7EF0"/>
    <w:rsid w:val="00CC584A"/>
    <w:rsid w:val="00CC5E4E"/>
    <w:rsid w:val="00CD0979"/>
    <w:rsid w:val="00CD0EAB"/>
    <w:rsid w:val="00CE2AF3"/>
    <w:rsid w:val="00CE621D"/>
    <w:rsid w:val="00CE66E8"/>
    <w:rsid w:val="00D05388"/>
    <w:rsid w:val="00D114CD"/>
    <w:rsid w:val="00D14476"/>
    <w:rsid w:val="00D232FF"/>
    <w:rsid w:val="00D279AA"/>
    <w:rsid w:val="00D34544"/>
    <w:rsid w:val="00D44A97"/>
    <w:rsid w:val="00D45C0C"/>
    <w:rsid w:val="00D508A5"/>
    <w:rsid w:val="00D5104B"/>
    <w:rsid w:val="00D555D8"/>
    <w:rsid w:val="00D60778"/>
    <w:rsid w:val="00D64D28"/>
    <w:rsid w:val="00D6604D"/>
    <w:rsid w:val="00D677F1"/>
    <w:rsid w:val="00D74601"/>
    <w:rsid w:val="00D83E46"/>
    <w:rsid w:val="00D847B6"/>
    <w:rsid w:val="00DA6169"/>
    <w:rsid w:val="00DB5480"/>
    <w:rsid w:val="00DB6317"/>
    <w:rsid w:val="00DC5AD9"/>
    <w:rsid w:val="00DC691F"/>
    <w:rsid w:val="00DD02DE"/>
    <w:rsid w:val="00DD07B7"/>
    <w:rsid w:val="00DD113C"/>
    <w:rsid w:val="00DE0BEB"/>
    <w:rsid w:val="00DE4856"/>
    <w:rsid w:val="00DF485B"/>
    <w:rsid w:val="00E21B77"/>
    <w:rsid w:val="00E40CAD"/>
    <w:rsid w:val="00E44530"/>
    <w:rsid w:val="00E61D2E"/>
    <w:rsid w:val="00E62B7F"/>
    <w:rsid w:val="00E726BC"/>
    <w:rsid w:val="00E72821"/>
    <w:rsid w:val="00E81DDC"/>
    <w:rsid w:val="00E81F67"/>
    <w:rsid w:val="00E83650"/>
    <w:rsid w:val="00E83A31"/>
    <w:rsid w:val="00E93E51"/>
    <w:rsid w:val="00E97CC0"/>
    <w:rsid w:val="00EA2524"/>
    <w:rsid w:val="00EC092D"/>
    <w:rsid w:val="00EC0DF8"/>
    <w:rsid w:val="00ED378B"/>
    <w:rsid w:val="00EE08F9"/>
    <w:rsid w:val="00EE5B3F"/>
    <w:rsid w:val="00EF728A"/>
    <w:rsid w:val="00EF7D0D"/>
    <w:rsid w:val="00F00FF7"/>
    <w:rsid w:val="00F02093"/>
    <w:rsid w:val="00F068E3"/>
    <w:rsid w:val="00F10B5F"/>
    <w:rsid w:val="00F218C1"/>
    <w:rsid w:val="00F321EB"/>
    <w:rsid w:val="00F346CF"/>
    <w:rsid w:val="00F3610C"/>
    <w:rsid w:val="00F52A5F"/>
    <w:rsid w:val="00F55954"/>
    <w:rsid w:val="00F61962"/>
    <w:rsid w:val="00F62865"/>
    <w:rsid w:val="00F64022"/>
    <w:rsid w:val="00F64660"/>
    <w:rsid w:val="00F97062"/>
    <w:rsid w:val="00F9745D"/>
    <w:rsid w:val="00FC7B53"/>
    <w:rsid w:val="00FD48CC"/>
    <w:rsid w:val="00FE62D1"/>
    <w:rsid w:val="00FF26BF"/>
    <w:rsid w:val="018023CE"/>
    <w:rsid w:val="01881AD6"/>
    <w:rsid w:val="01885DE6"/>
    <w:rsid w:val="01B40242"/>
    <w:rsid w:val="01B938AA"/>
    <w:rsid w:val="01E74B6E"/>
    <w:rsid w:val="02126CDB"/>
    <w:rsid w:val="021832B7"/>
    <w:rsid w:val="024E2E49"/>
    <w:rsid w:val="02A741FD"/>
    <w:rsid w:val="02C16E5D"/>
    <w:rsid w:val="02D964CF"/>
    <w:rsid w:val="0340787C"/>
    <w:rsid w:val="03707410"/>
    <w:rsid w:val="037F03E3"/>
    <w:rsid w:val="03A0770F"/>
    <w:rsid w:val="03A27BF9"/>
    <w:rsid w:val="03A448B8"/>
    <w:rsid w:val="03A4578A"/>
    <w:rsid w:val="03AD071E"/>
    <w:rsid w:val="03D10969"/>
    <w:rsid w:val="0494604F"/>
    <w:rsid w:val="04DF1036"/>
    <w:rsid w:val="050F6021"/>
    <w:rsid w:val="05753F85"/>
    <w:rsid w:val="05A97DEC"/>
    <w:rsid w:val="05C81981"/>
    <w:rsid w:val="065A32ED"/>
    <w:rsid w:val="06BC41F2"/>
    <w:rsid w:val="06DF3DBD"/>
    <w:rsid w:val="07197D08"/>
    <w:rsid w:val="071C2CFD"/>
    <w:rsid w:val="071E5C55"/>
    <w:rsid w:val="073A47CB"/>
    <w:rsid w:val="073F7319"/>
    <w:rsid w:val="07536A42"/>
    <w:rsid w:val="07595F41"/>
    <w:rsid w:val="07615EC0"/>
    <w:rsid w:val="077005AB"/>
    <w:rsid w:val="07893465"/>
    <w:rsid w:val="078F4581"/>
    <w:rsid w:val="07995C5E"/>
    <w:rsid w:val="07BE179A"/>
    <w:rsid w:val="07BF027F"/>
    <w:rsid w:val="08031A31"/>
    <w:rsid w:val="081A5CC7"/>
    <w:rsid w:val="08A276E5"/>
    <w:rsid w:val="09061A75"/>
    <w:rsid w:val="09182241"/>
    <w:rsid w:val="09242E62"/>
    <w:rsid w:val="093C069F"/>
    <w:rsid w:val="09417888"/>
    <w:rsid w:val="09855177"/>
    <w:rsid w:val="09870F93"/>
    <w:rsid w:val="09D658E4"/>
    <w:rsid w:val="09F1637C"/>
    <w:rsid w:val="0A25628F"/>
    <w:rsid w:val="0A4B6015"/>
    <w:rsid w:val="0AA534D5"/>
    <w:rsid w:val="0AA650EB"/>
    <w:rsid w:val="0AB8066A"/>
    <w:rsid w:val="0AF47339"/>
    <w:rsid w:val="0AF9484C"/>
    <w:rsid w:val="0B22594B"/>
    <w:rsid w:val="0B797387"/>
    <w:rsid w:val="0B8B2381"/>
    <w:rsid w:val="0BC044BE"/>
    <w:rsid w:val="0BDF26F7"/>
    <w:rsid w:val="0C264099"/>
    <w:rsid w:val="0C2B4952"/>
    <w:rsid w:val="0C7B2220"/>
    <w:rsid w:val="0D834EE1"/>
    <w:rsid w:val="0D890E47"/>
    <w:rsid w:val="0DC64A00"/>
    <w:rsid w:val="0DFC60BA"/>
    <w:rsid w:val="0E4249F1"/>
    <w:rsid w:val="0E7B4FF1"/>
    <w:rsid w:val="0F6C5A53"/>
    <w:rsid w:val="0F7C5FF6"/>
    <w:rsid w:val="0FA171C4"/>
    <w:rsid w:val="0FC63FBD"/>
    <w:rsid w:val="100A0F53"/>
    <w:rsid w:val="106C564D"/>
    <w:rsid w:val="107B7B8F"/>
    <w:rsid w:val="107C67CE"/>
    <w:rsid w:val="1080523F"/>
    <w:rsid w:val="108F06C9"/>
    <w:rsid w:val="109D68CB"/>
    <w:rsid w:val="10A949B8"/>
    <w:rsid w:val="10C54639"/>
    <w:rsid w:val="10C7229A"/>
    <w:rsid w:val="11200D07"/>
    <w:rsid w:val="11BE646A"/>
    <w:rsid w:val="11DA73AF"/>
    <w:rsid w:val="11F62F4A"/>
    <w:rsid w:val="123346DD"/>
    <w:rsid w:val="1285542E"/>
    <w:rsid w:val="12C60D80"/>
    <w:rsid w:val="131867D4"/>
    <w:rsid w:val="131F7A3A"/>
    <w:rsid w:val="132645D0"/>
    <w:rsid w:val="13455ABC"/>
    <w:rsid w:val="1370322B"/>
    <w:rsid w:val="1373671E"/>
    <w:rsid w:val="13B27845"/>
    <w:rsid w:val="13BE469F"/>
    <w:rsid w:val="13F87121"/>
    <w:rsid w:val="141A03E1"/>
    <w:rsid w:val="143B2E0B"/>
    <w:rsid w:val="14672B11"/>
    <w:rsid w:val="14892735"/>
    <w:rsid w:val="14CC769D"/>
    <w:rsid w:val="157D38E3"/>
    <w:rsid w:val="15A96A60"/>
    <w:rsid w:val="15D359D7"/>
    <w:rsid w:val="15D81E0F"/>
    <w:rsid w:val="161771F3"/>
    <w:rsid w:val="16222D6D"/>
    <w:rsid w:val="163C77BE"/>
    <w:rsid w:val="16632F86"/>
    <w:rsid w:val="1679588C"/>
    <w:rsid w:val="16994962"/>
    <w:rsid w:val="16A71041"/>
    <w:rsid w:val="16AA24BF"/>
    <w:rsid w:val="16F72341"/>
    <w:rsid w:val="17680CAB"/>
    <w:rsid w:val="176E4128"/>
    <w:rsid w:val="1783371F"/>
    <w:rsid w:val="17E62B67"/>
    <w:rsid w:val="180C0192"/>
    <w:rsid w:val="180F4499"/>
    <w:rsid w:val="18221ECE"/>
    <w:rsid w:val="186A6D44"/>
    <w:rsid w:val="190B7894"/>
    <w:rsid w:val="19A2789F"/>
    <w:rsid w:val="1A2D3793"/>
    <w:rsid w:val="1A460CF5"/>
    <w:rsid w:val="1A7F297D"/>
    <w:rsid w:val="1AB16AC1"/>
    <w:rsid w:val="1B034A52"/>
    <w:rsid w:val="1B1F34AD"/>
    <w:rsid w:val="1B8D5DC6"/>
    <w:rsid w:val="1BA50D67"/>
    <w:rsid w:val="1BFE1D3B"/>
    <w:rsid w:val="1C2775EC"/>
    <w:rsid w:val="1C750ECE"/>
    <w:rsid w:val="1CA22168"/>
    <w:rsid w:val="1D0836D7"/>
    <w:rsid w:val="1D196139"/>
    <w:rsid w:val="1D6E4A9C"/>
    <w:rsid w:val="1DB85900"/>
    <w:rsid w:val="1DF051AF"/>
    <w:rsid w:val="1E010AF7"/>
    <w:rsid w:val="1E0178EB"/>
    <w:rsid w:val="1E301173"/>
    <w:rsid w:val="1E38333E"/>
    <w:rsid w:val="1E5C7612"/>
    <w:rsid w:val="1EA40BB4"/>
    <w:rsid w:val="1EEC42E9"/>
    <w:rsid w:val="1F43381C"/>
    <w:rsid w:val="1F4F1A21"/>
    <w:rsid w:val="1F691E82"/>
    <w:rsid w:val="1FA4148D"/>
    <w:rsid w:val="20121621"/>
    <w:rsid w:val="201A421D"/>
    <w:rsid w:val="20341172"/>
    <w:rsid w:val="204E554F"/>
    <w:rsid w:val="20590035"/>
    <w:rsid w:val="20C35213"/>
    <w:rsid w:val="20FC799E"/>
    <w:rsid w:val="216A3292"/>
    <w:rsid w:val="22154DDD"/>
    <w:rsid w:val="22213E42"/>
    <w:rsid w:val="22336873"/>
    <w:rsid w:val="23175889"/>
    <w:rsid w:val="233F7DD0"/>
    <w:rsid w:val="238C2182"/>
    <w:rsid w:val="239015D1"/>
    <w:rsid w:val="23BB4E7D"/>
    <w:rsid w:val="23C172D6"/>
    <w:rsid w:val="23F04F64"/>
    <w:rsid w:val="23F72C32"/>
    <w:rsid w:val="247051F5"/>
    <w:rsid w:val="24814CBE"/>
    <w:rsid w:val="24AC168B"/>
    <w:rsid w:val="25004EF6"/>
    <w:rsid w:val="258C3BEC"/>
    <w:rsid w:val="25E576CC"/>
    <w:rsid w:val="260E3862"/>
    <w:rsid w:val="262569FC"/>
    <w:rsid w:val="26344C98"/>
    <w:rsid w:val="26F56CE2"/>
    <w:rsid w:val="27295937"/>
    <w:rsid w:val="27435D49"/>
    <w:rsid w:val="27A34F71"/>
    <w:rsid w:val="27B36A67"/>
    <w:rsid w:val="27EB0D9B"/>
    <w:rsid w:val="27F17FF4"/>
    <w:rsid w:val="286602C8"/>
    <w:rsid w:val="28665C95"/>
    <w:rsid w:val="28A64522"/>
    <w:rsid w:val="28CC5B40"/>
    <w:rsid w:val="290B3EB9"/>
    <w:rsid w:val="291418C2"/>
    <w:rsid w:val="2950768C"/>
    <w:rsid w:val="29794227"/>
    <w:rsid w:val="297A5FC4"/>
    <w:rsid w:val="2A1113BC"/>
    <w:rsid w:val="2A8D4F8F"/>
    <w:rsid w:val="2A911082"/>
    <w:rsid w:val="2A917B34"/>
    <w:rsid w:val="2AAC5143"/>
    <w:rsid w:val="2AE3766F"/>
    <w:rsid w:val="2B4E32C6"/>
    <w:rsid w:val="2B7E4054"/>
    <w:rsid w:val="2BF22742"/>
    <w:rsid w:val="2C987C56"/>
    <w:rsid w:val="2CFF149A"/>
    <w:rsid w:val="2D1413BC"/>
    <w:rsid w:val="2D201865"/>
    <w:rsid w:val="2D4B5CEA"/>
    <w:rsid w:val="2D652658"/>
    <w:rsid w:val="2DC80C49"/>
    <w:rsid w:val="2DCA6355"/>
    <w:rsid w:val="2DF0699F"/>
    <w:rsid w:val="2E166748"/>
    <w:rsid w:val="2E556F01"/>
    <w:rsid w:val="2E8E20B4"/>
    <w:rsid w:val="2ED06066"/>
    <w:rsid w:val="2ED1223D"/>
    <w:rsid w:val="2EE470F7"/>
    <w:rsid w:val="2F000139"/>
    <w:rsid w:val="2F561B8A"/>
    <w:rsid w:val="2F9F42DC"/>
    <w:rsid w:val="2FE04319"/>
    <w:rsid w:val="2FF37AB3"/>
    <w:rsid w:val="308A038C"/>
    <w:rsid w:val="308C7755"/>
    <w:rsid w:val="30FF27D2"/>
    <w:rsid w:val="31170995"/>
    <w:rsid w:val="31264A30"/>
    <w:rsid w:val="31372D40"/>
    <w:rsid w:val="31547305"/>
    <w:rsid w:val="31871DCE"/>
    <w:rsid w:val="31884E67"/>
    <w:rsid w:val="31A0275E"/>
    <w:rsid w:val="31B7357A"/>
    <w:rsid w:val="31ED6B08"/>
    <w:rsid w:val="31F915C9"/>
    <w:rsid w:val="321449A9"/>
    <w:rsid w:val="325756CC"/>
    <w:rsid w:val="32610CE6"/>
    <w:rsid w:val="32631A32"/>
    <w:rsid w:val="328464CE"/>
    <w:rsid w:val="32AB70C5"/>
    <w:rsid w:val="32C83D5A"/>
    <w:rsid w:val="32DC33E0"/>
    <w:rsid w:val="335D0AF5"/>
    <w:rsid w:val="3370088C"/>
    <w:rsid w:val="33A3154A"/>
    <w:rsid w:val="33DC2F78"/>
    <w:rsid w:val="3428227C"/>
    <w:rsid w:val="34C629BA"/>
    <w:rsid w:val="35260F83"/>
    <w:rsid w:val="35602226"/>
    <w:rsid w:val="356B72E7"/>
    <w:rsid w:val="3572424F"/>
    <w:rsid w:val="35FC3844"/>
    <w:rsid w:val="361818EB"/>
    <w:rsid w:val="366061FD"/>
    <w:rsid w:val="36723877"/>
    <w:rsid w:val="36794DEF"/>
    <w:rsid w:val="36AD519D"/>
    <w:rsid w:val="36B57705"/>
    <w:rsid w:val="36C31310"/>
    <w:rsid w:val="374009F9"/>
    <w:rsid w:val="374F1A0B"/>
    <w:rsid w:val="37A103ED"/>
    <w:rsid w:val="37EA5E6E"/>
    <w:rsid w:val="37F77C8B"/>
    <w:rsid w:val="37FF016F"/>
    <w:rsid w:val="38427C0B"/>
    <w:rsid w:val="387C5ABE"/>
    <w:rsid w:val="389B3A1E"/>
    <w:rsid w:val="389E0191"/>
    <w:rsid w:val="38EB6119"/>
    <w:rsid w:val="394C3792"/>
    <w:rsid w:val="39DE33DA"/>
    <w:rsid w:val="39FA5B4A"/>
    <w:rsid w:val="39FE0BE9"/>
    <w:rsid w:val="3A3446CE"/>
    <w:rsid w:val="3A3C1AAF"/>
    <w:rsid w:val="3A424C25"/>
    <w:rsid w:val="3A4B7CC1"/>
    <w:rsid w:val="3A51228C"/>
    <w:rsid w:val="3A552E60"/>
    <w:rsid w:val="3A58524E"/>
    <w:rsid w:val="3A5D642F"/>
    <w:rsid w:val="3AB210FC"/>
    <w:rsid w:val="3ACE216B"/>
    <w:rsid w:val="3AD95C13"/>
    <w:rsid w:val="3B261E51"/>
    <w:rsid w:val="3B973F88"/>
    <w:rsid w:val="3BCD72F7"/>
    <w:rsid w:val="3BD40725"/>
    <w:rsid w:val="3BF267D2"/>
    <w:rsid w:val="3C414142"/>
    <w:rsid w:val="3C6C2B88"/>
    <w:rsid w:val="3CC34D7A"/>
    <w:rsid w:val="3CE114D9"/>
    <w:rsid w:val="3CF737A2"/>
    <w:rsid w:val="3CF7509A"/>
    <w:rsid w:val="3D10295A"/>
    <w:rsid w:val="3DEB2B5C"/>
    <w:rsid w:val="3E0572FD"/>
    <w:rsid w:val="3E1A5292"/>
    <w:rsid w:val="3E5A7FE7"/>
    <w:rsid w:val="3EC8179E"/>
    <w:rsid w:val="3EF66B2E"/>
    <w:rsid w:val="3F217914"/>
    <w:rsid w:val="3F942B76"/>
    <w:rsid w:val="3FC9176D"/>
    <w:rsid w:val="3FD70BB0"/>
    <w:rsid w:val="3FFB55AC"/>
    <w:rsid w:val="401C5F9D"/>
    <w:rsid w:val="401C690C"/>
    <w:rsid w:val="401D7195"/>
    <w:rsid w:val="405F1BE4"/>
    <w:rsid w:val="40A51286"/>
    <w:rsid w:val="40CE3DC0"/>
    <w:rsid w:val="40D7455A"/>
    <w:rsid w:val="40E302F1"/>
    <w:rsid w:val="40E743E5"/>
    <w:rsid w:val="40ED3F02"/>
    <w:rsid w:val="4110038E"/>
    <w:rsid w:val="41240F94"/>
    <w:rsid w:val="41734CBA"/>
    <w:rsid w:val="41836C0B"/>
    <w:rsid w:val="41B51F6B"/>
    <w:rsid w:val="41C01B53"/>
    <w:rsid w:val="41DD7057"/>
    <w:rsid w:val="420F7A65"/>
    <w:rsid w:val="4216611A"/>
    <w:rsid w:val="423E300F"/>
    <w:rsid w:val="425656C8"/>
    <w:rsid w:val="4257273C"/>
    <w:rsid w:val="425D7213"/>
    <w:rsid w:val="42677B61"/>
    <w:rsid w:val="42756DB0"/>
    <w:rsid w:val="42B21AD2"/>
    <w:rsid w:val="42EC3DA5"/>
    <w:rsid w:val="42FC51DB"/>
    <w:rsid w:val="42FD694D"/>
    <w:rsid w:val="434A6D8F"/>
    <w:rsid w:val="43A638A5"/>
    <w:rsid w:val="43D55863"/>
    <w:rsid w:val="43FA5777"/>
    <w:rsid w:val="44044D92"/>
    <w:rsid w:val="44134364"/>
    <w:rsid w:val="441C1611"/>
    <w:rsid w:val="443C440B"/>
    <w:rsid w:val="443F7DBF"/>
    <w:rsid w:val="44514F52"/>
    <w:rsid w:val="4470096F"/>
    <w:rsid w:val="448965CB"/>
    <w:rsid w:val="44B35566"/>
    <w:rsid w:val="44C5497E"/>
    <w:rsid w:val="44FA2D53"/>
    <w:rsid w:val="4571374F"/>
    <w:rsid w:val="458B1BB0"/>
    <w:rsid w:val="4611075B"/>
    <w:rsid w:val="46214818"/>
    <w:rsid w:val="467A0297"/>
    <w:rsid w:val="468B7125"/>
    <w:rsid w:val="46C4691F"/>
    <w:rsid w:val="47841568"/>
    <w:rsid w:val="479D1D34"/>
    <w:rsid w:val="47B609C0"/>
    <w:rsid w:val="47CF543E"/>
    <w:rsid w:val="482D31EA"/>
    <w:rsid w:val="485970A0"/>
    <w:rsid w:val="48847961"/>
    <w:rsid w:val="48A41906"/>
    <w:rsid w:val="48B65C71"/>
    <w:rsid w:val="48C525AA"/>
    <w:rsid w:val="48F303D7"/>
    <w:rsid w:val="492837FF"/>
    <w:rsid w:val="492E6A57"/>
    <w:rsid w:val="49385671"/>
    <w:rsid w:val="49B86103"/>
    <w:rsid w:val="49CD5977"/>
    <w:rsid w:val="49E5412E"/>
    <w:rsid w:val="4A0030EE"/>
    <w:rsid w:val="4A98167C"/>
    <w:rsid w:val="4A9E2E1A"/>
    <w:rsid w:val="4AC36065"/>
    <w:rsid w:val="4B1926BD"/>
    <w:rsid w:val="4B560086"/>
    <w:rsid w:val="4B7501F5"/>
    <w:rsid w:val="4B8C2DEB"/>
    <w:rsid w:val="4BFA3C9F"/>
    <w:rsid w:val="4BFA5F71"/>
    <w:rsid w:val="4C0E3379"/>
    <w:rsid w:val="4C107F48"/>
    <w:rsid w:val="4C3277BC"/>
    <w:rsid w:val="4C686851"/>
    <w:rsid w:val="4CB25875"/>
    <w:rsid w:val="4CC353EB"/>
    <w:rsid w:val="4CEA1FD2"/>
    <w:rsid w:val="4CF36F3C"/>
    <w:rsid w:val="4CF428DD"/>
    <w:rsid w:val="4D4F67BA"/>
    <w:rsid w:val="4D603399"/>
    <w:rsid w:val="4D867EE1"/>
    <w:rsid w:val="4DBC4C65"/>
    <w:rsid w:val="4DF6568D"/>
    <w:rsid w:val="4E2E1A80"/>
    <w:rsid w:val="4E550010"/>
    <w:rsid w:val="4E5F14CB"/>
    <w:rsid w:val="4EBA5055"/>
    <w:rsid w:val="4F3705F8"/>
    <w:rsid w:val="4F651D09"/>
    <w:rsid w:val="4FAC3540"/>
    <w:rsid w:val="4FBB12F4"/>
    <w:rsid w:val="4FCF1583"/>
    <w:rsid w:val="4FFA7625"/>
    <w:rsid w:val="501B0BF9"/>
    <w:rsid w:val="50547451"/>
    <w:rsid w:val="507D2599"/>
    <w:rsid w:val="5096229D"/>
    <w:rsid w:val="50B44FCE"/>
    <w:rsid w:val="50DC4184"/>
    <w:rsid w:val="51475B39"/>
    <w:rsid w:val="514C3EA7"/>
    <w:rsid w:val="519849E5"/>
    <w:rsid w:val="51B36892"/>
    <w:rsid w:val="52506DA7"/>
    <w:rsid w:val="526F57A8"/>
    <w:rsid w:val="533B2B84"/>
    <w:rsid w:val="537A7243"/>
    <w:rsid w:val="539C1B81"/>
    <w:rsid w:val="53AA6184"/>
    <w:rsid w:val="53AE750F"/>
    <w:rsid w:val="53CA212D"/>
    <w:rsid w:val="53EB0895"/>
    <w:rsid w:val="53F263AD"/>
    <w:rsid w:val="54371482"/>
    <w:rsid w:val="54693932"/>
    <w:rsid w:val="549A6BFA"/>
    <w:rsid w:val="54DA0AFD"/>
    <w:rsid w:val="54E72921"/>
    <w:rsid w:val="551C69EE"/>
    <w:rsid w:val="55806F07"/>
    <w:rsid w:val="55FA2961"/>
    <w:rsid w:val="565E3E0E"/>
    <w:rsid w:val="565E7F4F"/>
    <w:rsid w:val="56775789"/>
    <w:rsid w:val="56857D06"/>
    <w:rsid w:val="56914056"/>
    <w:rsid w:val="569F0E63"/>
    <w:rsid w:val="56DB613D"/>
    <w:rsid w:val="56F5149D"/>
    <w:rsid w:val="573810DA"/>
    <w:rsid w:val="57FC2169"/>
    <w:rsid w:val="58096275"/>
    <w:rsid w:val="580E4560"/>
    <w:rsid w:val="581C04F1"/>
    <w:rsid w:val="582E6EF7"/>
    <w:rsid w:val="58434392"/>
    <w:rsid w:val="584E30E6"/>
    <w:rsid w:val="59014D02"/>
    <w:rsid w:val="597B384D"/>
    <w:rsid w:val="59996DA8"/>
    <w:rsid w:val="59AC3CE9"/>
    <w:rsid w:val="59C30F1B"/>
    <w:rsid w:val="5A0D5854"/>
    <w:rsid w:val="5A20156F"/>
    <w:rsid w:val="5A643F87"/>
    <w:rsid w:val="5A8E5D27"/>
    <w:rsid w:val="5A9847F3"/>
    <w:rsid w:val="5AC7121C"/>
    <w:rsid w:val="5AD90B8D"/>
    <w:rsid w:val="5AE12927"/>
    <w:rsid w:val="5B2243E9"/>
    <w:rsid w:val="5B4E1A44"/>
    <w:rsid w:val="5B666742"/>
    <w:rsid w:val="5B6919B0"/>
    <w:rsid w:val="5B873201"/>
    <w:rsid w:val="5B89551D"/>
    <w:rsid w:val="5B967767"/>
    <w:rsid w:val="5B9E55DE"/>
    <w:rsid w:val="5BD229A8"/>
    <w:rsid w:val="5C1D18D2"/>
    <w:rsid w:val="5C1D2403"/>
    <w:rsid w:val="5C286807"/>
    <w:rsid w:val="5C446BC8"/>
    <w:rsid w:val="5C4C687B"/>
    <w:rsid w:val="5C564D67"/>
    <w:rsid w:val="5C6413B5"/>
    <w:rsid w:val="5C7C2768"/>
    <w:rsid w:val="5CB23AE6"/>
    <w:rsid w:val="5CF55792"/>
    <w:rsid w:val="5CFD533A"/>
    <w:rsid w:val="5D893B14"/>
    <w:rsid w:val="5D9F3D30"/>
    <w:rsid w:val="5E2810D5"/>
    <w:rsid w:val="5E2B7D62"/>
    <w:rsid w:val="5E71411E"/>
    <w:rsid w:val="5EA06921"/>
    <w:rsid w:val="5ED5006A"/>
    <w:rsid w:val="5F576E4B"/>
    <w:rsid w:val="5F5D4EDE"/>
    <w:rsid w:val="5F67086A"/>
    <w:rsid w:val="5F7A2C30"/>
    <w:rsid w:val="5FBE370A"/>
    <w:rsid w:val="60292845"/>
    <w:rsid w:val="60482CBF"/>
    <w:rsid w:val="60B16EF7"/>
    <w:rsid w:val="61027308"/>
    <w:rsid w:val="612E1A5D"/>
    <w:rsid w:val="61816046"/>
    <w:rsid w:val="62182687"/>
    <w:rsid w:val="623627B6"/>
    <w:rsid w:val="62391564"/>
    <w:rsid w:val="62816669"/>
    <w:rsid w:val="62BA0953"/>
    <w:rsid w:val="62D03A7C"/>
    <w:rsid w:val="62F16BCB"/>
    <w:rsid w:val="62F648FE"/>
    <w:rsid w:val="63341DB1"/>
    <w:rsid w:val="63447612"/>
    <w:rsid w:val="63907004"/>
    <w:rsid w:val="63A10995"/>
    <w:rsid w:val="63C23EFA"/>
    <w:rsid w:val="64280803"/>
    <w:rsid w:val="643A070A"/>
    <w:rsid w:val="644C573D"/>
    <w:rsid w:val="648667A7"/>
    <w:rsid w:val="64DB383A"/>
    <w:rsid w:val="65032F85"/>
    <w:rsid w:val="65136B50"/>
    <w:rsid w:val="657E2A35"/>
    <w:rsid w:val="65A94E9D"/>
    <w:rsid w:val="65C60A92"/>
    <w:rsid w:val="662203DD"/>
    <w:rsid w:val="666B723B"/>
    <w:rsid w:val="6678045A"/>
    <w:rsid w:val="66DD6702"/>
    <w:rsid w:val="679406CB"/>
    <w:rsid w:val="67AB52F1"/>
    <w:rsid w:val="67C35C0B"/>
    <w:rsid w:val="681233D2"/>
    <w:rsid w:val="681D5EE5"/>
    <w:rsid w:val="68652AB3"/>
    <w:rsid w:val="6895578E"/>
    <w:rsid w:val="689F1926"/>
    <w:rsid w:val="68AD17BB"/>
    <w:rsid w:val="68D94D22"/>
    <w:rsid w:val="692B2E4A"/>
    <w:rsid w:val="694303FB"/>
    <w:rsid w:val="696A0B34"/>
    <w:rsid w:val="697A54D8"/>
    <w:rsid w:val="698D6A17"/>
    <w:rsid w:val="69A233E7"/>
    <w:rsid w:val="69BF453B"/>
    <w:rsid w:val="69EE3535"/>
    <w:rsid w:val="69F954C1"/>
    <w:rsid w:val="6A1A20CB"/>
    <w:rsid w:val="6A2031B6"/>
    <w:rsid w:val="6A440C53"/>
    <w:rsid w:val="6AC61F6F"/>
    <w:rsid w:val="6ADE74F0"/>
    <w:rsid w:val="6B1002C0"/>
    <w:rsid w:val="6B1F5CFA"/>
    <w:rsid w:val="6B723594"/>
    <w:rsid w:val="6B805156"/>
    <w:rsid w:val="6BD50977"/>
    <w:rsid w:val="6BEA2A9B"/>
    <w:rsid w:val="6C9C0875"/>
    <w:rsid w:val="6C9D1F03"/>
    <w:rsid w:val="6C9F66A7"/>
    <w:rsid w:val="6CAA3931"/>
    <w:rsid w:val="6D3933CA"/>
    <w:rsid w:val="6D7B61EC"/>
    <w:rsid w:val="6DC3266E"/>
    <w:rsid w:val="6DD049FF"/>
    <w:rsid w:val="6E09491E"/>
    <w:rsid w:val="6E0D3655"/>
    <w:rsid w:val="6E5D7B7F"/>
    <w:rsid w:val="6E5F4465"/>
    <w:rsid w:val="6E8C54DA"/>
    <w:rsid w:val="6E9C28B4"/>
    <w:rsid w:val="6EF10568"/>
    <w:rsid w:val="6EF11E03"/>
    <w:rsid w:val="6F111C62"/>
    <w:rsid w:val="6F2176E5"/>
    <w:rsid w:val="6F3053CA"/>
    <w:rsid w:val="6F592303"/>
    <w:rsid w:val="6F5F5B74"/>
    <w:rsid w:val="6F9B1C65"/>
    <w:rsid w:val="6FA41D2C"/>
    <w:rsid w:val="6FD47A25"/>
    <w:rsid w:val="6FF44026"/>
    <w:rsid w:val="6FFB146E"/>
    <w:rsid w:val="701A5C74"/>
    <w:rsid w:val="706516C3"/>
    <w:rsid w:val="70864A71"/>
    <w:rsid w:val="70896E68"/>
    <w:rsid w:val="71434811"/>
    <w:rsid w:val="714556B4"/>
    <w:rsid w:val="715B60E9"/>
    <w:rsid w:val="71BD259C"/>
    <w:rsid w:val="71E96309"/>
    <w:rsid w:val="71EA1FED"/>
    <w:rsid w:val="72284A0C"/>
    <w:rsid w:val="72C16204"/>
    <w:rsid w:val="730313F6"/>
    <w:rsid w:val="731E1007"/>
    <w:rsid w:val="73370D24"/>
    <w:rsid w:val="7359268C"/>
    <w:rsid w:val="739503EB"/>
    <w:rsid w:val="73A05B28"/>
    <w:rsid w:val="73C07D69"/>
    <w:rsid w:val="74353B6B"/>
    <w:rsid w:val="749E2255"/>
    <w:rsid w:val="74B42AE4"/>
    <w:rsid w:val="750A429D"/>
    <w:rsid w:val="75167F59"/>
    <w:rsid w:val="754D77D2"/>
    <w:rsid w:val="755D38A7"/>
    <w:rsid w:val="755F5A0F"/>
    <w:rsid w:val="75614792"/>
    <w:rsid w:val="756E5849"/>
    <w:rsid w:val="75784473"/>
    <w:rsid w:val="757E044C"/>
    <w:rsid w:val="75977BC3"/>
    <w:rsid w:val="759C54AC"/>
    <w:rsid w:val="75B161B3"/>
    <w:rsid w:val="75E470E3"/>
    <w:rsid w:val="76690B0A"/>
    <w:rsid w:val="76736B32"/>
    <w:rsid w:val="76E3765E"/>
    <w:rsid w:val="76FC2AFA"/>
    <w:rsid w:val="773F0836"/>
    <w:rsid w:val="77653671"/>
    <w:rsid w:val="777D65C8"/>
    <w:rsid w:val="778546CC"/>
    <w:rsid w:val="77B56730"/>
    <w:rsid w:val="77C04A8B"/>
    <w:rsid w:val="77D85DB3"/>
    <w:rsid w:val="780252A0"/>
    <w:rsid w:val="78027772"/>
    <w:rsid w:val="78A50513"/>
    <w:rsid w:val="793B7339"/>
    <w:rsid w:val="794115D0"/>
    <w:rsid w:val="796518DD"/>
    <w:rsid w:val="796E0C55"/>
    <w:rsid w:val="79AA0532"/>
    <w:rsid w:val="79C17E21"/>
    <w:rsid w:val="79F70999"/>
    <w:rsid w:val="79FE1DDD"/>
    <w:rsid w:val="7A075767"/>
    <w:rsid w:val="7A212062"/>
    <w:rsid w:val="7A280608"/>
    <w:rsid w:val="7A282A11"/>
    <w:rsid w:val="7AB90FF6"/>
    <w:rsid w:val="7ABB7B1D"/>
    <w:rsid w:val="7AC21562"/>
    <w:rsid w:val="7AD474A4"/>
    <w:rsid w:val="7B115232"/>
    <w:rsid w:val="7B416BDC"/>
    <w:rsid w:val="7B5350AD"/>
    <w:rsid w:val="7B6867EB"/>
    <w:rsid w:val="7B697C89"/>
    <w:rsid w:val="7B8D34C3"/>
    <w:rsid w:val="7B971D84"/>
    <w:rsid w:val="7BF32F03"/>
    <w:rsid w:val="7C1724A5"/>
    <w:rsid w:val="7C5E03C9"/>
    <w:rsid w:val="7C8E3CCF"/>
    <w:rsid w:val="7CA54112"/>
    <w:rsid w:val="7CD772C5"/>
    <w:rsid w:val="7CE50CE4"/>
    <w:rsid w:val="7D2177E3"/>
    <w:rsid w:val="7D2E5ABF"/>
    <w:rsid w:val="7D3C1036"/>
    <w:rsid w:val="7D9E3C29"/>
    <w:rsid w:val="7DAA526C"/>
    <w:rsid w:val="7E2142A2"/>
    <w:rsid w:val="7E4F5384"/>
    <w:rsid w:val="7E5A6DFA"/>
    <w:rsid w:val="7E7B0BF2"/>
    <w:rsid w:val="7E7C7A78"/>
    <w:rsid w:val="7E8D75B6"/>
    <w:rsid w:val="7EB2417D"/>
    <w:rsid w:val="7EB67B60"/>
    <w:rsid w:val="7EE67601"/>
    <w:rsid w:val="7EF760EE"/>
    <w:rsid w:val="7F2A21E7"/>
    <w:rsid w:val="7F763FE8"/>
    <w:rsid w:val="7FBD2F2E"/>
    <w:rsid w:val="7FD34AD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iPriority="99"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semiHidden="0" w:name="toc 2"/>
    <w:lsdException w:qFormat="1" w:uiPriority="39" w:semiHidden="0" w:name="toc 3"/>
    <w:lsdException w:qFormat="1" w:uiPriority="39" w:semiHidden="0" w:name="toc 4"/>
    <w:lsdException w:uiPriority="39" w:name="toc 5"/>
    <w:lsdException w:qFormat="1" w:unhideWhenUsed="0" w:uiPriority="0" w:semiHidden="0"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qFormat="1" w:unhideWhenUsed="0" w:uiPriority="0" w:semiHidden="0"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line="360" w:lineRule="auto"/>
    </w:pPr>
    <w:rPr>
      <w:rFonts w:ascii="Tahoma" w:hAnsi="Tahoma" w:eastAsia="宋体" w:cstheme="minorBidi"/>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3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32"/>
    <w:unhideWhenUsed/>
    <w:qFormat/>
    <w:uiPriority w:val="9"/>
    <w:pPr>
      <w:keepNext/>
      <w:keepLines/>
      <w:spacing w:line="360" w:lineRule="auto"/>
      <w:outlineLvl w:val="2"/>
    </w:pPr>
    <w:rPr>
      <w:rFonts w:eastAsia="宋体"/>
      <w:b/>
      <w:bCs/>
      <w:sz w:val="28"/>
      <w:szCs w:val="32"/>
    </w:rPr>
  </w:style>
  <w:style w:type="paragraph" w:styleId="5">
    <w:name w:val="heading 4"/>
    <w:basedOn w:val="1"/>
    <w:next w:val="1"/>
    <w:link w:val="34"/>
    <w:unhideWhenUsed/>
    <w:qFormat/>
    <w:uiPriority w:val="9"/>
    <w:pPr>
      <w:keepNext/>
      <w:keepLines/>
      <w:spacing w:line="360" w:lineRule="auto"/>
      <w:outlineLvl w:val="3"/>
    </w:pPr>
    <w:rPr>
      <w:rFonts w:eastAsia="宋体" w:asciiTheme="majorAscii" w:hAnsiTheme="majorAscii" w:cstheme="majorBidi"/>
      <w:b/>
      <w:bCs/>
      <w:sz w:val="24"/>
      <w:szCs w:val="28"/>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6">
    <w:name w:val="annotation text"/>
    <w:basedOn w:val="1"/>
    <w:semiHidden/>
    <w:unhideWhenUsed/>
    <w:qFormat/>
    <w:uiPriority w:val="99"/>
  </w:style>
  <w:style w:type="paragraph" w:styleId="7">
    <w:name w:val="Body Text"/>
    <w:basedOn w:val="1"/>
    <w:next w:val="8"/>
    <w:qFormat/>
    <w:uiPriority w:val="1"/>
    <w:pPr>
      <w:spacing w:before="161"/>
      <w:ind w:left="120"/>
    </w:pPr>
    <w:rPr>
      <w:rFonts w:ascii="宋体" w:hAnsi="宋体" w:eastAsia="宋体" w:cs="宋体"/>
      <w:sz w:val="24"/>
      <w:lang w:val="zh-CN" w:bidi="zh-CN"/>
    </w:rPr>
  </w:style>
  <w:style w:type="paragraph" w:styleId="8">
    <w:name w:val="Body Text First Indent"/>
    <w:basedOn w:val="7"/>
    <w:next w:val="9"/>
    <w:unhideWhenUsed/>
    <w:qFormat/>
    <w:uiPriority w:val="99"/>
    <w:pPr>
      <w:ind w:firstLine="420" w:firstLineChars="100"/>
    </w:pPr>
    <w:rPr>
      <w:rFonts w:ascii="Times New Roman" w:hAnsi="Times New Roman" w:cs="Times New Roman"/>
    </w:rPr>
  </w:style>
  <w:style w:type="paragraph" w:styleId="9">
    <w:name w:val="toc 6"/>
    <w:basedOn w:val="1"/>
    <w:next w:val="1"/>
    <w:qFormat/>
    <w:uiPriority w:val="0"/>
    <w:pPr>
      <w:ind w:left="1200"/>
    </w:pPr>
    <w:rPr>
      <w:rFonts w:ascii="Calibri" w:cs="Calibri"/>
      <w:sz w:val="18"/>
      <w:szCs w:val="18"/>
    </w:rPr>
  </w:style>
  <w:style w:type="paragraph" w:styleId="10">
    <w:name w:val="toc 3"/>
    <w:basedOn w:val="1"/>
    <w:next w:val="1"/>
    <w:unhideWhenUsed/>
    <w:qFormat/>
    <w:uiPriority w:val="39"/>
    <w:pPr>
      <w:tabs>
        <w:tab w:val="right" w:leader="dot" w:pos="8296"/>
      </w:tabs>
      <w:ind w:left="838" w:leftChars="381"/>
    </w:pPr>
    <w:rPr>
      <w:sz w:val="21"/>
      <w:szCs w:val="21"/>
    </w:rPr>
  </w:style>
  <w:style w:type="paragraph" w:styleId="11">
    <w:name w:val="Plain Text"/>
    <w:basedOn w:val="1"/>
    <w:link w:val="45"/>
    <w:qFormat/>
    <w:uiPriority w:val="0"/>
    <w:pPr>
      <w:widowControl w:val="0"/>
      <w:adjustRightInd/>
      <w:snapToGrid/>
      <w:spacing w:after="0"/>
      <w:jc w:val="both"/>
    </w:pPr>
    <w:rPr>
      <w:rFonts w:ascii="宋体" w:hAnsi="Courier New" w:eastAsia="宋体" w:cs="Times New Roman"/>
      <w:b/>
      <w:kern w:val="2"/>
      <w:sz w:val="21"/>
      <w:szCs w:val="20"/>
    </w:rPr>
  </w:style>
  <w:style w:type="paragraph" w:styleId="12">
    <w:name w:val="Body Text Indent 2"/>
    <w:basedOn w:val="1"/>
    <w:qFormat/>
    <w:uiPriority w:val="0"/>
    <w:pPr>
      <w:ind w:firstLine="539" w:firstLineChars="174"/>
    </w:pPr>
    <w:rPr>
      <w:rFonts w:ascii="仿宋_GB2312" w:eastAsia="仿宋_GB2312"/>
      <w:sz w:val="31"/>
    </w:rPr>
  </w:style>
  <w:style w:type="paragraph" w:styleId="13">
    <w:name w:val="Balloon Text"/>
    <w:basedOn w:val="1"/>
    <w:link w:val="48"/>
    <w:semiHidden/>
    <w:unhideWhenUsed/>
    <w:qFormat/>
    <w:uiPriority w:val="99"/>
    <w:pPr>
      <w:spacing w:after="0"/>
    </w:pPr>
    <w:rPr>
      <w:sz w:val="18"/>
      <w:szCs w:val="18"/>
    </w:rPr>
  </w:style>
  <w:style w:type="paragraph" w:styleId="14">
    <w:name w:val="footer"/>
    <w:basedOn w:val="1"/>
    <w:link w:val="47"/>
    <w:unhideWhenUsed/>
    <w:qFormat/>
    <w:uiPriority w:val="99"/>
    <w:pPr>
      <w:tabs>
        <w:tab w:val="center" w:pos="4153"/>
        <w:tab w:val="right" w:pos="8306"/>
      </w:tabs>
    </w:pPr>
    <w:rPr>
      <w:sz w:val="18"/>
      <w:szCs w:val="18"/>
    </w:rPr>
  </w:style>
  <w:style w:type="paragraph" w:styleId="15">
    <w:name w:val="header"/>
    <w:basedOn w:val="1"/>
    <w:link w:val="46"/>
    <w:unhideWhenUsed/>
    <w:qFormat/>
    <w:uiPriority w:val="99"/>
    <w:pPr>
      <w:pBdr>
        <w:bottom w:val="single" w:color="auto" w:sz="6" w:space="1"/>
      </w:pBdr>
      <w:tabs>
        <w:tab w:val="center" w:pos="4153"/>
        <w:tab w:val="right" w:pos="8306"/>
      </w:tabs>
      <w:jc w:val="center"/>
    </w:pPr>
    <w:rPr>
      <w:sz w:val="18"/>
      <w:szCs w:val="18"/>
    </w:rPr>
  </w:style>
  <w:style w:type="paragraph" w:styleId="16">
    <w:name w:val="toc 1"/>
    <w:basedOn w:val="1"/>
    <w:next w:val="1"/>
    <w:semiHidden/>
    <w:unhideWhenUsed/>
    <w:qFormat/>
    <w:uiPriority w:val="39"/>
  </w:style>
  <w:style w:type="paragraph" w:styleId="17">
    <w:name w:val="toc 4"/>
    <w:basedOn w:val="1"/>
    <w:next w:val="1"/>
    <w:unhideWhenUsed/>
    <w:qFormat/>
    <w:uiPriority w:val="39"/>
    <w:pPr>
      <w:tabs>
        <w:tab w:val="right" w:leader="dot" w:pos="8296"/>
      </w:tabs>
      <w:spacing w:after="120"/>
      <w:ind w:left="1320" w:leftChars="600"/>
    </w:pPr>
  </w:style>
  <w:style w:type="paragraph" w:styleId="18">
    <w:name w:val="index heading"/>
    <w:basedOn w:val="1"/>
    <w:next w:val="19"/>
    <w:qFormat/>
    <w:uiPriority w:val="0"/>
    <w:rPr>
      <w:rFonts w:ascii="Times New Roman" w:hAnsi="Times New Roman"/>
      <w:szCs w:val="20"/>
    </w:rPr>
  </w:style>
  <w:style w:type="paragraph" w:styleId="19">
    <w:name w:val="index 1"/>
    <w:basedOn w:val="1"/>
    <w:next w:val="1"/>
    <w:unhideWhenUsed/>
    <w:qFormat/>
    <w:uiPriority w:val="99"/>
  </w:style>
  <w:style w:type="paragraph" w:styleId="20">
    <w:name w:val="footnote text"/>
    <w:basedOn w:val="1"/>
    <w:semiHidden/>
    <w:unhideWhenUsed/>
    <w:qFormat/>
    <w:uiPriority w:val="99"/>
    <w:pPr>
      <w:snapToGrid w:val="0"/>
      <w:jc w:val="left"/>
    </w:pPr>
    <w:rPr>
      <w:sz w:val="18"/>
    </w:rPr>
  </w:style>
  <w:style w:type="paragraph" w:styleId="21">
    <w:name w:val="toc 2"/>
    <w:basedOn w:val="1"/>
    <w:next w:val="1"/>
    <w:unhideWhenUsed/>
    <w:qFormat/>
    <w:uiPriority w:val="39"/>
    <w:pPr>
      <w:tabs>
        <w:tab w:val="right" w:leader="dot" w:pos="8296"/>
      </w:tabs>
      <w:spacing w:after="0" w:line="360" w:lineRule="auto"/>
      <w:ind w:left="440" w:leftChars="200"/>
      <w:jc w:val="center"/>
    </w:pPr>
    <w:rPr>
      <w:rFonts w:ascii="宋体" w:hAnsi="宋体" w:eastAsia="宋体"/>
      <w:sz w:val="30"/>
      <w:szCs w:val="30"/>
    </w:rPr>
  </w:style>
  <w:style w:type="paragraph" w:styleId="22">
    <w:name w:val="Normal (Web)"/>
    <w:basedOn w:val="1"/>
    <w:link w:val="50"/>
    <w:qFormat/>
    <w:uiPriority w:val="0"/>
    <w:pPr>
      <w:widowControl w:val="0"/>
      <w:adjustRightInd/>
      <w:snapToGrid/>
      <w:spacing w:after="0"/>
      <w:jc w:val="both"/>
    </w:pPr>
    <w:rPr>
      <w:rFonts w:eastAsia="宋体" w:asciiTheme="minorHAnsi" w:hAnsiTheme="minorHAnsi"/>
      <w:kern w:val="2"/>
      <w:sz w:val="24"/>
      <w:szCs w:val="24"/>
    </w:rPr>
  </w:style>
  <w:style w:type="table" w:styleId="24">
    <w:name w:val="Table Grid"/>
    <w:basedOn w:val="2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Emphasis"/>
    <w:basedOn w:val="25"/>
    <w:qFormat/>
    <w:uiPriority w:val="20"/>
    <w:rPr>
      <w:i/>
      <w:iCs/>
    </w:rPr>
  </w:style>
  <w:style w:type="character" w:styleId="27">
    <w:name w:val="Hyperlink"/>
    <w:qFormat/>
    <w:uiPriority w:val="99"/>
    <w:rPr>
      <w:rFonts w:hint="eastAsia" w:ascii="宋体" w:hAnsi="宋体" w:eastAsia="宋体" w:cs="宋体"/>
      <w:b/>
      <w:color w:val="0031C1"/>
      <w:kern w:val="0"/>
      <w:sz w:val="18"/>
      <w:szCs w:val="18"/>
      <w:u w:val="none"/>
      <w:lang w:eastAsia="en-US"/>
    </w:rPr>
  </w:style>
  <w:style w:type="character" w:styleId="28">
    <w:name w:val="annotation reference"/>
    <w:basedOn w:val="25"/>
    <w:semiHidden/>
    <w:unhideWhenUsed/>
    <w:qFormat/>
    <w:uiPriority w:val="99"/>
    <w:rPr>
      <w:sz w:val="21"/>
      <w:szCs w:val="21"/>
    </w:rPr>
  </w:style>
  <w:style w:type="character" w:styleId="29">
    <w:name w:val="footnote reference"/>
    <w:basedOn w:val="25"/>
    <w:semiHidden/>
    <w:unhideWhenUsed/>
    <w:qFormat/>
    <w:uiPriority w:val="99"/>
    <w:rPr>
      <w:vertAlign w:val="superscript"/>
    </w:rPr>
  </w:style>
  <w:style w:type="paragraph" w:customStyle="1" w:styleId="30">
    <w:name w:val="表格文字"/>
    <w:basedOn w:val="1"/>
    <w:qFormat/>
    <w:uiPriority w:val="0"/>
    <w:pPr>
      <w:autoSpaceDE/>
      <w:autoSpaceDN/>
      <w:adjustRightInd/>
      <w:spacing w:before="25" w:after="25"/>
    </w:pPr>
    <w:rPr>
      <w:rFonts w:ascii="Times New Roman"/>
      <w:bCs/>
      <w:spacing w:val="10"/>
      <w:szCs w:val="20"/>
    </w:rPr>
  </w:style>
  <w:style w:type="character" w:customStyle="1" w:styleId="31">
    <w:name w:val="标题 2 Char"/>
    <w:basedOn w:val="25"/>
    <w:link w:val="3"/>
    <w:qFormat/>
    <w:uiPriority w:val="9"/>
    <w:rPr>
      <w:rFonts w:asciiTheme="majorHAnsi" w:hAnsiTheme="majorHAnsi" w:eastAsiaTheme="majorEastAsia" w:cstheme="majorBidi"/>
      <w:b/>
      <w:bCs/>
      <w:sz w:val="32"/>
      <w:szCs w:val="32"/>
    </w:rPr>
  </w:style>
  <w:style w:type="character" w:customStyle="1" w:styleId="32">
    <w:name w:val="标题 3 Char"/>
    <w:basedOn w:val="25"/>
    <w:link w:val="4"/>
    <w:qFormat/>
    <w:uiPriority w:val="9"/>
    <w:rPr>
      <w:rFonts w:ascii="Tahoma" w:hAnsi="Tahoma" w:eastAsia="宋体"/>
      <w:b/>
      <w:bCs/>
      <w:sz w:val="28"/>
      <w:szCs w:val="32"/>
    </w:rPr>
  </w:style>
  <w:style w:type="paragraph" w:styleId="33">
    <w:name w:val="List Paragraph"/>
    <w:basedOn w:val="1"/>
    <w:qFormat/>
    <w:uiPriority w:val="34"/>
    <w:pPr>
      <w:ind w:firstLine="420" w:firstLineChars="200"/>
    </w:pPr>
  </w:style>
  <w:style w:type="character" w:customStyle="1" w:styleId="34">
    <w:name w:val="标题 4 Char"/>
    <w:basedOn w:val="25"/>
    <w:link w:val="5"/>
    <w:qFormat/>
    <w:uiPriority w:val="9"/>
    <w:rPr>
      <w:rFonts w:eastAsia="宋体" w:asciiTheme="majorAscii" w:hAnsiTheme="majorAscii" w:cstheme="majorBidi"/>
      <w:b/>
      <w:bCs/>
      <w:sz w:val="24"/>
      <w:szCs w:val="28"/>
    </w:rPr>
  </w:style>
  <w:style w:type="character" w:customStyle="1" w:styleId="35">
    <w:name w:val="正文缩进2格 Char"/>
    <w:link w:val="36"/>
    <w:qFormat/>
    <w:uiPriority w:val="0"/>
    <w:rPr>
      <w:rFonts w:ascii="仿宋_GB2312" w:hAnsi="宋体" w:eastAsia="仿宋_GB2312"/>
      <w:kern w:val="2"/>
      <w:sz w:val="31"/>
    </w:rPr>
  </w:style>
  <w:style w:type="paragraph" w:customStyle="1" w:styleId="36">
    <w:name w:val="正文缩进2格"/>
    <w:basedOn w:val="1"/>
    <w:link w:val="35"/>
    <w:qFormat/>
    <w:uiPriority w:val="0"/>
    <w:pPr>
      <w:widowControl w:val="0"/>
      <w:adjustRightInd/>
      <w:snapToGrid/>
      <w:spacing w:after="0" w:line="600" w:lineRule="exact"/>
      <w:ind w:firstLine="639" w:firstLineChars="206"/>
      <w:jc w:val="both"/>
    </w:pPr>
    <w:rPr>
      <w:rFonts w:ascii="仿宋_GB2312" w:hAnsi="宋体" w:eastAsia="仿宋_GB2312"/>
      <w:kern w:val="2"/>
      <w:sz w:val="31"/>
    </w:rPr>
  </w:style>
  <w:style w:type="paragraph" w:customStyle="1" w:styleId="37">
    <w:name w:val="正文缩进4格"/>
    <w:basedOn w:val="36"/>
    <w:qFormat/>
    <w:uiPriority w:val="0"/>
    <w:pPr>
      <w:ind w:left="2" w:firstLine="538" w:firstLineChars="192"/>
    </w:pPr>
    <w:rPr>
      <w:color w:val="0000FF"/>
      <w:sz w:val="28"/>
    </w:rPr>
  </w:style>
  <w:style w:type="character" w:customStyle="1" w:styleId="38">
    <w:name w:val="正文缩进2格 Char Char"/>
    <w:qFormat/>
    <w:uiPriority w:val="0"/>
    <w:rPr>
      <w:rFonts w:ascii="仿宋_GB2312" w:hAnsi="宋体" w:eastAsia="仿宋_GB2312" w:cs="Times New Roman"/>
      <w:b/>
      <w:kern w:val="2"/>
      <w:sz w:val="31"/>
      <w:szCs w:val="28"/>
      <w:lang w:val="en-US" w:eastAsia="zh-CN" w:bidi="ar-SA"/>
    </w:rPr>
  </w:style>
  <w:style w:type="paragraph" w:customStyle="1" w:styleId="39">
    <w:name w:val="_Style 3"/>
    <w:basedOn w:val="1"/>
    <w:qFormat/>
    <w:uiPriority w:val="0"/>
    <w:pPr>
      <w:widowControl w:val="0"/>
      <w:adjustRightInd/>
      <w:snapToGrid/>
      <w:spacing w:after="0"/>
      <w:ind w:firstLine="420" w:firstLineChars="200"/>
      <w:jc w:val="both"/>
    </w:pPr>
    <w:rPr>
      <w:rFonts w:ascii="Times New Roman" w:hAnsi="Times New Roman" w:eastAsia="宋体" w:cs="Times New Roman"/>
      <w:kern w:val="2"/>
      <w:sz w:val="21"/>
      <w:szCs w:val="24"/>
    </w:rPr>
  </w:style>
  <w:style w:type="character" w:customStyle="1" w:styleId="40">
    <w:name w:val="标题1"/>
    <w:qFormat/>
    <w:uiPriority w:val="0"/>
    <w:rPr>
      <w:rFonts w:ascii="Times New Roman" w:hAnsi="Times New Roman" w:eastAsia="宋体" w:cs="Times New Roman"/>
      <w:b/>
      <w:kern w:val="0"/>
      <w:sz w:val="24"/>
      <w:szCs w:val="20"/>
      <w:lang w:eastAsia="en-US"/>
    </w:rPr>
  </w:style>
  <w:style w:type="character" w:customStyle="1" w:styleId="41">
    <w:name w:val="标题 3.1 Char"/>
    <w:link w:val="42"/>
    <w:qFormat/>
    <w:uiPriority w:val="0"/>
    <w:rPr>
      <w:rFonts w:ascii="宋体" w:hAnsi="宋体" w:eastAsia="宋体"/>
      <w:b/>
      <w:color w:val="FF0000"/>
      <w:kern w:val="2"/>
      <w:sz w:val="32"/>
    </w:rPr>
  </w:style>
  <w:style w:type="paragraph" w:customStyle="1" w:styleId="42">
    <w:name w:val="标题 3.1"/>
    <w:basedOn w:val="4"/>
    <w:link w:val="41"/>
    <w:qFormat/>
    <w:uiPriority w:val="0"/>
    <w:pPr>
      <w:widowControl w:val="0"/>
      <w:tabs>
        <w:tab w:val="left" w:pos="1440"/>
        <w:tab w:val="left" w:pos="1620"/>
      </w:tabs>
      <w:adjustRightInd/>
      <w:snapToGrid/>
      <w:spacing w:line="600" w:lineRule="exact"/>
      <w:jc w:val="both"/>
    </w:pPr>
    <w:rPr>
      <w:rFonts w:ascii="宋体" w:hAnsi="宋体" w:eastAsia="宋体"/>
      <w:bCs w:val="0"/>
      <w:color w:val="FF0000"/>
      <w:kern w:val="2"/>
      <w:szCs w:val="22"/>
    </w:rPr>
  </w:style>
  <w:style w:type="character" w:customStyle="1" w:styleId="43">
    <w:name w:val="样式 楷体_GB2312 小四"/>
    <w:qFormat/>
    <w:uiPriority w:val="0"/>
    <w:rPr>
      <w:rFonts w:ascii="楷体_GB2312" w:hAnsi="楷体_GB2312" w:eastAsia="仿宋_GB2312"/>
      <w:sz w:val="24"/>
    </w:rPr>
  </w:style>
  <w:style w:type="character" w:customStyle="1" w:styleId="44">
    <w:name w:val="纯文本 Char"/>
    <w:qFormat/>
    <w:uiPriority w:val="0"/>
    <w:rPr>
      <w:rFonts w:ascii="宋体" w:hAnsi="Courier New" w:eastAsia="宋体" w:cs="Times New Roman"/>
      <w:b/>
      <w:kern w:val="2"/>
      <w:sz w:val="21"/>
      <w:szCs w:val="20"/>
    </w:rPr>
  </w:style>
  <w:style w:type="character" w:customStyle="1" w:styleId="45">
    <w:name w:val="纯文本 Char1"/>
    <w:basedOn w:val="25"/>
    <w:link w:val="11"/>
    <w:semiHidden/>
    <w:qFormat/>
    <w:uiPriority w:val="99"/>
    <w:rPr>
      <w:rFonts w:ascii="宋体" w:hAnsi="Courier New" w:eastAsia="宋体" w:cs="Courier New"/>
      <w:sz w:val="21"/>
      <w:szCs w:val="21"/>
    </w:rPr>
  </w:style>
  <w:style w:type="character" w:customStyle="1" w:styleId="46">
    <w:name w:val="页眉 Char"/>
    <w:basedOn w:val="25"/>
    <w:link w:val="15"/>
    <w:qFormat/>
    <w:uiPriority w:val="99"/>
    <w:rPr>
      <w:rFonts w:ascii="Tahoma" w:hAnsi="Tahoma"/>
      <w:sz w:val="18"/>
      <w:szCs w:val="18"/>
    </w:rPr>
  </w:style>
  <w:style w:type="character" w:customStyle="1" w:styleId="47">
    <w:name w:val="页脚 Char"/>
    <w:basedOn w:val="25"/>
    <w:link w:val="14"/>
    <w:qFormat/>
    <w:uiPriority w:val="99"/>
    <w:rPr>
      <w:rFonts w:ascii="Tahoma" w:hAnsi="Tahoma"/>
      <w:sz w:val="18"/>
      <w:szCs w:val="18"/>
    </w:rPr>
  </w:style>
  <w:style w:type="character" w:customStyle="1" w:styleId="48">
    <w:name w:val="批注框文本 Char"/>
    <w:basedOn w:val="25"/>
    <w:link w:val="13"/>
    <w:semiHidden/>
    <w:qFormat/>
    <w:uiPriority w:val="99"/>
    <w:rPr>
      <w:rFonts w:ascii="Tahoma" w:hAnsi="Tahoma"/>
      <w:sz w:val="18"/>
      <w:szCs w:val="18"/>
    </w:rPr>
  </w:style>
  <w:style w:type="paragraph" w:customStyle="1" w:styleId="49">
    <w:name w:val="Char Char2 Char"/>
    <w:basedOn w:val="1"/>
    <w:qFormat/>
    <w:uiPriority w:val="0"/>
    <w:pPr>
      <w:widowControl w:val="0"/>
      <w:adjustRightInd/>
      <w:snapToGrid/>
      <w:spacing w:after="0"/>
      <w:jc w:val="both"/>
    </w:pPr>
    <w:rPr>
      <w:rFonts w:ascii="宋体" w:hAnsi="宋体" w:eastAsia="宋体" w:cs="Times New Roman"/>
      <w:b/>
      <w:kern w:val="2"/>
      <w:sz w:val="28"/>
      <w:szCs w:val="28"/>
    </w:rPr>
  </w:style>
  <w:style w:type="character" w:customStyle="1" w:styleId="50">
    <w:name w:val="普通(网站) Char"/>
    <w:link w:val="22"/>
    <w:qFormat/>
    <w:uiPriority w:val="0"/>
    <w:rPr>
      <w:rFonts w:eastAsia="宋体"/>
      <w:kern w:val="2"/>
      <w:sz w:val="24"/>
      <w:szCs w:val="24"/>
    </w:rPr>
  </w:style>
  <w:style w:type="paragraph" w:customStyle="1" w:styleId="51">
    <w:name w:val="列出段落1"/>
    <w:basedOn w:val="1"/>
    <w:qFormat/>
    <w:uiPriority w:val="99"/>
    <w:pPr>
      <w:widowControl w:val="0"/>
      <w:adjustRightInd/>
      <w:snapToGrid/>
      <w:spacing w:after="0" w:line="360" w:lineRule="auto"/>
      <w:ind w:firstLine="420" w:firstLineChars="200"/>
      <w:jc w:val="both"/>
    </w:pPr>
    <w:rPr>
      <w:rFonts w:ascii="Times New Roman" w:hAnsi="Times New Roman" w:eastAsia="宋体" w:cs="Times New Roman"/>
      <w:kern w:val="2"/>
      <w:sz w:val="24"/>
      <w:szCs w:val="24"/>
    </w:rPr>
  </w:style>
  <w:style w:type="character" w:customStyle="1" w:styleId="52">
    <w:name w:val="p141"/>
    <w:qFormat/>
    <w:uiPriority w:val="0"/>
    <w:rPr>
      <w:sz w:val="21"/>
      <w:szCs w:val="21"/>
    </w:rPr>
  </w:style>
  <w:style w:type="paragraph" w:customStyle="1" w:styleId="53">
    <w:name w:val="图"/>
    <w:basedOn w:val="1"/>
    <w:qFormat/>
    <w:uiPriority w:val="0"/>
    <w:pPr>
      <w:keepNext/>
      <w:adjustRightInd w:val="0"/>
      <w:spacing w:before="60" w:after="60" w:line="300" w:lineRule="auto"/>
      <w:jc w:val="center"/>
      <w:textAlignment w:val="center"/>
    </w:pPr>
    <w:rPr>
      <w:rFonts w:ascii="Times New Roman" w:hAnsi="Times New Roman"/>
      <w:snapToGrid w:val="0"/>
      <w:spacing w:val="20"/>
      <w:kern w:val="0"/>
      <w:sz w:val="24"/>
      <w:szCs w:val="20"/>
    </w:rPr>
  </w:style>
  <w:style w:type="paragraph" w:customStyle="1" w:styleId="54">
    <w:name w:val="正文无缩进"/>
    <w:basedOn w:val="36"/>
    <w:qFormat/>
    <w:uiPriority w:val="0"/>
    <w:pPr>
      <w:ind w:firstLine="0" w:firstLineChars="0"/>
    </w:pPr>
  </w:style>
  <w:style w:type="paragraph" w:customStyle="1" w:styleId="55">
    <w:name w:val="一级条标题"/>
    <w:basedOn w:val="56"/>
    <w:next w:val="57"/>
    <w:qFormat/>
    <w:uiPriority w:val="0"/>
    <w:pPr>
      <w:tabs>
        <w:tab w:val="left" w:pos="720"/>
      </w:tabs>
      <w:spacing w:beforeLines="0" w:afterLines="0"/>
      <w:outlineLvl w:val="2"/>
    </w:pPr>
  </w:style>
  <w:style w:type="paragraph" w:customStyle="1" w:styleId="56">
    <w:name w:val="章标题"/>
    <w:next w:val="1"/>
    <w:qFormat/>
    <w:uiPriority w:val="0"/>
    <w:pPr>
      <w:tabs>
        <w:tab w:val="left" w:pos="720"/>
      </w:tabs>
      <w:spacing w:before="50" w:beforeLines="50" w:after="50" w:afterLines="50"/>
      <w:ind w:left="567" w:hanging="567"/>
      <w:jc w:val="both"/>
      <w:outlineLvl w:val="1"/>
    </w:pPr>
    <w:rPr>
      <w:rFonts w:ascii="黑体" w:hAnsi="Times New Roman" w:eastAsia="黑体" w:cs="Times New Roman"/>
      <w:sz w:val="21"/>
      <w:lang w:val="en-US" w:eastAsia="zh-CN" w:bidi="ar-SA"/>
    </w:rPr>
  </w:style>
  <w:style w:type="paragraph" w:customStyle="1" w:styleId="57">
    <w:name w:val="段"/>
    <w:next w:val="1"/>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8">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59">
    <w:name w:val="_Style 1"/>
    <w:basedOn w:val="1"/>
    <w:qFormat/>
    <w:uiPriority w:val="0"/>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2.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76BD83C-2A9B-4E6F-A772-FE212356A246}">
  <ds:schemaRefs/>
</ds:datastoreItem>
</file>

<file path=docProps/app.xml><?xml version="1.0" encoding="utf-8"?>
<Properties xmlns="http://schemas.openxmlformats.org/officeDocument/2006/extended-properties" xmlns:vt="http://schemas.openxmlformats.org/officeDocument/2006/docPropsVTypes">
  <Template>Normal</Template>
  <Pages>78</Pages>
  <Words>31796</Words>
  <Characters>32717</Characters>
  <Lines>264</Lines>
  <Paragraphs>74</Paragraphs>
  <TotalTime>1</TotalTime>
  <ScaleCrop>false</ScaleCrop>
  <LinksUpToDate>false</LinksUpToDate>
  <CharactersWithSpaces>35115</CharactersWithSpaces>
  <Application>WPS Office_11.1.0.11744_F1E327BC-269C-435d-A152-05C5408002CA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文件</cp:category>
  <dcterms:created xsi:type="dcterms:W3CDTF">2019-07-08T13:55:00Z</dcterms:created>
  <dc:creator>MyPC</dc:creator>
  <cp:keywords>文件格式版本</cp:keywords>
  <cp:lastModifiedBy>admin</cp:lastModifiedBy>
  <cp:lastPrinted>2021-04-23T09:50:00Z</cp:lastPrinted>
  <dcterms:modified xsi:type="dcterms:W3CDTF">2022-06-01T01:54:07Z</dcterms:modified>
  <dc:subject>公开招标文件版本</dc:subject>
  <dc:title>公开招标文件版本</dc:title>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B556E092E1704A4B8E19D63648027E4D</vt:lpwstr>
  </property>
  <property fmtid="{D5CDD505-2E9C-101B-9397-08002B2CF9AE}" pid="4" name="commondata">
    <vt:lpwstr>eyJoZGlkIjoiNTIxNzUwYWQwNDRjMThmYzVmNmE3Mzg5MzZiY2U0YmIifQ==</vt:lpwstr>
  </property>
</Properties>
</file>