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jc w:val="center"/>
        <w:rPr>
          <w:rFonts w:hint="eastAsia"/>
          <w:color w:val="auto"/>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9"/>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4"/>
        <w:rPr>
          <w:rFonts w:hint="eastAsia" w:ascii="黑体" w:eastAsia="黑体"/>
          <w:color w:val="auto"/>
          <w:szCs w:val="21"/>
          <w:lang w:eastAsia="zh-CN"/>
        </w:rPr>
      </w:pPr>
    </w:p>
    <w:p>
      <w:pPr>
        <w:pStyle w:val="24"/>
        <w:ind w:left="0" w:leftChars="0" w:firstLine="0" w:firstLineChars="0"/>
        <w:rPr>
          <w:rFonts w:hint="eastAsia" w:ascii="黑体" w:eastAsia="黑体"/>
          <w:color w:val="auto"/>
          <w:szCs w:val="21"/>
          <w:lang w:eastAsia="zh-CN"/>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hint="default"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GDZT2022123A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东莞市横沥中学初中学业水平考试标准化考点建设项目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东莞市横沥中学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22"/>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u w:val="none"/>
          <w:lang w:val="en-US" w:eastAsia="zh-CN"/>
        </w:rPr>
      </w:pPr>
      <w:r>
        <w:rPr>
          <w:rFonts w:hint="eastAsia" w:ascii="宋体" w:hAnsi="宋体" w:eastAsia="宋体" w:cs="宋体"/>
          <w:b/>
          <w:bCs w:val="0"/>
          <w:color w:val="auto"/>
          <w:sz w:val="21"/>
          <w:szCs w:val="21"/>
          <w:u w:val="none"/>
          <w:lang w:val="en-US" w:eastAsia="zh-CN"/>
        </w:rPr>
        <w:t>9、公司位置：</w:t>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2552065"/>
            <wp:effectExtent l="0" t="0" r="3810" b="63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52065"/>
                    </a:xfrm>
                    <a:prstGeom prst="rect">
                      <a:avLst/>
                    </a:prstGeom>
                  </pic:spPr>
                </pic:pic>
              </a:graphicData>
            </a:graphic>
          </wp:inline>
        </w:drawing>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七</w:t>
      </w:r>
      <w:r>
        <w:rPr>
          <w:rFonts w:hint="eastAsia" w:ascii="宋体" w:hAnsi="宋体" w:eastAsia="宋体" w:cs="宋体"/>
          <w:color w:val="auto"/>
          <w:sz w:val="21"/>
          <w:szCs w:val="21"/>
          <w:lang w:val="en-US" w:eastAsia="zh-CN"/>
        </w:rPr>
        <w:t>、政府采购履约担保函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2"/>
        <w:spacing w:before="0" w:after="0" w:line="240" w:lineRule="auto"/>
        <w:rPr>
          <w:color w:val="auto"/>
          <w:sz w:val="28"/>
          <w:szCs w:val="28"/>
        </w:rPr>
      </w:pPr>
      <w:bookmarkStart w:id="0" w:name="_Toc2456"/>
      <w:bookmarkStart w:id="1" w:name="_Toc17306"/>
      <w:r>
        <w:rPr>
          <w:rFonts w:hint="eastAsia"/>
          <w:color w:val="auto"/>
          <w:sz w:val="28"/>
          <w:szCs w:val="28"/>
        </w:rPr>
        <w:t>第一部分 投标邀请</w:t>
      </w:r>
      <w:bookmarkEnd w:id="0"/>
      <w:bookmarkEnd w:id="1"/>
    </w:p>
    <w:p>
      <w:pPr>
        <w:pStyle w:val="4"/>
        <w:spacing w:before="0" w:after="0" w:line="360" w:lineRule="auto"/>
        <w:jc w:val="center"/>
        <w:rPr>
          <w:rFonts w:ascii="宋体" w:hAnsi="宋体" w:eastAsia="宋体" w:cs="宋体"/>
          <w:color w:val="auto"/>
        </w:rPr>
      </w:pPr>
      <w:bookmarkStart w:id="2" w:name="_Toc7123"/>
      <w:bookmarkStart w:id="3" w:name="_Toc1420"/>
      <w:bookmarkStart w:id="4" w:name="_Toc8850"/>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b/>
          <w:color w:val="auto"/>
          <w:sz w:val="21"/>
          <w:szCs w:val="21"/>
          <w:u w:val="single"/>
          <w:lang w:eastAsia="zh-CN"/>
        </w:rPr>
        <w:t>东莞市横沥中学</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b/>
          <w:color w:val="auto"/>
          <w:sz w:val="21"/>
          <w:szCs w:val="21"/>
          <w:u w:val="single"/>
          <w:lang w:eastAsia="zh-CN"/>
        </w:rPr>
        <w:t>东莞市横沥中学初中学业水平考试标准化考点建设项目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3"/>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4"/>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w:t>
      </w:r>
      <w:r>
        <w:rPr>
          <w:rFonts w:hint="eastAsia" w:ascii="宋体" w:hAnsi="宋体"/>
          <w:color w:val="auto"/>
          <w:sz w:val="21"/>
          <w:szCs w:val="21"/>
          <w:lang w:val="en-US" w:eastAsia="zh-CN"/>
        </w:rPr>
        <w:t>GDZT2022123A</w:t>
      </w:r>
      <w:r>
        <w:rPr>
          <w:rFonts w:hint="eastAsia" w:ascii="宋体" w:hAnsi="宋体" w:eastAsia="宋体"/>
          <w:color w:val="auto"/>
          <w:sz w:val="21"/>
          <w:szCs w:val="21"/>
          <w:lang w:val="en-US" w:eastAsia="zh-CN"/>
        </w:rPr>
        <w:t>；</w:t>
      </w:r>
    </w:p>
    <w:p>
      <w:pPr>
        <w:numPr>
          <w:ilvl w:val="0"/>
          <w:numId w:val="4"/>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东莞市横沥中学初中学业水平考试标准化考点建设项目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5"/>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5090"/>
        <w:gridCol w:w="450"/>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u w:val="single"/>
                <w:lang w:eastAsia="zh-CN"/>
              </w:rPr>
              <w:t>东莞市横沥中学初中学业水平考试标准化考点建设项目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409,300.00</w:t>
            </w:r>
            <w:r>
              <w:rPr>
                <w:rFonts w:hint="eastAsia" w:ascii="宋体" w:hAnsi="宋体" w:eastAsia="宋体"/>
                <w:color w:val="auto"/>
                <w:sz w:val="21"/>
                <w:szCs w:val="21"/>
              </w:rPr>
              <w:t>元</w:t>
            </w:r>
          </w:p>
        </w:tc>
      </w:tr>
    </w:tbl>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9"/>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2、特殊要求：</w:t>
      </w:r>
    </w:p>
    <w:p>
      <w:pPr>
        <w:bidi w:val="0"/>
        <w:ind w:firstLine="420" w:firstLineChars="200"/>
        <w:rPr>
          <w:rFonts w:hint="eastAsia"/>
          <w:color w:val="auto"/>
          <w:lang w:val="en-US" w:eastAsia="zh-CN"/>
        </w:rPr>
      </w:pPr>
      <w:r>
        <w:rPr>
          <w:rFonts w:hint="eastAsia"/>
          <w:color w:val="auto"/>
          <w:lang w:val="en-US" w:eastAsia="zh-CN"/>
        </w:rPr>
        <w:t>无</w:t>
      </w:r>
    </w:p>
    <w:p>
      <w:pPr>
        <w:bidi w:val="0"/>
        <w:rPr>
          <w:rFonts w:hint="eastAsia"/>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9</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16</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9</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16</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lang w:eastAsia="zh-CN"/>
        </w:rPr>
        <w:t>。</w:t>
      </w:r>
    </w:p>
    <w:p>
      <w:pPr>
        <w:bidi w:val="0"/>
        <w:rPr>
          <w:rFonts w:hint="eastAsia"/>
          <w:color w:val="auto"/>
          <w:lang w:eastAsia="zh-CN"/>
        </w:rPr>
      </w:pPr>
    </w:p>
    <w:p>
      <w:pPr>
        <w:spacing w:after="0" w:line="360" w:lineRule="auto"/>
        <w:ind w:firstLine="413" w:firstLineChars="196"/>
        <w:rPr>
          <w:rFonts w:hint="default" w:ascii="宋体" w:hAnsi="宋体" w:eastAsia="宋体"/>
          <w:b/>
          <w:color w:val="auto"/>
          <w:sz w:val="21"/>
          <w:szCs w:val="21"/>
          <w:lang w:val="en-US" w:eastAsia="zh-CN"/>
        </w:rPr>
      </w:pPr>
      <w:r>
        <w:rPr>
          <w:rFonts w:hint="eastAsia" w:ascii="宋体" w:hAnsi="宋体" w:eastAsia="宋体"/>
          <w:b/>
          <w:color w:val="auto"/>
          <w:sz w:val="21"/>
          <w:szCs w:val="21"/>
          <w:lang w:val="en-US" w:eastAsia="zh-CN"/>
        </w:rPr>
        <w:t>四</w:t>
      </w:r>
      <w:r>
        <w:rPr>
          <w:rFonts w:hint="eastAsia" w:ascii="宋体" w:hAnsi="宋体" w:eastAsia="宋体"/>
          <w:b/>
          <w:color w:val="auto"/>
          <w:sz w:val="21"/>
          <w:szCs w:val="21"/>
        </w:rPr>
        <w:t>、</w:t>
      </w:r>
      <w:r>
        <w:rPr>
          <w:rFonts w:hint="eastAsia" w:ascii="宋体" w:hAnsi="宋体"/>
          <w:b/>
          <w:color w:val="auto"/>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lang w:val="en-US" w:eastAsia="zh-CN"/>
        </w:rPr>
        <w:t>五</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30</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：00～</w:t>
      </w:r>
      <w:r>
        <w:rPr>
          <w:rFonts w:hint="eastAsia" w:ascii="宋体" w:hAnsi="宋体"/>
          <w:bCs/>
          <w:color w:val="auto"/>
          <w:sz w:val="21"/>
          <w:szCs w:val="21"/>
          <w:lang w:val="en-US" w:eastAsia="zh-CN"/>
        </w:rPr>
        <w:t>14</w:t>
      </w:r>
      <w:r>
        <w:rPr>
          <w:rFonts w:hint="eastAsia" w:ascii="宋体" w:hAnsi="宋体" w:eastAsia="宋体"/>
          <w:bCs/>
          <w:color w:val="auto"/>
          <w:sz w:val="21"/>
          <w:szCs w:val="21"/>
        </w:rPr>
        <w:t>：30。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30</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lang w:val="en-US" w:eastAsia="zh-CN"/>
        </w:rPr>
        <w:t>六</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eastAsia" w:ascii="宋体" w:hAnsi="宋体" w:eastAsia="宋体"/>
          <w:bCs/>
          <w:color w:val="auto"/>
          <w:sz w:val="21"/>
          <w:szCs w:val="21"/>
          <w:lang w:val="en-US" w:eastAsia="zh-CN"/>
        </w:rPr>
      </w:pPr>
      <w:r>
        <w:rPr>
          <w:rFonts w:hint="eastAsia" w:ascii="宋体" w:hAnsi="宋体" w:eastAsia="宋体"/>
          <w:bCs/>
          <w:color w:val="auto"/>
          <w:sz w:val="21"/>
          <w:szCs w:val="21"/>
        </w:rPr>
        <w:t>采购人联系人：</w:t>
      </w:r>
      <w:r>
        <w:rPr>
          <w:rFonts w:hint="eastAsia" w:ascii="宋体" w:hAnsi="宋体"/>
          <w:bCs/>
          <w:color w:val="auto"/>
          <w:sz w:val="21"/>
          <w:szCs w:val="21"/>
          <w:lang w:val="en-US" w:eastAsia="zh-CN"/>
        </w:rPr>
        <w:t>张工</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w:t>
      </w:r>
      <w:r>
        <w:rPr>
          <w:rFonts w:hint="eastAsia" w:ascii="宋体" w:hAnsi="宋体"/>
          <w:bCs/>
          <w:color w:val="auto"/>
          <w:sz w:val="21"/>
          <w:szCs w:val="21"/>
          <w:lang w:val="en-US" w:eastAsia="zh-CN"/>
        </w:rPr>
        <w:t>东莞市横沥镇</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联系电话：0769-83797261</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5</w:t>
      </w:r>
      <w:bookmarkStart w:id="392" w:name="_GoBack"/>
      <w:bookmarkEnd w:id="392"/>
      <w:r>
        <w:rPr>
          <w:rFonts w:hint="eastAsia" w:ascii="宋体" w:hAnsi="宋体" w:eastAsia="宋体" w:cs="宋体"/>
          <w:color w:val="auto"/>
          <w:sz w:val="21"/>
          <w:szCs w:val="21"/>
        </w:rPr>
        <w:t>月</w:t>
      </w:r>
    </w:p>
    <w:p>
      <w:pPr>
        <w:pStyle w:val="9"/>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
        <w:spacing w:before="0" w:after="0" w:line="240" w:lineRule="auto"/>
        <w:rPr>
          <w:rFonts w:hint="eastAsia"/>
          <w:color w:val="auto"/>
          <w:sz w:val="28"/>
          <w:szCs w:val="28"/>
          <w:lang w:val="en-US" w:eastAsia="zh-CN"/>
        </w:rPr>
      </w:pPr>
      <w:bookmarkStart w:id="5" w:name="_Toc28550"/>
      <w:bookmarkStart w:id="6" w:name="_Toc24505"/>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FE"/>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A8"/>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eastAsia="宋体"/>
                <w:color w:val="auto"/>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政通招标网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4</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6</w:t>
            </w:r>
            <w:r>
              <w:rPr>
                <w:rFonts w:hint="eastAsia" w:ascii="宋体" w:hAnsi="宋体" w:eastAsia="宋体"/>
                <w:color w:val="auto"/>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color w:val="auto"/>
                <w:sz w:val="21"/>
                <w:szCs w:val="21"/>
                <w:lang w:val="en-US" w:eastAsia="zh-CN"/>
              </w:rPr>
              <w:t>10</w:t>
            </w:r>
            <w:r>
              <w:rPr>
                <w:rFonts w:hint="eastAsia" w:ascii="宋体" w:hAnsi="宋体" w:eastAsia="宋体"/>
                <w:color w:val="auto"/>
                <w:sz w:val="21"/>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default" w:ascii="宋体" w:hAnsi="宋体" w:eastAsia="宋体"/>
                <w:b/>
                <w:bCs/>
                <w:color w:val="auto"/>
                <w:sz w:val="21"/>
                <w:szCs w:val="21"/>
                <w:u w:val="single"/>
              </w:rPr>
              <w:t>2%</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bCs/>
                <w:color w:val="auto"/>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4"/>
        <w:ind w:left="0" w:leftChars="0" w:firstLine="0" w:firstLineChars="0"/>
        <w:rPr>
          <w:rFonts w:hint="eastAsia" w:ascii="宋体" w:hAnsi="宋体" w:eastAsia="宋体" w:cs="宋体"/>
          <w:color w:val="auto"/>
          <w:sz w:val="21"/>
          <w:szCs w:val="21"/>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bookmarkStart w:id="8" w:name="_Hlk55300595"/>
      <w:bookmarkStart w:id="9" w:name="_Toc5749"/>
      <w:bookmarkStart w:id="10" w:name="_Toc13473"/>
      <w:bookmarkStart w:id="11" w:name="_Toc9572"/>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rPr>
      </w:pPr>
      <w:bookmarkStart w:id="15" w:name="_Toc21613"/>
      <w:bookmarkStart w:id="16" w:name="_Toc184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商务评审（18分）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607"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知识产权</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463"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投标人获得的在线考试系统类、教学资源管理系统类、教学行为监测分析类、网上阅卷系统类的软件著作权证书</w:t>
            </w:r>
            <w:r>
              <w:rPr>
                <w:rFonts w:hint="eastAsia" w:ascii="宋体" w:eastAsia="宋体" w:cs="宋体"/>
                <w:bCs/>
                <w:sz w:val="21"/>
                <w:szCs w:val="21"/>
                <w:lang w:val="en-US" w:eastAsia="zh-CN"/>
              </w:rPr>
              <w:t>的</w:t>
            </w:r>
            <w:r>
              <w:rPr>
                <w:rFonts w:hint="eastAsia" w:ascii="宋体" w:hAnsi="宋体" w:eastAsia="宋体" w:cs="宋体"/>
                <w:bCs/>
                <w:sz w:val="21"/>
                <w:szCs w:val="21"/>
              </w:rPr>
              <w:t>，每提供一类得2分，</w:t>
            </w:r>
            <w:r>
              <w:rPr>
                <w:rFonts w:hint="eastAsia" w:ascii="宋体" w:hAnsi="宋体" w:eastAsia="宋体" w:cs="宋体"/>
                <w:sz w:val="21"/>
                <w:szCs w:val="21"/>
                <w:lang w:val="zh-CN"/>
              </w:rPr>
              <w:t>本项最高得</w:t>
            </w:r>
            <w:r>
              <w:rPr>
                <w:rFonts w:hint="eastAsia" w:ascii="宋体" w:hAnsi="宋体" w:eastAsia="宋体" w:cs="宋体"/>
                <w:sz w:val="21"/>
                <w:szCs w:val="21"/>
              </w:rPr>
              <w:t>8</w:t>
            </w:r>
            <w:r>
              <w:rPr>
                <w:rFonts w:hint="eastAsia" w:ascii="宋体" w:hAnsi="宋体" w:eastAsia="宋体" w:cs="宋体"/>
                <w:sz w:val="21"/>
                <w:szCs w:val="21"/>
                <w:lang w:val="zh-CN"/>
              </w:rPr>
              <w:t>分。</w:t>
            </w:r>
          </w:p>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rPr>
              <w:t>注</w:t>
            </w:r>
            <w:r>
              <w:rPr>
                <w:rFonts w:hint="eastAsia" w:ascii="宋体" w:eastAsia="宋体" w:cs="宋体"/>
                <w:bCs/>
                <w:sz w:val="21"/>
                <w:szCs w:val="21"/>
                <w:lang w:eastAsia="zh-CN"/>
              </w:rPr>
              <w:t>：</w:t>
            </w:r>
            <w:r>
              <w:rPr>
                <w:rFonts w:hint="eastAsia" w:ascii="宋体" w:eastAsia="宋体" w:cs="宋体"/>
                <w:bCs/>
                <w:sz w:val="21"/>
                <w:szCs w:val="21"/>
                <w:lang w:val="en-US" w:eastAsia="zh-CN"/>
              </w:rPr>
              <w:t>须</w:t>
            </w:r>
            <w:r>
              <w:rPr>
                <w:rFonts w:hint="eastAsia" w:ascii="宋体" w:hAnsi="宋体" w:eastAsia="宋体" w:cs="宋体"/>
                <w:bCs/>
                <w:sz w:val="21"/>
                <w:szCs w:val="21"/>
              </w:rPr>
              <w:t>提供有效证书复印件（或官方网站截图）并加盖投标人公章，否则不得分。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607"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售后能力</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rPr>
              <w:t>投标人</w:t>
            </w:r>
            <w:r>
              <w:rPr>
                <w:rFonts w:hint="eastAsia" w:ascii="宋体" w:hAnsi="宋体" w:eastAsia="宋体" w:cs="宋体"/>
                <w:bCs/>
                <w:sz w:val="21"/>
                <w:szCs w:val="21"/>
                <w:lang w:val="zh-CN"/>
              </w:rPr>
              <w:t>提供技术售后服务的能力</w:t>
            </w:r>
            <w:r>
              <w:rPr>
                <w:rFonts w:hint="eastAsia" w:ascii="宋体" w:hAnsi="宋体" w:cs="宋体"/>
                <w:bCs/>
                <w:sz w:val="21"/>
                <w:szCs w:val="21"/>
                <w:lang w:val="zh-CN"/>
              </w:rPr>
              <w:t>：</w:t>
            </w:r>
            <w:r>
              <w:rPr>
                <w:rFonts w:hint="eastAsia" w:ascii="宋体" w:hAnsi="宋体" w:eastAsia="宋体" w:cs="宋体"/>
                <w:bCs/>
                <w:sz w:val="21"/>
                <w:szCs w:val="21"/>
                <w:lang w:val="zh-CN"/>
              </w:rPr>
              <w:t>技术人员具有人力资源部门颁发的中级</w:t>
            </w:r>
            <w:r>
              <w:rPr>
                <w:rFonts w:hint="eastAsia" w:ascii="宋体" w:hAnsi="宋体" w:cs="宋体"/>
                <w:bCs/>
                <w:sz w:val="21"/>
                <w:szCs w:val="21"/>
                <w:lang w:val="zh-CN"/>
              </w:rPr>
              <w:t>（</w:t>
            </w:r>
            <w:r>
              <w:rPr>
                <w:rFonts w:hint="eastAsia" w:ascii="宋体" w:hAnsi="宋体" w:eastAsia="宋体" w:cs="宋体"/>
                <w:bCs/>
                <w:sz w:val="21"/>
                <w:szCs w:val="21"/>
                <w:lang w:val="zh-CN"/>
              </w:rPr>
              <w:t>或</w:t>
            </w:r>
            <w:r>
              <w:rPr>
                <w:rFonts w:hint="eastAsia" w:ascii="宋体" w:hAnsi="宋体" w:cs="宋体"/>
                <w:bCs/>
                <w:sz w:val="21"/>
                <w:szCs w:val="21"/>
                <w:lang w:val="en-US" w:eastAsia="zh-CN"/>
              </w:rPr>
              <w:t>以上</w:t>
            </w:r>
            <w:r>
              <w:rPr>
                <w:rFonts w:hint="eastAsia" w:ascii="宋体" w:hAnsi="宋体" w:cs="宋体"/>
                <w:bCs/>
                <w:sz w:val="21"/>
                <w:szCs w:val="21"/>
                <w:lang w:val="zh-CN"/>
              </w:rPr>
              <w:t>）</w:t>
            </w:r>
            <w:r>
              <w:rPr>
                <w:rFonts w:hint="eastAsia" w:ascii="宋体" w:hAnsi="宋体" w:eastAsia="宋体" w:cs="宋体"/>
                <w:bCs/>
                <w:sz w:val="21"/>
                <w:szCs w:val="21"/>
                <w:lang w:val="zh-CN"/>
              </w:rPr>
              <w:t>电工证</w:t>
            </w:r>
            <w:r>
              <w:rPr>
                <w:rFonts w:hint="eastAsia" w:ascii="宋体" w:hAnsi="宋体" w:cs="宋体"/>
                <w:bCs/>
                <w:sz w:val="21"/>
                <w:szCs w:val="21"/>
                <w:lang w:val="en-US" w:eastAsia="zh-CN"/>
              </w:rPr>
              <w:t>的，每</w:t>
            </w:r>
            <w:r>
              <w:rPr>
                <w:rFonts w:hint="eastAsia" w:ascii="宋体" w:hAnsi="宋体" w:eastAsia="宋体" w:cs="宋体"/>
                <w:bCs/>
                <w:sz w:val="21"/>
                <w:szCs w:val="21"/>
                <w:lang w:val="zh-CN"/>
              </w:rPr>
              <w:t>提供一</w:t>
            </w:r>
            <w:r>
              <w:rPr>
                <w:rFonts w:hint="eastAsia" w:ascii="宋体" w:hAnsi="宋体" w:cs="宋体"/>
                <w:bCs/>
                <w:sz w:val="21"/>
                <w:szCs w:val="21"/>
                <w:lang w:val="en-US" w:eastAsia="zh-CN"/>
              </w:rPr>
              <w:t>人</w:t>
            </w:r>
            <w:r>
              <w:rPr>
                <w:rFonts w:hint="eastAsia" w:ascii="宋体" w:hAnsi="宋体" w:eastAsia="宋体" w:cs="宋体"/>
                <w:bCs/>
                <w:sz w:val="21"/>
                <w:szCs w:val="21"/>
                <w:lang w:val="zh-CN"/>
              </w:rPr>
              <w:t>得2分，本项最高得</w:t>
            </w:r>
            <w:r>
              <w:rPr>
                <w:rFonts w:hint="eastAsia" w:ascii="宋体" w:hAnsi="宋体" w:eastAsia="宋体" w:cs="宋体"/>
                <w:bCs/>
                <w:sz w:val="21"/>
                <w:szCs w:val="21"/>
              </w:rPr>
              <w:t>4</w:t>
            </w:r>
            <w:r>
              <w:rPr>
                <w:rFonts w:hint="eastAsia" w:ascii="宋体" w:hAnsi="宋体" w:eastAsia="宋体" w:cs="宋体"/>
                <w:bCs/>
                <w:sz w:val="21"/>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注：须提供</w:t>
            </w:r>
            <w:r>
              <w:rPr>
                <w:rFonts w:hint="eastAsia" w:ascii="宋体" w:hAnsi="宋体" w:cs="宋体"/>
                <w:bCs/>
                <w:sz w:val="21"/>
                <w:szCs w:val="21"/>
                <w:lang w:val="en-US" w:eastAsia="zh-CN"/>
              </w:rPr>
              <w:t>人员</w:t>
            </w:r>
            <w:r>
              <w:rPr>
                <w:rFonts w:hint="eastAsia" w:ascii="宋体" w:hAnsi="宋体" w:eastAsia="宋体" w:cs="宋体"/>
                <w:bCs/>
                <w:sz w:val="21"/>
                <w:szCs w:val="21"/>
              </w:rPr>
              <w:t>有效证书复印件</w:t>
            </w:r>
            <w:r>
              <w:rPr>
                <w:rFonts w:hint="eastAsia" w:ascii="宋体" w:hAnsi="宋体" w:eastAsia="宋体" w:cs="宋体"/>
                <w:sz w:val="21"/>
                <w:szCs w:val="21"/>
                <w:lang w:val="zh-CN"/>
              </w:rPr>
              <w:t>及投标人为其缴纳的</w:t>
            </w:r>
            <w:r>
              <w:rPr>
                <w:rFonts w:hint="eastAsia" w:ascii="宋体" w:hAnsi="宋体" w:eastAsia="宋体" w:cs="宋体"/>
                <w:sz w:val="21"/>
                <w:szCs w:val="21"/>
                <w:lang w:val="en-US" w:eastAsia="zh-CN"/>
              </w:rPr>
              <w:t>距开标前3</w:t>
            </w:r>
            <w:r>
              <w:rPr>
                <w:rFonts w:hint="eastAsia" w:ascii="宋体" w:hAnsi="宋体" w:eastAsia="宋体" w:cs="宋体"/>
                <w:sz w:val="21"/>
                <w:szCs w:val="21"/>
                <w:lang w:val="zh-CN"/>
              </w:rPr>
              <w:t>个月内（不含开标当月）任意</w:t>
            </w:r>
            <w:r>
              <w:rPr>
                <w:rFonts w:hint="eastAsia" w:ascii="宋体" w:hAnsi="宋体" w:eastAsia="宋体" w:cs="宋体"/>
                <w:sz w:val="21"/>
                <w:szCs w:val="21"/>
                <w:lang w:val="en-US" w:eastAsia="zh-CN"/>
              </w:rPr>
              <w:t>1</w:t>
            </w:r>
            <w:r>
              <w:rPr>
                <w:rFonts w:hint="eastAsia" w:ascii="宋体" w:hAnsi="宋体" w:eastAsia="宋体" w:cs="宋体"/>
                <w:sz w:val="21"/>
                <w:szCs w:val="21"/>
                <w:lang w:val="zh-CN"/>
              </w:rPr>
              <w:t>个月的社保证明复印件加盖投标人公章</w:t>
            </w:r>
            <w:r>
              <w:rPr>
                <w:rFonts w:hint="eastAsia" w:ascii="宋体" w:hAnsi="宋体" w:eastAsia="宋体" w:cs="宋体"/>
                <w:bCs/>
                <w:sz w:val="21"/>
                <w:szCs w:val="21"/>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607"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项目经验</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rPr>
              <w:t>根据</w:t>
            </w:r>
            <w:r>
              <w:rPr>
                <w:rFonts w:hint="eastAsia" w:ascii="宋体" w:hAnsi="宋体" w:eastAsia="宋体" w:cs="宋体"/>
                <w:bCs/>
                <w:sz w:val="21"/>
                <w:szCs w:val="21"/>
                <w:lang w:val="zh-CN"/>
              </w:rPr>
              <w:t>投标人具有</w:t>
            </w:r>
            <w:r>
              <w:rPr>
                <w:rFonts w:hint="eastAsia" w:ascii="宋体" w:eastAsia="宋体" w:cs="宋体"/>
                <w:bCs/>
                <w:sz w:val="21"/>
                <w:szCs w:val="21"/>
                <w:lang w:val="en-US" w:eastAsia="zh-CN"/>
              </w:rPr>
              <w:t>的</w:t>
            </w:r>
            <w:r>
              <w:rPr>
                <w:rFonts w:hint="eastAsia" w:ascii="宋体" w:hAnsi="宋体" w:eastAsia="宋体" w:cs="宋体"/>
                <w:bCs/>
                <w:sz w:val="21"/>
                <w:szCs w:val="21"/>
                <w:lang w:val="zh-CN"/>
              </w:rPr>
              <w:t>系统集成类项目业绩</w:t>
            </w:r>
            <w:r>
              <w:rPr>
                <w:rFonts w:hint="eastAsia" w:ascii="宋体" w:hAnsi="宋体" w:eastAsia="宋体" w:cs="宋体"/>
                <w:bCs/>
                <w:sz w:val="21"/>
                <w:szCs w:val="21"/>
              </w:rPr>
              <w:t>进行评审</w:t>
            </w:r>
            <w:r>
              <w:rPr>
                <w:rFonts w:hint="eastAsia" w:ascii="宋体" w:hAnsi="宋体" w:eastAsia="宋体" w:cs="宋体"/>
                <w:bCs/>
                <w:sz w:val="21"/>
                <w:szCs w:val="21"/>
                <w:lang w:val="zh-CN"/>
              </w:rPr>
              <w:t>，每提供一个合同业绩得</w:t>
            </w:r>
            <w:r>
              <w:rPr>
                <w:rFonts w:hint="eastAsia" w:ascii="宋体" w:hAnsi="宋体" w:eastAsia="宋体" w:cs="宋体"/>
                <w:bCs/>
                <w:sz w:val="21"/>
                <w:szCs w:val="21"/>
              </w:rPr>
              <w:t>1</w:t>
            </w:r>
            <w:r>
              <w:rPr>
                <w:rFonts w:hint="eastAsia" w:ascii="宋体" w:hAnsi="宋体" w:eastAsia="宋体" w:cs="宋体"/>
                <w:bCs/>
                <w:sz w:val="21"/>
                <w:szCs w:val="21"/>
                <w:lang w:val="zh-CN"/>
              </w:rPr>
              <w:t>分，本项最高得</w:t>
            </w:r>
            <w:r>
              <w:rPr>
                <w:rFonts w:hint="eastAsia" w:ascii="宋体" w:hAnsi="宋体" w:eastAsia="宋体" w:cs="宋体"/>
                <w:bCs/>
                <w:sz w:val="21"/>
                <w:szCs w:val="21"/>
              </w:rPr>
              <w:t>6</w:t>
            </w:r>
            <w:r>
              <w:rPr>
                <w:rFonts w:hint="eastAsia" w:ascii="宋体" w:hAnsi="宋体" w:eastAsia="宋体" w:cs="宋体"/>
                <w:bCs/>
                <w:sz w:val="21"/>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lang w:val="zh-CN"/>
              </w:rPr>
              <w:t>注：须提供合同关键页复印件加盖投标人公章，</w:t>
            </w:r>
            <w:r>
              <w:rPr>
                <w:rFonts w:hint="eastAsia" w:ascii="宋体" w:hAnsi="宋体" w:eastAsia="宋体" w:cs="宋体"/>
                <w:bCs/>
                <w:sz w:val="21"/>
                <w:szCs w:val="21"/>
              </w:rPr>
              <w:t>否则不得分</w:t>
            </w:r>
            <w:r>
              <w:rPr>
                <w:rFonts w:hint="eastAsia" w:ascii="宋体" w:hAnsi="宋体" w:eastAsia="宋体" w:cs="宋体"/>
                <w:bCs/>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技术评审（52分）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技术响应情况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24</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lang w:val="zh-CN"/>
              </w:rPr>
              <w:t>对用户需求书中带“▲”技术要求条款的技术指标进行响应，若全部响应为满足或优于的得</w:t>
            </w:r>
            <w:r>
              <w:rPr>
                <w:rFonts w:hint="eastAsia" w:ascii="宋体" w:hAnsi="宋体" w:eastAsia="宋体" w:cs="宋体"/>
                <w:bCs/>
                <w:sz w:val="21"/>
                <w:szCs w:val="21"/>
              </w:rPr>
              <w:t>24</w:t>
            </w:r>
            <w:r>
              <w:rPr>
                <w:rFonts w:hint="eastAsia" w:ascii="宋体" w:hAnsi="宋体" w:eastAsia="宋体" w:cs="宋体"/>
                <w:bCs/>
                <w:sz w:val="21"/>
                <w:szCs w:val="21"/>
                <w:lang w:val="zh-CN"/>
              </w:rPr>
              <w:t>分，不满足或者不响应的每一个扣</w:t>
            </w:r>
            <w:r>
              <w:rPr>
                <w:rFonts w:hint="eastAsia" w:ascii="宋体" w:hAnsi="宋体" w:eastAsia="宋体" w:cs="宋体"/>
                <w:bCs/>
                <w:sz w:val="21"/>
                <w:szCs w:val="21"/>
              </w:rPr>
              <w:t>3</w:t>
            </w:r>
            <w:r>
              <w:rPr>
                <w:rFonts w:hint="eastAsia" w:ascii="宋体" w:hAnsi="宋体" w:eastAsia="宋体" w:cs="宋体"/>
                <w:bCs/>
                <w:sz w:val="21"/>
                <w:szCs w:val="21"/>
                <w:lang w:val="zh-CN"/>
              </w:rPr>
              <w:t>分，扣完为止，本项最低得0分。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①对用户需求中的带“▲”技术指标条款，用户需求书要求提供证明资料的，则投标文件中须提供对应产品参数的证明资料并加盖投标人公章；</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投标人对本项目的熟悉程度、理解及项目重点和难点的分析，以及根据项目重点和难点所采取的措施等进行综合评审：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对本项目的熟悉程度深入，重点和难点分析清晰具体且对应措施完善详细具体、有针对性、操作性强，得7分；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对本项目的熟悉程度一般，重点和难点分析完整、对应措施可行性较高，得4分；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对本项目的熟悉程度肤浅，重点和难点分析基本合理、对应措施可行性不高，得</w:t>
            </w:r>
            <w:r>
              <w:rPr>
                <w:rFonts w:hint="eastAsia" w:ascii="宋体" w:hAnsi="宋体" w:cs="宋体"/>
                <w:bCs/>
                <w:sz w:val="21"/>
                <w:szCs w:val="21"/>
                <w:lang w:val="en-US" w:eastAsia="zh-CN"/>
              </w:rPr>
              <w:t>1</w:t>
            </w:r>
            <w:r>
              <w:rPr>
                <w:rFonts w:hint="eastAsia" w:ascii="宋体" w:hAnsi="宋体" w:eastAsia="宋体" w:cs="宋体"/>
                <w:bCs/>
                <w:sz w:val="21"/>
                <w:szCs w:val="21"/>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设备配置情况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Cs/>
                <w:sz w:val="21"/>
                <w:szCs w:val="21"/>
              </w:rPr>
            </w:pPr>
            <w:r>
              <w:rPr>
                <w:rFonts w:hint="eastAsia" w:ascii="宋体" w:hAnsi="宋体" w:eastAsia="宋体" w:cs="宋体"/>
                <w:bCs/>
                <w:sz w:val="21"/>
                <w:szCs w:val="21"/>
              </w:rPr>
              <w:t>7</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根据</w:t>
            </w:r>
            <w:r>
              <w:rPr>
                <w:rFonts w:hint="eastAsia" w:ascii="宋体" w:hAnsi="宋体" w:eastAsia="宋体" w:cs="宋体"/>
                <w:bCs/>
                <w:sz w:val="21"/>
                <w:szCs w:val="21"/>
                <w:lang w:val="zh-CN"/>
              </w:rPr>
              <w:t>投标人拟投</w:t>
            </w:r>
            <w:r>
              <w:rPr>
                <w:rFonts w:hint="eastAsia" w:ascii="宋体" w:hAnsi="宋体" w:eastAsia="宋体" w:cs="宋体"/>
                <w:bCs/>
                <w:sz w:val="21"/>
                <w:szCs w:val="21"/>
              </w:rPr>
              <w:t>入</w:t>
            </w:r>
            <w:r>
              <w:rPr>
                <w:rFonts w:hint="eastAsia" w:ascii="宋体" w:hAnsi="宋体" w:eastAsia="宋体" w:cs="宋体"/>
                <w:bCs/>
                <w:sz w:val="21"/>
                <w:szCs w:val="21"/>
                <w:lang w:val="zh-CN"/>
              </w:rPr>
              <w:t>设备</w:t>
            </w:r>
            <w:r>
              <w:rPr>
                <w:rFonts w:hint="eastAsia" w:ascii="宋体" w:hAnsi="宋体" w:eastAsia="宋体" w:cs="宋体"/>
                <w:bCs/>
                <w:sz w:val="21"/>
                <w:szCs w:val="21"/>
              </w:rPr>
              <w:t>配置的</w:t>
            </w:r>
            <w:r>
              <w:rPr>
                <w:rFonts w:hint="eastAsia" w:ascii="宋体" w:hAnsi="宋体" w:eastAsia="宋体" w:cs="宋体"/>
                <w:bCs/>
                <w:sz w:val="21"/>
                <w:szCs w:val="21"/>
                <w:lang w:val="zh-CN"/>
              </w:rPr>
              <w:t>先进性、安全性、稳定性</w:t>
            </w:r>
            <w:r>
              <w:rPr>
                <w:rFonts w:hint="eastAsia" w:ascii="宋体" w:hAnsi="宋体" w:eastAsia="宋体" w:cs="宋体"/>
                <w:bCs/>
                <w:sz w:val="21"/>
                <w:szCs w:val="21"/>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 xml:space="preserve">    </w:t>
            </w:r>
            <w:r>
              <w:rPr>
                <w:rFonts w:hint="eastAsia" w:ascii="宋体" w:hAnsi="宋体" w:eastAsia="宋体" w:cs="宋体"/>
                <w:bCs/>
                <w:sz w:val="21"/>
                <w:szCs w:val="21"/>
                <w:lang w:val="zh-CN"/>
              </w:rPr>
              <w:t>拟投</w:t>
            </w:r>
            <w:r>
              <w:rPr>
                <w:rFonts w:hint="eastAsia" w:ascii="宋体" w:hAnsi="宋体" w:eastAsia="宋体" w:cs="宋体"/>
                <w:bCs/>
                <w:sz w:val="21"/>
                <w:szCs w:val="21"/>
              </w:rPr>
              <w:t>入</w:t>
            </w:r>
            <w:r>
              <w:rPr>
                <w:rFonts w:hint="eastAsia" w:ascii="宋体" w:hAnsi="宋体" w:eastAsia="宋体" w:cs="宋体"/>
                <w:bCs/>
                <w:sz w:val="21"/>
                <w:szCs w:val="21"/>
                <w:lang w:val="zh-CN"/>
              </w:rPr>
              <w:t>设备</w:t>
            </w:r>
            <w:r>
              <w:rPr>
                <w:rFonts w:hint="eastAsia" w:ascii="宋体" w:hAnsi="宋体" w:eastAsia="宋体" w:cs="宋体"/>
                <w:bCs/>
                <w:sz w:val="21"/>
                <w:szCs w:val="21"/>
              </w:rPr>
              <w:t>配置非常</w:t>
            </w:r>
            <w:r>
              <w:rPr>
                <w:rFonts w:hint="eastAsia" w:ascii="宋体" w:hAnsi="宋体" w:eastAsia="宋体" w:cs="宋体"/>
                <w:bCs/>
                <w:sz w:val="21"/>
                <w:szCs w:val="21"/>
                <w:lang w:val="zh-CN"/>
              </w:rPr>
              <w:t>先进、</w:t>
            </w:r>
            <w:r>
              <w:rPr>
                <w:rFonts w:hint="eastAsia" w:ascii="宋体" w:hAnsi="宋体" w:eastAsia="宋体" w:cs="宋体"/>
                <w:bCs/>
                <w:sz w:val="21"/>
                <w:szCs w:val="21"/>
              </w:rPr>
              <w:t>非常</w:t>
            </w:r>
            <w:r>
              <w:rPr>
                <w:rFonts w:hint="eastAsia" w:ascii="宋体" w:hAnsi="宋体" w:eastAsia="宋体" w:cs="宋体"/>
                <w:bCs/>
                <w:sz w:val="21"/>
                <w:szCs w:val="21"/>
                <w:lang w:val="zh-CN"/>
              </w:rPr>
              <w:t>安全</w:t>
            </w:r>
            <w:r>
              <w:rPr>
                <w:rFonts w:hint="eastAsia" w:ascii="宋体" w:hAnsi="宋体" w:eastAsia="宋体" w:cs="宋体"/>
                <w:bCs/>
                <w:sz w:val="21"/>
                <w:szCs w:val="21"/>
              </w:rPr>
              <w:t>、非常</w:t>
            </w:r>
            <w:r>
              <w:rPr>
                <w:rFonts w:hint="eastAsia" w:ascii="宋体" w:hAnsi="宋体" w:eastAsia="宋体" w:cs="宋体"/>
                <w:bCs/>
                <w:sz w:val="21"/>
                <w:szCs w:val="21"/>
                <w:lang w:val="zh-CN"/>
              </w:rPr>
              <w:t>稳定</w:t>
            </w:r>
            <w:r>
              <w:rPr>
                <w:rFonts w:hint="eastAsia" w:ascii="宋体" w:hAnsi="宋体" w:eastAsia="宋体" w:cs="宋体"/>
                <w:bCs/>
                <w:sz w:val="21"/>
                <w:szCs w:val="21"/>
              </w:rPr>
              <w:t>的，得7分；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lang w:val="zh-CN"/>
              </w:rPr>
              <w:t>拟投</w:t>
            </w:r>
            <w:r>
              <w:rPr>
                <w:rFonts w:hint="eastAsia" w:ascii="宋体" w:hAnsi="宋体" w:eastAsia="宋体" w:cs="宋体"/>
                <w:bCs/>
                <w:sz w:val="21"/>
                <w:szCs w:val="21"/>
              </w:rPr>
              <w:t>入</w:t>
            </w:r>
            <w:r>
              <w:rPr>
                <w:rFonts w:hint="eastAsia" w:ascii="宋体" w:hAnsi="宋体" w:eastAsia="宋体" w:cs="宋体"/>
                <w:bCs/>
                <w:sz w:val="21"/>
                <w:szCs w:val="21"/>
                <w:lang w:val="zh-CN"/>
              </w:rPr>
              <w:t>设备</w:t>
            </w:r>
            <w:r>
              <w:rPr>
                <w:rFonts w:hint="eastAsia" w:ascii="宋体" w:hAnsi="宋体" w:eastAsia="宋体" w:cs="宋体"/>
                <w:bCs/>
                <w:sz w:val="21"/>
                <w:szCs w:val="21"/>
              </w:rPr>
              <w:t>配置较</w:t>
            </w:r>
            <w:r>
              <w:rPr>
                <w:rFonts w:hint="eastAsia" w:ascii="宋体" w:hAnsi="宋体" w:eastAsia="宋体" w:cs="宋体"/>
                <w:bCs/>
                <w:sz w:val="21"/>
                <w:szCs w:val="21"/>
                <w:lang w:val="zh-CN"/>
              </w:rPr>
              <w:t>先进、</w:t>
            </w:r>
            <w:r>
              <w:rPr>
                <w:rFonts w:hint="eastAsia" w:ascii="宋体" w:hAnsi="宋体" w:eastAsia="宋体" w:cs="宋体"/>
                <w:bCs/>
                <w:sz w:val="21"/>
                <w:szCs w:val="21"/>
              </w:rPr>
              <w:t>较</w:t>
            </w:r>
            <w:r>
              <w:rPr>
                <w:rFonts w:hint="eastAsia" w:ascii="宋体" w:hAnsi="宋体" w:eastAsia="宋体" w:cs="宋体"/>
                <w:bCs/>
                <w:sz w:val="21"/>
                <w:szCs w:val="21"/>
                <w:lang w:val="zh-CN"/>
              </w:rPr>
              <w:t>安全、</w:t>
            </w:r>
            <w:r>
              <w:rPr>
                <w:rFonts w:hint="eastAsia" w:ascii="宋体" w:hAnsi="宋体" w:eastAsia="宋体" w:cs="宋体"/>
                <w:bCs/>
                <w:sz w:val="21"/>
                <w:szCs w:val="21"/>
              </w:rPr>
              <w:t>较</w:t>
            </w:r>
            <w:r>
              <w:rPr>
                <w:rFonts w:hint="eastAsia" w:ascii="宋体" w:hAnsi="宋体" w:eastAsia="宋体" w:cs="宋体"/>
                <w:bCs/>
                <w:sz w:val="21"/>
                <w:szCs w:val="21"/>
                <w:lang w:val="zh-CN"/>
              </w:rPr>
              <w:t>稳定</w:t>
            </w:r>
            <w:r>
              <w:rPr>
                <w:rFonts w:hint="eastAsia" w:ascii="宋体" w:hAnsi="宋体" w:eastAsia="宋体" w:cs="宋体"/>
                <w:bCs/>
                <w:sz w:val="21"/>
                <w:szCs w:val="21"/>
              </w:rPr>
              <w:t>的，得4分；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lang w:val="zh-CN"/>
              </w:rPr>
              <w:t>拟投</w:t>
            </w:r>
            <w:r>
              <w:rPr>
                <w:rFonts w:hint="eastAsia" w:ascii="宋体" w:hAnsi="宋体" w:eastAsia="宋体" w:cs="宋体"/>
                <w:bCs/>
                <w:sz w:val="21"/>
                <w:szCs w:val="21"/>
              </w:rPr>
              <w:t>入</w:t>
            </w:r>
            <w:r>
              <w:rPr>
                <w:rFonts w:hint="eastAsia" w:ascii="宋体" w:hAnsi="宋体" w:eastAsia="宋体" w:cs="宋体"/>
                <w:bCs/>
                <w:sz w:val="21"/>
                <w:szCs w:val="21"/>
                <w:lang w:val="zh-CN"/>
              </w:rPr>
              <w:t>设备</w:t>
            </w:r>
            <w:r>
              <w:rPr>
                <w:rFonts w:hint="eastAsia" w:ascii="宋体" w:hAnsi="宋体" w:eastAsia="宋体" w:cs="宋体"/>
                <w:bCs/>
                <w:sz w:val="21"/>
                <w:szCs w:val="21"/>
              </w:rPr>
              <w:t>配置</w:t>
            </w:r>
            <w:r>
              <w:rPr>
                <w:rFonts w:hint="eastAsia" w:ascii="宋体" w:hAnsi="宋体" w:eastAsia="宋体" w:cs="宋体"/>
                <w:bCs/>
                <w:sz w:val="21"/>
                <w:szCs w:val="21"/>
                <w:lang w:val="zh-CN"/>
              </w:rPr>
              <w:t>先进</w:t>
            </w:r>
            <w:r>
              <w:rPr>
                <w:rFonts w:hint="eastAsia" w:ascii="宋体" w:hAnsi="宋体" w:eastAsia="宋体" w:cs="宋体"/>
                <w:bCs/>
                <w:sz w:val="21"/>
                <w:szCs w:val="21"/>
              </w:rPr>
              <w:t>性一般</w:t>
            </w:r>
            <w:r>
              <w:rPr>
                <w:rFonts w:hint="eastAsia" w:ascii="宋体" w:hAnsi="宋体" w:eastAsia="宋体" w:cs="宋体"/>
                <w:bCs/>
                <w:sz w:val="21"/>
                <w:szCs w:val="21"/>
                <w:lang w:val="zh-CN"/>
              </w:rPr>
              <w:t>、安全</w:t>
            </w:r>
            <w:r>
              <w:rPr>
                <w:rFonts w:hint="eastAsia" w:ascii="宋体" w:hAnsi="宋体" w:eastAsia="宋体" w:cs="宋体"/>
                <w:bCs/>
                <w:sz w:val="21"/>
                <w:szCs w:val="21"/>
              </w:rPr>
              <w:t>性一般</w:t>
            </w:r>
            <w:r>
              <w:rPr>
                <w:rFonts w:hint="eastAsia" w:ascii="宋体" w:hAnsi="宋体" w:eastAsia="宋体" w:cs="宋体"/>
                <w:bCs/>
                <w:sz w:val="21"/>
                <w:szCs w:val="21"/>
                <w:lang w:val="zh-CN"/>
              </w:rPr>
              <w:t>、稳定</w:t>
            </w:r>
            <w:r>
              <w:rPr>
                <w:rFonts w:hint="eastAsia" w:ascii="宋体" w:hAnsi="宋体" w:eastAsia="宋体" w:cs="宋体"/>
                <w:bCs/>
                <w:sz w:val="21"/>
                <w:szCs w:val="21"/>
              </w:rPr>
              <w:t>性一般的，得</w:t>
            </w:r>
            <w:r>
              <w:rPr>
                <w:rFonts w:hint="eastAsia" w:ascii="宋体" w:hAnsi="宋体" w:cs="宋体"/>
                <w:bCs/>
                <w:sz w:val="21"/>
                <w:szCs w:val="21"/>
                <w:lang w:val="en-US" w:eastAsia="zh-CN"/>
              </w:rPr>
              <w:t>1</w:t>
            </w:r>
            <w:r>
              <w:rPr>
                <w:rFonts w:hint="eastAsia" w:ascii="宋体" w:hAnsi="宋体" w:eastAsia="宋体" w:cs="宋体"/>
                <w:bCs/>
                <w:sz w:val="21"/>
                <w:szCs w:val="21"/>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未提供</w:t>
            </w:r>
            <w:r>
              <w:rPr>
                <w:rFonts w:hint="eastAsia" w:ascii="宋体" w:hAnsi="宋体" w:eastAsia="宋体" w:cs="宋体"/>
                <w:sz w:val="21"/>
                <w:szCs w:val="21"/>
              </w:rPr>
              <w:t>设备配置情况</w:t>
            </w:r>
            <w:r>
              <w:rPr>
                <w:rFonts w:hint="eastAsia" w:ascii="宋体" w:hAnsi="宋体" w:eastAsia="宋体" w:cs="宋体"/>
                <w:bCs/>
                <w:sz w:val="21"/>
                <w:szCs w:val="21"/>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7</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lang w:val="zh-CN"/>
              </w:rPr>
              <w:t>根据</w:t>
            </w:r>
            <w:r>
              <w:rPr>
                <w:rFonts w:hint="eastAsia" w:ascii="宋体" w:hAnsi="宋体" w:eastAsia="宋体" w:cs="宋体"/>
                <w:bCs/>
                <w:sz w:val="21"/>
                <w:szCs w:val="21"/>
              </w:rPr>
              <w:t>投标人</w:t>
            </w:r>
            <w:r>
              <w:rPr>
                <w:rFonts w:hint="eastAsia" w:ascii="宋体" w:hAnsi="宋体" w:eastAsia="宋体" w:cs="宋体"/>
                <w:bCs/>
                <w:sz w:val="21"/>
                <w:szCs w:val="21"/>
                <w:lang w:val="zh-CN"/>
              </w:rPr>
              <w:t>响应项目安排的售后服务响应、应急服务响应、故障响应、质量保证体系及措施、服务承诺等进行</w:t>
            </w:r>
            <w:r>
              <w:rPr>
                <w:rFonts w:hint="eastAsia" w:ascii="宋体" w:hAnsi="宋体" w:eastAsia="宋体" w:cs="宋体"/>
                <w:sz w:val="21"/>
                <w:szCs w:val="21"/>
              </w:rPr>
              <w:t>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lang w:val="zh-CN"/>
              </w:rPr>
              <w:t>售后服务方案完整科学、可行性非常强，优于或完全满足项目用户需求的，得</w:t>
            </w:r>
            <w:r>
              <w:rPr>
                <w:rFonts w:hint="eastAsia" w:ascii="宋体" w:hAnsi="宋体" w:eastAsia="宋体" w:cs="宋体"/>
                <w:bCs/>
                <w:sz w:val="21"/>
                <w:szCs w:val="21"/>
              </w:rPr>
              <w:t>7</w:t>
            </w:r>
            <w:r>
              <w:rPr>
                <w:rFonts w:hint="eastAsia" w:ascii="宋体" w:hAnsi="宋体" w:eastAsia="宋体" w:cs="宋体"/>
                <w:bCs/>
                <w:sz w:val="21"/>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lang w:val="zh-CN"/>
              </w:rPr>
              <w:t>售后服务方案完整、可行性较强，满足项目用户需求的，得</w:t>
            </w:r>
            <w:r>
              <w:rPr>
                <w:rFonts w:hint="eastAsia" w:ascii="宋体" w:hAnsi="宋体" w:eastAsia="宋体" w:cs="宋体"/>
                <w:bCs/>
                <w:sz w:val="21"/>
                <w:szCs w:val="21"/>
              </w:rPr>
              <w:t>4</w:t>
            </w:r>
            <w:r>
              <w:rPr>
                <w:rFonts w:hint="eastAsia" w:ascii="宋体" w:hAnsi="宋体" w:eastAsia="宋体" w:cs="宋体"/>
                <w:bCs/>
                <w:sz w:val="21"/>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lang w:val="zh-CN"/>
              </w:rPr>
              <w:t>售后服务方案基本完整、具有一定可行性，基本符合项目用户需求的，得</w:t>
            </w:r>
            <w:r>
              <w:rPr>
                <w:rFonts w:hint="eastAsia" w:ascii="宋体" w:hAnsi="宋体" w:cs="宋体"/>
                <w:bCs/>
                <w:sz w:val="21"/>
                <w:szCs w:val="21"/>
                <w:lang w:val="en-US" w:eastAsia="zh-CN"/>
              </w:rPr>
              <w:t>1</w:t>
            </w:r>
            <w:r>
              <w:rPr>
                <w:rFonts w:hint="eastAsia" w:ascii="宋体" w:hAnsi="宋体" w:eastAsia="宋体" w:cs="宋体"/>
                <w:bCs/>
                <w:sz w:val="21"/>
                <w:szCs w:val="21"/>
                <w:lang w:val="zh-CN"/>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质量保障措施及应急方案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根据投标人提供质量保障措施方案及应急方案（包括但不限于质量目标、项目质量的控制和应急方案措施）</w:t>
            </w:r>
            <w:r>
              <w:rPr>
                <w:rFonts w:hint="eastAsia" w:ascii="宋体" w:hAnsi="宋体" w:eastAsia="宋体" w:cs="宋体"/>
                <w:sz w:val="21"/>
                <w:szCs w:val="21"/>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质量目标非常明确、项目质量的控制非常详细、检验手段非常科学，应急方案非常具体可行，得7分；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质量目标比较明确、项目质量的控制较为详细、检验手段比较科学，应急方案比较具体可行，得4分；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质量目标基本明确、项目质量的控制一般、检验手段一般，安全、应急方案一般，得</w:t>
            </w:r>
            <w:r>
              <w:rPr>
                <w:rFonts w:hint="eastAsia" w:ascii="宋体" w:hAnsi="宋体" w:cs="宋体"/>
                <w:bCs/>
                <w:sz w:val="21"/>
                <w:szCs w:val="21"/>
                <w:lang w:val="en-US" w:eastAsia="zh-CN"/>
              </w:rPr>
              <w:t>1</w:t>
            </w:r>
            <w:r>
              <w:rPr>
                <w:rFonts w:hint="eastAsia" w:ascii="宋体" w:hAnsi="宋体" w:eastAsia="宋体" w:cs="宋体"/>
                <w:bCs/>
                <w:sz w:val="21"/>
                <w:szCs w:val="21"/>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bCs/>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（1）无特殊说明外，以上评审项，同一证明文件不重复计分。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sz w:val="21"/>
                <w:szCs w:val="21"/>
              </w:rPr>
            </w:pPr>
            <w:r>
              <w:rPr>
                <w:rFonts w:hint="eastAsia" w:ascii="宋体" w:hAnsi="宋体" w:eastAsia="宋体" w:cs="宋体"/>
                <w:b/>
                <w:sz w:val="21"/>
                <w:szCs w:val="21"/>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投标报价得分=(评标基准价／投标报价)×价格权值</w:t>
            </w:r>
          </w:p>
        </w:tc>
      </w:tr>
    </w:tbl>
    <w:p>
      <w:pPr>
        <w:bidi w:val="0"/>
        <w:rPr>
          <w:rFonts w:hint="eastAsia"/>
          <w:color w:val="auto"/>
        </w:rPr>
      </w:pPr>
      <w:r>
        <w:rPr>
          <w:rFonts w:hint="eastAsia"/>
          <w:color w:val="auto"/>
        </w:rPr>
        <w:br w:type="page"/>
      </w:r>
    </w:p>
    <w:p>
      <w:pPr>
        <w:pStyle w:val="2"/>
        <w:spacing w:before="0" w:after="0" w:line="240" w:lineRule="auto"/>
        <w:rPr>
          <w:color w:val="auto"/>
          <w:sz w:val="24"/>
          <w:szCs w:val="24"/>
        </w:rPr>
      </w:pPr>
      <w:bookmarkStart w:id="17" w:name="_Toc2479"/>
      <w:bookmarkStart w:id="18" w:name="_Toc29685"/>
      <w:bookmarkStart w:id="19" w:name="_Toc30638"/>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rPr>
      </w:pPr>
      <w:bookmarkStart w:id="21" w:name="_Toc19746"/>
      <w:bookmarkStart w:id="22" w:name="_Toc3095"/>
      <w:bookmarkStart w:id="23" w:name="_Toc1110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rPr>
      </w:pPr>
      <w:bookmarkStart w:id="24" w:name="_Toc18488"/>
      <w:bookmarkStart w:id="25" w:name="_Toc22847"/>
      <w:bookmarkStart w:id="26" w:name="_Toc22803"/>
      <w:r>
        <w:rPr>
          <w:rFonts w:hint="eastAsia" w:ascii="宋体" w:hAnsi="宋体" w:eastAsia="宋体"/>
          <w:color w:val="auto"/>
          <w:sz w:val="21"/>
          <w:szCs w:val="21"/>
        </w:rPr>
        <w:t>1.适用范围</w:t>
      </w:r>
      <w:bookmarkEnd w:id="24"/>
      <w:bookmarkEnd w:id="25"/>
      <w:bookmarkEnd w:id="26"/>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13400"/>
      <w:bookmarkStart w:id="28" w:name="_Toc16848"/>
      <w:bookmarkStart w:id="29" w:name="_Toc21002"/>
      <w:r>
        <w:rPr>
          <w:rFonts w:hint="eastAsia" w:ascii="宋体" w:hAnsi="宋体" w:eastAsia="宋体"/>
          <w:color w:val="auto"/>
          <w:sz w:val="21"/>
          <w:szCs w:val="21"/>
        </w:rPr>
        <w:t>2.</w:t>
      </w:r>
      <w:bookmarkStart w:id="30" w:name="_Toc303084246"/>
      <w:bookmarkStart w:id="31" w:name="_Toc382049092"/>
      <w:bookmarkStart w:id="32" w:name="_Toc1530"/>
      <w:bookmarkStart w:id="33" w:name="_Toc298847174"/>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5"/>
        <w:widowControl w:val="0"/>
        <w:numPr>
          <w:ilvl w:val="0"/>
          <w:numId w:val="5"/>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4" w:name="_Toc3780"/>
      <w:bookmarkStart w:id="35" w:name="_Toc2996"/>
      <w:bookmarkStart w:id="36" w:name="_Toc9710"/>
      <w:r>
        <w:rPr>
          <w:rFonts w:hint="eastAsia" w:ascii="宋体" w:hAnsi="宋体" w:eastAsia="宋体"/>
          <w:color w:val="auto"/>
          <w:sz w:val="21"/>
          <w:szCs w:val="21"/>
        </w:rPr>
        <w:t>3.货物和服务</w:t>
      </w:r>
      <w:bookmarkEnd w:id="34"/>
      <w:bookmarkEnd w:id="35"/>
      <w:bookmarkEnd w:id="36"/>
    </w:p>
    <w:p>
      <w:pPr>
        <w:pStyle w:val="35"/>
        <w:widowControl w:val="0"/>
        <w:numPr>
          <w:ilvl w:val="0"/>
          <w:numId w:val="5"/>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7" w:name="_Toc15945"/>
      <w:bookmarkStart w:id="38" w:name="_Toc13909"/>
      <w:bookmarkStart w:id="39" w:name="_Toc12536"/>
      <w:r>
        <w:rPr>
          <w:rFonts w:hint="eastAsia" w:ascii="宋体" w:hAnsi="宋体" w:eastAsia="宋体"/>
          <w:color w:val="auto"/>
          <w:sz w:val="21"/>
          <w:szCs w:val="21"/>
        </w:rPr>
        <w:t>4.投标费用</w:t>
      </w:r>
      <w:bookmarkEnd w:id="37"/>
      <w:bookmarkEnd w:id="38"/>
      <w:bookmarkEnd w:id="39"/>
    </w:p>
    <w:p>
      <w:pPr>
        <w:pStyle w:val="35"/>
        <w:widowControl w:val="0"/>
        <w:numPr>
          <w:ilvl w:val="0"/>
          <w:numId w:val="5"/>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0" w:name="_Toc19532"/>
      <w:bookmarkStart w:id="41" w:name="_Toc19094"/>
      <w:bookmarkStart w:id="42" w:name="_Toc25040"/>
      <w:r>
        <w:rPr>
          <w:rFonts w:hint="eastAsia" w:ascii="宋体" w:hAnsi="宋体" w:eastAsia="宋体"/>
          <w:color w:val="auto"/>
          <w:sz w:val="21"/>
          <w:szCs w:val="21"/>
        </w:rPr>
        <w:t>5.知识产权</w:t>
      </w:r>
      <w:bookmarkEnd w:id="40"/>
      <w:bookmarkEnd w:id="41"/>
      <w:bookmarkEnd w:id="42"/>
    </w:p>
    <w:p>
      <w:pPr>
        <w:pStyle w:val="35"/>
        <w:widowControl w:val="0"/>
        <w:numPr>
          <w:ilvl w:val="0"/>
          <w:numId w:val="5"/>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3" w:name="_Toc31885"/>
      <w:bookmarkStart w:id="44" w:name="_Toc8432"/>
      <w:bookmarkStart w:id="45" w:name="_Toc21930"/>
      <w:r>
        <w:rPr>
          <w:rFonts w:hint="eastAsia" w:ascii="宋体" w:hAnsi="宋体" w:eastAsia="宋体"/>
          <w:color w:val="auto"/>
          <w:sz w:val="21"/>
          <w:szCs w:val="21"/>
        </w:rPr>
        <w:t>6.关于联合体投标</w:t>
      </w:r>
      <w:bookmarkEnd w:id="43"/>
      <w:bookmarkEnd w:id="44"/>
      <w:bookmarkEnd w:id="45"/>
    </w:p>
    <w:p>
      <w:pPr>
        <w:pStyle w:val="35"/>
        <w:widowControl w:val="0"/>
        <w:numPr>
          <w:ilvl w:val="0"/>
          <w:numId w:val="5"/>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对接受联合体投标的项目：两个以上的自然人、法人或者其他组织可以组成一个联合体，以一个投标人的身份共同参加政府采购。</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联合体各方均应当符合《政府采购法》第二十二条规定的条件。</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lang w:eastAsia="zh-CN"/>
        </w:rPr>
        <w:t>双方均应提供《中小企业声明函》。</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5"/>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6" w:name="_Toc13811"/>
      <w:bookmarkStart w:id="47" w:name="_Toc16571"/>
      <w:bookmarkStart w:id="48" w:name="_Toc32331"/>
      <w:bookmarkStart w:id="49" w:name="_Toc17879"/>
      <w:r>
        <w:rPr>
          <w:rFonts w:hint="eastAsia" w:ascii="宋体" w:hAnsi="宋体" w:eastAsia="宋体"/>
          <w:color w:val="auto"/>
          <w:sz w:val="21"/>
          <w:szCs w:val="21"/>
        </w:rPr>
        <w:t>7.关于分支机构投标</w:t>
      </w:r>
      <w:bookmarkEnd w:id="46"/>
      <w:bookmarkEnd w:id="47"/>
      <w:bookmarkEnd w:id="48"/>
    </w:p>
    <w:p>
      <w:pPr>
        <w:pStyle w:val="35"/>
        <w:widowControl w:val="0"/>
        <w:numPr>
          <w:ilvl w:val="0"/>
          <w:numId w:val="5"/>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5"/>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rPr>
      </w:pPr>
      <w:bookmarkStart w:id="53" w:name="_Toc1423"/>
      <w:bookmarkStart w:id="54" w:name="_Toc13494"/>
      <w:bookmarkStart w:id="55" w:name="_Toc21771"/>
      <w:r>
        <w:rPr>
          <w:rFonts w:hint="eastAsia" w:ascii="宋体" w:hAnsi="宋体" w:eastAsia="宋体"/>
          <w:color w:val="auto"/>
          <w:sz w:val="21"/>
          <w:szCs w:val="21"/>
        </w:rPr>
        <w:t>8.招标文件的组成</w:t>
      </w:r>
      <w:bookmarkEnd w:id="53"/>
      <w:bookmarkEnd w:id="54"/>
      <w:bookmarkEnd w:id="55"/>
    </w:p>
    <w:p>
      <w:pPr>
        <w:pStyle w:val="35"/>
        <w:widowControl w:val="0"/>
        <w:numPr>
          <w:ilvl w:val="0"/>
          <w:numId w:val="5"/>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7274"/>
      <w:bookmarkStart w:id="57" w:name="_Toc14217"/>
      <w:bookmarkStart w:id="58" w:name="_Toc7997"/>
      <w:r>
        <w:rPr>
          <w:rFonts w:hint="eastAsia" w:ascii="宋体" w:hAnsi="宋体" w:eastAsia="宋体"/>
          <w:color w:val="auto"/>
          <w:sz w:val="21"/>
          <w:szCs w:val="21"/>
        </w:rPr>
        <w:t>9.招标文件的澄清或修改</w:t>
      </w:r>
      <w:bookmarkEnd w:id="56"/>
      <w:bookmarkEnd w:id="57"/>
      <w:bookmarkEnd w:id="58"/>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0"/>
        </w:numPr>
        <w:spacing w:before="0" w:after="0" w:line="480" w:lineRule="auto"/>
        <w:ind w:leftChars="0"/>
        <w:jc w:val="center"/>
        <w:rPr>
          <w:rFonts w:ascii="宋体" w:hAnsi="宋体" w:eastAsia="宋体"/>
          <w:color w:val="auto"/>
        </w:rPr>
      </w:pPr>
      <w:bookmarkStart w:id="59" w:name="_Toc4773"/>
      <w:bookmarkStart w:id="60" w:name="_Toc23726"/>
      <w:bookmarkStart w:id="61" w:name="_Toc16712"/>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8092"/>
      <w:bookmarkStart w:id="63" w:name="_Toc20623"/>
      <w:bookmarkStart w:id="64" w:name="_Toc7434"/>
      <w:r>
        <w:rPr>
          <w:rFonts w:hint="eastAsia" w:ascii="宋体" w:hAnsi="宋体" w:eastAsia="宋体"/>
          <w:color w:val="auto"/>
          <w:sz w:val="21"/>
          <w:szCs w:val="21"/>
        </w:rPr>
        <w:t>10.投标文件的语言及度量衡单位</w:t>
      </w:r>
      <w:bookmarkEnd w:id="62"/>
      <w:bookmarkEnd w:id="63"/>
      <w:bookmarkEnd w:id="64"/>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7728"/>
      <w:bookmarkStart w:id="66" w:name="_Toc303084256"/>
      <w:bookmarkStart w:id="67" w:name="_Toc12145"/>
      <w:bookmarkStart w:id="68" w:name="_Toc382049103"/>
      <w:bookmarkStart w:id="69" w:name="_Toc18999"/>
      <w:bookmarkStart w:id="70" w:name="_Toc307934854"/>
      <w:bookmarkStart w:id="71" w:name="_Toc28866"/>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30189"/>
      <w:bookmarkStart w:id="73" w:name="_Toc3882"/>
      <w:bookmarkStart w:id="74" w:name="_Toc21747"/>
      <w:r>
        <w:rPr>
          <w:rFonts w:hint="eastAsia" w:ascii="宋体" w:hAnsi="宋体" w:eastAsia="宋体"/>
          <w:color w:val="auto"/>
          <w:sz w:val="21"/>
          <w:szCs w:val="21"/>
        </w:rPr>
        <w:t>12.投标文件编制</w:t>
      </w:r>
      <w:bookmarkEnd w:id="72"/>
      <w:bookmarkEnd w:id="73"/>
      <w:bookmarkEnd w:id="74"/>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259"/>
      <w:bookmarkStart w:id="77" w:name="_Toc17188"/>
      <w:bookmarkStart w:id="78" w:name="_Toc7847"/>
      <w:r>
        <w:rPr>
          <w:rFonts w:hint="eastAsia" w:ascii="宋体" w:hAnsi="宋体" w:eastAsia="宋体"/>
          <w:color w:val="auto"/>
          <w:sz w:val="21"/>
          <w:szCs w:val="21"/>
        </w:rPr>
        <w:t>13.投标报价说明</w:t>
      </w:r>
      <w:bookmarkEnd w:id="76"/>
      <w:bookmarkEnd w:id="77"/>
      <w:bookmarkEnd w:id="78"/>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18911"/>
      <w:bookmarkStart w:id="80" w:name="_Toc27724"/>
      <w:bookmarkStart w:id="81" w:name="_Toc16535"/>
      <w:r>
        <w:rPr>
          <w:rFonts w:hint="eastAsia" w:ascii="宋体" w:hAnsi="宋体" w:eastAsia="宋体"/>
          <w:color w:val="auto"/>
          <w:sz w:val="21"/>
          <w:szCs w:val="21"/>
        </w:rPr>
        <w:t>14.投标人所提供的服务或货物的证明文件</w:t>
      </w:r>
      <w:bookmarkEnd w:id="79"/>
      <w:bookmarkEnd w:id="80"/>
      <w:bookmarkEnd w:id="81"/>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68"/>
      <w:bookmarkEnd w:id="82"/>
      <w:bookmarkStart w:id="83" w:name="_Hlt10792563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19520"/>
      <w:bookmarkStart w:id="85" w:name="_Toc30815"/>
      <w:bookmarkStart w:id="86" w:name="_Toc22169"/>
      <w:r>
        <w:rPr>
          <w:rFonts w:hint="eastAsia" w:ascii="宋体" w:hAnsi="宋体" w:eastAsia="宋体"/>
          <w:color w:val="auto"/>
          <w:sz w:val="21"/>
          <w:szCs w:val="21"/>
        </w:rPr>
        <w:t>15.★投标有效期</w:t>
      </w:r>
      <w:bookmarkEnd w:id="84"/>
      <w:bookmarkEnd w:id="85"/>
      <w:bookmarkEnd w:id="86"/>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lang w:eastAsia="zh-CN"/>
        </w:rPr>
      </w:pPr>
      <w:bookmarkStart w:id="87" w:name="_Toc12456"/>
      <w:bookmarkStart w:id="88" w:name="_Toc30257"/>
      <w:bookmarkStart w:id="89" w:name="_Toc25817"/>
      <w:r>
        <w:rPr>
          <w:rFonts w:hint="eastAsia" w:ascii="宋体" w:hAnsi="宋体" w:eastAsia="宋体"/>
          <w:color w:val="auto"/>
          <w:sz w:val="21"/>
          <w:szCs w:val="21"/>
        </w:rPr>
        <w:t>16.投标保证金</w:t>
      </w:r>
      <w:bookmarkEnd w:id="87"/>
      <w:bookmarkEnd w:id="88"/>
      <w:bookmarkEnd w:id="89"/>
      <w:r>
        <w:rPr>
          <w:rFonts w:hint="eastAsia" w:ascii="宋体" w:hAnsi="宋体" w:eastAsia="宋体"/>
          <w:color w:val="auto"/>
          <w:sz w:val="21"/>
          <w:szCs w:val="21"/>
          <w:lang w:eastAsia="zh-CN"/>
        </w:rPr>
        <w:t>（</w:t>
      </w:r>
      <w:r>
        <w:rPr>
          <w:rFonts w:hint="eastAsia" w:ascii="宋体" w:hAnsi="宋体"/>
          <w:b/>
          <w:color w:val="auto"/>
          <w:sz w:val="21"/>
          <w:szCs w:val="21"/>
          <w:lang w:val="en-US" w:eastAsia="zh-CN"/>
        </w:rPr>
        <w:t>本项目不需提供投标保证金</w:t>
      </w:r>
      <w:r>
        <w:rPr>
          <w:rFonts w:hint="eastAsia" w:ascii="宋体" w:hAnsi="宋体" w:eastAsia="宋体"/>
          <w:color w:val="auto"/>
          <w:sz w:val="21"/>
          <w:szCs w:val="21"/>
          <w:lang w:eastAsia="zh-CN"/>
        </w:rPr>
        <w:t>）</w:t>
      </w:r>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4"/>
        <w:numPr>
          <w:ilvl w:val="0"/>
          <w:numId w:val="0"/>
        </w:numPr>
        <w:spacing w:before="0" w:after="0" w:line="480" w:lineRule="auto"/>
        <w:ind w:leftChars="0"/>
        <w:jc w:val="center"/>
        <w:rPr>
          <w:rFonts w:ascii="宋体" w:hAnsi="宋体" w:eastAsia="宋体"/>
          <w:color w:val="auto"/>
        </w:rPr>
      </w:pPr>
      <w:bookmarkStart w:id="91" w:name="_Toc3200"/>
      <w:bookmarkStart w:id="92" w:name="_Toc24109"/>
      <w:bookmarkStart w:id="93" w:name="_Toc31124"/>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24997"/>
      <w:bookmarkStart w:id="95" w:name="_Toc23678"/>
      <w:bookmarkStart w:id="96" w:name="_Toc303084264"/>
      <w:bookmarkStart w:id="97" w:name="_Toc473"/>
      <w:bookmarkStart w:id="98" w:name="_Toc29590"/>
      <w:bookmarkStart w:id="99" w:name="_Toc382049111"/>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17417"/>
      <w:bookmarkStart w:id="101" w:name="_Toc7473"/>
      <w:bookmarkStart w:id="102" w:name="_Toc8628"/>
      <w:r>
        <w:rPr>
          <w:rFonts w:hint="eastAsia" w:ascii="宋体" w:hAnsi="宋体" w:eastAsia="宋体"/>
          <w:color w:val="auto"/>
          <w:sz w:val="21"/>
          <w:szCs w:val="21"/>
        </w:rPr>
        <w:t>18.迟交的投标文件</w:t>
      </w:r>
      <w:bookmarkEnd w:id="100"/>
      <w:bookmarkEnd w:id="101"/>
      <w:bookmarkEnd w:id="102"/>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13212"/>
      <w:bookmarkStart w:id="104" w:name="_Toc19649"/>
      <w:bookmarkStart w:id="105" w:name="_Toc8526"/>
      <w:r>
        <w:rPr>
          <w:rFonts w:hint="eastAsia" w:ascii="宋体" w:hAnsi="宋体" w:eastAsia="宋体"/>
          <w:color w:val="auto"/>
          <w:sz w:val="21"/>
          <w:szCs w:val="21"/>
        </w:rPr>
        <w:t>19.投标样品（如需提交）</w:t>
      </w:r>
      <w:bookmarkEnd w:id="103"/>
      <w:bookmarkEnd w:id="104"/>
      <w:bookmarkEnd w:id="105"/>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9777"/>
      <w:bookmarkStart w:id="107" w:name="_Toc23477"/>
      <w:bookmarkStart w:id="108" w:name="_Toc382049112"/>
      <w:bookmarkStart w:id="109" w:name="_Toc7689"/>
      <w:bookmarkStart w:id="110" w:name="_Toc5900"/>
      <w:bookmarkStart w:id="111" w:name="_Toc303084265"/>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11133"/>
      <w:bookmarkStart w:id="113" w:name="_Toc6003"/>
      <w:bookmarkStart w:id="114" w:name="_Toc15569"/>
      <w:r>
        <w:rPr>
          <w:rFonts w:hint="eastAsia" w:ascii="宋体" w:hAnsi="宋体" w:eastAsia="宋体"/>
          <w:color w:val="auto"/>
          <w:sz w:val="21"/>
          <w:szCs w:val="21"/>
        </w:rPr>
        <w:t>21.投标文件的补充、修改与撤回</w:t>
      </w:r>
      <w:bookmarkEnd w:id="112"/>
      <w:bookmarkEnd w:id="113"/>
      <w:bookmarkEnd w:id="114"/>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9"/>
        <w:rPr>
          <w:color w:val="auto"/>
        </w:rPr>
      </w:pPr>
    </w:p>
    <w:p>
      <w:pPr>
        <w:pStyle w:val="4"/>
        <w:numPr>
          <w:ilvl w:val="0"/>
          <w:numId w:val="0"/>
        </w:numPr>
        <w:spacing w:before="0" w:after="0" w:line="480" w:lineRule="auto"/>
        <w:ind w:leftChars="0"/>
        <w:jc w:val="center"/>
        <w:rPr>
          <w:rFonts w:ascii="宋体" w:hAnsi="宋体" w:eastAsia="宋体"/>
          <w:color w:val="auto"/>
        </w:rPr>
      </w:pPr>
      <w:bookmarkStart w:id="115" w:name="_Toc23466"/>
      <w:bookmarkStart w:id="116" w:name="_Toc5049"/>
      <w:bookmarkStart w:id="117" w:name="_Toc29574"/>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8458"/>
      <w:bookmarkStart w:id="119" w:name="_Toc27700"/>
      <w:bookmarkStart w:id="120" w:name="_Toc24251"/>
      <w:r>
        <w:rPr>
          <w:rFonts w:hint="eastAsia" w:ascii="宋体" w:hAnsi="宋体" w:eastAsia="宋体"/>
          <w:color w:val="auto"/>
          <w:sz w:val="21"/>
          <w:szCs w:val="21"/>
        </w:rPr>
        <w:t>22.开标</w:t>
      </w:r>
      <w:bookmarkEnd w:id="118"/>
      <w:bookmarkEnd w:id="119"/>
      <w:bookmarkEnd w:id="120"/>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4921"/>
      <w:bookmarkStart w:id="122" w:name="_Toc5524"/>
      <w:bookmarkStart w:id="123" w:name="_Toc5974"/>
      <w:r>
        <w:rPr>
          <w:rFonts w:hint="eastAsia" w:ascii="宋体" w:hAnsi="宋体" w:eastAsia="宋体"/>
          <w:color w:val="auto"/>
          <w:sz w:val="21"/>
          <w:szCs w:val="21"/>
        </w:rPr>
        <w:t>23.评标委员会及评标方法</w:t>
      </w:r>
      <w:bookmarkEnd w:id="121"/>
      <w:bookmarkEnd w:id="122"/>
      <w:bookmarkEnd w:id="123"/>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32730"/>
      <w:bookmarkStart w:id="125" w:name="_Toc26402"/>
      <w:bookmarkStart w:id="126" w:name="_Toc15231"/>
      <w:r>
        <w:rPr>
          <w:rFonts w:hint="eastAsia" w:ascii="宋体" w:hAnsi="宋体" w:eastAsia="宋体"/>
          <w:color w:val="auto"/>
          <w:sz w:val="21"/>
          <w:szCs w:val="21"/>
        </w:rPr>
        <w:t>24.评审原则及评标过程的保密</w:t>
      </w:r>
      <w:bookmarkEnd w:id="124"/>
      <w:bookmarkEnd w:id="125"/>
      <w:bookmarkEnd w:id="126"/>
    </w:p>
    <w:p>
      <w:pPr>
        <w:pStyle w:val="35"/>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3762"/>
      <w:bookmarkStart w:id="128" w:name="_Toc16745"/>
      <w:bookmarkStart w:id="129" w:name="_Toc18436"/>
      <w:r>
        <w:rPr>
          <w:rFonts w:hint="eastAsia" w:ascii="宋体" w:hAnsi="宋体" w:eastAsia="宋体"/>
          <w:color w:val="auto"/>
          <w:sz w:val="21"/>
          <w:szCs w:val="21"/>
        </w:rPr>
        <w:t>25.投标文件的初审</w:t>
      </w:r>
      <w:bookmarkEnd w:id="127"/>
      <w:bookmarkEnd w:id="128"/>
      <w:bookmarkEnd w:id="129"/>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1742"/>
      <w:bookmarkStart w:id="131" w:name="_Toc29184"/>
      <w:bookmarkStart w:id="132" w:name="_Toc27673"/>
      <w:r>
        <w:rPr>
          <w:rFonts w:hint="eastAsia" w:ascii="宋体" w:hAnsi="宋体" w:eastAsia="宋体"/>
          <w:color w:val="auto"/>
          <w:sz w:val="21"/>
          <w:szCs w:val="21"/>
        </w:rPr>
        <w:t>26.商务、技术、价格评审（具体评审项目详见投标资料表）</w:t>
      </w:r>
      <w:bookmarkEnd w:id="130"/>
      <w:bookmarkEnd w:id="131"/>
      <w:bookmarkEnd w:id="132"/>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7593"/>
      <w:bookmarkStart w:id="134" w:name="_Toc17683"/>
      <w:bookmarkStart w:id="135" w:name="_Toc22192"/>
      <w:r>
        <w:rPr>
          <w:rFonts w:hint="eastAsia" w:ascii="宋体" w:hAnsi="宋体" w:eastAsia="宋体"/>
          <w:color w:val="auto"/>
          <w:sz w:val="21"/>
          <w:szCs w:val="21"/>
        </w:rPr>
        <w:t>27.优惠政策</w:t>
      </w:r>
      <w:bookmarkEnd w:id="133"/>
      <w:bookmarkEnd w:id="134"/>
      <w:bookmarkEnd w:id="135"/>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根据财政部、工业和信息化部制定了《</w:t>
      </w:r>
      <w:r>
        <w:rPr>
          <w:rFonts w:hint="eastAsia" w:ascii="宋体" w:hAnsi="宋体" w:eastAsia="宋体"/>
          <w:color w:val="auto"/>
          <w:sz w:val="21"/>
          <w:szCs w:val="21"/>
          <w:lang w:eastAsia="zh-CN"/>
        </w:rPr>
        <w:t>政府采购促进中小企业发展管理办法</w:t>
      </w:r>
      <w:r>
        <w:rPr>
          <w:rFonts w:hint="eastAsia" w:ascii="宋体" w:hAnsi="宋体" w:eastAsia="宋体"/>
          <w:color w:val="auto"/>
          <w:sz w:val="21"/>
          <w:szCs w:val="21"/>
        </w:rPr>
        <w:t>》</w:t>
      </w:r>
      <w:r>
        <w:rPr>
          <w:rFonts w:hint="eastAsia" w:ascii="宋体" w:hAnsi="宋体" w:eastAsia="宋体"/>
          <w:color w:val="auto"/>
          <w:sz w:val="21"/>
          <w:szCs w:val="21"/>
          <w:lang w:eastAsia="zh-CN"/>
        </w:rPr>
        <w:t>（财库〔2020〕46号）</w:t>
      </w:r>
      <w:r>
        <w:rPr>
          <w:rFonts w:hint="eastAsia" w:ascii="宋体" w:hAnsi="宋体" w:eastAsia="宋体"/>
          <w:color w:val="auto"/>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投标人为小型或微型企业且投标产品含小型或微型企业产品时，其对应产品价格的扣除详见投标资料表。</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w:t>
      </w:r>
      <w:r>
        <w:rPr>
          <w:rFonts w:hint="eastAsia" w:ascii="宋体" w:hAnsi="宋体" w:eastAsia="宋体"/>
          <w:color w:val="auto"/>
          <w:sz w:val="21"/>
          <w:szCs w:val="21"/>
          <w:lang w:eastAsia="zh-CN"/>
        </w:rPr>
        <w:t>“财政部 工业和信息化部关于印发《政府采购促进中小企业发展管理办法》的通知（财库〔2020〕46号）”</w:t>
      </w:r>
      <w:r>
        <w:rPr>
          <w:rFonts w:hint="eastAsia" w:ascii="宋体" w:hAnsi="宋体" w:eastAsia="宋体"/>
          <w:color w:val="auto"/>
          <w:sz w:val="21"/>
          <w:szCs w:val="21"/>
        </w:rPr>
        <w:t>规定的中小企业扶持政策。</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u w:val="single"/>
        </w:rPr>
      </w:pPr>
      <w:r>
        <w:rPr>
          <w:rFonts w:hint="eastAsia" w:ascii="宋体" w:hAnsi="宋体" w:eastAsia="宋体"/>
          <w:b/>
          <w:bCs/>
          <w:color w:val="auto"/>
          <w:sz w:val="21"/>
          <w:szCs w:val="21"/>
          <w:u w:val="single"/>
        </w:rPr>
        <w:t>中标、成交供应商享受本办法（财库〔2020〕46号）规定的中小企业扶持政策的，采购代理机构</w:t>
      </w:r>
      <w:r>
        <w:rPr>
          <w:rFonts w:hint="eastAsia" w:ascii="宋体" w:hAnsi="宋体" w:eastAsia="宋体"/>
          <w:b/>
          <w:bCs/>
          <w:color w:val="auto"/>
          <w:sz w:val="21"/>
          <w:szCs w:val="21"/>
          <w:u w:val="single"/>
          <w:lang w:eastAsia="zh-CN"/>
        </w:rPr>
        <w:t>将</w:t>
      </w:r>
      <w:r>
        <w:rPr>
          <w:rFonts w:hint="eastAsia" w:ascii="宋体" w:hAnsi="宋体" w:eastAsia="宋体"/>
          <w:b/>
          <w:bCs/>
          <w:color w:val="auto"/>
          <w:sz w:val="21"/>
          <w:szCs w:val="21"/>
          <w:u w:val="single"/>
        </w:rPr>
        <w:t>随中标、成交结果公开中标、成交供应商的《中小企业声明函》。</w:t>
      </w:r>
      <w:r>
        <w:rPr>
          <w:rFonts w:hint="eastAsia" w:ascii="宋体" w:hAnsi="宋体" w:eastAsia="宋体"/>
          <w:b/>
          <w:bCs/>
          <w:color w:val="auto"/>
          <w:sz w:val="21"/>
          <w:szCs w:val="21"/>
          <w:u w:val="single"/>
          <w:lang w:eastAsia="zh-CN"/>
        </w:rPr>
        <w:t>各供应商不得提供虚假声明，提供虚假声明取消中标、成交资格，并追究其法律责任。</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提供节能产品或环境标志产品的投标人其产品应符合以下规定：</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6" w:name="_Toc316375620"/>
      <w:bookmarkStart w:id="137" w:name="_Toc12115"/>
      <w:bookmarkStart w:id="138" w:name="_Toc22591"/>
      <w:bookmarkStart w:id="139" w:name="_Toc382049120"/>
      <w:bookmarkStart w:id="140" w:name="_Toc31141"/>
      <w:bookmarkStart w:id="141" w:name="_Toc20328"/>
      <w:r>
        <w:rPr>
          <w:rFonts w:hint="eastAsia" w:ascii="宋体" w:hAnsi="宋体" w:eastAsia="宋体"/>
          <w:color w:val="auto"/>
          <w:sz w:val="21"/>
          <w:szCs w:val="21"/>
        </w:rPr>
        <w:t>28.纪律和</w:t>
      </w:r>
      <w:r>
        <w:rPr>
          <w:rFonts w:ascii="宋体" w:hAnsi="宋体" w:eastAsia="宋体"/>
          <w:color w:val="auto"/>
          <w:sz w:val="21"/>
          <w:szCs w:val="21"/>
        </w:rPr>
        <w:t>保密</w:t>
      </w:r>
      <w:bookmarkEnd w:id="136"/>
      <w:r>
        <w:rPr>
          <w:rFonts w:hint="eastAsia" w:ascii="宋体" w:hAnsi="宋体" w:eastAsia="宋体"/>
          <w:color w:val="auto"/>
          <w:sz w:val="21"/>
          <w:szCs w:val="21"/>
        </w:rPr>
        <w:t>事项</w:t>
      </w:r>
      <w:bookmarkEnd w:id="137"/>
      <w:bookmarkEnd w:id="138"/>
      <w:bookmarkEnd w:id="139"/>
      <w:bookmarkEnd w:id="140"/>
      <w:bookmarkEnd w:id="141"/>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42" w:name="_Toc29310"/>
      <w:bookmarkStart w:id="143" w:name="_Toc5528"/>
      <w:bookmarkStart w:id="144" w:name="_Toc12251"/>
      <w:r>
        <w:rPr>
          <w:rFonts w:hint="eastAsia" w:ascii="宋体" w:hAnsi="宋体"/>
          <w:color w:val="auto"/>
          <w:lang w:val="en-US" w:eastAsia="zh-CN"/>
        </w:rPr>
        <w:t>第六章</w:t>
      </w:r>
      <w:r>
        <w:rPr>
          <w:rFonts w:hint="eastAsia" w:ascii="宋体" w:hAnsi="宋体" w:eastAsia="宋体"/>
          <w:color w:val="auto"/>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5" w:name="_Toc17778"/>
      <w:bookmarkStart w:id="146" w:name="_Toc6696"/>
      <w:bookmarkStart w:id="147" w:name="_Toc508284011"/>
      <w:bookmarkStart w:id="148" w:name="_Toc27817"/>
      <w:r>
        <w:rPr>
          <w:rFonts w:hint="eastAsia" w:ascii="宋体" w:hAnsi="宋体" w:eastAsia="宋体"/>
          <w:color w:val="auto"/>
          <w:sz w:val="21"/>
          <w:szCs w:val="21"/>
        </w:rPr>
        <w:t>29.</w:t>
      </w:r>
      <w:r>
        <w:rPr>
          <w:rFonts w:ascii="宋体" w:hAnsi="宋体" w:eastAsia="宋体"/>
          <w:color w:val="auto"/>
          <w:sz w:val="21"/>
          <w:szCs w:val="21"/>
        </w:rPr>
        <w:t>合同授予标准</w:t>
      </w:r>
      <w:bookmarkEnd w:id="145"/>
      <w:bookmarkEnd w:id="146"/>
      <w:bookmarkEnd w:id="147"/>
      <w:bookmarkEnd w:id="148"/>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9" w:name="_Toc23136"/>
      <w:bookmarkStart w:id="150" w:name="_Toc508284013"/>
      <w:bookmarkStart w:id="151" w:name="_Toc12440"/>
      <w:bookmarkStart w:id="152" w:name="_Toc29283"/>
      <w:r>
        <w:rPr>
          <w:rFonts w:hint="eastAsia" w:ascii="宋体" w:hAnsi="宋体" w:eastAsia="宋体"/>
          <w:color w:val="auto"/>
          <w:sz w:val="21"/>
          <w:szCs w:val="21"/>
        </w:rPr>
        <w:t>30.发布采购结果</w:t>
      </w:r>
      <w:bookmarkEnd w:id="149"/>
      <w:bookmarkEnd w:id="150"/>
      <w:bookmarkEnd w:id="151"/>
      <w:bookmarkEnd w:id="152"/>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22262"/>
      <w:bookmarkStart w:id="154" w:name="_Toc27279"/>
      <w:bookmarkStart w:id="155" w:name="_Toc22451"/>
      <w:r>
        <w:rPr>
          <w:rFonts w:hint="eastAsia" w:ascii="宋体" w:hAnsi="宋体" w:eastAsia="宋体"/>
          <w:color w:val="auto"/>
          <w:sz w:val="21"/>
          <w:szCs w:val="21"/>
        </w:rPr>
        <w:t>31.合同的签订与履行</w:t>
      </w:r>
      <w:bookmarkEnd w:id="153"/>
      <w:bookmarkEnd w:id="154"/>
      <w:bookmarkEnd w:id="155"/>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政府采购合同的履行、违约责任和解决争议的方法等适用《中华人民共和国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6" w:name="_Toc303084277"/>
      <w:bookmarkStart w:id="157" w:name="_Toc29009"/>
      <w:bookmarkStart w:id="158" w:name="_Toc2744"/>
      <w:bookmarkStart w:id="159" w:name="_Toc7405"/>
      <w:bookmarkStart w:id="160" w:name="_Toc382049124"/>
      <w:bookmarkStart w:id="161" w:name="_Toc25756"/>
      <w:r>
        <w:rPr>
          <w:rFonts w:hint="eastAsia" w:ascii="宋体" w:hAnsi="宋体" w:eastAsia="宋体"/>
          <w:color w:val="auto"/>
          <w:sz w:val="21"/>
          <w:szCs w:val="21"/>
        </w:rPr>
        <w:t>32.</w:t>
      </w:r>
      <w:r>
        <w:rPr>
          <w:rFonts w:ascii="宋体" w:hAnsi="宋体" w:eastAsia="宋体"/>
          <w:color w:val="auto"/>
          <w:sz w:val="21"/>
          <w:szCs w:val="21"/>
        </w:rPr>
        <w:t>履约</w:t>
      </w:r>
      <w:r>
        <w:rPr>
          <w:rFonts w:hint="eastAsia" w:ascii="宋体" w:hAnsi="宋体" w:eastAsia="宋体"/>
          <w:color w:val="auto"/>
          <w:sz w:val="21"/>
          <w:szCs w:val="21"/>
        </w:rPr>
        <w:t>保证金</w:t>
      </w:r>
      <w:bookmarkEnd w:id="156"/>
      <w:bookmarkEnd w:id="157"/>
      <w:bookmarkEnd w:id="158"/>
      <w:bookmarkEnd w:id="159"/>
      <w:bookmarkEnd w:id="160"/>
      <w:bookmarkEnd w:id="161"/>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62" w:name="_Toc13694"/>
      <w:bookmarkStart w:id="163" w:name="_Toc20699"/>
      <w:bookmarkStart w:id="164" w:name="_Toc7360"/>
      <w:r>
        <w:rPr>
          <w:rFonts w:hint="eastAsia" w:ascii="宋体" w:hAnsi="宋体"/>
          <w:color w:val="auto"/>
          <w:lang w:val="en-US" w:eastAsia="zh-CN"/>
        </w:rPr>
        <w:t>第七章</w:t>
      </w:r>
      <w:r>
        <w:rPr>
          <w:rFonts w:hint="eastAsia" w:ascii="宋体" w:hAnsi="宋体" w:eastAsia="宋体"/>
          <w:color w:val="auto"/>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17974"/>
      <w:bookmarkStart w:id="166" w:name="_Toc25498"/>
      <w:bookmarkStart w:id="167" w:name="_Toc22900"/>
      <w:r>
        <w:rPr>
          <w:rFonts w:hint="eastAsia" w:ascii="宋体" w:hAnsi="宋体" w:eastAsia="宋体"/>
          <w:color w:val="auto"/>
          <w:sz w:val="21"/>
          <w:szCs w:val="21"/>
        </w:rPr>
        <w:t>33.询问</w:t>
      </w:r>
      <w:bookmarkEnd w:id="165"/>
      <w:bookmarkEnd w:id="166"/>
      <w:bookmarkEnd w:id="167"/>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8" w:name="_Toc8234"/>
      <w:bookmarkStart w:id="169" w:name="_Toc11264"/>
      <w:bookmarkStart w:id="170" w:name="_Toc2767"/>
      <w:r>
        <w:rPr>
          <w:rFonts w:hint="eastAsia" w:ascii="宋体" w:hAnsi="宋体" w:eastAsia="宋体"/>
          <w:color w:val="auto"/>
          <w:sz w:val="21"/>
          <w:szCs w:val="21"/>
        </w:rPr>
        <w:t>34.质疑</w:t>
      </w:r>
      <w:bookmarkEnd w:id="168"/>
      <w:bookmarkEnd w:id="169"/>
      <w:bookmarkEnd w:id="170"/>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以联合体形式参加政府采购活动的，其质疑应当由组成联合体的所有投标人共同提出。</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71" w:name="_Toc24383"/>
      <w:bookmarkStart w:id="172" w:name="_Toc5690"/>
      <w:bookmarkStart w:id="173" w:name="_Toc8919"/>
      <w:r>
        <w:rPr>
          <w:rFonts w:hint="eastAsia" w:ascii="宋体" w:hAnsi="宋体"/>
          <w:color w:val="auto"/>
          <w:lang w:val="en-US" w:eastAsia="zh-CN"/>
        </w:rPr>
        <w:t>第八章</w:t>
      </w:r>
      <w:r>
        <w:rPr>
          <w:rFonts w:hint="eastAsia" w:ascii="宋体" w:hAnsi="宋体" w:eastAsia="宋体"/>
          <w:color w:val="auto"/>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4" w:name="_Toc21187"/>
      <w:bookmarkStart w:id="175" w:name="_Toc10082"/>
      <w:bookmarkStart w:id="176" w:name="_Toc6548"/>
      <w:r>
        <w:rPr>
          <w:rFonts w:hint="eastAsia" w:ascii="宋体" w:hAnsi="宋体" w:eastAsia="宋体"/>
          <w:color w:val="auto"/>
          <w:sz w:val="21"/>
          <w:szCs w:val="21"/>
        </w:rPr>
        <w:t>35.招标文件的解释权</w:t>
      </w:r>
      <w:bookmarkEnd w:id="174"/>
      <w:bookmarkEnd w:id="175"/>
      <w:bookmarkEnd w:id="176"/>
    </w:p>
    <w:p>
      <w:pPr>
        <w:pStyle w:val="35"/>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0</w:t>
      </w:r>
      <w:r>
        <w:rPr>
          <w:rFonts w:hint="eastAsia" w:ascii="宋体" w:hAnsi="宋体" w:eastAsia="宋体"/>
          <w:color w:val="auto"/>
          <w:sz w:val="21"/>
          <w:szCs w:val="21"/>
          <w:lang w:val="en-US" w:eastAsia="zh-CN"/>
        </w:rPr>
        <w:t>6</w:t>
      </w:r>
      <w:r>
        <w:rPr>
          <w:rFonts w:hint="eastAsia" w:ascii="宋体" w:hAnsi="宋体"/>
          <w:color w:val="auto"/>
          <w:sz w:val="21"/>
          <w:szCs w:val="21"/>
          <w:lang w:val="en-US" w:eastAsia="zh-CN"/>
        </w:rPr>
        <w:t>11</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本招标文件是根据国家有关法律、法规以及政府采购管理有关规定和参照国际惯例编制，解释权属本采购代理机构。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2"/>
        <w:spacing w:before="0" w:after="0" w:line="240" w:lineRule="auto"/>
        <w:rPr>
          <w:rFonts w:hint="eastAsia"/>
          <w:color w:val="auto"/>
          <w:sz w:val="28"/>
          <w:szCs w:val="28"/>
        </w:rPr>
      </w:pPr>
      <w:bookmarkStart w:id="177" w:name="_Toc31854"/>
      <w:bookmarkStart w:id="178" w:name="_Toc7011"/>
      <w:bookmarkStart w:id="179" w:name="_Toc382"/>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80" w:name="_Toc1593"/>
      <w:r>
        <w:rPr>
          <w:rFonts w:hint="eastAsia" w:ascii="宋体" w:hAnsi="宋体"/>
          <w:color w:val="auto"/>
          <w:lang w:val="en-US" w:eastAsia="zh-CN"/>
        </w:rPr>
        <w:t>第一章 商务需求书</w:t>
      </w:r>
      <w:bookmarkEnd w:id="180"/>
    </w:p>
    <w:tbl>
      <w:tblPr>
        <w:tblStyle w:val="25"/>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5"/>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签订合同后30天内完成项目整体的供货、安装、调试及验收。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1、所有设备调试完成、项目竣工验收合格并通过验收后，中标方提交请款报告后10个工作日内支付合同总额的97%。</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、剩余合同总额的3%为履约金，自竣工验收合格之日起一年后，中标方提交请款报告后10个工作日内无息支付给中标人。</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lang w:val="en-US" w:eastAsia="zh-CN"/>
              </w:rPr>
            </w:pPr>
            <w:r>
              <w:rPr>
                <w:rFonts w:hint="eastAsia" w:ascii="宋体" w:hAnsi="宋体" w:eastAsia="宋体" w:cs="宋体"/>
                <w:color w:val="auto"/>
                <w:sz w:val="21"/>
                <w:szCs w:val="21"/>
                <w:highlight w:val="none"/>
                <w:lang w:eastAsia="zh-CN"/>
              </w:rPr>
              <w:t>注:因采购人使用的是财政资金,采购人在前款规定的付款时间为向政府来购支付部门提出协理财政支付申请手续的时间《不含政府财政支付部门审核的时间),在规定时间内提出支付申请手续后视为来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bookmarkStart w:id="181" w:name="_Toc530989618"/>
            <w:r>
              <w:rPr>
                <w:rFonts w:hint="eastAsia" w:ascii="宋体" w:hAnsi="宋体" w:eastAsia="宋体" w:cs="宋体"/>
                <w:color w:val="auto"/>
                <w:sz w:val="21"/>
                <w:szCs w:val="21"/>
                <w:highlight w:val="none"/>
              </w:rPr>
              <w:t>售后服务</w:t>
            </w:r>
            <w:bookmarkEnd w:id="181"/>
            <w:r>
              <w:rPr>
                <w:rFonts w:hint="eastAsia" w:ascii="宋体" w:hAnsi="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本项目售后服务期为3年，确保系统稳定性。</w:t>
            </w:r>
          </w:p>
          <w:p>
            <w:pPr>
              <w:pStyle w:val="64"/>
              <w:pageBreakBefore w:val="0"/>
              <w:kinsoku/>
              <w:wordWrap/>
              <w:overflowPunct/>
              <w:topLinePunct w:val="0"/>
              <w:autoSpaceDE/>
              <w:autoSpaceDN/>
              <w:bidi w:val="0"/>
              <w:adjustRightInd/>
              <w:snapToGrid/>
              <w:spacing w:after="0" w:line="360" w:lineRule="auto"/>
              <w:ind w:left="0" w:firstLine="420" w:firstLineChars="200"/>
              <w:textAlignment w:val="auto"/>
              <w:rPr>
                <w:rFonts w:hint="eastAsia"/>
              </w:rPr>
            </w:pPr>
            <w:r>
              <w:rPr>
                <w:rFonts w:hint="eastAsia" w:ascii="宋体" w:hAnsi="宋体" w:eastAsia="宋体" w:cs="宋体"/>
                <w:sz w:val="21"/>
                <w:szCs w:val="21"/>
              </w:rPr>
              <w:t>为键全运行维护管理机制，保障系统安全稳定运行，确保系统出现故障时24小时内及时修复，并在系统恢复前采取有效的应急防范措施。</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项目承建单位必须提供7×24小时客户服务热线电话，提供全天候无间断的故障申报受理、硬件维修受理、培训需求受理以及服务政策咨询等服务内容。</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售后服务期内，维修人员接到通知后2小时内响应，4小时内到场处理，如果设备故障在检修24小时后仍无法排除，学校单位有权扣减故障点部分费用。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运输与保管</w:t>
            </w:r>
            <w:r>
              <w:rPr>
                <w:rFonts w:hint="eastAsia" w:ascii="宋体" w:hAnsi="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1、中标供应商负责将货物运到现场过程中的全部运输费用，包括装卸车、货物现场的搬运。</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2、必须提供货物的装箱清单，按装箱清单验收货物。</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3、货物在安装调试验收合格前的保险由中标供应商负责，中标供应商负责其派出的现场服务人员人身意外保险。</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sz w:val="21"/>
                <w:szCs w:val="21"/>
              </w:rPr>
              <w:t>4、设备在验收合格前的保管由中标供应商负责。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安装和调试</w:t>
            </w:r>
            <w:r>
              <w:rPr>
                <w:rFonts w:hint="eastAsia" w:ascii="宋体" w:hAnsi="宋体" w:cs="宋体"/>
                <w:color w:val="auto"/>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1、中标供应商负责本项目的建设、安装、调试。</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color w:val="FF0000"/>
                <w:sz w:val="21"/>
                <w:szCs w:val="21"/>
              </w:rPr>
            </w:pPr>
            <w:r>
              <w:rPr>
                <w:rFonts w:hint="eastAsia" w:ascii="宋体" w:hAnsi="宋体" w:eastAsia="宋体" w:cs="宋体"/>
                <w:bCs/>
                <w:sz w:val="21"/>
                <w:szCs w:val="21"/>
              </w:rPr>
              <w:t>2、中标供应商须于合同签订后30天内完成本项目产品的供货、安装、调试并交付使用。</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3、安装所需工具设施物料由中标供应商自备、自费运到现场，完工后自费搬走，并保证不对建设场地环境造成任何不良影响。安装过程中，需考虑仪器安装的位置。</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sz w:val="21"/>
                <w:szCs w:val="21"/>
              </w:rPr>
              <w:t>4、设备的装箱、安装、调试等项工作由中标供应商负责，但必须在采购人的指定人员的参与下进行。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bidi w:val="0"/>
        <w:rPr>
          <w:rFonts w:hint="eastAsia"/>
          <w:lang w:val="en-US" w:eastAsia="zh-CN"/>
        </w:rPr>
      </w:pPr>
    </w:p>
    <w:p>
      <w:pPr>
        <w:rPr>
          <w:rFonts w:hint="eastAsia"/>
          <w:color w:val="auto"/>
          <w:lang w:val="en-US" w:eastAsia="zh-CN"/>
        </w:rPr>
      </w:pPr>
    </w:p>
    <w:p>
      <w:pPr>
        <w:bidi w:val="0"/>
        <w:rPr>
          <w:rFonts w:hint="eastAsia"/>
          <w:lang w:val="en-US" w:eastAsia="zh-CN"/>
        </w:rPr>
      </w:pPr>
    </w:p>
    <w:p>
      <w:pPr>
        <w:rPr>
          <w:rFonts w:hint="eastAsia"/>
          <w:color w:val="auto"/>
          <w:lang w:val="en-US" w:eastAsia="zh-CN"/>
        </w:rPr>
      </w:pPr>
    </w:p>
    <w:p>
      <w:pPr>
        <w:bidi w:val="0"/>
        <w:rPr>
          <w:rFonts w:hint="eastAsia"/>
          <w:lang w:val="en-US" w:eastAsia="zh-CN"/>
        </w:rPr>
      </w:pPr>
    </w:p>
    <w:p>
      <w:pPr>
        <w:rPr>
          <w:rFonts w:hint="eastAsia"/>
          <w:color w:val="auto"/>
          <w:lang w:val="en-US" w:eastAsia="zh-CN"/>
        </w:rPr>
      </w:pPr>
    </w:p>
    <w:p>
      <w:pPr>
        <w:bidi w:val="0"/>
        <w:rPr>
          <w:rFonts w:hint="eastAsia"/>
          <w:lang w:val="en-US" w:eastAsia="zh-CN"/>
        </w:rPr>
      </w:pPr>
    </w:p>
    <w:p>
      <w:pPr>
        <w:rPr>
          <w:rFonts w:hint="eastAsia"/>
          <w:color w:val="auto"/>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color w:val="auto"/>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bookmarkStart w:id="182" w:name="_Toc19316"/>
      <w:r>
        <w:rPr>
          <w:rFonts w:hint="eastAsia" w:ascii="宋体" w:hAnsi="宋体"/>
          <w:color w:val="auto"/>
          <w:lang w:val="en-US" w:eastAsia="zh-CN"/>
        </w:rPr>
        <w:t>第二章 技术需求书</w:t>
      </w:r>
      <w:bookmarkEnd w:id="182"/>
    </w:p>
    <w:p>
      <w:pPr>
        <w:pStyle w:val="5"/>
        <w:bidi w:val="0"/>
        <w:rPr>
          <w:rFonts w:hint="eastAsia"/>
        </w:rPr>
      </w:pPr>
      <w:bookmarkStart w:id="183" w:name="_Toc13112"/>
      <w:bookmarkStart w:id="184" w:name="_Toc31278"/>
      <w:bookmarkStart w:id="185" w:name="_Toc14462"/>
      <w:bookmarkStart w:id="186" w:name="_Toc24679"/>
      <w:r>
        <w:rPr>
          <w:rFonts w:hint="eastAsia"/>
        </w:rPr>
        <w:t>一、项目概况</w:t>
      </w:r>
    </w:p>
    <w:p>
      <w:pPr>
        <w:pStyle w:val="23"/>
        <w:pageBreakBefore w:val="0"/>
        <w:shd w:val="clear" w:color="auto"/>
        <w:kinsoku/>
        <w:wordWrap/>
        <w:overflowPunct/>
        <w:topLinePunct w:val="0"/>
        <w:autoSpaceDE/>
        <w:autoSpaceDN/>
        <w:bidi w:val="0"/>
        <w:spacing w:beforeAutospacing="0" w:after="0" w:afterAutospacing="0" w:line="360" w:lineRule="auto"/>
        <w:ind w:left="0" w:firstLine="4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东莞市横沥中学创建于1958年，目前已有62年历史。初建于横沥镇旧街，于1960年搬迁至横沥镇麒麟岭（即现在的横沥时代倾城花园），后于2012年搬迁至东莞市横沥镇树人路1号。学校校园占地总面积93329㎡，建筑总面积80361.8㎡，绿化用地面积32687.1㎡。学校共有主体建筑14幢楼，教学楼3幢，图书馆、体育馆、实验楼、综合楼、教工宿舍楼1幢，师生食堂2幢，学生宿舍楼4幢，400M标准跑道运动场1个，篮球场8个，食堂能满足2400人同时就餐，有学生床位2560个。学校现有初中教学班52个，慕课教学班46个，学生2426人，在岗教职工217人，其中，全国“五一劳动”奖章获得者1名，特级教师1名，东莞市名师工作室主持人1名，东莞市学科带头人5名，东莞市教学能手21名，高级教师24名。</w:t>
      </w:r>
    </w:p>
    <w:p>
      <w:pPr>
        <w:pStyle w:val="23"/>
        <w:pageBreakBefore w:val="0"/>
        <w:shd w:val="clear" w:color="auto"/>
        <w:kinsoku/>
        <w:wordWrap/>
        <w:overflowPunct/>
        <w:topLinePunct w:val="0"/>
        <w:autoSpaceDE/>
        <w:autoSpaceDN/>
        <w:bidi w:val="0"/>
        <w:spacing w:beforeAutospacing="0" w:after="0" w:afterAutospacing="0" w:line="360" w:lineRule="auto"/>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我校以培养具有中华传统美德和国际开放视野的高素质现代公民为办学理念，以高尚、高雅、高贵为育人标准，民主治校，依法治校、制度治校，打造以“文道”为核心的校园文化，走校本特色教育改革道路。</w:t>
      </w:r>
    </w:p>
    <w:p>
      <w:pPr>
        <w:pStyle w:val="23"/>
        <w:pageBreakBefore w:val="0"/>
        <w:shd w:val="clear" w:color="auto"/>
        <w:kinsoku/>
        <w:wordWrap/>
        <w:overflowPunct/>
        <w:topLinePunct w:val="0"/>
        <w:autoSpaceDE/>
        <w:autoSpaceDN/>
        <w:bidi w:val="0"/>
        <w:spacing w:beforeAutospacing="0" w:after="0" w:afterAutospacing="0" w:line="360" w:lineRule="auto"/>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文化德育，硕果累累。德育处坚持“德育为首、育人为本、动之以情、晓之以理、导之以行”的德育工作原则，明确了“高尚、高雅、高贵”的育人目标，形成了以“安全教育为前提，以礼文化为核心，以养成教育为主线”的横中德育特色，在校园中形成“兴文达礼、明道立人”的校训，“崇仁守礼、善学慎思”的校风，“身正行范、学教相长”的教风，“容正仪端、知行相成”的学风，营造出文明、温馨、和谐的校园氛围。学校先后被评为东莞市科普特色学校、东莞市无毒学校、东莞市园林式单位、广东省校务公开民主管理工作先进单位、广东省绿色学校、东莞市依法治校示范校、东莞市文明标兵学校、东莞市慕课试点学校、东莞市科普标兵学校、东莞市语言文字规范化模范校、东莞市中小学心理健康教育特色学校、东莞市首批创客学校、2017—2019年东莞市中小学科技教育活动先进学校、广东省健康促进示范学校。</w:t>
      </w:r>
    </w:p>
    <w:p>
      <w:pPr>
        <w:pStyle w:val="5"/>
        <w:bidi w:val="0"/>
        <w:rPr>
          <w:rFonts w:hint="eastAsia"/>
        </w:rPr>
      </w:pPr>
      <w:r>
        <w:rPr>
          <w:rFonts w:hint="eastAsia"/>
        </w:rPr>
        <w:t>二、项目背景</w:t>
      </w:r>
    </w:p>
    <w:p>
      <w:pPr>
        <w:pStyle w:val="9"/>
        <w:pageBreakBefore w:val="0"/>
        <w:kinsoku/>
        <w:wordWrap/>
        <w:overflowPunct/>
        <w:topLinePunct w:val="0"/>
        <w:autoSpaceDE/>
        <w:autoSpaceDN/>
        <w:bidi w:val="0"/>
        <w:spacing w:before="0" w:line="360" w:lineRule="auto"/>
        <w:ind w:left="0" w:firstLine="42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百年大计，教育为本。《国家中长期教育改革和发展规划纲要（ 2010-2020 年）》特别指出，“把改革创新作为教育发展的强大动力，创新办学体制和教育管理体制，建设中国特色现代学校制度,鼓励地方和学校大胆探索和试验。”  </w:t>
      </w:r>
    </w:p>
    <w:p>
      <w:pPr>
        <w:pStyle w:val="9"/>
        <w:pageBreakBefore w:val="0"/>
        <w:kinsoku/>
        <w:wordWrap/>
        <w:overflowPunct/>
        <w:topLinePunct w:val="0"/>
        <w:autoSpaceDE/>
        <w:autoSpaceDN/>
        <w:bidi w:val="0"/>
        <w:spacing w:before="0" w:line="360" w:lineRule="auto"/>
        <w:ind w:left="0" w:firstLine="42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教育部关于发布&lt;中小学数字校园建设规范(试行)&gt;》的文件里对智慧校园建设提出了明确的方案。而校园信息化正是信息技术与教育相结合的产物，数字化校园信息平台的建设已成为教育部门和学校推进教育信息化的重要任务。</w:t>
      </w:r>
    </w:p>
    <w:p>
      <w:pPr>
        <w:pageBreakBefore w:val="0"/>
        <w:kinsoku/>
        <w:wordWrap/>
        <w:overflowPunct/>
        <w:topLinePunct w:val="0"/>
        <w:autoSpaceDE/>
        <w:autoSpaceDN/>
        <w:bidi w:val="0"/>
        <w:spacing w:line="360" w:lineRule="auto"/>
        <w:ind w:left="0" w:firstLine="420"/>
        <w:textAlignment w:val="auto"/>
        <w:rPr>
          <w:rFonts w:hint="eastAsia" w:ascii="宋体" w:hAnsi="宋体" w:eastAsia="宋体" w:cs="宋体"/>
          <w:sz w:val="21"/>
          <w:szCs w:val="21"/>
        </w:rPr>
      </w:pPr>
      <w:r>
        <w:rPr>
          <w:rFonts w:hint="eastAsia" w:ascii="宋体" w:hAnsi="宋体" w:eastAsia="宋体" w:cs="宋体"/>
          <w:sz w:val="21"/>
          <w:szCs w:val="21"/>
        </w:rPr>
        <w:t>2018年4月初，《教育信息化2.0行动计划》发布，着重强调了“三全两高一大”：</w:t>
      </w:r>
    </w:p>
    <w:p>
      <w:pPr>
        <w:pageBreakBefore w:val="0"/>
        <w:widowControl/>
        <w:numPr>
          <w:ilvl w:val="0"/>
          <w:numId w:val="11"/>
        </w:numPr>
        <w:kinsoku/>
        <w:wordWrap/>
        <w:overflowPunct/>
        <w:topLinePunct w:val="0"/>
        <w:autoSpaceDE/>
        <w:autoSpaceDN/>
        <w:bidi w:val="0"/>
        <w:spacing w:line="360" w:lineRule="auto"/>
        <w:ind w:left="0" w:firstLine="4" w:firstLineChars="2"/>
        <w:jc w:val="left"/>
        <w:textAlignment w:val="auto"/>
        <w:rPr>
          <w:rFonts w:hint="eastAsia" w:ascii="宋体" w:hAnsi="宋体" w:eastAsia="宋体" w:cs="宋体"/>
          <w:sz w:val="21"/>
          <w:szCs w:val="21"/>
        </w:rPr>
      </w:pPr>
      <w:r>
        <w:rPr>
          <w:rFonts w:hint="eastAsia" w:ascii="宋体" w:hAnsi="宋体" w:eastAsia="宋体" w:cs="宋体"/>
          <w:sz w:val="21"/>
          <w:szCs w:val="21"/>
        </w:rPr>
        <w:t>“三全”：1、教学应用覆盖全体教师；2、学习应用覆盖全体适龄学生；3、数字校园建设覆盖全体学校。</w:t>
      </w:r>
    </w:p>
    <w:p>
      <w:pPr>
        <w:pageBreakBefore w:val="0"/>
        <w:widowControl/>
        <w:numPr>
          <w:ilvl w:val="0"/>
          <w:numId w:val="11"/>
        </w:numPr>
        <w:kinsoku/>
        <w:wordWrap/>
        <w:overflowPunct/>
        <w:topLinePunct w:val="0"/>
        <w:autoSpaceDE/>
        <w:autoSpaceDN/>
        <w:bidi w:val="0"/>
        <w:spacing w:line="360" w:lineRule="auto"/>
        <w:ind w:left="0" w:firstLine="4" w:firstLineChars="2"/>
        <w:jc w:val="left"/>
        <w:textAlignment w:val="auto"/>
        <w:rPr>
          <w:rFonts w:hint="eastAsia" w:ascii="宋体" w:hAnsi="宋体" w:eastAsia="宋体" w:cs="宋体"/>
          <w:sz w:val="21"/>
          <w:szCs w:val="21"/>
        </w:rPr>
      </w:pPr>
      <w:r>
        <w:rPr>
          <w:rFonts w:hint="eastAsia" w:ascii="宋体" w:hAnsi="宋体" w:eastAsia="宋体" w:cs="宋体"/>
          <w:sz w:val="21"/>
          <w:szCs w:val="21"/>
        </w:rPr>
        <w:t>“两高”：信息化应用水平和师生信息素养普遍提高。</w:t>
      </w:r>
    </w:p>
    <w:p>
      <w:pPr>
        <w:pageBreakBefore w:val="0"/>
        <w:widowControl/>
        <w:numPr>
          <w:ilvl w:val="0"/>
          <w:numId w:val="11"/>
        </w:numPr>
        <w:kinsoku/>
        <w:wordWrap/>
        <w:overflowPunct/>
        <w:topLinePunct w:val="0"/>
        <w:autoSpaceDE/>
        <w:autoSpaceDN/>
        <w:bidi w:val="0"/>
        <w:spacing w:line="360" w:lineRule="auto"/>
        <w:ind w:left="0" w:firstLine="4" w:firstLineChars="2"/>
        <w:jc w:val="left"/>
        <w:textAlignment w:val="auto"/>
        <w:rPr>
          <w:rFonts w:hint="eastAsia" w:ascii="宋体" w:hAnsi="宋体" w:eastAsia="宋体" w:cs="宋体"/>
          <w:sz w:val="21"/>
          <w:szCs w:val="21"/>
        </w:rPr>
      </w:pPr>
      <w:r>
        <w:rPr>
          <w:rFonts w:hint="eastAsia" w:ascii="宋体" w:hAnsi="宋体" w:eastAsia="宋体" w:cs="宋体"/>
          <w:sz w:val="21"/>
          <w:szCs w:val="21"/>
        </w:rPr>
        <w:t>“一大”：指建成“互联网+教育”大平台。</w:t>
      </w:r>
    </w:p>
    <w:p>
      <w:pPr>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校信息化是以校园信息化是为背景而构建的集教学、管理、娱乐为一体的一种新型信息化系统。在信息化时代，发展信息技术已成为国家、社会和经济发展的重大战略目标之一。中共中央在《关于深化教育改革全面推进素质教育的决定》中明确提出，要“大力提高教育技术手段的现代化水平和教育信息化程度，加强经济实用型终端平台系统和校园网或城域网络的建设。</w:t>
      </w:r>
    </w:p>
    <w:p>
      <w:pPr>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信息化项目是个庞大、系统的建设工程，建成后的信息化系统能使整个校园充分利用信息化手段加强有效管理，提高使用效率和管理水平。本项目以信息化应用的技术手段，进行信息化设计。本次项目包含学校桌面云机房、智慧教室和校园电子班牌系统。</w:t>
      </w:r>
    </w:p>
    <w:p>
      <w:pPr>
        <w:pageBreakBefore w:val="0"/>
        <w:kinsoku/>
        <w:wordWrap/>
        <w:overflowPunct/>
        <w:topLinePunct w:val="0"/>
        <w:autoSpaceDE/>
        <w:autoSpaceDN/>
        <w:bidi w:val="0"/>
        <w:spacing w:line="360" w:lineRule="auto"/>
        <w:ind w:left="0"/>
        <w:textAlignment w:val="auto"/>
        <w:rPr>
          <w:rFonts w:hint="eastAsia" w:ascii="宋体" w:hAnsi="宋体" w:eastAsia="宋体" w:cs="宋体"/>
          <w:sz w:val="21"/>
          <w:szCs w:val="21"/>
        </w:rPr>
      </w:pPr>
      <w:r>
        <w:rPr>
          <w:rFonts w:hint="eastAsia" w:ascii="宋体" w:hAnsi="宋体" w:eastAsia="宋体" w:cs="宋体"/>
          <w:sz w:val="21"/>
          <w:szCs w:val="21"/>
        </w:rPr>
        <w:tab/>
      </w:r>
    </w:p>
    <w:p>
      <w:pPr>
        <w:pStyle w:val="5"/>
        <w:bidi w:val="0"/>
        <w:rPr>
          <w:rFonts w:hint="eastAsia"/>
        </w:rPr>
      </w:pPr>
      <w:r>
        <w:rPr>
          <w:rFonts w:hint="eastAsia"/>
        </w:rPr>
        <w:t>三、项目需求</w:t>
      </w:r>
    </w:p>
    <w:p>
      <w:pPr>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广东省教育厅关于印发&lt;广东省国家教育考试标准化考点管理办法（试行）&gt;的通知》(粤教考函〔2018〕31号)以及广东省教育厅有关做好初中学业水平考试工作文件精神，以及东莞市教育局《东莞市初中学业水平考试标准化考点管理办法（试行）》的通知，为更好地为横沥镇公办初中学生提供标准化考场，对学校考场进行硬件设备升级改造。</w:t>
      </w:r>
    </w:p>
    <w:p>
      <w:pPr>
        <w:bidi w:val="0"/>
        <w:rPr>
          <w:rFonts w:hint="eastAsia"/>
        </w:rPr>
      </w:pPr>
    </w:p>
    <w:p>
      <w:pPr>
        <w:pStyle w:val="5"/>
        <w:bidi w:val="0"/>
        <w:rPr>
          <w:rFonts w:hint="eastAsia" w:eastAsia="宋体"/>
        </w:rPr>
      </w:pPr>
      <w:bookmarkStart w:id="187" w:name="_Toc530989616"/>
      <w:r>
        <w:rPr>
          <w:rFonts w:hint="eastAsia" w:eastAsia="宋体"/>
          <w:lang w:val="en-US" w:eastAsia="zh-CN"/>
        </w:rPr>
        <w:t>四</w:t>
      </w:r>
      <w:r>
        <w:rPr>
          <w:rFonts w:hint="eastAsia" w:eastAsia="宋体"/>
        </w:rPr>
        <w:t>、</w:t>
      </w:r>
      <w:bookmarkEnd w:id="187"/>
      <w:bookmarkStart w:id="188" w:name="_Toc526074513"/>
      <w:bookmarkStart w:id="189" w:name="_Toc528569383"/>
      <w:bookmarkStart w:id="190" w:name="_Toc526734850"/>
      <w:bookmarkStart w:id="191" w:name="_Toc527220138"/>
      <w:bookmarkStart w:id="192" w:name="_Toc528156271"/>
      <w:r>
        <w:rPr>
          <w:rFonts w:hint="eastAsia" w:eastAsia="宋体"/>
        </w:rPr>
        <w:t>项目实施要求</w:t>
      </w:r>
      <w:bookmarkEnd w:id="188"/>
      <w:bookmarkEnd w:id="189"/>
      <w:bookmarkEnd w:id="190"/>
      <w:bookmarkEnd w:id="191"/>
      <w:bookmarkEnd w:id="192"/>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1、供应商所投货物必须是原装、全新、未经使用的产品，并且符合国家以及该产品的出厂标准。</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2、所有货物在开箱检验时必须完好，无破损，配置与装箱单相符。数量、质量及性能不低于本需求书中提出的要求。</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3、货物外观洁净，标记编号以及盘面显示等字体清晰，明确。</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4、对于影响货物正常工作的必要组成部分，无论在技术规范中指出与否，供应商都应提供并在投标文件中明确列出。</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5、</w:t>
      </w:r>
      <w:r>
        <w:rPr>
          <w:rFonts w:hint="eastAsia" w:ascii="宋体" w:hAnsi="宋体" w:eastAsia="宋体" w:cs="宋体"/>
          <w:bCs/>
          <w:sz w:val="21"/>
          <w:szCs w:val="21"/>
        </w:rPr>
        <w:t>培训措施</w:t>
      </w:r>
    </w:p>
    <w:p>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负责制定本项目培训方案，编制相关培训教材，组织培训工作。在项目实施过程中，结合项目实施进度安排，合理地分期、分批对招标人的相关人员进行培训。 </w:t>
      </w:r>
    </w:p>
    <w:p>
      <w:pPr>
        <w:bidi w:val="0"/>
        <w:rPr>
          <w:rFonts w:hint="eastAsia"/>
        </w:rPr>
      </w:pPr>
    </w:p>
    <w:p>
      <w:pPr>
        <w:pStyle w:val="5"/>
        <w:bidi w:val="0"/>
        <w:rPr>
          <w:rFonts w:hint="default" w:eastAsia="宋体"/>
          <w:lang w:val="en-US" w:eastAsia="zh-CN"/>
        </w:rPr>
      </w:pPr>
      <w:r>
        <w:rPr>
          <w:rFonts w:hint="eastAsia" w:eastAsia="宋体"/>
          <w:lang w:val="en-US" w:eastAsia="zh-CN"/>
        </w:rPr>
        <w:t>五</w:t>
      </w:r>
      <w:r>
        <w:rPr>
          <w:rFonts w:hint="eastAsia" w:eastAsia="宋体"/>
        </w:rPr>
        <w:t>、</w:t>
      </w:r>
      <w:r>
        <w:rPr>
          <w:rFonts w:hint="eastAsia" w:eastAsia="宋体"/>
          <w:lang w:val="en-US" w:eastAsia="zh-CN"/>
        </w:rPr>
        <w:t>项目清单及参数要求</w:t>
      </w:r>
    </w:p>
    <w:tbl>
      <w:tblPr>
        <w:tblStyle w:val="25"/>
        <w:tblW w:w="89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60"/>
        <w:gridCol w:w="873"/>
        <w:gridCol w:w="142"/>
        <w:gridCol w:w="283"/>
        <w:gridCol w:w="5522"/>
        <w:gridCol w:w="290"/>
        <w:gridCol w:w="51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8960" w:type="dxa"/>
            <w:gridSpan w:val="8"/>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详细设备清单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873"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b/>
                <w:bCs/>
                <w:kern w:val="0"/>
                <w:sz w:val="21"/>
                <w:szCs w:val="21"/>
              </w:rPr>
            </w:pPr>
            <w:r>
              <w:rPr>
                <w:rFonts w:hint="eastAsia" w:ascii="宋体" w:hAnsi="宋体" w:eastAsia="宋体" w:cs="宋体"/>
                <w:b/>
                <w:bCs/>
                <w:kern w:val="0"/>
                <w:sz w:val="21"/>
                <w:szCs w:val="21"/>
              </w:rPr>
              <w:t>设备名称</w:t>
            </w:r>
          </w:p>
        </w:tc>
        <w:tc>
          <w:tcPr>
            <w:tcW w:w="6237" w:type="dxa"/>
            <w:gridSpan w:val="4"/>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b/>
                <w:bCs/>
                <w:kern w:val="0"/>
                <w:sz w:val="21"/>
                <w:szCs w:val="21"/>
              </w:rPr>
            </w:pPr>
            <w:r>
              <w:rPr>
                <w:rFonts w:hint="eastAsia" w:ascii="宋体" w:hAnsi="宋体" w:eastAsia="宋体" w:cs="宋体"/>
                <w:b/>
                <w:bCs/>
                <w:kern w:val="0"/>
                <w:sz w:val="21"/>
                <w:szCs w:val="21"/>
              </w:rPr>
              <w:t>设备标准及性能要求</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b/>
                <w:bCs/>
                <w:kern w:val="0"/>
                <w:sz w:val="21"/>
                <w:szCs w:val="21"/>
              </w:rPr>
            </w:pPr>
            <w:r>
              <w:rPr>
                <w:rFonts w:hint="eastAsia" w:ascii="宋体" w:hAnsi="宋体" w:eastAsia="宋体" w:cs="宋体"/>
                <w:b/>
                <w:bCs/>
                <w:kern w:val="0"/>
                <w:sz w:val="21"/>
                <w:szCs w:val="21"/>
              </w:rPr>
              <w:t>单位</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b/>
                <w:bCs/>
                <w:kern w:val="0"/>
                <w:sz w:val="21"/>
                <w:szCs w:val="21"/>
              </w:rPr>
            </w:pPr>
            <w:r>
              <w:rPr>
                <w:rFonts w:hint="eastAsia" w:ascii="宋体" w:hAnsi="宋体" w:eastAsia="宋体" w:cs="宋体"/>
                <w:b/>
                <w:bCs/>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25" w:hRule="atLeast"/>
        </w:trPr>
        <w:tc>
          <w:tcPr>
            <w:tcW w:w="8960" w:type="dxa"/>
            <w:gridSpan w:val="8"/>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b/>
                <w:bCs/>
                <w:kern w:val="0"/>
                <w:sz w:val="21"/>
                <w:szCs w:val="21"/>
              </w:rPr>
            </w:pPr>
            <w:r>
              <w:rPr>
                <w:rFonts w:hint="eastAsia" w:ascii="宋体" w:hAnsi="宋体" w:eastAsia="宋体" w:cs="宋体"/>
                <w:b/>
                <w:bCs/>
                <w:kern w:val="0"/>
                <w:sz w:val="21"/>
                <w:szCs w:val="21"/>
              </w:rPr>
              <w:t>一、网上巡查系统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61"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巡考网关（与教育局互联互通）</w:t>
            </w:r>
          </w:p>
        </w:tc>
        <w:tc>
          <w:tcPr>
            <w:tcW w:w="6095" w:type="dxa"/>
            <w:gridSpan w:val="3"/>
            <w:shd w:val="clear" w:color="auto" w:fill="auto"/>
            <w:vAlign w:val="center"/>
          </w:tcPr>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▲应集成sip路由、流媒体转发分发、流媒体转码、中心管理功能，专为国家教育考试考试的标准化考场建设提供业务支撑；符合《国家教育考试网上巡查系统视频标准技术规范（2017版）》</w:t>
            </w:r>
            <w:r>
              <w:rPr>
                <w:rFonts w:hint="eastAsia" w:ascii="宋体" w:hAnsi="宋体" w:cs="宋体"/>
                <w:sz w:val="21"/>
                <w:szCs w:val="21"/>
                <w:lang w:eastAsia="zh-CN"/>
              </w:rPr>
              <w:t>。（</w:t>
            </w:r>
            <w:r>
              <w:rPr>
                <w:rFonts w:hint="eastAsia" w:ascii="宋体" w:hAnsi="宋体" w:cs="宋体"/>
                <w:sz w:val="21"/>
                <w:szCs w:val="21"/>
                <w:lang w:val="en-US" w:eastAsia="zh-CN"/>
              </w:rPr>
              <w:t>须提供第三方检测机构</w:t>
            </w:r>
            <w:r>
              <w:rPr>
                <w:rFonts w:hint="eastAsia" w:ascii="宋体" w:hAnsi="宋体" w:eastAsia="宋体" w:cs="宋体"/>
                <w:sz w:val="21"/>
                <w:szCs w:val="21"/>
              </w:rPr>
              <w:t>出具的检测报告并加盖投标人公章</w:t>
            </w:r>
            <w:r>
              <w:rPr>
                <w:rFonts w:hint="eastAsia" w:ascii="宋体" w:hAnsi="宋体" w:cs="宋体"/>
                <w:sz w:val="21"/>
                <w:szCs w:val="21"/>
                <w:lang w:eastAsia="zh-CN"/>
              </w:rPr>
              <w:t>）</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应采用LINUX操作系统。</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应支持TCP/IP、SIP、RTSP、RTP、RTCP、HTTPS等网络协议；支持TCP、UDP、RTP音视频传输协议，可同时组合使用。</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应支持SIP2.0协议，支持sip地址解析，信令转发、路由，支持SIP URI统一命名规则，分级命名；支持SIP URI组、用户、树形列表管理和SIP终端接入认证功能；支持SIP终端访问过程控制，建立SIP之间的路由信任关系；支持流媒体汇聚。</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应支持1080P、720P高清接入转发分发，转码输出：8路；管理同一考点容量可达：128路。</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应支持对摄像机批量、摄像机机组、编码器的添加、修改、删除，对摄像机OSD水印批量同步、添加、修改、删除。</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应支持多种分屏模式播放视频，有4/9/16以及自定义的分屏模式。支持对摄像机进行轮巡，可以设置轮巡间隔时间。</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▲应支持网页进行无插件的实时视频播放。</w:t>
            </w:r>
            <w:r>
              <w:rPr>
                <w:rFonts w:hint="eastAsia" w:ascii="宋体" w:hAnsi="宋体" w:cs="宋体"/>
                <w:sz w:val="21"/>
                <w:szCs w:val="21"/>
                <w:lang w:eastAsia="zh-CN"/>
              </w:rPr>
              <w:t>（</w:t>
            </w:r>
            <w:r>
              <w:rPr>
                <w:rFonts w:hint="eastAsia" w:ascii="宋体" w:hAnsi="宋体" w:cs="宋体"/>
                <w:sz w:val="21"/>
                <w:szCs w:val="21"/>
                <w:lang w:val="en-US" w:eastAsia="zh-CN"/>
              </w:rPr>
              <w:t>须提供第三方检测机构</w:t>
            </w:r>
            <w:r>
              <w:rPr>
                <w:rFonts w:hint="eastAsia" w:ascii="宋体" w:hAnsi="宋体" w:eastAsia="宋体" w:cs="宋体"/>
                <w:sz w:val="21"/>
                <w:szCs w:val="21"/>
              </w:rPr>
              <w:t>出具的检测报告并加盖投标人公章</w:t>
            </w:r>
            <w:r>
              <w:rPr>
                <w:rFonts w:hint="eastAsia" w:ascii="宋体" w:hAnsi="宋体" w:eastAsia="宋体" w:cs="宋体"/>
                <w:sz w:val="21"/>
                <w:szCs w:val="21"/>
                <w:lang w:eastAsia="zh-CN"/>
              </w:rPr>
              <w:t>）</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应支持sip代理设置，支持对系统网络配置，对服务器的两块网卡配置IP和路由设置。</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▲应支持智能运维：检测服务运行状态（支持重启服务操作），丢包率，端口，系统资源占用，路由轨迹。</w:t>
            </w:r>
            <w:r>
              <w:rPr>
                <w:rFonts w:hint="eastAsia" w:ascii="宋体" w:hAnsi="宋体" w:cs="宋体"/>
                <w:sz w:val="21"/>
                <w:szCs w:val="21"/>
                <w:lang w:eastAsia="zh-CN"/>
              </w:rPr>
              <w:t>（</w:t>
            </w:r>
            <w:r>
              <w:rPr>
                <w:rFonts w:hint="eastAsia" w:ascii="宋体" w:hAnsi="宋体" w:cs="宋体"/>
                <w:sz w:val="21"/>
                <w:szCs w:val="21"/>
                <w:lang w:val="en-US" w:eastAsia="zh-CN"/>
              </w:rPr>
              <w:t>须提供第三方检测机构</w:t>
            </w:r>
            <w:r>
              <w:rPr>
                <w:rFonts w:hint="eastAsia" w:ascii="宋体" w:hAnsi="宋体" w:eastAsia="宋体" w:cs="宋体"/>
                <w:sz w:val="21"/>
                <w:szCs w:val="21"/>
              </w:rPr>
              <w:t>出具的检测报告并加盖投标人公章</w:t>
            </w:r>
            <w:r>
              <w:rPr>
                <w:rFonts w:hint="eastAsia" w:ascii="宋体" w:hAnsi="宋体" w:eastAsia="宋体" w:cs="宋体"/>
                <w:sz w:val="21"/>
                <w:szCs w:val="21"/>
                <w:lang w:eastAsia="zh-CN"/>
              </w:rPr>
              <w:t>）</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设备应支持考点视频定位：平台根据考生号，可以查询并且定位到该考试所属考场的教室摄像机。</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应支持预案添加、修改、删除，对本地图像解码上墙，可通过预先设置好的预案将图像上到指定屏上。</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应支持H264、MPEG4视频编码标准、支持AAC音频编码标准，并支持Program Stream系统流和Transition Stream传输流的封装。已符合《国家教育考试网上巡查系统视频标准技术规范（2017版）》。</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▲应可提供SIP终端的注册，协助转发信令报文到目标用户，支持多种媒体编码格式和多种网络协议。可接入各种前端编解码设备、矩阵设备、报警设备、数字化监控平台等</w:t>
            </w:r>
            <w:r>
              <w:rPr>
                <w:rFonts w:hint="eastAsia" w:ascii="宋体" w:hAnsi="宋体" w:cs="宋体"/>
                <w:sz w:val="21"/>
                <w:szCs w:val="21"/>
                <w:lang w:eastAsia="zh-CN"/>
              </w:rPr>
              <w:t>。（</w:t>
            </w:r>
            <w:r>
              <w:rPr>
                <w:rFonts w:hint="eastAsia" w:ascii="宋体" w:hAnsi="宋体" w:cs="宋体"/>
                <w:sz w:val="21"/>
                <w:szCs w:val="21"/>
                <w:lang w:val="en-US" w:eastAsia="zh-CN"/>
              </w:rPr>
              <w:t>须提供第三方检测机构</w:t>
            </w:r>
            <w:r>
              <w:rPr>
                <w:rFonts w:hint="eastAsia" w:ascii="宋体" w:hAnsi="宋体" w:eastAsia="宋体" w:cs="宋体"/>
                <w:sz w:val="21"/>
                <w:szCs w:val="21"/>
              </w:rPr>
              <w:t>出具的检测报告并加盖投标人公章</w:t>
            </w:r>
            <w:r>
              <w:rPr>
                <w:rFonts w:hint="eastAsia" w:ascii="宋体" w:hAnsi="宋体" w:eastAsia="宋体" w:cs="宋体"/>
                <w:sz w:val="21"/>
                <w:szCs w:val="21"/>
                <w:lang w:eastAsia="zh-CN"/>
              </w:rPr>
              <w:t>）</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▲符合《国家教育考试网上巡查系统视频标准技术规范（2017版）》和GB/T 28181-2016《公共安全视频监控联网系统信息传输、交换、控制技术要求》</w:t>
            </w:r>
            <w:r>
              <w:rPr>
                <w:rFonts w:hint="eastAsia" w:ascii="宋体" w:hAnsi="宋体" w:cs="宋体"/>
                <w:sz w:val="21"/>
                <w:szCs w:val="21"/>
                <w:lang w:eastAsia="zh-CN"/>
              </w:rPr>
              <w:t>。（</w:t>
            </w:r>
            <w:r>
              <w:rPr>
                <w:rFonts w:hint="eastAsia" w:ascii="宋体" w:hAnsi="宋体" w:cs="宋体"/>
                <w:sz w:val="21"/>
                <w:szCs w:val="21"/>
                <w:lang w:val="en-US" w:eastAsia="zh-CN"/>
              </w:rPr>
              <w:t>须提供第三方检测机构</w:t>
            </w:r>
            <w:r>
              <w:rPr>
                <w:rFonts w:hint="eastAsia" w:ascii="宋体" w:hAnsi="宋体" w:eastAsia="宋体" w:cs="宋体"/>
                <w:sz w:val="21"/>
                <w:szCs w:val="21"/>
              </w:rPr>
              <w:t>出具的检测报告并加盖投标人公章</w:t>
            </w:r>
            <w:r>
              <w:rPr>
                <w:rFonts w:hint="eastAsia" w:ascii="宋体" w:hAnsi="宋体" w:eastAsia="宋体" w:cs="宋体"/>
                <w:sz w:val="21"/>
                <w:szCs w:val="21"/>
                <w:lang w:eastAsia="zh-CN"/>
              </w:rPr>
              <w:t>）</w:t>
            </w:r>
          </w:p>
          <w:p>
            <w:pPr>
              <w:pStyle w:val="35"/>
              <w:pageBreakBefore w:val="0"/>
              <w:numPr>
                <w:ilvl w:val="0"/>
                <w:numId w:val="12"/>
              </w:numPr>
              <w:kinsoku/>
              <w:wordWrap/>
              <w:overflowPunct/>
              <w:topLinePunct w:val="0"/>
              <w:autoSpaceDE/>
              <w:autoSpaceDN/>
              <w:bidi w:val="0"/>
              <w:spacing w:line="360" w:lineRule="auto"/>
              <w:ind w:left="0" w:firstLineChars="0"/>
              <w:textAlignment w:val="auto"/>
              <w:rPr>
                <w:rFonts w:hint="eastAsia" w:ascii="宋体" w:hAnsi="宋体" w:eastAsia="宋体" w:cs="宋体"/>
                <w:color w:val="000000"/>
                <w:kern w:val="0"/>
                <w:sz w:val="21"/>
                <w:szCs w:val="21"/>
              </w:rPr>
            </w:pPr>
            <w:r>
              <w:rPr>
                <w:rFonts w:hint="eastAsia" w:ascii="宋体" w:hAnsi="宋体" w:eastAsia="宋体" w:cs="宋体"/>
                <w:sz w:val="21"/>
                <w:szCs w:val="21"/>
              </w:rPr>
              <w:t>▲产品具有软件著作权登记证</w:t>
            </w:r>
            <w:r>
              <w:rPr>
                <w:rFonts w:hint="eastAsia" w:ascii="宋体" w:hAnsi="宋体" w:cs="宋体"/>
                <w:sz w:val="21"/>
                <w:szCs w:val="21"/>
                <w:lang w:eastAsia="zh-CN"/>
              </w:rPr>
              <w:t>。（</w:t>
            </w:r>
            <w:r>
              <w:rPr>
                <w:rFonts w:hint="eastAsia" w:ascii="宋体" w:hAnsi="宋体" w:cs="宋体"/>
                <w:sz w:val="21"/>
                <w:szCs w:val="21"/>
                <w:lang w:val="en-US" w:eastAsia="zh-CN"/>
              </w:rPr>
              <w:t>须</w:t>
            </w:r>
            <w:r>
              <w:rPr>
                <w:rFonts w:hint="eastAsia" w:ascii="宋体" w:hAnsi="宋体" w:eastAsia="宋体" w:cs="宋体"/>
                <w:sz w:val="21"/>
                <w:szCs w:val="21"/>
              </w:rPr>
              <w:t>提供证书复印件加盖投标人公章</w:t>
            </w:r>
            <w:r>
              <w:rPr>
                <w:rFonts w:hint="eastAsia" w:ascii="宋体" w:hAnsi="宋体" w:cs="宋体"/>
                <w:sz w:val="21"/>
                <w:szCs w:val="21"/>
                <w:lang w:eastAsia="zh-CN"/>
              </w:rPr>
              <w:t>）</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台</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9" w:hRule="atLeast"/>
        </w:trPr>
        <w:tc>
          <w:tcPr>
            <w:tcW w:w="560" w:type="dxa"/>
            <w:vMerge w:val="restart"/>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015" w:type="dxa"/>
            <w:gridSpan w:val="2"/>
            <w:vMerge w:val="restart"/>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数字硬盘录像机</w:t>
            </w:r>
          </w:p>
        </w:tc>
        <w:tc>
          <w:tcPr>
            <w:tcW w:w="6095" w:type="dxa"/>
            <w:gridSpan w:val="3"/>
            <w:vMerge w:val="restart"/>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嵌入式设备，8路输入，至少支持2块硬盘录像存储，支持H.265.H.264等编码格式，支持80Mbps视音频码流接入和存储，80Mbps视音频码流转发或回放，支持标准GB/T28181协议、标准ONVIF 协议、等协议接入。</w:t>
            </w:r>
          </w:p>
        </w:tc>
        <w:tc>
          <w:tcPr>
            <w:tcW w:w="510" w:type="dxa"/>
            <w:vMerge w:val="restart"/>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台</w:t>
            </w:r>
          </w:p>
        </w:tc>
        <w:tc>
          <w:tcPr>
            <w:tcW w:w="780" w:type="dxa"/>
            <w:vMerge w:val="restart"/>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560" w:type="dxa"/>
            <w:vMerge w:val="continue"/>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p>
        </w:tc>
        <w:tc>
          <w:tcPr>
            <w:tcW w:w="1015" w:type="dxa"/>
            <w:gridSpan w:val="2"/>
            <w:vMerge w:val="continue"/>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p>
        </w:tc>
        <w:tc>
          <w:tcPr>
            <w:tcW w:w="6095" w:type="dxa"/>
            <w:gridSpan w:val="3"/>
            <w:vMerge w:val="continue"/>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p>
        </w:tc>
        <w:tc>
          <w:tcPr>
            <w:tcW w:w="510" w:type="dxa"/>
            <w:vMerge w:val="continue"/>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p>
        </w:tc>
        <w:tc>
          <w:tcPr>
            <w:tcW w:w="780" w:type="dxa"/>
            <w:vMerge w:val="continue"/>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显示器</w:t>
            </w:r>
          </w:p>
        </w:tc>
        <w:tc>
          <w:tcPr>
            <w:tcW w:w="6095" w:type="dxa"/>
            <w:gridSpan w:val="3"/>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24寸液晶显示屏（LED)16：9.分辨率1920*1080.</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台</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存储硬盘</w:t>
            </w:r>
          </w:p>
        </w:tc>
        <w:tc>
          <w:tcPr>
            <w:tcW w:w="6095" w:type="dxa"/>
            <w:gridSpan w:val="3"/>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一体化监控及SATA硬盘(6TB)</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块</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8"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核心交换机</w:t>
            </w:r>
          </w:p>
        </w:tc>
        <w:tc>
          <w:tcPr>
            <w:tcW w:w="6095" w:type="dxa"/>
            <w:gridSpan w:val="3"/>
            <w:shd w:val="clear" w:color="auto" w:fill="auto"/>
            <w:vAlign w:val="center"/>
          </w:tcPr>
          <w:p>
            <w:pPr>
              <w:pStyle w:val="35"/>
              <w:pageBreakBefore w:val="0"/>
              <w:widowControl/>
              <w:numPr>
                <w:ilvl w:val="0"/>
                <w:numId w:val="13"/>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企业级三层交换机，24个10/100/1000Base-T以太网端口,4个100/1000 SFP,4个万兆SFP。</w:t>
            </w:r>
          </w:p>
          <w:p>
            <w:pPr>
              <w:pStyle w:val="35"/>
              <w:pageBreakBefore w:val="0"/>
              <w:widowControl/>
              <w:numPr>
                <w:ilvl w:val="0"/>
                <w:numId w:val="13"/>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背板带宽不小于598Gbps，包转率不少于222Mpps。</w:t>
            </w:r>
          </w:p>
          <w:p>
            <w:pPr>
              <w:pStyle w:val="35"/>
              <w:pageBreakBefore w:val="0"/>
              <w:widowControl/>
              <w:numPr>
                <w:ilvl w:val="0"/>
                <w:numId w:val="13"/>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WLAN: 支持基于端口的VLAN支持基于MAC的VLAN基于协议的VLAN基于IP子网的VLAN支持QinQ，灵活QinQ支持VLAN Mapping支持Voice VLAN支持MVRP.</w:t>
            </w:r>
          </w:p>
          <w:p>
            <w:pPr>
              <w:pStyle w:val="35"/>
              <w:pageBreakBefore w:val="0"/>
              <w:widowControl/>
              <w:numPr>
                <w:ilvl w:val="0"/>
                <w:numId w:val="13"/>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QOS: 支持L2（Layer 2）~L4（Layer 4）包过滤功能，提供基于源MAC地址、目的MAC地址、源IP(IPv4/IPv6)地址、目的IP(IPv4/IPv6)地址、TCP/UDP端口号、VLAN的流分类支持时间段（Time Range）ACL支持入方向和出方向的双向ACL策略支持基于VLAN下发ACL支持对端口接收报文的速率和发送报文的速率进行限制，最小粒度为8Kbps支持报文重定向支持报文的802.1p和DSCP优先级重新标记支持CAR（Committed Access Rate）功能支持灵活的队列调度算法，可以同时基于端口和队列进行设置，支持SP、WRR、SP+WRR三种模式支持WRED.</w:t>
            </w:r>
          </w:p>
          <w:p>
            <w:pPr>
              <w:pStyle w:val="35"/>
              <w:pageBreakBefore w:val="0"/>
              <w:widowControl/>
              <w:numPr>
                <w:ilvl w:val="0"/>
                <w:numId w:val="13"/>
              </w:numPr>
              <w:kinsoku/>
              <w:wordWrap/>
              <w:overflowPunct/>
              <w:topLinePunct w:val="0"/>
              <w:autoSpaceDE/>
              <w:autoSpaceDN/>
              <w:bidi w:val="0"/>
              <w:spacing w:line="360" w:lineRule="auto"/>
              <w:ind w:left="0" w:firstLineChars="0"/>
              <w:textAlignment w:val="auto"/>
              <w:rPr>
                <w:rFonts w:hint="eastAsia" w:ascii="宋体" w:hAnsi="宋体" w:eastAsia="宋体" w:cs="宋体"/>
                <w:sz w:val="21"/>
                <w:szCs w:val="21"/>
              </w:rPr>
            </w:pPr>
            <w:r>
              <w:rPr>
                <w:rFonts w:hint="eastAsia" w:ascii="宋体" w:hAnsi="宋体" w:eastAsia="宋体" w:cs="宋体"/>
                <w:sz w:val="21"/>
                <w:szCs w:val="21"/>
              </w:rPr>
              <w:t>组播管理：支持IGMP Snooping v1/v2/v3，MLD Snooping v1/v2支持PIM Snooping支持MLD Proxy支持组播VLAN支持IGMP v1/v2/v3，MLD v1/v2*支持PIM-DM，PIM-SM，PIM-SSM支持MSDP，MSDP for IPv6*支持MBGP，MBGP for Ipv6。</w:t>
            </w:r>
          </w:p>
          <w:p>
            <w:pPr>
              <w:pStyle w:val="35"/>
              <w:pageBreakBefore w:val="0"/>
              <w:widowControl/>
              <w:numPr>
                <w:ilvl w:val="0"/>
                <w:numId w:val="13"/>
              </w:numPr>
              <w:kinsoku/>
              <w:wordWrap/>
              <w:overflowPunct/>
              <w:topLinePunct w:val="0"/>
              <w:autoSpaceDE/>
              <w:autoSpaceDN/>
              <w:bidi w:val="0"/>
              <w:spacing w:line="360" w:lineRule="auto"/>
              <w:ind w:left="0" w:firstLineChars="0"/>
              <w:textAlignment w:val="auto"/>
              <w:rPr>
                <w:rFonts w:hint="eastAsia" w:ascii="宋体" w:hAnsi="宋体" w:eastAsia="宋体" w:cs="宋体"/>
                <w:color w:val="000000"/>
                <w:kern w:val="0"/>
                <w:sz w:val="21"/>
                <w:szCs w:val="21"/>
              </w:rPr>
            </w:pPr>
            <w:r>
              <w:rPr>
                <w:rFonts w:hint="eastAsia" w:ascii="宋体" w:hAnsi="宋体" w:eastAsia="宋体" w:cs="宋体"/>
                <w:sz w:val="21"/>
                <w:szCs w:val="21"/>
              </w:rPr>
              <w:t>安全管理：支持用户分级管理和口令保护支持802.1X认证/集中式MAC地址认证支持Guest VLAN支持RADIUS认证支持SSH 2.0支持端口隔离支持端口安全支持EAD可支持DHCP Snooping，防止欺骗的DHCP服务器支持动态ARP检测，防止中间人攻击和ARP拒绝服务支持BPDU guard， Root guard支持uRPF(单播反向路径检测)，杜绝IP源地址欺骗，防范病毒和攻击支持IP/Port/MAC的绑定功能支持OSPF、RIPv2报文的明文及MD5密文认证支持PKI（Public Key Infrastructure，公钥基础设施）。</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台</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交换机模块</w:t>
            </w:r>
          </w:p>
        </w:tc>
        <w:tc>
          <w:tcPr>
            <w:tcW w:w="6095" w:type="dxa"/>
            <w:gridSpan w:val="3"/>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千兆单模SFP光模块</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个</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UPS电源</w:t>
            </w:r>
          </w:p>
        </w:tc>
        <w:tc>
          <w:tcPr>
            <w:tcW w:w="6095" w:type="dxa"/>
            <w:gridSpan w:val="3"/>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kern w:val="0"/>
                <w:sz w:val="21"/>
                <w:szCs w:val="21"/>
              </w:rPr>
            </w:pPr>
            <w:r>
              <w:rPr>
                <w:rFonts w:hint="eastAsia" w:ascii="宋体" w:hAnsi="宋体" w:eastAsia="宋体" w:cs="宋体"/>
                <w:kern w:val="0"/>
                <w:sz w:val="21"/>
                <w:szCs w:val="21"/>
              </w:rPr>
              <w:t>220V输入，10KVA</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电池</w:t>
            </w:r>
          </w:p>
        </w:tc>
        <w:tc>
          <w:tcPr>
            <w:tcW w:w="6095" w:type="dxa"/>
            <w:gridSpan w:val="3"/>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kern w:val="0"/>
                <w:sz w:val="21"/>
                <w:szCs w:val="21"/>
              </w:rPr>
            </w:pPr>
            <w:r>
              <w:rPr>
                <w:rFonts w:hint="eastAsia" w:ascii="宋体" w:hAnsi="宋体" w:eastAsia="宋体" w:cs="宋体"/>
                <w:kern w:val="0"/>
                <w:sz w:val="21"/>
                <w:szCs w:val="21"/>
              </w:rPr>
              <w:t>12V38A</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个</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操作台</w:t>
            </w:r>
          </w:p>
        </w:tc>
        <w:tc>
          <w:tcPr>
            <w:tcW w:w="6095" w:type="dxa"/>
            <w:gridSpan w:val="3"/>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采用1.5mm冷轧钢板制作，表面静电喷涂处理，颜色电脑灰。</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1015"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机柜</w:t>
            </w:r>
          </w:p>
        </w:tc>
        <w:tc>
          <w:tcPr>
            <w:tcW w:w="6095" w:type="dxa"/>
            <w:gridSpan w:val="3"/>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42U，600*800*2000</w:t>
            </w:r>
          </w:p>
        </w:tc>
        <w:tc>
          <w:tcPr>
            <w:tcW w:w="51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台</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8" w:hRule="atLeast"/>
        </w:trPr>
        <w:tc>
          <w:tcPr>
            <w:tcW w:w="8960" w:type="dxa"/>
            <w:gridSpan w:val="8"/>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二、作弊防控系统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91"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szCs w:val="21"/>
              </w:rPr>
              <w:t>●</w:t>
            </w:r>
            <w:r>
              <w:rPr>
                <w:rFonts w:hint="eastAsia" w:ascii="宋体" w:hAnsi="宋体" w:eastAsia="宋体" w:cs="宋体"/>
                <w:color w:val="000000"/>
                <w:kern w:val="0"/>
                <w:sz w:val="21"/>
                <w:szCs w:val="21"/>
              </w:rPr>
              <w:t>信号屏蔽终端</w:t>
            </w:r>
          </w:p>
        </w:tc>
        <w:tc>
          <w:tcPr>
            <w:tcW w:w="5522" w:type="dxa"/>
            <w:shd w:val="clear" w:color="auto" w:fill="auto"/>
            <w:vAlign w:val="center"/>
          </w:tcPr>
          <w:p>
            <w:pPr>
              <w:pStyle w:val="64"/>
              <w:pageBreakBefore w:val="0"/>
              <w:kinsoku/>
              <w:wordWrap/>
              <w:overflowPunct/>
              <w:topLinePunct w:val="0"/>
              <w:autoSpaceDE/>
              <w:autoSpaceDN/>
              <w:bidi w:val="0"/>
              <w:spacing w:after="0" w:line="360" w:lineRule="auto"/>
              <w:ind w:left="0" w:firstLine="0"/>
              <w:textAlignment w:val="auto"/>
              <w:rPr>
                <w:rFonts w:hint="eastAsia" w:ascii="宋体" w:hAnsi="宋体" w:eastAsia="宋体" w:cs="宋体"/>
                <w:sz w:val="21"/>
                <w:szCs w:val="21"/>
              </w:rPr>
            </w:pPr>
            <w:r>
              <w:rPr>
                <w:rFonts w:hint="eastAsia" w:ascii="宋体" w:hAnsi="宋体" w:eastAsia="宋体" w:cs="宋体"/>
                <w:sz w:val="21"/>
                <w:szCs w:val="21"/>
              </w:rPr>
              <w:t>1、▲有效屏蔽2G(CDMA/GSM/DCS/PHS)/3G (TD-SCDMA/CDMA2000/WCDMA)/4G（TD-LTE/FDD-LTE）/5G 手机及2.4G（WIFI、蓝牙、WLAN）等无线通信信号。</w:t>
            </w:r>
          </w:p>
          <w:p>
            <w:pPr>
              <w:pStyle w:val="64"/>
              <w:pageBreakBefore w:val="0"/>
              <w:kinsoku/>
              <w:wordWrap/>
              <w:overflowPunct/>
              <w:topLinePunct w:val="0"/>
              <w:autoSpaceDE/>
              <w:autoSpaceDN/>
              <w:bidi w:val="0"/>
              <w:spacing w:after="0" w:line="360" w:lineRule="auto"/>
              <w:ind w:left="0" w:firstLine="0"/>
              <w:textAlignment w:val="auto"/>
              <w:rPr>
                <w:rFonts w:hint="eastAsia" w:ascii="宋体" w:hAnsi="宋体" w:eastAsia="宋体" w:cs="宋体"/>
                <w:sz w:val="21"/>
                <w:szCs w:val="21"/>
              </w:rPr>
            </w:pPr>
            <w:r>
              <w:rPr>
                <w:rFonts w:hint="eastAsia" w:ascii="宋体" w:hAnsi="宋体" w:eastAsia="宋体" w:cs="宋体"/>
                <w:sz w:val="21"/>
                <w:szCs w:val="21"/>
              </w:rPr>
              <w:t>2、▲配备有网络数据接口RJ45，可根据用户需要实现网络智能管理控制功能，支持TCP/IP协议和UDP广播/组播协议，具备联网能力，支持多级联网上报和控制指令接收功能，监控每台设备连接情况和工作状态。</w:t>
            </w:r>
          </w:p>
          <w:p>
            <w:pPr>
              <w:pStyle w:val="64"/>
              <w:pageBreakBefore w:val="0"/>
              <w:kinsoku/>
              <w:wordWrap/>
              <w:overflowPunct/>
              <w:topLinePunct w:val="0"/>
              <w:autoSpaceDE/>
              <w:autoSpaceDN/>
              <w:bidi w:val="0"/>
              <w:spacing w:after="0" w:line="360" w:lineRule="auto"/>
              <w:ind w:left="0" w:firstLine="0"/>
              <w:textAlignment w:val="auto"/>
              <w:rPr>
                <w:rFonts w:hint="eastAsia" w:ascii="宋体" w:hAnsi="宋体" w:eastAsia="宋体" w:cs="宋体"/>
                <w:sz w:val="21"/>
                <w:szCs w:val="21"/>
              </w:rPr>
            </w:pPr>
            <w:r>
              <w:rPr>
                <w:rFonts w:hint="eastAsia" w:ascii="宋体" w:hAnsi="宋体" w:eastAsia="宋体" w:cs="宋体"/>
                <w:sz w:val="21"/>
                <w:szCs w:val="21"/>
              </w:rPr>
              <w:t>3、产品规格：L 385mm*W290mm*H90mm，产品重量2.7KG。</w:t>
            </w:r>
          </w:p>
          <w:p>
            <w:pPr>
              <w:pStyle w:val="64"/>
              <w:pageBreakBefore w:val="0"/>
              <w:kinsoku/>
              <w:wordWrap/>
              <w:overflowPunct/>
              <w:topLinePunct w:val="0"/>
              <w:autoSpaceDE/>
              <w:autoSpaceDN/>
              <w:bidi w:val="0"/>
              <w:spacing w:after="0" w:line="360" w:lineRule="auto"/>
              <w:ind w:left="0" w:firstLine="0"/>
              <w:textAlignment w:val="auto"/>
              <w:rPr>
                <w:rFonts w:hint="eastAsia" w:ascii="宋体" w:hAnsi="宋体" w:eastAsia="宋体" w:cs="宋体"/>
                <w:sz w:val="21"/>
                <w:szCs w:val="21"/>
              </w:rPr>
            </w:pPr>
            <w:r>
              <w:rPr>
                <w:rFonts w:hint="eastAsia" w:ascii="宋体" w:hAnsi="宋体" w:eastAsia="宋体" w:cs="宋体"/>
                <w:sz w:val="21"/>
                <w:szCs w:val="21"/>
              </w:rPr>
              <w:t>4、设备辐射强度远低于国家标准，对人体无任何影响。</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台</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8"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24口汇聚交换机</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企业级及交换机24个10/100/1000Base-TX以太网端口，2个100/1000 SFP联端口，</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台</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机柜</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9U 壁挂</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台</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网线</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超五类非屏蔽</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箱</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主电源线</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RVV2*2.5</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米</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支电源线</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RVV2*1.0</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米</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单模光纤</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单模8芯</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米</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18</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PDU电源排插</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最大输入电流10A，输出插座数量6个，带指示灯</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个</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19</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插座</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2+3插座,电压220V，功率10A，包含（150*150*80）mm底盒</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辅材</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(14*24,19*39，,22*59)mm/20mm/25mm、水晶头、胶塞螺丝、光纤跳线/光纤熔接。</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21</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空调</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3P柜机</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台</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6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w:t>
            </w:r>
          </w:p>
        </w:tc>
        <w:tc>
          <w:tcPr>
            <w:tcW w:w="1298" w:type="dxa"/>
            <w:gridSpan w:val="3"/>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系统集成费</w:t>
            </w:r>
          </w:p>
        </w:tc>
        <w:tc>
          <w:tcPr>
            <w:tcW w:w="5522" w:type="dxa"/>
            <w:shd w:val="clear" w:color="auto" w:fill="auto"/>
            <w:vAlign w:val="center"/>
          </w:tcPr>
          <w:p>
            <w:pPr>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原有60间教室旧摄像机调试对接巡考平台，所有设备安装调试，考试期间上门维护。</w:t>
            </w:r>
          </w:p>
        </w:tc>
        <w:tc>
          <w:tcPr>
            <w:tcW w:w="800" w:type="dxa"/>
            <w:gridSpan w:val="2"/>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80" w:type="dxa"/>
            <w:shd w:val="clear" w:color="auto" w:fill="auto"/>
            <w:vAlign w:val="center"/>
          </w:tcPr>
          <w:p>
            <w:pPr>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60</w:t>
            </w:r>
          </w:p>
        </w:tc>
      </w:tr>
    </w:tbl>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p>
      <w:pPr>
        <w:pStyle w:val="5"/>
        <w:bidi w:val="0"/>
        <w:rPr>
          <w:rFonts w:hint="eastAsia" w:eastAsia="宋体"/>
        </w:rPr>
      </w:pPr>
      <w:r>
        <w:rPr>
          <w:rFonts w:hint="eastAsia" w:eastAsia="宋体"/>
          <w:lang w:val="en-US" w:eastAsia="zh-CN"/>
        </w:rPr>
        <w:t>六</w:t>
      </w:r>
      <w:r>
        <w:rPr>
          <w:rFonts w:hint="eastAsia" w:eastAsia="宋体"/>
        </w:rPr>
        <w:t>、其他</w:t>
      </w:r>
    </w:p>
    <w:p>
      <w:pPr>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1、项目未尽事宜将在采购合同中另行约定，中标单位需无条件同意采购人基于为顺利完成本项目所提出的各项合理要求。</w:t>
      </w:r>
    </w:p>
    <w:p>
      <w:pPr>
        <w:pageBreakBefore w:val="0"/>
        <w:kinsoku/>
        <w:wordWrap/>
        <w:overflowPunct/>
        <w:topLinePunct w:val="0"/>
        <w:autoSpaceDE/>
        <w:autoSpaceDN/>
        <w:bidi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项目清单为本次采购最低要求，各供应商可以自行优化供货计划，为本项目设计最优投标方案，但必须满足项目采购需求。若存在弄虚作假，事后商量的现象，我单位将不予验收及付款，并将中标商列入黑名单并向招投标中心投诉。</w:t>
      </w:r>
    </w:p>
    <w:p>
      <w:pPr>
        <w:spacing w:after="0" w:line="360" w:lineRule="auto"/>
        <w:ind w:firstLine="422" w:firstLineChars="200"/>
        <w:rPr>
          <w:rFonts w:ascii="宋体" w:hAnsi="宋体" w:eastAsia="宋体" w:cs="Times New Roman"/>
          <w:b/>
          <w:bCs/>
          <w:color w:val="auto"/>
          <w:sz w:val="21"/>
          <w:szCs w:val="21"/>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83"/>
      <w:bookmarkEnd w:id="184"/>
      <w:bookmarkEnd w:id="185"/>
      <w:bookmarkEnd w:id="186"/>
      <w:bookmarkStart w:id="193" w:name="_Toc12485"/>
      <w:bookmarkStart w:id="194" w:name="_Toc21448"/>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rPr>
      </w:pPr>
    </w:p>
    <w:p>
      <w:pPr>
        <w:rPr>
          <w:rFonts w:hint="eastAsia"/>
          <w:color w:val="auto"/>
        </w:rPr>
      </w:pPr>
    </w:p>
    <w:p>
      <w:pPr>
        <w:bidi w:val="0"/>
        <w:rPr>
          <w:rFonts w:hint="eastAsia"/>
        </w:rPr>
      </w:pPr>
    </w:p>
    <w:p>
      <w:pPr>
        <w:bidi w:val="0"/>
        <w:rPr>
          <w:rFonts w:hint="eastAsia"/>
          <w:color w:val="auto"/>
        </w:rPr>
      </w:pPr>
    </w:p>
    <w:p>
      <w:pPr>
        <w:bidi w:val="0"/>
        <w:rPr>
          <w:rFonts w:hint="eastAsia"/>
          <w:color w:val="auto"/>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spacing w:before="0" w:after="0" w:line="240" w:lineRule="auto"/>
        <w:rPr>
          <w:color w:val="auto"/>
          <w:sz w:val="28"/>
          <w:szCs w:val="28"/>
        </w:rPr>
      </w:pPr>
      <w:bookmarkStart w:id="195" w:name="_Toc12014"/>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93"/>
      <w:bookmarkEnd w:id="194"/>
      <w:bookmarkEnd w:id="195"/>
      <w:bookmarkStart w:id="196" w:name="_Toc1534"/>
      <w:bookmarkStart w:id="197" w:name="_Toc21155"/>
      <w:bookmarkStart w:id="198" w:name="_Toc13430"/>
    </w:p>
    <w:p>
      <w:pPr>
        <w:pStyle w:val="4"/>
        <w:spacing w:before="0" w:after="0" w:line="240" w:lineRule="auto"/>
        <w:jc w:val="center"/>
        <w:rPr>
          <w:rFonts w:ascii="宋体" w:hAnsi="宋体" w:eastAsia="宋体" w:cs="宋体"/>
          <w:color w:val="auto"/>
        </w:rPr>
      </w:pPr>
      <w:bookmarkStart w:id="199" w:name="_Toc8880"/>
      <w:bookmarkStart w:id="200" w:name="_Toc19575"/>
      <w:bookmarkStart w:id="201" w:name="_Toc16730"/>
      <w:r>
        <w:rPr>
          <w:rFonts w:hint="eastAsia" w:ascii="宋体" w:hAnsi="宋体" w:eastAsia="宋体" w:cs="宋体"/>
          <w:color w:val="auto"/>
        </w:rPr>
        <w:t>合同格式</w:t>
      </w:r>
      <w:bookmarkEnd w:id="196"/>
      <w:bookmarkEnd w:id="197"/>
      <w:bookmarkEnd w:id="198"/>
      <w:bookmarkEnd w:id="199"/>
      <w:bookmarkEnd w:id="200"/>
      <w:bookmarkEnd w:id="201"/>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202"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3"/>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3"/>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3"/>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3"/>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3"/>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3"/>
        <w:spacing w:line="360" w:lineRule="auto"/>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23"/>
        <w:spacing w:line="360" w:lineRule="auto"/>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23"/>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2、乙方全部工作人员，须符合东莞市政府用工标准要求。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202"/>
    <w:p>
      <w:pPr>
        <w:spacing w:after="0" w:line="360" w:lineRule="auto"/>
        <w:ind w:firstLine="422" w:firstLineChars="200"/>
        <w:rPr>
          <w:rFonts w:ascii="宋体" w:hAnsi="宋体" w:eastAsia="宋体"/>
          <w:b/>
          <w:color w:val="auto"/>
          <w:sz w:val="21"/>
          <w:szCs w:val="21"/>
        </w:rPr>
      </w:pPr>
      <w:bookmarkStart w:id="203"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204" w:name="_Toc86481569"/>
      <w:r>
        <w:rPr>
          <w:rFonts w:hint="eastAsia" w:ascii="宋体" w:hAnsi="宋体" w:eastAsia="宋体"/>
          <w:b/>
          <w:color w:val="auto"/>
          <w:sz w:val="21"/>
          <w:szCs w:val="21"/>
        </w:rPr>
        <w:t>第十二条 合同生效</w:t>
      </w:r>
      <w:bookmarkEnd w:id="20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203"/>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2"/>
        <w:spacing w:before="0" w:after="0" w:line="240" w:lineRule="auto"/>
        <w:rPr>
          <w:color w:val="auto"/>
          <w:sz w:val="28"/>
          <w:szCs w:val="28"/>
        </w:rPr>
      </w:pPr>
      <w:bookmarkStart w:id="205" w:name="_Toc23749"/>
      <w:bookmarkStart w:id="206" w:name="_Toc31587"/>
      <w:bookmarkStart w:id="207" w:name="_Toc147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205"/>
      <w:bookmarkEnd w:id="206"/>
      <w:bookmarkEnd w:id="207"/>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8" w:name="_Toc6790"/>
      <w:bookmarkStart w:id="209" w:name="_Toc5794"/>
      <w:bookmarkStart w:id="210" w:name="_Toc26830"/>
      <w:r>
        <w:rPr>
          <w:rFonts w:hint="eastAsia"/>
          <w:color w:val="auto"/>
        </w:rPr>
        <w:t>投标文件目录</w:t>
      </w:r>
      <w:bookmarkEnd w:id="208"/>
      <w:bookmarkEnd w:id="209"/>
      <w:bookmarkEnd w:id="210"/>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11" w:name="_Toc18893"/>
      <w:bookmarkStart w:id="212" w:name="_Toc25502"/>
      <w:bookmarkStart w:id="213" w:name="_Toc5670"/>
      <w:r>
        <w:rPr>
          <w:rFonts w:hint="eastAsia"/>
          <w:color w:val="auto"/>
        </w:rPr>
        <w:t>评分标准索引表</w:t>
      </w:r>
      <w:bookmarkEnd w:id="211"/>
      <w:bookmarkEnd w:id="212"/>
      <w:bookmarkEnd w:id="213"/>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rPr>
            </w:pPr>
          </w:p>
        </w:tc>
        <w:tc>
          <w:tcPr>
            <w:tcW w:w="5028" w:type="dxa"/>
            <w:noWrap w:val="0"/>
            <w:vAlign w:val="center"/>
          </w:tcPr>
          <w:p>
            <w:pPr>
              <w:pStyle w:val="32"/>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14"/>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9"/>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14" w:name="_Toc8194"/>
      <w:bookmarkStart w:id="215" w:name="_Toc22080"/>
      <w:bookmarkStart w:id="216" w:name="_Toc30640"/>
      <w:r>
        <w:rPr>
          <w:rFonts w:hint="eastAsia"/>
          <w:color w:val="auto"/>
          <w:lang w:val="en-US" w:eastAsia="zh-CN"/>
        </w:rPr>
        <w:t>第一章价格文件</w:t>
      </w:r>
      <w:bookmarkEnd w:id="214"/>
      <w:bookmarkEnd w:id="21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7" w:name="_Toc19750"/>
      <w:bookmarkStart w:id="218" w:name="_Toc4168"/>
      <w:r>
        <w:rPr>
          <w:rFonts w:hint="eastAsia"/>
          <w:color w:val="auto"/>
          <w:lang w:val="en-US" w:eastAsia="zh-CN"/>
        </w:rPr>
        <w:t>一、唱标一览表</w:t>
      </w:r>
      <w:bookmarkEnd w:id="217"/>
      <w:bookmarkEnd w:id="218"/>
    </w:p>
    <w:p>
      <w:pPr>
        <w:spacing w:line="360" w:lineRule="auto"/>
        <w:rPr>
          <w:color w:val="auto"/>
        </w:rPr>
      </w:pPr>
    </w:p>
    <w:tbl>
      <w:tblPr>
        <w:tblStyle w:val="25"/>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9"/>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9"/>
        <w:rPr>
          <w:color w:val="auto"/>
        </w:rPr>
      </w:pPr>
    </w:p>
    <w:p>
      <w:pPr>
        <w:rPr>
          <w:color w:val="auto"/>
        </w:rPr>
      </w:pPr>
    </w:p>
    <w:p>
      <w:pPr>
        <w:bidi w:val="0"/>
        <w:rPr>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9" w:name="_Toc31172"/>
      <w:bookmarkStart w:id="220" w:name="_Toc31062"/>
      <w:r>
        <w:rPr>
          <w:rFonts w:hint="eastAsia"/>
          <w:color w:val="auto"/>
          <w:lang w:val="en-US" w:eastAsia="zh-CN"/>
        </w:rPr>
        <w:t>二、报价明细表</w:t>
      </w:r>
      <w:bookmarkEnd w:id="219"/>
      <w:bookmarkEnd w:id="220"/>
    </w:p>
    <w:p>
      <w:pPr>
        <w:pStyle w:val="32"/>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32"/>
        <w:rPr>
          <w:rFonts w:ascii="黑体" w:eastAsia="黑体"/>
          <w:color w:val="auto"/>
          <w:sz w:val="32"/>
          <w:szCs w:val="32"/>
        </w:rPr>
      </w:pPr>
    </w:p>
    <w:p>
      <w:pPr>
        <w:pStyle w:val="32"/>
        <w:rPr>
          <w:rFonts w:ascii="黑体" w:eastAsia="黑体"/>
          <w:color w:val="auto"/>
          <w:sz w:val="32"/>
          <w:szCs w:val="32"/>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1" w:name="_Toc20974"/>
      <w:bookmarkStart w:id="222" w:name="_Toc23355"/>
      <w:r>
        <w:rPr>
          <w:rFonts w:hint="eastAsia"/>
          <w:color w:val="auto"/>
          <w:lang w:val="en-US" w:eastAsia="zh-CN"/>
        </w:rPr>
        <w:t>三、小型或微型企业（货物/服务/承担的工程）明细表</w:t>
      </w:r>
      <w:bookmarkEnd w:id="221"/>
      <w:bookmarkEnd w:id="222"/>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pStyle w:val="35"/>
        <w:spacing w:after="0" w:line="360" w:lineRule="auto"/>
        <w:ind w:firstLine="0" w:firstLineChars="0"/>
        <w:rPr>
          <w:rFonts w:hint="eastAsia" w:ascii="宋体" w:hAnsi="宋体" w:eastAsia="宋体"/>
          <w:color w:val="auto"/>
          <w:sz w:val="21"/>
          <w:szCs w:val="21"/>
        </w:rPr>
      </w:pPr>
      <w:r>
        <w:rPr>
          <w:rFonts w:hint="eastAsia" w:ascii="宋体" w:hAnsi="宋体" w:eastAsia="宋体"/>
          <w:color w:val="auto"/>
          <w:sz w:val="21"/>
          <w:szCs w:val="21"/>
        </w:rPr>
        <w:t>日期：</w:t>
      </w:r>
    </w:p>
    <w:p>
      <w:pPr>
        <w:bidi w:val="0"/>
        <w:rPr>
          <w:rFonts w:hint="eastAsia"/>
          <w:color w:val="auto"/>
        </w:rPr>
      </w:pPr>
    </w:p>
    <w:p>
      <w:pPr>
        <w:spacing w:after="0"/>
        <w:rPr>
          <w:rStyle w:val="45"/>
          <w:rFonts w:hint="eastAsia" w:ascii="宋体" w:hAnsi="宋体" w:eastAsia="宋体" w:cs="宋体"/>
          <w:b/>
          <w:color w:val="auto"/>
          <w:sz w:val="21"/>
          <w:szCs w:val="21"/>
        </w:rPr>
      </w:pPr>
      <w:r>
        <w:rPr>
          <w:rStyle w:val="45"/>
          <w:rFonts w:hint="eastAsia" w:ascii="宋体" w:hAnsi="宋体" w:eastAsia="宋体" w:cs="宋体"/>
          <w:b/>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5"/>
          <w:rFonts w:ascii="宋体" w:hAnsi="宋体" w:eastAsia="宋体" w:cs="宋体"/>
          <w:b/>
          <w:color w:val="auto"/>
          <w:sz w:val="21"/>
          <w:szCs w:val="21"/>
        </w:rPr>
      </w:pPr>
      <w:r>
        <w:rPr>
          <w:rStyle w:val="45"/>
          <w:rFonts w:hint="eastAsia" w:ascii="宋体" w:hAnsi="宋体" w:eastAsia="宋体" w:cs="宋体"/>
          <w:b/>
          <w:color w:val="auto"/>
          <w:sz w:val="21"/>
          <w:szCs w:val="21"/>
        </w:rPr>
        <w:t>1、投标人在“货物</w:t>
      </w:r>
      <w:r>
        <w:rPr>
          <w:rStyle w:val="45"/>
          <w:rFonts w:hint="eastAsia" w:ascii="宋体" w:hAnsi="宋体" w:eastAsia="宋体" w:cs="宋体"/>
          <w:b/>
          <w:color w:val="auto"/>
          <w:sz w:val="21"/>
          <w:szCs w:val="21"/>
          <w:lang w:val="en-US" w:eastAsia="zh-CN"/>
        </w:rPr>
        <w:t>/</w:t>
      </w:r>
      <w:r>
        <w:rPr>
          <w:rStyle w:val="45"/>
          <w:rFonts w:hint="eastAsia" w:ascii="宋体" w:hAnsi="宋体" w:eastAsia="宋体" w:cs="宋体"/>
          <w:b/>
          <w:color w:val="auto"/>
          <w:sz w:val="21"/>
          <w:szCs w:val="21"/>
        </w:rPr>
        <w:t>服务报价</w:t>
      </w:r>
      <w:r>
        <w:rPr>
          <w:rStyle w:val="45"/>
          <w:rFonts w:hint="eastAsia" w:ascii="宋体" w:hAnsi="宋体" w:eastAsia="宋体" w:cs="宋体"/>
          <w:b/>
          <w:color w:val="auto"/>
          <w:sz w:val="21"/>
          <w:szCs w:val="21"/>
          <w:lang w:val="en-US" w:eastAsia="zh-CN"/>
        </w:rPr>
        <w:t>明细</w:t>
      </w:r>
      <w:r>
        <w:rPr>
          <w:rStyle w:val="45"/>
          <w:rFonts w:hint="eastAsia" w:ascii="宋体" w:hAnsi="宋体" w:eastAsia="宋体" w:cs="宋体"/>
          <w:b/>
          <w:color w:val="auto"/>
          <w:sz w:val="21"/>
          <w:szCs w:val="21"/>
        </w:rPr>
        <w:t>表”中的报价内容中，如有属于</w:t>
      </w:r>
      <w:r>
        <w:rPr>
          <w:rFonts w:hint="eastAsia" w:ascii="宋体" w:hAnsi="宋体" w:eastAsia="宋体" w:cs="宋体"/>
          <w:b/>
          <w:color w:val="auto"/>
          <w:sz w:val="21"/>
          <w:szCs w:val="21"/>
        </w:rPr>
        <w:t>小型</w:t>
      </w:r>
      <w:r>
        <w:rPr>
          <w:rFonts w:hint="eastAsia" w:ascii="宋体" w:hAnsi="宋体" w:eastAsia="宋体" w:cs="宋体"/>
          <w:b/>
          <w:color w:val="auto"/>
          <w:sz w:val="21"/>
          <w:szCs w:val="21"/>
          <w:lang w:val="en-US" w:eastAsia="zh-CN"/>
        </w:rPr>
        <w:t>或</w:t>
      </w:r>
      <w:r>
        <w:rPr>
          <w:rFonts w:hint="eastAsia" w:ascii="宋体" w:hAnsi="宋体" w:eastAsia="宋体" w:cs="宋体"/>
          <w:b/>
          <w:color w:val="auto"/>
          <w:sz w:val="21"/>
          <w:szCs w:val="21"/>
        </w:rPr>
        <w:t>微型企业产品（货物</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服务</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承担的工程）的，必须在此表单独列明，否则在计算价格得分时不予以相应的扣除</w:t>
      </w:r>
      <w:r>
        <w:rPr>
          <w:rStyle w:val="45"/>
          <w:rFonts w:hint="eastAsia" w:ascii="宋体" w:hAnsi="宋体" w:eastAsia="宋体" w:cs="宋体"/>
          <w:b/>
          <w:color w:val="auto"/>
          <w:sz w:val="21"/>
          <w:szCs w:val="21"/>
        </w:rPr>
        <w:t>；</w:t>
      </w:r>
    </w:p>
    <w:p>
      <w:pPr>
        <w:pStyle w:val="35"/>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rPr>
      </w:pPr>
      <w:r>
        <w:rPr>
          <w:rStyle w:val="45"/>
          <w:rFonts w:hint="eastAsia" w:ascii="宋体" w:hAnsi="宋体" w:eastAsia="宋体" w:cs="宋体"/>
          <w:b/>
          <w:color w:val="auto"/>
          <w:sz w:val="21"/>
          <w:szCs w:val="21"/>
        </w:rPr>
        <w:t>2、投标人应该如实填写，如投标人所投产品中无小型</w:t>
      </w:r>
      <w:r>
        <w:rPr>
          <w:rStyle w:val="45"/>
          <w:rFonts w:hint="eastAsia" w:ascii="宋体" w:hAnsi="宋体" w:eastAsia="宋体" w:cs="宋体"/>
          <w:b/>
          <w:color w:val="auto"/>
          <w:sz w:val="21"/>
          <w:szCs w:val="21"/>
          <w:lang w:val="en-US" w:eastAsia="zh-CN"/>
        </w:rPr>
        <w:t>或</w:t>
      </w:r>
      <w:r>
        <w:rPr>
          <w:rStyle w:val="45"/>
          <w:rFonts w:hint="eastAsia" w:ascii="宋体" w:hAnsi="宋体" w:eastAsia="宋体" w:cs="宋体"/>
          <w:b/>
          <w:color w:val="auto"/>
          <w:sz w:val="21"/>
          <w:szCs w:val="21"/>
        </w:rPr>
        <w:t>微型企业产品的，请留空或删除此表！</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3" w:name="_Toc16718"/>
      <w:bookmarkStart w:id="224" w:name="_Toc13970"/>
      <w:r>
        <w:rPr>
          <w:rFonts w:hint="eastAsia"/>
          <w:color w:val="auto"/>
          <w:lang w:val="en-US" w:eastAsia="zh-CN"/>
        </w:rPr>
        <w:t>四、节能产品或环境标志产品明细表</w:t>
      </w:r>
      <w:bookmarkEnd w:id="223"/>
      <w:bookmarkEnd w:id="224"/>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jc w:val="both"/>
        <w:rPr>
          <w:rFonts w:hint="eastAsia" w:ascii="宋体" w:hAnsi="宋体" w:eastAsia="宋体"/>
          <w:color w:val="auto"/>
          <w:sz w:val="21"/>
          <w:szCs w:val="21"/>
        </w:rPr>
      </w:pPr>
      <w:r>
        <w:rPr>
          <w:rFonts w:hint="eastAsia" w:ascii="宋体" w:hAnsi="宋体" w:eastAsia="宋体"/>
          <w:color w:val="auto"/>
          <w:sz w:val="21"/>
          <w:szCs w:val="21"/>
        </w:rPr>
        <w:t>日期：</w:t>
      </w:r>
    </w:p>
    <w:p>
      <w:pPr>
        <w:pStyle w:val="32"/>
        <w:rPr>
          <w:rFonts w:hint="eastAsia"/>
          <w:color w:val="auto"/>
        </w:rPr>
      </w:pPr>
    </w:p>
    <w:p>
      <w:pPr>
        <w:tabs>
          <w:tab w:val="left" w:pos="284"/>
        </w:tabs>
        <w:spacing w:after="0"/>
        <w:rPr>
          <w:rStyle w:val="45"/>
          <w:rFonts w:hint="eastAsia" w:ascii="宋体" w:hAnsi="宋体" w:eastAsia="宋体" w:cs="宋体"/>
          <w:b/>
          <w:color w:val="auto"/>
          <w:sz w:val="21"/>
          <w:szCs w:val="21"/>
        </w:rPr>
      </w:pPr>
      <w:r>
        <w:rPr>
          <w:rStyle w:val="45"/>
          <w:rFonts w:hint="eastAsia" w:ascii="宋体" w:hAnsi="宋体" w:eastAsia="宋体" w:cs="宋体"/>
          <w:b/>
          <w:color w:val="auto"/>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5"/>
          <w:rFonts w:ascii="宋体" w:hAnsi="宋体" w:eastAsia="宋体" w:cs="宋体"/>
          <w:b/>
          <w:color w:val="auto"/>
          <w:sz w:val="21"/>
          <w:szCs w:val="21"/>
        </w:rPr>
      </w:pPr>
      <w:r>
        <w:rPr>
          <w:rStyle w:val="45"/>
          <w:rFonts w:hint="eastAsia" w:ascii="宋体" w:hAnsi="宋体" w:eastAsia="宋体" w:cs="宋体"/>
          <w:b/>
          <w:color w:val="auto"/>
          <w:sz w:val="21"/>
          <w:szCs w:val="21"/>
        </w:rPr>
        <w:t>1、投标人在“货物</w:t>
      </w:r>
      <w:r>
        <w:rPr>
          <w:rStyle w:val="45"/>
          <w:rFonts w:hint="eastAsia" w:ascii="宋体" w:hAnsi="宋体" w:eastAsia="宋体" w:cs="宋体"/>
          <w:b/>
          <w:color w:val="auto"/>
          <w:sz w:val="21"/>
          <w:szCs w:val="21"/>
          <w:lang w:val="en-US" w:eastAsia="zh-CN"/>
        </w:rPr>
        <w:t>/</w:t>
      </w:r>
      <w:r>
        <w:rPr>
          <w:rStyle w:val="45"/>
          <w:rFonts w:hint="eastAsia" w:ascii="宋体" w:hAnsi="宋体" w:eastAsia="宋体" w:cs="宋体"/>
          <w:b/>
          <w:color w:val="auto"/>
          <w:sz w:val="21"/>
          <w:szCs w:val="21"/>
        </w:rPr>
        <w:t>服务报价</w:t>
      </w:r>
      <w:r>
        <w:rPr>
          <w:rStyle w:val="45"/>
          <w:rFonts w:hint="eastAsia" w:ascii="宋体" w:hAnsi="宋体" w:eastAsia="宋体" w:cs="宋体"/>
          <w:b/>
          <w:color w:val="auto"/>
          <w:sz w:val="21"/>
          <w:szCs w:val="21"/>
          <w:lang w:val="en-US" w:eastAsia="zh-CN"/>
        </w:rPr>
        <w:t>明细</w:t>
      </w:r>
      <w:r>
        <w:rPr>
          <w:rStyle w:val="45"/>
          <w:rFonts w:hint="eastAsia" w:ascii="宋体" w:hAnsi="宋体" w:eastAsia="宋体" w:cs="宋体"/>
          <w:b/>
          <w:color w:val="auto"/>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rPr>
      </w:pPr>
      <w:r>
        <w:rPr>
          <w:rStyle w:val="45"/>
          <w:rFonts w:hint="eastAsia" w:ascii="宋体" w:hAnsi="宋体" w:eastAsia="宋体" w:cs="宋体"/>
          <w:b/>
          <w:color w:val="auto"/>
          <w:sz w:val="21"/>
          <w:szCs w:val="21"/>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5" w:name="_Toc17482"/>
      <w:bookmarkStart w:id="226" w:name="_Toc10853"/>
      <w:r>
        <w:rPr>
          <w:rFonts w:hint="eastAsia"/>
          <w:color w:val="auto"/>
          <w:lang w:val="en-US" w:eastAsia="zh-CN"/>
        </w:rPr>
        <w:t>五、中小企业声明函</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9"/>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rPr>
          <w:rFonts w:ascii="宋体" w:hAnsi="宋体" w:eastAsia="宋体"/>
          <w:b/>
          <w:bCs/>
          <w:color w:val="auto"/>
          <w:sz w:val="21"/>
          <w:szCs w:val="21"/>
        </w:rPr>
      </w:pPr>
      <w:r>
        <w:rPr>
          <w:rFonts w:hint="eastAsia" w:ascii="宋体" w:hAnsi="宋体" w:eastAsia="宋体"/>
          <w:b/>
          <w:bCs/>
          <w:color w:val="auto"/>
          <w:sz w:val="21"/>
          <w:szCs w:val="21"/>
          <w:lang w:val="en-US" w:eastAsia="zh-CN"/>
        </w:rPr>
        <w:t>说明</w:t>
      </w:r>
      <w:r>
        <w:rPr>
          <w:rFonts w:hint="eastAsia" w:ascii="宋体" w:hAnsi="宋体" w:eastAsia="宋体"/>
          <w:b/>
          <w:bCs/>
          <w:color w:val="auto"/>
          <w:sz w:val="21"/>
          <w:szCs w:val="21"/>
        </w:rPr>
        <w:t>：</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1、投标人应根据</w:t>
      </w:r>
      <w:r>
        <w:rPr>
          <w:rFonts w:hint="eastAsia" w:ascii="宋体" w:hAnsi="宋体" w:eastAsia="宋体"/>
          <w:b/>
          <w:bCs/>
          <w:color w:val="auto"/>
          <w:sz w:val="21"/>
          <w:szCs w:val="21"/>
          <w:lang w:eastAsia="zh-CN"/>
        </w:rPr>
        <w:t>《政府采购促进中小企业发展管理办法》的通知（财库〔2020〕46号）</w:t>
      </w:r>
      <w:r>
        <w:rPr>
          <w:rFonts w:hint="eastAsia" w:ascii="宋体" w:hAnsi="宋体" w:eastAsia="宋体"/>
          <w:b/>
          <w:bCs/>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rPr>
      </w:pP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7" w:name="_Toc7959"/>
      <w:bookmarkStart w:id="228" w:name="_Toc8560"/>
      <w:r>
        <w:rPr>
          <w:rFonts w:hint="eastAsia"/>
          <w:color w:val="auto"/>
          <w:lang w:val="en-US" w:eastAsia="zh-CN"/>
        </w:rPr>
        <w:t>六、残疾人福利性单位声明函</w:t>
      </w:r>
      <w:bookmarkEnd w:id="227"/>
      <w:bookmarkEnd w:id="228"/>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单位名称（盖章）：</w:t>
      </w:r>
      <w:bookmarkStart w:id="229" w:name="_Toc508960153"/>
      <w:bookmarkStart w:id="230" w:name="_Toc20910"/>
      <w:bookmarkStart w:id="231" w:name="_Toc509479530"/>
      <w:bookmarkStart w:id="232" w:name="_Toc510171693"/>
      <w:bookmarkStart w:id="233" w:name="_Toc509927455"/>
      <w:bookmarkStart w:id="234" w:name="_Toc17761"/>
      <w:bookmarkStart w:id="235" w:name="_Toc30277"/>
      <w:bookmarkStart w:id="236" w:name="_Toc22970"/>
      <w:bookmarkStart w:id="237" w:name="_Toc508898066"/>
      <w:bookmarkStart w:id="238" w:name="_Toc30247"/>
      <w:bookmarkStart w:id="239" w:name="_Toc509844825"/>
      <w:bookmarkStart w:id="240" w:name="_Toc50895870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  期：</w:t>
      </w:r>
      <w:bookmarkEnd w:id="229"/>
      <w:bookmarkEnd w:id="230"/>
      <w:bookmarkEnd w:id="231"/>
      <w:bookmarkEnd w:id="232"/>
      <w:bookmarkEnd w:id="233"/>
      <w:bookmarkEnd w:id="234"/>
      <w:bookmarkEnd w:id="235"/>
      <w:bookmarkEnd w:id="236"/>
      <w:bookmarkEnd w:id="237"/>
      <w:bookmarkEnd w:id="238"/>
      <w:bookmarkEnd w:id="239"/>
      <w:bookmarkEnd w:id="240"/>
    </w:p>
    <w:p>
      <w:pPr>
        <w:pStyle w:val="9"/>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bookmarkStart w:id="241" w:name="_Toc26216"/>
      <w:bookmarkStart w:id="242" w:name="_Toc508958704"/>
      <w:bookmarkStart w:id="243" w:name="_Toc28527"/>
      <w:bookmarkStart w:id="244" w:name="_Toc508898067"/>
      <w:bookmarkStart w:id="245" w:name="_Toc509927456"/>
      <w:bookmarkStart w:id="246" w:name="_Toc510171694"/>
      <w:bookmarkStart w:id="247" w:name="_Toc31520"/>
      <w:bookmarkStart w:id="248" w:name="_Toc21053"/>
      <w:bookmarkStart w:id="249" w:name="_Toc509844826"/>
      <w:bookmarkStart w:id="250" w:name="_Toc508960154"/>
      <w:bookmarkStart w:id="251" w:name="_Toc509479531"/>
      <w:bookmarkStart w:id="252" w:name="_Toc5447"/>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（1）符合《财政部 民政部 中国残疾人联合会关于促进残疾人就业政府采购政策的通知》（财库〔2017〕 141号）规定条件的残疾人福利性单位应当提供《残疾人福利性单位声明函》。</w:t>
      </w:r>
      <w:bookmarkEnd w:id="241"/>
      <w:bookmarkEnd w:id="242"/>
      <w:bookmarkEnd w:id="243"/>
      <w:bookmarkEnd w:id="244"/>
      <w:bookmarkEnd w:id="245"/>
      <w:bookmarkEnd w:id="246"/>
      <w:bookmarkEnd w:id="247"/>
      <w:bookmarkEnd w:id="248"/>
      <w:bookmarkEnd w:id="249"/>
      <w:bookmarkEnd w:id="250"/>
      <w:bookmarkEnd w:id="251"/>
      <w:bookmarkEnd w:id="25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53" w:name="_Toc509479532"/>
      <w:bookmarkStart w:id="254" w:name="_Toc28126"/>
      <w:bookmarkStart w:id="255" w:name="_Toc509844827"/>
      <w:bookmarkStart w:id="256" w:name="_Toc24848"/>
      <w:bookmarkStart w:id="257" w:name="_Toc14653"/>
      <w:bookmarkStart w:id="258" w:name="_Toc9148"/>
      <w:bookmarkStart w:id="259" w:name="_Toc508958705"/>
      <w:bookmarkStart w:id="260" w:name="_Toc28626"/>
      <w:bookmarkStart w:id="261" w:name="_Toc508960155"/>
      <w:bookmarkStart w:id="262" w:name="_Toc510171695"/>
      <w:bookmarkStart w:id="263" w:name="_Toc508898068"/>
      <w:bookmarkStart w:id="264" w:name="_Toc509927457"/>
      <w:r>
        <w:rPr>
          <w:rFonts w:hint="eastAsia" w:ascii="宋体" w:hAnsi="宋体" w:eastAsia="宋体"/>
          <w:color w:val="auto"/>
          <w:sz w:val="21"/>
          <w:szCs w:val="21"/>
        </w:rPr>
        <w:t>（2）中标人为残疾人福利性单位的，采购代理机构将随中标结果同时公告其《残疾人福利性单位声明函》，接受社会监督。</w:t>
      </w:r>
      <w:bookmarkEnd w:id="253"/>
      <w:bookmarkEnd w:id="254"/>
      <w:bookmarkEnd w:id="255"/>
      <w:bookmarkEnd w:id="256"/>
      <w:bookmarkEnd w:id="257"/>
      <w:bookmarkEnd w:id="258"/>
      <w:bookmarkEnd w:id="259"/>
      <w:bookmarkEnd w:id="260"/>
      <w:bookmarkEnd w:id="261"/>
      <w:bookmarkEnd w:id="262"/>
      <w:bookmarkEnd w:id="263"/>
      <w:bookmarkEnd w:id="26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65" w:name="_Toc509927458"/>
      <w:bookmarkStart w:id="266" w:name="_Toc509844828"/>
      <w:bookmarkStart w:id="267" w:name="_Toc508960156"/>
      <w:bookmarkStart w:id="268" w:name="_Toc508898069"/>
      <w:bookmarkStart w:id="269" w:name="_Toc9837"/>
      <w:bookmarkStart w:id="270" w:name="_Toc7858"/>
      <w:bookmarkStart w:id="271" w:name="_Toc28044"/>
      <w:bookmarkStart w:id="272" w:name="_Toc509479533"/>
      <w:bookmarkStart w:id="273" w:name="_Toc510171696"/>
      <w:bookmarkStart w:id="274" w:name="_Toc508958706"/>
      <w:bookmarkStart w:id="275" w:name="_Toc28686"/>
      <w:bookmarkStart w:id="276" w:name="_Toc22981"/>
      <w:r>
        <w:rPr>
          <w:rFonts w:hint="eastAsia" w:ascii="宋体" w:hAnsi="宋体" w:eastAsia="宋体"/>
          <w:color w:val="auto"/>
          <w:sz w:val="21"/>
          <w:szCs w:val="21"/>
        </w:rPr>
        <w:t>（3）投标人提供的《残疾人福利性单位声明函》与事实不符的，依照《政府采购法》第七十七条第一款的规定追究法律责任。</w:t>
      </w:r>
      <w:bookmarkEnd w:id="265"/>
      <w:bookmarkEnd w:id="266"/>
      <w:bookmarkEnd w:id="267"/>
      <w:bookmarkEnd w:id="268"/>
      <w:bookmarkEnd w:id="269"/>
      <w:bookmarkEnd w:id="270"/>
      <w:bookmarkEnd w:id="271"/>
      <w:bookmarkEnd w:id="272"/>
      <w:bookmarkEnd w:id="273"/>
      <w:bookmarkEnd w:id="274"/>
      <w:bookmarkEnd w:id="275"/>
      <w:bookmarkEnd w:id="27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77" w:name="_Toc508958707"/>
      <w:bookmarkStart w:id="278" w:name="_Toc510171697"/>
      <w:bookmarkStart w:id="279" w:name="_Toc509844829"/>
      <w:bookmarkStart w:id="280" w:name="_Toc509927459"/>
      <w:bookmarkStart w:id="281" w:name="_Toc5289"/>
      <w:bookmarkStart w:id="282" w:name="_Toc18843"/>
      <w:bookmarkStart w:id="283" w:name="_Toc509479534"/>
      <w:bookmarkStart w:id="284" w:name="_Toc508960157"/>
      <w:bookmarkStart w:id="285" w:name="_Toc508898070"/>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77"/>
      <w:bookmarkEnd w:id="278"/>
      <w:bookmarkEnd w:id="279"/>
      <w:bookmarkEnd w:id="280"/>
      <w:bookmarkEnd w:id="281"/>
      <w:bookmarkEnd w:id="282"/>
      <w:bookmarkEnd w:id="283"/>
      <w:bookmarkEnd w:id="284"/>
      <w:bookmarkEnd w:id="285"/>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（5）若投标人不属于规定的残疾人福利性单位，或提供的产品不是残疾人福利单位制造的，则无需提供此表。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eastAsia="宋体"/>
          <w:bCs/>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86" w:name="_Toc23948"/>
      <w:bookmarkStart w:id="287" w:name="_Toc6471"/>
      <w:r>
        <w:rPr>
          <w:rFonts w:hint="eastAsia"/>
          <w:color w:val="auto"/>
          <w:lang w:val="en-US" w:eastAsia="zh-CN"/>
        </w:rPr>
        <w:t>第二章商务文件</w:t>
      </w:r>
      <w:bookmarkEnd w:id="286"/>
      <w:bookmarkEnd w:id="287"/>
    </w:p>
    <w:bookmarkEnd w:id="21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8" w:name="_Toc23787"/>
      <w:bookmarkStart w:id="289" w:name="_Toc1952"/>
      <w:r>
        <w:rPr>
          <w:rFonts w:hint="eastAsia"/>
          <w:color w:val="auto"/>
          <w:lang w:val="en-US" w:eastAsia="zh-CN"/>
        </w:rPr>
        <w:t>一、投标函</w:t>
      </w:r>
      <w:bookmarkEnd w:id="288"/>
      <w:bookmarkEnd w:id="289"/>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0" w:name="_Toc15719"/>
      <w:bookmarkStart w:id="291" w:name="_Toc28616"/>
      <w:r>
        <w:rPr>
          <w:rFonts w:hint="eastAsia"/>
          <w:color w:val="auto"/>
          <w:lang w:val="en-US" w:eastAsia="zh-CN"/>
        </w:rPr>
        <w:t>二、资格申明函</w:t>
      </w:r>
      <w:bookmarkEnd w:id="290"/>
      <w:bookmarkEnd w:id="291"/>
    </w:p>
    <w:p>
      <w:pPr>
        <w:pStyle w:val="38"/>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我方具备《中华人民共和国政府采购法》第二十二条资格条件</w:t>
      </w:r>
      <w:r>
        <w:rPr>
          <w:rFonts w:hint="eastAsia" w:ascii="宋体" w:hAnsi="宋体" w:eastAsia="宋体"/>
          <w:color w:val="auto"/>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、我方</w:t>
      </w:r>
      <w:r>
        <w:rPr>
          <w:rFonts w:hint="eastAsia" w:ascii="宋体" w:hAnsi="宋体" w:eastAsia="宋体"/>
          <w:color w:val="auto"/>
          <w:sz w:val="21"/>
          <w:szCs w:val="21"/>
        </w:rPr>
        <w:t>已清楚招标文件所有要求及有关规定；并承诺参加本次政府采购活动中，如有违法、违规、弄虚作假行为，所造成的损失、不良后果及法律责任，一律由我方承担；</w:t>
      </w:r>
    </w:p>
    <w:p>
      <w:pPr>
        <w:pStyle w:val="38"/>
        <w:spacing w:line="500" w:lineRule="atLeast"/>
        <w:ind w:firstLine="3517" w:firstLineChars="1675"/>
        <w:rPr>
          <w:rFonts w:ascii="宋体" w:eastAsia="宋体"/>
          <w:color w:val="auto"/>
          <w:sz w:val="21"/>
          <w:szCs w:val="21"/>
        </w:rPr>
      </w:pPr>
    </w:p>
    <w:p>
      <w:pPr>
        <w:pStyle w:val="38"/>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9"/>
        <w:rPr>
          <w:rFonts w:ascii="宋体" w:hAnsi="宋体" w:eastAsia="宋体"/>
          <w:color w:val="auto"/>
          <w:sz w:val="21"/>
          <w:szCs w:val="21"/>
        </w:rPr>
      </w:pPr>
    </w:p>
    <w:p>
      <w:pPr>
        <w:rPr>
          <w:rFonts w:ascii="宋体" w:hAnsi="宋体" w:eastAsia="宋体"/>
          <w:color w:val="auto"/>
          <w:sz w:val="21"/>
          <w:szCs w:val="21"/>
        </w:rPr>
      </w:pPr>
    </w:p>
    <w:p>
      <w:pPr>
        <w:pStyle w:val="9"/>
        <w:rPr>
          <w:rFonts w:ascii="宋体" w:hAnsi="宋体" w:eastAsia="宋体"/>
          <w:color w:val="auto"/>
          <w:sz w:val="21"/>
          <w:szCs w:val="21"/>
        </w:rPr>
      </w:pPr>
    </w:p>
    <w:p>
      <w:pPr>
        <w:rPr>
          <w:rFonts w:ascii="宋体" w:hAnsi="宋体" w:eastAsia="宋体"/>
          <w:color w:val="auto"/>
          <w:sz w:val="21"/>
          <w:szCs w:val="21"/>
        </w:rPr>
      </w:pPr>
    </w:p>
    <w:p>
      <w:pPr>
        <w:pStyle w:val="9"/>
        <w:rPr>
          <w:rFonts w:ascii="宋体" w:hAnsi="宋体" w:eastAsia="宋体"/>
          <w:color w:val="auto"/>
          <w:sz w:val="21"/>
          <w:szCs w:val="21"/>
        </w:rPr>
      </w:pPr>
    </w:p>
    <w:p>
      <w:pPr>
        <w:rPr>
          <w:rFonts w:ascii="宋体" w:hAnsi="宋体" w:eastAsia="宋体"/>
          <w:color w:val="auto"/>
          <w:sz w:val="21"/>
          <w:szCs w:val="21"/>
        </w:rPr>
      </w:pPr>
    </w:p>
    <w:p>
      <w:pPr>
        <w:pStyle w:val="9"/>
        <w:rPr>
          <w:color w:val="auto"/>
        </w:rPr>
      </w:pPr>
    </w:p>
    <w:p>
      <w:pPr>
        <w:rPr>
          <w:color w:val="auto"/>
        </w:rPr>
      </w:pPr>
      <w:bookmarkStart w:id="292"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3" w:name="_Toc21273"/>
      <w:bookmarkStart w:id="294" w:name="_Toc32742"/>
      <w:r>
        <w:rPr>
          <w:rFonts w:hint="eastAsia"/>
          <w:color w:val="auto"/>
          <w:lang w:val="en-US" w:eastAsia="zh-CN"/>
        </w:rPr>
        <w:t>三、在参与政府采购活动前三年未有重大违法记录、没有不良信用记录的声明函</w:t>
      </w:r>
      <w:bookmarkEnd w:id="293"/>
      <w:bookmarkEnd w:id="294"/>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9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5" w:name="_Toc13243"/>
      <w:bookmarkStart w:id="296" w:name="_Toc3894"/>
      <w:r>
        <w:rPr>
          <w:rFonts w:hint="eastAsia"/>
          <w:color w:val="auto"/>
          <w:lang w:val="en-US" w:eastAsia="zh-CN"/>
        </w:rPr>
        <w:t>四、法定代表人证明书</w:t>
      </w:r>
      <w:bookmarkEnd w:id="295"/>
      <w:bookmarkEnd w:id="296"/>
    </w:p>
    <w:p>
      <w:pPr>
        <w:pStyle w:val="38"/>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8"/>
        <w:spacing w:line="420" w:lineRule="atLeast"/>
        <w:ind w:firstLine="433"/>
        <w:rPr>
          <w:rFonts w:ascii="宋体" w:eastAsia="宋体"/>
          <w:color w:val="auto"/>
          <w:sz w:val="21"/>
          <w:szCs w:val="21"/>
        </w:rPr>
      </w:pPr>
    </w:p>
    <w:p>
      <w:pPr>
        <w:pStyle w:val="38"/>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8"/>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7" w:name="_Toc5918"/>
      <w:bookmarkStart w:id="298" w:name="_Toc5626"/>
      <w:r>
        <w:rPr>
          <w:rFonts w:hint="eastAsia"/>
          <w:color w:val="auto"/>
          <w:lang w:val="en-US" w:eastAsia="zh-CN"/>
        </w:rPr>
        <w:t>五、法定代表人授权书</w:t>
      </w:r>
      <w:bookmarkEnd w:id="297"/>
      <w:bookmarkEnd w:id="298"/>
    </w:p>
    <w:p>
      <w:pPr>
        <w:pStyle w:val="38"/>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8"/>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8"/>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8"/>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99"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0" w:name="_Toc18562"/>
      <w:bookmarkStart w:id="301" w:name="_Toc24013"/>
      <w:r>
        <w:rPr>
          <w:rFonts w:hint="eastAsia"/>
          <w:color w:val="auto"/>
          <w:lang w:val="en-US" w:eastAsia="zh-CN"/>
        </w:rPr>
        <w:t>六、投标人基本情况说明</w:t>
      </w:r>
      <w:bookmarkEnd w:id="300"/>
      <w:bookmarkEnd w:id="301"/>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9"/>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38"/>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302" w:name="_Toc4926"/>
      <w:bookmarkStart w:id="303" w:name="_Toc28067"/>
      <w:bookmarkStart w:id="304" w:name="_Toc17470"/>
      <w:bookmarkStart w:id="305" w:name="_Toc5919"/>
      <w:bookmarkStart w:id="306" w:name="_Toc24210"/>
      <w:bookmarkStart w:id="307" w:name="_Toc29995"/>
      <w:bookmarkStart w:id="308" w:name="_Toc1511"/>
      <w:r>
        <w:rPr>
          <w:rFonts w:hint="eastAsia"/>
          <w:color w:val="auto"/>
          <w:lang w:val="en-US" w:eastAsia="zh-CN"/>
        </w:rPr>
        <w:t>七、</w:t>
      </w:r>
      <w:r>
        <w:rPr>
          <w:rFonts w:hint="eastAsia"/>
          <w:color w:val="auto"/>
        </w:rPr>
        <w:t>营业执照</w:t>
      </w:r>
      <w:bookmarkEnd w:id="302"/>
      <w:bookmarkEnd w:id="303"/>
      <w:bookmarkEnd w:id="304"/>
      <w:bookmarkEnd w:id="305"/>
      <w:bookmarkEnd w:id="306"/>
      <w:bookmarkEnd w:id="307"/>
      <w:bookmarkEnd w:id="308"/>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99"/>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9" w:name="_Toc21638"/>
      <w:bookmarkStart w:id="310" w:name="_Toc29439"/>
      <w:r>
        <w:rPr>
          <w:rFonts w:hint="eastAsia"/>
          <w:color w:val="auto"/>
          <w:lang w:val="en-US" w:eastAsia="zh-CN"/>
        </w:rPr>
        <w:t>八、</w:t>
      </w:r>
      <w:r>
        <w:rPr>
          <w:rFonts w:hint="eastAsia"/>
          <w:color w:val="auto"/>
        </w:rPr>
        <w:t>特殊资格要求证明文件</w:t>
      </w:r>
      <w:bookmarkEnd w:id="309"/>
      <w:bookmarkEnd w:id="31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1" w:name="_Toc23341"/>
      <w:bookmarkStart w:id="312" w:name="_Toc14263"/>
      <w:r>
        <w:rPr>
          <w:rFonts w:hint="eastAsia"/>
          <w:color w:val="auto"/>
          <w:lang w:val="en-US" w:eastAsia="zh-CN"/>
        </w:rPr>
        <w:t>九、</w:t>
      </w:r>
      <w:r>
        <w:rPr>
          <w:rFonts w:hint="eastAsia"/>
          <w:color w:val="auto"/>
        </w:rPr>
        <w:t>承诺书</w:t>
      </w:r>
      <w:bookmarkEnd w:id="311"/>
      <w:bookmarkEnd w:id="312"/>
    </w:p>
    <w:p>
      <w:pPr>
        <w:pStyle w:val="38"/>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8"/>
        <w:spacing w:line="420" w:lineRule="exact"/>
        <w:ind w:firstLine="455"/>
        <w:rPr>
          <w:rFonts w:hint="eastAsia" w:ascii="宋体" w:hAnsi="宋体" w:eastAsia="宋体" w:cs="宋体"/>
          <w:b w:val="0"/>
          <w:bCs w:val="0"/>
          <w:color w:val="auto"/>
          <w:sz w:val="21"/>
          <w:szCs w:val="21"/>
          <w:highlight w:val="none"/>
        </w:rPr>
      </w:pPr>
      <w:bookmarkStart w:id="313"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3"/>
      <w:r>
        <w:rPr>
          <w:rFonts w:hint="eastAsia" w:ascii="宋体" w:hAnsi="宋体" w:eastAsia="宋体" w:cs="宋体"/>
          <w:b w:val="0"/>
          <w:bCs w:val="0"/>
          <w:color w:val="auto"/>
          <w:sz w:val="21"/>
          <w:szCs w:val="21"/>
          <w:highlight w:val="none"/>
        </w:rPr>
        <w:cr/>
      </w:r>
    </w:p>
    <w:p>
      <w:pPr>
        <w:pStyle w:val="38"/>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4" w:name="_Toc13955"/>
      <w:bookmarkStart w:id="315" w:name="_Toc13653"/>
      <w:r>
        <w:rPr>
          <w:rFonts w:hint="eastAsia"/>
          <w:color w:val="auto"/>
          <w:lang w:val="en-US" w:eastAsia="zh-CN"/>
        </w:rPr>
        <w:t>十、招标代理服务费承诺书</w:t>
      </w:r>
      <w:bookmarkEnd w:id="314"/>
      <w:bookmarkEnd w:id="315"/>
    </w:p>
    <w:p>
      <w:pPr>
        <w:pStyle w:val="38"/>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6" w:name="_Toc1975"/>
      <w:bookmarkStart w:id="317" w:name="_Toc12598"/>
      <w:r>
        <w:rPr>
          <w:rFonts w:hint="eastAsia"/>
          <w:color w:val="auto"/>
          <w:lang w:val="en-US" w:eastAsia="zh-CN"/>
        </w:rPr>
        <w:t>十一、</w:t>
      </w:r>
      <w:r>
        <w:rPr>
          <w:rFonts w:hint="eastAsia"/>
          <w:color w:val="auto"/>
        </w:rPr>
        <w:t>商务条款偏离表</w:t>
      </w:r>
      <w:bookmarkEnd w:id="316"/>
      <w:bookmarkEnd w:id="317"/>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318"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9" w:name="_Toc25391"/>
      <w:bookmarkStart w:id="320" w:name="_Toc19276"/>
      <w:r>
        <w:rPr>
          <w:rFonts w:hint="eastAsia"/>
          <w:color w:val="auto"/>
          <w:lang w:val="en-US" w:eastAsia="zh-CN"/>
        </w:rPr>
        <w:t>十二、</w:t>
      </w:r>
      <w:r>
        <w:rPr>
          <w:rFonts w:hint="eastAsia"/>
          <w:color w:val="auto"/>
        </w:rPr>
        <w:t>业绩表</w:t>
      </w:r>
      <w:bookmarkEnd w:id="319"/>
      <w:bookmarkEnd w:id="320"/>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5"/>
        <w:spacing w:after="0"/>
        <w:rPr>
          <w:rFonts w:ascii="宋体" w:hAnsi="宋体" w:eastAsia="宋体"/>
          <w:color w:val="auto"/>
          <w:sz w:val="21"/>
          <w:szCs w:val="21"/>
        </w:rPr>
      </w:pPr>
    </w:p>
    <w:p>
      <w:pPr>
        <w:pStyle w:val="35"/>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9"/>
        <w:rPr>
          <w:rFonts w:hint="eastAsia"/>
          <w:color w:val="auto"/>
        </w:rPr>
      </w:pPr>
    </w:p>
    <w:p>
      <w:pPr>
        <w:pStyle w:val="9"/>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321" w:name="_Toc14688"/>
      <w:bookmarkStart w:id="322" w:name="_Toc20520"/>
      <w:r>
        <w:rPr>
          <w:rFonts w:hint="eastAsia"/>
          <w:color w:val="auto"/>
          <w:lang w:val="en-US" w:eastAsia="zh-CN"/>
        </w:rPr>
        <w:t>第三章技术文件</w:t>
      </w:r>
      <w:bookmarkEnd w:id="318"/>
      <w:bookmarkEnd w:id="321"/>
      <w:bookmarkEnd w:id="32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3" w:name="_Toc13097"/>
      <w:bookmarkStart w:id="324" w:name="_Toc7092"/>
      <w:r>
        <w:rPr>
          <w:rFonts w:hint="eastAsia"/>
          <w:color w:val="auto"/>
          <w:lang w:val="en-US" w:eastAsia="zh-CN"/>
        </w:rPr>
        <w:t>一、</w:t>
      </w:r>
      <w:r>
        <w:rPr>
          <w:rFonts w:hint="eastAsia"/>
          <w:color w:val="auto"/>
        </w:rPr>
        <w:t>技术规格偏离表</w:t>
      </w:r>
      <w:bookmarkEnd w:id="323"/>
      <w:bookmarkEnd w:id="324"/>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325" w:name="_Toc17691"/>
      <w:r>
        <w:rPr>
          <w:rFonts w:hint="eastAsia" w:ascii="宋体" w:hAnsi="宋体" w:eastAsia="宋体"/>
          <w:color w:val="auto"/>
          <w:sz w:val="21"/>
          <w:szCs w:val="21"/>
        </w:rPr>
        <w:br w:type="page"/>
      </w:r>
      <w:bookmarkEnd w:id="325"/>
      <w:bookmarkStart w:id="326" w:name="_Toc1274"/>
      <w:bookmarkStart w:id="327" w:name="_Toc26078"/>
      <w:bookmarkStart w:id="328" w:name="_Toc18668"/>
      <w:bookmarkStart w:id="329" w:name="_Toc4464"/>
      <w:bookmarkStart w:id="330" w:name="_Toc4827"/>
      <w:bookmarkStart w:id="331" w:name="_Toc608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32" w:name="_Toc13461"/>
      <w:bookmarkStart w:id="333" w:name="_Toc10734"/>
      <w:r>
        <w:rPr>
          <w:rFonts w:hint="eastAsia"/>
          <w:color w:val="auto"/>
          <w:lang w:val="en-US" w:eastAsia="zh-CN"/>
        </w:rPr>
        <w:t>二、</w:t>
      </w:r>
      <w:r>
        <w:rPr>
          <w:rFonts w:hint="eastAsia"/>
          <w:color w:val="auto"/>
        </w:rPr>
        <w:t>重要技术参数（▲）响应表</w:t>
      </w:r>
      <w:bookmarkEnd w:id="326"/>
      <w:bookmarkEnd w:id="327"/>
      <w:bookmarkEnd w:id="328"/>
      <w:bookmarkEnd w:id="329"/>
      <w:bookmarkEnd w:id="330"/>
      <w:bookmarkEnd w:id="331"/>
      <w:bookmarkEnd w:id="332"/>
      <w:bookmarkEnd w:id="333"/>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34" w:name="_Toc27079"/>
            <w:bookmarkStart w:id="335" w:name="_Toc29560"/>
            <w:bookmarkStart w:id="336" w:name="_Toc29642"/>
            <w:r>
              <w:rPr>
                <w:rFonts w:hint="eastAsia" w:ascii="宋体" w:hAnsi="宋体" w:eastAsia="宋体" w:cs="宋体"/>
                <w:b w:val="0"/>
                <w:bCs w:val="0"/>
                <w:color w:val="auto"/>
                <w:sz w:val="21"/>
                <w:szCs w:val="21"/>
                <w:lang w:val="en-US" w:eastAsia="zh-CN"/>
              </w:rPr>
              <w:t>序号</w:t>
            </w:r>
            <w:bookmarkEnd w:id="334"/>
            <w:bookmarkEnd w:id="335"/>
            <w:bookmarkEnd w:id="336"/>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37" w:name="_Toc14815"/>
            <w:bookmarkStart w:id="338" w:name="_Toc4304"/>
            <w:bookmarkStart w:id="339" w:name="_Toc15368"/>
            <w:bookmarkStart w:id="340" w:name="_Toc1016"/>
            <w:bookmarkStart w:id="341" w:name="_Toc16872"/>
            <w:bookmarkStart w:id="342" w:name="_Toc2700"/>
            <w:bookmarkStart w:id="343" w:name="_Toc22448"/>
            <w:bookmarkStart w:id="344" w:name="_Toc26124"/>
            <w:bookmarkStart w:id="345" w:name="_Toc15903"/>
            <w:bookmarkStart w:id="346" w:name="_Toc21739"/>
            <w:bookmarkStart w:id="347" w:name="_Toc10045"/>
            <w:bookmarkStart w:id="348" w:name="_Toc12049"/>
            <w:bookmarkStart w:id="349" w:name="_Toc27090"/>
            <w:bookmarkStart w:id="350" w:name="_Toc27442"/>
            <w:bookmarkStart w:id="351" w:name="_Toc8490"/>
            <w:bookmarkStart w:id="352" w:name="_Toc22917"/>
            <w:bookmarkStart w:id="353" w:name="_Toc8312"/>
            <w:bookmarkStart w:id="354" w:name="_Toc19251"/>
            <w:bookmarkStart w:id="355" w:name="_Toc22879"/>
            <w:bookmarkStart w:id="356" w:name="_Toc32531"/>
            <w:bookmarkStart w:id="357" w:name="_Toc24662"/>
            <w:bookmarkStart w:id="358" w:name="_Toc21809"/>
            <w:bookmarkStart w:id="359" w:name="_Toc7333"/>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337"/>
            <w:bookmarkEnd w:id="338"/>
            <w:bookmarkEnd w:id="339"/>
            <w:bookmarkEnd w:id="340"/>
            <w:bookmarkEnd w:id="341"/>
            <w:bookmarkEnd w:id="342"/>
            <w:bookmarkEnd w:id="343"/>
            <w:bookmarkEnd w:id="344"/>
            <w:bookmarkEnd w:id="345"/>
            <w:bookmarkEnd w:id="346"/>
            <w:bookmarkEnd w:id="347"/>
            <w:bookmarkEnd w:id="348"/>
            <w:bookmarkEnd w:id="349"/>
          </w:p>
          <w:bookmarkEnd w:id="350"/>
          <w:bookmarkEnd w:id="351"/>
          <w:bookmarkEnd w:id="352"/>
          <w:bookmarkEnd w:id="353"/>
          <w:bookmarkEnd w:id="354"/>
          <w:bookmarkEnd w:id="355"/>
          <w:bookmarkEnd w:id="356"/>
          <w:bookmarkEnd w:id="357"/>
          <w:bookmarkEnd w:id="358"/>
          <w:bookmarkEnd w:id="359"/>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60" w:name="_Toc10122"/>
            <w:bookmarkStart w:id="361" w:name="_Toc22153"/>
            <w:bookmarkStart w:id="362" w:name="_Toc2408"/>
            <w:r>
              <w:rPr>
                <w:rFonts w:hint="eastAsia" w:ascii="宋体" w:hAnsi="宋体" w:eastAsia="宋体" w:cs="宋体"/>
                <w:b w:val="0"/>
                <w:bCs w:val="0"/>
                <w:color w:val="auto"/>
                <w:kern w:val="0"/>
                <w:sz w:val="21"/>
                <w:szCs w:val="21"/>
              </w:rPr>
              <w:t>投标文件响应内容</w:t>
            </w:r>
            <w:bookmarkEnd w:id="360"/>
            <w:bookmarkEnd w:id="361"/>
            <w:bookmarkEnd w:id="362"/>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63" w:name="_Toc16003"/>
            <w:bookmarkStart w:id="364" w:name="_Toc29838"/>
            <w:bookmarkStart w:id="365" w:name="_Toc27285"/>
            <w:bookmarkStart w:id="366" w:name="_Toc5563"/>
            <w:bookmarkStart w:id="367" w:name="_Toc1912"/>
            <w:bookmarkStart w:id="368" w:name="_Toc17642"/>
            <w:bookmarkStart w:id="369" w:name="_Toc20139"/>
            <w:bookmarkStart w:id="370" w:name="_Toc1330"/>
            <w:bookmarkStart w:id="371" w:name="_Toc3701"/>
            <w:bookmarkStart w:id="372" w:name="_Toc5992"/>
            <w:bookmarkStart w:id="373" w:name="_Toc17296"/>
            <w:bookmarkStart w:id="374" w:name="_Toc20820"/>
            <w:bookmarkStart w:id="375" w:name="_Toc27185"/>
            <w:r>
              <w:rPr>
                <w:rFonts w:hint="eastAsia" w:ascii="宋体" w:hAnsi="宋体" w:eastAsia="宋体" w:cs="宋体"/>
                <w:b w:val="0"/>
                <w:bCs w:val="0"/>
                <w:color w:val="auto"/>
                <w:sz w:val="21"/>
                <w:szCs w:val="21"/>
                <w:lang w:val="en-US" w:eastAsia="zh-CN"/>
              </w:rPr>
              <w:t>说明</w:t>
            </w:r>
            <w:bookmarkEnd w:id="363"/>
            <w:bookmarkEnd w:id="364"/>
            <w:bookmarkEnd w:id="365"/>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76" w:name="_Toc3520"/>
            <w:bookmarkStart w:id="377" w:name="_Toc857"/>
            <w:bookmarkStart w:id="378" w:name="_Toc19105"/>
            <w:r>
              <w:rPr>
                <w:rFonts w:hint="eastAsia" w:ascii="宋体" w:hAnsi="宋体" w:eastAsia="宋体" w:cs="宋体"/>
                <w:b w:val="0"/>
                <w:bCs w:val="0"/>
                <w:color w:val="auto"/>
                <w:sz w:val="21"/>
                <w:szCs w:val="21"/>
              </w:rPr>
              <w:t>页码范围</w:t>
            </w:r>
            <w:bookmarkEnd w:id="366"/>
            <w:bookmarkEnd w:id="367"/>
            <w:bookmarkEnd w:id="368"/>
            <w:bookmarkEnd w:id="369"/>
            <w:bookmarkEnd w:id="370"/>
            <w:bookmarkEnd w:id="371"/>
            <w:bookmarkEnd w:id="372"/>
            <w:bookmarkEnd w:id="373"/>
            <w:bookmarkEnd w:id="374"/>
            <w:bookmarkEnd w:id="375"/>
            <w:bookmarkEnd w:id="376"/>
            <w:bookmarkEnd w:id="377"/>
            <w:bookmarkEnd w:id="37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5"/>
        <w:spacing w:after="0" w:line="360" w:lineRule="auto"/>
        <w:rPr>
          <w:rFonts w:ascii="宋体" w:hAnsi="宋体" w:eastAsia="宋体"/>
          <w:color w:val="auto"/>
          <w:sz w:val="21"/>
          <w:szCs w:val="21"/>
        </w:rPr>
      </w:pPr>
    </w:p>
    <w:p>
      <w:pPr>
        <w:pStyle w:val="35"/>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5"/>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5"/>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5"/>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5"/>
        <w:spacing w:after="0" w:line="360" w:lineRule="auto"/>
        <w:rPr>
          <w:rFonts w:ascii="宋体" w:hAnsi="宋体" w:eastAsia="宋体"/>
          <w:color w:val="auto"/>
          <w:sz w:val="21"/>
          <w:szCs w:val="21"/>
        </w:rPr>
      </w:pPr>
    </w:p>
    <w:p>
      <w:pPr>
        <w:pStyle w:val="35"/>
        <w:numPr>
          <w:ilvl w:val="0"/>
          <w:numId w:val="16"/>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9" w:name="_Toc27139"/>
      <w:bookmarkStart w:id="380" w:name="_Toc19349"/>
      <w:r>
        <w:rPr>
          <w:rFonts w:hint="eastAsia"/>
          <w:color w:val="auto"/>
          <w:lang w:val="en-US" w:eastAsia="zh-CN"/>
        </w:rPr>
        <w:t>三、</w:t>
      </w:r>
      <w:r>
        <w:rPr>
          <w:rFonts w:hint="eastAsia"/>
          <w:color w:val="auto"/>
        </w:rPr>
        <w:t>实质性条款（标记★）投标响应表</w:t>
      </w:r>
      <w:bookmarkEnd w:id="379"/>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81"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80"/>
      <w:bookmarkEnd w:id="381"/>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2" w:name="_Toc26880"/>
      <w:bookmarkStart w:id="383" w:name="_Toc16328"/>
      <w:r>
        <w:rPr>
          <w:rFonts w:hint="eastAsia"/>
          <w:color w:val="auto"/>
          <w:lang w:val="en-US" w:eastAsia="zh-CN"/>
        </w:rPr>
        <w:t>五、项目负责人及团队成员资料表</w:t>
      </w:r>
      <w:bookmarkEnd w:id="382"/>
      <w:bookmarkEnd w:id="383"/>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9"/>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84" w:name="_Toc15431"/>
      <w:bookmarkStart w:id="385" w:name="_Toc26980"/>
      <w:r>
        <w:rPr>
          <w:rFonts w:hint="eastAsia"/>
          <w:color w:val="auto"/>
          <w:lang w:val="en-US" w:eastAsia="zh-CN"/>
        </w:rPr>
        <w:t>六、投标货物明细一览表</w:t>
      </w:r>
      <w:bookmarkEnd w:id="384"/>
      <w:bookmarkEnd w:id="385"/>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6" w:name="_Toc6961"/>
      <w:r>
        <w:rPr>
          <w:rFonts w:hint="eastAsia"/>
          <w:color w:val="auto"/>
          <w:lang w:val="en-US" w:eastAsia="zh-CN"/>
        </w:rPr>
        <w:t>七、政府采购履约担保函</w:t>
      </w:r>
      <w:bookmarkEnd w:id="386"/>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9"/>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7" w:name="_Toc26772"/>
      <w:bookmarkStart w:id="388" w:name="_Toc26782"/>
      <w:r>
        <w:rPr>
          <w:rFonts w:hint="eastAsia"/>
          <w:color w:val="auto"/>
          <w:lang w:val="en-US" w:eastAsia="zh-CN"/>
        </w:rPr>
        <w:t>第四章唱标信封（单独封装）</w:t>
      </w:r>
      <w:bookmarkEnd w:id="387"/>
      <w:bookmarkEnd w:id="388"/>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89"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9"/>
        <w:rPr>
          <w:rFonts w:hint="eastAsia"/>
          <w:color w:val="auto"/>
        </w:rPr>
      </w:pPr>
    </w:p>
    <w:p>
      <w:pPr>
        <w:rPr>
          <w:rFonts w:hint="eastAsia"/>
          <w:color w:val="auto"/>
        </w:rPr>
      </w:pPr>
    </w:p>
    <w:p>
      <w:pPr>
        <w:pStyle w:val="9"/>
        <w:rPr>
          <w:rFonts w:hint="eastAsia"/>
          <w:color w:val="auto"/>
        </w:rPr>
      </w:pPr>
    </w:p>
    <w:p>
      <w:pPr>
        <w:rPr>
          <w:rFonts w:hint="eastAsia"/>
          <w:color w:val="auto"/>
        </w:rPr>
      </w:pPr>
    </w:p>
    <w:p>
      <w:pPr>
        <w:pStyle w:val="9"/>
        <w:rPr>
          <w:rFonts w:hint="eastAsia"/>
          <w:color w:val="auto"/>
        </w:rPr>
      </w:pPr>
    </w:p>
    <w:p>
      <w:pPr>
        <w:rPr>
          <w:rFonts w:hint="eastAsia"/>
          <w:color w:val="auto"/>
        </w:rPr>
      </w:pPr>
    </w:p>
    <w:p>
      <w:pPr>
        <w:pStyle w:val="9"/>
        <w:rPr>
          <w:rFonts w:hint="eastAsia"/>
          <w:color w:val="auto"/>
        </w:rPr>
      </w:pPr>
    </w:p>
    <w:p>
      <w:pPr>
        <w:rPr>
          <w:rFonts w:hint="eastAsia"/>
          <w:color w:val="auto"/>
        </w:rPr>
      </w:pPr>
    </w:p>
    <w:p>
      <w:pPr>
        <w:rPr>
          <w:rFonts w:hint="eastAsia"/>
          <w:color w:val="auto"/>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0" w:name="_Toc22736"/>
      <w:bookmarkStart w:id="391" w:name="_Toc2710"/>
      <w:r>
        <w:rPr>
          <w:rFonts w:hint="eastAsia"/>
          <w:color w:val="auto"/>
          <w:lang w:val="en-US" w:eastAsia="zh-CN"/>
        </w:rPr>
        <w:t>第五章联合体共同投标协议书（如有需要）</w:t>
      </w:r>
      <w:bookmarkEnd w:id="390"/>
      <w:bookmarkEnd w:id="391"/>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作为联合体成员，若中标、成交，联合体各方共同与采购人签订政府采购合同。其中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89"/>
    <w:p>
      <w:pPr>
        <w:pStyle w:val="9"/>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9"/>
        <w:rPr>
          <w:color w:val="auto"/>
        </w:rPr>
      </w:pPr>
    </w:p>
    <w:p>
      <w:pPr>
        <w:spacing w:after="0" w:line="360" w:lineRule="auto"/>
        <w:rPr>
          <w:color w:val="auto"/>
        </w:rPr>
      </w:pPr>
    </w:p>
    <w:p>
      <w:pPr>
        <w:pStyle w:val="9"/>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5"/>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24"/>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vertical-align:baseline;margin-bottom:22px;padding:0px;color:#38">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snapToGrid w:val="0"/>
        <w:rPr>
          <w:rFonts w:hint="eastAsia" w:eastAsia="微软雅黑"/>
          <w:lang w:eastAsia="zh-CN"/>
        </w:rPr>
      </w:pPr>
      <w:r>
        <w:rPr>
          <w:rStyle w:val="31"/>
        </w:rPr>
        <w:footnoteRef/>
      </w:r>
      <w:r>
        <w:t xml:space="preserve"> </w:t>
      </w:r>
      <w:r>
        <w:rPr>
          <w:rFonts w:hint="eastAsia"/>
          <w:lang w:eastAsia="zh-CN"/>
        </w:rPr>
        <w:t>从业人员、营业人员、资产总额填报上一年度数据，无上一年度数据的新成立企业可不填报。</w:t>
      </w:r>
    </w:p>
  </w:footnote>
  <w:footnote w:id="1">
    <w:p>
      <w:pPr>
        <w:pStyle w:val="20"/>
        <w:snapToGrid w:val="0"/>
      </w:pPr>
      <w:r>
        <w:rPr>
          <w:rStyle w:val="31"/>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EFABA730"/>
    <w:multiLevelType w:val="singleLevel"/>
    <w:tmpl w:val="EFABA730"/>
    <w:lvl w:ilvl="0" w:tentative="0">
      <w:start w:val="1"/>
      <w:numFmt w:val="bullet"/>
      <w:lvlText w:val=""/>
      <w:lvlJc w:val="left"/>
      <w:pPr>
        <w:ind w:left="420" w:hanging="420"/>
      </w:pPr>
      <w:rPr>
        <w:rFonts w:hint="default" w:ascii="Wingdings" w:hAnsi="Wingdings"/>
      </w:rPr>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F2B26CE"/>
    <w:multiLevelType w:val="multilevel"/>
    <w:tmpl w:val="0F2B26C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B2D5D57"/>
    <w:multiLevelType w:val="multilevel"/>
    <w:tmpl w:val="3B2D5D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EBB3C91"/>
    <w:multiLevelType w:val="multilevel"/>
    <w:tmpl w:val="3EBB3C91"/>
    <w:lvl w:ilvl="0" w:tentative="0">
      <w:start w:val="1"/>
      <w:numFmt w:val="chineseCountingThousand"/>
      <w:pStyle w:val="60"/>
      <w:suff w:val="space"/>
      <w:lvlText w:val="%1. "/>
      <w:lvlJc w:val="left"/>
      <w:pPr>
        <w:ind w:left="1617" w:hanging="907"/>
      </w:pPr>
      <w:rPr>
        <w:rFonts w:hint="eastAsia"/>
      </w:rPr>
    </w:lvl>
    <w:lvl w:ilvl="1" w:tentative="0">
      <w:start w:val="1"/>
      <w:numFmt w:val="decimal"/>
      <w:pStyle w:val="61"/>
      <w:isLgl/>
      <w:suff w:val="space"/>
      <w:lvlText w:val="%1.%2 "/>
      <w:lvlJc w:val="left"/>
      <w:pPr>
        <w:ind w:left="794" w:hanging="794"/>
      </w:pPr>
      <w:rPr>
        <w:b/>
        <w:bCs w:val="0"/>
        <w:i w:val="0"/>
        <w:iCs w:val="0"/>
        <w:caps w:val="0"/>
        <w:smallCaps w:val="0"/>
        <w:strike w:val="0"/>
        <w:dstrike w:val="0"/>
        <w:vanish w:val="0"/>
        <w:spacing w:val="0"/>
        <w:position w:val="0"/>
        <w:u w:val="none"/>
        <w:vertAlign w:val="baseline"/>
      </w:rPr>
    </w:lvl>
    <w:lvl w:ilvl="2" w:tentative="0">
      <w:start w:val="1"/>
      <w:numFmt w:val="decimal"/>
      <w:pStyle w:val="62"/>
      <w:isLgl/>
      <w:suff w:val="space"/>
      <w:lvlText w:val="%1.%2.%3 "/>
      <w:lvlJc w:val="left"/>
      <w:pPr>
        <w:ind w:left="907" w:hanging="907"/>
      </w:pPr>
      <w:rPr>
        <w:rFonts w:hint="eastAsia"/>
      </w:rPr>
    </w:lvl>
    <w:lvl w:ilvl="3" w:tentative="0">
      <w:start w:val="1"/>
      <w:numFmt w:val="decimal"/>
      <w:isLgl/>
      <w:suff w:val="space"/>
      <w:lvlText w:val="%1.%2.%3.%4 "/>
      <w:lvlJc w:val="left"/>
      <w:pPr>
        <w:ind w:left="1021" w:hanging="1021"/>
      </w:pPr>
      <w:rPr>
        <w:b w:val="0"/>
        <w:bCs w:val="0"/>
        <w:i w:val="0"/>
        <w:iCs w:val="0"/>
        <w:caps w:val="0"/>
        <w:smallCaps w:val="0"/>
        <w:strike w:val="0"/>
        <w:dstrike w:val="0"/>
        <w:vanish w:val="0"/>
        <w:spacing w:val="0"/>
        <w:position w:val="0"/>
        <w:u w:val="none"/>
        <w:vertAlign w:val="baseline"/>
      </w:rPr>
    </w:lvl>
    <w:lvl w:ilvl="4" w:tentative="0">
      <w:start w:val="1"/>
      <w:numFmt w:val="decimal"/>
      <w:isLgl/>
      <w:suff w:val="space"/>
      <w:lvlText w:val="%1.%2.%3.%4.%5 "/>
      <w:lvlJc w:val="left"/>
      <w:pPr>
        <w:ind w:left="1134" w:hanging="1134"/>
      </w:pPr>
      <w:rPr>
        <w:rFonts w:hint="eastAsia"/>
      </w:rPr>
    </w:lvl>
    <w:lvl w:ilvl="5" w:tentative="0">
      <w:start w:val="1"/>
      <w:numFmt w:val="decimal"/>
      <w:isLgl/>
      <w:suff w:val="space"/>
      <w:lvlText w:val="%1.%2.%3.%4.%5.%6 "/>
      <w:lvlJc w:val="left"/>
      <w:pPr>
        <w:ind w:left="1247" w:hanging="1247"/>
      </w:pPr>
      <w:rPr>
        <w:rFonts w:hint="eastAsia"/>
      </w:rPr>
    </w:lvl>
    <w:lvl w:ilvl="6" w:tentative="0">
      <w:start w:val="1"/>
      <w:numFmt w:val="decimal"/>
      <w:lvlRestart w:val="1"/>
      <w:isLgl/>
      <w:suff w:val="space"/>
      <w:lvlText w:val="图 %1.%7 "/>
      <w:lvlJc w:val="left"/>
      <w:pPr>
        <w:ind w:left="0" w:firstLine="0"/>
      </w:pPr>
      <w:rPr>
        <w:rFonts w:hint="eastAsia"/>
      </w:rPr>
    </w:lvl>
    <w:lvl w:ilvl="7" w:tentative="0">
      <w:start w:val="1"/>
      <w:numFmt w:val="decimal"/>
      <w:lvlRestart w:val="1"/>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4">
    <w:nsid w:val="3F88662E"/>
    <w:multiLevelType w:val="singleLevel"/>
    <w:tmpl w:val="3F88662E"/>
    <w:lvl w:ilvl="0" w:tentative="0">
      <w:start w:val="1"/>
      <w:numFmt w:val="decimal"/>
      <w:suff w:val="space"/>
      <w:lvlText w:val="%1)"/>
      <w:lvlJc w:val="left"/>
    </w:lvl>
  </w:abstractNum>
  <w:abstractNum w:abstractNumId="15">
    <w:nsid w:val="615D774A"/>
    <w:multiLevelType w:val="multilevel"/>
    <w:tmpl w:val="615D774A"/>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pStyle w:val="63"/>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6">
    <w:nsid w:val="6E5CE7BD"/>
    <w:multiLevelType w:val="singleLevel"/>
    <w:tmpl w:val="6E5CE7BD"/>
    <w:lvl w:ilvl="0" w:tentative="0">
      <w:start w:val="1"/>
      <w:numFmt w:val="chineseCounting"/>
      <w:suff w:val="nothing"/>
      <w:lvlText w:val="%1、"/>
      <w:lvlJc w:val="left"/>
      <w:rPr>
        <w:rFonts w:hint="eastAsia"/>
      </w:rPr>
    </w:lvl>
  </w:abstractNum>
  <w:num w:numId="1">
    <w:abstractNumId w:val="13"/>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num>
  <w:num w:numId="5">
    <w:abstractNumId w:val="8"/>
  </w:num>
  <w:num w:numId="6">
    <w:abstractNumId w:val="14"/>
  </w:num>
  <w:num w:numId="7">
    <w:abstractNumId w:val="9"/>
  </w:num>
  <w:num w:numId="8">
    <w:abstractNumId w:val="3"/>
  </w:num>
  <w:num w:numId="9">
    <w:abstractNumId w:val="5"/>
  </w:num>
  <w:num w:numId="10">
    <w:abstractNumId w:val="1"/>
  </w:num>
  <w:num w:numId="11">
    <w:abstractNumId w:val="4"/>
  </w:num>
  <w:num w:numId="12">
    <w:abstractNumId w:val="12"/>
  </w:num>
  <w:num w:numId="13">
    <w:abstractNumId w:val="7"/>
  </w:num>
  <w:num w:numId="14">
    <w:abstractNumId w:val="2"/>
  </w:num>
  <w:num w:numId="15">
    <w:abstractNumId w:val="6"/>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0649AE"/>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9061A75"/>
    <w:rsid w:val="09090F9C"/>
    <w:rsid w:val="09182241"/>
    <w:rsid w:val="09242E62"/>
    <w:rsid w:val="093C069F"/>
    <w:rsid w:val="09417888"/>
    <w:rsid w:val="09855177"/>
    <w:rsid w:val="09870F93"/>
    <w:rsid w:val="09D658E4"/>
    <w:rsid w:val="09F1637C"/>
    <w:rsid w:val="0A25628F"/>
    <w:rsid w:val="0A75007D"/>
    <w:rsid w:val="0AA534D5"/>
    <w:rsid w:val="0AA650EB"/>
    <w:rsid w:val="0AB8066A"/>
    <w:rsid w:val="0AF47339"/>
    <w:rsid w:val="0B22594B"/>
    <w:rsid w:val="0B797387"/>
    <w:rsid w:val="0B8B2381"/>
    <w:rsid w:val="0BC044BE"/>
    <w:rsid w:val="0BDF26F7"/>
    <w:rsid w:val="0C264099"/>
    <w:rsid w:val="0C2B4952"/>
    <w:rsid w:val="0C7B2220"/>
    <w:rsid w:val="0D742C8E"/>
    <w:rsid w:val="0D890E47"/>
    <w:rsid w:val="0DC64A00"/>
    <w:rsid w:val="0DEC53BF"/>
    <w:rsid w:val="0DFC60BA"/>
    <w:rsid w:val="0E4249F1"/>
    <w:rsid w:val="0F6C5A53"/>
    <w:rsid w:val="0F7C5FF6"/>
    <w:rsid w:val="0FC63FBD"/>
    <w:rsid w:val="106C564D"/>
    <w:rsid w:val="107B7B8F"/>
    <w:rsid w:val="107C67CE"/>
    <w:rsid w:val="1080523F"/>
    <w:rsid w:val="108F06C9"/>
    <w:rsid w:val="109D68CB"/>
    <w:rsid w:val="10A949B8"/>
    <w:rsid w:val="10AC03D3"/>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9E36AD"/>
    <w:rsid w:val="14CC769D"/>
    <w:rsid w:val="15353C26"/>
    <w:rsid w:val="157D38E3"/>
    <w:rsid w:val="15D359D7"/>
    <w:rsid w:val="15D81E0F"/>
    <w:rsid w:val="15E80215"/>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9B25295"/>
    <w:rsid w:val="1A460CF5"/>
    <w:rsid w:val="1A7F297D"/>
    <w:rsid w:val="1AB16AC1"/>
    <w:rsid w:val="1B034A52"/>
    <w:rsid w:val="1B1F34AD"/>
    <w:rsid w:val="1B8D5DC6"/>
    <w:rsid w:val="1BFE1D3B"/>
    <w:rsid w:val="1C2775EC"/>
    <w:rsid w:val="1C750ECE"/>
    <w:rsid w:val="1CA22168"/>
    <w:rsid w:val="1D0836D7"/>
    <w:rsid w:val="1D196139"/>
    <w:rsid w:val="1D737012"/>
    <w:rsid w:val="1D7F4FBE"/>
    <w:rsid w:val="1DB85900"/>
    <w:rsid w:val="1DF051AF"/>
    <w:rsid w:val="1E010AF7"/>
    <w:rsid w:val="1E0178EB"/>
    <w:rsid w:val="1E1A15EF"/>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BD74AB"/>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3C58E9"/>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861EB"/>
    <w:rsid w:val="33DC2F78"/>
    <w:rsid w:val="3428227C"/>
    <w:rsid w:val="35260F83"/>
    <w:rsid w:val="35602226"/>
    <w:rsid w:val="356B72E7"/>
    <w:rsid w:val="3572424F"/>
    <w:rsid w:val="35FC3844"/>
    <w:rsid w:val="366061FD"/>
    <w:rsid w:val="36794DEF"/>
    <w:rsid w:val="36AD519D"/>
    <w:rsid w:val="36B57705"/>
    <w:rsid w:val="374F1A0B"/>
    <w:rsid w:val="377A726E"/>
    <w:rsid w:val="37A103ED"/>
    <w:rsid w:val="37EA5E6E"/>
    <w:rsid w:val="37FF016F"/>
    <w:rsid w:val="38427C0B"/>
    <w:rsid w:val="387C5ABE"/>
    <w:rsid w:val="389B3A1E"/>
    <w:rsid w:val="38EB6119"/>
    <w:rsid w:val="39862F5B"/>
    <w:rsid w:val="39DE33DA"/>
    <w:rsid w:val="39F861C4"/>
    <w:rsid w:val="39FA5B4A"/>
    <w:rsid w:val="39FE0BE9"/>
    <w:rsid w:val="3A180491"/>
    <w:rsid w:val="3A3C1AAF"/>
    <w:rsid w:val="3A424C25"/>
    <w:rsid w:val="3A4B7CC1"/>
    <w:rsid w:val="3A51228C"/>
    <w:rsid w:val="3A552E60"/>
    <w:rsid w:val="3A5D642F"/>
    <w:rsid w:val="3AB210FC"/>
    <w:rsid w:val="3ACE216B"/>
    <w:rsid w:val="3AD95C13"/>
    <w:rsid w:val="3AED35F2"/>
    <w:rsid w:val="3B261E51"/>
    <w:rsid w:val="3B4D2957"/>
    <w:rsid w:val="3B973F88"/>
    <w:rsid w:val="3BCD72F7"/>
    <w:rsid w:val="3C414142"/>
    <w:rsid w:val="3CDE22F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0B3293"/>
    <w:rsid w:val="45340ADB"/>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560086"/>
    <w:rsid w:val="4B7501F5"/>
    <w:rsid w:val="4B8C2DEB"/>
    <w:rsid w:val="4BFA3C9F"/>
    <w:rsid w:val="4C0E3379"/>
    <w:rsid w:val="4C107F48"/>
    <w:rsid w:val="4C3277BC"/>
    <w:rsid w:val="4C686851"/>
    <w:rsid w:val="4C837643"/>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12B1DC3"/>
    <w:rsid w:val="51475B39"/>
    <w:rsid w:val="514C3EA7"/>
    <w:rsid w:val="519849E5"/>
    <w:rsid w:val="51B36892"/>
    <w:rsid w:val="52506DA7"/>
    <w:rsid w:val="52D64BEF"/>
    <w:rsid w:val="53161145"/>
    <w:rsid w:val="5329710E"/>
    <w:rsid w:val="533B2B84"/>
    <w:rsid w:val="537A7243"/>
    <w:rsid w:val="53870D8B"/>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FB1096"/>
    <w:rsid w:val="57FC2169"/>
    <w:rsid w:val="58096275"/>
    <w:rsid w:val="580E4560"/>
    <w:rsid w:val="581C04F1"/>
    <w:rsid w:val="582E6EF7"/>
    <w:rsid w:val="58434392"/>
    <w:rsid w:val="584E30E6"/>
    <w:rsid w:val="59014D02"/>
    <w:rsid w:val="597B384D"/>
    <w:rsid w:val="59996DA8"/>
    <w:rsid w:val="59AC3CE9"/>
    <w:rsid w:val="59C30F1B"/>
    <w:rsid w:val="5A024EDF"/>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64294"/>
    <w:rsid w:val="5D9F3D30"/>
    <w:rsid w:val="5E2810D5"/>
    <w:rsid w:val="5E2B7D62"/>
    <w:rsid w:val="5E71411E"/>
    <w:rsid w:val="5EA06921"/>
    <w:rsid w:val="5ED5006A"/>
    <w:rsid w:val="5F576E4B"/>
    <w:rsid w:val="5F5D4EDE"/>
    <w:rsid w:val="5F7A2C30"/>
    <w:rsid w:val="5FBE370A"/>
    <w:rsid w:val="60292845"/>
    <w:rsid w:val="609175B3"/>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345A7"/>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4556B4"/>
    <w:rsid w:val="714B27BE"/>
    <w:rsid w:val="715B60E9"/>
    <w:rsid w:val="71E96309"/>
    <w:rsid w:val="71EA1FED"/>
    <w:rsid w:val="72284A0C"/>
    <w:rsid w:val="72C16204"/>
    <w:rsid w:val="730313F6"/>
    <w:rsid w:val="730840A6"/>
    <w:rsid w:val="731E1007"/>
    <w:rsid w:val="73370D24"/>
    <w:rsid w:val="7359268C"/>
    <w:rsid w:val="73652CDA"/>
    <w:rsid w:val="739503EB"/>
    <w:rsid w:val="73A05B28"/>
    <w:rsid w:val="73C07D69"/>
    <w:rsid w:val="74371466"/>
    <w:rsid w:val="749E2255"/>
    <w:rsid w:val="74B42AE4"/>
    <w:rsid w:val="74D430B7"/>
    <w:rsid w:val="750A429D"/>
    <w:rsid w:val="75167F59"/>
    <w:rsid w:val="754D77D2"/>
    <w:rsid w:val="755D38A7"/>
    <w:rsid w:val="755F5A0F"/>
    <w:rsid w:val="75614792"/>
    <w:rsid w:val="75784473"/>
    <w:rsid w:val="757E044C"/>
    <w:rsid w:val="75977BC3"/>
    <w:rsid w:val="75B161B3"/>
    <w:rsid w:val="75E470E3"/>
    <w:rsid w:val="76360A38"/>
    <w:rsid w:val="76736B32"/>
    <w:rsid w:val="767C1553"/>
    <w:rsid w:val="76E3765E"/>
    <w:rsid w:val="76EB5631"/>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76742D"/>
    <w:rsid w:val="7C8E3CCF"/>
    <w:rsid w:val="7CA54112"/>
    <w:rsid w:val="7CE50CE4"/>
    <w:rsid w:val="7CF35052"/>
    <w:rsid w:val="7D2177E3"/>
    <w:rsid w:val="7D2E5ABF"/>
    <w:rsid w:val="7D984205"/>
    <w:rsid w:val="7E2142A2"/>
    <w:rsid w:val="7E4F5384"/>
    <w:rsid w:val="7E5A6DFA"/>
    <w:rsid w:val="7E7B0BF2"/>
    <w:rsid w:val="7E7C7A78"/>
    <w:rsid w:val="7E8D75B6"/>
    <w:rsid w:val="7EB2417D"/>
    <w:rsid w:val="7EF760EE"/>
    <w:rsid w:val="7F2A21E7"/>
    <w:rsid w:val="7FFD21DE"/>
    <w:rsid w:val="7FFF8D3A"/>
    <w:rsid w:val="9F6B0A02"/>
    <w:rsid w:val="BFFFECA2"/>
    <w:rsid w:val="FAFFF935"/>
    <w:rsid w:val="FFBFBE9B"/>
    <w:rsid w:val="FFFC97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6"/>
    <w:unhideWhenUsed/>
    <w:qFormat/>
    <w:uiPriority w:val="9"/>
    <w:pPr>
      <w:keepNext/>
      <w:keepLines/>
      <w:spacing w:line="360" w:lineRule="auto"/>
      <w:outlineLvl w:val="3"/>
    </w:pPr>
    <w:rPr>
      <w:rFonts w:eastAsia="宋体" w:asciiTheme="majorAscii" w:hAnsiTheme="majorAscii" w:cstheme="majorBidi"/>
      <w:b/>
      <w:bCs/>
      <w:sz w:val="24"/>
      <w:szCs w:val="28"/>
    </w:rPr>
  </w:style>
  <w:style w:type="paragraph" w:styleId="6">
    <w:name w:val="heading 5"/>
    <w:basedOn w:val="1"/>
    <w:next w:val="1"/>
    <w:unhideWhenUsed/>
    <w:qFormat/>
    <w:uiPriority w:val="9"/>
    <w:pPr>
      <w:keepNext/>
      <w:keepLines/>
      <w:spacing w:line="360" w:lineRule="auto"/>
      <w:outlineLvl w:val="4"/>
    </w:pPr>
    <w:rPr>
      <w:rFonts w:eastAsia="宋体"/>
      <w:b/>
      <w:bCs/>
      <w:sz w:val="21"/>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0"/>
    <w:pPr>
      <w:widowControl w:val="0"/>
      <w:spacing w:line="240" w:lineRule="auto"/>
      <w:ind w:firstLine="420" w:firstLineChars="200"/>
    </w:pPr>
    <w:rPr>
      <w:kern w:val="2"/>
      <w:szCs w:val="22"/>
    </w:rPr>
  </w:style>
  <w:style w:type="paragraph" w:styleId="8">
    <w:name w:val="annotation text"/>
    <w:basedOn w:val="1"/>
    <w:semiHidden/>
    <w:unhideWhenUsed/>
    <w:qFormat/>
    <w:uiPriority w:val="99"/>
  </w:style>
  <w:style w:type="paragraph" w:styleId="9">
    <w:name w:val="Body Text"/>
    <w:basedOn w:val="1"/>
    <w:next w:val="1"/>
    <w:qFormat/>
    <w:uiPriority w:val="1"/>
    <w:pPr>
      <w:spacing w:before="161"/>
      <w:ind w:left="120"/>
    </w:pPr>
    <w:rPr>
      <w:rFonts w:ascii="宋体" w:hAnsi="宋体" w:eastAsia="宋体" w:cs="宋体"/>
      <w:sz w:val="24"/>
      <w:lang w:val="zh-CN" w:bidi="zh-CN"/>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7"/>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0"/>
    <w:semiHidden/>
    <w:unhideWhenUsed/>
    <w:qFormat/>
    <w:uiPriority w:val="99"/>
    <w:pPr>
      <w:spacing w:after="0"/>
    </w:pPr>
    <w:rPr>
      <w:sz w:val="18"/>
      <w:szCs w:val="18"/>
    </w:rPr>
  </w:style>
  <w:style w:type="paragraph" w:styleId="14">
    <w:name w:val="footer"/>
    <w:basedOn w:val="1"/>
    <w:link w:val="49"/>
    <w:unhideWhenUsed/>
    <w:qFormat/>
    <w:uiPriority w:val="99"/>
    <w:pPr>
      <w:tabs>
        <w:tab w:val="center" w:pos="4153"/>
        <w:tab w:val="right" w:pos="8306"/>
      </w:tabs>
    </w:pPr>
    <w:rPr>
      <w:sz w:val="18"/>
      <w:szCs w:val="18"/>
    </w:rPr>
  </w:style>
  <w:style w:type="paragraph" w:styleId="15">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6"/>
    <w:basedOn w:val="1"/>
    <w:next w:val="1"/>
    <w:qFormat/>
    <w:uiPriority w:val="0"/>
    <w:pPr>
      <w:ind w:left="1200"/>
    </w:pPr>
    <w:rPr>
      <w:rFonts w:ascii="Calibri" w:cs="Calibri"/>
      <w:sz w:val="18"/>
      <w:szCs w:val="18"/>
    </w:rPr>
  </w:style>
  <w:style w:type="paragraph" w:styleId="22">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3">
    <w:name w:val="Normal (Web)"/>
    <w:basedOn w:val="1"/>
    <w:link w:val="52"/>
    <w:qFormat/>
    <w:uiPriority w:val="0"/>
    <w:pPr>
      <w:widowControl w:val="0"/>
      <w:adjustRightInd/>
      <w:snapToGrid/>
      <w:spacing w:after="0"/>
      <w:jc w:val="both"/>
    </w:pPr>
    <w:rPr>
      <w:rFonts w:eastAsia="宋体" w:asciiTheme="minorHAnsi" w:hAnsiTheme="minorHAnsi"/>
      <w:kern w:val="2"/>
      <w:sz w:val="24"/>
      <w:szCs w:val="24"/>
    </w:rPr>
  </w:style>
  <w:style w:type="paragraph" w:styleId="24">
    <w:name w:val="Body Text First Indent"/>
    <w:basedOn w:val="9"/>
    <w:unhideWhenUsed/>
    <w:qFormat/>
    <w:uiPriority w:val="99"/>
    <w:pPr>
      <w:ind w:firstLine="420" w:firstLineChars="100"/>
    </w:pPr>
    <w:rPr>
      <w:rFonts w:ascii="Times New Roman" w:hAnsi="Times New Roman" w:cs="Times New Roman"/>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utoSpaceDE/>
      <w:autoSpaceDN/>
      <w:adjustRightInd/>
      <w:spacing w:before="25" w:after="25"/>
    </w:pPr>
    <w:rPr>
      <w:rFonts w:ascii="Times New Roman"/>
      <w:bCs/>
      <w:spacing w:val="10"/>
      <w:szCs w:val="20"/>
    </w:rPr>
  </w:style>
  <w:style w:type="character" w:customStyle="1" w:styleId="33">
    <w:name w:val="标题 2 Char"/>
    <w:basedOn w:val="27"/>
    <w:link w:val="2"/>
    <w:qFormat/>
    <w:uiPriority w:val="9"/>
    <w:rPr>
      <w:rFonts w:asciiTheme="majorHAnsi" w:hAnsiTheme="majorHAnsi" w:eastAsiaTheme="majorEastAsia" w:cstheme="majorBidi"/>
      <w:b/>
      <w:bCs/>
      <w:sz w:val="32"/>
      <w:szCs w:val="32"/>
    </w:rPr>
  </w:style>
  <w:style w:type="character" w:customStyle="1" w:styleId="34">
    <w:name w:val="标题 3 Char"/>
    <w:basedOn w:val="27"/>
    <w:link w:val="4"/>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5"/>
    <w:qFormat/>
    <w:uiPriority w:val="9"/>
    <w:rPr>
      <w:rFonts w:eastAsia="宋体" w:asciiTheme="majorAscii" w:hAnsiTheme="majorAsci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link w:val="37"/>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4"/>
    <w:link w:val="43"/>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7"/>
    <w:link w:val="11"/>
    <w:semiHidden/>
    <w:qFormat/>
    <w:uiPriority w:val="99"/>
    <w:rPr>
      <w:rFonts w:ascii="宋体" w:hAnsi="Courier New" w:eastAsia="宋体" w:cs="Courier New"/>
      <w:sz w:val="21"/>
      <w:szCs w:val="21"/>
    </w:rPr>
  </w:style>
  <w:style w:type="character" w:customStyle="1" w:styleId="48">
    <w:name w:val="页眉 Char"/>
    <w:basedOn w:val="27"/>
    <w:link w:val="15"/>
    <w:qFormat/>
    <w:uiPriority w:val="99"/>
    <w:rPr>
      <w:rFonts w:ascii="Tahoma" w:hAnsi="Tahoma"/>
      <w:sz w:val="18"/>
      <w:szCs w:val="18"/>
    </w:rPr>
  </w:style>
  <w:style w:type="character" w:customStyle="1" w:styleId="49">
    <w:name w:val="页脚 Char"/>
    <w:basedOn w:val="27"/>
    <w:link w:val="14"/>
    <w:qFormat/>
    <w:uiPriority w:val="99"/>
    <w:rPr>
      <w:rFonts w:ascii="Tahoma" w:hAnsi="Tahoma"/>
      <w:sz w:val="18"/>
      <w:szCs w:val="18"/>
    </w:rPr>
  </w:style>
  <w:style w:type="character" w:customStyle="1" w:styleId="50">
    <w:name w:val="批注框文本 Char"/>
    <w:basedOn w:val="27"/>
    <w:link w:val="13"/>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2">
    <w:name w:val="普通(网站) Char"/>
    <w:link w:val="23"/>
    <w:qFormat/>
    <w:uiPriority w:val="0"/>
    <w:rPr>
      <w:rFonts w:eastAsia="宋体"/>
      <w:kern w:val="2"/>
      <w:sz w:val="24"/>
      <w:szCs w:val="24"/>
    </w:rPr>
  </w:style>
  <w:style w:type="paragraph" w:customStyle="1" w:styleId="53">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6">
    <w:name w:val="正文无缩进"/>
    <w:basedOn w:val="38"/>
    <w:qFormat/>
    <w:uiPriority w:val="0"/>
    <w:pPr>
      <w:ind w:firstLine="0" w:firstLineChars="0"/>
    </w:pPr>
  </w:style>
  <w:style w:type="paragraph" w:customStyle="1" w:styleId="57">
    <w:name w:val="一级条标题"/>
    <w:basedOn w:val="58"/>
    <w:next w:val="59"/>
    <w:qFormat/>
    <w:uiPriority w:val="0"/>
    <w:pPr>
      <w:tabs>
        <w:tab w:val="left" w:pos="720"/>
      </w:tabs>
      <w:spacing w:beforeLines="0" w:afterLines="0"/>
      <w:outlineLvl w:val="2"/>
    </w:pPr>
  </w:style>
  <w:style w:type="paragraph" w:customStyle="1" w:styleId="58">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标题 1（360）"/>
    <w:basedOn w:val="3"/>
    <w:next w:val="1"/>
    <w:qFormat/>
    <w:uiPriority w:val="0"/>
    <w:pPr>
      <w:widowControl w:val="0"/>
      <w:numPr>
        <w:ilvl w:val="0"/>
        <w:numId w:val="1"/>
      </w:numPr>
      <w:spacing w:before="600" w:line="360" w:lineRule="auto"/>
    </w:pPr>
    <w:rPr>
      <w:rFonts w:eastAsia="黑体"/>
    </w:rPr>
  </w:style>
  <w:style w:type="paragraph" w:customStyle="1" w:styleId="61">
    <w:name w:val="标题 2（360）"/>
    <w:basedOn w:val="2"/>
    <w:next w:val="1"/>
    <w:qFormat/>
    <w:uiPriority w:val="0"/>
    <w:pPr>
      <w:widowControl w:val="0"/>
      <w:numPr>
        <w:ilvl w:val="1"/>
        <w:numId w:val="1"/>
      </w:numPr>
      <w:spacing w:before="240" w:after="240" w:line="360" w:lineRule="auto"/>
    </w:pPr>
    <w:rPr>
      <w:rFonts w:ascii="Arial" w:hAnsi="Arial" w:eastAsia="黑体" w:cs="Times New Roman"/>
      <w:bCs w:val="0"/>
      <w:kern w:val="2"/>
    </w:rPr>
  </w:style>
  <w:style w:type="paragraph" w:customStyle="1" w:styleId="62">
    <w:name w:val="标题 3（360）"/>
    <w:basedOn w:val="4"/>
    <w:next w:val="1"/>
    <w:qFormat/>
    <w:uiPriority w:val="0"/>
    <w:pPr>
      <w:widowControl w:val="0"/>
      <w:numPr>
        <w:ilvl w:val="2"/>
        <w:numId w:val="1"/>
      </w:numPr>
      <w:tabs>
        <w:tab w:val="left" w:pos="960"/>
      </w:tabs>
      <w:spacing w:before="240" w:after="240" w:line="360" w:lineRule="auto"/>
    </w:pPr>
    <w:rPr>
      <w:rFonts w:eastAsia="黑体"/>
      <w:bCs w:val="0"/>
      <w:sz w:val="30"/>
      <w:szCs w:val="30"/>
    </w:rPr>
  </w:style>
  <w:style w:type="paragraph" w:customStyle="1" w:styleId="63">
    <w:name w:val="标题5--360安服解决方案部"/>
    <w:basedOn w:val="6"/>
    <w:next w:val="1"/>
    <w:qFormat/>
    <w:uiPriority w:val="0"/>
    <w:pPr>
      <w:widowControl w:val="0"/>
      <w:numPr>
        <w:ilvl w:val="4"/>
        <w:numId w:val="2"/>
      </w:numPr>
      <w:tabs>
        <w:tab w:val="left" w:pos="780"/>
        <w:tab w:val="left" w:pos="2100"/>
      </w:tabs>
      <w:spacing w:before="0" w:beforeLines="50" w:after="0" w:afterLines="50" w:line="360" w:lineRule="auto"/>
      <w:contextualSpacing/>
    </w:pPr>
    <w:rPr>
      <w:rFonts w:ascii="Calibri" w:hAnsi="Calibri"/>
      <w:kern w:val="2"/>
    </w:rPr>
  </w:style>
  <w:style w:type="paragraph" w:customStyle="1" w:styleId="64">
    <w:name w:val="*正文"/>
    <w:basedOn w:val="1"/>
    <w:qFormat/>
    <w:uiPriority w:val="0"/>
    <w:pPr>
      <w:widowControl/>
      <w:adjustRightInd w:val="0"/>
      <w:snapToGrid w:val="0"/>
      <w:spacing w:after="200" w:line="360" w:lineRule="auto"/>
      <w:ind w:firstLine="200"/>
      <w:jc w:val="left"/>
    </w:pPr>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34501</Words>
  <Characters>36202</Characters>
  <Lines>264</Lines>
  <Paragraphs>74</Paragraphs>
  <TotalTime>0</TotalTime>
  <ScaleCrop>false</ScaleCrop>
  <LinksUpToDate>false</LinksUpToDate>
  <CharactersWithSpaces>38466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2019-07-10T05:55:00Z</dcterms:created>
  <dc:creator>MyPC</dc:creator>
  <cp:keywords>文件格式版本</cp:keywords>
  <cp:lastModifiedBy>admin</cp:lastModifiedBy>
  <cp:lastPrinted>2021-04-25T01:50:00Z</cp:lastPrinted>
  <dcterms:modified xsi:type="dcterms:W3CDTF">2022-05-09T08:22:15Z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FB1A0109570649B5909ADBA8ACD10389</vt:lpwstr>
  </property>
  <property fmtid="{D5CDD505-2E9C-101B-9397-08002B2CF9AE}" pid="4" name="commondata">
    <vt:lpwstr>eyJoZGlkIjoiNTIxNzUwYWQwNDRjMThmYzVmNmE3Mzg5MzZiY2U0YmIifQ==</vt:lpwstr>
  </property>
</Properties>
</file>