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lang w:val="en-US" w:eastAsia="zh-CN"/>
        </w:rPr>
      </w:pPr>
    </w:p>
    <w:p>
      <w:pPr>
        <w:jc w:val="center"/>
        <w:rPr>
          <w:b/>
          <w:color w:val="auto"/>
          <w:sz w:val="72"/>
          <w:szCs w:val="32"/>
        </w:rPr>
      </w:pPr>
      <w:r>
        <w:rPr>
          <w:rFonts w:hint="eastAsia" w:ascii="黑体" w:eastAsia="黑体"/>
          <w:b/>
          <w:color w:val="auto"/>
          <w:sz w:val="72"/>
          <w:szCs w:val="32"/>
          <w:lang w:val="en-US" w:eastAsia="zh-CN"/>
        </w:rPr>
        <w:t>公开招标</w:t>
      </w:r>
      <w:r>
        <w:rPr>
          <w:rFonts w:hint="eastAsia" w:ascii="黑体" w:eastAsia="黑体"/>
          <w:b/>
          <w:color w:val="auto"/>
          <w:sz w:val="72"/>
          <w:szCs w:val="32"/>
        </w:rPr>
        <w:t>文件</w:t>
      </w:r>
    </w:p>
    <w:p>
      <w:pPr>
        <w:pStyle w:val="7"/>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rPr>
          <w:rFonts w:hint="eastAsia" w:ascii="黑体" w:eastAsia="黑体"/>
          <w:color w:val="auto"/>
          <w:szCs w:val="21"/>
          <w:lang w:eastAsia="zh-CN"/>
        </w:rPr>
      </w:pPr>
    </w:p>
    <w:p>
      <w:pPr>
        <w:pStyle w:val="8"/>
        <w:ind w:left="0" w:leftChars="0" w:firstLine="0" w:firstLineChars="0"/>
        <w:rPr>
          <w:rFonts w:hint="eastAsia" w:ascii="黑体" w:eastAsia="黑体"/>
          <w:color w:val="auto"/>
          <w:szCs w:val="21"/>
          <w:lang w:eastAsia="zh-CN"/>
        </w:rPr>
      </w:pPr>
    </w:p>
    <w:p>
      <w:pPr>
        <w:pStyle w:val="8"/>
        <w:ind w:left="0" w:leftChars="0" w:firstLine="0" w:firstLineChars="0"/>
        <w:rPr>
          <w:rFonts w:hint="eastAsia" w:ascii="黑体" w:eastAsia="黑体"/>
          <w:color w:val="auto"/>
          <w:szCs w:val="21"/>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lang w:val="en-US" w:eastAsia="zh-CN"/>
              </w:rPr>
              <w:t>项目编号</w:t>
            </w:r>
            <w:r>
              <w:rPr>
                <w:rFonts w:hint="eastAsia" w:ascii="黑体" w:hAnsi="黑体" w:eastAsia="黑体" w:cs="黑体"/>
                <w:bCs/>
                <w:color w:val="auto"/>
                <w:sz w:val="32"/>
                <w:szCs w:val="24"/>
              </w:rPr>
              <w:t>：</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GDZT2022120C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东莞新锋光伏能源科技有限公司工程造价咨询服务资格采购项目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rPr>
            </w:pPr>
            <w:r>
              <w:rPr>
                <w:rFonts w:hint="eastAsia" w:ascii="黑体" w:hAnsi="黑体" w:eastAsia="黑体" w:cs="黑体"/>
                <w:bCs/>
                <w:color w:val="auto"/>
                <w:sz w:val="32"/>
                <w:szCs w:val="24"/>
              </w:rPr>
              <w:t>采购人</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lang w:val="en-US" w:eastAsia="zh-CN"/>
              </w:rPr>
              <w:t>盖章</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rPr>
              <w:t>：</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东莞新锋光伏能源科技有限公司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广东政通招标有限公司</w:t>
            </w:r>
          </w:p>
        </w:tc>
      </w:tr>
    </w:tbl>
    <w:p>
      <w:pPr>
        <w:jc w:val="both"/>
        <w:rPr>
          <w:rFonts w:ascii="黑体" w:eastAsia="黑体"/>
          <w:color w:val="auto"/>
          <w:szCs w:val="21"/>
        </w:rPr>
      </w:pPr>
    </w:p>
    <w:p>
      <w:pPr>
        <w:pStyle w:val="21"/>
        <w:rPr>
          <w:color w:val="auto"/>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rPr>
        <w:t>（本提示内容非招标文件的组成部分，仅</w:t>
      </w:r>
      <w:r>
        <w:rPr>
          <w:rFonts w:hint="eastAsia" w:ascii="宋体" w:hAnsi="宋体" w:eastAsia="宋体" w:cs="宋体"/>
          <w:b/>
          <w:bCs w:val="0"/>
          <w:color w:val="auto"/>
          <w:sz w:val="21"/>
          <w:szCs w:val="21"/>
          <w:u w:val="none"/>
          <w:lang w:val="en-US" w:eastAsia="zh-CN"/>
        </w:rPr>
        <w:t>起</w:t>
      </w:r>
      <w:r>
        <w:rPr>
          <w:rFonts w:hint="eastAsia" w:ascii="宋体" w:hAnsi="宋体" w:eastAsia="宋体" w:cs="宋体"/>
          <w:b/>
          <w:bCs w:val="0"/>
          <w:color w:val="auto"/>
          <w:sz w:val="21"/>
          <w:szCs w:val="21"/>
          <w:u w:val="none"/>
        </w:rPr>
        <w:t>提醒</w:t>
      </w:r>
      <w:r>
        <w:rPr>
          <w:rFonts w:hint="eastAsia" w:ascii="宋体" w:hAnsi="宋体" w:eastAsia="宋体" w:cs="宋体"/>
          <w:b/>
          <w:bCs w:val="0"/>
          <w:color w:val="auto"/>
          <w:sz w:val="21"/>
          <w:szCs w:val="21"/>
          <w:u w:val="none"/>
          <w:lang w:val="en-US" w:eastAsia="zh-CN"/>
        </w:rPr>
        <w:t>作用</w:t>
      </w:r>
      <w:r>
        <w:rPr>
          <w:rFonts w:hint="eastAsia" w:ascii="宋体" w:hAnsi="宋体" w:eastAsia="宋体" w:cs="宋体"/>
          <w:b/>
          <w:bCs w:val="0"/>
          <w:color w:val="auto"/>
          <w:sz w:val="21"/>
          <w:szCs w:val="21"/>
          <w:u w:val="none"/>
        </w:rPr>
        <w:t>；如有不一致，以招标文件为准）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1、</w:t>
      </w:r>
      <w:r>
        <w:rPr>
          <w:rFonts w:hint="eastAsia" w:ascii="宋体" w:hAnsi="宋体" w:eastAsia="宋体" w:cs="宋体"/>
          <w:b/>
          <w:bCs w:val="0"/>
          <w:color w:val="auto"/>
          <w:sz w:val="21"/>
          <w:szCs w:val="21"/>
          <w:u w:val="none"/>
        </w:rPr>
        <w:t>请各投标供应商在制作投标文件时认真阅读本招标文件的内容。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2</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建议投标供应商将投标文件正本、副本、唱标信封分别密封包装，并按照招标文件“第</w:t>
      </w:r>
      <w:r>
        <w:rPr>
          <w:rFonts w:hint="eastAsia" w:ascii="宋体" w:hAnsi="宋体" w:cs="宋体"/>
          <w:b/>
          <w:bCs w:val="0"/>
          <w:color w:val="auto"/>
          <w:sz w:val="21"/>
          <w:szCs w:val="21"/>
          <w:u w:val="none"/>
          <w:lang w:val="en-US" w:eastAsia="zh-CN"/>
        </w:rPr>
        <w:t>四</w:t>
      </w:r>
      <w:r>
        <w:rPr>
          <w:rFonts w:hint="eastAsia" w:ascii="宋体" w:hAnsi="宋体" w:eastAsia="宋体" w:cs="宋体"/>
          <w:b/>
          <w:bCs w:val="0"/>
          <w:color w:val="auto"/>
          <w:sz w:val="21"/>
          <w:szCs w:val="21"/>
          <w:u w:val="none"/>
          <w:lang w:val="en-US" w:eastAsia="zh-CN"/>
        </w:rPr>
        <w:t>部分</w:t>
      </w:r>
      <w:r>
        <w:rPr>
          <w:rFonts w:hint="eastAsia" w:ascii="宋体" w:hAnsi="宋体" w:eastAsia="宋体" w:cs="宋体"/>
          <w:b/>
          <w:bCs w:val="0"/>
          <w:color w:val="auto"/>
          <w:sz w:val="21"/>
          <w:szCs w:val="21"/>
          <w:u w:val="none"/>
        </w:rPr>
        <w:t xml:space="preserve"> 投标人须知 </w:t>
      </w:r>
      <w:r>
        <w:rPr>
          <w:rFonts w:hint="eastAsia" w:ascii="宋体" w:hAnsi="宋体" w:eastAsia="宋体" w:cs="宋体"/>
          <w:b/>
          <w:bCs w:val="0"/>
          <w:color w:val="auto"/>
          <w:sz w:val="21"/>
          <w:szCs w:val="21"/>
          <w:u w:val="none"/>
          <w:lang w:val="en-US" w:eastAsia="zh-CN"/>
        </w:rPr>
        <w:t>第四章</w:t>
      </w:r>
      <w:r>
        <w:rPr>
          <w:rFonts w:hint="eastAsia" w:ascii="宋体" w:hAnsi="宋体" w:eastAsia="宋体" w:cs="宋体"/>
          <w:b/>
          <w:bCs w:val="0"/>
          <w:color w:val="auto"/>
          <w:sz w:val="21"/>
          <w:szCs w:val="21"/>
          <w:u w:val="none"/>
        </w:rPr>
        <w:t>投标文件的递交”中相关要求进行提交，避免因密封包装不符合要求而导致投标文件被退回。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3</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请正确填写《</w:t>
      </w:r>
      <w:r>
        <w:rPr>
          <w:rFonts w:hint="eastAsia" w:ascii="宋体" w:hAnsi="宋体" w:eastAsia="宋体" w:cs="宋体"/>
          <w:b/>
          <w:bCs w:val="0"/>
          <w:color w:val="auto"/>
          <w:sz w:val="21"/>
          <w:szCs w:val="21"/>
          <w:u w:val="none"/>
          <w:lang w:val="en-US" w:eastAsia="zh-CN"/>
        </w:rPr>
        <w:t>唱标</w:t>
      </w:r>
      <w:r>
        <w:rPr>
          <w:rFonts w:hint="eastAsia" w:ascii="宋体" w:hAnsi="宋体" w:eastAsia="宋体" w:cs="宋体"/>
          <w:b/>
          <w:bCs w:val="0"/>
          <w:color w:val="auto"/>
          <w:sz w:val="21"/>
          <w:szCs w:val="21"/>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4</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投标文件应</w:t>
      </w:r>
      <w:r>
        <w:rPr>
          <w:rFonts w:hint="eastAsia" w:ascii="宋体" w:hAnsi="宋体" w:eastAsia="宋体" w:cs="宋体"/>
          <w:b/>
          <w:bCs w:val="0"/>
          <w:color w:val="auto"/>
          <w:sz w:val="21"/>
          <w:szCs w:val="21"/>
          <w:u w:val="none"/>
          <w:lang w:val="en-US" w:eastAsia="zh-CN"/>
        </w:rPr>
        <w:t>编制目录及</w:t>
      </w:r>
      <w:r>
        <w:rPr>
          <w:rFonts w:hint="eastAsia" w:ascii="宋体" w:hAnsi="宋体" w:eastAsia="宋体" w:cs="宋体"/>
          <w:b/>
          <w:bCs w:val="0"/>
          <w:color w:val="auto"/>
          <w:sz w:val="21"/>
          <w:szCs w:val="21"/>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5</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请仔细检查投标文件是否已按招标文件盖章、签名(或盖私章)、签署日期。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6</w:t>
      </w:r>
      <w:r>
        <w:rPr>
          <w:rFonts w:hint="eastAsia" w:ascii="宋体" w:hAnsi="宋体" w:eastAsia="宋体" w:cs="宋体"/>
          <w:b/>
          <w:bCs w:val="0"/>
          <w:color w:val="auto"/>
          <w:sz w:val="21"/>
          <w:szCs w:val="21"/>
          <w:u w:val="none"/>
          <w:lang w:val="en-US" w:eastAsia="zh-CN"/>
        </w:rPr>
        <w:t>、加</w:t>
      </w:r>
      <w:r>
        <w:rPr>
          <w:rFonts w:hint="eastAsia" w:ascii="宋体" w:hAnsi="宋体" w:eastAsia="宋体" w:cs="宋体"/>
          <w:b/>
          <w:bCs w:val="0"/>
          <w:color w:val="auto"/>
          <w:sz w:val="21"/>
          <w:szCs w:val="21"/>
          <w:u w:val="none"/>
        </w:rPr>
        <w:t>★号</w:t>
      </w:r>
      <w:r>
        <w:rPr>
          <w:rFonts w:hint="eastAsia" w:ascii="宋体" w:hAnsi="宋体" w:eastAsia="宋体" w:cs="宋体"/>
          <w:b/>
          <w:bCs w:val="0"/>
          <w:color w:val="auto"/>
          <w:sz w:val="21"/>
          <w:szCs w:val="21"/>
          <w:u w:val="none"/>
          <w:lang w:val="en-US" w:eastAsia="zh-CN"/>
        </w:rPr>
        <w:t>条款</w:t>
      </w:r>
      <w:r>
        <w:rPr>
          <w:rFonts w:hint="eastAsia" w:ascii="宋体" w:hAnsi="宋体" w:eastAsia="宋体" w:cs="宋体"/>
          <w:b/>
          <w:bCs w:val="0"/>
          <w:color w:val="auto"/>
          <w:sz w:val="21"/>
          <w:szCs w:val="21"/>
          <w:u w:val="none"/>
        </w:rPr>
        <w:t>必须完全响应，不响应或负偏离将导致投标无效</w:t>
      </w:r>
      <w:r>
        <w:rPr>
          <w:rFonts w:hint="eastAsia" w:ascii="宋体" w:hAnsi="宋体" w:eastAsia="宋体" w:cs="宋体"/>
          <w:b/>
          <w:bCs w:val="0"/>
          <w:color w:val="auto"/>
          <w:sz w:val="21"/>
          <w:szCs w:val="21"/>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cs="宋体"/>
          <w:b/>
          <w:bCs w:val="0"/>
          <w:color w:val="auto"/>
          <w:sz w:val="21"/>
          <w:szCs w:val="21"/>
          <w:u w:val="none"/>
          <w:lang w:val="en-US" w:eastAsia="zh-CN"/>
        </w:rPr>
        <w:t>7</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为避免因迟到而无法按时递交投标文件，投标供应商</w:t>
      </w:r>
      <w:r>
        <w:rPr>
          <w:rFonts w:hint="eastAsia" w:ascii="宋体" w:hAnsi="宋体" w:eastAsia="宋体" w:cs="宋体"/>
          <w:b/>
          <w:bCs w:val="0"/>
          <w:color w:val="auto"/>
          <w:sz w:val="21"/>
          <w:szCs w:val="21"/>
          <w:u w:val="none"/>
          <w:lang w:val="en-US" w:eastAsia="zh-CN"/>
        </w:rPr>
        <w:t>应自行计算路途可能出现塞车的时间，建议</w:t>
      </w:r>
      <w:r>
        <w:rPr>
          <w:rFonts w:hint="eastAsia" w:ascii="宋体" w:hAnsi="宋体" w:eastAsia="宋体" w:cs="宋体"/>
          <w:b/>
          <w:bCs w:val="0"/>
          <w:color w:val="auto"/>
          <w:sz w:val="21"/>
          <w:szCs w:val="21"/>
          <w:u w:val="none"/>
        </w:rPr>
        <w:t>在投标文件递交截止时间之前30分钟内到达开标地点</w:t>
      </w:r>
      <w:r>
        <w:rPr>
          <w:rFonts w:hint="eastAsia" w:ascii="宋体" w:hAnsi="宋体" w:eastAsia="宋体" w:cs="宋体"/>
          <w:b/>
          <w:bCs w:val="0"/>
          <w:color w:val="auto"/>
          <w:sz w:val="21"/>
          <w:szCs w:val="21"/>
          <w:u w:val="none"/>
          <w:lang w:eastAsia="zh-CN"/>
        </w:rPr>
        <w:t>，投标截止时间一到，本公司不接收任何投标文件。</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8</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请各投标供应商缴纳投标保证金前务必核对正确的缴纳账户，由于错缴、误缴而导致未按项目缴纳投标保证金的情况将由投标供应商自行负责。</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9</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投标保证金必须于投标文件递交截止时间前到达</w:t>
      </w:r>
      <w:r>
        <w:rPr>
          <w:rFonts w:hint="eastAsia" w:ascii="宋体" w:hAnsi="宋体" w:eastAsia="宋体" w:cs="宋体"/>
          <w:b/>
          <w:bCs w:val="0"/>
          <w:color w:val="auto"/>
          <w:sz w:val="21"/>
          <w:szCs w:val="21"/>
          <w:u w:val="none"/>
          <w:lang w:val="zh-CN"/>
        </w:rPr>
        <w:t>广东政通招标有限公司</w:t>
      </w:r>
      <w:r>
        <w:rPr>
          <w:rFonts w:hint="eastAsia" w:ascii="宋体" w:hAnsi="宋体" w:eastAsia="宋体" w:cs="宋体"/>
          <w:b/>
          <w:bCs w:val="0"/>
          <w:color w:val="auto"/>
          <w:sz w:val="21"/>
          <w:szCs w:val="21"/>
          <w:u w:val="none"/>
        </w:rPr>
        <w:t>账户</w:t>
      </w:r>
      <w:r>
        <w:rPr>
          <w:rFonts w:hint="eastAsia" w:ascii="宋体" w:hAnsi="宋体" w:eastAsia="宋体" w:cs="宋体"/>
          <w:b/>
          <w:bCs w:val="0"/>
          <w:color w:val="auto"/>
          <w:sz w:val="21"/>
          <w:szCs w:val="21"/>
          <w:u w:val="none"/>
          <w:lang w:eastAsia="zh-CN"/>
        </w:rPr>
        <w:t>，</w:t>
      </w:r>
      <w:r>
        <w:rPr>
          <w:rFonts w:hint="eastAsia" w:ascii="宋体" w:hAnsi="宋体" w:eastAsia="宋体" w:cs="宋体"/>
          <w:b/>
          <w:bCs w:val="0"/>
          <w:color w:val="auto"/>
          <w:sz w:val="21"/>
          <w:szCs w:val="21"/>
          <w:u w:val="none"/>
          <w:lang w:val="en-US" w:eastAsia="zh-CN"/>
        </w:rPr>
        <w:t>账户详见招标文件</w:t>
      </w:r>
      <w:r>
        <w:rPr>
          <w:rFonts w:hint="eastAsia" w:ascii="宋体" w:hAnsi="宋体" w:eastAsia="宋体" w:cs="宋体"/>
          <w:b/>
          <w:bCs w:val="0"/>
          <w:color w:val="auto"/>
          <w:sz w:val="21"/>
          <w:szCs w:val="21"/>
          <w:u w:val="none"/>
        </w:rPr>
        <w:t>。由于转账当天不能确保实时到账，为避免因投标保证金未到账而导致投标被拒绝，建议提前2个工作日转账。</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10</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u w:val="none"/>
          <w:lang w:val="en-US" w:eastAsia="zh-CN"/>
        </w:rPr>
        <w:t>2</w:t>
      </w:r>
      <w:r>
        <w:rPr>
          <w:rFonts w:hint="eastAsia" w:ascii="宋体" w:hAnsi="宋体" w:eastAsia="宋体" w:cs="宋体"/>
          <w:b/>
          <w:bCs w:val="0"/>
          <w:color w:val="auto"/>
          <w:sz w:val="21"/>
          <w:szCs w:val="21"/>
          <w:u w:val="none"/>
        </w:rPr>
        <w:t>日前，按《投标邀请函》中的联系方式，以书面形式告知采购代理机构。对您的支持与配合，谨此致谢。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lang w:val="en-US" w:eastAsia="zh-CN"/>
        </w:rPr>
      </w:pPr>
      <w:r>
        <w:rPr>
          <w:rFonts w:hint="eastAsia"/>
          <w:b/>
          <w:bCs/>
          <w:color w:val="auto"/>
          <w:sz w:val="24"/>
          <w:szCs w:val="24"/>
          <w:lang w:val="en-US" w:eastAsia="zh-CN"/>
        </w:rPr>
        <w:t>11、公司位置：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lang w:eastAsia="zh-CN"/>
        </w:rPr>
      </w:pPr>
      <w:r>
        <w:rPr>
          <w:rFonts w:hint="eastAsia" w:eastAsia="宋体"/>
          <w:color w:val="auto"/>
          <w:sz w:val="40"/>
          <w:szCs w:val="40"/>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1"/>
        <w:keepNext w:val="0"/>
        <w:keepLines w:val="0"/>
        <w:pageBreakBefore w:val="0"/>
        <w:widowControl/>
        <w:kinsoku/>
        <w:wordWrap/>
        <w:overflowPunct/>
        <w:topLinePunct w:val="0"/>
        <w:autoSpaceDE/>
        <w:autoSpaceDN/>
        <w:bidi w:val="0"/>
        <w:adjustRightInd w:val="0"/>
        <w:snapToGrid w:val="0"/>
        <w:ind w:left="0" w:leftChars="0"/>
        <w:jc w:val="both"/>
        <w:textAlignment w:val="auto"/>
        <w:rPr>
          <w:rFonts w:hint="eastAsia"/>
          <w:color w:val="auto"/>
          <w:sz w:val="40"/>
          <w:szCs w:val="40"/>
        </w:rPr>
      </w:pPr>
    </w:p>
    <w:p>
      <w:pPr>
        <w:rPr>
          <w:rFonts w:hint="eastAsia"/>
          <w:color w:val="auto"/>
          <w:sz w:val="40"/>
          <w:szCs w:val="40"/>
        </w:rPr>
      </w:pPr>
    </w:p>
    <w:p>
      <w:pPr>
        <w:pStyle w:val="7"/>
        <w:rPr>
          <w:rFonts w:hint="eastAsia"/>
          <w:color w:val="auto"/>
          <w:sz w:val="40"/>
          <w:szCs w:val="40"/>
        </w:rPr>
      </w:pPr>
    </w:p>
    <w:p>
      <w:pPr>
        <w:pStyle w:val="8"/>
        <w:rPr>
          <w:rFonts w:hint="eastAsia"/>
          <w:color w:val="auto"/>
          <w:sz w:val="40"/>
          <w:szCs w:val="40"/>
        </w:rPr>
      </w:pPr>
    </w:p>
    <w:p>
      <w:pPr>
        <w:pStyle w:val="9"/>
        <w:rPr>
          <w:rFonts w:hint="eastAsia"/>
          <w:color w:val="auto"/>
          <w:sz w:val="40"/>
          <w:szCs w:val="40"/>
        </w:rPr>
      </w:pPr>
    </w:p>
    <w:p>
      <w:pPr>
        <w:rPr>
          <w:rFonts w:hint="eastAsia"/>
          <w:color w:val="auto"/>
          <w:sz w:val="40"/>
          <w:szCs w:val="40"/>
        </w:rPr>
      </w:pPr>
    </w:p>
    <w:p>
      <w:pPr>
        <w:bidi w:val="0"/>
        <w:rPr>
          <w:rFonts w:hint="eastAsia"/>
          <w:color w:val="auto"/>
        </w:rPr>
      </w:pPr>
    </w:p>
    <w:p>
      <w:pPr>
        <w:bidi w:val="0"/>
        <w:rPr>
          <w:rFonts w:hint="eastAsia"/>
          <w:color w:val="auto"/>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rPr>
      </w:pPr>
      <w:r>
        <w:rPr>
          <w:rFonts w:hint="eastAsia"/>
          <w:color w:val="auto"/>
          <w:sz w:val="40"/>
          <w:szCs w:val="40"/>
        </w:rPr>
        <w:t>目录</w:t>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第一部分 投标邀请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第二部分 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第三部分 评分权重分配表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商务技术评分及价格权重细则表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部分 投标人须知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w:t>
      </w:r>
      <w:r>
        <w:rPr>
          <w:rFonts w:hint="eastAsia" w:ascii="宋体" w:hAnsi="宋体" w:eastAsia="宋体" w:cs="宋体"/>
          <w:color w:val="auto"/>
          <w:sz w:val="21"/>
          <w:szCs w:val="21"/>
        </w:rPr>
        <w:t>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w:t>
      </w:r>
      <w:r>
        <w:rPr>
          <w:rFonts w:hint="eastAsia" w:ascii="宋体" w:hAnsi="宋体" w:eastAsia="宋体" w:cs="宋体"/>
          <w:color w:val="auto"/>
          <w:sz w:val="21"/>
          <w:szCs w:val="21"/>
        </w:rPr>
        <w:t>招标文件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8.招标文件的组成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9.招标文件的澄清或修改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w:t>
      </w:r>
      <w:r>
        <w:rPr>
          <w:rFonts w:hint="eastAsia" w:ascii="宋体" w:hAnsi="宋体" w:eastAsia="宋体" w:cs="宋体"/>
          <w:color w:val="auto"/>
          <w:sz w:val="21"/>
          <w:szCs w:val="21"/>
        </w:rPr>
        <w:t>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w:t>
      </w:r>
      <w:r>
        <w:rPr>
          <w:rFonts w:hint="eastAsia" w:ascii="宋体" w:hAnsi="宋体" w:eastAsia="宋体" w:cs="宋体"/>
          <w:color w:val="auto"/>
          <w:sz w:val="21"/>
          <w:szCs w:val="21"/>
        </w:rPr>
        <w:t>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w:t>
      </w:r>
      <w:r>
        <w:rPr>
          <w:rFonts w:hint="eastAsia" w:ascii="宋体" w:hAnsi="宋体" w:eastAsia="宋体" w:cs="宋体"/>
          <w:color w:val="auto"/>
          <w:sz w:val="21"/>
          <w:szCs w:val="21"/>
        </w:rPr>
        <w:t>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7</w:t>
      </w:r>
      <w:r>
        <w:rPr>
          <w:rFonts w:hint="eastAsia" w:ascii="宋体" w:hAnsi="宋体" w:eastAsia="宋体" w:cs="宋体"/>
          <w:color w:val="auto"/>
          <w:sz w:val="21"/>
          <w:szCs w:val="21"/>
        </w:rPr>
        <w:t>.纪律和保密事项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第六章</w:t>
      </w:r>
      <w:r>
        <w:rPr>
          <w:rFonts w:hint="eastAsia" w:ascii="宋体" w:hAnsi="宋体" w:eastAsia="宋体" w:cs="宋体"/>
          <w:color w:val="auto"/>
          <w:sz w:val="21"/>
          <w:szCs w:val="21"/>
        </w:rPr>
        <w:t>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_Toc12440 </w:instrText>
      </w:r>
      <w:r>
        <w:rPr>
          <w:rFonts w:hint="eastAsia" w:ascii="宋体" w:hAnsi="宋体" w:eastAsia="宋体" w:cs="宋体"/>
          <w:color w:val="auto"/>
          <w:sz w:val="21"/>
          <w:szCs w:val="21"/>
        </w:rPr>
        <w:fldChar w:fldCharType="separate"/>
      </w:r>
      <w:r>
        <w:rPr>
          <w:rFonts w:hint="eastAsia" w:ascii="宋体" w:hAnsi="宋体" w:cs="宋体"/>
          <w:color w:val="auto"/>
          <w:sz w:val="21"/>
          <w:szCs w:val="21"/>
          <w:lang w:val="en-US" w:eastAsia="zh-CN"/>
        </w:rPr>
        <w:t>29</w:t>
      </w:r>
      <w:r>
        <w:rPr>
          <w:rFonts w:hint="eastAsia" w:ascii="宋体" w:hAnsi="宋体" w:eastAsia="宋体" w:cs="宋体"/>
          <w:color w:val="auto"/>
          <w:sz w:val="21"/>
          <w:szCs w:val="21"/>
        </w:rPr>
        <w:t>.发布采购结果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0</w:t>
      </w:r>
      <w:r>
        <w:rPr>
          <w:rFonts w:hint="eastAsia" w:ascii="宋体" w:hAnsi="宋体" w:eastAsia="宋体" w:cs="宋体"/>
          <w:color w:val="auto"/>
          <w:sz w:val="21"/>
          <w:szCs w:val="21"/>
        </w:rPr>
        <w:t>.合同的签订与履行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.履约保证金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第七章</w:t>
      </w:r>
      <w:r>
        <w:rPr>
          <w:rFonts w:hint="eastAsia" w:ascii="宋体" w:hAnsi="宋体" w:eastAsia="宋体" w:cs="宋体"/>
          <w:color w:val="auto"/>
          <w:sz w:val="21"/>
          <w:szCs w:val="21"/>
        </w:rPr>
        <w:t>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第八章</w:t>
      </w:r>
      <w:r>
        <w:rPr>
          <w:rFonts w:hint="eastAsia" w:ascii="宋体" w:hAnsi="宋体" w:eastAsia="宋体" w:cs="宋体"/>
          <w:color w:val="auto"/>
          <w:sz w:val="21"/>
          <w:szCs w:val="21"/>
        </w:rPr>
        <w:t>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.招标文件的解释权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五</w:t>
      </w:r>
      <w:r>
        <w:rPr>
          <w:rFonts w:hint="eastAsia" w:ascii="宋体" w:hAnsi="宋体" w:eastAsia="宋体" w:cs="宋体"/>
          <w:color w:val="auto"/>
          <w:sz w:val="21"/>
          <w:szCs w:val="21"/>
        </w:rPr>
        <w:t>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 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六</w:t>
      </w:r>
      <w:r>
        <w:rPr>
          <w:rFonts w:hint="eastAsia" w:ascii="宋体" w:hAnsi="宋体" w:eastAsia="宋体" w:cs="宋体"/>
          <w:color w:val="auto"/>
          <w:sz w:val="21"/>
          <w:szCs w:val="21"/>
        </w:rPr>
        <w:t>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部分  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投标文件目录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一、唱标一览表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二、报价明细表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一、投标函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二、资格申明函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三、在参与采购活动前三年未有重大违法记录、没有不良信用记录的声明函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四、法定代表人证明书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五、法定代表人授权书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六、投标人基本情况说明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w:t>
      </w:r>
      <w:r>
        <w:rPr>
          <w:rFonts w:hint="eastAsia" w:ascii="宋体" w:hAnsi="宋体" w:eastAsia="宋体" w:cs="宋体"/>
          <w:color w:val="auto"/>
          <w:sz w:val="21"/>
          <w:szCs w:val="21"/>
        </w:rPr>
        <w:t>特殊资格要求证明文件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w:t>
      </w:r>
      <w:r>
        <w:rPr>
          <w:rFonts w:hint="eastAsia" w:ascii="宋体" w:hAnsi="宋体" w:eastAsia="宋体" w:cs="宋体"/>
          <w:color w:val="auto"/>
          <w:sz w:val="21"/>
          <w:szCs w:val="21"/>
        </w:rPr>
        <w:t>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十、招标代理服务费承诺书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十一、</w:t>
      </w:r>
      <w:r>
        <w:rPr>
          <w:rFonts w:hint="eastAsia" w:ascii="宋体" w:hAnsi="宋体" w:eastAsia="宋体" w:cs="宋体"/>
          <w:color w:val="auto"/>
          <w:sz w:val="21"/>
          <w:szCs w:val="21"/>
        </w:rPr>
        <w:t>商务条款偏离表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十二、</w:t>
      </w:r>
      <w:r>
        <w:rPr>
          <w:rFonts w:hint="eastAsia" w:ascii="宋体" w:hAnsi="宋体" w:eastAsia="宋体" w:cs="宋体"/>
          <w:color w:val="auto"/>
          <w:sz w:val="21"/>
          <w:szCs w:val="21"/>
        </w:rPr>
        <w:t>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技术规格偏离表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实质性条款（标记★）投标响应表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方案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五、项目负责人及团队成员资料表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六、投标货物明细一览表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七、投标保证金汇入情况说明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八、采购投标担保函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第四章唱标信封（单独封装）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第五章联合体共同投标协议书（如有需要）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tabs>
          <w:tab w:val="right" w:leader="dot" w:pos="8306"/>
          <w:tab w:val="clear" w:pos="8296"/>
        </w:tabs>
        <w:spacing w:after="0" w:line="360" w:lineRule="auto"/>
        <w:ind w:left="0" w:leftChars="0"/>
        <w:jc w:val="both"/>
        <w:rPr>
          <w:rFonts w:cs="宋体"/>
          <w:color w:val="auto"/>
          <w:szCs w:val="21"/>
        </w:rPr>
      </w:pPr>
      <w:r>
        <w:rPr>
          <w:rFonts w:cs="宋体"/>
          <w:color w:val="auto"/>
          <w:szCs w:val="21"/>
        </w:rPr>
        <w:fldChar w:fldCharType="end"/>
      </w:r>
    </w:p>
    <w:p>
      <w:pPr>
        <w:rPr>
          <w:rFonts w:ascii="宋体" w:hAnsi="宋体" w:eastAsia="宋体" w:cs="宋体"/>
          <w:color w:val="auto"/>
          <w:szCs w:val="21"/>
        </w:rPr>
      </w:pPr>
      <w:r>
        <w:rPr>
          <w:rFonts w:hint="eastAsia" w:ascii="宋体" w:hAnsi="宋体" w:eastAsia="宋体" w:cs="宋体"/>
          <w:color w:val="auto"/>
          <w:szCs w:val="21"/>
        </w:rPr>
        <w:br w:type="page"/>
      </w:r>
    </w:p>
    <w:p>
      <w:pPr>
        <w:pStyle w:val="3"/>
        <w:spacing w:before="0" w:after="0" w:line="240" w:lineRule="auto"/>
        <w:rPr>
          <w:color w:val="auto"/>
          <w:sz w:val="28"/>
          <w:szCs w:val="28"/>
        </w:rPr>
      </w:pPr>
      <w:bookmarkStart w:id="0" w:name="_Toc2456"/>
      <w:bookmarkStart w:id="1" w:name="_Toc17306"/>
      <w:r>
        <w:rPr>
          <w:rFonts w:hint="eastAsia"/>
          <w:color w:val="auto"/>
          <w:sz w:val="28"/>
          <w:szCs w:val="28"/>
        </w:rPr>
        <w:t>第一部分 投标邀请</w:t>
      </w:r>
      <w:bookmarkEnd w:id="0"/>
      <w:bookmarkEnd w:id="1"/>
    </w:p>
    <w:p>
      <w:pPr>
        <w:pStyle w:val="4"/>
        <w:spacing w:before="0" w:after="0" w:line="360" w:lineRule="auto"/>
        <w:jc w:val="center"/>
        <w:rPr>
          <w:rFonts w:ascii="宋体" w:hAnsi="宋体" w:eastAsia="宋体" w:cs="宋体"/>
          <w:color w:val="auto"/>
        </w:rPr>
      </w:pPr>
      <w:bookmarkStart w:id="2" w:name="_Toc1420"/>
      <w:bookmarkStart w:id="3" w:name="_Toc8850"/>
      <w:bookmarkStart w:id="4" w:name="_Toc7123"/>
      <w:r>
        <w:rPr>
          <w:rFonts w:hint="eastAsia" w:ascii="宋体" w:hAnsi="宋体" w:eastAsia="宋体" w:cs="宋体"/>
          <w:color w:val="auto"/>
        </w:rPr>
        <w:t>投标邀请书</w:t>
      </w:r>
      <w:bookmarkEnd w:id="2"/>
      <w:bookmarkEnd w:id="3"/>
      <w:bookmarkEnd w:id="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（以下简称</w:t>
      </w:r>
      <w:r>
        <w:rPr>
          <w:rFonts w:hint="eastAsia" w:ascii="宋体" w:hAnsi="宋体" w:eastAsia="宋体"/>
          <w:color w:val="auto"/>
          <w:sz w:val="21"/>
          <w:szCs w:val="21"/>
        </w:rPr>
        <w:t>“采购代理机构”</w:t>
      </w:r>
      <w:r>
        <w:rPr>
          <w:rFonts w:ascii="宋体" w:hAnsi="宋体" w:eastAsia="宋体"/>
          <w:color w:val="auto"/>
          <w:sz w:val="21"/>
          <w:szCs w:val="21"/>
        </w:rPr>
        <w:t>）受</w:t>
      </w:r>
      <w:r>
        <w:rPr>
          <w:rFonts w:hint="eastAsia" w:ascii="宋体" w:hAnsi="宋体" w:cs="宋体"/>
          <w:b/>
          <w:bCs/>
          <w:color w:val="auto"/>
          <w:sz w:val="21"/>
          <w:szCs w:val="21"/>
          <w:highlight w:val="none"/>
          <w:u w:val="single"/>
          <w:lang w:val="en-US" w:eastAsia="zh-CN"/>
        </w:rPr>
        <w:t>东莞新锋光伏能源科技有限公司</w:t>
      </w:r>
      <w:r>
        <w:rPr>
          <w:rFonts w:ascii="宋体" w:hAnsi="宋体" w:eastAsia="宋体"/>
          <w:color w:val="auto"/>
          <w:sz w:val="21"/>
          <w:szCs w:val="21"/>
        </w:rPr>
        <w:t>（以下简称</w:t>
      </w:r>
      <w:r>
        <w:rPr>
          <w:rFonts w:hint="eastAsia" w:ascii="宋体" w:hAnsi="宋体" w:eastAsia="宋体"/>
          <w:color w:val="auto"/>
          <w:sz w:val="21"/>
          <w:szCs w:val="21"/>
        </w:rPr>
        <w:t>“采购人”</w:t>
      </w:r>
      <w:r>
        <w:rPr>
          <w:rFonts w:ascii="宋体" w:hAnsi="宋体" w:eastAsia="宋体"/>
          <w:color w:val="auto"/>
          <w:sz w:val="21"/>
          <w:szCs w:val="21"/>
        </w:rPr>
        <w:t>）委托，</w:t>
      </w:r>
      <w:r>
        <w:rPr>
          <w:rFonts w:hint="eastAsia" w:ascii="宋体" w:hAnsi="宋体" w:eastAsia="宋体"/>
          <w:color w:val="auto"/>
          <w:sz w:val="21"/>
          <w:szCs w:val="21"/>
        </w:rPr>
        <w:t>现</w:t>
      </w:r>
      <w:r>
        <w:rPr>
          <w:rFonts w:ascii="宋体" w:hAnsi="宋体" w:eastAsia="宋体"/>
          <w:color w:val="auto"/>
          <w:sz w:val="21"/>
          <w:szCs w:val="21"/>
        </w:rPr>
        <w:t>就</w:t>
      </w:r>
      <w:r>
        <w:rPr>
          <w:rFonts w:hint="eastAsia" w:ascii="宋体" w:hAnsi="宋体" w:cs="宋体"/>
          <w:b/>
          <w:bCs/>
          <w:color w:val="auto"/>
          <w:sz w:val="21"/>
          <w:szCs w:val="21"/>
          <w:highlight w:val="none"/>
          <w:u w:val="single"/>
          <w:lang w:val="en-US" w:eastAsia="zh-CN"/>
        </w:rPr>
        <w:t>东莞新锋光伏能源科技有限公司工程造价咨询服务资格采购项目</w:t>
      </w:r>
      <w:r>
        <w:rPr>
          <w:rFonts w:hint="eastAsia" w:ascii="宋体" w:hAnsi="宋体" w:eastAsia="宋体" w:cs="Times New Roman"/>
          <w:color w:val="auto"/>
          <w:sz w:val="21"/>
          <w:szCs w:val="21"/>
        </w:rPr>
        <w:t>进行国内公开招标采购</w:t>
      </w:r>
      <w:r>
        <w:rPr>
          <w:rFonts w:hint="eastAsia" w:ascii="宋体" w:hAnsi="宋体" w:eastAsia="宋体"/>
          <w:color w:val="auto"/>
          <w:sz w:val="21"/>
          <w:szCs w:val="21"/>
        </w:rPr>
        <w:t>，欢迎符合招标文件要求的国内投标人参加投标</w:t>
      </w:r>
      <w:r>
        <w:rPr>
          <w:rFonts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rPr>
      </w:pPr>
    </w:p>
    <w:p>
      <w:pPr>
        <w:numPr>
          <w:ilvl w:val="0"/>
          <w:numId w:val="1"/>
        </w:numPr>
        <w:spacing w:after="0" w:line="360" w:lineRule="auto"/>
        <w:ind w:firstLine="413" w:firstLineChars="196"/>
        <w:rPr>
          <w:rFonts w:hint="eastAsia" w:ascii="宋体" w:hAnsi="宋体" w:eastAsia="宋体"/>
          <w:b/>
          <w:color w:val="auto"/>
          <w:sz w:val="21"/>
          <w:szCs w:val="21"/>
          <w:lang w:val="en-US" w:eastAsia="zh-CN"/>
        </w:rPr>
      </w:pPr>
      <w:r>
        <w:rPr>
          <w:rFonts w:hint="eastAsia" w:ascii="宋体" w:hAnsi="宋体" w:eastAsia="宋体"/>
          <w:b/>
          <w:color w:val="auto"/>
          <w:sz w:val="21"/>
          <w:szCs w:val="21"/>
        </w:rPr>
        <w:t>招标项目</w:t>
      </w:r>
      <w:r>
        <w:rPr>
          <w:rFonts w:hint="eastAsia" w:ascii="宋体" w:hAnsi="宋体" w:eastAsia="宋体"/>
          <w:b/>
          <w:color w:val="auto"/>
          <w:sz w:val="21"/>
          <w:szCs w:val="21"/>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编号：</w:t>
      </w:r>
      <w:r>
        <w:rPr>
          <w:rFonts w:hint="eastAsia" w:ascii="宋体" w:hAnsi="宋体"/>
          <w:color w:val="auto"/>
          <w:sz w:val="21"/>
          <w:szCs w:val="21"/>
          <w:lang w:val="en-US" w:eastAsia="zh-CN"/>
        </w:rPr>
        <w:t>GDZT2022120C</w:t>
      </w:r>
      <w:r>
        <w:rPr>
          <w:rFonts w:hint="eastAsia" w:ascii="宋体" w:hAnsi="宋体" w:eastAsia="宋体"/>
          <w:color w:val="auto"/>
          <w:sz w:val="21"/>
          <w:szCs w:val="21"/>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名称：</w:t>
      </w:r>
      <w:r>
        <w:rPr>
          <w:rFonts w:hint="eastAsia" w:ascii="宋体" w:hAnsi="宋体"/>
          <w:color w:val="auto"/>
          <w:sz w:val="21"/>
          <w:szCs w:val="21"/>
          <w:lang w:val="en-US" w:eastAsia="zh-CN"/>
        </w:rPr>
        <w:t>东莞新锋光伏能源科技有限公司工程造价咨询服务资格采购项目</w:t>
      </w:r>
      <w:r>
        <w:rPr>
          <w:rFonts w:hint="eastAsia" w:ascii="宋体" w:hAnsi="宋体" w:eastAsia="宋体"/>
          <w:color w:val="auto"/>
          <w:sz w:val="21"/>
          <w:szCs w:val="21"/>
          <w:lang w:val="en-US" w:eastAsia="zh-CN"/>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、项目内容：</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0"/>
        <w:gridCol w:w="1684"/>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项目采购内容</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入围家数</w:t>
            </w:r>
          </w:p>
        </w:tc>
        <w:tc>
          <w:tcPr>
            <w:tcW w:w="2851"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color w:val="auto"/>
                <w:lang w:eastAsia="zh-CN"/>
              </w:rPr>
            </w:pPr>
            <w:r>
              <w:rPr>
                <w:rFonts w:hint="eastAsia"/>
                <w:color w:val="auto"/>
                <w:lang w:eastAsia="zh-CN"/>
              </w:rPr>
              <w:t>工程</w:t>
            </w:r>
            <w:r>
              <w:rPr>
                <w:rFonts w:hint="eastAsia"/>
                <w:color w:val="auto"/>
                <w:lang w:val="en-US" w:eastAsia="zh-CN"/>
              </w:rPr>
              <w:t>造价咨询</w:t>
            </w:r>
            <w:r>
              <w:rPr>
                <w:rFonts w:hint="eastAsia"/>
                <w:color w:val="auto"/>
                <w:lang w:eastAsia="zh-CN"/>
              </w:rPr>
              <w:t>单位协议供应商</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三</w:t>
            </w:r>
            <w:r>
              <w:rPr>
                <w:rFonts w:hint="eastAsia" w:ascii="宋体" w:hAnsi="宋体" w:eastAsia="宋体" w:cs="宋体"/>
                <w:color w:val="auto"/>
                <w:sz w:val="21"/>
                <w:szCs w:val="21"/>
                <w:highlight w:val="none"/>
              </w:rPr>
              <w:t>家</w:t>
            </w:r>
          </w:p>
        </w:tc>
        <w:tc>
          <w:tcPr>
            <w:tcW w:w="2851" w:type="dxa"/>
            <w:noWrap w:val="0"/>
            <w:vAlign w:val="center"/>
          </w:tcPr>
          <w:p>
            <w:pPr>
              <w:pStyle w:val="58"/>
              <w:pageBreakBefore w:val="0"/>
              <w:kinsoku/>
              <w:wordWrap/>
              <w:overflowPunct/>
              <w:topLinePunct w:val="0"/>
              <w:bidi w:val="0"/>
              <w:adjustRightIn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确认服务资格之日起</w:t>
            </w:r>
            <w:r>
              <w:rPr>
                <w:rFonts w:hint="eastAsia" w:hAnsi="宋体" w:cs="宋体"/>
                <w:color w:val="auto"/>
                <w:sz w:val="21"/>
                <w:szCs w:val="21"/>
                <w:highlight w:val="none"/>
                <w:lang w:val="en-US" w:eastAsia="zh-CN"/>
              </w:rPr>
              <w:t>两</w:t>
            </w:r>
            <w:r>
              <w:rPr>
                <w:rFonts w:hint="eastAsia" w:ascii="宋体" w:hAnsi="宋体" w:eastAsia="宋体" w:cs="宋体"/>
                <w:color w:val="auto"/>
                <w:sz w:val="21"/>
                <w:szCs w:val="21"/>
                <w:highlight w:val="none"/>
              </w:rPr>
              <w:t>年</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二、投标人资格要求</w:t>
      </w: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1、一般要求：</w:t>
      </w:r>
    </w:p>
    <w:p>
      <w:pPr>
        <w:ind w:firstLine="420" w:firstLineChars="200"/>
        <w:rPr>
          <w:rFonts w:ascii="宋体" w:hAnsi="宋体"/>
          <w:color w:val="auto"/>
          <w:szCs w:val="21"/>
        </w:rPr>
      </w:pPr>
      <w:r>
        <w:rPr>
          <w:rFonts w:hint="eastAsia" w:ascii="宋体" w:hAnsi="宋体"/>
          <w:color w:val="auto"/>
          <w:szCs w:val="21"/>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）本项目（是/否）接受联合体投标：否</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三、项目公示时间、招标文件领购时间、地点、方式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1、项目公示时间：202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29</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5</w:t>
      </w:r>
      <w:r>
        <w:rPr>
          <w:rFonts w:hint="eastAsia" w:ascii="宋体" w:hAnsi="宋体" w:eastAsia="宋体"/>
          <w:color w:val="auto"/>
          <w:sz w:val="21"/>
          <w:szCs w:val="21"/>
        </w:rPr>
        <w:t>月</w:t>
      </w:r>
      <w:r>
        <w:rPr>
          <w:rFonts w:hint="eastAsia" w:ascii="宋体" w:hAnsi="宋体"/>
          <w:color w:val="auto"/>
          <w:sz w:val="21"/>
          <w:szCs w:val="21"/>
          <w:lang w:val="en-US" w:eastAsia="zh-CN"/>
        </w:rPr>
        <w:t>10</w:t>
      </w:r>
      <w:r>
        <w:rPr>
          <w:rFonts w:hint="eastAsia" w:ascii="宋体" w:hAnsi="宋体" w:eastAsia="宋体"/>
          <w:color w:val="auto"/>
          <w:sz w:val="21"/>
          <w:szCs w:val="21"/>
        </w:rPr>
        <w:t>日。</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2、招标文件领购</w:t>
      </w:r>
      <w:r>
        <w:rPr>
          <w:rFonts w:ascii="宋体" w:hAnsi="宋体" w:eastAsia="宋体"/>
          <w:color w:val="auto"/>
          <w:sz w:val="21"/>
          <w:szCs w:val="21"/>
        </w:rPr>
        <w:t>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29</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5</w:t>
      </w:r>
      <w:r>
        <w:rPr>
          <w:rFonts w:hint="eastAsia" w:ascii="宋体" w:hAnsi="宋体" w:eastAsia="宋体"/>
          <w:color w:val="auto"/>
          <w:sz w:val="21"/>
          <w:szCs w:val="21"/>
        </w:rPr>
        <w:t>月</w:t>
      </w:r>
      <w:r>
        <w:rPr>
          <w:rFonts w:hint="eastAsia" w:ascii="宋体" w:hAnsi="宋体"/>
          <w:color w:val="auto"/>
          <w:sz w:val="21"/>
          <w:szCs w:val="21"/>
          <w:lang w:val="en-US" w:eastAsia="zh-CN"/>
        </w:rPr>
        <w:t>10</w:t>
      </w:r>
      <w:r>
        <w:rPr>
          <w:rFonts w:hint="eastAsia" w:ascii="宋体" w:hAnsi="宋体" w:eastAsia="宋体"/>
          <w:color w:val="auto"/>
          <w:sz w:val="21"/>
          <w:szCs w:val="21"/>
        </w:rPr>
        <w:t xml:space="preserve">日（节假日除外），上午9：00～12：00，下午14：30～17：30（北京时间）。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注：（1）投标人可自行打印招标文件</w:t>
      </w:r>
      <w:r>
        <w:rPr>
          <w:rFonts w:hint="eastAsia" w:ascii="宋体" w:hAnsi="宋体" w:eastAsia="宋体"/>
          <w:color w:val="auto"/>
          <w:sz w:val="21"/>
          <w:szCs w:val="21"/>
          <w:lang w:val="en-US" w:eastAsia="zh-CN"/>
        </w:rPr>
        <w:t>最后1页</w:t>
      </w:r>
      <w:r>
        <w:rPr>
          <w:rFonts w:hint="eastAsia" w:ascii="宋体" w:hAnsi="宋体" w:eastAsia="宋体"/>
          <w:color w:val="auto"/>
          <w:sz w:val="21"/>
          <w:szCs w:val="21"/>
        </w:rPr>
        <w:t>中的“获取招标文件登记表”进行填写并带到现场进行领购，并现场领取发票。（招标文件领购价：人民币</w:t>
      </w:r>
      <w:r>
        <w:rPr>
          <w:rFonts w:hint="eastAsia" w:ascii="宋体" w:hAnsi="宋体"/>
          <w:color w:val="auto"/>
          <w:sz w:val="21"/>
          <w:szCs w:val="21"/>
          <w:lang w:val="en-US" w:eastAsia="zh-CN"/>
        </w:rPr>
        <w:t>200</w:t>
      </w:r>
      <w:r>
        <w:rPr>
          <w:rFonts w:hint="eastAsia" w:ascii="宋体" w:hAnsi="宋体" w:eastAsia="宋体"/>
          <w:color w:val="auto"/>
          <w:sz w:val="21"/>
          <w:szCs w:val="21"/>
        </w:rPr>
        <w:t>元整）</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（3）招标文件电子版可在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4、招标文件领购方式：现场领购。</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投标人在领购招标文件时</w:t>
      </w:r>
      <w:r>
        <w:rPr>
          <w:rFonts w:hint="eastAsia" w:ascii="宋体" w:hAnsi="宋体"/>
          <w:color w:val="auto"/>
          <w:sz w:val="21"/>
          <w:szCs w:val="21"/>
          <w:lang w:val="en-US" w:eastAsia="zh-CN"/>
        </w:rPr>
        <w:t>建议</w:t>
      </w:r>
      <w:r>
        <w:rPr>
          <w:rFonts w:hint="eastAsia" w:ascii="宋体" w:hAnsi="宋体" w:eastAsia="宋体"/>
          <w:color w:val="auto"/>
          <w:sz w:val="21"/>
          <w:szCs w:val="21"/>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lang w:eastAsia="zh-CN"/>
        </w:rPr>
        <w:t>。</w:t>
      </w:r>
    </w:p>
    <w:p>
      <w:pPr>
        <w:bidi w:val="0"/>
        <w:rPr>
          <w:rFonts w:hint="default"/>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b/>
          <w:color w:val="auto"/>
          <w:sz w:val="21"/>
          <w:szCs w:val="21"/>
          <w:lang w:val="en-US" w:eastAsia="zh-CN"/>
        </w:rPr>
        <w:t>四</w:t>
      </w:r>
      <w:r>
        <w:rPr>
          <w:rFonts w:hint="eastAsia" w:ascii="宋体" w:hAnsi="宋体" w:eastAsia="宋体"/>
          <w:b/>
          <w:color w:val="auto"/>
          <w:sz w:val="21"/>
          <w:szCs w:val="21"/>
        </w:rPr>
        <w:t>、投标截止时间、开标时间及地点</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1、递交投标文件时间：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5</w:t>
      </w:r>
      <w:r>
        <w:rPr>
          <w:rFonts w:hint="eastAsia" w:ascii="宋体" w:hAnsi="宋体" w:eastAsia="宋体"/>
          <w:bCs/>
          <w:color w:val="auto"/>
          <w:sz w:val="21"/>
          <w:szCs w:val="21"/>
        </w:rPr>
        <w:t>月</w:t>
      </w:r>
      <w:r>
        <w:rPr>
          <w:rFonts w:hint="eastAsia" w:ascii="宋体" w:hAnsi="宋体"/>
          <w:bCs/>
          <w:color w:val="auto"/>
          <w:sz w:val="21"/>
          <w:szCs w:val="21"/>
          <w:lang w:val="en-US" w:eastAsia="zh-CN"/>
        </w:rPr>
        <w:t>25</w:t>
      </w:r>
      <w:r>
        <w:rPr>
          <w:rFonts w:hint="eastAsia" w:ascii="宋体" w:hAnsi="宋体" w:eastAsia="宋体"/>
          <w:bCs/>
          <w:color w:val="auto"/>
          <w:sz w:val="21"/>
          <w:szCs w:val="21"/>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：30</w:t>
      </w:r>
      <w:r>
        <w:rPr>
          <w:rFonts w:hint="eastAsia" w:ascii="宋体" w:hAnsi="宋体" w:eastAsia="宋体"/>
          <w:bCs/>
          <w:color w:val="auto"/>
          <w:sz w:val="21"/>
          <w:szCs w:val="21"/>
        </w:rPr>
        <w:t>。</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2、</w:t>
      </w:r>
      <w:r>
        <w:rPr>
          <w:rFonts w:ascii="宋体" w:hAnsi="宋体" w:eastAsia="宋体"/>
          <w:bCs/>
          <w:color w:val="auto"/>
          <w:sz w:val="21"/>
          <w:szCs w:val="21"/>
        </w:rPr>
        <w:t>投标截止</w:t>
      </w:r>
      <w:r>
        <w:rPr>
          <w:rFonts w:hint="eastAsia" w:ascii="宋体" w:hAnsi="宋体" w:eastAsia="宋体"/>
          <w:bCs/>
          <w:color w:val="auto"/>
          <w:sz w:val="21"/>
          <w:szCs w:val="21"/>
        </w:rPr>
        <w:t>及开标时间：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5</w:t>
      </w:r>
      <w:r>
        <w:rPr>
          <w:rFonts w:hint="eastAsia" w:ascii="宋体" w:hAnsi="宋体" w:eastAsia="宋体"/>
          <w:bCs/>
          <w:color w:val="auto"/>
          <w:sz w:val="21"/>
          <w:szCs w:val="21"/>
        </w:rPr>
        <w:t>月</w:t>
      </w:r>
      <w:r>
        <w:rPr>
          <w:rFonts w:hint="eastAsia" w:ascii="宋体" w:hAnsi="宋体"/>
          <w:bCs/>
          <w:color w:val="auto"/>
          <w:sz w:val="21"/>
          <w:szCs w:val="21"/>
          <w:lang w:val="en-US" w:eastAsia="zh-CN"/>
        </w:rPr>
        <w:t>25</w:t>
      </w:r>
      <w:r>
        <w:rPr>
          <w:rFonts w:hint="eastAsia" w:ascii="宋体" w:hAnsi="宋体" w:eastAsia="宋体"/>
          <w:bCs/>
          <w:color w:val="auto"/>
          <w:sz w:val="21"/>
          <w:szCs w:val="21"/>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rPr>
        <w:t>时30分。</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3、</w:t>
      </w:r>
      <w:r>
        <w:rPr>
          <w:rFonts w:ascii="宋体" w:hAnsi="宋体" w:eastAsia="宋体"/>
          <w:bCs/>
          <w:color w:val="auto"/>
          <w:sz w:val="21"/>
          <w:szCs w:val="21"/>
        </w:rPr>
        <w:t>开标地点：</w:t>
      </w:r>
      <w:r>
        <w:rPr>
          <w:rFonts w:hint="eastAsia" w:ascii="宋体" w:hAnsi="宋体"/>
          <w:color w:val="auto"/>
          <w:sz w:val="21"/>
          <w:szCs w:val="21"/>
          <w:lang w:eastAsia="zh-CN"/>
        </w:rPr>
        <w:t>东莞市南城街道鸿福路199号（市民服务中心）411室</w:t>
      </w:r>
      <w:r>
        <w:rPr>
          <w:rFonts w:hint="eastAsia" w:ascii="宋体" w:hAnsi="宋体" w:eastAsia="宋体"/>
          <w:bCs/>
          <w:color w:val="auto"/>
          <w:sz w:val="21"/>
          <w:szCs w:val="21"/>
        </w:rPr>
        <w:t>。</w:t>
      </w:r>
    </w:p>
    <w:p>
      <w:pPr>
        <w:spacing w:after="0" w:line="360" w:lineRule="auto"/>
        <w:ind w:firstLine="411" w:firstLineChars="196"/>
        <w:rPr>
          <w:rFonts w:ascii="宋体" w:hAnsi="宋体" w:eastAsia="宋体"/>
          <w:bCs/>
          <w:color w:val="auto"/>
          <w:sz w:val="21"/>
          <w:szCs w:val="21"/>
        </w:rPr>
      </w:pPr>
    </w:p>
    <w:p>
      <w:pPr>
        <w:spacing w:after="0" w:line="360" w:lineRule="auto"/>
        <w:ind w:firstLine="413" w:firstLineChars="196"/>
        <w:rPr>
          <w:rFonts w:ascii="宋体" w:hAnsi="宋体" w:eastAsia="宋体"/>
          <w:bCs/>
          <w:color w:val="auto"/>
          <w:sz w:val="21"/>
          <w:szCs w:val="21"/>
        </w:rPr>
      </w:pPr>
      <w:r>
        <w:rPr>
          <w:rFonts w:hint="eastAsia" w:ascii="宋体" w:hAnsi="宋体"/>
          <w:b/>
          <w:color w:val="auto"/>
          <w:sz w:val="21"/>
          <w:szCs w:val="21"/>
          <w:lang w:val="en-US" w:eastAsia="zh-CN"/>
        </w:rPr>
        <w:t>五</w:t>
      </w:r>
      <w:r>
        <w:rPr>
          <w:rFonts w:hint="eastAsia" w:ascii="宋体" w:hAnsi="宋体" w:eastAsia="宋体"/>
          <w:b/>
          <w:color w:val="auto"/>
          <w:sz w:val="21"/>
          <w:szCs w:val="21"/>
        </w:rPr>
        <w:t>、采购人及采购代理机构的名称、地址和联系方法：</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采购人联系人：方小姐</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地址：东莞市松山湖园区新城路5号道弘·龙怡智谷B栋3楼</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联系电话：0769-22899883</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采购代理机构名称：</w:t>
      </w:r>
      <w:r>
        <w:rPr>
          <w:rFonts w:hint="eastAsia" w:ascii="宋体" w:hAnsi="宋体" w:eastAsia="宋体"/>
          <w:color w:val="auto"/>
          <w:sz w:val="21"/>
          <w:szCs w:val="21"/>
          <w:lang w:eastAsia="zh-CN"/>
        </w:rPr>
        <w:t>广东政通招标有限公司</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地址：</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default" w:ascii="宋体" w:hAnsi="宋体" w:eastAsia="宋体"/>
          <w:color w:val="auto"/>
          <w:sz w:val="21"/>
          <w:szCs w:val="21"/>
          <w:lang w:val="en-US" w:eastAsia="zh-CN"/>
        </w:rPr>
      </w:pPr>
      <w:r>
        <w:rPr>
          <w:rFonts w:hint="eastAsia" w:ascii="宋体" w:hAnsi="宋体" w:eastAsia="宋体"/>
          <w:color w:val="auto"/>
          <w:sz w:val="21"/>
          <w:szCs w:val="21"/>
        </w:rPr>
        <w:t>采购代理机构联系人：</w:t>
      </w:r>
      <w:r>
        <w:rPr>
          <w:rFonts w:hint="eastAsia" w:ascii="宋体" w:hAnsi="宋体" w:eastAsia="宋体"/>
          <w:color w:val="auto"/>
          <w:sz w:val="21"/>
          <w:szCs w:val="21"/>
          <w:lang w:val="en-US" w:eastAsia="zh-CN"/>
        </w:rPr>
        <w:t>杨</w:t>
      </w:r>
      <w:r>
        <w:rPr>
          <w:rFonts w:hint="eastAsia" w:ascii="宋体" w:hAnsi="宋体"/>
          <w:color w:val="auto"/>
          <w:sz w:val="21"/>
          <w:szCs w:val="21"/>
          <w:lang w:val="en-US" w:eastAsia="zh-CN"/>
        </w:rPr>
        <w:t>先生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color w:val="auto"/>
          <w:lang w:val="en-US" w:eastAsia="zh-CN"/>
        </w:rPr>
      </w:pPr>
      <w:r>
        <w:rPr>
          <w:rFonts w:hint="eastAsia" w:ascii="宋体" w:hAnsi="宋体" w:eastAsia="宋体"/>
          <w:color w:val="auto"/>
          <w:sz w:val="21"/>
          <w:szCs w:val="21"/>
        </w:rPr>
        <w:t>E－ mail：</w:t>
      </w:r>
      <w:r>
        <w:rPr>
          <w:rFonts w:hint="eastAsia" w:ascii="宋体" w:hAnsi="宋体" w:eastAsia="宋体"/>
          <w:color w:val="auto"/>
          <w:sz w:val="21"/>
          <w:szCs w:val="21"/>
          <w:highlight w:val="none"/>
          <w:lang w:val="en-US" w:eastAsia="zh-CN"/>
        </w:rPr>
        <w:t>471539976@qq.com</w:t>
      </w:r>
    </w:p>
    <w:p>
      <w:pPr>
        <w:rPr>
          <w:color w:val="auto"/>
        </w:rPr>
      </w:pPr>
    </w:p>
    <w:p>
      <w:pPr>
        <w:ind w:right="752" w:rightChars="358"/>
        <w:jc w:val="both"/>
        <w:rPr>
          <w:color w:val="auto"/>
        </w:rPr>
      </w:pPr>
    </w:p>
    <w:p>
      <w:pPr>
        <w:ind w:right="752" w:rightChars="358"/>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广东政通招标有限公司</w:t>
      </w:r>
    </w:p>
    <w:p>
      <w:pPr>
        <w:ind w:left="6205" w:leftChars="2755" w:hanging="420" w:hangingChars="200"/>
        <w:rPr>
          <w:rFonts w:hint="default" w:ascii="宋体" w:hAnsi="宋体" w:eastAsia="宋体" w:cs="宋体"/>
          <w:color w:val="auto"/>
          <w:sz w:val="21"/>
          <w:szCs w:val="21"/>
          <w:lang w:val="en-US" w:eastAsia="zh-CN"/>
        </w:rPr>
      </w:pP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月</w:t>
      </w:r>
      <w:r>
        <w:rPr>
          <w:rFonts w:hint="eastAsia" w:ascii="宋体" w:hAnsi="宋体" w:cs="宋体"/>
          <w:color w:val="auto"/>
          <w:sz w:val="21"/>
          <w:szCs w:val="21"/>
          <w:lang w:val="en-US" w:eastAsia="zh-CN"/>
        </w:rPr>
        <w:t>29日</w:t>
      </w:r>
    </w:p>
    <w:p>
      <w:pPr>
        <w:pStyle w:val="3"/>
        <w:spacing w:before="0" w:after="0" w:line="240" w:lineRule="auto"/>
        <w:rPr>
          <w:rFonts w:hint="eastAsia"/>
          <w:color w:val="auto"/>
          <w:sz w:val="28"/>
          <w:szCs w:val="28"/>
          <w:lang w:val="en-US" w:eastAsia="zh-CN"/>
        </w:rPr>
      </w:pPr>
      <w:bookmarkStart w:id="5" w:name="_Toc24505"/>
      <w:bookmarkStart w:id="6" w:name="_Toc28550"/>
      <w:r>
        <w:rPr>
          <w:rFonts w:hint="eastAsia"/>
          <w:color w:val="auto"/>
          <w:sz w:val="28"/>
          <w:szCs w:val="28"/>
          <w:lang w:val="en-US" w:eastAsia="zh-CN"/>
        </w:rPr>
        <w:t xml:space="preserve">第二部分 </w:t>
      </w:r>
      <w:bookmarkStart w:id="7" w:name="_Toc20683"/>
      <w:r>
        <w:rPr>
          <w:rFonts w:hint="eastAsia"/>
          <w:color w:val="auto"/>
          <w:sz w:val="28"/>
          <w:szCs w:val="28"/>
          <w:lang w:val="en-US" w:eastAsia="zh-CN"/>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531"/>
        <w:gridCol w:w="77"/>
        <w:gridCol w:w="1158"/>
        <w:gridCol w:w="1455"/>
        <w:gridCol w:w="231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rPr>
              <w:t>序号</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1</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b/>
                <w:color w:val="auto"/>
                <w:sz w:val="21"/>
                <w:szCs w:val="21"/>
                <w:lang w:eastAsia="zh-CN"/>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default" w:ascii="宋体" w:hAnsi="宋体" w:eastAsia="宋体"/>
                <w:b/>
                <w:color w:val="auto"/>
                <w:sz w:val="21"/>
                <w:szCs w:val="21"/>
                <w:lang w:val="en-US" w:eastAsia="zh-CN"/>
              </w:rPr>
            </w:pPr>
            <w:r>
              <w:rPr>
                <w:rFonts w:hint="eastAsia" w:ascii="宋体" w:hAnsi="宋体"/>
                <w:color w:val="auto"/>
                <w:sz w:val="21"/>
                <w:szCs w:val="21"/>
                <w:lang w:val="en-US" w:eastAsia="zh-CN"/>
              </w:rPr>
              <w:t>自筹</w:t>
            </w:r>
            <w:r>
              <w:rPr>
                <w:rFonts w:hint="eastAsia" w:ascii="宋体" w:hAnsi="宋体" w:eastAsia="宋体"/>
                <w:color w:val="auto"/>
                <w:sz w:val="21"/>
                <w:szCs w:val="21"/>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2</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rPr>
            </w:pPr>
            <w:r>
              <w:rPr>
                <w:rFonts w:hint="eastAsia" w:ascii="宋体" w:hAnsi="宋体" w:eastAsia="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rPr>
            </w:pPr>
            <w:r>
              <w:rPr>
                <w:rFonts w:hint="eastAsia" w:ascii="宋体" w:hAnsi="宋体" w:eastAsia="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3</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rPr>
            </w:pPr>
            <w:r>
              <w:rPr>
                <w:rFonts w:hint="eastAsia" w:ascii="宋体" w:hAnsi="宋体" w:eastAsia="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rPr>
            </w:pPr>
            <w:r>
              <w:rPr>
                <w:rFonts w:hint="eastAsia" w:ascii="宋体" w:hAnsi="宋体" w:eastAsia="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4</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253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政通招标网</w:t>
            </w:r>
          </w:p>
        </w:tc>
        <w:tc>
          <w:tcPr>
            <w:tcW w:w="269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宋体" w:hAnsi="宋体" w:eastAsia="宋体"/>
                <w:b/>
                <w:color w:val="auto"/>
                <w:sz w:val="21"/>
                <w:szCs w:val="21"/>
                <w:lang w:val="en-US"/>
              </w:rPr>
            </w:pPr>
            <w:r>
              <w:rPr>
                <w:rFonts w:hint="eastAsia" w:ascii="宋体" w:hAnsi="宋体" w:eastAsia="宋体"/>
                <w:b/>
                <w:color w:val="auto"/>
                <w:sz w:val="21"/>
                <w:szCs w:val="21"/>
                <w:lang w:val="en-US" w:eastAsia="zh-CN"/>
              </w:rPr>
              <w:t>东莞</w:t>
            </w:r>
            <w:r>
              <w:rPr>
                <w:rFonts w:hint="eastAsia" w:ascii="宋体" w:hAnsi="宋体"/>
                <w:b/>
                <w:color w:val="auto"/>
                <w:sz w:val="21"/>
                <w:szCs w:val="21"/>
                <w:lang w:val="en-US" w:eastAsia="zh-CN"/>
              </w:rPr>
              <w:t>市能源投资集团</w:t>
            </w:r>
            <w:r>
              <w:rPr>
                <w:rFonts w:hint="eastAsia" w:ascii="宋体" w:hAnsi="宋体" w:eastAsia="宋体"/>
                <w:b/>
                <w:color w:val="auto"/>
                <w:sz w:val="21"/>
                <w:szCs w:val="21"/>
                <w:lang w:val="en-US" w:eastAsia="zh-CN"/>
              </w:rPr>
              <w:t>有限公司</w:t>
            </w:r>
            <w:r>
              <w:rPr>
                <w:rFonts w:hint="eastAsia" w:ascii="宋体" w:hAnsi="宋体"/>
                <w:b/>
                <w:color w:val="auto"/>
                <w:sz w:val="21"/>
                <w:szCs w:val="21"/>
                <w:lang w:val="en-US" w:eastAsia="zh-CN"/>
              </w:rPr>
              <w:t>网站</w:t>
            </w:r>
          </w:p>
        </w:tc>
        <w:tc>
          <w:tcPr>
            <w:tcW w:w="231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b/>
                <w:color w:val="auto"/>
                <w:sz w:val="21"/>
                <w:szCs w:val="21"/>
              </w:rPr>
            </w:pPr>
            <w:r>
              <w:rPr>
                <w:rFonts w:hint="eastAsia" w:ascii="宋体" w:hAnsi="宋体" w:eastAsia="宋体"/>
                <w:b/>
                <w:color w:val="auto"/>
                <w:sz w:val="21"/>
                <w:szCs w:val="21"/>
                <w:highlight w:val="none"/>
              </w:rPr>
              <w:t>中国招标投标公共服务平台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74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253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rPr>
            </w:pPr>
            <w:r>
              <w:rPr>
                <w:rFonts w:hint="eastAsia" w:ascii="宋体" w:hAnsi="宋体" w:eastAsia="宋体"/>
                <w:color w:val="auto"/>
                <w:sz w:val="21"/>
                <w:szCs w:val="21"/>
                <w:highlight w:val="none"/>
              </w:rPr>
              <w:t>http://www.zttendering.com/</w:t>
            </w:r>
          </w:p>
        </w:tc>
        <w:tc>
          <w:tcPr>
            <w:tcW w:w="269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rPr>
            </w:pPr>
            <w:r>
              <w:rPr>
                <w:rFonts w:hint="eastAsia" w:ascii="宋体" w:hAnsi="宋体" w:eastAsia="宋体"/>
                <w:bCs/>
                <w:color w:val="auto"/>
                <w:sz w:val="21"/>
                <w:szCs w:val="21"/>
                <w:highlight w:val="none"/>
              </w:rPr>
              <w:t>http://www.dg-energy.com/</w:t>
            </w:r>
          </w:p>
        </w:tc>
        <w:tc>
          <w:tcPr>
            <w:tcW w:w="231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ascii="宋体" w:hAnsi="宋体" w:eastAsia="宋体"/>
                <w:bCs/>
                <w:color w:val="auto"/>
                <w:sz w:val="21"/>
                <w:szCs w:val="21"/>
                <w:highlight w:val="none"/>
              </w:rPr>
              <w:t>http://www.cebpubservice.com</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75"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5</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rPr>
            </w:pPr>
            <w:r>
              <w:rPr>
                <w:rFonts w:hint="eastAsia" w:ascii="宋体" w:hAnsi="宋体" w:eastAsia="宋体"/>
                <w:b/>
                <w:color w:val="auto"/>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5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rPr>
            </w:pPr>
            <w:r>
              <w:rPr>
                <w:rFonts w:hint="eastAsia" w:ascii="宋体" w:hAnsi="宋体" w:eastAsia="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6</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7</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b/>
                <w:color w:val="auto"/>
                <w:sz w:val="21"/>
                <w:szCs w:val="21"/>
                <w:lang w:eastAsia="zh-CN"/>
              </w:rPr>
            </w:pPr>
            <w:r>
              <w:rPr>
                <w:rFonts w:hint="eastAsia" w:ascii="宋体" w:hAnsi="宋体" w:eastAsia="宋体"/>
                <w:b/>
                <w:color w:val="auto"/>
                <w:sz w:val="21"/>
                <w:szCs w:val="21"/>
              </w:rPr>
              <w:t>投标样品</w:t>
            </w:r>
            <w:r>
              <w:rPr>
                <w:rFonts w:hint="eastAsia" w:ascii="宋体" w:hAnsi="宋体"/>
                <w:b/>
                <w:color w:val="auto"/>
                <w:sz w:val="21"/>
                <w:szCs w:val="21"/>
                <w:lang w:eastAsia="zh-CN"/>
              </w:rPr>
              <w:t>（</w:t>
            </w:r>
            <w:r>
              <w:rPr>
                <w:rFonts w:hint="eastAsia" w:ascii="宋体" w:hAnsi="宋体"/>
                <w:b/>
                <w:color w:val="auto"/>
                <w:sz w:val="21"/>
                <w:szCs w:val="21"/>
                <w:lang w:val="en-US" w:eastAsia="zh-CN"/>
              </w:rPr>
              <w:t>如有</w:t>
            </w:r>
            <w:r>
              <w:rPr>
                <w:rFonts w:hint="eastAsia" w:ascii="宋体" w:hAnsi="宋体"/>
                <w:b/>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8</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olor w:val="auto"/>
                <w:sz w:val="21"/>
                <w:szCs w:val="21"/>
                <w:lang w:eastAsia="zh-CN"/>
              </w:rPr>
            </w:pPr>
            <w:r>
              <w:rPr>
                <w:rFonts w:hint="eastAsia" w:ascii="宋体" w:hAnsi="宋体" w:eastAsia="宋体"/>
                <w:color w:val="auto"/>
                <w:sz w:val="21"/>
                <w:szCs w:val="21"/>
              </w:rPr>
              <w:t>“●”为核心产品</w:t>
            </w:r>
            <w:r>
              <w:rPr>
                <w:rFonts w:hint="eastAsia" w:ascii="宋体" w:hAnsi="宋体"/>
                <w:color w:val="auto"/>
                <w:sz w:val="21"/>
                <w:szCs w:val="21"/>
                <w:lang w:eastAsia="zh-CN"/>
              </w:rPr>
              <w:t>（</w:t>
            </w:r>
            <w:r>
              <w:rPr>
                <w:rFonts w:hint="eastAsia" w:ascii="宋体" w:hAnsi="宋体"/>
                <w:color w:val="auto"/>
                <w:sz w:val="21"/>
                <w:szCs w:val="21"/>
                <w:lang w:val="en-US" w:eastAsia="zh-CN"/>
              </w:rPr>
              <w:t>本项目无核心产品</w:t>
            </w:r>
            <w:r>
              <w:rPr>
                <w:rFonts w:hint="eastAsia" w:ascii="宋体" w:hAnsi="宋体"/>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9</w:t>
            </w:r>
          </w:p>
        </w:tc>
        <w:tc>
          <w:tcPr>
            <w:tcW w:w="753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b/>
                <w:color w:val="auto"/>
                <w:sz w:val="21"/>
                <w:szCs w:val="21"/>
                <w:lang w:eastAsia="zh-CN"/>
              </w:rPr>
            </w:pPr>
            <w:r>
              <w:rPr>
                <w:rFonts w:hint="eastAsia" w:ascii="宋体" w:hAnsi="宋体" w:eastAsia="宋体"/>
                <w:color w:val="auto"/>
                <w:sz w:val="21"/>
                <w:szCs w:val="21"/>
              </w:rPr>
              <w:t>★</w:t>
            </w:r>
            <w:r>
              <w:rPr>
                <w:rFonts w:hint="eastAsia" w:ascii="宋体" w:hAnsi="宋体" w:eastAsia="宋体"/>
                <w:b/>
                <w:color w:val="auto"/>
                <w:sz w:val="21"/>
                <w:szCs w:val="21"/>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lang w:val="en-US" w:eastAsia="zh-CN"/>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b/>
                <w:color w:val="auto"/>
                <w:sz w:val="21"/>
                <w:szCs w:val="21"/>
              </w:rPr>
            </w:pPr>
            <w:r>
              <w:rPr>
                <w:rFonts w:hint="eastAsia" w:ascii="宋体" w:hAnsi="宋体" w:eastAsia="宋体"/>
                <w:color w:val="auto"/>
                <w:sz w:val="21"/>
                <w:szCs w:val="21"/>
              </w:rPr>
              <w:t>（1）投标保证金金额：人民币</w:t>
            </w:r>
            <w:r>
              <w:rPr>
                <w:rFonts w:hint="eastAsia" w:ascii="宋体" w:hAnsi="宋体"/>
                <w:b/>
                <w:color w:val="auto"/>
                <w:sz w:val="21"/>
                <w:szCs w:val="21"/>
                <w:lang w:val="en-US" w:eastAsia="zh-CN"/>
              </w:rPr>
              <w:t>壹万</w:t>
            </w:r>
            <w:r>
              <w:rPr>
                <w:rFonts w:hint="eastAsia" w:ascii="宋体" w:hAnsi="宋体" w:eastAsia="宋体"/>
                <w:color w:val="auto"/>
                <w:sz w:val="21"/>
                <w:szCs w:val="21"/>
              </w:rPr>
              <w:t>元整（￥</w:t>
            </w:r>
            <w:r>
              <w:rPr>
                <w:rFonts w:hint="eastAsia" w:ascii="宋体" w:hAnsi="宋体"/>
                <w:b/>
                <w:color w:val="auto"/>
                <w:sz w:val="21"/>
                <w:szCs w:val="21"/>
                <w:lang w:val="en-US" w:eastAsia="zh-CN"/>
              </w:rPr>
              <w:t>10,000.00</w:t>
            </w:r>
            <w:r>
              <w:rPr>
                <w:rFonts w:hint="eastAsia" w:ascii="宋体" w:hAnsi="宋体" w:eastAsia="宋体"/>
                <w:color w:val="auto"/>
                <w:sz w:val="21"/>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lang w:val="en-US" w:eastAsia="zh-CN"/>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b/>
                <w:color w:val="auto"/>
                <w:sz w:val="21"/>
                <w:szCs w:val="21"/>
              </w:rPr>
            </w:pPr>
            <w:r>
              <w:rPr>
                <w:rFonts w:hint="eastAsia" w:ascii="宋体" w:hAnsi="宋体" w:eastAsia="宋体"/>
                <w:color w:val="auto"/>
                <w:sz w:val="21"/>
                <w:szCs w:val="21"/>
              </w:rPr>
              <w:t>（2）</w:t>
            </w:r>
            <w:r>
              <w:rPr>
                <w:rFonts w:hint="eastAsia" w:ascii="宋体" w:hAnsi="宋体" w:eastAsia="宋体"/>
                <w:color w:val="auto"/>
                <w:sz w:val="21"/>
                <w:szCs w:val="21"/>
                <w:lang w:val="zh-CN"/>
              </w:rPr>
              <w:t>投标保证金须严格按“招标文件第</w:t>
            </w:r>
            <w:r>
              <w:rPr>
                <w:rFonts w:hint="eastAsia" w:ascii="宋体" w:hAnsi="宋体" w:eastAsia="宋体"/>
                <w:color w:val="auto"/>
                <w:sz w:val="21"/>
                <w:szCs w:val="21"/>
              </w:rPr>
              <w:t>四部分</w:t>
            </w:r>
            <w:r>
              <w:rPr>
                <w:rFonts w:hint="eastAsia" w:ascii="宋体" w:hAnsi="宋体" w:eastAsia="宋体"/>
                <w:color w:val="auto"/>
                <w:sz w:val="21"/>
                <w:szCs w:val="21"/>
                <w:lang w:val="en-US" w:eastAsia="zh-CN"/>
              </w:rPr>
              <w:t>投</w:t>
            </w:r>
            <w:r>
              <w:rPr>
                <w:rFonts w:hint="eastAsia" w:ascii="宋体" w:hAnsi="宋体" w:eastAsia="宋体"/>
                <w:color w:val="auto"/>
                <w:sz w:val="21"/>
                <w:szCs w:val="21"/>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lang w:val="en-US" w:eastAsia="zh-CN"/>
              </w:rPr>
            </w:pPr>
          </w:p>
        </w:tc>
        <w:tc>
          <w:tcPr>
            <w:tcW w:w="7532" w:type="dxa"/>
            <w:gridSpan w:val="5"/>
            <w:vAlign w:val="center"/>
          </w:tcPr>
          <w:p>
            <w:pPr>
              <w:spacing w:after="0"/>
              <w:jc w:val="both"/>
              <w:rPr>
                <w:rFonts w:ascii="宋体" w:hAnsi="宋体" w:eastAsia="宋体"/>
                <w:color w:val="auto"/>
                <w:sz w:val="21"/>
                <w:szCs w:val="21"/>
                <w:lang w:val="zh-CN"/>
              </w:rPr>
            </w:pPr>
            <w:r>
              <w:rPr>
                <w:rFonts w:hint="eastAsia" w:ascii="宋体" w:hAnsi="宋体" w:eastAsia="宋体"/>
                <w:color w:val="auto"/>
                <w:sz w:val="21"/>
                <w:szCs w:val="21"/>
                <w:lang w:val="zh-CN"/>
              </w:rPr>
              <w:t>（3）保证金递交账户：</w:t>
            </w:r>
          </w:p>
          <w:p>
            <w:pPr>
              <w:spacing w:after="0"/>
              <w:jc w:val="both"/>
              <w:rPr>
                <w:rFonts w:hint="eastAsia" w:ascii="宋体" w:hAnsi="宋体" w:eastAsia="宋体"/>
                <w:color w:val="auto"/>
                <w:sz w:val="21"/>
                <w:szCs w:val="21"/>
                <w:lang w:val="zh-CN"/>
              </w:rPr>
            </w:pPr>
            <w:r>
              <w:rPr>
                <w:rFonts w:hint="eastAsia" w:ascii="宋体" w:hAnsi="宋体" w:eastAsia="宋体"/>
                <w:color w:val="auto"/>
                <w:sz w:val="21"/>
                <w:szCs w:val="21"/>
                <w:lang w:val="zh-CN"/>
              </w:rPr>
              <w:t>收款人：广东政通招标有限公司</w:t>
            </w:r>
          </w:p>
          <w:p>
            <w:pPr>
              <w:spacing w:after="0"/>
              <w:jc w:val="both"/>
              <w:rPr>
                <w:rFonts w:hint="eastAsia" w:ascii="宋体" w:hAnsi="宋体" w:eastAsia="宋体"/>
                <w:color w:val="auto"/>
                <w:sz w:val="21"/>
                <w:szCs w:val="21"/>
                <w:lang w:val="zh-CN"/>
              </w:rPr>
            </w:pPr>
            <w:r>
              <w:rPr>
                <w:rFonts w:hint="eastAsia" w:ascii="宋体" w:hAnsi="宋体" w:eastAsia="宋体"/>
                <w:color w:val="auto"/>
                <w:sz w:val="21"/>
                <w:szCs w:val="21"/>
                <w:lang w:val="zh-CN"/>
              </w:rPr>
              <w:t>开户行：广发银行股份有限公司东莞新城支行</w:t>
            </w:r>
          </w:p>
          <w:p>
            <w:pPr>
              <w:spacing w:after="0"/>
              <w:jc w:val="both"/>
              <w:rPr>
                <w:rFonts w:hint="eastAsia" w:ascii="宋体" w:hAnsi="宋体" w:eastAsia="宋体"/>
                <w:color w:val="auto"/>
                <w:sz w:val="21"/>
                <w:szCs w:val="21"/>
                <w:lang w:val="zh-CN"/>
              </w:rPr>
            </w:pPr>
          </w:p>
          <w:p>
            <w:pPr>
              <w:spacing w:after="0"/>
              <w:jc w:val="both"/>
              <w:rPr>
                <w:rFonts w:ascii="宋体" w:hAnsi="宋体" w:eastAsia="宋体"/>
                <w:color w:val="auto"/>
                <w:sz w:val="21"/>
                <w:szCs w:val="21"/>
                <w:lang w:val="zh-CN"/>
              </w:rPr>
            </w:pPr>
            <w:r>
              <w:rPr>
                <w:rFonts w:hint="eastAsia" w:ascii="宋体" w:hAnsi="宋体" w:eastAsia="宋体"/>
                <w:color w:val="auto"/>
                <w:sz w:val="21"/>
                <w:szCs w:val="21"/>
                <w:lang w:val="zh-CN"/>
              </w:rPr>
              <w:t>帐  号：6232590699050046471</w:t>
            </w:r>
            <w:bookmarkStart w:id="321" w:name="_GoBack"/>
            <w:bookmarkEnd w:id="321"/>
          </w:p>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olor w:val="auto"/>
                <w:sz w:val="21"/>
                <w:szCs w:val="21"/>
              </w:rPr>
            </w:pPr>
            <w:r>
              <w:rPr>
                <w:rFonts w:hint="eastAsia" w:ascii="宋体" w:hAnsi="宋体" w:eastAsia="宋体"/>
                <w:color w:val="auto"/>
                <w:sz w:val="21"/>
                <w:szCs w:val="21"/>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10</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3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11</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r>
              <w:rPr>
                <w:rFonts w:hint="eastAsia" w:ascii="宋体" w:hAnsi="宋体" w:eastAsia="宋体"/>
                <w:b/>
                <w:color w:val="auto"/>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3766"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信用中国</w:t>
            </w:r>
          </w:p>
        </w:tc>
        <w:tc>
          <w:tcPr>
            <w:tcW w:w="3766"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3766"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rPr>
              <w:t>https://www.creditchina.gov.cn/</w:t>
            </w:r>
          </w:p>
        </w:tc>
        <w:tc>
          <w:tcPr>
            <w:tcW w:w="3766"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12</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投标文件类型</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b/>
                <w:color w:val="auto"/>
                <w:sz w:val="21"/>
                <w:szCs w:val="21"/>
                <w:lang w:eastAsia="zh-CN"/>
              </w:rPr>
            </w:pPr>
            <w:r>
              <w:rPr>
                <w:rFonts w:hint="eastAsia" w:ascii="宋体" w:hAnsi="宋体" w:eastAsia="宋体"/>
                <w:b/>
                <w:color w:val="auto"/>
                <w:sz w:val="21"/>
                <w:szCs w:val="21"/>
                <w:lang w:eastAsia="zh-CN"/>
              </w:rPr>
              <w:t>唱标文件</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投标文件正本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投标文件副本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b/>
                <w:color w:val="auto"/>
                <w:sz w:val="21"/>
                <w:szCs w:val="21"/>
                <w:lang w:eastAsia="zh-CN"/>
              </w:rPr>
            </w:pPr>
            <w:r>
              <w:rPr>
                <w:rFonts w:hint="eastAsia" w:ascii="宋体" w:hAnsi="宋体"/>
                <w:b/>
                <w:color w:val="auto"/>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电子文档</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57"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13</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37"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14</w:t>
            </w:r>
          </w:p>
        </w:tc>
        <w:tc>
          <w:tcPr>
            <w:tcW w:w="7532" w:type="dxa"/>
            <w:gridSpan w:val="5"/>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shd w:val="clear" w:color="auto" w:fill="auto"/>
            <w:vAlign w:val="center"/>
          </w:tcPr>
          <w:p>
            <w:pPr>
              <w:spacing w:after="0"/>
              <w:jc w:val="both"/>
              <w:rPr>
                <w:rFonts w:hint="eastAsia" w:ascii="宋体" w:hAnsi="宋体" w:eastAsia="宋体"/>
                <w:color w:val="auto"/>
                <w:sz w:val="21"/>
                <w:szCs w:val="21"/>
              </w:rPr>
            </w:pPr>
            <w:r>
              <w:rPr>
                <w:rFonts w:hint="eastAsia" w:ascii="宋体" w:hAnsi="宋体" w:eastAsia="宋体"/>
                <w:color w:val="auto"/>
                <w:sz w:val="21"/>
                <w:szCs w:val="21"/>
              </w:rPr>
              <w:t>履约保证金形式：采用银行转账或者以专业担保机构、金融机构出具的担保函的形式。</w:t>
            </w:r>
          </w:p>
          <w:p>
            <w:pPr>
              <w:spacing w:after="0"/>
              <w:jc w:val="both"/>
              <w:rPr>
                <w:rFonts w:hint="eastAsia" w:ascii="宋体" w:hAnsi="宋体" w:eastAsia="宋体"/>
                <w:color w:val="auto"/>
                <w:sz w:val="21"/>
                <w:szCs w:val="21"/>
              </w:rPr>
            </w:pPr>
            <w:r>
              <w:rPr>
                <w:rFonts w:hint="eastAsia" w:ascii="宋体" w:hAnsi="宋体" w:eastAsia="宋体"/>
                <w:color w:val="auto"/>
                <w:sz w:val="21"/>
                <w:szCs w:val="21"/>
              </w:rPr>
              <w:t>履约保证金金额：人民币</w:t>
            </w:r>
            <w:r>
              <w:rPr>
                <w:rFonts w:hint="eastAsia" w:ascii="宋体" w:hAnsi="宋体"/>
                <w:color w:val="auto"/>
                <w:sz w:val="21"/>
                <w:szCs w:val="21"/>
                <w:lang w:val="en-US" w:eastAsia="zh-CN"/>
              </w:rPr>
              <w:t>壹万</w:t>
            </w:r>
            <w:r>
              <w:rPr>
                <w:rFonts w:hint="eastAsia" w:ascii="宋体" w:hAnsi="宋体" w:eastAsia="宋体"/>
                <w:color w:val="auto"/>
                <w:sz w:val="21"/>
                <w:szCs w:val="21"/>
              </w:rPr>
              <w:t>元整（¥</w:t>
            </w:r>
            <w:r>
              <w:rPr>
                <w:rFonts w:hint="eastAsia" w:ascii="宋体" w:hAnsi="宋体"/>
                <w:color w:val="auto"/>
                <w:sz w:val="21"/>
                <w:szCs w:val="21"/>
                <w:lang w:val="en-US" w:eastAsia="zh-CN"/>
              </w:rPr>
              <w:t>1</w:t>
            </w:r>
            <w:r>
              <w:rPr>
                <w:rFonts w:hint="eastAsia" w:ascii="宋体" w:hAnsi="宋体" w:eastAsia="宋体"/>
                <w:color w:val="auto"/>
                <w:sz w:val="21"/>
                <w:szCs w:val="21"/>
              </w:rPr>
              <w:t>0,000.00元）</w:t>
            </w:r>
          </w:p>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履约保证金账户：采购人指定账户(单位基本账户)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15</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default" w:ascii="宋体" w:hAnsi="宋体" w:eastAsia="宋体"/>
                <w:color w:val="auto"/>
                <w:sz w:val="21"/>
                <w:szCs w:val="21"/>
                <w:lang w:val="en-US"/>
              </w:rPr>
            </w:pPr>
            <w:r>
              <w:rPr>
                <w:rFonts w:hint="eastAsia" w:ascii="宋体" w:hAnsi="宋体" w:eastAsia="宋体"/>
                <w:color w:val="auto"/>
                <w:sz w:val="21"/>
                <w:szCs w:val="21"/>
              </w:rPr>
              <w:t>（1）</w:t>
            </w:r>
            <w:r>
              <w:rPr>
                <w:rFonts w:hint="eastAsia" w:ascii="宋体" w:hAnsi="宋体" w:eastAsia="宋体"/>
                <w:color w:val="auto"/>
                <w:sz w:val="21"/>
                <w:szCs w:val="21"/>
                <w:lang w:val="en-US" w:eastAsia="zh-CN"/>
              </w:rPr>
              <w:t>本项目向</w:t>
            </w:r>
            <w:r>
              <w:rPr>
                <w:rFonts w:hint="eastAsia" w:ascii="宋体" w:hAnsi="宋体"/>
                <w:color w:val="auto"/>
                <w:sz w:val="21"/>
                <w:szCs w:val="21"/>
                <w:lang w:val="en-US" w:eastAsia="zh-CN"/>
              </w:rPr>
              <w:t>每家中标单位</w:t>
            </w:r>
            <w:r>
              <w:rPr>
                <w:rFonts w:hint="eastAsia" w:ascii="宋体" w:hAnsi="宋体" w:eastAsia="宋体"/>
                <w:color w:val="auto"/>
                <w:sz w:val="21"/>
                <w:szCs w:val="21"/>
                <w:lang w:val="en-US" w:eastAsia="zh-CN"/>
              </w:rPr>
              <w:t>定额收取中标服务费</w:t>
            </w:r>
            <w:r>
              <w:rPr>
                <w:rFonts w:hint="eastAsia" w:ascii="宋体" w:hAnsi="宋体"/>
                <w:color w:val="auto"/>
                <w:sz w:val="21"/>
                <w:szCs w:val="21"/>
                <w:lang w:val="en-US" w:eastAsia="zh-CN"/>
              </w:rPr>
              <w:t>金额为：人民币叁仟伍佰</w:t>
            </w:r>
            <w:r>
              <w:rPr>
                <w:rFonts w:hint="eastAsia" w:ascii="宋体" w:hAnsi="宋体" w:eastAsia="宋体"/>
                <w:color w:val="auto"/>
                <w:sz w:val="21"/>
                <w:szCs w:val="21"/>
                <w:lang w:val="en-US" w:eastAsia="zh-CN"/>
              </w:rPr>
              <w:t>元整（¥</w:t>
            </w:r>
            <w:r>
              <w:rPr>
                <w:rFonts w:hint="eastAsia" w:ascii="宋体" w:hAnsi="宋体"/>
                <w:color w:val="auto"/>
                <w:sz w:val="21"/>
                <w:szCs w:val="21"/>
                <w:lang w:val="en-US" w:eastAsia="zh-CN"/>
              </w:rPr>
              <w:t>3,500</w:t>
            </w:r>
            <w:r>
              <w:rPr>
                <w:rFonts w:hint="eastAsia" w:ascii="宋体" w:hAnsi="宋体" w:eastAsia="宋体"/>
                <w:color w:val="auto"/>
                <w:sz w:val="21"/>
                <w:szCs w:val="21"/>
                <w:lang w:val="en-US" w:eastAsia="zh-CN"/>
              </w:rPr>
              <w:t>.00）</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（2）中标服务费以转账或现金的形式支付。采购代理机构服务费汇入账号：</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6"/>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注：本表关于要采购项目的具体资料，是对投标人须知的具体补充和修改，如有矛盾，应以本资料表为准。</w:t>
            </w:r>
          </w:p>
        </w:tc>
      </w:tr>
    </w:tbl>
    <w:p>
      <w:pPr>
        <w:bidi w:val="0"/>
        <w:rPr>
          <w:rFonts w:hint="eastAsia"/>
          <w:color w:val="auto"/>
        </w:rPr>
      </w:pPr>
    </w:p>
    <w:p>
      <w:pPr>
        <w:rPr>
          <w:rFonts w:hint="eastAsia"/>
          <w:color w:val="auto"/>
          <w:sz w:val="28"/>
          <w:szCs w:val="28"/>
          <w:lang w:val="en-US" w:eastAsia="zh-CN"/>
        </w:rPr>
      </w:pPr>
      <w:bookmarkStart w:id="8" w:name="_Toc13473"/>
      <w:bookmarkStart w:id="9" w:name="_Hlk55300595"/>
      <w:bookmarkStart w:id="10" w:name="_Toc5749"/>
      <w:bookmarkStart w:id="11" w:name="_Toc9572"/>
      <w:r>
        <w:rPr>
          <w:rFonts w:hint="eastAsia"/>
          <w:color w:val="auto"/>
          <w:sz w:val="28"/>
          <w:szCs w:val="28"/>
          <w:lang w:val="en-US" w:eastAsia="zh-CN"/>
        </w:rPr>
        <w:br w:type="page"/>
      </w: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rPr>
      </w:pPr>
      <w:r>
        <w:rPr>
          <w:rFonts w:hint="eastAsia"/>
          <w:color w:val="auto"/>
          <w:sz w:val="28"/>
          <w:szCs w:val="28"/>
          <w:lang w:val="en-US" w:eastAsia="zh-CN"/>
        </w:rPr>
        <w:t xml:space="preserve">第三部分 </w:t>
      </w:r>
      <w:bookmarkStart w:id="12" w:name="_Hlk55300643"/>
      <w:bookmarkStart w:id="13" w:name="_Toc71133523"/>
      <w:r>
        <w:rPr>
          <w:rFonts w:hint="eastAsia"/>
          <w:color w:val="auto"/>
          <w:sz w:val="28"/>
          <w:szCs w:val="28"/>
          <w:lang w:val="en-US" w:eastAsia="zh-CN"/>
        </w:rPr>
        <w:t>评分</w:t>
      </w:r>
      <w:bookmarkStart w:id="14" w:name="_Hlk55209874"/>
      <w:r>
        <w:rPr>
          <w:rFonts w:hint="eastAsia"/>
          <w:color w:val="auto"/>
          <w:sz w:val="28"/>
          <w:szCs w:val="28"/>
          <w:lang w:val="en-US" w:eastAsia="zh-CN"/>
        </w:rPr>
        <w:t>权重分配表</w:t>
      </w:r>
      <w:bookmarkEnd w:id="8"/>
      <w:bookmarkEnd w:id="9"/>
      <w:bookmarkEnd w:id="10"/>
      <w:bookmarkEnd w:id="12"/>
      <w:bookmarkEnd w:id="13"/>
      <w:bookmarkEnd w:id="14"/>
    </w:p>
    <w:p>
      <w:pPr>
        <w:pStyle w:val="4"/>
        <w:spacing w:before="0" w:after="0" w:line="240" w:lineRule="auto"/>
        <w:jc w:val="center"/>
        <w:rPr>
          <w:rFonts w:hint="eastAsia" w:ascii="宋体" w:hAnsi="宋体" w:cs="宋体"/>
          <w:color w:val="auto"/>
          <w:sz w:val="24"/>
          <w:szCs w:val="24"/>
          <w:lang w:eastAsia="zh-CN"/>
        </w:rPr>
      </w:pPr>
      <w:bookmarkStart w:id="15" w:name="_Toc18413"/>
      <w:bookmarkStart w:id="16" w:name="_Toc21613"/>
      <w:r>
        <w:rPr>
          <w:rFonts w:hint="eastAsia" w:ascii="宋体" w:hAnsi="宋体" w:eastAsia="宋体" w:cs="宋体"/>
          <w:color w:val="auto"/>
          <w:sz w:val="24"/>
          <w:szCs w:val="24"/>
        </w:rPr>
        <w:t>评分权重细则表</w:t>
      </w:r>
      <w:bookmarkEnd w:id="11"/>
      <w:bookmarkEnd w:id="15"/>
      <w:bookmarkEnd w:id="16"/>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满分100分</w:t>
      </w:r>
      <w:r>
        <w:rPr>
          <w:rFonts w:hint="eastAsia" w:ascii="宋体" w:hAnsi="宋体" w:cs="宋体"/>
          <w:color w:val="auto"/>
          <w:sz w:val="24"/>
          <w:szCs w:val="24"/>
          <w:lang w:eastAsia="zh-CN"/>
        </w:rPr>
        <w:t>）</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rPr>
            </w:pPr>
            <w:r>
              <w:rPr>
                <w:rFonts w:hint="eastAsia" w:ascii="宋体" w:eastAsia="宋体" w:cs="宋体"/>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宋体"/>
                <w:bCs/>
                <w:sz w:val="21"/>
                <w:szCs w:val="21"/>
                <w:lang w:val="zh-CN"/>
              </w:rPr>
            </w:pPr>
            <w:r>
              <w:rPr>
                <w:rFonts w:hint="eastAsia" w:ascii="宋体" w:eastAsia="宋体" w:cs="宋体"/>
                <w:sz w:val="21"/>
                <w:szCs w:val="21"/>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rPr>
            </w:pPr>
            <w:r>
              <w:rPr>
                <w:rFonts w:hint="eastAsia" w:ascii="宋体" w:eastAsia="宋体" w:cs="宋体"/>
                <w:sz w:val="21"/>
                <w:szCs w:val="21"/>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eastAsia="宋体" w:cs="宋体"/>
                <w:bCs/>
                <w:sz w:val="21"/>
                <w:szCs w:val="21"/>
                <w:lang w:val="zh-CN" w:eastAsia="zh-CN"/>
              </w:rPr>
            </w:pPr>
            <w:r>
              <w:rPr>
                <w:rFonts w:hint="eastAsia" w:ascii="宋体" w:eastAsia="宋体" w:cs="宋体"/>
                <w:bCs/>
                <w:sz w:val="21"/>
                <w:szCs w:val="21"/>
                <w:lang w:val="zh-CN"/>
              </w:rPr>
              <w:t>格分计算方法：满足招标文件要求且投标报价最低（即最大下浮率）的投标报价为评标基准价，其价格分为满分。其他</w:t>
            </w:r>
            <w:r>
              <w:rPr>
                <w:rFonts w:hint="eastAsia" w:ascii="宋体" w:eastAsia="宋体" w:cs="宋体"/>
                <w:bCs/>
                <w:sz w:val="21"/>
                <w:szCs w:val="21"/>
                <w:lang w:val="zh-CN" w:eastAsia="zh-CN"/>
              </w:rPr>
              <w:t>供应商</w:t>
            </w:r>
            <w:r>
              <w:rPr>
                <w:rFonts w:hint="eastAsia" w:ascii="宋体" w:eastAsia="宋体" w:cs="宋体"/>
                <w:bCs/>
                <w:sz w:val="21"/>
                <w:szCs w:val="21"/>
                <w:lang w:val="zh-CN"/>
              </w:rPr>
              <w:t>的价格分统一按照下列公式计算：</w:t>
            </w:r>
            <w:r>
              <w:rPr>
                <w:rFonts w:hint="eastAsia" w:ascii="宋体" w:eastAsia="宋体" w:cs="宋体"/>
                <w:bCs/>
                <w:sz w:val="21"/>
                <w:szCs w:val="21"/>
                <w:lang w:val="zh-CN" w:eastAsia="zh-CN"/>
              </w:rPr>
              <w:t xml:space="preserve">   </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eastAsia="宋体" w:cs="宋体"/>
                <w:bCs/>
                <w:sz w:val="21"/>
                <w:szCs w:val="21"/>
                <w:lang w:val="zh-CN"/>
              </w:rPr>
            </w:pPr>
            <w:r>
              <w:rPr>
                <w:rFonts w:hint="eastAsia" w:ascii="宋体" w:eastAsia="宋体" w:cs="宋体"/>
                <w:bCs/>
                <w:sz w:val="21"/>
                <w:szCs w:val="21"/>
                <w:lang w:val="zh-CN"/>
              </w:rPr>
              <w:t>投标报价得分=[(1-最大下浮率)／(1-投标下浮率)] ×价格权重</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eastAsia="宋体" w:cs="宋体"/>
                <w:bCs/>
                <w:sz w:val="21"/>
                <w:szCs w:val="21"/>
                <w:lang w:val="en-US" w:eastAsia="zh-CN"/>
              </w:rPr>
            </w:pPr>
            <w:r>
              <w:rPr>
                <w:rFonts w:hint="eastAsia" w:ascii="宋体" w:eastAsia="宋体" w:cs="宋体"/>
                <w:bCs/>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sz w:val="21"/>
                <w:szCs w:val="21"/>
                <w:lang w:val="en-US" w:eastAsia="zh-CN"/>
              </w:rPr>
            </w:pPr>
            <w:r>
              <w:rPr>
                <w:rFonts w:hint="eastAsia" w:ascii="宋体" w:eastAsia="宋体" w:cs="宋体"/>
                <w:bCs/>
                <w:sz w:val="21"/>
                <w:szCs w:val="21"/>
                <w:lang w:val="en-US" w:eastAsia="zh-CN"/>
              </w:rPr>
              <w:t>商务评分（20分）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1</w:t>
            </w:r>
          </w:p>
        </w:tc>
        <w:tc>
          <w:tcPr>
            <w:tcW w:w="1290" w:type="dxa"/>
            <w:tcBorders>
              <w:top w:val="single" w:color="auto" w:sz="4" w:space="0"/>
              <w:left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ascii="宋体" w:eastAsia="宋体" w:cs="宋体"/>
                <w:sz w:val="21"/>
                <w:szCs w:val="21"/>
              </w:rPr>
            </w:pPr>
            <w:r>
              <w:rPr>
                <w:rFonts w:hint="eastAsia" w:ascii="宋体" w:hAnsi="宋体" w:eastAsia="宋体" w:cs="宋体"/>
                <w:color w:val="auto"/>
                <w:sz w:val="21"/>
                <w:szCs w:val="21"/>
                <w:highlight w:val="none"/>
              </w:rPr>
              <w:t>企业资质管理认证</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具有国家认证认可的监督管理部门批准设立的认证机构颁发并在有效期内质量管理体系认证</w:t>
            </w:r>
            <w:r>
              <w:rPr>
                <w:rFonts w:hint="eastAsia" w:ascii="宋体" w:hAnsi="宋体" w:cs="宋体"/>
                <w:color w:val="auto"/>
                <w:szCs w:val="21"/>
                <w:highlight w:val="none"/>
                <w:lang w:eastAsia="zh-CN"/>
              </w:rPr>
              <w:t>、</w:t>
            </w:r>
            <w:r>
              <w:rPr>
                <w:rFonts w:hint="eastAsia" w:ascii="宋体" w:eastAsia="宋体" w:cs="宋体"/>
                <w:bCs/>
                <w:color w:val="auto"/>
                <w:sz w:val="21"/>
                <w:szCs w:val="21"/>
                <w:highlight w:val="none"/>
                <w:lang w:val="zh-CN"/>
              </w:rPr>
              <w:t>环境管理体系认证、职业健康安全管理体系认证</w:t>
            </w:r>
            <w:r>
              <w:rPr>
                <w:rFonts w:hint="eastAsia" w:ascii="宋体" w:hAnsi="宋体" w:cs="宋体"/>
                <w:color w:val="auto"/>
                <w:szCs w:val="21"/>
                <w:highlight w:val="none"/>
              </w:rPr>
              <w:t>证书</w:t>
            </w:r>
            <w:r>
              <w:rPr>
                <w:rFonts w:hint="eastAsia" w:ascii="宋体" w:hAnsi="宋体" w:cs="宋体"/>
                <w:color w:val="auto"/>
                <w:szCs w:val="21"/>
                <w:highlight w:val="none"/>
                <w:lang w:val="en-US" w:eastAsia="zh-CN"/>
              </w:rPr>
              <w:t>的，每具有一个</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本项最高得3分。</w:t>
            </w:r>
          </w:p>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ascii="宋体" w:eastAsia="宋体" w:cs="宋体"/>
                <w:bCs/>
                <w:sz w:val="21"/>
                <w:szCs w:val="21"/>
                <w:lang w:val="zh-CN"/>
              </w:rPr>
            </w:pPr>
            <w:r>
              <w:rPr>
                <w:rFonts w:hint="eastAsia" w:ascii="宋体" w:hAnsi="宋体" w:eastAsia="宋体" w:cs="宋体"/>
                <w:bCs/>
                <w:color w:val="auto"/>
                <w:sz w:val="21"/>
                <w:szCs w:val="21"/>
                <w:highlight w:val="none"/>
                <w:lang w:val="zh-CN"/>
              </w:rPr>
              <w:t>注：须提供有效证书复印件并加盖投标人公章，不符合以上要求的不得分。</w:t>
            </w:r>
          </w:p>
        </w:tc>
        <w:tc>
          <w:tcPr>
            <w:tcW w:w="66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hint="eastAsia" w:ascii="宋体" w:eastAsia="宋体" w:cs="宋体"/>
                <w:bCs/>
                <w:sz w:val="21"/>
                <w:szCs w:val="21"/>
                <w:lang w:val="en-US" w:eastAsia="zh-CN"/>
              </w:rPr>
            </w:pPr>
            <w:r>
              <w:rPr>
                <w:rFonts w:hint="eastAsia" w:ascii="宋体" w:hAnsi="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651"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2</w:t>
            </w:r>
          </w:p>
        </w:tc>
        <w:tc>
          <w:tcPr>
            <w:tcW w:w="1290" w:type="dxa"/>
            <w:tcBorders>
              <w:left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ascii="宋体" w:eastAsia="宋体" w:cs="宋体"/>
                <w:sz w:val="21"/>
                <w:szCs w:val="21"/>
              </w:rPr>
            </w:pPr>
            <w:r>
              <w:rPr>
                <w:rFonts w:hint="eastAsia" w:hAnsi="宋体" w:cs="宋体"/>
                <w:bCs/>
                <w:color w:val="auto"/>
                <w:sz w:val="21"/>
                <w:szCs w:val="21"/>
                <w:highlight w:val="none"/>
              </w:rPr>
              <w:t>财务状况</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根据投标人201</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-202</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年的财务状况进行评审，连续三年盈利的得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分，连续两年盈利的得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分，只有一年盈利的得0.5分，其他不得分。</w:t>
            </w:r>
          </w:p>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ascii="宋体" w:eastAsia="宋体" w:cs="宋体"/>
                <w:bCs/>
                <w:sz w:val="21"/>
                <w:szCs w:val="21"/>
                <w:lang w:val="pt-BR"/>
              </w:rPr>
            </w:pPr>
            <w:r>
              <w:rPr>
                <w:rFonts w:hint="eastAsia" w:ascii="宋体" w:hAnsi="宋体" w:eastAsia="宋体" w:cs="宋体"/>
                <w:color w:val="auto"/>
                <w:sz w:val="21"/>
                <w:szCs w:val="21"/>
                <w:highlight w:val="none"/>
              </w:rPr>
              <w:t>注：以经会计师事务所审计的财务报告复印件加盖投标人公章为准，因提供的证明材料不清晰等无法反映相关数据的，不得分。</w:t>
            </w:r>
          </w:p>
        </w:tc>
        <w:tc>
          <w:tcPr>
            <w:tcW w:w="66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hint="default" w:ascii="宋体" w:eastAsia="宋体" w:cs="宋体"/>
                <w:bCs/>
                <w:sz w:val="21"/>
                <w:szCs w:val="21"/>
                <w:lang w:val="en-US" w:eastAsia="zh-CN"/>
              </w:rPr>
            </w:pPr>
            <w:r>
              <w:rPr>
                <w:rFonts w:hint="eastAsia" w:ascii="宋体" w:hAnsi="宋体" w:cs="宋体"/>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3</w:t>
            </w:r>
          </w:p>
        </w:tc>
        <w:tc>
          <w:tcPr>
            <w:tcW w:w="1290"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ascii="宋体" w:eastAsia="宋体" w:cs="宋体"/>
                <w:sz w:val="21"/>
                <w:szCs w:val="21"/>
              </w:rPr>
            </w:pPr>
            <w:r>
              <w:rPr>
                <w:rFonts w:hint="eastAsia" w:ascii="宋体" w:hAnsi="宋体" w:eastAsia="宋体" w:cs="宋体"/>
                <w:color w:val="auto"/>
                <w:sz w:val="21"/>
                <w:szCs w:val="21"/>
                <w:highlight w:val="none"/>
              </w:rPr>
              <w:t>企业信誉</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投标人自</w:t>
            </w:r>
            <w:r>
              <w:rPr>
                <w:rFonts w:hint="eastAsia" w:ascii="宋体" w:hAnsi="宋体" w:eastAsia="宋体" w:cs="宋体"/>
                <w:color w:val="auto"/>
                <w:szCs w:val="21"/>
                <w:highlight w:val="none"/>
              </w:rPr>
              <w:t>201</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年以来连续3年获得工商部门颁发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重合同守信用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 w:val="21"/>
                <w:szCs w:val="21"/>
                <w:highlight w:val="none"/>
              </w:rPr>
              <w:t>“守合同重信用”</w:t>
            </w:r>
            <w:r>
              <w:rPr>
                <w:rFonts w:hint="eastAsia" w:ascii="宋体" w:hAnsi="宋体" w:eastAsia="宋体" w:cs="宋体"/>
                <w:color w:val="auto"/>
                <w:szCs w:val="21"/>
                <w:highlight w:val="none"/>
              </w:rPr>
              <w:t>证书得3分，连续2年得2分，仅1年得1分，没有不得分。</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ascii="宋体" w:eastAsia="宋体" w:cs="宋体"/>
                <w:bCs/>
                <w:sz w:val="21"/>
                <w:szCs w:val="21"/>
                <w:lang w:val="zh-CN"/>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 w:val="21"/>
                <w:szCs w:val="21"/>
                <w:highlight w:val="none"/>
              </w:rPr>
              <w:t>以工商（市场）监管部门颁发的或由工商（市场）监管部门主管的行业协会颁发的为准，须提供有效的证书复印件加盖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hint="default" w:ascii="宋体" w:eastAsia="宋体" w:cs="宋体"/>
                <w:bCs/>
                <w:sz w:val="21"/>
                <w:szCs w:val="21"/>
                <w:lang w:val="en-US" w:eastAsia="zh-CN"/>
              </w:rPr>
            </w:pPr>
            <w:r>
              <w:rPr>
                <w:rFonts w:hint="eastAsia" w:ascii="宋体" w:hAnsi="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4</w:t>
            </w:r>
          </w:p>
        </w:tc>
        <w:tc>
          <w:tcPr>
            <w:tcW w:w="1290"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ascii="宋体" w:eastAsia="宋体" w:cs="宋体"/>
                <w:sz w:val="21"/>
                <w:szCs w:val="21"/>
              </w:rPr>
            </w:pPr>
            <w:r>
              <w:rPr>
                <w:rFonts w:hint="eastAsia" w:ascii="宋体" w:hAnsi="宋体" w:eastAsia="宋体" w:cs="宋体"/>
                <w:color w:val="auto"/>
                <w:sz w:val="21"/>
                <w:szCs w:val="21"/>
                <w:highlight w:val="none"/>
              </w:rPr>
              <w:t>项目业绩</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default" w:ascii="宋体" w:eastAsia="宋体" w:cs="宋体"/>
                <w:sz w:val="21"/>
                <w:szCs w:val="21"/>
                <w:lang w:val="zh-CN" w:eastAsia="zh-CN"/>
              </w:rPr>
            </w:pPr>
            <w:r>
              <w:rPr>
                <w:rFonts w:hint="eastAsia" w:ascii="宋体" w:eastAsia="宋体" w:cs="宋体"/>
                <w:sz w:val="21"/>
                <w:szCs w:val="21"/>
                <w:lang w:val="zh-CN" w:eastAsia="zh-CN"/>
              </w:rPr>
              <w:t>根据</w:t>
            </w:r>
            <w:r>
              <w:rPr>
                <w:rFonts w:hint="eastAsia" w:ascii="宋体" w:eastAsia="宋体" w:cs="宋体"/>
                <w:sz w:val="21"/>
                <w:szCs w:val="21"/>
                <w:lang w:val="zh-CN"/>
              </w:rPr>
              <w:t>投标人自201</w:t>
            </w:r>
            <w:r>
              <w:rPr>
                <w:rFonts w:hint="eastAsia" w:ascii="宋体" w:eastAsia="宋体" w:cs="宋体"/>
                <w:sz w:val="21"/>
                <w:szCs w:val="21"/>
                <w:lang w:val="zh-CN" w:eastAsia="zh-CN"/>
              </w:rPr>
              <w:t>9</w:t>
            </w:r>
            <w:r>
              <w:rPr>
                <w:rFonts w:hint="eastAsia" w:ascii="宋体" w:eastAsia="宋体" w:cs="宋体"/>
                <w:sz w:val="21"/>
                <w:szCs w:val="21"/>
                <w:lang w:val="zh-CN"/>
              </w:rPr>
              <w:t>年以来承接</w:t>
            </w:r>
            <w:r>
              <w:rPr>
                <w:rFonts w:hint="eastAsia" w:ascii="宋体" w:eastAsia="宋体" w:cs="宋体"/>
                <w:sz w:val="21"/>
                <w:szCs w:val="21"/>
                <w:lang w:val="zh-CN" w:eastAsia="zh-CN"/>
              </w:rPr>
              <w:t>过电力工程类项目的</w:t>
            </w:r>
            <w:r>
              <w:rPr>
                <w:rFonts w:hint="eastAsia" w:ascii="宋体" w:eastAsia="宋体" w:cs="宋体"/>
                <w:sz w:val="21"/>
                <w:szCs w:val="21"/>
                <w:lang w:val="zh-CN"/>
              </w:rPr>
              <w:t>预、结算编审业绩进行</w:t>
            </w:r>
            <w:r>
              <w:rPr>
                <w:rFonts w:hint="eastAsia" w:ascii="宋体" w:eastAsia="宋体" w:cs="宋体"/>
                <w:sz w:val="21"/>
                <w:szCs w:val="21"/>
                <w:lang w:val="zh-CN" w:eastAsia="zh-CN"/>
              </w:rPr>
              <w:t>评审，每具有一个得2分，本项最高得</w:t>
            </w:r>
            <w:r>
              <w:rPr>
                <w:rFonts w:hint="eastAsia" w:ascii="宋体" w:cs="宋体"/>
                <w:sz w:val="21"/>
                <w:szCs w:val="21"/>
                <w:lang w:val="en-US" w:eastAsia="zh-CN"/>
              </w:rPr>
              <w:t>12</w:t>
            </w:r>
            <w:r>
              <w:rPr>
                <w:rFonts w:hint="eastAsia" w:ascii="宋体" w:eastAsia="宋体" w:cs="宋体"/>
                <w:sz w:val="21"/>
                <w:szCs w:val="21"/>
                <w:lang w:val="zh-CN" w:eastAsia="zh-CN"/>
              </w:rPr>
              <w:t>分。</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ascii="宋体" w:eastAsia="宋体" w:cs="宋体"/>
                <w:sz w:val="21"/>
                <w:szCs w:val="21"/>
                <w:lang w:val="zh-CN"/>
              </w:rPr>
            </w:pPr>
            <w:r>
              <w:rPr>
                <w:rFonts w:hint="eastAsia" w:ascii="宋体" w:eastAsia="宋体" w:cs="宋体"/>
                <w:sz w:val="21"/>
                <w:szCs w:val="21"/>
                <w:lang w:val="zh-CN" w:eastAsia="zh-CN"/>
              </w:rPr>
              <w:t>注：须提供业绩合同复印件并加盖投标人公章，否则不得分。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hint="default" w:ascii="宋体" w:eastAsia="宋体" w:cs="宋体"/>
                <w:bCs/>
                <w:sz w:val="21"/>
                <w:szCs w:val="21"/>
                <w:lang w:val="en-US" w:eastAsia="zh-CN"/>
              </w:rPr>
            </w:pPr>
            <w:r>
              <w:rPr>
                <w:rFonts w:hint="eastAsia" w:ascii="宋体" w:hAnsi="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技术评分（5</w:t>
            </w:r>
            <w:r>
              <w:rPr>
                <w:rFonts w:hint="eastAsia" w:ascii="宋体" w:hAnsi="宋体" w:cs="宋体"/>
                <w:bCs/>
                <w:sz w:val="21"/>
                <w:szCs w:val="21"/>
                <w:lang w:val="en-US" w:eastAsia="zh-CN"/>
              </w:rPr>
              <w:t>0</w:t>
            </w:r>
            <w:r>
              <w:rPr>
                <w:rFonts w:hint="eastAsia" w:ascii="宋体" w:hAnsi="宋体" w:eastAsia="宋体" w:cs="宋体"/>
                <w:bCs/>
                <w:sz w:val="21"/>
                <w:szCs w:val="21"/>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lang w:eastAsia="zh-CN"/>
              </w:rPr>
            </w:pPr>
            <w:r>
              <w:rPr>
                <w:rFonts w:hint="eastAsia" w:ascii="宋体" w:eastAsia="宋体" w:cs="宋体"/>
                <w:sz w:val="21"/>
                <w:szCs w:val="21"/>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color w:val="auto"/>
                <w:sz w:val="21"/>
                <w:szCs w:val="21"/>
                <w:highlight w:val="none"/>
              </w:rPr>
              <w:t>技术人员配置</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根据投标人拟投入本项目的</w:t>
            </w:r>
            <w:r>
              <w:rPr>
                <w:rFonts w:hint="eastAsia" w:ascii="宋体" w:hAnsi="宋体" w:cs="宋体"/>
                <w:color w:val="auto"/>
                <w:sz w:val="21"/>
                <w:szCs w:val="21"/>
                <w:highlight w:val="none"/>
                <w:lang w:val="en-US" w:eastAsia="zh-CN"/>
              </w:rPr>
              <w:t>技术</w:t>
            </w:r>
            <w:r>
              <w:rPr>
                <w:rFonts w:hint="eastAsia" w:ascii="宋体" w:hAnsi="宋体" w:eastAsia="宋体" w:cs="宋体"/>
                <w:color w:val="auto"/>
                <w:sz w:val="21"/>
                <w:szCs w:val="21"/>
                <w:highlight w:val="none"/>
                <w:lang w:val="en-US" w:eastAsia="zh-CN"/>
              </w:rPr>
              <w:t>人员进行评审：</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1、注册造价工程师：具有注册造价工程师</w:t>
            </w:r>
            <w:r>
              <w:rPr>
                <w:rFonts w:hint="eastAsia" w:ascii="宋体" w:hAnsi="宋体" w:cs="宋体"/>
                <w:color w:val="auto"/>
                <w:sz w:val="21"/>
                <w:szCs w:val="21"/>
                <w:highlight w:val="none"/>
                <w:lang w:val="en-US" w:eastAsia="zh-CN"/>
              </w:rPr>
              <w:t>（安装专业）</w:t>
            </w:r>
            <w:r>
              <w:rPr>
                <w:rFonts w:hint="eastAsia" w:ascii="宋体" w:hAnsi="宋体" w:eastAsia="宋体" w:cs="宋体"/>
                <w:color w:val="auto"/>
                <w:sz w:val="21"/>
                <w:szCs w:val="21"/>
                <w:highlight w:val="none"/>
                <w:lang w:val="en-US" w:eastAsia="zh-CN"/>
              </w:rPr>
              <w:t>执业资格的，每提供一人得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分，其中具有高级职称的每人增加</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分，具有中级职称的每人增加</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分（同时具有中高级职称的，按高级别职称计分，不重计分），本项最高得1</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分。</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2、非注册造价工程师：从事</w:t>
            </w:r>
            <w:r>
              <w:rPr>
                <w:rFonts w:hint="eastAsia" w:ascii="宋体" w:hAnsi="宋体" w:cs="宋体"/>
                <w:color w:val="auto"/>
                <w:sz w:val="21"/>
                <w:szCs w:val="21"/>
                <w:highlight w:val="none"/>
                <w:lang w:val="en-US" w:eastAsia="zh-CN"/>
              </w:rPr>
              <w:t>工程造价工作</w:t>
            </w:r>
            <w:r>
              <w:rPr>
                <w:rFonts w:hint="eastAsia" w:ascii="宋体" w:hAnsi="宋体" w:eastAsia="宋体" w:cs="宋体"/>
                <w:color w:val="auto"/>
                <w:sz w:val="21"/>
                <w:szCs w:val="21"/>
                <w:highlight w:val="none"/>
                <w:lang w:val="en-US" w:eastAsia="zh-CN"/>
              </w:rPr>
              <w:t>人员具</w:t>
            </w:r>
            <w:r>
              <w:rPr>
                <w:rFonts w:hint="eastAsia" w:ascii="宋体" w:hAnsi="宋体" w:cs="宋体"/>
                <w:color w:val="auto"/>
                <w:sz w:val="21"/>
                <w:szCs w:val="21"/>
                <w:highlight w:val="none"/>
                <w:lang w:val="en-US" w:eastAsia="zh-CN"/>
              </w:rPr>
              <w:t>有</w:t>
            </w:r>
            <w:r>
              <w:rPr>
                <w:rFonts w:hint="eastAsia" w:ascii="宋体" w:hAnsi="宋体" w:eastAsia="宋体" w:cs="宋体"/>
                <w:color w:val="auto"/>
                <w:sz w:val="21"/>
                <w:szCs w:val="21"/>
                <w:highlight w:val="none"/>
                <w:lang w:val="en-US" w:eastAsia="zh-CN"/>
              </w:rPr>
              <w:t>中级或以上职称的</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每提供一人得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分,本项最高得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ascii="宋体" w:eastAsia="宋体" w:cs="宋体"/>
                <w:sz w:val="21"/>
                <w:szCs w:val="21"/>
              </w:rPr>
            </w:pPr>
            <w:r>
              <w:rPr>
                <w:rFonts w:hint="eastAsia" w:ascii="宋体" w:eastAsia="宋体" w:cs="宋体"/>
                <w:bCs/>
                <w:color w:val="auto"/>
                <w:sz w:val="21"/>
                <w:szCs w:val="21"/>
                <w:highlight w:val="none"/>
              </w:rPr>
              <w:t>注：</w:t>
            </w:r>
            <w:r>
              <w:rPr>
                <w:rFonts w:hint="eastAsia" w:ascii="宋体" w:eastAsia="宋体" w:cs="宋体"/>
                <w:bCs/>
                <w:color w:val="auto"/>
                <w:sz w:val="21"/>
                <w:szCs w:val="21"/>
                <w:highlight w:val="none"/>
                <w:lang w:val="zh-CN"/>
              </w:rPr>
              <w:t>（1）以</w:t>
            </w:r>
            <w:r>
              <w:rPr>
                <w:rFonts w:hint="eastAsia" w:ascii="宋体" w:eastAsia="宋体" w:cs="宋体"/>
                <w:bCs/>
                <w:color w:val="auto"/>
                <w:sz w:val="21"/>
                <w:szCs w:val="21"/>
                <w:highlight w:val="none"/>
                <w:lang w:val="en-US" w:eastAsia="zh-CN"/>
              </w:rPr>
              <w:t>上</w:t>
            </w:r>
            <w:r>
              <w:rPr>
                <w:rFonts w:hint="eastAsia" w:ascii="宋体" w:eastAsia="宋体" w:cs="宋体"/>
                <w:bCs/>
                <w:color w:val="auto"/>
                <w:sz w:val="21"/>
                <w:szCs w:val="21"/>
                <w:highlight w:val="none"/>
                <w:lang w:val="zh-CN"/>
              </w:rPr>
              <w:t>技术人员的名单不得重复。（2）须提供以上人员有效证书及</w:t>
            </w:r>
            <w:r>
              <w:rPr>
                <w:rFonts w:hint="eastAsia" w:ascii="宋体" w:eastAsia="宋体" w:cs="宋体"/>
                <w:bCs/>
                <w:color w:val="auto"/>
                <w:sz w:val="21"/>
                <w:szCs w:val="21"/>
                <w:highlight w:val="none"/>
              </w:rPr>
              <w:t>投标人</w:t>
            </w:r>
            <w:r>
              <w:rPr>
                <w:rFonts w:hint="eastAsia" w:ascii="宋体" w:eastAsia="宋体" w:cs="宋体"/>
                <w:bCs/>
                <w:color w:val="auto"/>
                <w:sz w:val="21"/>
                <w:szCs w:val="21"/>
                <w:highlight w:val="none"/>
                <w:lang w:val="zh-CN"/>
              </w:rPr>
              <w:t>为其缴纳的距开标时间（不含当月）</w:t>
            </w:r>
            <w:r>
              <w:rPr>
                <w:rFonts w:hint="eastAsia" w:ascii="宋体" w:cs="宋体"/>
                <w:bCs/>
                <w:color w:val="auto"/>
                <w:sz w:val="21"/>
                <w:szCs w:val="21"/>
                <w:highlight w:val="none"/>
                <w:lang w:val="en-US" w:eastAsia="zh-CN"/>
              </w:rPr>
              <w:t>前</w:t>
            </w:r>
            <w:r>
              <w:rPr>
                <w:rFonts w:hint="eastAsia" w:ascii="宋体" w:eastAsia="宋体" w:cs="宋体"/>
                <w:bCs/>
                <w:color w:val="auto"/>
                <w:sz w:val="21"/>
                <w:szCs w:val="21"/>
                <w:highlight w:val="none"/>
                <w:lang w:val="en-US" w:eastAsia="zh-CN"/>
              </w:rPr>
              <w:t>6</w:t>
            </w:r>
            <w:r>
              <w:rPr>
                <w:rFonts w:hint="eastAsia" w:ascii="宋体" w:eastAsia="宋体" w:cs="宋体"/>
                <w:bCs/>
                <w:color w:val="auto"/>
                <w:sz w:val="21"/>
                <w:szCs w:val="21"/>
                <w:highlight w:val="none"/>
                <w:lang w:val="zh-CN"/>
              </w:rPr>
              <w:t>个月</w:t>
            </w:r>
            <w:r>
              <w:rPr>
                <w:rFonts w:hint="eastAsia" w:ascii="宋体" w:cs="宋体"/>
                <w:bCs/>
                <w:color w:val="auto"/>
                <w:sz w:val="21"/>
                <w:szCs w:val="21"/>
                <w:highlight w:val="none"/>
                <w:lang w:val="en-US" w:eastAsia="zh-CN"/>
              </w:rPr>
              <w:t>中任意3个月</w:t>
            </w:r>
            <w:r>
              <w:rPr>
                <w:rFonts w:hint="eastAsia" w:ascii="宋体" w:eastAsia="宋体" w:cs="宋体"/>
                <w:bCs/>
                <w:color w:val="auto"/>
                <w:sz w:val="21"/>
                <w:szCs w:val="21"/>
                <w:highlight w:val="none"/>
                <w:lang w:val="zh-CN"/>
              </w:rPr>
              <w:t>的社保证明复印件加盖</w:t>
            </w:r>
            <w:r>
              <w:rPr>
                <w:rFonts w:hint="eastAsia" w:ascii="宋体" w:eastAsia="宋体" w:cs="宋体"/>
                <w:bCs/>
                <w:color w:val="auto"/>
                <w:sz w:val="21"/>
                <w:szCs w:val="21"/>
                <w:highlight w:val="none"/>
              </w:rPr>
              <w:t>投标人</w:t>
            </w:r>
            <w:r>
              <w:rPr>
                <w:rFonts w:hint="eastAsia" w:ascii="宋体" w:eastAsia="宋体" w:cs="宋体"/>
                <w:bCs/>
                <w:color w:val="auto"/>
                <w:sz w:val="21"/>
                <w:szCs w:val="21"/>
                <w:highlight w:val="none"/>
                <w:lang w:val="zh-CN"/>
              </w:rPr>
              <w:t>公章。</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sz w:val="21"/>
                <w:szCs w:val="21"/>
                <w:lang w:val="en-US" w:eastAsia="zh-CN"/>
              </w:rPr>
            </w:pPr>
            <w:r>
              <w:rPr>
                <w:rFonts w:hint="eastAsia" w:ascii="宋体" w:eastAsia="宋体" w:cs="宋体"/>
                <w:bCs/>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vMerge w:val="restart"/>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sz w:val="21"/>
                <w:szCs w:val="21"/>
                <w:lang w:val="en-US" w:eastAsia="zh-CN"/>
              </w:rPr>
            </w:pPr>
            <w:r>
              <w:rPr>
                <w:rFonts w:hint="eastAsia" w:ascii="宋体" w:eastAsia="宋体" w:cs="宋体"/>
                <w:sz w:val="21"/>
                <w:szCs w:val="21"/>
                <w:lang w:val="en-US" w:eastAsia="zh-CN"/>
              </w:rPr>
              <w:t>2</w:t>
            </w:r>
          </w:p>
        </w:tc>
        <w:tc>
          <w:tcPr>
            <w:tcW w:w="1290" w:type="dxa"/>
            <w:vMerge w:val="restart"/>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sz w:val="21"/>
                <w:szCs w:val="21"/>
                <w:lang w:val="en-US" w:eastAsia="zh-CN"/>
              </w:rPr>
            </w:pPr>
            <w:r>
              <w:rPr>
                <w:rFonts w:hint="eastAsia" w:ascii="宋体" w:eastAsia="宋体" w:cs="宋体"/>
                <w:sz w:val="21"/>
                <w:szCs w:val="21"/>
                <w:lang w:val="en-US" w:eastAsia="zh-CN"/>
              </w:rPr>
              <w:t>服务实施方案</w:t>
            </w:r>
          </w:p>
        </w:tc>
        <w:tc>
          <w:tcPr>
            <w:tcW w:w="5920" w:type="dxa"/>
            <w:tcBorders>
              <w:top w:val="single" w:color="auto" w:sz="4" w:space="0"/>
              <w:left w:val="single" w:color="auto" w:sz="4" w:space="0"/>
              <w:bottom w:val="single" w:color="auto" w:sz="4" w:space="0"/>
              <w:right w:val="single" w:color="auto" w:sz="4" w:space="0"/>
            </w:tcBorders>
            <w:vAlign w:val="top"/>
          </w:tcPr>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w:t>
            </w:r>
            <w:r>
              <w:rPr>
                <w:rFonts w:hint="eastAsia" w:ascii="宋体" w:hAnsi="宋体" w:eastAsia="宋体" w:cs="宋体"/>
                <w:color w:val="auto"/>
                <w:sz w:val="21"/>
                <w:szCs w:val="21"/>
                <w:highlight w:val="none"/>
              </w:rPr>
              <w:t>协议服务实施方案的组织结构完善程度</w:t>
            </w:r>
            <w:r>
              <w:rPr>
                <w:rFonts w:hint="eastAsia" w:ascii="宋体" w:hAnsi="宋体" w:eastAsia="宋体" w:cs="宋体"/>
                <w:color w:val="auto"/>
                <w:sz w:val="21"/>
                <w:szCs w:val="21"/>
                <w:highlight w:val="none"/>
                <w:lang w:val="en-US" w:eastAsia="zh-CN"/>
              </w:rPr>
              <w:t>进行综合评审：</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协议服务实施方案的组织结构</w:t>
            </w:r>
            <w:r>
              <w:rPr>
                <w:rFonts w:hint="eastAsia" w:ascii="宋体" w:hAnsi="宋体" w:eastAsia="宋体" w:cs="宋体"/>
                <w:color w:val="auto"/>
                <w:sz w:val="21"/>
                <w:szCs w:val="21"/>
                <w:highlight w:val="none"/>
                <w:lang w:val="en-US" w:eastAsia="zh-CN"/>
              </w:rPr>
              <w:t>非常完善的，得</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协议服务实施方案的组织结构</w:t>
            </w:r>
            <w:r>
              <w:rPr>
                <w:rFonts w:hint="eastAsia" w:ascii="宋体" w:hAnsi="宋体" w:eastAsia="宋体" w:cs="宋体"/>
                <w:color w:val="auto"/>
                <w:sz w:val="21"/>
                <w:szCs w:val="21"/>
                <w:highlight w:val="none"/>
                <w:lang w:val="en-US" w:eastAsia="zh-CN"/>
              </w:rPr>
              <w:t>完善的，得</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协议服务实施方案的组织结构</w:t>
            </w:r>
            <w:r>
              <w:rPr>
                <w:rFonts w:hint="eastAsia" w:ascii="宋体" w:hAnsi="宋体" w:eastAsia="宋体" w:cs="宋体"/>
                <w:color w:val="auto"/>
                <w:sz w:val="21"/>
                <w:szCs w:val="21"/>
                <w:highlight w:val="none"/>
                <w:lang w:val="en-US" w:eastAsia="zh-CN"/>
              </w:rPr>
              <w:t>完善性一般的，得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ascii="宋体" w:eastAsia="宋体" w:cs="宋体"/>
                <w:sz w:val="21"/>
                <w:szCs w:val="21"/>
                <w:lang w:val="zh-CN"/>
              </w:rPr>
            </w:pPr>
            <w:r>
              <w:rPr>
                <w:rFonts w:hint="eastAsia" w:ascii="宋体" w:hAnsi="宋体" w:eastAsia="宋体" w:cs="宋体"/>
                <w:color w:val="auto"/>
                <w:sz w:val="21"/>
                <w:szCs w:val="21"/>
                <w:highlight w:val="none"/>
                <w:lang w:val="en-US" w:eastAsia="zh-CN"/>
              </w:rPr>
              <w:t>未提供及其他情况不得分。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宋体" w:eastAsia="宋体" w:cs="宋体"/>
                <w:bCs/>
                <w:sz w:val="21"/>
                <w:szCs w:val="21"/>
                <w:lang w:val="en-US" w:eastAsia="zh-CN"/>
              </w:rPr>
            </w:pPr>
            <w:r>
              <w:rPr>
                <w:rFonts w:hint="eastAsia" w:asci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vMerge w:val="continue"/>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lang w:eastAsia="zh-CN"/>
              </w:rPr>
            </w:pPr>
          </w:p>
        </w:tc>
        <w:tc>
          <w:tcPr>
            <w:tcW w:w="1290" w:type="dxa"/>
            <w:vMerge w:val="continue"/>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p>
        </w:tc>
        <w:tc>
          <w:tcPr>
            <w:tcW w:w="5920" w:type="dxa"/>
            <w:tcBorders>
              <w:top w:val="single" w:color="auto" w:sz="4" w:space="0"/>
              <w:left w:val="single" w:color="auto" w:sz="4" w:space="0"/>
              <w:bottom w:val="single" w:color="auto" w:sz="4" w:space="0"/>
              <w:right w:val="single" w:color="auto" w:sz="4" w:space="0"/>
            </w:tcBorders>
            <w:vAlign w:val="top"/>
          </w:tcPr>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根据投标人提供协议服务实施方案的资源支持系统完善程度进行综合评审：</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协议服务实施方案的资源支持系统非常完善的，得</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协议服务实施方案的资源支持系统完善的，得</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协议服务实施方案的资源支持系统完善性一般的，得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ascii="宋体" w:eastAsia="宋体" w:cs="宋体"/>
                <w:sz w:val="21"/>
                <w:szCs w:val="21"/>
                <w:lang w:val="zh-CN"/>
              </w:rPr>
            </w:pPr>
            <w:r>
              <w:rPr>
                <w:rFonts w:hint="eastAsia" w:ascii="宋体" w:hAnsi="宋体" w:eastAsia="宋体" w:cs="宋体"/>
                <w:color w:val="auto"/>
                <w:sz w:val="21"/>
                <w:szCs w:val="21"/>
                <w:highlight w:val="none"/>
                <w:lang w:val="en-US" w:eastAsia="zh-CN"/>
              </w:rPr>
              <w:t>未提供及其他情况不得分。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宋体" w:eastAsia="宋体" w:cs="宋体"/>
                <w:bCs/>
                <w:sz w:val="21"/>
                <w:szCs w:val="21"/>
                <w:lang w:val="en-US" w:eastAsia="zh-CN"/>
              </w:rPr>
            </w:pPr>
            <w:r>
              <w:rPr>
                <w:rFonts w:hint="eastAsia" w:asci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vMerge w:val="continue"/>
            <w:tcBorders>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lang w:eastAsia="zh-CN"/>
              </w:rPr>
            </w:pPr>
          </w:p>
        </w:tc>
        <w:tc>
          <w:tcPr>
            <w:tcW w:w="1290" w:type="dxa"/>
            <w:vMerge w:val="continue"/>
            <w:tcBorders>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ascii="宋体" w:hAnsi="宋体" w:eastAsia="宋体" w:cs="宋体"/>
                <w:sz w:val="21"/>
                <w:szCs w:val="21"/>
              </w:rPr>
            </w:pPr>
          </w:p>
        </w:tc>
        <w:tc>
          <w:tcPr>
            <w:tcW w:w="5920" w:type="dxa"/>
            <w:tcBorders>
              <w:top w:val="single" w:color="auto" w:sz="4" w:space="0"/>
              <w:left w:val="single" w:color="auto" w:sz="4" w:space="0"/>
              <w:bottom w:val="single" w:color="auto" w:sz="4" w:space="0"/>
              <w:right w:val="single" w:color="auto" w:sz="4" w:space="0"/>
            </w:tcBorders>
            <w:vAlign w:val="top"/>
          </w:tcPr>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根据投标人提供协议服务实施方案的质量和进度保证措施合理性进行综合评审：</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协议服务实施方案的质量和进度保证措施非常合理的，得</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协议服务实施方案的质量和进度保证措施合理的，得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协议服务实施方案的质量和进度保证措施合理性一般的，得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ascii="宋体" w:eastAsia="宋体" w:cs="宋体"/>
                <w:sz w:val="21"/>
                <w:szCs w:val="21"/>
                <w:lang w:val="zh-CN"/>
              </w:rPr>
            </w:pPr>
            <w:r>
              <w:rPr>
                <w:rFonts w:hint="eastAsia" w:ascii="宋体" w:hAnsi="宋体" w:eastAsia="宋体" w:cs="宋体"/>
                <w:color w:val="auto"/>
                <w:sz w:val="21"/>
                <w:szCs w:val="21"/>
                <w:highlight w:val="none"/>
                <w:lang w:val="en-US" w:eastAsia="zh-CN"/>
              </w:rPr>
              <w:t>未提供及其他情况不得分。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宋体" w:eastAsia="宋体" w:cs="宋体"/>
                <w:bCs/>
                <w:sz w:val="21"/>
                <w:szCs w:val="21"/>
                <w:lang w:val="en-US" w:eastAsia="zh-CN"/>
              </w:rPr>
            </w:pPr>
            <w:r>
              <w:rPr>
                <w:rFonts w:hint="eastAsia" w:ascii="宋体" w:eastAsia="宋体" w:cs="宋体"/>
                <w:color w:val="auto"/>
                <w:sz w:val="21"/>
                <w:szCs w:val="21"/>
                <w:highlight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6"/>
              <w:keepNext w:val="0"/>
              <w:keepLines w:val="0"/>
              <w:pageBreakBefore w:val="0"/>
              <w:kinsoku/>
              <w:wordWrap/>
              <w:overflowPunct/>
              <w:topLinePunct w:val="0"/>
              <w:autoSpaceDE/>
              <w:autoSpaceDN/>
              <w:bidi w:val="0"/>
              <w:spacing w:line="240" w:lineRule="auto"/>
              <w:ind w:left="0" w:leftChars="0" w:firstLine="0" w:firstLineChars="0"/>
              <w:jc w:val="left"/>
              <w:textAlignment w:val="auto"/>
              <w:rPr>
                <w:rFonts w:hint="eastAsia" w:ascii="宋体" w:eastAsia="宋体" w:cs="宋体"/>
                <w:bCs/>
                <w:sz w:val="21"/>
                <w:szCs w:val="21"/>
                <w:lang w:val="en-US" w:eastAsia="zh-CN"/>
              </w:rPr>
            </w:pPr>
            <w:r>
              <w:rPr>
                <w:rFonts w:hint="eastAsia" w:ascii="宋体" w:cs="宋体"/>
                <w:b/>
                <w:color w:val="auto"/>
                <w:sz w:val="21"/>
                <w:szCs w:val="21"/>
                <w:highlight w:val="none"/>
                <w:lang w:val="en-US" w:eastAsia="zh-CN"/>
              </w:rPr>
              <w:t xml:space="preserve">   </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lang w:val="en-US" w:eastAsia="zh-CN"/>
              </w:rPr>
              <w:t>3</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rPr>
          <w:rFonts w:hint="eastAsia"/>
          <w:lang w:eastAsia="zh-CN"/>
        </w:rPr>
      </w:pPr>
    </w:p>
    <w:p>
      <w:pPr>
        <w:bidi w:val="0"/>
        <w:rPr>
          <w:rFonts w:hint="eastAsia"/>
          <w:color w:val="auto"/>
        </w:rPr>
      </w:pPr>
      <w:r>
        <w:rPr>
          <w:rFonts w:hint="eastAsia"/>
          <w:color w:val="auto"/>
        </w:rPr>
        <w:br w:type="page"/>
      </w:r>
    </w:p>
    <w:p>
      <w:pPr>
        <w:pStyle w:val="3"/>
        <w:spacing w:before="0" w:after="0" w:line="240" w:lineRule="auto"/>
        <w:rPr>
          <w:color w:val="auto"/>
          <w:sz w:val="24"/>
          <w:szCs w:val="24"/>
        </w:rPr>
      </w:pPr>
      <w:bookmarkStart w:id="17" w:name="_Toc30638"/>
      <w:bookmarkStart w:id="18" w:name="_Toc29685"/>
      <w:bookmarkStart w:id="19" w:name="_Toc2479"/>
      <w:bookmarkStart w:id="20" w:name="_Toc14146"/>
      <w:r>
        <w:rPr>
          <w:rFonts w:hint="eastAsia"/>
          <w:color w:val="auto"/>
          <w:sz w:val="28"/>
          <w:szCs w:val="28"/>
        </w:rPr>
        <w:t>第</w:t>
      </w:r>
      <w:r>
        <w:rPr>
          <w:rFonts w:hint="eastAsia"/>
          <w:color w:val="auto"/>
          <w:sz w:val="28"/>
          <w:szCs w:val="28"/>
          <w:lang w:val="en-US" w:eastAsia="zh-CN"/>
        </w:rPr>
        <w:t>四</w:t>
      </w:r>
      <w:r>
        <w:rPr>
          <w:rFonts w:hint="eastAsia"/>
          <w:color w:val="auto"/>
          <w:sz w:val="28"/>
          <w:szCs w:val="28"/>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rPr>
      </w:pPr>
      <w:bookmarkStart w:id="21" w:name="_Toc11105"/>
      <w:bookmarkStart w:id="22" w:name="_Toc19746"/>
      <w:bookmarkStart w:id="23" w:name="_Toc3095"/>
      <w:r>
        <w:rPr>
          <w:rFonts w:hint="eastAsia" w:ascii="宋体" w:hAnsi="宋体"/>
          <w:color w:val="auto"/>
          <w:lang w:val="en-US" w:eastAsia="zh-CN"/>
        </w:rPr>
        <w:t>第一章</w:t>
      </w:r>
      <w:r>
        <w:rPr>
          <w:rFonts w:hint="eastAsia" w:ascii="宋体" w:hAnsi="宋体" w:eastAsia="宋体"/>
          <w:color w:val="auto"/>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rPr>
      </w:pPr>
      <w:bookmarkStart w:id="24" w:name="_Toc18488"/>
      <w:bookmarkStart w:id="25" w:name="_Toc22803"/>
      <w:bookmarkStart w:id="26" w:name="_Toc22847"/>
      <w:r>
        <w:rPr>
          <w:rFonts w:hint="eastAsia" w:ascii="宋体" w:hAnsi="宋体" w:eastAsia="宋体"/>
          <w:color w:val="auto"/>
          <w:sz w:val="21"/>
          <w:szCs w:val="21"/>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招标范围：见本文件《用户需求书》</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27" w:name="_Toc13400"/>
      <w:bookmarkStart w:id="28" w:name="_Toc21002"/>
      <w:bookmarkStart w:id="29" w:name="_Toc16848"/>
      <w:r>
        <w:rPr>
          <w:rFonts w:hint="eastAsia" w:ascii="宋体" w:hAnsi="宋体" w:eastAsia="宋体"/>
          <w:color w:val="auto"/>
          <w:sz w:val="21"/>
          <w:szCs w:val="21"/>
        </w:rPr>
        <w:t>2.</w:t>
      </w:r>
      <w:bookmarkStart w:id="30" w:name="_Toc382049092"/>
      <w:bookmarkStart w:id="31" w:name="_Toc1530"/>
      <w:bookmarkStart w:id="32" w:name="_Toc303084246"/>
      <w:bookmarkStart w:id="33" w:name="_Toc298847174"/>
      <w:r>
        <w:rPr>
          <w:rFonts w:hint="eastAsia" w:ascii="宋体" w:hAnsi="宋体" w:eastAsia="宋体"/>
          <w:color w:val="auto"/>
          <w:sz w:val="21"/>
          <w:szCs w:val="21"/>
        </w:rPr>
        <w:t>定义</w:t>
      </w:r>
      <w:bookmarkEnd w:id="27"/>
      <w:bookmarkEnd w:id="28"/>
      <w:bookmarkEnd w:id="29"/>
      <w:bookmarkEnd w:id="30"/>
      <w:bookmarkEnd w:id="31"/>
      <w:bookmarkEnd w:id="32"/>
      <w:bookmarkEnd w:id="33"/>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w:t>
      </w:r>
      <w:r>
        <w:rPr>
          <w:rFonts w:hint="eastAsia" w:ascii="宋体" w:hAnsi="宋体"/>
          <w:color w:val="auto"/>
          <w:sz w:val="21"/>
          <w:szCs w:val="21"/>
          <w:lang w:val="en-US" w:eastAsia="zh-CN"/>
        </w:rPr>
        <w:t>东莞新锋光伏能源科技有限公司</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采购代理机构：</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widowControl w:val="0"/>
        <w:numPr>
          <w:ilvl w:val="1"/>
          <w:numId w:val="3"/>
        </w:numPr>
        <w:adjustRightInd/>
        <w:snapToGrid/>
        <w:spacing w:line="360" w:lineRule="exact"/>
        <w:jc w:val="both"/>
        <w:rPr>
          <w:rFonts w:ascii="宋体" w:hAnsi="宋体" w:eastAsia="宋体"/>
          <w:color w:val="auto"/>
          <w:sz w:val="21"/>
          <w:szCs w:val="21"/>
        </w:rPr>
      </w:pPr>
      <w:r>
        <w:rPr>
          <w:rFonts w:hint="eastAsia" w:ascii="宋体" w:hAnsi="宋体" w:eastAsia="宋体"/>
          <w:color w:val="auto"/>
          <w:sz w:val="21"/>
          <w:szCs w:val="21"/>
        </w:rPr>
        <w:t>评标委员会：</w:t>
      </w:r>
      <w:r>
        <w:rPr>
          <w:rFonts w:hint="eastAsia" w:ascii="宋体" w:hAnsi="宋体"/>
          <w:color w:val="auto"/>
          <w:szCs w:val="21"/>
        </w:rPr>
        <w:t>评标委员会是依据相关规定组建的专门负责本次招标其评标工作的临时性机构。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公章：</w:t>
      </w:r>
      <w:r>
        <w:rPr>
          <w:rFonts w:ascii="宋体" w:hAnsi="宋体" w:eastAsia="宋体"/>
          <w:color w:val="auto"/>
          <w:sz w:val="21"/>
          <w:szCs w:val="21"/>
        </w:rPr>
        <w:t>公章是</w:t>
      </w:r>
      <w:r>
        <w:rPr>
          <w:rFonts w:ascii="宋体" w:hAnsi="宋体" w:eastAsia="宋体"/>
          <w:iCs/>
          <w:color w:val="auto"/>
          <w:sz w:val="21"/>
          <w:szCs w:val="21"/>
        </w:rPr>
        <w:t>指</w:t>
      </w:r>
      <w:r>
        <w:rPr>
          <w:rFonts w:hint="eastAsia" w:ascii="宋体" w:hAnsi="宋体" w:eastAsia="宋体"/>
          <w:iCs/>
          <w:color w:val="auto"/>
          <w:sz w:val="21"/>
          <w:szCs w:val="21"/>
        </w:rPr>
        <w:t>经过正规的法定程序并备案的法人公章</w:t>
      </w:r>
      <w:r>
        <w:rPr>
          <w:rFonts w:hint="eastAsia" w:ascii="宋体" w:hAnsi="宋体" w:eastAsia="宋体"/>
          <w:iCs/>
          <w:color w:val="auto"/>
          <w:sz w:val="21"/>
          <w:szCs w:val="21"/>
          <w:lang w:val="en-US" w:eastAsia="zh-CN"/>
        </w:rPr>
        <w:t>或</w:t>
      </w:r>
      <w:r>
        <w:rPr>
          <w:rFonts w:hint="eastAsia" w:ascii="宋体" w:hAnsi="宋体" w:eastAsia="宋体"/>
          <w:iCs/>
          <w:color w:val="auto"/>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时间</w:t>
      </w:r>
      <w:r>
        <w:rPr>
          <w:rFonts w:hint="eastAsia" w:ascii="宋体" w:hAnsi="宋体" w:eastAsia="宋体"/>
          <w:iCs/>
          <w:color w:val="auto"/>
          <w:sz w:val="21"/>
          <w:szCs w:val="21"/>
        </w:rPr>
        <w:t>：本文件规定按日计算期间的，开始当天不计入，从次日开始计算。期限的最后一日是国家法定节假日的，顺延到节假日后的次日为期限的最后一日。</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4" w:name="_Toc3780"/>
      <w:bookmarkStart w:id="35" w:name="_Toc9710"/>
      <w:bookmarkStart w:id="36" w:name="_Toc2996"/>
      <w:r>
        <w:rPr>
          <w:rFonts w:hint="eastAsia" w:ascii="宋体" w:hAnsi="宋体" w:eastAsia="宋体"/>
          <w:color w:val="auto"/>
          <w:sz w:val="21"/>
          <w:szCs w:val="21"/>
        </w:rPr>
        <w:t>3.货物和服务</w:t>
      </w:r>
      <w:bookmarkEnd w:id="34"/>
      <w:bookmarkEnd w:id="35"/>
      <w:bookmarkEnd w:id="36"/>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货物</w:t>
      </w:r>
      <w:r>
        <w:rPr>
          <w:rFonts w:ascii="宋体" w:hAnsi="宋体" w:eastAsia="宋体"/>
          <w:color w:val="auto"/>
          <w:sz w:val="21"/>
          <w:szCs w:val="21"/>
        </w:rPr>
        <w:t>是指各种形态和种类的物品，包括原材料、燃料、设备、产品等</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除货物和工程以外的其他采购对象</w:t>
      </w:r>
      <w:r>
        <w:rPr>
          <w:rFonts w:hint="eastAsia" w:ascii="宋体" w:hAnsi="宋体" w:eastAsia="宋体"/>
          <w:color w:val="auto"/>
          <w:sz w:val="21"/>
          <w:szCs w:val="21"/>
        </w:rPr>
        <w:t>。</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7" w:name="_Toc15945"/>
      <w:bookmarkStart w:id="38" w:name="_Toc13909"/>
      <w:bookmarkStart w:id="39" w:name="_Toc12536"/>
      <w:r>
        <w:rPr>
          <w:rFonts w:hint="eastAsia" w:ascii="宋体" w:hAnsi="宋体" w:eastAsia="宋体"/>
          <w:color w:val="auto"/>
          <w:sz w:val="21"/>
          <w:szCs w:val="21"/>
        </w:rPr>
        <w:t>4.投标费用</w:t>
      </w:r>
      <w:bookmarkEnd w:id="37"/>
      <w:bookmarkEnd w:id="38"/>
      <w:bookmarkEnd w:id="39"/>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0" w:name="_Toc19532"/>
      <w:bookmarkStart w:id="41" w:name="_Toc19094"/>
      <w:bookmarkStart w:id="42" w:name="_Toc25040"/>
      <w:r>
        <w:rPr>
          <w:rFonts w:hint="eastAsia" w:ascii="宋体" w:hAnsi="宋体" w:eastAsia="宋体"/>
          <w:color w:val="auto"/>
          <w:sz w:val="21"/>
          <w:szCs w:val="21"/>
        </w:rPr>
        <w:t>5.知识产权</w:t>
      </w:r>
      <w:bookmarkEnd w:id="40"/>
      <w:bookmarkEnd w:id="41"/>
      <w:bookmarkEnd w:id="42"/>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采购货物为计算机办公设备时，投标人提供的产品必须是预装正版操作系统软件的计算机产品</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rPr>
        <w:t>。</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3" w:name="_Toc31885"/>
      <w:bookmarkStart w:id="44" w:name="_Toc21930"/>
      <w:bookmarkStart w:id="45" w:name="_Toc8432"/>
      <w:r>
        <w:rPr>
          <w:rFonts w:hint="eastAsia" w:ascii="宋体" w:hAnsi="宋体" w:eastAsia="宋体"/>
          <w:color w:val="auto"/>
          <w:sz w:val="21"/>
          <w:szCs w:val="21"/>
        </w:rPr>
        <w:t>6.关于联合体投标</w:t>
      </w:r>
      <w:bookmarkEnd w:id="43"/>
      <w:bookmarkEnd w:id="44"/>
      <w:bookmarkEnd w:id="45"/>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对接受联合体投标的项目：两个以上的自然人、法人或者其他组织可以组成一个联合体，以一个投标人的身份共同参加采购。</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联合体各方均</w:t>
      </w:r>
      <w:r>
        <w:rPr>
          <w:rFonts w:hint="eastAsia" w:ascii="宋体" w:hAnsi="宋体"/>
          <w:color w:val="auto"/>
          <w:szCs w:val="21"/>
        </w:rPr>
        <w:t>应具有独立承担民事责任能力的法人或其他组织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联合体各方之间应当签订共同投标协议并</w:t>
      </w:r>
      <w:r>
        <w:rPr>
          <w:rFonts w:ascii="宋体" w:hAnsi="宋体" w:eastAsia="宋体"/>
          <w:color w:val="auto"/>
          <w:sz w:val="21"/>
          <w:szCs w:val="21"/>
        </w:rPr>
        <w:t>在投标文件内提交</w:t>
      </w:r>
      <w:r>
        <w:rPr>
          <w:rFonts w:hint="eastAsia" w:ascii="宋体" w:hAnsi="宋体" w:eastAsia="宋体"/>
          <w:color w:val="auto"/>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牵头单位）</w:t>
      </w:r>
      <w:r>
        <w:rPr>
          <w:rFonts w:hint="eastAsia" w:ascii="宋体" w:hAnsi="宋体" w:eastAsia="宋体"/>
          <w:color w:val="auto"/>
          <w:sz w:val="21"/>
          <w:szCs w:val="21"/>
        </w:rPr>
        <w:t>情况评分。</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6" w:name="_Toc16571"/>
      <w:bookmarkStart w:id="47" w:name="_Toc32331"/>
      <w:bookmarkStart w:id="48" w:name="_Toc13811"/>
      <w:bookmarkStart w:id="49" w:name="_Toc17879"/>
      <w:r>
        <w:rPr>
          <w:rFonts w:hint="eastAsia" w:ascii="宋体" w:hAnsi="宋体" w:eastAsia="宋体"/>
          <w:color w:val="auto"/>
          <w:sz w:val="21"/>
          <w:szCs w:val="21"/>
        </w:rPr>
        <w:t>7.关于分支机构投标</w:t>
      </w:r>
      <w:bookmarkEnd w:id="46"/>
      <w:bookmarkEnd w:id="47"/>
      <w:bookmarkEnd w:id="48"/>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rPr>
      </w:pPr>
      <w:r>
        <w:rPr>
          <w:rFonts w:ascii="宋体" w:hAnsi="宋体" w:eastAsia="宋体"/>
          <w:color w:val="auto"/>
          <w:sz w:val="21"/>
          <w:szCs w:val="21"/>
        </w:rPr>
        <w:t>对可接受</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投标的项目，</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51" w:name="_Toc18115"/>
      <w:bookmarkStart w:id="52" w:name="_Toc27045"/>
      <w:r>
        <w:rPr>
          <w:rFonts w:hint="eastAsia" w:ascii="宋体" w:hAnsi="宋体"/>
          <w:color w:val="auto"/>
          <w:lang w:val="en-US" w:eastAsia="zh-CN"/>
        </w:rPr>
        <w:t>第二章</w:t>
      </w:r>
      <w:r>
        <w:rPr>
          <w:rFonts w:hint="eastAsia" w:ascii="宋体" w:hAnsi="宋体" w:eastAsia="宋体"/>
          <w:color w:val="auto"/>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rPr>
      </w:pPr>
      <w:bookmarkStart w:id="53" w:name="_Toc13494"/>
      <w:bookmarkStart w:id="54" w:name="_Toc21771"/>
      <w:bookmarkStart w:id="55" w:name="_Toc1423"/>
      <w:r>
        <w:rPr>
          <w:rFonts w:hint="eastAsia" w:ascii="宋体" w:hAnsi="宋体" w:eastAsia="宋体"/>
          <w:color w:val="auto"/>
          <w:sz w:val="21"/>
          <w:szCs w:val="21"/>
        </w:rPr>
        <w:t>8.招标文件的组成</w:t>
      </w:r>
      <w:bookmarkEnd w:id="53"/>
      <w:bookmarkEnd w:id="54"/>
      <w:bookmarkEnd w:id="55"/>
    </w:p>
    <w:p>
      <w:pPr>
        <w:pStyle w:val="33"/>
        <w:widowControl w:val="0"/>
        <w:numPr>
          <w:ilvl w:val="0"/>
          <w:numId w:val="3"/>
        </w:numPr>
        <w:adjustRightInd/>
        <w:snapToGrid/>
        <w:spacing w:after="0" w:line="360" w:lineRule="exact"/>
        <w:ind w:firstLineChars="0"/>
        <w:jc w:val="both"/>
        <w:rPr>
          <w:rFonts w:ascii="宋体" w:hAnsi="宋体" w:eastAsia="宋体"/>
          <w:vanish/>
          <w:color w:val="auto"/>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（7）在招标过程中由采购代理机构发出的澄清更正文件等。</w:t>
      </w:r>
    </w:p>
    <w:p>
      <w:pPr>
        <w:spacing w:after="0"/>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56" w:name="_Toc14217"/>
      <w:bookmarkStart w:id="57" w:name="_Toc7997"/>
      <w:bookmarkStart w:id="58" w:name="_Toc17274"/>
      <w:r>
        <w:rPr>
          <w:rFonts w:hint="eastAsia" w:ascii="宋体" w:hAnsi="宋体" w:eastAsia="宋体"/>
          <w:color w:val="auto"/>
          <w:sz w:val="21"/>
          <w:szCs w:val="21"/>
        </w:rPr>
        <w:t>9.招标文件的澄清或修改</w:t>
      </w:r>
      <w:bookmarkEnd w:id="56"/>
      <w:bookmarkEnd w:id="57"/>
      <w:bookmarkEnd w:id="58"/>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rPr>
        <w:t>具有约束作用</w:t>
      </w:r>
      <w:r>
        <w:rPr>
          <w:rFonts w:hint="eastAsia" w:ascii="宋体" w:hAnsi="宋体" w:eastAsia="宋体"/>
          <w:color w:val="auto"/>
          <w:sz w:val="21"/>
          <w:szCs w:val="21"/>
        </w:rPr>
        <w:t>。</w:t>
      </w:r>
      <w:r>
        <w:rPr>
          <w:rFonts w:ascii="宋体" w:hAnsi="宋体" w:eastAsia="宋体"/>
          <w:color w:val="auto"/>
          <w:sz w:val="21"/>
          <w:szCs w:val="21"/>
        </w:rPr>
        <w:t>当招标文件、招标文件的澄清</w:t>
      </w:r>
      <w:r>
        <w:rPr>
          <w:rFonts w:hint="eastAsia" w:ascii="宋体" w:hAnsi="宋体" w:eastAsia="宋体"/>
          <w:color w:val="auto"/>
          <w:sz w:val="21"/>
          <w:szCs w:val="21"/>
        </w:rPr>
        <w:t>或</w:t>
      </w:r>
      <w:r>
        <w:rPr>
          <w:rFonts w:ascii="宋体" w:hAnsi="宋体" w:eastAsia="宋体"/>
          <w:color w:val="auto"/>
          <w:sz w:val="21"/>
          <w:szCs w:val="21"/>
        </w:rPr>
        <w:t>修改等在同一内容的表述上不一致时，以最后发出的书面文件</w:t>
      </w:r>
      <w:r>
        <w:rPr>
          <w:rFonts w:hint="eastAsia" w:ascii="宋体" w:hAnsi="宋体" w:eastAsia="宋体"/>
          <w:color w:val="auto"/>
          <w:sz w:val="21"/>
          <w:szCs w:val="21"/>
        </w:rPr>
        <w:t>及公告</w:t>
      </w:r>
      <w:r>
        <w:rPr>
          <w:rFonts w:ascii="宋体" w:hAnsi="宋体" w:eastAsia="宋体"/>
          <w:color w:val="auto"/>
          <w:sz w:val="21"/>
          <w:szCs w:val="21"/>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rPr>
      </w:pPr>
    </w:p>
    <w:p>
      <w:pPr>
        <w:pStyle w:val="4"/>
        <w:numPr>
          <w:ilvl w:val="0"/>
          <w:numId w:val="0"/>
        </w:numPr>
        <w:spacing w:before="0" w:after="0" w:line="480" w:lineRule="auto"/>
        <w:ind w:leftChars="0"/>
        <w:jc w:val="center"/>
        <w:rPr>
          <w:rFonts w:ascii="宋体" w:hAnsi="宋体" w:eastAsia="宋体"/>
          <w:color w:val="auto"/>
        </w:rPr>
      </w:pPr>
      <w:bookmarkStart w:id="59" w:name="_Toc4773"/>
      <w:bookmarkStart w:id="60" w:name="_Toc16712"/>
      <w:bookmarkStart w:id="61" w:name="_Toc23726"/>
      <w:r>
        <w:rPr>
          <w:rFonts w:hint="eastAsia" w:ascii="宋体" w:hAnsi="宋体"/>
          <w:color w:val="auto"/>
          <w:lang w:val="en-US" w:eastAsia="zh-CN"/>
        </w:rPr>
        <w:t>第三章</w:t>
      </w:r>
      <w:r>
        <w:rPr>
          <w:rFonts w:hint="eastAsia" w:ascii="宋体" w:hAnsi="宋体" w:eastAsia="宋体"/>
          <w:color w:val="auto"/>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2" w:name="_Toc28092"/>
      <w:bookmarkStart w:id="63" w:name="_Toc7434"/>
      <w:bookmarkStart w:id="64" w:name="_Toc20623"/>
      <w:r>
        <w:rPr>
          <w:rFonts w:hint="eastAsia" w:ascii="宋体" w:hAnsi="宋体" w:eastAsia="宋体"/>
          <w:color w:val="auto"/>
          <w:sz w:val="21"/>
          <w:szCs w:val="21"/>
        </w:rPr>
        <w:t>10.投标文件的语言及度量衡单位</w:t>
      </w:r>
      <w:bookmarkEnd w:id="62"/>
      <w:bookmarkEnd w:id="63"/>
      <w:bookmarkEnd w:id="6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除非招标文件在技术规格中另有规定，投标人在投标文件中及其与采购代理机构和采购人所有往来文件中的所有</w:t>
      </w:r>
      <w:r>
        <w:rPr>
          <w:rFonts w:ascii="宋体" w:hAnsi="宋体" w:eastAsia="宋体"/>
          <w:color w:val="auto"/>
          <w:sz w:val="21"/>
          <w:szCs w:val="21"/>
        </w:rPr>
        <w:t>计量单位</w:t>
      </w:r>
      <w:r>
        <w:rPr>
          <w:rFonts w:hint="eastAsia" w:ascii="宋体" w:hAnsi="宋体" w:eastAsia="宋体"/>
          <w:color w:val="auto"/>
          <w:sz w:val="21"/>
          <w:szCs w:val="21"/>
        </w:rPr>
        <w:t>均应采用中华人民共和国法定计量单位</w:t>
      </w:r>
      <w:r>
        <w:rPr>
          <w:rFonts w:ascii="宋体" w:hAnsi="宋体" w:eastAsia="宋体"/>
          <w:color w:val="auto"/>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5" w:name="_Toc28866"/>
      <w:bookmarkStart w:id="66" w:name="_Toc307934854"/>
      <w:bookmarkStart w:id="67" w:name="_Toc12145"/>
      <w:bookmarkStart w:id="68" w:name="_Toc18999"/>
      <w:bookmarkStart w:id="69" w:name="_Toc303084256"/>
      <w:bookmarkStart w:id="70" w:name="_Toc382049103"/>
      <w:bookmarkStart w:id="71" w:name="_Toc7728"/>
      <w:r>
        <w:rPr>
          <w:rFonts w:hint="eastAsia" w:ascii="宋体" w:hAnsi="宋体" w:eastAsia="宋体"/>
          <w:color w:val="auto"/>
          <w:sz w:val="21"/>
          <w:szCs w:val="21"/>
        </w:rPr>
        <w:t>11.</w:t>
      </w:r>
      <w:r>
        <w:rPr>
          <w:rFonts w:ascii="宋体" w:hAnsi="宋体" w:eastAsia="宋体"/>
          <w:color w:val="auto"/>
          <w:sz w:val="21"/>
          <w:szCs w:val="21"/>
        </w:rPr>
        <w:t>投标文件的组成</w:t>
      </w:r>
      <w:bookmarkEnd w:id="65"/>
      <w:bookmarkEnd w:id="66"/>
      <w:bookmarkEnd w:id="67"/>
      <w:bookmarkEnd w:id="68"/>
      <w:bookmarkEnd w:id="69"/>
      <w:bookmarkEnd w:id="70"/>
      <w:bookmarkEnd w:id="7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lang w:val="en-US" w:eastAsia="zh-CN"/>
        </w:rPr>
        <w:t>投标</w:t>
      </w:r>
      <w:r>
        <w:rPr>
          <w:rFonts w:hint="eastAsia" w:ascii="宋体" w:hAnsi="宋体" w:eastAsia="宋体"/>
          <w:color w:val="auto"/>
          <w:sz w:val="21"/>
          <w:szCs w:val="21"/>
        </w:rPr>
        <w:t>文件须按顺序装订成册，并编制投标文件目录。除上述文件资料外投标人还须按投标人须知的要求制作“</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”作为投标文件的一部分，单独密封</w:t>
      </w:r>
      <w:r>
        <w:rPr>
          <w:rFonts w:hint="eastAsia" w:ascii="宋体" w:hAnsi="宋体" w:eastAsia="宋体"/>
          <w:color w:val="auto"/>
          <w:sz w:val="21"/>
          <w:szCs w:val="21"/>
          <w:lang w:val="en-US" w:eastAsia="zh-CN"/>
        </w:rPr>
        <w:t>提交</w:t>
      </w:r>
      <w:r>
        <w:rPr>
          <w:rFonts w:hint="eastAsia"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2" w:name="_Toc3882"/>
      <w:bookmarkStart w:id="73" w:name="_Toc30189"/>
      <w:bookmarkStart w:id="74" w:name="_Toc21747"/>
      <w:r>
        <w:rPr>
          <w:rFonts w:hint="eastAsia" w:ascii="宋体" w:hAnsi="宋体" w:eastAsia="宋体"/>
          <w:color w:val="auto"/>
          <w:sz w:val="21"/>
          <w:szCs w:val="21"/>
        </w:rPr>
        <w:t>12.投标文件编制</w:t>
      </w:r>
      <w:bookmarkEnd w:id="72"/>
      <w:bookmarkEnd w:id="73"/>
      <w:bookmarkEnd w:id="7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投标人应按招标文件的规定以及附件要求的内容和格式完整地填写</w:t>
      </w:r>
      <w:r>
        <w:rPr>
          <w:rFonts w:ascii="宋体" w:hAnsi="宋体" w:eastAsia="宋体"/>
          <w:color w:val="auto"/>
          <w:sz w:val="21"/>
          <w:szCs w:val="21"/>
        </w:rPr>
        <w:t>（表格可以按同样格式扩展）</w:t>
      </w:r>
      <w:r>
        <w:rPr>
          <w:rFonts w:hint="eastAsia" w:ascii="宋体" w:hAnsi="宋体" w:eastAsia="宋体"/>
          <w:color w:val="auto"/>
          <w:sz w:val="21"/>
          <w:szCs w:val="21"/>
        </w:rPr>
        <w:t>和提供资料，投标人必须对投标文件所提供的全部材料的真实性承担法律责任，并无条件接受采购人或采购代理机构及采购监督管理部门等对其中任何资料进行核实的要求。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投标文件若出现以下内容，经评标委员会认定有可能间接影响评审秩序</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评审公正性的</w:t>
      </w:r>
      <w:r>
        <w:rPr>
          <w:rFonts w:hint="eastAsia" w:ascii="宋体" w:hAnsi="宋体" w:eastAsia="宋体"/>
          <w:color w:val="auto"/>
          <w:sz w:val="21"/>
          <w:szCs w:val="21"/>
        </w:rPr>
        <w:t>，其投标无效：</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（1）投标文件内出现无官方证明文件的行业地域排名或</w:t>
      </w:r>
      <w:r>
        <w:rPr>
          <w:rFonts w:ascii="宋体" w:hAnsi="宋体" w:eastAsia="宋体"/>
          <w:color w:val="auto"/>
          <w:sz w:val="21"/>
          <w:szCs w:val="21"/>
        </w:rPr>
        <w:t>使用“国家级”、“最高级”、“最佳”等用语</w:t>
      </w:r>
      <w:r>
        <w:rPr>
          <w:rFonts w:hint="eastAsia" w:ascii="宋体" w:hAnsi="宋体" w:eastAsia="宋体"/>
          <w:color w:val="auto"/>
          <w:sz w:val="21"/>
          <w:szCs w:val="21"/>
        </w:rPr>
        <w:t>字眼的。</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（2）投标文件内出现恶意诋毁、</w:t>
      </w:r>
      <w:r>
        <w:rPr>
          <w:rFonts w:ascii="宋体" w:hAnsi="宋体" w:eastAsia="宋体"/>
          <w:color w:val="auto"/>
          <w:sz w:val="21"/>
          <w:szCs w:val="21"/>
        </w:rPr>
        <w:t>贬低其他生产经营者的商品或者服务</w:t>
      </w:r>
      <w:r>
        <w:rPr>
          <w:rFonts w:hint="eastAsia" w:ascii="宋体" w:hAnsi="宋体" w:eastAsia="宋体"/>
          <w:color w:val="auto"/>
          <w:sz w:val="21"/>
          <w:szCs w:val="21"/>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（六）不同投标人的投标保证金从同一单位或者个人的账户转出。</w:t>
      </w:r>
    </w:p>
    <w:p>
      <w:pPr>
        <w:widowControl w:val="0"/>
        <w:adjustRightInd/>
        <w:snapToGrid/>
        <w:spacing w:after="0" w:line="360" w:lineRule="exact"/>
        <w:jc w:val="both"/>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6" w:name="_Toc7847"/>
      <w:bookmarkStart w:id="77" w:name="_Toc17188"/>
      <w:bookmarkStart w:id="78" w:name="_Toc259"/>
      <w:r>
        <w:rPr>
          <w:rFonts w:hint="eastAsia" w:ascii="宋体" w:hAnsi="宋体" w:eastAsia="宋体"/>
          <w:color w:val="auto"/>
          <w:sz w:val="21"/>
          <w:szCs w:val="21"/>
        </w:rPr>
        <w:t>13.投标报价说明</w:t>
      </w:r>
      <w:bookmarkEnd w:id="76"/>
      <w:bookmarkEnd w:id="77"/>
      <w:bookmarkEnd w:id="78"/>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中标后开出的所有发票必须与中标人的名称一致。</w:t>
      </w:r>
    </w:p>
    <w:p>
      <w:pPr>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9" w:name="_Toc16535"/>
      <w:bookmarkStart w:id="80" w:name="_Toc18911"/>
      <w:bookmarkStart w:id="81" w:name="_Toc27724"/>
      <w:r>
        <w:rPr>
          <w:rFonts w:hint="eastAsia" w:ascii="宋体" w:hAnsi="宋体" w:eastAsia="宋体"/>
          <w:color w:val="auto"/>
          <w:sz w:val="21"/>
          <w:szCs w:val="21"/>
        </w:rPr>
        <w:t>14.投标人所提供的服务或货物的证明文件</w:t>
      </w:r>
      <w:bookmarkEnd w:id="79"/>
      <w:bookmarkEnd w:id="80"/>
      <w:bookmarkEnd w:id="8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bookmarkStart w:id="82" w:name="_Hlt107925668"/>
      <w:bookmarkEnd w:id="82"/>
      <w:bookmarkStart w:id="83" w:name="_Hlt107925638"/>
      <w:bookmarkEnd w:id="83"/>
      <w:r>
        <w:rPr>
          <w:rFonts w:hint="eastAsia" w:ascii="宋体" w:hAnsi="宋体" w:eastAsia="宋体"/>
          <w:color w:val="auto"/>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3"/>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4" w:name="_Toc19520"/>
      <w:bookmarkStart w:id="85" w:name="_Toc22169"/>
      <w:bookmarkStart w:id="86" w:name="_Toc30815"/>
      <w:r>
        <w:rPr>
          <w:rFonts w:hint="eastAsia" w:ascii="宋体" w:hAnsi="宋体" w:eastAsia="宋体"/>
          <w:color w:val="auto"/>
          <w:sz w:val="21"/>
          <w:szCs w:val="21"/>
        </w:rPr>
        <w:t>15.★投标有效期</w:t>
      </w:r>
      <w:bookmarkEnd w:id="84"/>
      <w:bookmarkEnd w:id="85"/>
      <w:bookmarkEnd w:id="86"/>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7" w:name="_Toc25817"/>
      <w:bookmarkStart w:id="88" w:name="_Toc12456"/>
      <w:bookmarkStart w:id="89" w:name="_Toc30257"/>
      <w:r>
        <w:rPr>
          <w:rFonts w:hint="eastAsia" w:ascii="宋体" w:hAnsi="宋体" w:eastAsia="宋体"/>
          <w:color w:val="auto"/>
          <w:sz w:val="21"/>
          <w:szCs w:val="21"/>
        </w:rPr>
        <w:t>16.★投标保证金</w:t>
      </w:r>
      <w:bookmarkEnd w:id="87"/>
      <w:bookmarkEnd w:id="88"/>
      <w:bookmarkEnd w:id="89"/>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保证金不接受现金方式（包括以存现方式）提交，未按要求提交投标保证金的将导致</w:t>
      </w:r>
      <w:r>
        <w:rPr>
          <w:rFonts w:hint="eastAsia" w:ascii="宋体" w:hAnsi="宋体"/>
          <w:color w:val="auto"/>
          <w:sz w:val="21"/>
          <w:szCs w:val="21"/>
          <w:lang w:val="en-US" w:eastAsia="zh-CN"/>
        </w:rPr>
        <w:t>投标文件无效</w:t>
      </w:r>
      <w:r>
        <w:rPr>
          <w:rFonts w:hint="eastAsia"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未中标的投标人的保证金在采购结果公示发出后5个工作日内退还，中标</w:t>
      </w:r>
      <w:r>
        <w:rPr>
          <w:rFonts w:hint="eastAsia" w:ascii="宋体" w:hAnsi="宋体"/>
          <w:color w:val="auto"/>
          <w:sz w:val="21"/>
          <w:szCs w:val="21"/>
          <w:lang w:val="en-US" w:eastAsia="zh-CN"/>
        </w:rPr>
        <w:t>的</w:t>
      </w:r>
      <w:r>
        <w:rPr>
          <w:rFonts w:hint="eastAsia" w:ascii="宋体" w:hAnsi="宋体" w:eastAsia="宋体"/>
          <w:color w:val="auto"/>
          <w:sz w:val="21"/>
          <w:szCs w:val="21"/>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为方便退还未中标的投保人的保证金，投标人应制作《投标保证金汇入情况说明》随</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（5）招标文件规定的其他情形。</w:t>
      </w:r>
    </w:p>
    <w:p>
      <w:pPr>
        <w:pageBreakBefore w:val="0"/>
        <w:kinsoku/>
        <w:wordWrap/>
        <w:topLinePunct w:val="0"/>
        <w:autoSpaceDE/>
        <w:autoSpaceDN/>
        <w:bidi w:val="0"/>
        <w:spacing w:line="360" w:lineRule="auto"/>
        <w:textAlignment w:val="auto"/>
        <w:rPr>
          <w:color w:val="auto"/>
        </w:rPr>
      </w:pPr>
    </w:p>
    <w:p>
      <w:pPr>
        <w:pStyle w:val="4"/>
        <w:numPr>
          <w:ilvl w:val="0"/>
          <w:numId w:val="0"/>
        </w:numPr>
        <w:spacing w:before="0" w:after="0" w:line="480" w:lineRule="auto"/>
        <w:ind w:leftChars="0"/>
        <w:jc w:val="center"/>
        <w:rPr>
          <w:rFonts w:ascii="宋体" w:hAnsi="宋体" w:eastAsia="宋体"/>
          <w:color w:val="auto"/>
        </w:rPr>
      </w:pPr>
      <w:bookmarkStart w:id="91" w:name="_Toc31124"/>
      <w:bookmarkStart w:id="92" w:name="_Toc24109"/>
      <w:bookmarkStart w:id="93" w:name="_Toc3200"/>
      <w:r>
        <w:rPr>
          <w:rFonts w:hint="eastAsia" w:ascii="宋体" w:hAnsi="宋体"/>
          <w:color w:val="auto"/>
          <w:lang w:val="en-US" w:eastAsia="zh-CN"/>
        </w:rPr>
        <w:t>第四章</w:t>
      </w:r>
      <w:r>
        <w:rPr>
          <w:rFonts w:hint="eastAsia" w:ascii="宋体" w:hAnsi="宋体" w:eastAsia="宋体"/>
          <w:color w:val="auto"/>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94" w:name="_Toc382049111"/>
      <w:bookmarkStart w:id="95" w:name="_Toc23678"/>
      <w:bookmarkStart w:id="96" w:name="_Toc24997"/>
      <w:bookmarkStart w:id="97" w:name="_Toc303084264"/>
      <w:bookmarkStart w:id="98" w:name="_Toc29590"/>
      <w:bookmarkStart w:id="99" w:name="_Toc473"/>
      <w:r>
        <w:rPr>
          <w:rFonts w:hint="eastAsia" w:ascii="宋体" w:hAnsi="宋体" w:eastAsia="宋体"/>
          <w:color w:val="auto"/>
          <w:sz w:val="21"/>
          <w:szCs w:val="21"/>
        </w:rPr>
        <w:t>17.</w:t>
      </w:r>
      <w:r>
        <w:rPr>
          <w:rFonts w:ascii="宋体" w:hAnsi="宋体" w:eastAsia="宋体"/>
          <w:color w:val="auto"/>
          <w:sz w:val="21"/>
          <w:szCs w:val="21"/>
        </w:rPr>
        <w:t>投标文件的</w:t>
      </w:r>
      <w:r>
        <w:rPr>
          <w:rFonts w:hint="eastAsia" w:ascii="宋体" w:hAnsi="宋体" w:eastAsia="宋体"/>
          <w:color w:val="auto"/>
          <w:sz w:val="21"/>
          <w:szCs w:val="21"/>
        </w:rPr>
        <w:t>装订，签署，</w:t>
      </w:r>
      <w:r>
        <w:rPr>
          <w:rFonts w:ascii="宋体" w:hAnsi="宋体" w:eastAsia="宋体"/>
          <w:color w:val="auto"/>
          <w:sz w:val="21"/>
          <w:szCs w:val="21"/>
        </w:rPr>
        <w:t>密封和标记</w:t>
      </w:r>
      <w:bookmarkEnd w:id="94"/>
      <w:bookmarkEnd w:id="95"/>
      <w:bookmarkEnd w:id="96"/>
      <w:bookmarkEnd w:id="97"/>
      <w:bookmarkEnd w:id="98"/>
      <w:bookmarkEnd w:id="99"/>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为方便评标委员会对投标文件进行评审</w:t>
      </w:r>
      <w:r>
        <w:rPr>
          <w:rFonts w:ascii="宋体" w:hAnsi="宋体" w:eastAsia="宋体"/>
          <w:color w:val="auto"/>
          <w:sz w:val="21"/>
          <w:szCs w:val="21"/>
        </w:rPr>
        <w:t>，</w:t>
      </w:r>
      <w:r>
        <w:rPr>
          <w:rFonts w:hint="eastAsia" w:ascii="宋体" w:hAnsi="宋体" w:eastAsia="宋体"/>
          <w:color w:val="auto"/>
          <w:sz w:val="21"/>
          <w:szCs w:val="21"/>
        </w:rPr>
        <w:t>建议投标人对投标文件进行装订，价格文件、商务文件、技术文件可</w:t>
      </w:r>
      <w:r>
        <w:rPr>
          <w:rFonts w:hint="eastAsia" w:ascii="宋体" w:hAnsi="宋体" w:eastAsia="宋体"/>
          <w:color w:val="auto"/>
          <w:sz w:val="21"/>
          <w:szCs w:val="21"/>
          <w:lang w:val="en-US" w:eastAsia="zh-CN"/>
        </w:rPr>
        <w:t>合装订</w:t>
      </w:r>
      <w:r>
        <w:rPr>
          <w:rFonts w:hint="eastAsia" w:ascii="宋体" w:hAnsi="宋体" w:eastAsia="宋体"/>
          <w:color w:val="auto"/>
          <w:sz w:val="21"/>
          <w:szCs w:val="21"/>
        </w:rPr>
        <w:t>为一册，也可根据自身需要分册</w:t>
      </w:r>
      <w:r>
        <w:rPr>
          <w:rFonts w:hint="eastAsia" w:ascii="宋体" w:hAnsi="宋体" w:eastAsia="宋体"/>
          <w:color w:val="auto"/>
          <w:sz w:val="21"/>
          <w:szCs w:val="21"/>
          <w:lang w:val="en-US" w:eastAsia="zh-CN"/>
        </w:rPr>
        <w:t>装订，</w:t>
      </w:r>
      <w:r>
        <w:rPr>
          <w:rFonts w:ascii="宋体" w:hAnsi="宋体" w:eastAsia="宋体"/>
          <w:color w:val="auto"/>
          <w:sz w:val="21"/>
          <w:szCs w:val="21"/>
        </w:rPr>
        <w:t>对未经装订的投标文件可能发生的文件缺</w:t>
      </w:r>
      <w:r>
        <w:rPr>
          <w:rFonts w:hint="eastAsia" w:ascii="宋体" w:hAnsi="宋体" w:eastAsia="宋体"/>
          <w:color w:val="auto"/>
          <w:sz w:val="21"/>
          <w:szCs w:val="21"/>
        </w:rPr>
        <w:t>损</w:t>
      </w:r>
      <w:r>
        <w:rPr>
          <w:rFonts w:ascii="宋体" w:hAnsi="宋体" w:eastAsia="宋体"/>
          <w:color w:val="auto"/>
          <w:sz w:val="21"/>
          <w:szCs w:val="21"/>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投标文件</w:t>
      </w:r>
      <w:r>
        <w:rPr>
          <w:rFonts w:hint="eastAsia" w:ascii="宋体" w:hAnsi="宋体" w:eastAsia="宋体"/>
          <w:color w:val="auto"/>
          <w:sz w:val="21"/>
          <w:szCs w:val="21"/>
        </w:rPr>
        <w:t>正本均须用不褪色墨水书写或打印。投标文件的副本可采用投标文件的正本复印件，每套</w:t>
      </w:r>
      <w:r>
        <w:rPr>
          <w:rFonts w:ascii="宋体" w:hAnsi="宋体" w:eastAsia="宋体"/>
          <w:color w:val="auto"/>
          <w:sz w:val="21"/>
          <w:szCs w:val="21"/>
        </w:rPr>
        <w:t>投标文件</w:t>
      </w:r>
      <w:r>
        <w:rPr>
          <w:rFonts w:hint="eastAsia" w:ascii="宋体" w:hAnsi="宋体" w:eastAsia="宋体"/>
          <w:color w:val="auto"/>
          <w:sz w:val="21"/>
          <w:szCs w:val="21"/>
        </w:rPr>
        <w:t>应当标</w:t>
      </w:r>
      <w:r>
        <w:rPr>
          <w:rFonts w:ascii="宋体" w:hAnsi="宋体" w:eastAsia="宋体"/>
          <w:color w:val="auto"/>
          <w:sz w:val="21"/>
          <w:szCs w:val="21"/>
        </w:rPr>
        <w:t>明“正本”</w:t>
      </w:r>
      <w:r>
        <w:rPr>
          <w:rFonts w:hint="eastAsia" w:ascii="宋体" w:hAnsi="宋体" w:eastAsia="宋体"/>
          <w:color w:val="auto"/>
          <w:sz w:val="21"/>
          <w:szCs w:val="21"/>
        </w:rPr>
        <w:t>、</w:t>
      </w:r>
      <w:r>
        <w:rPr>
          <w:rFonts w:ascii="宋体" w:hAnsi="宋体" w:eastAsia="宋体"/>
          <w:color w:val="auto"/>
          <w:sz w:val="21"/>
          <w:szCs w:val="21"/>
        </w:rPr>
        <w:t>“副本”</w:t>
      </w:r>
      <w:r>
        <w:rPr>
          <w:rFonts w:hint="eastAsia" w:ascii="宋体" w:hAnsi="宋体" w:eastAsia="宋体"/>
          <w:color w:val="auto"/>
          <w:sz w:val="21"/>
          <w:szCs w:val="21"/>
        </w:rPr>
        <w:t>的字样</w:t>
      </w:r>
      <w:r>
        <w:rPr>
          <w:rFonts w:ascii="宋体" w:hAnsi="宋体" w:eastAsia="宋体"/>
          <w:color w:val="auto"/>
          <w:sz w:val="21"/>
          <w:szCs w:val="21"/>
        </w:rPr>
        <w:t>。</w:t>
      </w:r>
      <w:r>
        <w:rPr>
          <w:rFonts w:hint="eastAsia" w:ascii="宋体" w:hAnsi="宋体" w:eastAsia="宋体"/>
          <w:color w:val="auto"/>
          <w:sz w:val="21"/>
          <w:szCs w:val="21"/>
        </w:rPr>
        <w:t>投标文件的【正本】及所有【副本】的封面及骑缝均须加盖投标人公章（文件每页盖章等同于盖骑缝章）。若</w:t>
      </w:r>
      <w:r>
        <w:rPr>
          <w:rFonts w:ascii="宋体" w:hAnsi="宋体" w:eastAsia="宋体"/>
          <w:color w:val="auto"/>
          <w:sz w:val="21"/>
          <w:szCs w:val="21"/>
        </w:rPr>
        <w:t>正本</w:t>
      </w:r>
      <w:r>
        <w:rPr>
          <w:rFonts w:hint="eastAsia" w:ascii="宋体" w:hAnsi="宋体" w:eastAsia="宋体"/>
          <w:color w:val="auto"/>
          <w:sz w:val="21"/>
          <w:szCs w:val="21"/>
        </w:rPr>
        <w:t>与</w:t>
      </w:r>
      <w:r>
        <w:rPr>
          <w:rFonts w:ascii="宋体" w:hAnsi="宋体" w:eastAsia="宋体"/>
          <w:color w:val="auto"/>
          <w:sz w:val="21"/>
          <w:szCs w:val="21"/>
        </w:rPr>
        <w:t>副本</w:t>
      </w:r>
      <w:r>
        <w:rPr>
          <w:rFonts w:hint="eastAsia" w:ascii="宋体" w:hAnsi="宋体" w:eastAsia="宋体"/>
          <w:color w:val="auto"/>
          <w:sz w:val="21"/>
          <w:szCs w:val="21"/>
        </w:rPr>
        <w:t>不符，以</w:t>
      </w:r>
      <w:r>
        <w:rPr>
          <w:rFonts w:ascii="宋体" w:hAnsi="宋体" w:eastAsia="宋体"/>
          <w:color w:val="auto"/>
          <w:sz w:val="21"/>
          <w:szCs w:val="21"/>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电子文件内容包括：由投标人自行制作的与正本文件一致的所有文件。电子文件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除投标人对错误处修改外，全套投标文件应无涂改或行间插字和增删。如有修改，修改处</w:t>
      </w:r>
      <w:r>
        <w:rPr>
          <w:rFonts w:hint="eastAsia" w:ascii="宋体" w:hAnsi="宋体" w:eastAsia="宋体"/>
          <w:color w:val="auto"/>
          <w:sz w:val="21"/>
          <w:szCs w:val="21"/>
        </w:rPr>
        <w:t>须由法定代表人或其正式授权代表在旁边签字及盖章</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为方便开标唱标，投标人应将</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和授权委托书单独密封提交，并在信封上标明“</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”字样。</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一并密封提交。“</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收件人：</w:t>
      </w:r>
      <w:r>
        <w:rPr>
          <w:rFonts w:hint="eastAsia" w:ascii="宋体" w:hAnsi="宋体" w:eastAsia="宋体"/>
          <w:color w:val="auto"/>
          <w:sz w:val="21"/>
          <w:szCs w:val="21"/>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0" w:name="_Toc7473"/>
      <w:bookmarkStart w:id="101" w:name="_Toc17417"/>
      <w:bookmarkStart w:id="102" w:name="_Toc8628"/>
      <w:r>
        <w:rPr>
          <w:rFonts w:hint="eastAsia" w:ascii="宋体" w:hAnsi="宋体" w:eastAsia="宋体"/>
          <w:color w:val="auto"/>
          <w:sz w:val="21"/>
          <w:szCs w:val="21"/>
        </w:rPr>
        <w:t>18.迟交的投标文件</w:t>
      </w:r>
      <w:bookmarkEnd w:id="100"/>
      <w:bookmarkEnd w:id="101"/>
      <w:bookmarkEnd w:id="102"/>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投标人在投标截止时间之后提交的投标文件，采购代理机构将拒绝接收</w:t>
      </w:r>
      <w:r>
        <w:rPr>
          <w:rFonts w:ascii="宋体" w:hAnsi="宋体" w:eastAsia="宋体"/>
          <w:color w:val="auto"/>
          <w:sz w:val="21"/>
          <w:szCs w:val="21"/>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有违反其他法律规定情形的，采购代理机构将拒绝接收。</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3" w:name="_Toc8526"/>
      <w:bookmarkStart w:id="104" w:name="_Toc19649"/>
      <w:bookmarkStart w:id="105" w:name="_Toc13212"/>
      <w:r>
        <w:rPr>
          <w:rFonts w:hint="eastAsia" w:ascii="宋体" w:hAnsi="宋体" w:eastAsia="宋体"/>
          <w:color w:val="auto"/>
          <w:sz w:val="21"/>
          <w:szCs w:val="21"/>
        </w:rPr>
        <w:t>19.投标样品（如需提交）</w:t>
      </w:r>
      <w:bookmarkEnd w:id="103"/>
      <w:bookmarkEnd w:id="104"/>
      <w:bookmarkEnd w:id="105"/>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6" w:name="_Toc303084265"/>
      <w:bookmarkStart w:id="107" w:name="_Toc5900"/>
      <w:bookmarkStart w:id="108" w:name="_Toc23477"/>
      <w:bookmarkStart w:id="109" w:name="_Toc9777"/>
      <w:bookmarkStart w:id="110" w:name="_Toc382049112"/>
      <w:bookmarkStart w:id="111" w:name="_Toc7689"/>
      <w:r>
        <w:rPr>
          <w:rFonts w:hint="eastAsia" w:ascii="宋体" w:hAnsi="宋体" w:eastAsia="宋体"/>
          <w:color w:val="auto"/>
          <w:sz w:val="21"/>
          <w:szCs w:val="21"/>
        </w:rPr>
        <w:t>20.投标截止期</w:t>
      </w:r>
      <w:bookmarkEnd w:id="106"/>
      <w:bookmarkEnd w:id="107"/>
      <w:bookmarkEnd w:id="108"/>
      <w:bookmarkEnd w:id="109"/>
      <w:bookmarkEnd w:id="110"/>
      <w:bookmarkEnd w:id="111"/>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w:t>
      </w:r>
      <w:r>
        <w:rPr>
          <w:rFonts w:ascii="宋体" w:hAnsi="宋体" w:eastAsia="宋体"/>
          <w:color w:val="auto"/>
          <w:sz w:val="21"/>
          <w:szCs w:val="21"/>
        </w:rPr>
        <w:t>可按本须知规定以</w:t>
      </w:r>
      <w:r>
        <w:rPr>
          <w:rFonts w:hint="eastAsia" w:ascii="宋体" w:hAnsi="宋体" w:eastAsia="宋体"/>
          <w:color w:val="auto"/>
          <w:sz w:val="21"/>
          <w:szCs w:val="21"/>
        </w:rPr>
        <w:t>澄清或</w:t>
      </w:r>
      <w:r>
        <w:rPr>
          <w:rFonts w:ascii="宋体" w:hAnsi="宋体" w:eastAsia="宋体"/>
          <w:color w:val="auto"/>
          <w:sz w:val="21"/>
          <w:szCs w:val="21"/>
        </w:rPr>
        <w:t>修改通知的方式，酌情延长</w:t>
      </w:r>
      <w:r>
        <w:rPr>
          <w:rFonts w:hint="eastAsia" w:ascii="宋体" w:hAnsi="宋体" w:eastAsia="宋体"/>
          <w:color w:val="auto"/>
          <w:sz w:val="21"/>
          <w:szCs w:val="21"/>
        </w:rPr>
        <w:t>递</w:t>
      </w:r>
      <w:r>
        <w:rPr>
          <w:rFonts w:ascii="宋体" w:hAnsi="宋体" w:eastAsia="宋体"/>
          <w:color w:val="auto"/>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2" w:name="_Toc15569"/>
      <w:bookmarkStart w:id="113" w:name="_Toc6003"/>
      <w:bookmarkStart w:id="114" w:name="_Toc11133"/>
      <w:r>
        <w:rPr>
          <w:rFonts w:hint="eastAsia" w:ascii="宋体" w:hAnsi="宋体" w:eastAsia="宋体"/>
          <w:color w:val="auto"/>
          <w:sz w:val="21"/>
          <w:szCs w:val="21"/>
        </w:rPr>
        <w:t>21.投标文件的补充、修改与撤回</w:t>
      </w:r>
      <w:bookmarkEnd w:id="112"/>
      <w:bookmarkEnd w:id="113"/>
      <w:bookmarkEnd w:id="114"/>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在提交投标文件截止时间至投标有效期满之前，投标人不得撤回其投标，否则其投标保证金将不予退还。</w:t>
      </w:r>
    </w:p>
    <w:p>
      <w:pPr>
        <w:pStyle w:val="7"/>
        <w:rPr>
          <w:color w:val="auto"/>
        </w:rPr>
      </w:pPr>
    </w:p>
    <w:p>
      <w:pPr>
        <w:pStyle w:val="4"/>
        <w:numPr>
          <w:ilvl w:val="0"/>
          <w:numId w:val="0"/>
        </w:numPr>
        <w:spacing w:before="0" w:after="0" w:line="480" w:lineRule="auto"/>
        <w:ind w:leftChars="0"/>
        <w:jc w:val="center"/>
        <w:rPr>
          <w:rFonts w:ascii="宋体" w:hAnsi="宋体" w:eastAsia="宋体"/>
          <w:color w:val="auto"/>
        </w:rPr>
      </w:pPr>
      <w:bookmarkStart w:id="115" w:name="_Toc29574"/>
      <w:bookmarkStart w:id="116" w:name="_Toc23466"/>
      <w:bookmarkStart w:id="117" w:name="_Toc5049"/>
      <w:r>
        <w:rPr>
          <w:rFonts w:hint="eastAsia" w:ascii="宋体" w:hAnsi="宋体"/>
          <w:color w:val="auto"/>
          <w:lang w:val="en-US" w:eastAsia="zh-CN"/>
        </w:rPr>
        <w:t>第五章</w:t>
      </w:r>
      <w:r>
        <w:rPr>
          <w:rFonts w:hint="eastAsia" w:ascii="宋体" w:hAnsi="宋体" w:eastAsia="宋体"/>
          <w:color w:val="auto"/>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8" w:name="_Toc24251"/>
      <w:bookmarkStart w:id="119" w:name="_Toc28458"/>
      <w:bookmarkStart w:id="120" w:name="_Toc27700"/>
      <w:r>
        <w:rPr>
          <w:rFonts w:hint="eastAsia" w:ascii="宋体" w:hAnsi="宋体" w:eastAsia="宋体"/>
          <w:color w:val="auto"/>
          <w:sz w:val="21"/>
          <w:szCs w:val="21"/>
        </w:rPr>
        <w:t>22.开标</w:t>
      </w:r>
      <w:bookmarkEnd w:id="118"/>
      <w:bookmarkEnd w:id="119"/>
      <w:bookmarkEnd w:id="120"/>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采购代理机构按</w:t>
      </w:r>
      <w:r>
        <w:rPr>
          <w:rFonts w:ascii="宋体" w:hAnsi="宋体" w:eastAsia="宋体"/>
          <w:color w:val="auto"/>
          <w:sz w:val="21"/>
          <w:szCs w:val="21"/>
        </w:rPr>
        <w:t>本</w:t>
      </w:r>
      <w:r>
        <w:rPr>
          <w:rFonts w:hint="eastAsia" w:ascii="宋体" w:hAnsi="宋体" w:eastAsia="宋体"/>
          <w:color w:val="auto"/>
          <w:sz w:val="21"/>
          <w:szCs w:val="21"/>
        </w:rPr>
        <w:t>招标文件</w:t>
      </w:r>
      <w:r>
        <w:rPr>
          <w:rFonts w:ascii="宋体" w:hAnsi="宋体" w:eastAsia="宋体"/>
          <w:color w:val="auto"/>
          <w:sz w:val="21"/>
          <w:szCs w:val="21"/>
        </w:rPr>
        <w:t>所规定的时间和地点公开开标，并邀请所有投标人</w:t>
      </w:r>
      <w:r>
        <w:rPr>
          <w:rFonts w:hint="eastAsia" w:ascii="宋体" w:hAnsi="宋体" w:eastAsia="宋体"/>
          <w:color w:val="auto"/>
          <w:sz w:val="21"/>
          <w:szCs w:val="21"/>
        </w:rPr>
        <w:t>代表</w:t>
      </w:r>
      <w:r>
        <w:rPr>
          <w:rFonts w:ascii="宋体" w:hAnsi="宋体" w:eastAsia="宋体"/>
          <w:color w:val="auto"/>
          <w:sz w:val="21"/>
          <w:szCs w:val="21"/>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w:t>
      </w:r>
      <w:r>
        <w:rPr>
          <w:rFonts w:hint="eastAsia" w:ascii="宋体" w:hAnsi="宋体" w:eastAsia="宋体"/>
          <w:color w:val="auto"/>
          <w:sz w:val="21"/>
          <w:szCs w:val="21"/>
        </w:rPr>
        <w:t>会</w:t>
      </w:r>
      <w:r>
        <w:rPr>
          <w:rFonts w:ascii="宋体" w:hAnsi="宋体" w:eastAsia="宋体"/>
          <w:color w:val="auto"/>
          <w:sz w:val="21"/>
          <w:szCs w:val="21"/>
        </w:rPr>
        <w:t>由</w:t>
      </w:r>
      <w:r>
        <w:rPr>
          <w:rFonts w:hint="eastAsia" w:ascii="宋体" w:hAnsi="宋体" w:eastAsia="宋体"/>
          <w:color w:val="auto"/>
          <w:sz w:val="21"/>
          <w:szCs w:val="21"/>
        </w:rPr>
        <w:t>采购代理机构</w:t>
      </w:r>
      <w:r>
        <w:rPr>
          <w:rFonts w:ascii="宋体" w:hAnsi="宋体" w:eastAsia="宋体"/>
          <w:color w:val="auto"/>
          <w:sz w:val="21"/>
          <w:szCs w:val="21"/>
        </w:rPr>
        <w:t>主持</w:t>
      </w:r>
      <w:r>
        <w:rPr>
          <w:rFonts w:hint="eastAsia" w:ascii="宋体" w:hAnsi="宋体" w:eastAsia="宋体"/>
          <w:color w:val="auto"/>
          <w:sz w:val="21"/>
          <w:szCs w:val="21"/>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color w:val="auto"/>
          <w:sz w:val="21"/>
          <w:szCs w:val="21"/>
          <w:lang w:val="en-US" w:eastAsia="zh-CN"/>
        </w:rPr>
        <w:t>现场参与的</w:t>
      </w:r>
      <w:r>
        <w:rPr>
          <w:rFonts w:hint="eastAsia" w:ascii="宋体" w:hAnsi="宋体" w:eastAsia="宋体"/>
          <w:color w:val="auto"/>
          <w:sz w:val="21"/>
          <w:szCs w:val="21"/>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1" w:name="_Toc4921"/>
      <w:bookmarkStart w:id="122" w:name="_Toc5974"/>
      <w:bookmarkStart w:id="123" w:name="_Toc5524"/>
      <w:r>
        <w:rPr>
          <w:rFonts w:hint="eastAsia" w:ascii="宋体" w:hAnsi="宋体" w:eastAsia="宋体"/>
          <w:color w:val="auto"/>
          <w:sz w:val="21"/>
          <w:szCs w:val="21"/>
        </w:rPr>
        <w:t>23.评标委员会及评标方法</w:t>
      </w:r>
      <w:bookmarkEnd w:id="121"/>
      <w:bookmarkEnd w:id="122"/>
      <w:bookmarkEnd w:id="123"/>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定标原则：在最大限度</w:t>
      </w:r>
      <w:r>
        <w:rPr>
          <w:rFonts w:ascii="宋体" w:hAnsi="宋体" w:eastAsia="宋体"/>
          <w:color w:val="auto"/>
          <w:sz w:val="21"/>
          <w:szCs w:val="21"/>
        </w:rPr>
        <w:t>满足招标文件</w:t>
      </w:r>
      <w:r>
        <w:rPr>
          <w:rFonts w:hint="eastAsia" w:ascii="宋体" w:hAnsi="宋体" w:eastAsia="宋体"/>
          <w:color w:val="auto"/>
          <w:sz w:val="21"/>
          <w:szCs w:val="21"/>
        </w:rPr>
        <w:t>实质性要求前提下，按照招标文件规定的各项评价因素进行量化打分，以评标总得分最高的投标人作为中标候选人或中标人。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通过资格性和符合性审查的有效</w:t>
      </w:r>
      <w:r>
        <w:rPr>
          <w:rFonts w:hint="eastAsia" w:ascii="宋体" w:hAnsi="宋体"/>
          <w:color w:val="auto"/>
          <w:sz w:val="21"/>
          <w:szCs w:val="21"/>
          <w:lang w:val="en-US" w:eastAsia="zh-CN"/>
        </w:rPr>
        <w:t>投标人</w:t>
      </w:r>
      <w:r>
        <w:rPr>
          <w:rFonts w:hint="eastAsia" w:ascii="宋体" w:hAnsi="宋体" w:eastAsia="宋体"/>
          <w:color w:val="auto"/>
          <w:sz w:val="21"/>
          <w:szCs w:val="21"/>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4" w:name="_Toc32730"/>
      <w:bookmarkStart w:id="125" w:name="_Toc15231"/>
      <w:bookmarkStart w:id="126" w:name="_Toc26402"/>
      <w:r>
        <w:rPr>
          <w:rFonts w:hint="eastAsia" w:ascii="宋体" w:hAnsi="宋体" w:eastAsia="宋体"/>
          <w:color w:val="auto"/>
          <w:sz w:val="21"/>
          <w:szCs w:val="21"/>
        </w:rPr>
        <w:t>24.评审原则及评标过程的保密</w:t>
      </w:r>
      <w:bookmarkEnd w:id="124"/>
      <w:bookmarkEnd w:id="125"/>
      <w:bookmarkEnd w:id="126"/>
    </w:p>
    <w:p>
      <w:pPr>
        <w:pStyle w:val="33"/>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评审的基本原则：</w:t>
      </w:r>
      <w:r>
        <w:rPr>
          <w:rFonts w:hint="eastAsia" w:ascii="宋体" w:hAnsi="宋体"/>
          <w:color w:val="auto"/>
          <w:szCs w:val="21"/>
        </w:rPr>
        <w:t>评标委员会将依据招标文件的规定，遵循“公开、公平、公正、择优、信用”的原则进行评审工作。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lang w:val="en-US" w:eastAsia="zh-CN"/>
        </w:rPr>
        <w:t>招标</w:t>
      </w:r>
      <w:r>
        <w:rPr>
          <w:rFonts w:hint="eastAsia" w:ascii="宋体" w:hAnsi="宋体" w:eastAsia="宋体"/>
          <w:color w:val="auto"/>
          <w:sz w:val="21"/>
          <w:szCs w:val="21"/>
        </w:rPr>
        <w:t>文件中要求</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提供的相关资质证书证明材料因国家政策变动导致新旧证书名称不一致</w:t>
      </w:r>
      <w:r>
        <w:rPr>
          <w:rFonts w:hint="eastAsia" w:ascii="宋体" w:hAnsi="宋体" w:eastAsia="宋体"/>
          <w:color w:val="auto"/>
          <w:sz w:val="21"/>
          <w:szCs w:val="21"/>
          <w:lang w:val="en-US" w:eastAsia="zh-CN"/>
        </w:rPr>
        <w:t>的</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提供新证书</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提供在有效期内的旧证书</w:t>
      </w:r>
      <w:r>
        <w:rPr>
          <w:rFonts w:hint="eastAsia" w:ascii="宋体" w:hAnsi="宋体" w:eastAsia="宋体"/>
          <w:color w:val="auto"/>
          <w:sz w:val="21"/>
          <w:szCs w:val="21"/>
          <w:lang w:val="en-US" w:eastAsia="zh-CN"/>
        </w:rPr>
        <w:t>经评审委员会认定后，均具有同等效力，</w:t>
      </w:r>
      <w:r>
        <w:rPr>
          <w:rFonts w:hint="eastAsia" w:ascii="宋体" w:hAnsi="宋体" w:eastAsia="宋体"/>
          <w:color w:val="auto"/>
          <w:sz w:val="21"/>
          <w:szCs w:val="21"/>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任何单位和个人不得非法干预、影响评标的过程和结果。</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7" w:name="_Toc18436"/>
      <w:bookmarkStart w:id="128" w:name="_Toc16745"/>
      <w:bookmarkStart w:id="129" w:name="_Toc3762"/>
      <w:r>
        <w:rPr>
          <w:rFonts w:hint="eastAsia" w:ascii="宋体" w:hAnsi="宋体" w:eastAsia="宋体"/>
          <w:color w:val="auto"/>
          <w:sz w:val="21"/>
          <w:szCs w:val="21"/>
        </w:rPr>
        <w:t>25.投标文件的初审</w:t>
      </w:r>
      <w:bookmarkEnd w:id="127"/>
      <w:bookmarkEnd w:id="128"/>
      <w:bookmarkEnd w:id="129"/>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rPr>
        <w:t>发现下列情况之一的，其投标将作无效处理</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b/>
          <w:color w:val="auto"/>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lang w:eastAsia="zh-CN"/>
        </w:rPr>
        <w:t>《</w:t>
      </w:r>
      <w:r>
        <w:rPr>
          <w:rFonts w:hint="eastAsia" w:ascii="宋体" w:hAnsi="宋体" w:eastAsia="宋体"/>
          <w:color w:val="auto"/>
          <w:sz w:val="21"/>
          <w:szCs w:val="21"/>
        </w:rPr>
        <w:t>实质性条款（标记★）投标响应表</w:t>
      </w:r>
      <w:r>
        <w:rPr>
          <w:rFonts w:hint="eastAsia" w:ascii="宋体" w:hAnsi="宋体"/>
          <w:color w:val="auto"/>
          <w:sz w:val="21"/>
          <w:szCs w:val="21"/>
          <w:lang w:eastAsia="zh-CN"/>
        </w:rPr>
        <w:t>》</w:t>
      </w:r>
      <w:r>
        <w:rPr>
          <w:rFonts w:hint="eastAsia" w:ascii="宋体" w:hAnsi="宋体"/>
          <w:color w:val="auto"/>
          <w:sz w:val="21"/>
          <w:szCs w:val="21"/>
          <w:lang w:val="en-US" w:eastAsia="zh-CN"/>
        </w:rPr>
        <w:t>未提供的</w:t>
      </w:r>
      <w:r>
        <w:rPr>
          <w:rFonts w:hint="eastAsia" w:ascii="宋体" w:hAnsi="宋体"/>
          <w:color w:val="auto"/>
          <w:sz w:val="21"/>
          <w:szCs w:val="21"/>
          <w:lang w:eastAsia="zh-CN"/>
        </w:rPr>
        <w:t>；</w:t>
      </w:r>
      <w:r>
        <w:rPr>
          <w:rFonts w:hint="eastAsia" w:ascii="宋体" w:hAnsi="宋体" w:eastAsia="宋体"/>
          <w:color w:val="auto"/>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0" w:name="_Toc27673"/>
      <w:bookmarkStart w:id="131" w:name="_Toc21742"/>
      <w:bookmarkStart w:id="132" w:name="_Toc29184"/>
      <w:r>
        <w:rPr>
          <w:rFonts w:hint="eastAsia" w:ascii="宋体" w:hAnsi="宋体" w:eastAsia="宋体"/>
          <w:color w:val="auto"/>
          <w:sz w:val="21"/>
          <w:szCs w:val="21"/>
        </w:rPr>
        <w:t>26.商务、技术、价格评审（具体评审项目详见投标资料表）</w:t>
      </w:r>
      <w:bookmarkEnd w:id="130"/>
      <w:bookmarkEnd w:id="131"/>
      <w:bookmarkEnd w:id="132"/>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投标文件中</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（报价表）内容与投标文件中相应内容不一致的，以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单价金额小数点或者百分比有明显错位的，以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3" w:name="_Toc316375620"/>
      <w:bookmarkStart w:id="134" w:name="_Toc31141"/>
      <w:bookmarkStart w:id="135" w:name="_Toc20328"/>
      <w:bookmarkStart w:id="136" w:name="_Toc22591"/>
      <w:bookmarkStart w:id="137" w:name="_Toc12115"/>
      <w:bookmarkStart w:id="138" w:name="_Toc382049120"/>
      <w:r>
        <w:rPr>
          <w:rFonts w:hint="eastAsia" w:ascii="宋体" w:hAnsi="宋体" w:eastAsia="宋体"/>
          <w:color w:val="auto"/>
          <w:sz w:val="21"/>
          <w:szCs w:val="21"/>
        </w:rPr>
        <w:t>2</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.纪律和</w:t>
      </w:r>
      <w:r>
        <w:rPr>
          <w:rFonts w:ascii="宋体" w:hAnsi="宋体" w:eastAsia="宋体"/>
          <w:color w:val="auto"/>
          <w:sz w:val="21"/>
          <w:szCs w:val="21"/>
        </w:rPr>
        <w:t>保密</w:t>
      </w:r>
      <w:bookmarkEnd w:id="133"/>
      <w:r>
        <w:rPr>
          <w:rFonts w:hint="eastAsia" w:ascii="宋体" w:hAnsi="宋体" w:eastAsia="宋体"/>
          <w:color w:val="auto"/>
          <w:sz w:val="21"/>
          <w:szCs w:val="21"/>
        </w:rPr>
        <w:t>事项</w:t>
      </w:r>
      <w:bookmarkEnd w:id="134"/>
      <w:bookmarkEnd w:id="135"/>
      <w:bookmarkEnd w:id="136"/>
      <w:bookmarkEnd w:id="137"/>
      <w:bookmarkEnd w:id="138"/>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获得本招标文件的投标人，应对文件进行保密，不得用作本次投标以外的任何用途。开标后，投标人应归还招标文件中要求保密的文件和资料。</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39" w:name="_Toc12251"/>
      <w:bookmarkStart w:id="140" w:name="_Toc29310"/>
      <w:bookmarkStart w:id="141" w:name="_Toc5528"/>
      <w:r>
        <w:rPr>
          <w:rFonts w:hint="eastAsia" w:ascii="宋体" w:hAnsi="宋体"/>
          <w:color w:val="auto"/>
          <w:lang w:val="en-US" w:eastAsia="zh-CN"/>
        </w:rPr>
        <w:t>第六章</w:t>
      </w:r>
      <w:r>
        <w:rPr>
          <w:rFonts w:hint="eastAsia" w:ascii="宋体" w:hAnsi="宋体" w:eastAsia="宋体"/>
          <w:color w:val="auto"/>
        </w:rPr>
        <w:t>授予合同</w:t>
      </w:r>
      <w:bookmarkEnd w:id="139"/>
      <w:bookmarkEnd w:id="140"/>
      <w:bookmarkEnd w:id="14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2" w:name="_Toc17778"/>
      <w:bookmarkStart w:id="143" w:name="_Toc6696"/>
      <w:bookmarkStart w:id="144" w:name="_Toc27817"/>
      <w:bookmarkStart w:id="145" w:name="_Toc508284011"/>
      <w:r>
        <w:rPr>
          <w:rFonts w:hint="eastAsia" w:ascii="宋体" w:hAnsi="宋体" w:eastAsia="宋体"/>
          <w:color w:val="auto"/>
          <w:sz w:val="21"/>
          <w:szCs w:val="21"/>
        </w:rPr>
        <w:t>2</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w:t>
      </w:r>
      <w:r>
        <w:rPr>
          <w:rFonts w:ascii="宋体" w:hAnsi="宋体" w:eastAsia="宋体"/>
          <w:color w:val="auto"/>
          <w:sz w:val="21"/>
          <w:szCs w:val="21"/>
        </w:rPr>
        <w:t>合同授予标准</w:t>
      </w:r>
      <w:bookmarkEnd w:id="142"/>
      <w:bookmarkEnd w:id="143"/>
      <w:bookmarkEnd w:id="144"/>
      <w:bookmarkEnd w:id="145"/>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根据评标委员会的评审结果，采购人按照评审报告推荐的中标候选人中按顺序依法确定中标人</w:t>
      </w:r>
      <w:r>
        <w:rPr>
          <w:rFonts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6" w:name="_Toc29283"/>
      <w:bookmarkStart w:id="147" w:name="_Toc23136"/>
      <w:bookmarkStart w:id="148" w:name="_Toc12440"/>
      <w:bookmarkStart w:id="149" w:name="_Toc508284013"/>
      <w:r>
        <w:rPr>
          <w:rFonts w:hint="eastAsia" w:ascii="宋体" w:hAnsi="宋体" w:eastAsia="宋体"/>
          <w:color w:val="auto"/>
          <w:sz w:val="21"/>
          <w:szCs w:val="21"/>
          <w:lang w:val="en-US" w:eastAsia="zh-CN"/>
        </w:rPr>
        <w:t>29</w:t>
      </w:r>
      <w:r>
        <w:rPr>
          <w:rFonts w:hint="eastAsia" w:ascii="宋体" w:hAnsi="宋体" w:eastAsia="宋体"/>
          <w:color w:val="auto"/>
          <w:sz w:val="21"/>
          <w:szCs w:val="21"/>
        </w:rPr>
        <w:t>.发布采购结果</w:t>
      </w:r>
      <w:bookmarkEnd w:id="146"/>
      <w:bookmarkEnd w:id="147"/>
      <w:bookmarkEnd w:id="148"/>
      <w:bookmarkEnd w:id="149"/>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中标单位有下列情形之一的，取消中标资格：</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在规定时间内递交的原件数量、内容与采购人、采购代理机构要求不一致的；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投标人有下列情形之一的，投标文件作无效处理，其投标无效：</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在规定时间内递交的原件数量、内容不符合采购人、采购代理机构要求的；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0" w:name="_Toc22262"/>
      <w:bookmarkStart w:id="151" w:name="_Toc22451"/>
      <w:bookmarkStart w:id="152" w:name="_Toc27279"/>
      <w:r>
        <w:rPr>
          <w:rFonts w:hint="eastAsia" w:ascii="宋体" w:hAnsi="宋体" w:eastAsia="宋体"/>
          <w:color w:val="auto"/>
          <w:sz w:val="21"/>
          <w:szCs w:val="21"/>
        </w:rPr>
        <w:t>3</w:t>
      </w:r>
      <w:r>
        <w:rPr>
          <w:rFonts w:hint="eastAsia" w:ascii="宋体" w:hAnsi="宋体" w:eastAsia="宋体"/>
          <w:color w:val="auto"/>
          <w:sz w:val="21"/>
          <w:szCs w:val="21"/>
          <w:lang w:val="en-US" w:eastAsia="zh-CN"/>
        </w:rPr>
        <w:t>0</w:t>
      </w:r>
      <w:r>
        <w:rPr>
          <w:rFonts w:hint="eastAsia" w:ascii="宋体" w:hAnsi="宋体" w:eastAsia="宋体"/>
          <w:color w:val="auto"/>
          <w:sz w:val="21"/>
          <w:szCs w:val="21"/>
        </w:rPr>
        <w:t>.合同的签订与履行</w:t>
      </w:r>
      <w:bookmarkEnd w:id="150"/>
      <w:bookmarkEnd w:id="151"/>
      <w:bookmarkEnd w:id="152"/>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采购合同的履行、违约责任和解决争议的方法等适用《中华人民共和国</w:t>
      </w:r>
      <w:r>
        <w:rPr>
          <w:rFonts w:hint="eastAsia" w:ascii="宋体" w:hAnsi="宋体" w:eastAsia="宋体"/>
          <w:color w:val="auto"/>
          <w:sz w:val="21"/>
          <w:szCs w:val="21"/>
          <w:lang w:eastAsia="zh-CN"/>
        </w:rPr>
        <w:t>民法典</w:t>
      </w:r>
      <w:r>
        <w:rPr>
          <w:rFonts w:hint="eastAsia" w:ascii="宋体" w:hAnsi="宋体" w:eastAsia="宋体"/>
          <w:color w:val="auto"/>
          <w:sz w:val="21"/>
          <w:szCs w:val="21"/>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合同签订之日起2个工作日内，中标人应将所签订的合同副本（加盖公章）交至</w:t>
      </w:r>
      <w:r>
        <w:rPr>
          <w:rFonts w:hint="eastAsia" w:ascii="宋体" w:hAnsi="宋体" w:eastAsia="宋体"/>
          <w:b/>
          <w:color w:val="auto"/>
          <w:sz w:val="21"/>
          <w:szCs w:val="21"/>
          <w:lang w:eastAsia="zh-CN"/>
        </w:rPr>
        <w:t>广东政通招标有限公司</w:t>
      </w:r>
      <w:r>
        <w:rPr>
          <w:rFonts w:hint="eastAsia" w:ascii="宋体" w:hAnsi="宋体" w:eastAsia="宋体"/>
          <w:b/>
          <w:color w:val="auto"/>
          <w:sz w:val="21"/>
          <w:szCs w:val="21"/>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中标人拒绝与采购人签订合同的，采购人可以按照评审报告推荐的中标候选人名单排序，确定下一候选人为中标人，也可以重新开展采购活动。</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3" w:name="_Toc303084277"/>
      <w:bookmarkStart w:id="154" w:name="_Toc29009"/>
      <w:bookmarkStart w:id="155" w:name="_Toc25756"/>
      <w:bookmarkStart w:id="156" w:name="_Toc7405"/>
      <w:bookmarkStart w:id="157" w:name="_Toc2744"/>
      <w:bookmarkStart w:id="158" w:name="_Toc382049124"/>
      <w:r>
        <w:rPr>
          <w:rFonts w:hint="eastAsia" w:ascii="宋体" w:hAnsi="宋体" w:eastAsia="宋体"/>
          <w:color w:val="auto"/>
          <w:sz w:val="21"/>
          <w:szCs w:val="21"/>
        </w:rPr>
        <w:t>3</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w:t>
      </w:r>
      <w:r>
        <w:rPr>
          <w:rFonts w:ascii="宋体" w:hAnsi="宋体" w:eastAsia="宋体"/>
          <w:color w:val="auto"/>
          <w:sz w:val="21"/>
          <w:szCs w:val="21"/>
        </w:rPr>
        <w:t>履约</w:t>
      </w:r>
      <w:r>
        <w:rPr>
          <w:rFonts w:hint="eastAsia" w:ascii="宋体" w:hAnsi="宋体" w:eastAsia="宋体"/>
          <w:color w:val="auto"/>
          <w:sz w:val="21"/>
          <w:szCs w:val="21"/>
        </w:rPr>
        <w:t>保证金</w:t>
      </w:r>
      <w:bookmarkEnd w:id="153"/>
      <w:bookmarkEnd w:id="154"/>
      <w:bookmarkEnd w:id="155"/>
      <w:bookmarkEnd w:id="156"/>
      <w:bookmarkEnd w:id="157"/>
      <w:bookmarkEnd w:id="158"/>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59" w:name="_Toc13694"/>
      <w:bookmarkStart w:id="160" w:name="_Toc20699"/>
      <w:bookmarkStart w:id="161" w:name="_Toc7360"/>
      <w:r>
        <w:rPr>
          <w:rFonts w:hint="eastAsia" w:ascii="宋体" w:hAnsi="宋体"/>
          <w:color w:val="auto"/>
          <w:lang w:val="en-US" w:eastAsia="zh-CN"/>
        </w:rPr>
        <w:t>第七章</w:t>
      </w:r>
      <w:r>
        <w:rPr>
          <w:rFonts w:hint="eastAsia" w:ascii="宋体" w:hAnsi="宋体" w:eastAsia="宋体"/>
          <w:color w:val="auto"/>
        </w:rPr>
        <w:t>询问或质疑</w:t>
      </w:r>
      <w:bookmarkEnd w:id="159"/>
      <w:bookmarkEnd w:id="160"/>
      <w:bookmarkEnd w:id="1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2" w:name="_Toc17974"/>
      <w:bookmarkStart w:id="163" w:name="_Toc25498"/>
      <w:bookmarkStart w:id="164" w:name="_Toc22900"/>
      <w:r>
        <w:rPr>
          <w:rFonts w:hint="eastAsia" w:ascii="宋体" w:hAnsi="宋体" w:eastAsia="宋体"/>
          <w:color w:val="auto"/>
          <w:sz w:val="21"/>
          <w:szCs w:val="21"/>
        </w:rPr>
        <w:t>3</w:t>
      </w:r>
      <w:r>
        <w:rPr>
          <w:rFonts w:hint="eastAsia" w:ascii="宋体" w:hAnsi="宋体" w:eastAsia="宋体"/>
          <w:color w:val="auto"/>
          <w:sz w:val="21"/>
          <w:szCs w:val="21"/>
          <w:lang w:val="en-US" w:eastAsia="zh-CN"/>
        </w:rPr>
        <w:t>2</w:t>
      </w:r>
      <w:r>
        <w:rPr>
          <w:rFonts w:hint="eastAsia" w:ascii="宋体" w:hAnsi="宋体" w:eastAsia="宋体"/>
          <w:color w:val="auto"/>
          <w:sz w:val="21"/>
          <w:szCs w:val="21"/>
        </w:rPr>
        <w:t>.询问</w:t>
      </w:r>
      <w:bookmarkEnd w:id="162"/>
      <w:bookmarkEnd w:id="163"/>
      <w:bookmarkEnd w:id="164"/>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5" w:name="_Toc11264"/>
      <w:bookmarkStart w:id="166" w:name="_Toc8234"/>
      <w:bookmarkStart w:id="167" w:name="_Toc2767"/>
      <w:r>
        <w:rPr>
          <w:rFonts w:hint="eastAsia" w:ascii="宋体" w:hAnsi="宋体" w:eastAsia="宋体"/>
          <w:color w:val="auto"/>
          <w:sz w:val="21"/>
          <w:szCs w:val="21"/>
        </w:rPr>
        <w:t>3</w:t>
      </w:r>
      <w:r>
        <w:rPr>
          <w:rFonts w:hint="eastAsia" w:ascii="宋体" w:hAnsi="宋体" w:eastAsia="宋体"/>
          <w:color w:val="auto"/>
          <w:sz w:val="21"/>
          <w:szCs w:val="21"/>
          <w:lang w:val="en-US" w:eastAsia="zh-CN"/>
        </w:rPr>
        <w:t>3</w:t>
      </w:r>
      <w:r>
        <w:rPr>
          <w:rFonts w:hint="eastAsia" w:ascii="宋体" w:hAnsi="宋体" w:eastAsia="宋体"/>
          <w:color w:val="auto"/>
          <w:sz w:val="21"/>
          <w:szCs w:val="21"/>
        </w:rPr>
        <w:t>.质疑</w:t>
      </w:r>
      <w:bookmarkEnd w:id="165"/>
      <w:bookmarkEnd w:id="166"/>
      <w:bookmarkEnd w:id="167"/>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投诉人有下列行为之一的，属于虚假、恶意投诉，由财政部门列入不良行为记录名单，禁止其1至3年内参加全国范围内的采购活动：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以联合体形式参加采购活动的，其质疑应当由组成联合体的所有投标人共同提出。</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68" w:name="_Toc5690"/>
      <w:bookmarkStart w:id="169" w:name="_Toc8919"/>
      <w:bookmarkStart w:id="170" w:name="_Toc24383"/>
      <w:r>
        <w:rPr>
          <w:rFonts w:hint="eastAsia" w:ascii="宋体" w:hAnsi="宋体"/>
          <w:color w:val="auto"/>
          <w:lang w:val="en-US" w:eastAsia="zh-CN"/>
        </w:rPr>
        <w:t>第八章</w:t>
      </w:r>
      <w:r>
        <w:rPr>
          <w:rFonts w:hint="eastAsia" w:ascii="宋体" w:hAnsi="宋体" w:eastAsia="宋体"/>
          <w:color w:val="auto"/>
        </w:rPr>
        <w:t>其他</w:t>
      </w:r>
      <w:bookmarkEnd w:id="168"/>
      <w:bookmarkEnd w:id="169"/>
      <w:bookmarkEnd w:id="170"/>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71" w:name="_Toc21187"/>
      <w:bookmarkStart w:id="172" w:name="_Toc6548"/>
      <w:bookmarkStart w:id="173" w:name="_Toc10082"/>
      <w:r>
        <w:rPr>
          <w:rFonts w:hint="eastAsia" w:ascii="宋体" w:hAnsi="宋体" w:eastAsia="宋体"/>
          <w:color w:val="auto"/>
          <w:sz w:val="21"/>
          <w:szCs w:val="21"/>
        </w:rPr>
        <w:t>3</w:t>
      </w:r>
      <w:r>
        <w:rPr>
          <w:rFonts w:hint="eastAsia" w:ascii="宋体" w:hAnsi="宋体" w:eastAsia="宋体"/>
          <w:color w:val="auto"/>
          <w:sz w:val="21"/>
          <w:szCs w:val="21"/>
          <w:lang w:val="en-US" w:eastAsia="zh-CN"/>
        </w:rPr>
        <w:t>4</w:t>
      </w:r>
      <w:r>
        <w:rPr>
          <w:rFonts w:hint="eastAsia" w:ascii="宋体" w:hAnsi="宋体" w:eastAsia="宋体"/>
          <w:color w:val="auto"/>
          <w:sz w:val="21"/>
          <w:szCs w:val="21"/>
        </w:rPr>
        <w:t>.招标文件的解释权</w:t>
      </w:r>
      <w:bookmarkEnd w:id="171"/>
      <w:bookmarkEnd w:id="172"/>
      <w:bookmarkEnd w:id="173"/>
    </w:p>
    <w:p>
      <w:pPr>
        <w:pStyle w:val="33"/>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招标文件版本号：</w:t>
      </w:r>
      <w:r>
        <w:rPr>
          <w:rFonts w:hint="eastAsia" w:ascii="宋体" w:hAnsi="宋体" w:eastAsia="宋体"/>
          <w:color w:val="auto"/>
          <w:sz w:val="21"/>
          <w:szCs w:val="21"/>
          <w:lang w:val="en-US" w:eastAsia="zh-CN"/>
        </w:rPr>
        <w:t>广东政通</w:t>
      </w:r>
      <w:r>
        <w:rPr>
          <w:rFonts w:hint="eastAsia" w:ascii="宋体" w:hAnsi="宋体" w:eastAsia="宋体"/>
          <w:color w:val="auto"/>
          <w:sz w:val="21"/>
          <w:szCs w:val="21"/>
        </w:rPr>
        <w:t>20</w:t>
      </w:r>
      <w:r>
        <w:rPr>
          <w:rFonts w:hint="eastAsia" w:ascii="宋体" w:hAnsi="宋体"/>
          <w:color w:val="auto"/>
          <w:sz w:val="21"/>
          <w:szCs w:val="21"/>
          <w:lang w:val="en-US" w:eastAsia="zh-CN"/>
        </w:rPr>
        <w:t>220406</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rPr>
        <w:t>本招标文件是根据国家有关法律、法规以及采购管理有关规定和参照国际惯例编制，解释权属本采购代理机构。</w:t>
      </w:r>
    </w:p>
    <w:p>
      <w:pPr>
        <w:bidi w:val="0"/>
        <w:rPr>
          <w:rFonts w:hint="eastAsia"/>
          <w:color w:val="auto"/>
        </w:rPr>
      </w:pPr>
    </w:p>
    <w:bookmarkEnd w:id="20"/>
    <w:p>
      <w:pPr>
        <w:jc w:val="center"/>
        <w:rPr>
          <w:color w:val="auto"/>
        </w:rPr>
      </w:pPr>
      <w:r>
        <w:rPr>
          <w:rFonts w:hint="eastAsia"/>
          <w:color w:val="auto"/>
        </w:rPr>
        <w:br w:type="page"/>
      </w:r>
    </w:p>
    <w:p>
      <w:pPr>
        <w:pStyle w:val="3"/>
        <w:spacing w:before="0" w:after="0" w:line="240" w:lineRule="auto"/>
        <w:rPr>
          <w:rFonts w:hint="eastAsia"/>
          <w:color w:val="auto"/>
          <w:sz w:val="28"/>
          <w:szCs w:val="28"/>
        </w:rPr>
      </w:pPr>
      <w:bookmarkStart w:id="174" w:name="_Toc7011"/>
      <w:bookmarkStart w:id="175" w:name="_Toc382"/>
      <w:bookmarkStart w:id="176" w:name="_Toc31854"/>
      <w:r>
        <w:rPr>
          <w:rFonts w:hint="eastAsia"/>
          <w:color w:val="auto"/>
          <w:sz w:val="28"/>
          <w:szCs w:val="28"/>
        </w:rPr>
        <w:t>第</w:t>
      </w:r>
      <w:r>
        <w:rPr>
          <w:rFonts w:hint="eastAsia"/>
          <w:color w:val="auto"/>
          <w:sz w:val="28"/>
          <w:szCs w:val="28"/>
          <w:lang w:val="en-US" w:eastAsia="zh-CN"/>
        </w:rPr>
        <w:t>五</w:t>
      </w:r>
      <w:r>
        <w:rPr>
          <w:rFonts w:hint="eastAsia"/>
          <w:color w:val="auto"/>
          <w:sz w:val="28"/>
          <w:szCs w:val="28"/>
        </w:rPr>
        <w:t>部分 用户需求书</w:t>
      </w:r>
      <w:bookmarkEnd w:id="174"/>
      <w:bookmarkEnd w:id="175"/>
      <w:bookmarkEnd w:id="176"/>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lang w:val="en-US" w:eastAsia="zh-CN"/>
        </w:rPr>
      </w:pPr>
      <w:bookmarkStart w:id="177" w:name="_Toc1593"/>
      <w:bookmarkStart w:id="178" w:name="_Toc19316"/>
      <w:r>
        <w:rPr>
          <w:rFonts w:hint="eastAsia" w:ascii="宋体" w:hAnsi="宋体"/>
          <w:color w:val="auto"/>
          <w:lang w:val="en-US" w:eastAsia="zh-CN"/>
        </w:rPr>
        <w:t xml:space="preserve"> 用户需求书</w:t>
      </w:r>
      <w:bookmarkEnd w:id="177"/>
    </w:p>
    <w:p>
      <w:pPr>
        <w:bidi w:val="0"/>
        <w:rPr>
          <w:rFonts w:hint="eastAsia"/>
          <w:color w:val="auto"/>
          <w:lang w:val="en-US" w:eastAsia="zh-CN"/>
        </w:rPr>
      </w:pPr>
    </w:p>
    <w:bookmarkEnd w:id="178"/>
    <w:p>
      <w:pPr>
        <w:pStyle w:val="5"/>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rPr>
      </w:pPr>
      <w:bookmarkStart w:id="179" w:name="_Toc14462"/>
      <w:bookmarkStart w:id="180" w:name="_Toc24679"/>
      <w:bookmarkStart w:id="181" w:name="_Toc13112"/>
      <w:bookmarkStart w:id="182" w:name="_Toc31278"/>
      <w:r>
        <w:rPr>
          <w:rFonts w:hint="eastAsia"/>
          <w:color w:val="auto"/>
          <w:highlight w:val="none"/>
          <w:lang w:val="en-US" w:eastAsia="zh-CN"/>
        </w:rPr>
        <w:t>一、</w:t>
      </w:r>
      <w:r>
        <w:rPr>
          <w:rFonts w:hint="eastAsia"/>
          <w:color w:val="auto"/>
          <w:highlight w:val="none"/>
        </w:rPr>
        <w:t>项目概述</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为使</w:t>
      </w:r>
      <w:r>
        <w:rPr>
          <w:rFonts w:hint="eastAsia" w:ascii="宋体" w:hAnsi="宋体" w:cs="宋体"/>
          <w:color w:val="auto"/>
          <w:sz w:val="21"/>
          <w:szCs w:val="21"/>
          <w:highlight w:val="none"/>
          <w:lang w:eastAsia="zh-CN"/>
        </w:rPr>
        <w:t>东莞新锋光伏能源科技有限公司</w:t>
      </w:r>
      <w:r>
        <w:rPr>
          <w:rFonts w:hint="eastAsia" w:ascii="宋体" w:hAnsi="宋体" w:eastAsia="宋体" w:cs="宋体"/>
          <w:color w:val="auto"/>
          <w:sz w:val="21"/>
          <w:szCs w:val="21"/>
          <w:highlight w:val="none"/>
        </w:rPr>
        <w:t>相关建设项目获得足够的技术服务支持，保障项目的顺利进行，现通过公开招标的采购方式甄选服务单位负责合同期间采购人相关建设项目的</w:t>
      </w:r>
      <w:r>
        <w:rPr>
          <w:rFonts w:hint="eastAsia" w:ascii="宋体" w:hAnsi="宋体" w:cs="宋体"/>
          <w:color w:val="auto"/>
          <w:kern w:val="28"/>
          <w:sz w:val="21"/>
          <w:szCs w:val="21"/>
          <w:highlight w:val="none"/>
          <w:lang w:eastAsia="zh-CN"/>
        </w:rPr>
        <w:t>工程造价咨询服务</w:t>
      </w:r>
      <w:r>
        <w:rPr>
          <w:rFonts w:hint="eastAsia" w:ascii="宋体" w:hAnsi="宋体" w:eastAsia="宋体" w:cs="宋体"/>
          <w:color w:val="auto"/>
          <w:sz w:val="21"/>
          <w:szCs w:val="21"/>
          <w:highlight w:val="none"/>
        </w:rPr>
        <w:t>工作</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为提高公司的工作效率，建立工程建设项目服务单位名录库。</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本项目招标范围如下：</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0"/>
        <w:gridCol w:w="1684"/>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项目采购内容</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入围家数</w:t>
            </w:r>
          </w:p>
        </w:tc>
        <w:tc>
          <w:tcPr>
            <w:tcW w:w="2851"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color w:val="auto"/>
                <w:lang w:eastAsia="zh-CN"/>
              </w:rPr>
            </w:pPr>
            <w:r>
              <w:rPr>
                <w:rFonts w:hint="eastAsia"/>
                <w:color w:val="auto"/>
                <w:lang w:eastAsia="zh-CN"/>
              </w:rPr>
              <w:t>工程</w:t>
            </w:r>
            <w:r>
              <w:rPr>
                <w:rFonts w:hint="eastAsia"/>
                <w:color w:val="auto"/>
                <w:lang w:val="en-US" w:eastAsia="zh-CN"/>
              </w:rPr>
              <w:t>造价咨询</w:t>
            </w:r>
            <w:r>
              <w:rPr>
                <w:rFonts w:hint="eastAsia"/>
                <w:color w:val="auto"/>
                <w:lang w:eastAsia="zh-CN"/>
              </w:rPr>
              <w:t>单位协议供应商</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三</w:t>
            </w:r>
            <w:r>
              <w:rPr>
                <w:rFonts w:hint="eastAsia" w:ascii="宋体" w:hAnsi="宋体" w:eastAsia="宋体" w:cs="宋体"/>
                <w:color w:val="auto"/>
                <w:sz w:val="21"/>
                <w:szCs w:val="21"/>
                <w:highlight w:val="none"/>
              </w:rPr>
              <w:t>家</w:t>
            </w:r>
          </w:p>
        </w:tc>
        <w:tc>
          <w:tcPr>
            <w:tcW w:w="2851" w:type="dxa"/>
            <w:noWrap w:val="0"/>
            <w:vAlign w:val="center"/>
          </w:tcPr>
          <w:p>
            <w:pPr>
              <w:pStyle w:val="58"/>
              <w:pageBreakBefore w:val="0"/>
              <w:kinsoku/>
              <w:wordWrap/>
              <w:overflowPunct/>
              <w:topLinePunct w:val="0"/>
              <w:bidi w:val="0"/>
              <w:adjustRightIn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确认服务资格之日起</w:t>
            </w:r>
            <w:r>
              <w:rPr>
                <w:rFonts w:hint="eastAsia" w:hAnsi="宋体" w:cs="宋体"/>
                <w:color w:val="auto"/>
                <w:sz w:val="21"/>
                <w:szCs w:val="21"/>
                <w:highlight w:val="none"/>
                <w:lang w:val="en-US" w:eastAsia="zh-CN"/>
              </w:rPr>
              <w:t>两</w:t>
            </w:r>
            <w:r>
              <w:rPr>
                <w:rFonts w:hint="eastAsia" w:ascii="宋体" w:hAnsi="宋体" w:eastAsia="宋体" w:cs="宋体"/>
                <w:color w:val="auto"/>
                <w:sz w:val="21"/>
                <w:szCs w:val="21"/>
                <w:highlight w:val="none"/>
              </w:rPr>
              <w:t>年</w:t>
            </w:r>
          </w:p>
        </w:tc>
      </w:tr>
    </w:tbl>
    <w:p>
      <w:pPr>
        <w:bidi w:val="0"/>
        <w:spacing w:line="360" w:lineRule="auto"/>
        <w:rPr>
          <w:rFonts w:hint="eastAsia"/>
          <w:color w:val="auto"/>
          <w:highlight w:val="none"/>
        </w:rPr>
      </w:pPr>
    </w:p>
    <w:p>
      <w:pPr>
        <w:pStyle w:val="5"/>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rPr>
      </w:pPr>
      <w:r>
        <w:rPr>
          <w:rFonts w:hint="eastAsia"/>
          <w:color w:val="auto"/>
          <w:highlight w:val="none"/>
          <w:lang w:val="en-US" w:eastAsia="zh-CN"/>
        </w:rPr>
        <w:t>二、</w:t>
      </w:r>
      <w:r>
        <w:rPr>
          <w:rFonts w:hint="eastAsia"/>
          <w:color w:val="auto"/>
          <w:highlight w:val="none"/>
        </w:rPr>
        <w:t>服务范围</w:t>
      </w:r>
    </w:p>
    <w:p>
      <w:pPr>
        <w:spacing w:line="360" w:lineRule="auto"/>
        <w:ind w:firstLine="420" w:firstLineChars="200"/>
        <w:rPr>
          <w:rFonts w:ascii="宋体" w:hAnsi="宋体" w:cs="宋体"/>
          <w:color w:val="auto"/>
          <w:szCs w:val="21"/>
        </w:rPr>
      </w:pPr>
      <w:r>
        <w:rPr>
          <w:rFonts w:hint="eastAsia" w:ascii="宋体" w:hAnsi="宋体" w:eastAsia="宋体" w:cs="宋体"/>
          <w:color w:val="auto"/>
          <w:sz w:val="21"/>
          <w:szCs w:val="21"/>
          <w:highlight w:val="none"/>
        </w:rPr>
        <w:t>根据建设单位的工程需要，委托服务单位进行的</w:t>
      </w:r>
      <w:r>
        <w:rPr>
          <w:rFonts w:hint="eastAsia" w:ascii="宋体" w:hAnsi="宋体" w:cs="宋体"/>
          <w:color w:val="auto"/>
          <w:sz w:val="21"/>
          <w:szCs w:val="21"/>
          <w:highlight w:val="none"/>
          <w:lang w:eastAsia="zh-CN"/>
        </w:rPr>
        <w:t>工程造价咨询服务</w:t>
      </w:r>
      <w:r>
        <w:rPr>
          <w:rFonts w:hint="eastAsia" w:ascii="宋体" w:hAnsi="宋体" w:eastAsia="宋体" w:cs="宋体"/>
          <w:color w:val="auto"/>
          <w:sz w:val="21"/>
          <w:szCs w:val="21"/>
          <w:highlight w:val="none"/>
        </w:rPr>
        <w:t>项目。</w:t>
      </w:r>
    </w:p>
    <w:p>
      <w:pPr>
        <w:bidi w:val="0"/>
        <w:rPr>
          <w:rFonts w:hint="eastAsia"/>
          <w:color w:val="auto"/>
          <w:lang w:val="zh-CN"/>
        </w:rPr>
      </w:pPr>
    </w:p>
    <w:p>
      <w:pPr>
        <w:pStyle w:val="5"/>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rPr>
      </w:pPr>
      <w:r>
        <w:rPr>
          <w:rFonts w:hint="eastAsia"/>
          <w:color w:val="auto"/>
          <w:highlight w:val="none"/>
        </w:rPr>
        <w:t>★</w:t>
      </w:r>
      <w:r>
        <w:rPr>
          <w:rFonts w:hint="eastAsia"/>
          <w:color w:val="auto"/>
          <w:highlight w:val="none"/>
          <w:lang w:val="en-US" w:eastAsia="zh-CN"/>
        </w:rPr>
        <w:t>三、报价要求</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20" w:firstLineChars="200"/>
        <w:textAlignment w:val="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1、本项目服务款项的收费标准</w:t>
      </w:r>
      <w:r>
        <w:rPr>
          <w:rFonts w:hint="eastAsia" w:ascii="宋体" w:hAnsi="宋体" w:eastAsia="宋体" w:cs="宋体"/>
          <w:bCs/>
          <w:color w:val="auto"/>
          <w:sz w:val="21"/>
          <w:szCs w:val="21"/>
        </w:rPr>
        <w:t>参照</w:t>
      </w:r>
      <w:r>
        <w:rPr>
          <w:rFonts w:hint="eastAsia" w:ascii="宋体"/>
          <w:color w:val="auto"/>
          <w:szCs w:val="21"/>
          <w:lang w:val="zh-CN"/>
        </w:rPr>
        <w:t>《东莞市财政投资项目造价咨询服务收费项目和收费标准》（</w:t>
      </w:r>
      <w:r>
        <w:rPr>
          <w:rFonts w:hint="eastAsia" w:ascii="宋体"/>
          <w:color w:val="auto"/>
          <w:szCs w:val="21"/>
          <w:lang w:val="en-US" w:eastAsia="zh-CN"/>
        </w:rPr>
        <w:t>详见附件1</w:t>
      </w:r>
      <w:r>
        <w:rPr>
          <w:rFonts w:hint="eastAsia" w:ascii="宋体"/>
          <w:color w:val="auto"/>
          <w:szCs w:val="21"/>
          <w:lang w:val="zh-CN"/>
        </w:rPr>
        <w:t>）</w:t>
      </w:r>
      <w:r>
        <w:rPr>
          <w:rFonts w:hint="eastAsia" w:ascii="宋体" w:hAnsi="宋体" w:cs="宋体"/>
          <w:color w:val="auto"/>
          <w:kern w:val="28"/>
          <w:sz w:val="21"/>
          <w:szCs w:val="21"/>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投标人根据项目招标内容及要求一次性报出固定下浮率</w:t>
      </w:r>
      <w:r>
        <w:rPr>
          <w:rFonts w:hint="eastAsia" w:ascii="宋体" w:hAnsi="宋体" w:cs="宋体"/>
          <w:color w:val="auto"/>
          <w:sz w:val="21"/>
          <w:szCs w:val="21"/>
          <w:highlight w:val="none"/>
          <w:lang w:val="en-US" w:eastAsia="zh-CN"/>
        </w:rPr>
        <w:t>且下浮率不得低于20%，投标人不按上述要求报价的，视为无效投标报价。</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zh-CN"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最终结算时统一采用以下方式计算费用：</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lang w:val="zh-CN"/>
        </w:rPr>
        <w:t>款项</w:t>
      </w:r>
      <w:r>
        <w:rPr>
          <w:rFonts w:hint="eastAsia" w:ascii="宋体" w:hAnsi="宋体" w:eastAsia="宋体" w:cs="宋体"/>
          <w:color w:val="auto"/>
          <w:sz w:val="21"/>
          <w:szCs w:val="21"/>
          <w:highlight w:val="none"/>
          <w:lang w:val="zh-CN"/>
        </w:rPr>
        <w:t>=（1-下浮率）×</w:t>
      </w:r>
      <w:r>
        <w:rPr>
          <w:rFonts w:hint="eastAsia" w:ascii="宋体"/>
          <w:color w:val="auto"/>
          <w:szCs w:val="21"/>
          <w:lang w:val="zh-CN"/>
        </w:rPr>
        <w:t>《东莞市财政投资项目造价咨询服务收费项目和收费标准》（</w:t>
      </w:r>
      <w:r>
        <w:rPr>
          <w:rFonts w:hint="eastAsia" w:ascii="宋体"/>
          <w:color w:val="auto"/>
          <w:szCs w:val="21"/>
          <w:lang w:val="en-US" w:eastAsia="zh-CN"/>
        </w:rPr>
        <w:t>详见附件1</w:t>
      </w:r>
      <w:r>
        <w:rPr>
          <w:rFonts w:hint="eastAsia" w:ascii="宋体"/>
          <w:color w:val="auto"/>
          <w:szCs w:val="21"/>
          <w:lang w:val="zh-CN"/>
        </w:rPr>
        <w:t>）</w:t>
      </w:r>
      <w:r>
        <w:rPr>
          <w:rFonts w:hint="eastAsia" w:ascii="宋体" w:hAnsi="宋体" w:cs="宋体"/>
          <w:color w:val="auto"/>
          <w:kern w:val="28"/>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下浮率定义：投标人对本项目进行投标时承诺报价下调的比率。</w:t>
      </w:r>
    </w:p>
    <w:p>
      <w:pPr>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报价应包含完成本次招标所有服务内容的费用，包括搬运费、运输费、人工费、拆除费、工具费、耗材费、各种税费、资料费、保险费、验收费、及合同实施过程中的不可预见费用等全部费用。</w:t>
      </w:r>
    </w:p>
    <w:p>
      <w:pPr>
        <w:bidi w:val="0"/>
        <w:rPr>
          <w:rFonts w:hint="eastAsia"/>
          <w:color w:val="auto"/>
        </w:rPr>
      </w:pPr>
    </w:p>
    <w:p>
      <w:pPr>
        <w:pStyle w:val="5"/>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lang w:val="en-US" w:eastAsia="zh-CN"/>
        </w:rPr>
      </w:pPr>
      <w:r>
        <w:rPr>
          <w:rFonts w:hint="eastAsia"/>
          <w:color w:val="auto"/>
          <w:highlight w:val="none"/>
          <w:lang w:val="en-US" w:eastAsia="zh-CN"/>
        </w:rPr>
        <w:t>四、付款方式</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说明：此付款方法和条件指在承接工程造价咨询服务项目时，</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向</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支付合同价款的付款方法和条件。最终以</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复核确认的造价作为工程造价咨询费计费基数。</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1、工程预算、最高限价（含招标清单）服务在</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如期提交成果报告，经</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确认并完成完成单项合同咨询服务范围内全部内容的招标后，</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提交请款申请后15个工作日内支付咨询服务费的</w:t>
      </w:r>
      <w:r>
        <w:rPr>
          <w:rFonts w:hint="eastAsia" w:ascii="宋体" w:hAnsi="宋体" w:cs="宋体"/>
          <w:color w:val="auto"/>
          <w:sz w:val="21"/>
          <w:szCs w:val="21"/>
          <w:highlight w:val="none"/>
          <w:lang w:val="en-US" w:eastAsia="zh-CN"/>
        </w:rPr>
        <w:t>60</w:t>
      </w:r>
      <w:r>
        <w:rPr>
          <w:rFonts w:hint="eastAsia" w:ascii="宋体" w:hAnsi="宋体" w:eastAsia="宋体" w:cs="宋体"/>
          <w:color w:val="auto"/>
          <w:sz w:val="21"/>
          <w:szCs w:val="21"/>
          <w:highlight w:val="none"/>
          <w:lang w:val="en-US" w:eastAsia="zh-CN"/>
        </w:rPr>
        <w:t>%，待工程竣工结算完成后</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如期提交工程结算报告，经</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确认，支付至咨询服务费的100%；咨询服务费金额小于3000元（含3000元），待工程竣工结算完成后</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如期提交工程结算报告，经</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确认一次性支付至100%。</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2、预算编制费：在项目合同履行期间，若</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还未开始实际咨询工作时，</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要求终止或解除合同的，</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不向</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支付咨询费用；若</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已完成预算编制工作但未经审核单位审核时，</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要求终止或解除合同的，</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以预算单位编制结果为基数，按应付合同价的70%支付补偿；若</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已完成预算编制工作且经审核单位审核时，</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要求终止或解除合同的，</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以审核单位的审定结果为基数，按应付合同价的80%支付补偿。</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预算审核费：在项目合同履行期间，若</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还未开始实际咨询工作时，</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要求终止或解除合同的，</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不向</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支付咨询费用；若</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已完成预算审核工作时，</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要求终止或解除合同的，</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以审定结果为基数，按应付合同价的80%支付补偿。</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在单项工程造价咨询服务过程中，如因建设标准、项目完整性等原因造成设计图纸修改，致使工程造价需要重新修改和确定，双方协商修改工作时限，一般情况下，不另外计算其他任何费用。如设计图纸发生重大修改，</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lang w:val="en-US" w:eastAsia="zh-CN"/>
        </w:rPr>
        <w:t>经审查同意可以酌情给予适当经济补偿。　</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4、付款程序：</w:t>
      </w:r>
      <w:r>
        <w:rPr>
          <w:rFonts w:hint="eastAsia" w:ascii="宋体" w:hAnsi="宋体" w:cs="宋体"/>
          <w:color w:val="auto"/>
          <w:sz w:val="21"/>
          <w:szCs w:val="21"/>
          <w:highlight w:val="none"/>
          <w:lang w:val="en-US" w:eastAsia="zh-CN"/>
        </w:rPr>
        <w:t>采购人</w:t>
      </w:r>
      <w:r>
        <w:rPr>
          <w:rFonts w:hint="eastAsia" w:ascii="宋体" w:hAnsi="宋体" w:eastAsia="宋体" w:cs="宋体"/>
          <w:color w:val="auto"/>
          <w:sz w:val="21"/>
          <w:szCs w:val="21"/>
          <w:highlight w:val="none"/>
          <w:lang w:val="en-US" w:eastAsia="zh-CN"/>
        </w:rPr>
        <w:t>将按本协议服务收费标准对</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提供的工程造价咨询服务进行工程进度审核,并按照与</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lang w:val="en-US" w:eastAsia="zh-CN"/>
        </w:rPr>
        <w:t>签订的单项工程服务合同规定办理付款手续。</w:t>
      </w:r>
    </w:p>
    <w:p>
      <w:pP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5、中标后东莞市以外的公司可授权东莞分公司负责签订合同、开发票、收款等事项，开出的所有发票须符合现行政策中的所有规定。</w:t>
      </w:r>
    </w:p>
    <w:p>
      <w:pPr>
        <w:bidi w:val="0"/>
        <w:rPr>
          <w:rFonts w:hint="eastAsia"/>
          <w:color w:val="auto"/>
          <w:lang w:val="en-US" w:eastAsia="zh-CN"/>
        </w:rPr>
      </w:pPr>
    </w:p>
    <w:p>
      <w:pPr>
        <w:spacing w:line="360" w:lineRule="auto"/>
        <w:outlineLvl w:val="3"/>
        <w:rPr>
          <w:rFonts w:hint="default" w:eastAsia="宋体" w:asciiTheme="majorAscii" w:hAnsiTheme="majorAscii" w:cstheme="majorBidi"/>
          <w:b/>
          <w:bCs/>
          <w:color w:val="auto"/>
          <w:sz w:val="24"/>
          <w:szCs w:val="28"/>
          <w:highlight w:val="none"/>
          <w:lang w:val="en-US" w:eastAsia="zh-CN" w:bidi="ar-SA"/>
        </w:rPr>
      </w:pPr>
      <w:r>
        <w:rPr>
          <w:rFonts w:hint="eastAsia" w:eastAsia="宋体" w:asciiTheme="majorAscii" w:hAnsiTheme="majorAscii" w:cstheme="majorBidi"/>
          <w:b/>
          <w:bCs/>
          <w:color w:val="auto"/>
          <w:sz w:val="24"/>
          <w:szCs w:val="28"/>
          <w:highlight w:val="none"/>
          <w:lang w:val="en-US" w:eastAsia="zh-CN" w:bidi="ar-SA"/>
        </w:rPr>
        <w:t>五、项目委派方式</w:t>
      </w:r>
    </w:p>
    <w:p>
      <w:pPr>
        <w:numPr>
          <w:ilvl w:val="-1"/>
          <w:numId w:val="0"/>
        </w:numPr>
        <w:spacing w:line="360" w:lineRule="auto"/>
        <w:ind w:firstLine="420" w:firstLineChars="200"/>
        <w:rPr>
          <w:rFonts w:hint="eastAsia" w:ascii="宋体" w:hAnsi="宋体" w:eastAsia="宋体" w:cs="宋体"/>
          <w:color w:val="auto"/>
          <w:kern w:val="28"/>
          <w:sz w:val="21"/>
          <w:szCs w:val="21"/>
          <w:highlight w:val="none"/>
        </w:rPr>
      </w:pPr>
      <w:r>
        <w:rPr>
          <w:rFonts w:hint="eastAsia" w:ascii="宋体" w:hAnsi="宋体" w:cs="宋体"/>
          <w:color w:val="auto"/>
          <w:kern w:val="28"/>
          <w:sz w:val="21"/>
          <w:szCs w:val="21"/>
          <w:highlight w:val="none"/>
          <w:lang w:val="en-US" w:eastAsia="zh-CN"/>
        </w:rPr>
        <w:t>1、</w:t>
      </w:r>
      <w:r>
        <w:rPr>
          <w:rFonts w:hint="eastAsia" w:ascii="宋体" w:hAnsi="宋体" w:eastAsia="宋体" w:cs="宋体"/>
          <w:color w:val="auto"/>
          <w:kern w:val="28"/>
          <w:sz w:val="21"/>
          <w:szCs w:val="21"/>
          <w:highlight w:val="none"/>
        </w:rPr>
        <w:t>所有类别的项目在协议资格服务单位名单内采取抽签轮排单的形式进行项目委派。</w:t>
      </w:r>
      <w:r>
        <w:rPr>
          <w:rFonts w:hint="eastAsia" w:ascii="宋体" w:hAnsi="宋体" w:cs="宋体"/>
          <w:color w:val="auto"/>
          <w:kern w:val="28"/>
          <w:sz w:val="21"/>
          <w:szCs w:val="21"/>
          <w:highlight w:val="none"/>
          <w:lang w:eastAsia="zh-CN"/>
        </w:rPr>
        <w:t>预算编制、</w:t>
      </w:r>
      <w:r>
        <w:rPr>
          <w:rFonts w:hint="eastAsia" w:ascii="宋体" w:hAnsi="宋体" w:cs="宋体"/>
          <w:color w:val="auto"/>
          <w:kern w:val="28"/>
          <w:sz w:val="21"/>
          <w:szCs w:val="21"/>
          <w:highlight w:val="none"/>
          <w:lang w:val="en-US" w:eastAsia="zh-CN"/>
        </w:rPr>
        <w:t>预算审核、</w:t>
      </w:r>
      <w:r>
        <w:rPr>
          <w:rFonts w:hint="eastAsia" w:ascii="宋体" w:hAnsi="宋体" w:cs="宋体"/>
          <w:color w:val="auto"/>
          <w:kern w:val="28"/>
          <w:sz w:val="21"/>
          <w:szCs w:val="21"/>
          <w:highlight w:val="none"/>
          <w:lang w:eastAsia="zh-CN"/>
        </w:rPr>
        <w:t>结算审核类</w:t>
      </w:r>
      <w:r>
        <w:rPr>
          <w:rFonts w:hint="eastAsia" w:ascii="宋体" w:hAnsi="宋体" w:eastAsia="宋体" w:cs="宋体"/>
          <w:color w:val="auto"/>
          <w:kern w:val="28"/>
          <w:sz w:val="21"/>
          <w:szCs w:val="21"/>
          <w:highlight w:val="none"/>
        </w:rPr>
        <w:t>工作入围的协议服务单位通过抽签形式派单，抽中的单位将进行项目委派，并取消下一</w:t>
      </w:r>
      <w:r>
        <w:rPr>
          <w:rFonts w:hint="eastAsia" w:ascii="宋体" w:hAnsi="宋体" w:cs="宋体"/>
          <w:color w:val="auto"/>
          <w:kern w:val="28"/>
          <w:sz w:val="21"/>
          <w:szCs w:val="21"/>
          <w:highlight w:val="none"/>
          <w:lang w:val="en-US" w:eastAsia="zh-CN"/>
        </w:rPr>
        <w:t>次</w:t>
      </w:r>
      <w:r>
        <w:rPr>
          <w:rFonts w:hint="eastAsia" w:ascii="宋体" w:hAnsi="宋体" w:eastAsia="宋体" w:cs="宋体"/>
          <w:color w:val="auto"/>
          <w:kern w:val="28"/>
          <w:sz w:val="21"/>
          <w:szCs w:val="21"/>
          <w:highlight w:val="none"/>
        </w:rPr>
        <w:t>抽签资格，直至所有单位轮单一轮，以此循环。</w:t>
      </w:r>
    </w:p>
    <w:p>
      <w:pPr>
        <w:spacing w:line="360" w:lineRule="auto"/>
        <w:ind w:firstLine="420" w:firstLineChars="200"/>
        <w:rPr>
          <w:rFonts w:hint="eastAsia" w:ascii="宋体" w:hAnsi="宋体" w:eastAsia="宋体" w:cs="宋体"/>
          <w:color w:val="auto"/>
          <w:kern w:val="28"/>
          <w:sz w:val="21"/>
          <w:szCs w:val="21"/>
          <w:highlight w:val="none"/>
        </w:rPr>
      </w:pPr>
      <w:r>
        <w:rPr>
          <w:rFonts w:hint="eastAsia" w:ascii="宋体" w:hAnsi="宋体" w:cs="宋体"/>
          <w:color w:val="auto"/>
          <w:kern w:val="28"/>
          <w:sz w:val="21"/>
          <w:szCs w:val="21"/>
          <w:highlight w:val="none"/>
          <w:lang w:val="en-US" w:eastAsia="zh-CN"/>
        </w:rPr>
        <w:t>2、</w:t>
      </w:r>
      <w:r>
        <w:rPr>
          <w:rFonts w:hint="eastAsia" w:ascii="宋体" w:hAnsi="宋体" w:eastAsia="宋体" w:cs="宋体"/>
          <w:color w:val="auto"/>
          <w:kern w:val="28"/>
          <w:sz w:val="21"/>
          <w:szCs w:val="21"/>
          <w:highlight w:val="none"/>
        </w:rPr>
        <w:t>对于时间要求紧、评审内容特殊、专业性强、大型和技术复杂的重点工程项目，报招标采购工作小组同意，可采取择优选择的分配办法。择优选择是根据工程编审的要求和各造价咨询服务机构的综合实力、专业侧重、工作表现等方面进行选择。采取择优选择的分配办法获任务分配后，在本轮或下轮中的抽签轮排的资格就被择优选择代替。</w:t>
      </w:r>
    </w:p>
    <w:p>
      <w:pPr>
        <w:pStyle w:val="6"/>
        <w:ind w:firstLine="420" w:firstLineChars="200"/>
        <w:rPr>
          <w:rFonts w:hint="eastAsia" w:ascii="宋体" w:hAnsi="宋体" w:eastAsia="宋体" w:cs="宋体"/>
          <w:color w:val="auto"/>
          <w:kern w:val="28"/>
          <w:sz w:val="21"/>
          <w:szCs w:val="21"/>
          <w:highlight w:val="none"/>
        </w:rPr>
      </w:pPr>
      <w:r>
        <w:rPr>
          <w:rFonts w:hint="eastAsia" w:ascii="宋体" w:hAnsi="宋体" w:cs="宋体"/>
          <w:color w:val="auto"/>
          <w:kern w:val="28"/>
          <w:sz w:val="21"/>
          <w:szCs w:val="21"/>
          <w:highlight w:val="none"/>
          <w:lang w:val="en-US" w:eastAsia="zh-CN"/>
        </w:rPr>
        <w:t>3、</w:t>
      </w:r>
      <w:r>
        <w:rPr>
          <w:rFonts w:hint="eastAsia" w:ascii="宋体" w:hAnsi="宋体" w:eastAsia="宋体" w:cs="宋体"/>
          <w:color w:val="auto"/>
          <w:sz w:val="21"/>
          <w:szCs w:val="21"/>
          <w:highlight w:val="none"/>
        </w:rPr>
        <w:t>服务单位不得以任何理由拒绝建设单位分配的任务。对第一次拒绝接受任务的服务单位，取消本轮承担任务资格,并暂停两次抽签承接任务资格。第二次拒绝接受任务的，暂停四次抽签承接任务资格；第三次拒绝接受分配的，建设单位予以解除服务合同，并没收履约保证金</w:t>
      </w:r>
      <w:r>
        <w:rPr>
          <w:rFonts w:hint="eastAsia" w:ascii="宋体" w:hAnsi="宋体" w:cs="宋体"/>
          <w:color w:val="auto"/>
          <w:sz w:val="21"/>
          <w:szCs w:val="21"/>
          <w:highlight w:val="none"/>
          <w:lang w:eastAsia="zh-CN"/>
        </w:rPr>
        <w:t>。</w:t>
      </w:r>
    </w:p>
    <w:p>
      <w:pPr>
        <w:spacing w:line="360" w:lineRule="auto"/>
        <w:rPr>
          <w:rFonts w:hint="eastAsia" w:ascii="宋体" w:hAnsi="宋体" w:eastAsia="宋体" w:cs="宋体"/>
          <w:b/>
          <w:color w:val="auto"/>
          <w:sz w:val="21"/>
          <w:szCs w:val="21"/>
          <w:highlight w:val="none"/>
        </w:rPr>
      </w:pPr>
    </w:p>
    <w:p>
      <w:pPr>
        <w:pStyle w:val="5"/>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rPr>
      </w:pPr>
      <w:r>
        <w:rPr>
          <w:rFonts w:hint="eastAsia"/>
          <w:color w:val="auto"/>
          <w:highlight w:val="none"/>
          <w:lang w:val="en-US" w:eastAsia="zh-CN"/>
        </w:rPr>
        <w:t>六、</w:t>
      </w:r>
      <w:r>
        <w:rPr>
          <w:rFonts w:hint="eastAsia"/>
          <w:color w:val="auto"/>
          <w:highlight w:val="none"/>
        </w:rPr>
        <w:t>工作开展时限</w:t>
      </w:r>
    </w:p>
    <w:p>
      <w:pPr>
        <w:numPr>
          <w:ilvl w:val="0"/>
          <w:numId w:val="8"/>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服务单位须在建设单位通知承接单项工程造价咨询服务后，10天内与采购人或建设单位签订单项工程造价咨询服务合同，逾期未签订合同的，视为拒绝接受该任务。</w:t>
      </w:r>
    </w:p>
    <w:p>
      <w:pPr>
        <w:numPr>
          <w:ilvl w:val="0"/>
          <w:numId w:val="8"/>
        </w:numPr>
        <w:spacing w:line="360" w:lineRule="auto"/>
        <w:ind w:firstLine="367" w:firstLineChars="175"/>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参照财政部、建设部共同颁发的《建设工程价款结算暂行规定》（财建[2004]369号）及广东省财政厅《广东省财政性资金基本建设投资评审暂行办法》（粤财基[2000]18号）的规定，结合采购人的实际情况，中介机构的审核时限一般参照以下的标准执行：</w:t>
      </w:r>
    </w:p>
    <w:p>
      <w:pPr>
        <w:spacing w:line="360" w:lineRule="auto"/>
        <w:ind w:firstLine="420" w:firstLineChars="200"/>
        <w:jc w:val="right"/>
        <w:rPr>
          <w:rFonts w:hint="eastAsia" w:ascii="宋体" w:hAnsi="宋体" w:cs="宋体"/>
          <w:color w:val="auto"/>
          <w:kern w:val="28"/>
          <w:sz w:val="21"/>
          <w:szCs w:val="21"/>
          <w:highlight w:val="none"/>
          <w:lang w:val="en-US" w:eastAsia="zh-CN"/>
        </w:rPr>
      </w:pPr>
    </w:p>
    <w:p>
      <w:pPr>
        <w:spacing w:line="360" w:lineRule="auto"/>
        <w:ind w:firstLine="420" w:firstLineChars="200"/>
        <w:jc w:val="right"/>
        <w:rPr>
          <w:rFonts w:hint="default" w:ascii="宋体" w:hAnsi="宋体" w:cs="宋体"/>
          <w:color w:val="auto"/>
          <w:kern w:val="28"/>
          <w:sz w:val="21"/>
          <w:szCs w:val="21"/>
          <w:highlight w:val="none"/>
          <w:lang w:val="en-US" w:eastAsia="zh-CN"/>
        </w:rPr>
      </w:pPr>
      <w:r>
        <w:rPr>
          <w:rFonts w:hint="eastAsia" w:ascii="宋体" w:hAnsi="宋体" w:cs="宋体"/>
          <w:color w:val="auto"/>
          <w:kern w:val="28"/>
          <w:sz w:val="21"/>
          <w:szCs w:val="21"/>
          <w:highlight w:val="none"/>
          <w:lang w:val="en-US" w:eastAsia="zh-CN"/>
        </w:rPr>
        <w:t>单位：自然日</w:t>
      </w:r>
    </w:p>
    <w:tbl>
      <w:tblPr>
        <w:tblStyle w:val="23"/>
        <w:tblW w:w="0" w:type="auto"/>
        <w:jc w:val="center"/>
        <w:tblLayout w:type="autofit"/>
        <w:tblCellMar>
          <w:top w:w="0" w:type="dxa"/>
          <w:left w:w="108" w:type="dxa"/>
          <w:bottom w:w="0" w:type="dxa"/>
          <w:right w:w="108" w:type="dxa"/>
        </w:tblCellMar>
      </w:tblPr>
      <w:tblGrid>
        <w:gridCol w:w="591"/>
        <w:gridCol w:w="4070"/>
        <w:gridCol w:w="1400"/>
        <w:gridCol w:w="1296"/>
        <w:gridCol w:w="636"/>
      </w:tblGrid>
      <w:tr>
        <w:tblPrEx>
          <w:tblCellMar>
            <w:top w:w="0" w:type="dxa"/>
            <w:left w:w="108" w:type="dxa"/>
            <w:bottom w:w="0" w:type="dxa"/>
            <w:right w:w="108" w:type="dxa"/>
          </w:tblCellMar>
        </w:tblPrEx>
        <w:trPr>
          <w:cantSplit/>
          <w:trHeight w:val="640" w:hRule="atLeast"/>
          <w:jc w:val="center"/>
        </w:trPr>
        <w:tc>
          <w:tcPr>
            <w:tcW w:w="591"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序号</w:t>
            </w:r>
          </w:p>
        </w:tc>
        <w:tc>
          <w:tcPr>
            <w:tcW w:w="4070"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项目</w:t>
            </w:r>
          </w:p>
        </w:tc>
        <w:tc>
          <w:tcPr>
            <w:tcW w:w="2696" w:type="dxa"/>
            <w:gridSpan w:val="2"/>
            <w:tcBorders>
              <w:top w:val="single" w:color="auto" w:sz="4" w:space="0"/>
              <w:left w:val="nil"/>
              <w:right w:val="single" w:color="auto" w:sz="4" w:space="0"/>
            </w:tcBorders>
            <w:noWrap w:val="0"/>
            <w:vAlign w:val="center"/>
          </w:tcPr>
          <w:p>
            <w:pPr>
              <w:jc w:val="center"/>
              <w:rPr>
                <w:rFonts w:hint="default" w:ascii="宋体" w:hAnsi="宋体" w:cs="宋体"/>
                <w:color w:val="auto"/>
                <w:kern w:val="0"/>
                <w:szCs w:val="21"/>
                <w:lang w:val="en-US"/>
              </w:rPr>
            </w:pPr>
            <w:r>
              <w:rPr>
                <w:rFonts w:hint="eastAsia" w:ascii="宋体" w:hAnsi="宋体"/>
                <w:color w:val="auto"/>
                <w:sz w:val="21"/>
                <w:szCs w:val="21"/>
                <w:lang w:val="en-US" w:eastAsia="zh-CN"/>
              </w:rPr>
              <w:t>光伏储能新能源工程</w:t>
            </w:r>
          </w:p>
        </w:tc>
        <w:tc>
          <w:tcPr>
            <w:tcW w:w="636" w:type="dxa"/>
            <w:vMerge w:val="restart"/>
            <w:tcBorders>
              <w:top w:val="single" w:color="auto" w:sz="4" w:space="0"/>
              <w:left w:val="nil"/>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备注</w:t>
            </w:r>
          </w:p>
          <w:p>
            <w:pPr>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cantSplit/>
          <w:trHeight w:val="285" w:hRule="atLeast"/>
          <w:jc w:val="center"/>
        </w:trPr>
        <w:tc>
          <w:tcPr>
            <w:tcW w:w="591"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c>
          <w:tcPr>
            <w:tcW w:w="4070"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c>
          <w:tcPr>
            <w:tcW w:w="1400"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审核</w:t>
            </w:r>
          </w:p>
        </w:tc>
        <w:tc>
          <w:tcPr>
            <w:tcW w:w="1296"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编制</w:t>
            </w:r>
          </w:p>
        </w:tc>
        <w:tc>
          <w:tcPr>
            <w:tcW w:w="636" w:type="dxa"/>
            <w:vMerge w:val="continue"/>
            <w:tcBorders>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p>
        </w:tc>
      </w:tr>
      <w:tr>
        <w:tblPrEx>
          <w:tblCellMar>
            <w:top w:w="0" w:type="dxa"/>
            <w:left w:w="108" w:type="dxa"/>
            <w:bottom w:w="0" w:type="dxa"/>
            <w:right w:w="108" w:type="dxa"/>
          </w:tblCellMar>
        </w:tblPrEx>
        <w:trPr>
          <w:trHeight w:val="570" w:hRule="atLeast"/>
          <w:jc w:val="center"/>
        </w:trPr>
        <w:tc>
          <w:tcPr>
            <w:tcW w:w="5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一</w:t>
            </w:r>
          </w:p>
        </w:tc>
        <w:tc>
          <w:tcPr>
            <w:tcW w:w="407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概、预算</w:t>
            </w:r>
            <w:r>
              <w:rPr>
                <w:rFonts w:ascii="宋体" w:hAnsi="宋体" w:cs="宋体"/>
                <w:color w:val="auto"/>
                <w:kern w:val="0"/>
                <w:szCs w:val="21"/>
              </w:rPr>
              <w:t>(含招标工程量清单)、进度款</w:t>
            </w:r>
          </w:p>
        </w:tc>
        <w:tc>
          <w:tcPr>
            <w:tcW w:w="1400"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1296" w:type="dxa"/>
            <w:tcBorders>
              <w:top w:val="nil"/>
              <w:left w:val="nil"/>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63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1</w:t>
            </w:r>
          </w:p>
        </w:tc>
        <w:tc>
          <w:tcPr>
            <w:tcW w:w="407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500万元以内</w:t>
            </w:r>
          </w:p>
        </w:tc>
        <w:tc>
          <w:tcPr>
            <w:tcW w:w="1400"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6</w:t>
            </w:r>
          </w:p>
        </w:tc>
        <w:tc>
          <w:tcPr>
            <w:tcW w:w="1296"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7</w:t>
            </w:r>
          </w:p>
        </w:tc>
        <w:tc>
          <w:tcPr>
            <w:tcW w:w="63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351" w:hRule="atLeast"/>
          <w:jc w:val="center"/>
        </w:trPr>
        <w:tc>
          <w:tcPr>
            <w:tcW w:w="5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2</w:t>
            </w:r>
          </w:p>
        </w:tc>
        <w:tc>
          <w:tcPr>
            <w:tcW w:w="407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500-2500万元</w:t>
            </w:r>
          </w:p>
        </w:tc>
        <w:tc>
          <w:tcPr>
            <w:tcW w:w="1400"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9</w:t>
            </w:r>
          </w:p>
        </w:tc>
        <w:tc>
          <w:tcPr>
            <w:tcW w:w="1296"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10</w:t>
            </w:r>
          </w:p>
        </w:tc>
        <w:tc>
          <w:tcPr>
            <w:tcW w:w="63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3</w:t>
            </w:r>
          </w:p>
        </w:tc>
        <w:tc>
          <w:tcPr>
            <w:tcW w:w="407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2500-5000万元</w:t>
            </w:r>
          </w:p>
        </w:tc>
        <w:tc>
          <w:tcPr>
            <w:tcW w:w="1400"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11</w:t>
            </w:r>
          </w:p>
        </w:tc>
        <w:tc>
          <w:tcPr>
            <w:tcW w:w="1296"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63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4</w:t>
            </w:r>
          </w:p>
        </w:tc>
        <w:tc>
          <w:tcPr>
            <w:tcW w:w="407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5000-7500万元</w:t>
            </w:r>
          </w:p>
        </w:tc>
        <w:tc>
          <w:tcPr>
            <w:tcW w:w="1400"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11</w:t>
            </w:r>
          </w:p>
        </w:tc>
        <w:tc>
          <w:tcPr>
            <w:tcW w:w="1296"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13</w:t>
            </w:r>
          </w:p>
        </w:tc>
        <w:tc>
          <w:tcPr>
            <w:tcW w:w="63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5</w:t>
            </w:r>
          </w:p>
        </w:tc>
        <w:tc>
          <w:tcPr>
            <w:tcW w:w="407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7500-10000万元</w:t>
            </w:r>
          </w:p>
        </w:tc>
        <w:tc>
          <w:tcPr>
            <w:tcW w:w="1400"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11</w:t>
            </w:r>
          </w:p>
        </w:tc>
        <w:tc>
          <w:tcPr>
            <w:tcW w:w="1296"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63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6</w:t>
            </w:r>
          </w:p>
        </w:tc>
        <w:tc>
          <w:tcPr>
            <w:tcW w:w="407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10000万元以上</w:t>
            </w:r>
          </w:p>
        </w:tc>
        <w:tc>
          <w:tcPr>
            <w:tcW w:w="1400"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11</w:t>
            </w:r>
          </w:p>
        </w:tc>
        <w:tc>
          <w:tcPr>
            <w:tcW w:w="1296"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636"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9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二</w:t>
            </w:r>
          </w:p>
        </w:tc>
        <w:tc>
          <w:tcPr>
            <w:tcW w:w="407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结算</w:t>
            </w:r>
          </w:p>
        </w:tc>
        <w:tc>
          <w:tcPr>
            <w:tcW w:w="14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129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b/>
                <w:bCs/>
                <w:color w:val="auto"/>
                <w:kern w:val="0"/>
                <w:szCs w:val="21"/>
              </w:rPr>
            </w:pPr>
            <w:r>
              <w:rPr>
                <w:rFonts w:hint="eastAsia" w:ascii="宋体" w:hAnsi="宋体" w:cs="宋体"/>
                <w:b/>
                <w:bCs/>
                <w:color w:val="auto"/>
                <w:kern w:val="0"/>
                <w:szCs w:val="21"/>
              </w:rPr>
              <w:t>　</w:t>
            </w:r>
          </w:p>
        </w:tc>
        <w:tc>
          <w:tcPr>
            <w:tcW w:w="636"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9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1</w:t>
            </w:r>
          </w:p>
        </w:tc>
        <w:tc>
          <w:tcPr>
            <w:tcW w:w="4070"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500万元以内</w:t>
            </w:r>
          </w:p>
        </w:tc>
        <w:tc>
          <w:tcPr>
            <w:tcW w:w="1400"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12</w:t>
            </w:r>
          </w:p>
        </w:tc>
        <w:tc>
          <w:tcPr>
            <w:tcW w:w="1296"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636"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trHeight w:val="285" w:hRule="atLeast"/>
          <w:jc w:val="center"/>
        </w:trPr>
        <w:tc>
          <w:tcPr>
            <w:tcW w:w="5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2</w:t>
            </w:r>
          </w:p>
        </w:tc>
        <w:tc>
          <w:tcPr>
            <w:tcW w:w="407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500-2500万元</w:t>
            </w:r>
          </w:p>
        </w:tc>
        <w:tc>
          <w:tcPr>
            <w:tcW w:w="1400" w:type="dxa"/>
            <w:tcBorders>
              <w:top w:val="nil"/>
              <w:left w:val="nil"/>
              <w:bottom w:val="nil"/>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15</w:t>
            </w:r>
          </w:p>
        </w:tc>
        <w:tc>
          <w:tcPr>
            <w:tcW w:w="1296" w:type="dxa"/>
            <w:tcBorders>
              <w:top w:val="nil"/>
              <w:left w:val="nil"/>
              <w:bottom w:val="nil"/>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636" w:type="dxa"/>
            <w:tcBorders>
              <w:top w:val="nil"/>
              <w:left w:val="nil"/>
              <w:bottom w:val="nil"/>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cantSplit/>
          <w:trHeight w:val="285" w:hRule="atLeast"/>
          <w:jc w:val="center"/>
        </w:trPr>
        <w:tc>
          <w:tcPr>
            <w:tcW w:w="5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3</w:t>
            </w:r>
          </w:p>
        </w:tc>
        <w:tc>
          <w:tcPr>
            <w:tcW w:w="407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2500-5000万元</w:t>
            </w:r>
          </w:p>
        </w:tc>
        <w:tc>
          <w:tcPr>
            <w:tcW w:w="1400"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18</w:t>
            </w:r>
          </w:p>
        </w:tc>
        <w:tc>
          <w:tcPr>
            <w:tcW w:w="1296" w:type="dxa"/>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20</w:t>
            </w:r>
          </w:p>
        </w:tc>
        <w:tc>
          <w:tcPr>
            <w:tcW w:w="636" w:type="dxa"/>
            <w:tcBorders>
              <w:top w:val="single" w:color="auto" w:sz="4" w:space="0"/>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　</w:t>
            </w:r>
          </w:p>
        </w:tc>
      </w:tr>
      <w:tr>
        <w:tblPrEx>
          <w:tblCellMar>
            <w:top w:w="0" w:type="dxa"/>
            <w:left w:w="108" w:type="dxa"/>
            <w:bottom w:w="0" w:type="dxa"/>
            <w:right w:w="108" w:type="dxa"/>
          </w:tblCellMar>
        </w:tblPrEx>
        <w:trPr>
          <w:cantSplit/>
          <w:trHeight w:val="285" w:hRule="atLeast"/>
          <w:jc w:val="center"/>
        </w:trPr>
        <w:tc>
          <w:tcPr>
            <w:tcW w:w="5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4</w:t>
            </w:r>
          </w:p>
        </w:tc>
        <w:tc>
          <w:tcPr>
            <w:tcW w:w="407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5000-7500万元</w:t>
            </w:r>
          </w:p>
        </w:tc>
        <w:tc>
          <w:tcPr>
            <w:tcW w:w="1400"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20</w:t>
            </w:r>
          </w:p>
        </w:tc>
        <w:tc>
          <w:tcPr>
            <w:tcW w:w="1296"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23</w:t>
            </w:r>
          </w:p>
        </w:tc>
        <w:tc>
          <w:tcPr>
            <w:tcW w:w="636" w:type="dxa"/>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r>
      <w:tr>
        <w:tblPrEx>
          <w:tblCellMar>
            <w:top w:w="0" w:type="dxa"/>
            <w:left w:w="108" w:type="dxa"/>
            <w:bottom w:w="0" w:type="dxa"/>
            <w:right w:w="108" w:type="dxa"/>
          </w:tblCellMar>
        </w:tblPrEx>
        <w:trPr>
          <w:cantSplit/>
          <w:trHeight w:val="285" w:hRule="atLeast"/>
          <w:jc w:val="center"/>
        </w:trPr>
        <w:tc>
          <w:tcPr>
            <w:tcW w:w="5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5</w:t>
            </w:r>
          </w:p>
        </w:tc>
        <w:tc>
          <w:tcPr>
            <w:tcW w:w="407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7500-10000万元</w:t>
            </w:r>
          </w:p>
        </w:tc>
        <w:tc>
          <w:tcPr>
            <w:tcW w:w="1400"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23</w:t>
            </w:r>
          </w:p>
        </w:tc>
        <w:tc>
          <w:tcPr>
            <w:tcW w:w="1296"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27</w:t>
            </w:r>
          </w:p>
        </w:tc>
        <w:tc>
          <w:tcPr>
            <w:tcW w:w="636" w:type="dxa"/>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r>
      <w:tr>
        <w:tblPrEx>
          <w:tblCellMar>
            <w:top w:w="0" w:type="dxa"/>
            <w:left w:w="108" w:type="dxa"/>
            <w:bottom w:w="0" w:type="dxa"/>
            <w:right w:w="108" w:type="dxa"/>
          </w:tblCellMar>
        </w:tblPrEx>
        <w:trPr>
          <w:cantSplit/>
          <w:trHeight w:val="285" w:hRule="atLeast"/>
          <w:jc w:val="center"/>
        </w:trPr>
        <w:tc>
          <w:tcPr>
            <w:tcW w:w="591"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ascii="宋体" w:hAnsi="宋体" w:cs="宋体"/>
                <w:color w:val="auto"/>
                <w:kern w:val="0"/>
                <w:szCs w:val="21"/>
              </w:rPr>
              <w:t>6</w:t>
            </w:r>
          </w:p>
        </w:tc>
        <w:tc>
          <w:tcPr>
            <w:tcW w:w="4070" w:type="dxa"/>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Cs w:val="21"/>
              </w:rPr>
            </w:pPr>
            <w:r>
              <w:rPr>
                <w:rFonts w:hint="eastAsia" w:ascii="宋体" w:hAnsi="宋体" w:cs="宋体"/>
                <w:color w:val="auto"/>
                <w:kern w:val="0"/>
                <w:szCs w:val="21"/>
              </w:rPr>
              <w:t>投资</w:t>
            </w:r>
            <w:r>
              <w:rPr>
                <w:rFonts w:ascii="宋体" w:hAnsi="宋体" w:cs="宋体"/>
                <w:color w:val="auto"/>
                <w:kern w:val="0"/>
                <w:szCs w:val="21"/>
              </w:rPr>
              <w:t>10000万元以上</w:t>
            </w:r>
          </w:p>
        </w:tc>
        <w:tc>
          <w:tcPr>
            <w:tcW w:w="1400"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26</w:t>
            </w:r>
          </w:p>
        </w:tc>
        <w:tc>
          <w:tcPr>
            <w:tcW w:w="1296" w:type="dxa"/>
            <w:tcBorders>
              <w:top w:val="nil"/>
              <w:left w:val="nil"/>
              <w:bottom w:val="single" w:color="auto" w:sz="4" w:space="0"/>
              <w:right w:val="single" w:color="auto" w:sz="4" w:space="0"/>
            </w:tcBorders>
            <w:noWrap w:val="0"/>
            <w:vAlign w:val="center"/>
          </w:tcPr>
          <w:p>
            <w:pPr>
              <w:widowControl/>
              <w:jc w:val="center"/>
              <w:rPr>
                <w:rFonts w:ascii="宋体" w:hAnsi="宋体" w:cs="宋体"/>
                <w:bCs/>
                <w:color w:val="auto"/>
                <w:kern w:val="0"/>
                <w:szCs w:val="21"/>
              </w:rPr>
            </w:pPr>
            <w:r>
              <w:rPr>
                <w:rFonts w:ascii="宋体" w:hAnsi="宋体" w:cs="宋体"/>
                <w:bCs/>
                <w:color w:val="auto"/>
                <w:kern w:val="0"/>
                <w:szCs w:val="21"/>
              </w:rPr>
              <w:t>30</w:t>
            </w:r>
          </w:p>
        </w:tc>
        <w:tc>
          <w:tcPr>
            <w:tcW w:w="636" w:type="dxa"/>
            <w:tcBorders>
              <w:top w:val="single" w:color="auto" w:sz="4" w:space="0"/>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Cs w:val="21"/>
              </w:rPr>
            </w:pPr>
          </w:p>
        </w:tc>
      </w:tr>
    </w:tbl>
    <w:p>
      <w:pPr>
        <w:spacing w:line="360" w:lineRule="auto"/>
        <w:ind w:firstLine="420" w:firstLineChars="200"/>
        <w:rPr>
          <w:rFonts w:ascii="宋体" w:hAnsi="宋体"/>
          <w:color w:val="auto"/>
          <w:szCs w:val="21"/>
        </w:rPr>
      </w:pPr>
      <w:r>
        <w:rPr>
          <w:rFonts w:hint="eastAsia" w:ascii="宋体" w:hAnsi="宋体"/>
          <w:color w:val="auto"/>
          <w:szCs w:val="21"/>
        </w:rPr>
        <w:t>以上时限为完成工程造价成果文件的全部时间，包括编审、对数、现场勘察及复核后修改等时间。具体每项工程的完成时间，以合同规定的完成时限为准。</w:t>
      </w:r>
    </w:p>
    <w:p>
      <w:pPr>
        <w:spacing w:line="360" w:lineRule="auto"/>
        <w:rPr>
          <w:rFonts w:hint="eastAsia" w:ascii="宋体" w:hAnsi="宋体" w:eastAsia="宋体" w:cs="宋体"/>
          <w:b/>
          <w:color w:val="auto"/>
          <w:sz w:val="21"/>
          <w:szCs w:val="21"/>
          <w:highlight w:val="none"/>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lang w:val="zh-CN"/>
        </w:rPr>
      </w:pPr>
      <w:r>
        <w:rPr>
          <w:rFonts w:hint="eastAsia"/>
          <w:color w:val="auto"/>
          <w:highlight w:val="none"/>
          <w:lang w:val="en-US" w:eastAsia="zh-CN"/>
        </w:rPr>
        <w:t>七、</w:t>
      </w:r>
      <w:r>
        <w:rPr>
          <w:rFonts w:hint="eastAsia"/>
          <w:color w:val="auto"/>
          <w:highlight w:val="none"/>
        </w:rPr>
        <w:t>造价咨询工作主要范围</w:t>
      </w:r>
    </w:p>
    <w:p>
      <w:pPr>
        <w:pStyle w:val="11"/>
        <w:pageBreakBefore w:val="0"/>
        <w:tabs>
          <w:tab w:val="left" w:pos="540"/>
        </w:tabs>
        <w:kinsoku/>
        <w:wordWrap/>
        <w:overflowPunct/>
        <w:topLinePunct w:val="0"/>
        <w:bidi w:val="0"/>
        <w:adjustRightInd w:val="0"/>
        <w:snapToGrid w:val="0"/>
        <w:spacing w:after="0"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以下服务范围划分仅为描述方便，最终的服务具体范围及内容以采购人与中标人签订的《服务采购合同》及采购人下达的任务书为准，不作为采购人必须承诺的内容，中标人不得以金额小等理由拒绝采购人下达的工作任务，否则取消签订合同资格。</w:t>
      </w:r>
    </w:p>
    <w:p>
      <w:pPr>
        <w:pageBreakBefore w:val="0"/>
        <w:kinsoku/>
        <w:wordWrap/>
        <w:overflowPunct/>
        <w:topLinePunct w:val="0"/>
        <w:bidi w:val="0"/>
        <w:adjustRightInd w:val="0"/>
        <w:spacing w:after="0" w:line="360" w:lineRule="auto"/>
        <w:textAlignment w:val="auto"/>
        <w:rPr>
          <w:rFonts w:hint="eastAsia" w:ascii="宋体" w:hAnsi="宋体" w:eastAsia="宋体" w:cs="宋体"/>
          <w:b/>
          <w:color w:val="auto"/>
          <w:sz w:val="21"/>
          <w:szCs w:val="21"/>
          <w:highlight w:val="none"/>
        </w:rPr>
      </w:pPr>
    </w:p>
    <w:p>
      <w:pPr>
        <w:numPr>
          <w:ilvl w:val="0"/>
          <w:numId w:val="9"/>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w:t>
      </w:r>
      <w:r>
        <w:rPr>
          <w:rFonts w:hint="eastAsia" w:ascii="宋体" w:hAnsi="宋体" w:eastAsia="宋体" w:cs="宋体"/>
          <w:color w:val="auto"/>
          <w:sz w:val="21"/>
          <w:szCs w:val="21"/>
          <w:highlight w:val="none"/>
          <w:lang w:eastAsia="zh-CN"/>
        </w:rPr>
        <w:t>造价咨询</w:t>
      </w:r>
      <w:r>
        <w:rPr>
          <w:rFonts w:hint="eastAsia" w:ascii="宋体" w:hAnsi="宋体" w:eastAsia="宋体" w:cs="宋体"/>
          <w:color w:val="auto"/>
          <w:sz w:val="21"/>
          <w:szCs w:val="21"/>
          <w:highlight w:val="none"/>
        </w:rPr>
        <w:t>工作主要范围：</w:t>
      </w:r>
    </w:p>
    <w:p>
      <w:pPr>
        <w:spacing w:line="360" w:lineRule="auto"/>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包括但不限于：编制（或审核）预算（含最高限价）、招标工程量清单、工程进度款及结算编制（或审核）等工作。工程造价咨询分为预算编制、预算审核、结算编审三类工作。预算编制类包括：预算编制（含最高限价）、招标工程量清单编制；预算审核类包括：预算（含最高限价）审核、招标工程量清单审核；结算编审类包括结算编制、结算审核。</w:t>
      </w:r>
    </w:p>
    <w:p>
      <w:pPr>
        <w:numPr>
          <w:ilvl w:val="0"/>
          <w:numId w:val="9"/>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服务单位须认真遵守职业道德和行业规范，严禁弄虚作假、营私舞弊，严格执行国家法律法规及相关行业规定。按规定缴纳税费，必须提供带税章的增值税专用发票。</w:t>
      </w:r>
    </w:p>
    <w:p>
      <w:pPr>
        <w:numPr>
          <w:ilvl w:val="0"/>
          <w:numId w:val="9"/>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根据国家和省、市有关工程造价的法规、政策、文件、以及基建财务管理的有关规定，本着为政府节约投资的原则，科学、客观、公正地开展工程造价咨询工作；应按采购人</w:t>
      </w:r>
      <w:r>
        <w:rPr>
          <w:rFonts w:hint="eastAsia" w:ascii="宋体" w:hAnsi="宋体" w:cs="宋体"/>
          <w:color w:val="auto"/>
          <w:sz w:val="21"/>
          <w:szCs w:val="21"/>
          <w:highlight w:val="none"/>
          <w:lang w:val="en-US" w:eastAsia="zh-CN"/>
        </w:rPr>
        <w:t>及建设单位</w:t>
      </w:r>
      <w:r>
        <w:rPr>
          <w:rFonts w:hint="eastAsia" w:ascii="宋体" w:hAnsi="宋体" w:eastAsia="宋体" w:cs="宋体"/>
          <w:color w:val="auto"/>
          <w:sz w:val="21"/>
          <w:szCs w:val="21"/>
          <w:highlight w:val="none"/>
        </w:rPr>
        <w:t>的要求，按时按质按量提供咨询报告，对成果报告的真实性、准确性、完整性、合法性、合理性负责，并负有保密责任。</w:t>
      </w:r>
    </w:p>
    <w:p>
      <w:pPr>
        <w:numPr>
          <w:ilvl w:val="0"/>
          <w:numId w:val="9"/>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编制和审核的工程概预算（含最高限价）、招标工程量清单应确保结果完整、科学、准确，符合工程项目的实际情况和国家有关工程计价规范；招标工程量清单设置要科学、合理，不得有高估冒算、虚列项目，也不得有漏项漏量、重项错量等错误，如有上述错误，应负相应的责任。</w:t>
      </w:r>
    </w:p>
    <w:p>
      <w:pPr>
        <w:numPr>
          <w:ilvl w:val="0"/>
          <w:numId w:val="9"/>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在编制和审核工程预算（含最高限价）、招标工程量清单的同时，应对建设项目的设计方案作出技术经济分析，向建设单位提出优化方案和合理化建设。</w:t>
      </w:r>
    </w:p>
    <w:p>
      <w:pPr>
        <w:numPr>
          <w:ilvl w:val="0"/>
          <w:numId w:val="9"/>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要坚持科学准确、客观真实、公平公正、合理合法、廉洁高效的原则，审核工程竣工结算。必须及时解决结算审核中存在的技术问题，计价原则方法的确定、重大的签证审核以及工程管理中的违规行为要及时向</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rPr>
        <w:t>反映，不得擅自作出处理，要对工程项目的全过程管理依法作出正确的评价。</w:t>
      </w:r>
    </w:p>
    <w:p>
      <w:pPr>
        <w:numPr>
          <w:ilvl w:val="0"/>
          <w:numId w:val="9"/>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对存有疑问的地方，应深入现场调查取证，逐一核实，按实际情况调整，保证工程造价成果文件的合理性和真实性。重要的材料或设备价格，应及时跟</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rPr>
        <w:t>沟通，协商确定合理的价格。</w:t>
      </w:r>
    </w:p>
    <w:p>
      <w:pPr>
        <w:numPr>
          <w:ilvl w:val="0"/>
          <w:numId w:val="9"/>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要做好编审依据的收集及取证工作，所有的编审依据必须是有效的书面资料，并妥善保存。整个项目的档案要完整，不能缺损。</w:t>
      </w:r>
    </w:p>
    <w:p>
      <w:pPr>
        <w:numPr>
          <w:ilvl w:val="0"/>
          <w:numId w:val="9"/>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不得接受同一项目不同</w:t>
      </w:r>
      <w:r>
        <w:rPr>
          <w:rFonts w:hint="eastAsia" w:ascii="宋体" w:hAnsi="宋体" w:cs="宋体"/>
          <w:color w:val="auto"/>
          <w:sz w:val="21"/>
          <w:szCs w:val="21"/>
          <w:highlight w:val="none"/>
          <w:lang w:eastAsia="zh-CN"/>
        </w:rPr>
        <w:t>建设单位</w:t>
      </w:r>
      <w:r>
        <w:rPr>
          <w:rFonts w:hint="eastAsia" w:ascii="宋体" w:hAnsi="宋体" w:eastAsia="宋体" w:cs="宋体"/>
          <w:color w:val="auto"/>
          <w:sz w:val="21"/>
          <w:szCs w:val="21"/>
          <w:highlight w:val="none"/>
        </w:rPr>
        <w:t>的造价咨询服务委托，即就同一项目既接受建设单位的委托，又接受项目投标供应商、承包单位等相对利益关系人的委托。</w:t>
      </w:r>
    </w:p>
    <w:p>
      <w:pPr>
        <w:numPr>
          <w:ilvl w:val="0"/>
          <w:numId w:val="9"/>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工程项目的结果未经</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rPr>
        <w:t>许可，不得泄露给他人。</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rPr>
        <w:t>对本项工程造价咨询服务涉及的有关资料、内容、成果以及结论，需承担保密的义务。</w:t>
      </w:r>
    </w:p>
    <w:p>
      <w:pPr>
        <w:bidi w:val="0"/>
        <w:rPr>
          <w:rFonts w:hint="eastAsia"/>
          <w:color w:val="auto"/>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lang w:val="en-US" w:eastAsia="zh-CN"/>
        </w:rPr>
      </w:pPr>
      <w:r>
        <w:rPr>
          <w:rFonts w:hint="eastAsia"/>
          <w:color w:val="auto"/>
          <w:highlight w:val="none"/>
          <w:lang w:val="en-US" w:eastAsia="zh-CN"/>
        </w:rPr>
        <w:t>八、造价咨询人员的专业配套要求</w:t>
      </w:r>
    </w:p>
    <w:p>
      <w:pPr>
        <w:numPr>
          <w:ilvl w:val="0"/>
          <w:numId w:val="10"/>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对一些</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rPr>
        <w:t>要求</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rPr>
        <w:t>驻场服务的项目，</w:t>
      </w: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rPr>
        <w:t>有义务派出专业人员驻场服务，服务场地由</w:t>
      </w:r>
      <w:r>
        <w:rPr>
          <w:rFonts w:hint="eastAsia" w:ascii="宋体" w:hAnsi="宋体" w:cs="宋体"/>
          <w:color w:val="auto"/>
          <w:sz w:val="21"/>
          <w:szCs w:val="21"/>
          <w:highlight w:val="none"/>
          <w:lang w:val="en-US" w:eastAsia="zh-CN"/>
        </w:rPr>
        <w:t>建设单位</w:t>
      </w:r>
      <w:r>
        <w:rPr>
          <w:rFonts w:hint="eastAsia" w:ascii="宋体" w:hAnsi="宋体" w:eastAsia="宋体" w:cs="宋体"/>
          <w:color w:val="auto"/>
          <w:sz w:val="21"/>
          <w:szCs w:val="21"/>
          <w:highlight w:val="none"/>
        </w:rPr>
        <w:t>提供。</w:t>
      </w:r>
    </w:p>
    <w:p>
      <w:pPr>
        <w:numPr>
          <w:ilvl w:val="0"/>
          <w:numId w:val="10"/>
        </w:numPr>
        <w:spacing w:line="360" w:lineRule="auto"/>
        <w:ind w:firstLine="367" w:firstLineChars="175"/>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服务单位</w:t>
      </w:r>
      <w:r>
        <w:rPr>
          <w:rFonts w:hint="eastAsia" w:ascii="宋体" w:hAnsi="宋体" w:eastAsia="宋体" w:cs="宋体"/>
          <w:color w:val="auto"/>
          <w:sz w:val="21"/>
          <w:szCs w:val="21"/>
          <w:highlight w:val="none"/>
        </w:rPr>
        <w:t>应满足以下要求或可提供更优的条件。</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（1）拥有足够的人力、财力、物力和技术能力等资源保证按时按质按量完成委托的工程造价咨询业务。</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（2）具有丰富的工程预、结算编审经验和有资质的各类工程专业的高中级专业技术人员。</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（3）具有丰富的基建工程预、结算编审业绩（包括财政性资金投资的项目），且完成情况良好。</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（4）有健全的组织机构的内部管理制度，有完善的质量保证体系和技术经济档案管理制度，有良好的服务态度的较好的社会信誉。</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（5）熟悉国家、省、市财政部门关于财政性资金基本建设投资管理方面的有关政策、法规和知识，并有一定的实践经验。</w:t>
      </w:r>
    </w:p>
    <w:p>
      <w:pPr>
        <w:bidi w:val="0"/>
        <w:rPr>
          <w:rFonts w:hint="eastAsia"/>
          <w:color w:val="auto"/>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lang w:val="zh-CN"/>
        </w:rPr>
      </w:pPr>
      <w:r>
        <w:rPr>
          <w:rFonts w:hint="eastAsia"/>
          <w:color w:val="auto"/>
          <w:highlight w:val="none"/>
          <w:lang w:val="en-US" w:eastAsia="zh-CN"/>
        </w:rPr>
        <w:t>九、</w:t>
      </w:r>
      <w:r>
        <w:rPr>
          <w:rFonts w:hint="eastAsia"/>
          <w:color w:val="auto"/>
          <w:highlight w:val="none"/>
        </w:rPr>
        <w:t>服务条款</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服务单位须无条件接受建设单位的工作安排，不得将项目转包和分包。</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服务单位须指定项目负责人作为与建设单位的联系人，该联系人必须是服务单位的正式员工；服务单位负责项目工作的负责人与主要专业人员必须专职投入项目，若因特殊原因需更换负责人，需经采购人或建设单位书面同意。</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服务单位需按建设单位具体要求提交所要求数量的项目技术文件。</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服务单位应承担由自身过错导致的任何责任。</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服务单位应对建设单位委托各项目的内容予以严格保密。</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建设单位将对服务单位实行动态管理，对服务单位的服务承诺、服务态度等进行定期和不定期的考核，一旦发现服务单位违反招标文件要求及其承诺，将要求其限期整改，整改期间暂停其服务资格，整改完成后达到要求则恢复其资格，否则取消其资格。</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服务单位获得服务资格后，不保证具体承担的工程</w:t>
      </w:r>
      <w:r>
        <w:rPr>
          <w:rFonts w:hint="eastAsia" w:ascii="宋体" w:hAnsi="宋体" w:cs="宋体"/>
          <w:color w:val="auto"/>
          <w:sz w:val="21"/>
          <w:szCs w:val="21"/>
          <w:highlight w:val="none"/>
          <w:lang w:val="en-US" w:eastAsia="zh-CN"/>
        </w:rPr>
        <w:t>造价咨询</w:t>
      </w:r>
      <w:r>
        <w:rPr>
          <w:rFonts w:hint="eastAsia" w:ascii="宋体" w:hAnsi="宋体" w:eastAsia="宋体" w:cs="宋体"/>
          <w:color w:val="auto"/>
          <w:sz w:val="21"/>
          <w:szCs w:val="21"/>
          <w:highlight w:val="none"/>
        </w:rPr>
        <w:t>数量</w:t>
      </w:r>
      <w:r>
        <w:rPr>
          <w:rFonts w:hint="eastAsia" w:ascii="宋体" w:hAnsi="宋体" w:cs="宋体"/>
          <w:color w:val="auto"/>
          <w:sz w:val="21"/>
          <w:szCs w:val="21"/>
          <w:highlight w:val="none"/>
          <w:lang w:eastAsia="zh-CN"/>
        </w:rPr>
        <w:t>。在服务期限内，根据工程造价咨询服务的具体情况，建设单位仍有权通过其他合法方式选择中标服务单位之外的其他单位提供本招标文件的服务内容。</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服务单位不得以任何理由拒绝建设单位分配的任务。对第一次拒绝接受任务的服务单位，取消本轮承担任务资格,并暂停两次抽签承接任务资格。第二次拒绝接受任务的，暂停四次抽签承接任务资格；第三次拒绝接受分配的，建设单位予以解除服务合同，并没收履约保证金。</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服务单位在协议服务资格年限内，履行本招标文件约定的义务过程中出违反国家法律法规、相关主管部门规章制度、擅自提高价格或服务质量低劣造成建设单位损失等情况的，建设单位有权视情节分别给予警告、没收协议采购履约担保或取消协议服务资格等处罚。</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因服务单位被取消协议服务资格而造成造价咨询服务机构协议单位数量不能满足正常协议服务工作需求的，建设单位有权按顺序递补本次采购综合评分排名在中标单位后的候选单位，以保证造价咨询服务机构协议单位数量的正常需求。</w:t>
      </w:r>
    </w:p>
    <w:p>
      <w:pPr>
        <w:bidi w:val="0"/>
        <w:rPr>
          <w:rFonts w:hint="eastAsia"/>
          <w:color w:val="auto"/>
        </w:rPr>
      </w:pPr>
    </w:p>
    <w:p>
      <w:pPr>
        <w:pStyle w:val="5"/>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default" w:eastAsia="宋体"/>
          <w:color w:val="auto"/>
          <w:highlight w:val="none"/>
          <w:lang w:val="en-US" w:eastAsia="zh-CN"/>
        </w:rPr>
      </w:pPr>
      <w:r>
        <w:rPr>
          <w:rFonts w:hint="eastAsia"/>
          <w:color w:val="auto"/>
          <w:highlight w:val="none"/>
          <w:lang w:val="en-US" w:eastAsia="zh-CN"/>
        </w:rPr>
        <w:t>十、考核办法</w:t>
      </w:r>
    </w:p>
    <w:p>
      <w:pPr>
        <w:spacing w:line="360" w:lineRule="auto"/>
        <w:ind w:firstLine="420" w:firstLineChars="200"/>
        <w:rPr>
          <w:rFonts w:ascii="宋体" w:hAnsi="宋体"/>
          <w:color w:val="auto"/>
          <w:szCs w:val="21"/>
        </w:rPr>
      </w:pPr>
      <w:r>
        <w:rPr>
          <w:rFonts w:hint="eastAsia" w:ascii="宋体" w:hAnsi="宋体"/>
          <w:color w:val="auto"/>
          <w:szCs w:val="21"/>
        </w:rPr>
        <w:t>1、工程造价咨询服务机构资格服务期限为</w:t>
      </w:r>
      <w:r>
        <w:rPr>
          <w:rFonts w:hint="eastAsia" w:ascii="宋体" w:hAnsi="宋体"/>
          <w:color w:val="auto"/>
          <w:szCs w:val="21"/>
          <w:lang w:val="en-US" w:eastAsia="zh-CN"/>
        </w:rPr>
        <w:t>2</w:t>
      </w:r>
      <w:r>
        <w:rPr>
          <w:rFonts w:hint="eastAsia" w:ascii="宋体" w:hAnsi="宋体"/>
          <w:color w:val="auto"/>
          <w:szCs w:val="21"/>
        </w:rPr>
        <w:t>年。服务期内，由</w:t>
      </w:r>
      <w:r>
        <w:rPr>
          <w:rFonts w:hint="eastAsia" w:ascii="宋体" w:hAnsi="宋体"/>
          <w:color w:val="auto"/>
          <w:szCs w:val="21"/>
          <w:lang w:val="en-US" w:eastAsia="zh-CN"/>
        </w:rPr>
        <w:t>采购方</w:t>
      </w:r>
      <w:r>
        <w:rPr>
          <w:rFonts w:hint="eastAsia" w:ascii="宋体" w:hAnsi="宋体"/>
          <w:color w:val="auto"/>
          <w:szCs w:val="21"/>
        </w:rPr>
        <w:t>工程管理部门对完成评审项目的质量、效率、服务等情况进行综合评价。考核分为建设单位咨询项目评价及造价咨询机构年度考核</w:t>
      </w:r>
      <w:r>
        <w:rPr>
          <w:rFonts w:hint="eastAsia" w:ascii="宋体" w:hAnsi="宋体"/>
          <w:color w:val="auto"/>
          <w:szCs w:val="21"/>
          <w:lang w:eastAsia="zh-CN"/>
        </w:rPr>
        <w:t>（</w:t>
      </w:r>
      <w:r>
        <w:rPr>
          <w:rFonts w:hint="eastAsia" w:ascii="宋体" w:hAnsi="宋体"/>
          <w:color w:val="auto"/>
          <w:szCs w:val="21"/>
          <w:lang w:val="en-US" w:eastAsia="zh-CN"/>
        </w:rPr>
        <w:t>详见附件2、附件3</w:t>
      </w:r>
      <w:r>
        <w:rPr>
          <w:rFonts w:hint="eastAsia" w:ascii="宋体" w:hAnsi="宋体"/>
          <w:color w:val="auto"/>
          <w:szCs w:val="21"/>
          <w:lang w:eastAsia="zh-CN"/>
        </w:rPr>
        <w:t>）</w:t>
      </w:r>
      <w:r>
        <w:rPr>
          <w:rFonts w:hint="eastAsia" w:ascii="宋体" w:hAnsi="宋体"/>
          <w:color w:val="auto"/>
          <w:szCs w:val="21"/>
        </w:rPr>
        <w:t>。具体考核的内容有：</w:t>
      </w:r>
    </w:p>
    <w:p>
      <w:pPr>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1）造价咨询服务机构资质条件现状；</w:t>
      </w:r>
    </w:p>
    <w:p>
      <w:pPr>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2）协议期间工程造价咨询服务机构工程造价咨询工作业绩和合同执行情况；</w:t>
      </w:r>
    </w:p>
    <w:p>
      <w:pPr>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3）工程造价咨询服务机构工程造价咨询的业务水平；</w:t>
      </w:r>
    </w:p>
    <w:p>
      <w:pPr>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4）工程造价咨询服务机构和从业咨询人员遵守职业道德情况；</w:t>
      </w:r>
    </w:p>
    <w:p>
      <w:pPr>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5）执行国家法律、法规和市场管理的有关规定；违反相关法律和损害用户单位利益的情况；</w:t>
      </w:r>
    </w:p>
    <w:p>
      <w:pPr>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6）企业内部制度建设、技术档案管理和质量保证体系执行情况；</w:t>
      </w:r>
    </w:p>
    <w:p>
      <w:pPr>
        <w:spacing w:line="360" w:lineRule="auto"/>
        <w:ind w:firstLine="420" w:firstLineChars="200"/>
        <w:rPr>
          <w:rFonts w:ascii="宋体" w:hAnsi="宋体"/>
          <w:color w:val="auto"/>
          <w:szCs w:val="21"/>
        </w:rPr>
      </w:pPr>
      <w:r>
        <w:rPr>
          <w:rFonts w:hint="eastAsia" w:ascii="宋体" w:hAnsi="宋体"/>
          <w:color w:val="auto"/>
          <w:szCs w:val="21"/>
        </w:rPr>
        <w:t>（</w:t>
      </w:r>
      <w:r>
        <w:rPr>
          <w:rFonts w:ascii="宋体" w:hAnsi="宋体"/>
          <w:color w:val="auto"/>
          <w:szCs w:val="21"/>
        </w:rPr>
        <w:t>7）工程造价咨询服务质量</w:t>
      </w:r>
      <w:r>
        <w:rPr>
          <w:rFonts w:hint="eastAsia" w:ascii="宋体" w:hAnsi="宋体"/>
          <w:color w:val="auto"/>
          <w:szCs w:val="21"/>
        </w:rPr>
        <w:t>；</w:t>
      </w:r>
    </w:p>
    <w:p>
      <w:pPr>
        <w:spacing w:line="360" w:lineRule="auto"/>
        <w:ind w:firstLine="420" w:firstLineChars="200"/>
        <w:rPr>
          <w:rFonts w:hint="eastAsia" w:ascii="宋体" w:hAnsi="宋体"/>
          <w:color w:val="auto"/>
          <w:szCs w:val="21"/>
        </w:rPr>
      </w:pPr>
      <w:r>
        <w:rPr>
          <w:rFonts w:hint="eastAsia" w:ascii="宋体" w:hAnsi="宋体"/>
          <w:color w:val="auto"/>
          <w:szCs w:val="21"/>
        </w:rPr>
        <w:t>（</w:t>
      </w:r>
      <w:r>
        <w:rPr>
          <w:rFonts w:ascii="宋体" w:hAnsi="宋体"/>
          <w:color w:val="auto"/>
          <w:szCs w:val="21"/>
        </w:rPr>
        <w:t>8）工程造价咨询单位社会信誉。</w:t>
      </w:r>
    </w:p>
    <w:p>
      <w:pPr>
        <w:spacing w:line="360" w:lineRule="auto"/>
        <w:ind w:firstLine="420" w:firstLineChars="200"/>
        <w:rPr>
          <w:rFonts w:hint="eastAsia" w:ascii="宋体" w:hAnsi="宋体"/>
          <w:color w:val="auto"/>
          <w:szCs w:val="21"/>
        </w:rPr>
      </w:pPr>
      <w:r>
        <w:rPr>
          <w:rFonts w:hint="eastAsia" w:ascii="宋体" w:hAnsi="宋体"/>
          <w:color w:val="auto"/>
          <w:szCs w:val="21"/>
        </w:rPr>
        <w:t>2、因咨询公司自身原因影响进度的叫停三次，</w:t>
      </w:r>
      <w:r>
        <w:rPr>
          <w:rFonts w:hint="eastAsia" w:ascii="宋体" w:hAnsi="宋体"/>
          <w:color w:val="auto"/>
          <w:szCs w:val="21"/>
          <w:lang w:val="en-US" w:eastAsia="zh-CN"/>
        </w:rPr>
        <w:t>采购方</w:t>
      </w:r>
      <w:r>
        <w:rPr>
          <w:rFonts w:hint="eastAsia" w:ascii="宋体" w:hAnsi="宋体"/>
          <w:color w:val="auto"/>
          <w:szCs w:val="21"/>
        </w:rPr>
        <w:t>有权项目叫停。</w:t>
      </w:r>
    </w:p>
    <w:p>
      <w:pPr>
        <w:bidi w:val="0"/>
        <w:ind w:firstLine="420" w:firstLineChars="200"/>
        <w:rPr>
          <w:rFonts w:hint="eastAsia" w:ascii="宋体" w:hAnsi="宋体"/>
          <w:color w:val="auto"/>
          <w:szCs w:val="21"/>
        </w:rPr>
      </w:pPr>
      <w:r>
        <w:rPr>
          <w:rFonts w:hint="eastAsia" w:ascii="宋体" w:hAnsi="宋体"/>
          <w:color w:val="auto"/>
          <w:szCs w:val="21"/>
        </w:rPr>
        <w:t>3、咨询公司对于定稿的成果文件，未经同意擅自更改的</w:t>
      </w:r>
      <w:r>
        <w:rPr>
          <w:rFonts w:hint="eastAsia" w:ascii="宋体" w:hAnsi="宋体"/>
          <w:color w:val="auto"/>
          <w:szCs w:val="21"/>
          <w:lang w:eastAsia="zh-CN"/>
        </w:rPr>
        <w:t>，</w:t>
      </w:r>
      <w:r>
        <w:rPr>
          <w:rFonts w:hint="eastAsia" w:ascii="宋体" w:hAnsi="宋体"/>
          <w:color w:val="auto"/>
          <w:szCs w:val="21"/>
          <w:lang w:val="en-US" w:eastAsia="zh-CN"/>
        </w:rPr>
        <w:t>采购方</w:t>
      </w:r>
      <w:r>
        <w:rPr>
          <w:rFonts w:hint="eastAsia" w:ascii="宋体" w:hAnsi="宋体"/>
          <w:color w:val="auto"/>
          <w:szCs w:val="21"/>
        </w:rPr>
        <w:t>有权直接停牌该公司咨询服务资格。</w:t>
      </w:r>
    </w:p>
    <w:p>
      <w:pPr>
        <w:bidi w:val="0"/>
        <w:rPr>
          <w:rFonts w:hint="default"/>
          <w:color w:val="auto"/>
          <w:lang w:val="en-US" w:eastAsia="zh-CN"/>
        </w:rPr>
      </w:pPr>
    </w:p>
    <w:p>
      <w:pPr>
        <w:pStyle w:val="5"/>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eastAsia"/>
          <w:color w:val="auto"/>
          <w:highlight w:val="none"/>
          <w:lang w:val="zh-CN"/>
        </w:rPr>
      </w:pPr>
      <w:r>
        <w:rPr>
          <w:rFonts w:hint="eastAsia"/>
          <w:color w:val="auto"/>
          <w:highlight w:val="none"/>
          <w:lang w:val="en-US" w:eastAsia="zh-CN"/>
        </w:rPr>
        <w:t>十一、</w:t>
      </w:r>
      <w:r>
        <w:rPr>
          <w:rFonts w:hint="eastAsia"/>
          <w:color w:val="auto"/>
          <w:highlight w:val="none"/>
        </w:rPr>
        <w:t>其他要求</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1、服务单位在</w:t>
      </w:r>
      <w:r>
        <w:rPr>
          <w:rFonts w:hint="eastAsia" w:ascii="宋体" w:hAnsi="宋体" w:eastAsia="宋体" w:cs="宋体"/>
          <w:color w:val="auto"/>
          <w:sz w:val="21"/>
          <w:szCs w:val="21"/>
          <w:highlight w:val="none"/>
          <w:lang w:val="en-US" w:eastAsia="zh-CN"/>
        </w:rPr>
        <w:t>服务范围</w:t>
      </w:r>
      <w:r>
        <w:rPr>
          <w:rFonts w:hint="eastAsia" w:ascii="宋体" w:hAnsi="宋体" w:eastAsia="宋体" w:cs="宋体"/>
          <w:color w:val="auto"/>
          <w:sz w:val="21"/>
          <w:szCs w:val="21"/>
          <w:highlight w:val="none"/>
        </w:rPr>
        <w:t>有固定的服务场所，且办公环境、硬件设施符合国家相关规定。</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2、有健全的组织机构的内部管理制度，有完善的质量保证体系和技术经济档案管理制度，有良好的服务态度和较好的社会信誉。</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3、服务单位应当配合建设单位，完成其他与委托业务相关的工作。</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4、服务单位应当坚持公正、科学、诚信的工作原则，遵守职业道德，讲求专业信誉，对社会责任负责，对建设单位负责，不得违反国家法律、法规、政策及有关管理要求。</w:t>
      </w:r>
    </w:p>
    <w:p>
      <w:pPr>
        <w:spacing w:line="360" w:lineRule="auto"/>
        <w:ind w:firstLine="48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5、服务单位在服务过程中应积极主动与建设单位进行沟通。本着诚实信用的原则，高效率的提供本需求规定的各项服务。</w:t>
      </w:r>
    </w:p>
    <w:p>
      <w:pPr>
        <w:spacing w:line="360" w:lineRule="auto"/>
        <w:ind w:firstLine="480"/>
        <w:jc w:val="left"/>
        <w:rPr>
          <w:rFonts w:hint="default"/>
          <w:color w:val="auto"/>
          <w:lang w:val="en-US" w:eastAsia="zh-CN"/>
        </w:rPr>
      </w:pPr>
      <w:r>
        <w:rPr>
          <w:rFonts w:hint="eastAsia" w:ascii="宋体" w:hAnsi="宋体" w:eastAsia="宋体" w:cs="宋体"/>
          <w:color w:val="auto"/>
          <w:sz w:val="21"/>
          <w:szCs w:val="21"/>
          <w:highlight w:val="none"/>
        </w:rPr>
        <w:t>6、本项目执行过程中将遵循国家、省、市有关法律、法规、标准、技术规范和规范性文件的最新规定。</w:t>
      </w:r>
    </w:p>
    <w:p>
      <w:pPr>
        <w:spacing w:after="0" w:line="360" w:lineRule="auto"/>
        <w:ind w:firstLine="422" w:firstLineChars="200"/>
        <w:rPr>
          <w:rFonts w:hint="eastAsia"/>
          <w:color w:val="auto"/>
          <w:sz w:val="28"/>
          <w:szCs w:val="28"/>
        </w:rPr>
      </w:pPr>
      <w:r>
        <w:rPr>
          <w:rFonts w:hint="eastAsia" w:ascii="宋体" w:hAnsi="宋体" w:eastAsia="宋体" w:cs="Times New Roman"/>
          <w:b/>
          <w:bCs/>
          <w:color w:val="auto"/>
          <w:sz w:val="21"/>
          <w:szCs w:val="21"/>
        </w:rPr>
        <w:t>注：不满足招标文件中 “★”条款的投标文件将作无效投标处理。</w:t>
      </w:r>
      <w:bookmarkEnd w:id="179"/>
      <w:bookmarkEnd w:id="180"/>
      <w:bookmarkEnd w:id="181"/>
      <w:bookmarkEnd w:id="182"/>
      <w:bookmarkStart w:id="183" w:name="_Toc12485"/>
      <w:bookmarkStart w:id="184" w:name="_Toc21448"/>
    </w:p>
    <w:p>
      <w:pPr>
        <w:bidi w:val="0"/>
        <w:rPr>
          <w:rFonts w:hint="eastAsia"/>
          <w:color w:val="auto"/>
        </w:rPr>
        <w:sectPr>
          <w:footerReference r:id="rId12" w:type="first"/>
          <w:footerReference r:id="rId11" w:type="default"/>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spacing w:line="360" w:lineRule="auto"/>
        <w:outlineLvl w:val="3"/>
        <w:rPr>
          <w:rFonts w:hint="eastAsia" w:ascii="宋体" w:hAnsi="宋体"/>
          <w:b/>
          <w:bCs/>
          <w:color w:val="auto"/>
          <w:sz w:val="24"/>
          <w:szCs w:val="24"/>
          <w:highlight w:val="none"/>
        </w:rPr>
      </w:pPr>
      <w:r>
        <w:rPr>
          <w:rFonts w:hint="eastAsia" w:ascii="宋体" w:hAnsi="宋体"/>
          <w:b/>
          <w:bCs/>
          <w:color w:val="auto"/>
          <w:sz w:val="24"/>
          <w:szCs w:val="24"/>
          <w:highlight w:val="none"/>
        </w:rPr>
        <w:t>附件</w:t>
      </w:r>
      <w:r>
        <w:rPr>
          <w:rFonts w:hint="eastAsia" w:ascii="宋体" w:hAnsi="宋体"/>
          <w:b/>
          <w:bCs/>
          <w:color w:val="auto"/>
          <w:sz w:val="24"/>
          <w:szCs w:val="24"/>
          <w:highlight w:val="none"/>
          <w:lang w:val="en-US" w:eastAsia="zh-CN"/>
        </w:rPr>
        <w:t>1</w:t>
      </w:r>
      <w:r>
        <w:rPr>
          <w:rFonts w:hint="eastAsia" w:ascii="宋体" w:hAnsi="宋体"/>
          <w:b/>
          <w:bCs/>
          <w:color w:val="auto"/>
          <w:sz w:val="24"/>
          <w:szCs w:val="24"/>
          <w:highlight w:val="none"/>
        </w:rPr>
        <w:t>：</w:t>
      </w:r>
      <w:r>
        <w:rPr>
          <w:rFonts w:hint="eastAsia" w:ascii="宋体" w:hAnsi="宋体"/>
          <w:b/>
          <w:bCs/>
          <w:color w:val="auto"/>
          <w:sz w:val="24"/>
          <w:szCs w:val="24"/>
          <w:highlight w:val="none"/>
          <w:lang w:val="zh-CN"/>
        </w:rPr>
        <w:t>东莞市财政投资项目造价咨询服务收费项目和收费标准</w:t>
      </w:r>
    </w:p>
    <w:p>
      <w:pPr>
        <w:widowControl/>
        <w:tabs>
          <w:tab w:val="left" w:pos="10422"/>
        </w:tabs>
        <w:spacing w:line="360" w:lineRule="auto"/>
        <w:jc w:val="center"/>
        <w:rPr>
          <w:rFonts w:hAnsi="宋体" w:cs="宋体"/>
          <w:b/>
          <w:color w:val="auto"/>
          <w:szCs w:val="21"/>
        </w:rPr>
      </w:pPr>
      <w:r>
        <w:rPr>
          <w:rFonts w:hint="eastAsia" w:ascii="宋体"/>
          <w:color w:val="auto"/>
          <w:szCs w:val="21"/>
          <w:lang w:val="zh-CN"/>
        </w:rPr>
        <w:t>东莞市财政投资项目造价咨询服务收费项目和收费标准</w:t>
      </w:r>
    </w:p>
    <w:tbl>
      <w:tblPr>
        <w:tblStyle w:val="23"/>
        <w:tblW w:w="0" w:type="auto"/>
        <w:tblInd w:w="0" w:type="dxa"/>
        <w:tblLayout w:type="fixed"/>
        <w:tblCellMar>
          <w:top w:w="0" w:type="dxa"/>
          <w:left w:w="15" w:type="dxa"/>
          <w:bottom w:w="0" w:type="dxa"/>
          <w:right w:w="15" w:type="dxa"/>
        </w:tblCellMar>
      </w:tblPr>
      <w:tblGrid>
        <w:gridCol w:w="441"/>
        <w:gridCol w:w="708"/>
        <w:gridCol w:w="426"/>
        <w:gridCol w:w="141"/>
        <w:gridCol w:w="1134"/>
        <w:gridCol w:w="3261"/>
        <w:gridCol w:w="1842"/>
        <w:gridCol w:w="851"/>
        <w:gridCol w:w="709"/>
        <w:gridCol w:w="850"/>
        <w:gridCol w:w="992"/>
        <w:gridCol w:w="993"/>
        <w:gridCol w:w="992"/>
        <w:gridCol w:w="720"/>
      </w:tblGrid>
      <w:tr>
        <w:tblPrEx>
          <w:tblCellMar>
            <w:top w:w="0" w:type="dxa"/>
            <w:left w:w="15" w:type="dxa"/>
            <w:bottom w:w="0" w:type="dxa"/>
            <w:right w:w="15" w:type="dxa"/>
          </w:tblCellMar>
        </w:tblPrEx>
        <w:trPr>
          <w:trHeight w:val="307" w:hRule="atLeast"/>
        </w:trPr>
        <w:tc>
          <w:tcPr>
            <w:tcW w:w="44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序号</w:t>
            </w:r>
          </w:p>
        </w:tc>
        <w:tc>
          <w:tcPr>
            <w:tcW w:w="2409" w:type="dxa"/>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咨询项目名称</w:t>
            </w:r>
          </w:p>
        </w:tc>
        <w:tc>
          <w:tcPr>
            <w:tcW w:w="32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服务内容</w:t>
            </w:r>
          </w:p>
        </w:tc>
        <w:tc>
          <w:tcPr>
            <w:tcW w:w="1842"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收费基数</w:t>
            </w:r>
          </w:p>
        </w:tc>
        <w:tc>
          <w:tcPr>
            <w:tcW w:w="5387"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最高收费标准</w:t>
            </w:r>
          </w:p>
        </w:tc>
        <w:tc>
          <w:tcPr>
            <w:tcW w:w="720" w:type="dxa"/>
            <w:vMerge w:val="restart"/>
            <w:tcBorders>
              <w:top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备注</w:t>
            </w:r>
          </w:p>
        </w:tc>
      </w:tr>
      <w:tr>
        <w:tblPrEx>
          <w:tblCellMar>
            <w:top w:w="0" w:type="dxa"/>
            <w:left w:w="15" w:type="dxa"/>
            <w:bottom w:w="0" w:type="dxa"/>
            <w:right w:w="15" w:type="dxa"/>
          </w:tblCellMar>
        </w:tblPrEx>
        <w:trPr>
          <w:trHeight w:val="555"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2409"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32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1842"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100</w:t>
            </w:r>
            <w:r>
              <w:rPr>
                <w:rFonts w:hint="eastAsia" w:hAnsi="宋体" w:cs="宋体"/>
                <w:color w:val="auto"/>
                <w:sz w:val="18"/>
                <w:szCs w:val="18"/>
              </w:rPr>
              <w:t>万元以内</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101-500</w:t>
            </w:r>
            <w:r>
              <w:rPr>
                <w:rFonts w:hint="eastAsia" w:hAnsi="宋体" w:cs="宋体"/>
                <w:color w:val="auto"/>
                <w:sz w:val="18"/>
                <w:szCs w:val="18"/>
              </w:rPr>
              <w:t>万元</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501-1000</w:t>
            </w:r>
            <w:r>
              <w:rPr>
                <w:rFonts w:hint="eastAsia" w:hAnsi="宋体" w:cs="宋体"/>
                <w:color w:val="auto"/>
                <w:sz w:val="18"/>
                <w:szCs w:val="18"/>
              </w:rPr>
              <w:t>万元</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1001-5000</w:t>
            </w:r>
            <w:r>
              <w:rPr>
                <w:rFonts w:hint="eastAsia" w:hAnsi="宋体" w:cs="宋体"/>
                <w:color w:val="auto"/>
                <w:sz w:val="18"/>
                <w:szCs w:val="18"/>
              </w:rPr>
              <w:t>万元</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5001</w:t>
            </w:r>
            <w:r>
              <w:rPr>
                <w:rFonts w:hint="eastAsia" w:hAnsi="宋体" w:cs="宋体"/>
                <w:color w:val="auto"/>
                <w:sz w:val="18"/>
                <w:szCs w:val="18"/>
              </w:rPr>
              <w:t>万元</w:t>
            </w:r>
            <w:r>
              <w:rPr>
                <w:rFonts w:hAnsi="宋体" w:cs="宋体"/>
                <w:color w:val="auto"/>
                <w:sz w:val="18"/>
                <w:szCs w:val="18"/>
              </w:rPr>
              <w:t>-1</w:t>
            </w:r>
            <w:r>
              <w:rPr>
                <w:rFonts w:hint="eastAsia" w:hAnsi="宋体" w:cs="宋体"/>
                <w:color w:val="auto"/>
                <w:sz w:val="18"/>
                <w:szCs w:val="18"/>
              </w:rPr>
              <w:t>亿元</w:t>
            </w:r>
          </w:p>
        </w:tc>
        <w:tc>
          <w:tcPr>
            <w:tcW w:w="992"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w:t>
            </w:r>
            <w:r>
              <w:rPr>
                <w:rFonts w:hint="eastAsia" w:hAnsi="宋体" w:cs="宋体"/>
                <w:color w:val="auto"/>
                <w:sz w:val="18"/>
                <w:szCs w:val="18"/>
              </w:rPr>
              <w:t>亿元以上</w:t>
            </w:r>
          </w:p>
        </w:tc>
        <w:tc>
          <w:tcPr>
            <w:tcW w:w="720" w:type="dxa"/>
            <w:vMerge w:val="continue"/>
            <w:tcBorders>
              <w:bottom w:val="single" w:color="auto" w:sz="4" w:space="0"/>
              <w:right w:val="single" w:color="auto" w:sz="4" w:space="0"/>
            </w:tcBorders>
            <w:shd w:val="clear" w:color="auto" w:fill="auto"/>
            <w:noWrap w:val="0"/>
            <w:vAlign w:val="top"/>
          </w:tcPr>
          <w:p>
            <w:pPr>
              <w:widowControl/>
              <w:jc w:val="left"/>
              <w:rPr>
                <w:color w:val="auto"/>
              </w:rPr>
            </w:pPr>
          </w:p>
        </w:tc>
      </w:tr>
      <w:tr>
        <w:tblPrEx>
          <w:tblCellMar>
            <w:top w:w="0" w:type="dxa"/>
            <w:left w:w="15" w:type="dxa"/>
            <w:bottom w:w="0" w:type="dxa"/>
            <w:right w:w="15" w:type="dxa"/>
          </w:tblCellMar>
        </w:tblPrEx>
        <w:trPr>
          <w:trHeight w:val="1065"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w:t>
            </w:r>
          </w:p>
        </w:tc>
        <w:tc>
          <w:tcPr>
            <w:tcW w:w="2409"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投资估算的编制或审核</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依据建设项目可行性研究方案编制或核对项目投资估算，出具投资估算报告或审核报告</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估算价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1.3</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1.1</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0.9</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0.7</w:t>
            </w:r>
            <w:r>
              <w:rPr>
                <w:rFonts w:hint="eastAsia" w:hAnsi="宋体" w:cs="宋体"/>
                <w:color w:val="auto"/>
                <w:sz w:val="18"/>
                <w:szCs w:val="18"/>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0.5</w:t>
            </w:r>
            <w:r>
              <w:rPr>
                <w:rFonts w:hint="eastAsia" w:hAnsi="宋体" w:cs="宋体"/>
                <w:color w:val="auto"/>
                <w:sz w:val="18"/>
                <w:szCs w:val="18"/>
              </w:rPr>
              <w:t>‰</w:t>
            </w:r>
          </w:p>
        </w:tc>
        <w:tc>
          <w:tcPr>
            <w:tcW w:w="992"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0.4</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差额定率累进计费</w:t>
            </w:r>
          </w:p>
        </w:tc>
      </w:tr>
      <w:tr>
        <w:tblPrEx>
          <w:tblCellMar>
            <w:top w:w="0" w:type="dxa"/>
            <w:left w:w="15" w:type="dxa"/>
            <w:bottom w:w="0" w:type="dxa"/>
            <w:right w:w="15" w:type="dxa"/>
          </w:tblCellMar>
        </w:tblPrEx>
        <w:trPr>
          <w:trHeight w:val="780"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w:t>
            </w:r>
          </w:p>
        </w:tc>
        <w:tc>
          <w:tcPr>
            <w:tcW w:w="2409"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工程概算的编制或审核</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依据初步设计图纸计算或复核工程量，出具工程概算书或审核报告</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概算价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1.8</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1.6</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1.3</w:t>
            </w:r>
            <w:r>
              <w:rPr>
                <w:rFonts w:hint="eastAsia" w:hAnsi="宋体" w:cs="宋体"/>
                <w:color w:val="auto"/>
                <w:sz w:val="18"/>
                <w:szCs w:val="18"/>
              </w:rPr>
              <w:t>‰</w:t>
            </w:r>
          </w:p>
        </w:tc>
        <w:tc>
          <w:tcPr>
            <w:tcW w:w="993"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1.2</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1.1</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差额定率累进计费</w:t>
            </w:r>
          </w:p>
        </w:tc>
      </w:tr>
      <w:tr>
        <w:tblPrEx>
          <w:tblCellMar>
            <w:top w:w="0" w:type="dxa"/>
            <w:left w:w="15" w:type="dxa"/>
            <w:bottom w:w="0" w:type="dxa"/>
            <w:right w:w="15" w:type="dxa"/>
          </w:tblCellMar>
        </w:tblPrEx>
        <w:trPr>
          <w:trHeight w:val="810" w:hRule="atLeast"/>
        </w:trPr>
        <w:tc>
          <w:tcPr>
            <w:tcW w:w="44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3</w:t>
            </w:r>
          </w:p>
        </w:tc>
        <w:tc>
          <w:tcPr>
            <w:tcW w:w="708"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工程预算的编制或审核</w:t>
            </w:r>
          </w:p>
        </w:tc>
        <w:tc>
          <w:tcPr>
            <w:tcW w:w="567"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清单计价法</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单独编制或审核工程量清单</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依据施工图编制或审核工程量清单，出具工程量清单书或审核报告</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预算造价（预算价、招标控制价）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3</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2.5</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2.4</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2.2</w:t>
            </w:r>
            <w:r>
              <w:rPr>
                <w:rFonts w:hint="eastAsia" w:hAnsi="宋体" w:cs="宋体"/>
                <w:color w:val="auto"/>
                <w:sz w:val="18"/>
                <w:szCs w:val="18"/>
              </w:rPr>
              <w:t>‰</w:t>
            </w:r>
          </w:p>
        </w:tc>
        <w:tc>
          <w:tcPr>
            <w:tcW w:w="993"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1.8</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差额定率累进计费</w:t>
            </w:r>
          </w:p>
        </w:tc>
      </w:tr>
      <w:tr>
        <w:tblPrEx>
          <w:tblCellMar>
            <w:top w:w="0" w:type="dxa"/>
            <w:left w:w="15" w:type="dxa"/>
            <w:bottom w:w="0" w:type="dxa"/>
            <w:right w:w="15" w:type="dxa"/>
          </w:tblCellMar>
        </w:tblPrEx>
        <w:trPr>
          <w:trHeight w:val="870"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567"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单独编制或审核预算造价</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依据施工图、工程量清单编制或审核工程量清单报价，出具工程报价书或审核报告</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预算造价（预算价、招标控制价、投标报价）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1.8</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1.6</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1.4</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1.2</w:t>
            </w:r>
            <w:r>
              <w:rPr>
                <w:rFonts w:hint="eastAsia" w:hAnsi="宋体" w:cs="宋体"/>
                <w:color w:val="auto"/>
                <w:sz w:val="18"/>
                <w:szCs w:val="18"/>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0.9</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0.8</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差额定率累进计费</w:t>
            </w:r>
          </w:p>
        </w:tc>
      </w:tr>
      <w:tr>
        <w:tblPrEx>
          <w:tblCellMar>
            <w:top w:w="0" w:type="dxa"/>
            <w:left w:w="15" w:type="dxa"/>
            <w:bottom w:w="0" w:type="dxa"/>
            <w:right w:w="15" w:type="dxa"/>
          </w:tblCellMar>
        </w:tblPrEx>
        <w:trPr>
          <w:trHeight w:val="750"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708"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567"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定额计价法</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编制或审核预算造价</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依据施工图编制或审核工程预算，出具工程预算书或审核报告</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预算造价（预算价、招标控制价、投标报价）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3.5</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3</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2.8</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2.7</w:t>
            </w:r>
            <w:r>
              <w:rPr>
                <w:rFonts w:hint="eastAsia" w:hAnsi="宋体" w:cs="宋体"/>
                <w:color w:val="auto"/>
                <w:sz w:val="18"/>
                <w:szCs w:val="18"/>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2.4</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差额定率累进计费</w:t>
            </w:r>
          </w:p>
        </w:tc>
      </w:tr>
      <w:tr>
        <w:tblPrEx>
          <w:tblCellMar>
            <w:top w:w="0" w:type="dxa"/>
            <w:left w:w="15" w:type="dxa"/>
            <w:bottom w:w="0" w:type="dxa"/>
            <w:right w:w="15" w:type="dxa"/>
          </w:tblCellMar>
        </w:tblPrEx>
        <w:trPr>
          <w:trHeight w:val="519"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4</w:t>
            </w:r>
          </w:p>
        </w:tc>
        <w:tc>
          <w:tcPr>
            <w:tcW w:w="2409"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工程结算的编制</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依据竣工图等竣工资料编制工程结算，出具工程结算书</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结算价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4.5</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4</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3.5</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3.3</w:t>
            </w:r>
            <w:r>
              <w:rPr>
                <w:rFonts w:hint="eastAsia" w:hAnsi="宋体" w:cs="宋体"/>
                <w:color w:val="auto"/>
                <w:sz w:val="18"/>
                <w:szCs w:val="18"/>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3</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2.5</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top"/>
          </w:tcPr>
          <w:p>
            <w:pPr>
              <w:widowControl/>
              <w:jc w:val="center"/>
              <w:rPr>
                <w:color w:val="auto"/>
              </w:rPr>
            </w:pPr>
            <w:r>
              <w:rPr>
                <w:rFonts w:hint="eastAsia" w:hAnsi="宋体" w:cs="宋体"/>
                <w:color w:val="auto"/>
                <w:sz w:val="18"/>
                <w:szCs w:val="18"/>
              </w:rPr>
              <w:t>差额定率累进计费</w:t>
            </w:r>
          </w:p>
        </w:tc>
      </w:tr>
      <w:tr>
        <w:tblPrEx>
          <w:tblCellMar>
            <w:top w:w="0" w:type="dxa"/>
            <w:left w:w="15" w:type="dxa"/>
            <w:bottom w:w="0" w:type="dxa"/>
            <w:right w:w="15" w:type="dxa"/>
          </w:tblCellMar>
        </w:tblPrEx>
        <w:trPr>
          <w:trHeight w:val="735" w:hRule="atLeast"/>
        </w:trPr>
        <w:tc>
          <w:tcPr>
            <w:tcW w:w="44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5</w:t>
            </w:r>
          </w:p>
        </w:tc>
        <w:tc>
          <w:tcPr>
            <w:tcW w:w="113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工程结算审核</w:t>
            </w: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w:t>
            </w:r>
            <w:r>
              <w:rPr>
                <w:rFonts w:hAnsi="宋体" w:cs="宋体"/>
                <w:color w:val="auto"/>
                <w:sz w:val="18"/>
                <w:szCs w:val="18"/>
              </w:rPr>
              <w:t>1</w:t>
            </w:r>
            <w:r>
              <w:rPr>
                <w:rFonts w:hint="eastAsia" w:hAnsi="宋体" w:cs="宋体"/>
                <w:color w:val="auto"/>
                <w:sz w:val="18"/>
                <w:szCs w:val="18"/>
              </w:rPr>
              <w:t>）基本收费</w:t>
            </w:r>
          </w:p>
        </w:tc>
        <w:tc>
          <w:tcPr>
            <w:tcW w:w="326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依据竣工图、签证资料、工程结算书等进行审核，出具工程结算审核报告</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送审结算价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2.8</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2.5</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2.2</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1.6</w:t>
            </w:r>
            <w:r>
              <w:rPr>
                <w:rFonts w:hint="eastAsia" w:hAnsi="宋体" w:cs="宋体"/>
                <w:color w:val="auto"/>
                <w:sz w:val="18"/>
                <w:szCs w:val="18"/>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1.3</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w:t>
            </w:r>
            <w:r>
              <w:rPr>
                <w:rFonts w:hint="eastAsia" w:hAnsi="宋体" w:cs="宋体"/>
                <w:color w:val="auto"/>
                <w:sz w:val="18"/>
                <w:szCs w:val="18"/>
              </w:rPr>
              <w:t>‰</w:t>
            </w:r>
          </w:p>
        </w:tc>
        <w:tc>
          <w:tcPr>
            <w:tcW w:w="720" w:type="dxa"/>
            <w:vMerge w:val="restart"/>
            <w:tcBorders>
              <w:top w:val="single" w:color="auto" w:sz="4" w:space="0"/>
              <w:right w:val="single" w:color="auto" w:sz="4" w:space="0"/>
            </w:tcBorders>
            <w:shd w:val="clear" w:color="auto" w:fill="auto"/>
            <w:noWrap w:val="0"/>
            <w:vAlign w:val="top"/>
          </w:tcPr>
          <w:p>
            <w:pPr>
              <w:widowControl/>
              <w:jc w:val="center"/>
              <w:rPr>
                <w:color w:val="auto"/>
              </w:rPr>
            </w:pPr>
            <w:r>
              <w:rPr>
                <w:rFonts w:hint="eastAsia" w:hAnsi="宋体" w:cs="宋体"/>
                <w:color w:val="auto"/>
                <w:sz w:val="18"/>
                <w:szCs w:val="18"/>
              </w:rPr>
              <w:t>差额定率累进计费</w:t>
            </w:r>
          </w:p>
        </w:tc>
      </w:tr>
      <w:tr>
        <w:tblPrEx>
          <w:tblCellMar>
            <w:top w:w="0" w:type="dxa"/>
            <w:left w:w="15" w:type="dxa"/>
            <w:bottom w:w="0" w:type="dxa"/>
            <w:right w:w="15" w:type="dxa"/>
          </w:tblCellMar>
        </w:tblPrEx>
        <w:trPr>
          <w:trHeight w:val="468"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11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1275" w:type="dxa"/>
            <w:gridSpan w:val="2"/>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w:t>
            </w:r>
            <w:r>
              <w:rPr>
                <w:rFonts w:hAnsi="宋体" w:cs="宋体"/>
                <w:color w:val="auto"/>
                <w:sz w:val="18"/>
                <w:szCs w:val="18"/>
              </w:rPr>
              <w:t>2</w:t>
            </w:r>
            <w:r>
              <w:rPr>
                <w:rFonts w:hint="eastAsia" w:hAnsi="宋体" w:cs="宋体"/>
                <w:color w:val="auto"/>
                <w:sz w:val="18"/>
                <w:szCs w:val="18"/>
              </w:rPr>
              <w:t>）效益收费</w:t>
            </w:r>
          </w:p>
        </w:tc>
        <w:tc>
          <w:tcPr>
            <w:tcW w:w="326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w:t>
            </w:r>
            <w:r>
              <w:rPr>
                <w:rFonts w:hint="eastAsia" w:hAnsi="宋体" w:cs="宋体"/>
                <w:color w:val="auto"/>
                <w:sz w:val="18"/>
                <w:szCs w:val="18"/>
              </w:rPr>
              <w:t>核减额</w:t>
            </w:r>
            <w:r>
              <w:rPr>
                <w:rFonts w:hAnsi="宋体" w:cs="宋体"/>
                <w:color w:val="auto"/>
                <w:sz w:val="18"/>
                <w:szCs w:val="18"/>
              </w:rPr>
              <w:t>|+|</w:t>
            </w:r>
            <w:r>
              <w:rPr>
                <w:rFonts w:hint="eastAsia" w:hAnsi="宋体" w:cs="宋体"/>
                <w:color w:val="auto"/>
                <w:sz w:val="18"/>
                <w:szCs w:val="18"/>
              </w:rPr>
              <w:t>核增额</w:t>
            </w:r>
            <w:r>
              <w:rPr>
                <w:rFonts w:hAnsi="宋体" w:cs="宋体"/>
                <w:color w:val="auto"/>
                <w:sz w:val="18"/>
                <w:szCs w:val="18"/>
              </w:rPr>
              <w:t>|</w:t>
            </w:r>
          </w:p>
        </w:tc>
        <w:tc>
          <w:tcPr>
            <w:tcW w:w="5387" w:type="dxa"/>
            <w:gridSpan w:val="6"/>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5%</w:t>
            </w:r>
          </w:p>
        </w:tc>
        <w:tc>
          <w:tcPr>
            <w:tcW w:w="720" w:type="dxa"/>
            <w:vMerge w:val="continue"/>
            <w:tcBorders>
              <w:bottom w:val="single" w:color="auto" w:sz="4" w:space="0"/>
              <w:right w:val="single" w:color="auto" w:sz="4" w:space="0"/>
            </w:tcBorders>
            <w:shd w:val="clear" w:color="auto" w:fill="auto"/>
            <w:noWrap w:val="0"/>
            <w:vAlign w:val="top"/>
          </w:tcPr>
          <w:p>
            <w:pPr>
              <w:widowControl/>
              <w:jc w:val="left"/>
              <w:rPr>
                <w:color w:val="auto"/>
              </w:rPr>
            </w:pPr>
          </w:p>
        </w:tc>
      </w:tr>
      <w:tr>
        <w:tblPrEx>
          <w:tblCellMar>
            <w:top w:w="0" w:type="dxa"/>
            <w:left w:w="15" w:type="dxa"/>
            <w:bottom w:w="0" w:type="dxa"/>
            <w:right w:w="15" w:type="dxa"/>
          </w:tblCellMar>
        </w:tblPrEx>
        <w:trPr>
          <w:trHeight w:val="432"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6</w:t>
            </w:r>
          </w:p>
        </w:tc>
        <w:tc>
          <w:tcPr>
            <w:tcW w:w="2409"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施工阶段全过程造价控制</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工程量清单编制开始到工程结算审核的造价咨询服务</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概算价</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12</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11</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10</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9</w:t>
            </w:r>
            <w:r>
              <w:rPr>
                <w:rFonts w:hint="eastAsia" w:hAnsi="宋体" w:cs="宋体"/>
                <w:color w:val="auto"/>
                <w:sz w:val="18"/>
                <w:szCs w:val="18"/>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8</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7</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差额定率累进计费，不包括驻场人员的费用</w:t>
            </w:r>
          </w:p>
        </w:tc>
      </w:tr>
      <w:tr>
        <w:tblPrEx>
          <w:tblCellMar>
            <w:top w:w="0" w:type="dxa"/>
            <w:left w:w="15" w:type="dxa"/>
            <w:bottom w:w="0" w:type="dxa"/>
            <w:right w:w="15" w:type="dxa"/>
          </w:tblCellMar>
        </w:tblPrEx>
        <w:trPr>
          <w:trHeight w:val="990" w:hRule="atLeast"/>
        </w:trPr>
        <w:tc>
          <w:tcPr>
            <w:tcW w:w="441"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7</w:t>
            </w:r>
          </w:p>
        </w:tc>
        <w:tc>
          <w:tcPr>
            <w:tcW w:w="2409" w:type="dxa"/>
            <w:gridSpan w:val="4"/>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工程造价纠纷鉴证</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受委托进行鉴证</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鉴证后标的额</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12</w:t>
            </w:r>
            <w:r>
              <w:rPr>
                <w:rFonts w:hint="eastAsia" w:hAnsi="宋体" w:cs="宋体"/>
                <w:color w:val="auto"/>
                <w:sz w:val="18"/>
                <w:szCs w:val="18"/>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10</w:t>
            </w:r>
            <w:r>
              <w:rPr>
                <w:rFonts w:hint="eastAsia" w:hAnsi="宋体" w:cs="宋体"/>
                <w:color w:val="auto"/>
                <w:sz w:val="18"/>
                <w:szCs w:val="18"/>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8</w:t>
            </w:r>
            <w:r>
              <w:rPr>
                <w:rFonts w:hint="eastAsia" w:hAnsi="宋体" w:cs="宋体"/>
                <w:color w:val="auto"/>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7</w:t>
            </w:r>
            <w:r>
              <w:rPr>
                <w:rFonts w:hint="eastAsia" w:hAnsi="宋体" w:cs="宋体"/>
                <w:color w:val="auto"/>
                <w:sz w:val="18"/>
                <w:szCs w:val="18"/>
              </w:rPr>
              <w:t>‰</w:t>
            </w:r>
          </w:p>
        </w:tc>
        <w:tc>
          <w:tcPr>
            <w:tcW w:w="9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6</w:t>
            </w:r>
            <w:r>
              <w:rPr>
                <w:rFonts w:hint="eastAsia" w:hAnsi="宋体" w:cs="宋体"/>
                <w:color w:val="auto"/>
                <w:sz w:val="18"/>
                <w:szCs w:val="18"/>
              </w:rPr>
              <w:t>‰</w:t>
            </w:r>
          </w:p>
        </w:tc>
        <w:tc>
          <w:tcPr>
            <w:tcW w:w="992"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5</w:t>
            </w:r>
            <w:r>
              <w:rPr>
                <w:rFonts w:hint="eastAsia" w:hAnsi="宋体" w:cs="宋体"/>
                <w:color w:val="auto"/>
                <w:sz w:val="18"/>
                <w:szCs w:val="18"/>
              </w:rPr>
              <w:t>‰</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差额定率累进计费；原被告单方有造价或双方均无造价</w:t>
            </w:r>
          </w:p>
        </w:tc>
      </w:tr>
      <w:tr>
        <w:tblPrEx>
          <w:tblCellMar>
            <w:top w:w="0" w:type="dxa"/>
            <w:left w:w="15" w:type="dxa"/>
            <w:bottom w:w="0" w:type="dxa"/>
            <w:right w:w="15" w:type="dxa"/>
          </w:tblCellMar>
        </w:tblPrEx>
        <w:trPr>
          <w:trHeight w:val="615"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2409" w:type="dxa"/>
            <w:gridSpan w:val="4"/>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rPr>
                <w:rFonts w:hAnsi="宋体" w:cs="宋体"/>
                <w:color w:val="auto"/>
                <w:sz w:val="18"/>
                <w:szCs w:val="18"/>
              </w:rPr>
            </w:pP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受委托进行鉴证</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争议差额</w:t>
            </w:r>
          </w:p>
        </w:tc>
        <w:tc>
          <w:tcPr>
            <w:tcW w:w="5387" w:type="dxa"/>
            <w:gridSpan w:val="6"/>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争议差额在</w:t>
            </w:r>
            <w:r>
              <w:rPr>
                <w:rFonts w:hAnsi="宋体" w:cs="宋体"/>
                <w:color w:val="auto"/>
                <w:sz w:val="18"/>
                <w:szCs w:val="18"/>
              </w:rPr>
              <w:t>1000</w:t>
            </w:r>
            <w:r>
              <w:rPr>
                <w:rFonts w:hint="eastAsia" w:hAnsi="宋体" w:cs="宋体"/>
                <w:color w:val="auto"/>
                <w:sz w:val="18"/>
                <w:szCs w:val="18"/>
              </w:rPr>
              <w:t>万以下（含</w:t>
            </w:r>
            <w:r>
              <w:rPr>
                <w:rFonts w:hAnsi="宋体" w:cs="宋体"/>
                <w:color w:val="auto"/>
                <w:sz w:val="18"/>
                <w:szCs w:val="18"/>
              </w:rPr>
              <w:t>1000</w:t>
            </w:r>
            <w:r>
              <w:rPr>
                <w:rFonts w:hint="eastAsia" w:hAnsi="宋体" w:cs="宋体"/>
                <w:color w:val="auto"/>
                <w:sz w:val="18"/>
                <w:szCs w:val="18"/>
              </w:rPr>
              <w:t>万）按</w:t>
            </w:r>
            <w:r>
              <w:rPr>
                <w:rFonts w:hAnsi="宋体" w:cs="宋体"/>
                <w:color w:val="auto"/>
                <w:sz w:val="18"/>
                <w:szCs w:val="18"/>
              </w:rPr>
              <w:t>5%</w:t>
            </w:r>
            <w:r>
              <w:rPr>
                <w:rFonts w:hint="eastAsia" w:hAnsi="宋体" w:cs="宋体"/>
                <w:color w:val="auto"/>
                <w:sz w:val="18"/>
                <w:szCs w:val="18"/>
              </w:rPr>
              <w:t>收取，</w:t>
            </w:r>
            <w:r>
              <w:rPr>
                <w:rFonts w:hAnsi="宋体" w:cs="宋体"/>
                <w:color w:val="auto"/>
                <w:sz w:val="18"/>
                <w:szCs w:val="18"/>
              </w:rPr>
              <w:t>1000</w:t>
            </w:r>
            <w:r>
              <w:rPr>
                <w:rFonts w:hint="eastAsia" w:hAnsi="宋体" w:cs="宋体"/>
                <w:color w:val="auto"/>
                <w:sz w:val="18"/>
                <w:szCs w:val="18"/>
              </w:rPr>
              <w:t>万以上按</w:t>
            </w:r>
            <w:r>
              <w:rPr>
                <w:rFonts w:hAnsi="宋体" w:cs="宋体"/>
                <w:color w:val="auto"/>
                <w:sz w:val="18"/>
                <w:szCs w:val="18"/>
              </w:rPr>
              <w:t>4%</w:t>
            </w:r>
            <w:r>
              <w:rPr>
                <w:rFonts w:hint="eastAsia" w:hAnsi="宋体" w:cs="宋体"/>
                <w:color w:val="auto"/>
                <w:sz w:val="18"/>
                <w:szCs w:val="18"/>
              </w:rPr>
              <w:t>收取</w:t>
            </w:r>
          </w:p>
        </w:tc>
        <w:tc>
          <w:tcPr>
            <w:tcW w:w="720" w:type="dxa"/>
            <w:tcBorders>
              <w:top w:val="single" w:color="auto" w:sz="4" w:space="0"/>
              <w:bottom w:val="single" w:color="auto" w:sz="4" w:space="0"/>
              <w:right w:val="single" w:color="auto" w:sz="4" w:space="0"/>
            </w:tcBorders>
            <w:shd w:val="clear" w:color="auto" w:fill="auto"/>
            <w:noWrap w:val="0"/>
            <w:vAlign w:val="center"/>
          </w:tcPr>
          <w:p>
            <w:pPr>
              <w:widowControl/>
              <w:jc w:val="center"/>
              <w:rPr>
                <w:color w:val="auto"/>
              </w:rPr>
            </w:pPr>
            <w:r>
              <w:rPr>
                <w:rFonts w:hint="eastAsia" w:hAnsi="宋体" w:cs="宋体"/>
                <w:color w:val="auto"/>
                <w:sz w:val="18"/>
                <w:szCs w:val="18"/>
              </w:rPr>
              <w:t>双方各有造价</w:t>
            </w:r>
          </w:p>
        </w:tc>
      </w:tr>
      <w:tr>
        <w:tblPrEx>
          <w:tblCellMar>
            <w:top w:w="0" w:type="dxa"/>
            <w:left w:w="15" w:type="dxa"/>
            <w:bottom w:w="0" w:type="dxa"/>
            <w:right w:w="15" w:type="dxa"/>
          </w:tblCellMar>
        </w:tblPrEx>
        <w:trPr>
          <w:trHeight w:val="1170"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8</w:t>
            </w:r>
          </w:p>
        </w:tc>
        <w:tc>
          <w:tcPr>
            <w:tcW w:w="2409" w:type="dxa"/>
            <w:gridSpan w:val="4"/>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钢筋及预埋件计算</w:t>
            </w:r>
          </w:p>
        </w:tc>
        <w:tc>
          <w:tcPr>
            <w:tcW w:w="326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依据施工图纸、设计标准和施工操作规程计算或审核钢筋（或铁件）重量，提供完整的钢筋（或铁件）重量计算明细表、汇总表或审核报告</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按实际钢筋使用量</w:t>
            </w:r>
          </w:p>
        </w:tc>
        <w:tc>
          <w:tcPr>
            <w:tcW w:w="5387" w:type="dxa"/>
            <w:gridSpan w:val="6"/>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12</w:t>
            </w:r>
            <w:r>
              <w:rPr>
                <w:rFonts w:hint="eastAsia" w:hAnsi="宋体" w:cs="宋体"/>
                <w:color w:val="auto"/>
                <w:sz w:val="18"/>
                <w:szCs w:val="18"/>
              </w:rPr>
              <w:t>元</w:t>
            </w:r>
            <w:r>
              <w:rPr>
                <w:rFonts w:hAnsi="宋体" w:cs="宋体"/>
                <w:color w:val="auto"/>
                <w:sz w:val="18"/>
                <w:szCs w:val="18"/>
              </w:rPr>
              <w:t>/</w:t>
            </w:r>
            <w:r>
              <w:rPr>
                <w:rFonts w:hint="eastAsia" w:hAnsi="宋体" w:cs="宋体"/>
                <w:color w:val="auto"/>
                <w:sz w:val="18"/>
                <w:szCs w:val="18"/>
              </w:rPr>
              <w:t>吨</w:t>
            </w:r>
          </w:p>
        </w:tc>
        <w:tc>
          <w:tcPr>
            <w:tcW w:w="720" w:type="dxa"/>
            <w:tcBorders>
              <w:top w:val="single" w:color="auto" w:sz="4" w:space="0"/>
              <w:bottom w:val="single" w:color="auto" w:sz="4" w:space="0"/>
              <w:right w:val="single" w:color="auto" w:sz="4" w:space="0"/>
            </w:tcBorders>
            <w:shd w:val="clear" w:color="auto" w:fill="auto"/>
            <w:noWrap w:val="0"/>
            <w:vAlign w:val="top"/>
          </w:tcPr>
          <w:p>
            <w:pPr>
              <w:widowControl/>
              <w:jc w:val="left"/>
              <w:rPr>
                <w:color w:val="auto"/>
              </w:rPr>
            </w:pPr>
          </w:p>
        </w:tc>
      </w:tr>
      <w:tr>
        <w:tblPrEx>
          <w:tblCellMar>
            <w:top w:w="0" w:type="dxa"/>
            <w:left w:w="15" w:type="dxa"/>
            <w:bottom w:w="0" w:type="dxa"/>
            <w:right w:w="15" w:type="dxa"/>
          </w:tblCellMar>
        </w:tblPrEx>
        <w:trPr>
          <w:trHeight w:val="1170" w:hRule="atLeast"/>
        </w:trPr>
        <w:tc>
          <w:tcPr>
            <w:tcW w:w="441"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Ansi="宋体" w:cs="宋体"/>
                <w:color w:val="auto"/>
                <w:sz w:val="18"/>
                <w:szCs w:val="18"/>
              </w:rPr>
              <w:t>9</w:t>
            </w:r>
          </w:p>
        </w:tc>
        <w:tc>
          <w:tcPr>
            <w:tcW w:w="2409" w:type="dxa"/>
            <w:gridSpan w:val="4"/>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工程造价咨询工日收费标准</w:t>
            </w:r>
          </w:p>
        </w:tc>
        <w:tc>
          <w:tcPr>
            <w:tcW w:w="3261"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受委托派出专业人员从事工程造价咨询服务</w:t>
            </w:r>
          </w:p>
        </w:tc>
        <w:tc>
          <w:tcPr>
            <w:tcW w:w="1842" w:type="dxa"/>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jc w:val="center"/>
              <w:textAlignment w:val="center"/>
              <w:rPr>
                <w:rFonts w:hAnsi="宋体" w:cs="宋体"/>
                <w:color w:val="auto"/>
                <w:sz w:val="18"/>
                <w:szCs w:val="18"/>
              </w:rPr>
            </w:pPr>
            <w:r>
              <w:rPr>
                <w:rFonts w:hint="eastAsia" w:hAnsi="宋体" w:cs="宋体"/>
                <w:color w:val="auto"/>
                <w:sz w:val="18"/>
                <w:szCs w:val="18"/>
              </w:rPr>
              <w:t>工时</w:t>
            </w:r>
          </w:p>
        </w:tc>
        <w:tc>
          <w:tcPr>
            <w:tcW w:w="5387" w:type="dxa"/>
            <w:gridSpan w:val="6"/>
            <w:tcBorders>
              <w:top w:val="single" w:color="000000" w:sz="4" w:space="0"/>
              <w:left w:val="single" w:color="000000" w:sz="4" w:space="0"/>
              <w:bottom w:val="single" w:color="auto" w:sz="4" w:space="0"/>
              <w:right w:val="single" w:color="000000" w:sz="4" w:space="0"/>
            </w:tcBorders>
            <w:shd w:val="clear" w:color="auto" w:fill="auto"/>
            <w:noWrap w:val="0"/>
            <w:vAlign w:val="center"/>
          </w:tcPr>
          <w:p>
            <w:pPr>
              <w:spacing w:line="360" w:lineRule="auto"/>
              <w:textAlignment w:val="center"/>
              <w:rPr>
                <w:rFonts w:hAnsi="宋体" w:cs="宋体"/>
                <w:color w:val="auto"/>
                <w:sz w:val="18"/>
                <w:szCs w:val="18"/>
              </w:rPr>
            </w:pPr>
            <w:r>
              <w:rPr>
                <w:rFonts w:hint="eastAsia" w:hAnsi="宋体" w:cs="宋体"/>
                <w:color w:val="auto"/>
                <w:sz w:val="18"/>
                <w:szCs w:val="18"/>
              </w:rPr>
              <w:t>具有高级工程师职称的注册造价师：</w:t>
            </w:r>
            <w:r>
              <w:rPr>
                <w:rFonts w:hAnsi="宋体" w:cs="宋体"/>
                <w:color w:val="auto"/>
                <w:sz w:val="18"/>
                <w:szCs w:val="18"/>
              </w:rPr>
              <w:t>190</w:t>
            </w:r>
            <w:r>
              <w:rPr>
                <w:rFonts w:hint="eastAsia" w:hAnsi="宋体" w:cs="宋体"/>
                <w:color w:val="auto"/>
                <w:sz w:val="18"/>
                <w:szCs w:val="18"/>
              </w:rPr>
              <w:t>元</w:t>
            </w:r>
            <w:r>
              <w:rPr>
                <w:rFonts w:hAnsi="宋体" w:cs="宋体"/>
                <w:color w:val="auto"/>
                <w:sz w:val="18"/>
                <w:szCs w:val="18"/>
              </w:rPr>
              <w:t>/</w:t>
            </w:r>
            <w:r>
              <w:rPr>
                <w:rFonts w:hint="eastAsia" w:hAnsi="宋体" w:cs="宋体"/>
                <w:color w:val="auto"/>
                <w:sz w:val="18"/>
                <w:szCs w:val="18"/>
              </w:rPr>
              <w:t>人·工作小时；注册造价师或高级职称的咨询人员：</w:t>
            </w:r>
            <w:r>
              <w:rPr>
                <w:rFonts w:hAnsi="宋体" w:cs="宋体"/>
                <w:color w:val="auto"/>
                <w:sz w:val="18"/>
                <w:szCs w:val="18"/>
              </w:rPr>
              <w:t>150</w:t>
            </w:r>
            <w:r>
              <w:rPr>
                <w:rFonts w:hint="eastAsia" w:hAnsi="宋体" w:cs="宋体"/>
                <w:color w:val="auto"/>
                <w:sz w:val="18"/>
                <w:szCs w:val="18"/>
              </w:rPr>
              <w:t>元</w:t>
            </w:r>
            <w:r>
              <w:rPr>
                <w:rFonts w:hAnsi="宋体" w:cs="宋体"/>
                <w:color w:val="auto"/>
                <w:sz w:val="18"/>
                <w:szCs w:val="18"/>
              </w:rPr>
              <w:t>/</w:t>
            </w:r>
            <w:r>
              <w:rPr>
                <w:rFonts w:hint="eastAsia" w:hAnsi="宋体" w:cs="宋体"/>
                <w:color w:val="auto"/>
                <w:sz w:val="18"/>
                <w:szCs w:val="18"/>
              </w:rPr>
              <w:t>人·工作小时；工程造价中级资格专业人员：</w:t>
            </w:r>
            <w:r>
              <w:rPr>
                <w:rFonts w:hAnsi="宋体" w:cs="宋体"/>
                <w:color w:val="auto"/>
                <w:sz w:val="18"/>
                <w:szCs w:val="18"/>
              </w:rPr>
              <w:t>100</w:t>
            </w:r>
            <w:r>
              <w:rPr>
                <w:rFonts w:hint="eastAsia" w:hAnsi="宋体" w:cs="宋体"/>
                <w:color w:val="auto"/>
                <w:sz w:val="18"/>
                <w:szCs w:val="18"/>
              </w:rPr>
              <w:t>元</w:t>
            </w:r>
            <w:r>
              <w:rPr>
                <w:rFonts w:hAnsi="宋体" w:cs="宋体"/>
                <w:color w:val="auto"/>
                <w:sz w:val="18"/>
                <w:szCs w:val="18"/>
              </w:rPr>
              <w:t>/</w:t>
            </w:r>
            <w:r>
              <w:rPr>
                <w:rFonts w:hint="eastAsia" w:hAnsi="宋体" w:cs="宋体"/>
                <w:color w:val="auto"/>
                <w:sz w:val="18"/>
                <w:szCs w:val="18"/>
              </w:rPr>
              <w:t>人·工作小时；工程造价初级资格专业人员：</w:t>
            </w:r>
            <w:r>
              <w:rPr>
                <w:rFonts w:hAnsi="宋体" w:cs="宋体"/>
                <w:color w:val="auto"/>
                <w:sz w:val="18"/>
                <w:szCs w:val="18"/>
              </w:rPr>
              <w:t>60</w:t>
            </w:r>
            <w:r>
              <w:rPr>
                <w:rFonts w:hint="eastAsia" w:hAnsi="宋体" w:cs="宋体"/>
                <w:color w:val="auto"/>
                <w:sz w:val="18"/>
                <w:szCs w:val="18"/>
              </w:rPr>
              <w:t>元</w:t>
            </w:r>
            <w:r>
              <w:rPr>
                <w:rFonts w:hAnsi="宋体" w:cs="宋体"/>
                <w:color w:val="auto"/>
                <w:sz w:val="18"/>
                <w:szCs w:val="18"/>
              </w:rPr>
              <w:t>/</w:t>
            </w:r>
            <w:r>
              <w:rPr>
                <w:rFonts w:hint="eastAsia" w:hAnsi="宋体" w:cs="宋体"/>
                <w:color w:val="auto"/>
                <w:sz w:val="18"/>
                <w:szCs w:val="18"/>
              </w:rPr>
              <w:t>人·工作小时</w:t>
            </w:r>
          </w:p>
        </w:tc>
        <w:tc>
          <w:tcPr>
            <w:tcW w:w="720" w:type="dxa"/>
            <w:tcBorders>
              <w:top w:val="single" w:color="auto" w:sz="4" w:space="0"/>
              <w:bottom w:val="single" w:color="auto" w:sz="4" w:space="0"/>
              <w:right w:val="single" w:color="auto" w:sz="4" w:space="0"/>
            </w:tcBorders>
            <w:shd w:val="clear" w:color="auto" w:fill="auto"/>
            <w:noWrap w:val="0"/>
            <w:vAlign w:val="top"/>
          </w:tcPr>
          <w:p>
            <w:pPr>
              <w:widowControl/>
              <w:jc w:val="left"/>
              <w:rPr>
                <w:color w:val="auto"/>
              </w:rPr>
            </w:pPr>
          </w:p>
        </w:tc>
      </w:tr>
    </w:tbl>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注：</w:t>
      </w:r>
      <w:r>
        <w:rPr>
          <w:rFonts w:hAnsi="宋体" w:cs="宋体"/>
          <w:b/>
          <w:bCs/>
          <w:color w:val="auto"/>
          <w:sz w:val="18"/>
          <w:szCs w:val="18"/>
        </w:rPr>
        <w:t xml:space="preserve"> </w:t>
      </w:r>
    </w:p>
    <w:p>
      <w:pPr>
        <w:spacing w:line="360" w:lineRule="auto"/>
        <w:ind w:firstLine="361" w:firstLineChars="200"/>
        <w:textAlignment w:val="center"/>
        <w:rPr>
          <w:rFonts w:hAnsi="宋体" w:cs="宋体"/>
          <w:b/>
          <w:bCs/>
          <w:color w:val="auto"/>
          <w:sz w:val="18"/>
          <w:szCs w:val="18"/>
        </w:rPr>
      </w:pPr>
      <w:r>
        <w:rPr>
          <w:rFonts w:hAnsi="宋体" w:cs="宋体"/>
          <w:b/>
          <w:bCs/>
          <w:color w:val="auto"/>
          <w:sz w:val="18"/>
          <w:szCs w:val="18"/>
        </w:rPr>
        <w:t>1.</w:t>
      </w:r>
      <w:r>
        <w:rPr>
          <w:rFonts w:hint="eastAsia"/>
          <w:color w:val="auto"/>
        </w:rPr>
        <w:t xml:space="preserve"> </w:t>
      </w:r>
      <w:r>
        <w:rPr>
          <w:rFonts w:hint="eastAsia" w:hAnsi="宋体" w:cs="宋体"/>
          <w:b/>
          <w:bCs/>
          <w:color w:val="auto"/>
          <w:sz w:val="18"/>
          <w:szCs w:val="18"/>
        </w:rPr>
        <w:t>本计费标准均未考虑各咨询人的投标下浮</w:t>
      </w:r>
      <w:r>
        <w:rPr>
          <w:rFonts w:hint="eastAsia"/>
          <w:color w:val="auto"/>
          <w:lang w:eastAsia="zh-CN"/>
        </w:rPr>
        <w:t>，</w:t>
      </w:r>
      <w:r>
        <w:rPr>
          <w:rFonts w:hint="eastAsia" w:hAnsi="宋体" w:cs="宋体"/>
          <w:b/>
          <w:bCs/>
          <w:color w:val="auto"/>
          <w:sz w:val="18"/>
          <w:szCs w:val="18"/>
        </w:rPr>
        <w:t>具体的咨询服务费用按本计费标准固定下浮</w:t>
      </w:r>
      <w:r>
        <w:rPr>
          <w:rFonts w:hint="eastAsia" w:hAnsi="宋体" w:cs="宋体"/>
          <w:b/>
          <w:bCs/>
          <w:color w:val="auto"/>
          <w:sz w:val="18"/>
          <w:szCs w:val="18"/>
          <w:lang w:val="zh-CN"/>
        </w:rPr>
        <w:t>计算</w:t>
      </w:r>
      <w:r>
        <w:rPr>
          <w:rFonts w:hint="eastAsia" w:hAnsi="宋体" w:cs="宋体"/>
          <w:b/>
          <w:bCs/>
          <w:color w:val="auto"/>
          <w:sz w:val="18"/>
          <w:szCs w:val="18"/>
        </w:rPr>
        <w:t>。</w:t>
      </w:r>
    </w:p>
    <w:p>
      <w:pPr>
        <w:spacing w:line="360" w:lineRule="auto"/>
        <w:ind w:firstLine="361" w:firstLineChars="200"/>
        <w:textAlignment w:val="center"/>
        <w:rPr>
          <w:rFonts w:hAnsi="宋体" w:cs="宋体"/>
          <w:b/>
          <w:bCs/>
          <w:color w:val="auto"/>
          <w:sz w:val="18"/>
          <w:szCs w:val="18"/>
        </w:rPr>
      </w:pPr>
      <w:r>
        <w:rPr>
          <w:rFonts w:hAnsi="宋体" w:cs="宋体"/>
          <w:b/>
          <w:bCs/>
          <w:color w:val="auto"/>
          <w:sz w:val="18"/>
          <w:szCs w:val="18"/>
        </w:rPr>
        <w:t>2.</w:t>
      </w:r>
      <w:r>
        <w:rPr>
          <w:rFonts w:hint="eastAsia"/>
          <w:color w:val="auto"/>
        </w:rPr>
        <w:t xml:space="preserve"> </w:t>
      </w:r>
      <w:r>
        <w:rPr>
          <w:rFonts w:hint="eastAsia" w:hAnsi="宋体" w:cs="宋体"/>
          <w:b/>
          <w:bCs/>
          <w:color w:val="auto"/>
          <w:sz w:val="18"/>
          <w:szCs w:val="18"/>
        </w:rPr>
        <w:t>计算咨询服务费用时，以单独出具的成果文件为独立核算单位。对一个造价咨询合同含有多个成果文件的，计算咨询服务费时，以单独出具的成果文件为独立核算单位。每项单独成果文件出具后，可根据该项单独成果文件。</w:t>
      </w:r>
    </w:p>
    <w:p>
      <w:pPr>
        <w:spacing w:line="360" w:lineRule="auto"/>
        <w:ind w:firstLine="361" w:firstLineChars="200"/>
        <w:textAlignment w:val="center"/>
        <w:rPr>
          <w:rFonts w:hAnsi="宋体" w:cs="宋体"/>
          <w:b/>
          <w:bCs/>
          <w:color w:val="auto"/>
          <w:sz w:val="18"/>
          <w:szCs w:val="18"/>
        </w:rPr>
      </w:pPr>
      <w:r>
        <w:rPr>
          <w:rFonts w:hAnsi="宋体" w:cs="宋体"/>
          <w:b/>
          <w:bCs/>
          <w:color w:val="auto"/>
          <w:sz w:val="18"/>
          <w:szCs w:val="18"/>
        </w:rPr>
        <w:t>3.</w:t>
      </w:r>
      <w:r>
        <w:rPr>
          <w:rFonts w:hint="eastAsia" w:hAnsi="宋体" w:cs="宋体"/>
          <w:b/>
          <w:bCs/>
          <w:color w:val="auto"/>
          <w:sz w:val="18"/>
          <w:szCs w:val="18"/>
        </w:rPr>
        <w:t xml:space="preserve"> 公路、港口及水利工程预算、招标控制价（含工程量清单）的编制费按定额计价法收费标准计费。公路、港口及水利工程预算、招标控制价（含工程量清单）的审核按照编制费乘以</w:t>
      </w:r>
      <w:r>
        <w:rPr>
          <w:rFonts w:hAnsi="宋体" w:cs="宋体"/>
          <w:b/>
          <w:bCs/>
          <w:color w:val="auto"/>
          <w:sz w:val="18"/>
          <w:szCs w:val="18"/>
        </w:rPr>
        <w:t xml:space="preserve">0.9 </w:t>
      </w:r>
      <w:r>
        <w:rPr>
          <w:rFonts w:hint="eastAsia" w:hAnsi="宋体" w:cs="宋体"/>
          <w:b/>
          <w:bCs/>
          <w:color w:val="auto"/>
          <w:sz w:val="18"/>
          <w:szCs w:val="18"/>
        </w:rPr>
        <w:t>系数计算。</w:t>
      </w:r>
    </w:p>
    <w:p>
      <w:pPr>
        <w:spacing w:line="360" w:lineRule="auto"/>
        <w:ind w:firstLine="361" w:firstLineChars="200"/>
        <w:textAlignment w:val="center"/>
        <w:rPr>
          <w:rFonts w:hAnsi="宋体" w:cs="宋体"/>
          <w:b/>
          <w:bCs/>
          <w:color w:val="auto"/>
          <w:sz w:val="18"/>
          <w:szCs w:val="18"/>
        </w:rPr>
      </w:pPr>
      <w:r>
        <w:rPr>
          <w:rFonts w:hAnsi="宋体" w:cs="宋体"/>
          <w:b/>
          <w:bCs/>
          <w:color w:val="auto"/>
          <w:sz w:val="18"/>
          <w:szCs w:val="18"/>
        </w:rPr>
        <w:t>4.</w:t>
      </w:r>
      <w:r>
        <w:rPr>
          <w:rFonts w:hint="eastAsia" w:hAnsi="宋体" w:cs="宋体"/>
          <w:b/>
          <w:bCs/>
          <w:color w:val="auto"/>
          <w:sz w:val="18"/>
          <w:szCs w:val="18"/>
        </w:rPr>
        <w:t xml:space="preserve"> 建设工程项目（包括房屋建筑、市政工程、园林绿化、安装工程、城市轨道交通）招标控制价（含工程量清单）编制费按单独编制预算收费标准的60%和单独编制工程量清单收费标准两项相加计算，其他情况预算编制费按照定额计价法收费标准计费。上述工程招标控制价（含工程量清单）、预算审核费按照相对应的编制费乘以0.9的系数计算。另外房屋建筑抽钢筋费另计。</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5.</w:t>
      </w:r>
      <w:r>
        <w:rPr>
          <w:rFonts w:hint="eastAsia"/>
          <w:color w:val="auto"/>
        </w:rPr>
        <w:t xml:space="preserve"> </w:t>
      </w:r>
      <w:r>
        <w:rPr>
          <w:rFonts w:hint="eastAsia" w:hAnsi="宋体" w:cs="宋体"/>
          <w:b/>
          <w:bCs/>
          <w:color w:val="auto"/>
          <w:sz w:val="18"/>
          <w:szCs w:val="18"/>
        </w:rPr>
        <w:t>实行驻场审核项目的收费标准按本计费标准乘以1.20 系数计算。</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6.</w:t>
      </w:r>
      <w:r>
        <w:rPr>
          <w:rFonts w:hint="eastAsia"/>
          <w:color w:val="auto"/>
        </w:rPr>
        <w:t xml:space="preserve"> </w:t>
      </w:r>
      <w:r>
        <w:rPr>
          <w:rFonts w:hint="eastAsia" w:hAnsi="宋体" w:cs="宋体"/>
          <w:b/>
          <w:bCs/>
          <w:color w:val="auto"/>
          <w:sz w:val="18"/>
          <w:szCs w:val="18"/>
        </w:rPr>
        <w:t>除房屋建筑外，以上编审预、结算的咨询费用已含编审项目的抽审钢筋实际用量的费用。</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7.</w:t>
      </w:r>
      <w:r>
        <w:rPr>
          <w:rFonts w:hint="eastAsia" w:ascii="仿宋" w:eastAsia="仿宋" w:cs="仿宋"/>
          <w:color w:val="auto"/>
          <w:kern w:val="0"/>
          <w:sz w:val="28"/>
          <w:szCs w:val="28"/>
        </w:rPr>
        <w:t xml:space="preserve"> </w:t>
      </w:r>
      <w:r>
        <w:rPr>
          <w:rFonts w:hint="eastAsia" w:hAnsi="宋体" w:cs="宋体"/>
          <w:b/>
          <w:bCs/>
          <w:color w:val="auto"/>
          <w:sz w:val="18"/>
          <w:szCs w:val="18"/>
        </w:rPr>
        <w:t>根据委托，同一咨询人对同一项目的概算及预算（最高报价值）进行编制或审核的，则按以下原则计算：</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w:t>
      </w:r>
      <w:r>
        <w:rPr>
          <w:rFonts w:hAnsi="宋体" w:cs="宋体"/>
          <w:b/>
          <w:bCs/>
          <w:color w:val="auto"/>
          <w:sz w:val="18"/>
          <w:szCs w:val="18"/>
        </w:rPr>
        <w:t>1</w:t>
      </w:r>
      <w:r>
        <w:rPr>
          <w:rFonts w:hint="eastAsia" w:hAnsi="宋体" w:cs="宋体"/>
          <w:b/>
          <w:bCs/>
          <w:color w:val="auto"/>
          <w:sz w:val="18"/>
          <w:szCs w:val="18"/>
        </w:rPr>
        <w:t>）如第一次委托编审概算，第二次委托编审预算（最高报价值）的，则第一次委托的费用按其相应类型及对应的成果文件计算费用，第二次委托的费用按其第二次委托相应类型及对应的成果文件计算</w:t>
      </w:r>
      <w:r>
        <w:rPr>
          <w:rFonts w:hAnsi="宋体" w:cs="宋体"/>
          <w:b/>
          <w:bCs/>
          <w:color w:val="auto"/>
          <w:sz w:val="18"/>
          <w:szCs w:val="18"/>
        </w:rPr>
        <w:t>60%</w:t>
      </w:r>
      <w:r>
        <w:rPr>
          <w:rFonts w:hint="eastAsia" w:hAnsi="宋体" w:cs="宋体"/>
          <w:b/>
          <w:bCs/>
          <w:color w:val="auto"/>
          <w:sz w:val="18"/>
          <w:szCs w:val="18"/>
        </w:rPr>
        <w:t>的咨询费用。</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w:t>
      </w:r>
      <w:r>
        <w:rPr>
          <w:rFonts w:hAnsi="宋体" w:cs="宋体"/>
          <w:b/>
          <w:bCs/>
          <w:color w:val="auto"/>
          <w:sz w:val="18"/>
          <w:szCs w:val="18"/>
        </w:rPr>
        <w:t>2</w:t>
      </w:r>
      <w:r>
        <w:rPr>
          <w:rFonts w:hint="eastAsia" w:hAnsi="宋体" w:cs="宋体"/>
          <w:b/>
          <w:bCs/>
          <w:color w:val="auto"/>
          <w:sz w:val="18"/>
          <w:szCs w:val="18"/>
        </w:rPr>
        <w:t>）如同时委托编审概算及预算（投标控制价）的，则按预算咨询费的</w:t>
      </w:r>
      <w:r>
        <w:rPr>
          <w:rFonts w:hAnsi="宋体" w:cs="宋体"/>
          <w:b/>
          <w:bCs/>
          <w:color w:val="auto"/>
          <w:sz w:val="18"/>
          <w:szCs w:val="18"/>
        </w:rPr>
        <w:t>120%</w:t>
      </w:r>
      <w:r>
        <w:rPr>
          <w:rFonts w:hint="eastAsia" w:hAnsi="宋体" w:cs="宋体"/>
          <w:b/>
          <w:bCs/>
          <w:color w:val="auto"/>
          <w:sz w:val="18"/>
          <w:szCs w:val="18"/>
        </w:rPr>
        <w:t>的计算。</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（3）如第二次委托编审预算（最高报价值）的范围与第一次委托编审概算的范围明显不同的，则第二次委托与第一次委托不同范围部分按其相应类型及对应的造价计算额外的咨询费用。</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8.</w:t>
      </w:r>
      <w:r>
        <w:rPr>
          <w:rFonts w:hint="eastAsia"/>
          <w:color w:val="auto"/>
        </w:rPr>
        <w:t xml:space="preserve"> </w:t>
      </w:r>
      <w:r>
        <w:rPr>
          <w:rFonts w:hint="eastAsia" w:hAnsi="宋体" w:cs="宋体"/>
          <w:b/>
          <w:bCs/>
          <w:color w:val="auto"/>
          <w:sz w:val="18"/>
          <w:szCs w:val="18"/>
        </w:rPr>
        <w:t>属于结算二次审核的项目，咨询费按本计费标准乘以1.20 系数计算。</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9.</w:t>
      </w:r>
      <w:r>
        <w:rPr>
          <w:rFonts w:hint="eastAsia"/>
          <w:color w:val="auto"/>
        </w:rPr>
        <w:t xml:space="preserve"> </w:t>
      </w:r>
      <w:r>
        <w:rPr>
          <w:rFonts w:hint="eastAsia" w:hAnsi="宋体" w:cs="宋体"/>
          <w:b/>
          <w:bCs/>
          <w:color w:val="auto"/>
          <w:sz w:val="18"/>
          <w:szCs w:val="18"/>
        </w:rPr>
        <w:t>变更工程预算编制可委托原项目预算编制单位编制，咨询费参照编制预算的计费标准计算。</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10.</w:t>
      </w:r>
      <w:r>
        <w:rPr>
          <w:rFonts w:hint="eastAsia"/>
          <w:color w:val="auto"/>
        </w:rPr>
        <w:t xml:space="preserve"> </w:t>
      </w:r>
      <w:r>
        <w:rPr>
          <w:rFonts w:hint="eastAsia" w:hAnsi="宋体" w:cs="宋体"/>
          <w:b/>
          <w:bCs/>
          <w:color w:val="auto"/>
          <w:sz w:val="18"/>
          <w:szCs w:val="18"/>
        </w:rPr>
        <w:t>工程结算审核，基本收费基数为审定金额。审定金额的意义：总价合同方式条件下，审定金额指审定的变更增加工程造价及变更减少工程造价绝对值之和；单价合同方式条件下，审定金额指审定工程结算总造价。另外,效益收费的基数为净核减（或净核增）。</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11.</w:t>
      </w:r>
      <w:r>
        <w:rPr>
          <w:rFonts w:hint="eastAsia"/>
          <w:color w:val="auto"/>
        </w:rPr>
        <w:t xml:space="preserve"> </w:t>
      </w:r>
      <w:r>
        <w:rPr>
          <w:rFonts w:hint="eastAsia" w:hAnsi="宋体" w:cs="宋体"/>
          <w:b/>
          <w:bCs/>
          <w:color w:val="auto"/>
          <w:sz w:val="18"/>
          <w:szCs w:val="18"/>
        </w:rPr>
        <w:t>工程结算编制，收费基数“结算价”的定义,在总价合同方式条件下，“结算价”指编制的变更增加工程造价及变更减少工程造价绝对值之和；单价合同方式条件下，“结算价”指编制的工程结算总造价。</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12.</w:t>
      </w:r>
      <w:r>
        <w:rPr>
          <w:rFonts w:hint="eastAsia"/>
          <w:color w:val="auto"/>
        </w:rPr>
        <w:t xml:space="preserve"> </w:t>
      </w:r>
      <w:r>
        <w:rPr>
          <w:rFonts w:hint="eastAsia" w:hAnsi="宋体" w:cs="宋体"/>
          <w:b/>
          <w:bCs/>
          <w:color w:val="auto"/>
          <w:sz w:val="18"/>
          <w:szCs w:val="18"/>
        </w:rPr>
        <w:t>收费不足1600 元的，按1600 元计收。</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13.</w:t>
      </w:r>
      <w:r>
        <w:rPr>
          <w:rFonts w:hint="eastAsia"/>
          <w:color w:val="auto"/>
        </w:rPr>
        <w:t xml:space="preserve"> </w:t>
      </w:r>
      <w:r>
        <w:rPr>
          <w:rFonts w:hint="eastAsia" w:hAnsi="宋体" w:cs="宋体"/>
          <w:b/>
          <w:bCs/>
          <w:color w:val="auto"/>
          <w:sz w:val="18"/>
          <w:szCs w:val="18"/>
        </w:rPr>
        <w:t>特殊项目的收费标准另行商议。</w:t>
      </w:r>
    </w:p>
    <w:p>
      <w:pPr>
        <w:spacing w:line="360" w:lineRule="auto"/>
        <w:ind w:firstLine="361" w:firstLineChars="200"/>
        <w:textAlignment w:val="center"/>
        <w:rPr>
          <w:rFonts w:hAnsi="宋体" w:cs="宋体"/>
          <w:b/>
          <w:bCs/>
          <w:color w:val="auto"/>
          <w:sz w:val="18"/>
          <w:szCs w:val="18"/>
        </w:rPr>
      </w:pPr>
      <w:r>
        <w:rPr>
          <w:rFonts w:hint="eastAsia" w:hAnsi="宋体" w:cs="宋体"/>
          <w:b/>
          <w:bCs/>
          <w:color w:val="auto"/>
          <w:sz w:val="18"/>
          <w:szCs w:val="18"/>
        </w:rPr>
        <w:t>14.</w:t>
      </w:r>
      <w:r>
        <w:rPr>
          <w:rFonts w:hint="eastAsia"/>
          <w:color w:val="auto"/>
        </w:rPr>
        <w:t xml:space="preserve"> </w:t>
      </w:r>
      <w:r>
        <w:rPr>
          <w:rFonts w:hint="eastAsia" w:hAnsi="宋体" w:cs="宋体"/>
          <w:b/>
          <w:bCs/>
          <w:color w:val="auto"/>
          <w:sz w:val="18"/>
          <w:szCs w:val="18"/>
        </w:rPr>
        <w:t>按以上内容计算咨询费后，不另行计算其他一切费用（如现场查勘、外出考察、外聘专家等）。</w:t>
      </w:r>
    </w:p>
    <w:p>
      <w:pPr>
        <w:spacing w:line="360" w:lineRule="auto"/>
        <w:ind w:firstLine="361" w:firstLineChars="200"/>
        <w:textAlignment w:val="center"/>
        <w:rPr>
          <w:rFonts w:hint="eastAsia" w:hAnsi="宋体" w:cs="宋体"/>
          <w:b/>
          <w:bCs/>
          <w:color w:val="auto"/>
          <w:sz w:val="18"/>
          <w:szCs w:val="18"/>
        </w:rPr>
        <w:sectPr>
          <w:type w:val="continuous"/>
          <w:pgSz w:w="16838" w:h="11906" w:orient="landscape"/>
          <w:pgMar w:top="1800" w:right="1440" w:bottom="1800" w:left="144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r>
        <w:rPr>
          <w:rFonts w:hint="eastAsia" w:hAnsi="宋体" w:cs="宋体"/>
          <w:b/>
          <w:bCs/>
          <w:color w:val="auto"/>
          <w:sz w:val="18"/>
          <w:szCs w:val="18"/>
        </w:rPr>
        <w:t>15. 以上咨询费为含税金额</w:t>
      </w:r>
    </w:p>
    <w:p>
      <w:pPr>
        <w:pStyle w:val="7"/>
        <w:ind w:left="0" w:leftChars="0" w:firstLine="0" w:firstLineChars="0"/>
        <w:rPr>
          <w:rFonts w:hint="eastAsia"/>
          <w:color w:val="auto"/>
        </w:rPr>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spacing w:line="360" w:lineRule="auto"/>
        <w:jc w:val="center"/>
        <w:outlineLvl w:val="3"/>
        <w:rPr>
          <w:rFonts w:hint="eastAsia" w:ascii="宋体" w:hAnsi="宋体"/>
          <w:b/>
          <w:bCs/>
          <w:color w:val="auto"/>
          <w:sz w:val="24"/>
          <w:szCs w:val="24"/>
          <w:highlight w:val="none"/>
          <w:lang w:val="zh-CN"/>
        </w:rPr>
      </w:pPr>
      <w:bookmarkStart w:id="185" w:name="_Toc12014"/>
      <w:r>
        <w:rPr>
          <w:rFonts w:hint="eastAsia" w:ascii="宋体" w:hAnsi="宋体"/>
          <w:b/>
          <w:bCs/>
          <w:color w:val="auto"/>
          <w:sz w:val="24"/>
          <w:szCs w:val="24"/>
          <w:highlight w:val="none"/>
          <w:lang w:val="zh-CN"/>
        </w:rPr>
        <w:t>附</w:t>
      </w:r>
      <w:r>
        <w:rPr>
          <w:rFonts w:hint="eastAsia" w:ascii="宋体" w:hAnsi="宋体"/>
          <w:b/>
          <w:bCs/>
          <w:color w:val="auto"/>
          <w:sz w:val="24"/>
          <w:szCs w:val="24"/>
          <w:highlight w:val="none"/>
          <w:lang w:val="en-US" w:eastAsia="zh-CN"/>
        </w:rPr>
        <w:t>件2</w:t>
      </w:r>
      <w:r>
        <w:rPr>
          <w:rFonts w:hint="eastAsia" w:ascii="宋体" w:hAnsi="宋体"/>
          <w:b/>
          <w:bCs/>
          <w:color w:val="auto"/>
          <w:sz w:val="24"/>
          <w:szCs w:val="24"/>
          <w:highlight w:val="none"/>
          <w:lang w:val="zh-CN"/>
        </w:rPr>
        <w:t>：建设单位咨询项目评价意见表</w:t>
      </w:r>
    </w:p>
    <w:p>
      <w:pPr>
        <w:spacing w:line="360" w:lineRule="auto"/>
        <w:rPr>
          <w:rFonts w:ascii="宋体" w:hAnsi="宋体"/>
          <w:color w:val="auto"/>
          <w:szCs w:val="21"/>
        </w:rPr>
      </w:pPr>
      <w:r>
        <w:rPr>
          <w:rFonts w:hint="eastAsia" w:ascii="宋体" w:hAnsi="宋体"/>
          <w:color w:val="auto"/>
          <w:szCs w:val="21"/>
        </w:rPr>
        <w:t xml:space="preserve">项目名称：                        服务单位：                    经办人员：     </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3519"/>
        <w:gridCol w:w="781"/>
        <w:gridCol w:w="1370"/>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3121" w:type="pct"/>
            <w:gridSpan w:val="2"/>
            <w:noWrap w:val="0"/>
            <w:vAlign w:val="center"/>
          </w:tcPr>
          <w:p>
            <w:pPr>
              <w:jc w:val="center"/>
              <w:rPr>
                <w:rFonts w:ascii="宋体" w:hAnsi="宋体"/>
                <w:color w:val="auto"/>
                <w:szCs w:val="21"/>
              </w:rPr>
            </w:pPr>
            <w:r>
              <w:rPr>
                <w:rFonts w:hint="eastAsia" w:ascii="宋体" w:hAnsi="宋体"/>
                <w:color w:val="auto"/>
                <w:szCs w:val="21"/>
              </w:rPr>
              <w:t>考核内容</w:t>
            </w:r>
          </w:p>
        </w:tc>
        <w:tc>
          <w:tcPr>
            <w:tcW w:w="458" w:type="pct"/>
            <w:noWrap w:val="0"/>
            <w:vAlign w:val="center"/>
          </w:tcPr>
          <w:p>
            <w:pPr>
              <w:jc w:val="center"/>
              <w:rPr>
                <w:rFonts w:ascii="宋体" w:hAnsi="宋体"/>
                <w:color w:val="auto"/>
                <w:szCs w:val="21"/>
              </w:rPr>
            </w:pPr>
            <w:r>
              <w:rPr>
                <w:rFonts w:hint="eastAsia" w:ascii="宋体" w:hAnsi="宋体"/>
                <w:color w:val="auto"/>
                <w:szCs w:val="21"/>
              </w:rPr>
              <w:t>评分标准</w:t>
            </w:r>
          </w:p>
        </w:tc>
        <w:tc>
          <w:tcPr>
            <w:tcW w:w="804" w:type="pct"/>
            <w:noWrap w:val="0"/>
            <w:vAlign w:val="center"/>
          </w:tcPr>
          <w:p>
            <w:pPr>
              <w:jc w:val="center"/>
              <w:rPr>
                <w:rFonts w:ascii="宋体" w:hAnsi="宋体"/>
                <w:color w:val="auto"/>
                <w:szCs w:val="21"/>
              </w:rPr>
            </w:pPr>
            <w:r>
              <w:rPr>
                <w:rFonts w:hint="eastAsia" w:ascii="宋体" w:hAnsi="宋体"/>
                <w:color w:val="auto"/>
                <w:szCs w:val="21"/>
              </w:rPr>
              <w:t>造价人员考核评分</w:t>
            </w:r>
          </w:p>
        </w:tc>
        <w:tc>
          <w:tcPr>
            <w:tcW w:w="615" w:type="pct"/>
            <w:noWrap w:val="0"/>
            <w:vAlign w:val="center"/>
          </w:tcPr>
          <w:p>
            <w:pPr>
              <w:jc w:val="center"/>
              <w:rPr>
                <w:rFonts w:ascii="宋体" w:hAnsi="宋体"/>
                <w:color w:val="auto"/>
                <w:szCs w:val="21"/>
              </w:rPr>
            </w:pPr>
            <w:r>
              <w:rPr>
                <w:rFonts w:hint="eastAsia" w:ascii="宋体" w:hAnsi="宋体"/>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56" w:type="pct"/>
            <w:vMerge w:val="restart"/>
            <w:noWrap w:val="0"/>
            <w:vAlign w:val="center"/>
          </w:tcPr>
          <w:p>
            <w:pPr>
              <w:jc w:val="center"/>
              <w:rPr>
                <w:rFonts w:hint="eastAsia" w:ascii="宋体" w:hAnsi="宋体"/>
                <w:color w:val="auto"/>
                <w:szCs w:val="21"/>
              </w:rPr>
            </w:pPr>
            <w:r>
              <w:rPr>
                <w:rFonts w:hint="eastAsia" w:ascii="宋体" w:hAnsi="宋体"/>
                <w:color w:val="auto"/>
                <w:szCs w:val="21"/>
              </w:rPr>
              <w:t>业务水平</w:t>
            </w:r>
          </w:p>
          <w:p>
            <w:pPr>
              <w:jc w:val="center"/>
              <w:rPr>
                <w:rFonts w:ascii="宋体" w:hAnsi="宋体"/>
                <w:color w:val="auto"/>
                <w:szCs w:val="21"/>
              </w:rPr>
            </w:pPr>
            <w:r>
              <w:rPr>
                <w:rFonts w:hint="eastAsia" w:ascii="宋体" w:hAnsi="宋体"/>
                <w:color w:val="auto"/>
                <w:szCs w:val="21"/>
              </w:rPr>
              <w:t>（25分）</w:t>
            </w:r>
          </w:p>
        </w:tc>
        <w:tc>
          <w:tcPr>
            <w:tcW w:w="2065" w:type="pct"/>
            <w:noWrap w:val="0"/>
            <w:vAlign w:val="top"/>
          </w:tcPr>
          <w:p>
            <w:pPr>
              <w:spacing w:line="360" w:lineRule="exact"/>
              <w:rPr>
                <w:rFonts w:ascii="宋体" w:hAnsi="宋体"/>
                <w:color w:val="auto"/>
                <w:szCs w:val="21"/>
              </w:rPr>
            </w:pPr>
            <w:r>
              <w:rPr>
                <w:rFonts w:hint="eastAsia" w:ascii="宋体" w:hAnsi="宋体"/>
                <w:color w:val="auto"/>
                <w:szCs w:val="21"/>
              </w:rPr>
              <w:t>项目配置的相应专业人员在建设局备案，且业务能力较强，熟练掌握相应专业计价规范</w:t>
            </w:r>
          </w:p>
        </w:tc>
        <w:tc>
          <w:tcPr>
            <w:tcW w:w="458" w:type="pct"/>
            <w:noWrap w:val="0"/>
            <w:vAlign w:val="center"/>
          </w:tcPr>
          <w:p>
            <w:pPr>
              <w:tabs>
                <w:tab w:val="left" w:pos="690"/>
              </w:tabs>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ascii="宋体" w:hAnsi="宋体"/>
                <w:color w:val="auto"/>
                <w:szCs w:val="21"/>
              </w:rPr>
            </w:pPr>
            <w:r>
              <w:rPr>
                <w:rFonts w:hint="eastAsia" w:ascii="宋体" w:hAnsi="宋体"/>
                <w:color w:val="auto"/>
                <w:szCs w:val="21"/>
              </w:rPr>
              <w:t>积极主动与委托人一起解决咨询问题的</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ascii="宋体" w:hAnsi="宋体"/>
                <w:color w:val="auto"/>
                <w:szCs w:val="21"/>
              </w:rPr>
            </w:pPr>
            <w:r>
              <w:rPr>
                <w:rFonts w:hint="eastAsia" w:ascii="宋体" w:hAnsi="宋体"/>
                <w:color w:val="auto"/>
                <w:szCs w:val="21"/>
              </w:rPr>
              <w:t>能积极主动提出优化设计方案以及加强项目管理的合理化建议的</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ascii="宋体" w:hAnsi="宋体"/>
                <w:color w:val="auto"/>
                <w:szCs w:val="21"/>
              </w:rPr>
            </w:pPr>
            <w:r>
              <w:rPr>
                <w:rFonts w:hint="eastAsia" w:ascii="宋体" w:hAnsi="宋体"/>
                <w:color w:val="auto"/>
                <w:szCs w:val="21"/>
              </w:rPr>
              <w:t>对项目所取用的技术、工艺、设备等比较了解的</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ascii="宋体" w:hAnsi="宋体"/>
                <w:color w:val="auto"/>
                <w:szCs w:val="21"/>
              </w:rPr>
            </w:pPr>
            <w:r>
              <w:rPr>
                <w:rFonts w:hint="eastAsia" w:ascii="宋体" w:hAnsi="宋体"/>
                <w:color w:val="auto"/>
                <w:szCs w:val="21"/>
              </w:rPr>
              <w:t>能开展市场调查，了解价格信息，对于非常规项目能作工料单价分析的</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056" w:type="pct"/>
            <w:vMerge w:val="restart"/>
            <w:noWrap w:val="0"/>
            <w:vAlign w:val="center"/>
          </w:tcPr>
          <w:p>
            <w:pPr>
              <w:jc w:val="center"/>
              <w:rPr>
                <w:rFonts w:ascii="宋体" w:hAnsi="宋体"/>
                <w:color w:val="auto"/>
                <w:szCs w:val="21"/>
              </w:rPr>
            </w:pPr>
            <w:r>
              <w:rPr>
                <w:rFonts w:hint="eastAsia" w:ascii="宋体" w:hAnsi="宋体"/>
                <w:color w:val="auto"/>
                <w:szCs w:val="21"/>
              </w:rPr>
              <w:t>服务配合满意度（25分）</w:t>
            </w:r>
          </w:p>
        </w:tc>
        <w:tc>
          <w:tcPr>
            <w:tcW w:w="2065" w:type="pct"/>
            <w:noWrap w:val="0"/>
            <w:vAlign w:val="center"/>
          </w:tcPr>
          <w:p>
            <w:pPr>
              <w:widowControl/>
              <w:spacing w:line="360" w:lineRule="exact"/>
              <w:jc w:val="left"/>
              <w:rPr>
                <w:rFonts w:hint="eastAsia" w:ascii="宋体" w:hAnsi="宋体"/>
                <w:color w:val="auto"/>
                <w:szCs w:val="21"/>
              </w:rPr>
            </w:pPr>
            <w:r>
              <w:rPr>
                <w:rFonts w:hint="eastAsia" w:ascii="宋体" w:hAnsi="宋体"/>
                <w:color w:val="auto"/>
                <w:szCs w:val="21"/>
              </w:rPr>
              <w:t>项目实施过程中成果文件出具的及时性</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hint="eastAsia" w:ascii="宋体" w:hAnsi="宋体"/>
                <w:color w:val="auto"/>
                <w:szCs w:val="21"/>
              </w:rPr>
            </w:pPr>
            <w:r>
              <w:rPr>
                <w:rFonts w:hint="eastAsia" w:ascii="宋体" w:hAnsi="宋体"/>
                <w:color w:val="auto"/>
                <w:szCs w:val="21"/>
              </w:rPr>
              <w:t>项目实施过程中成果文件定稿、盖章签字及提交的及时性</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hint="eastAsia" w:ascii="宋体" w:hAnsi="宋体"/>
                <w:color w:val="auto"/>
                <w:szCs w:val="21"/>
              </w:rPr>
            </w:pPr>
            <w:r>
              <w:rPr>
                <w:rFonts w:hint="eastAsia" w:ascii="宋体" w:hAnsi="宋体"/>
                <w:color w:val="auto"/>
                <w:szCs w:val="21"/>
              </w:rPr>
              <w:t>项目工作会议参会迟到早退的</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hint="eastAsia" w:ascii="宋体" w:hAnsi="宋体"/>
                <w:color w:val="auto"/>
                <w:szCs w:val="21"/>
              </w:rPr>
            </w:pPr>
            <w:r>
              <w:rPr>
                <w:rFonts w:hint="eastAsia" w:ascii="宋体" w:hAnsi="宋体"/>
                <w:color w:val="auto"/>
                <w:szCs w:val="21"/>
              </w:rPr>
              <w:t>驻场或跟办人员工作配合的及时性、主动性与认真情况</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056" w:type="pct"/>
            <w:vMerge w:val="continue"/>
            <w:noWrap w:val="0"/>
            <w:vAlign w:val="center"/>
          </w:tcPr>
          <w:p>
            <w:pPr>
              <w:jc w:val="center"/>
              <w:rPr>
                <w:rFonts w:ascii="宋体" w:hAnsi="宋体"/>
                <w:color w:val="auto"/>
                <w:szCs w:val="21"/>
              </w:rPr>
            </w:pPr>
          </w:p>
        </w:tc>
        <w:tc>
          <w:tcPr>
            <w:tcW w:w="2065" w:type="pct"/>
            <w:noWrap w:val="0"/>
            <w:vAlign w:val="center"/>
          </w:tcPr>
          <w:p>
            <w:pPr>
              <w:widowControl/>
              <w:spacing w:line="360" w:lineRule="exact"/>
              <w:jc w:val="left"/>
              <w:rPr>
                <w:rFonts w:hint="eastAsia" w:ascii="宋体" w:hAnsi="宋体"/>
                <w:color w:val="auto"/>
                <w:szCs w:val="21"/>
              </w:rPr>
            </w:pPr>
            <w:r>
              <w:rPr>
                <w:rFonts w:hint="eastAsia" w:ascii="宋体" w:hAnsi="宋体"/>
                <w:color w:val="auto"/>
                <w:szCs w:val="21"/>
              </w:rPr>
              <w:t>项目配置人员的专业水平是否满足要求</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0-5</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trPr>
        <w:tc>
          <w:tcPr>
            <w:tcW w:w="1056" w:type="pct"/>
            <w:vMerge w:val="restart"/>
            <w:noWrap w:val="0"/>
            <w:vAlign w:val="center"/>
          </w:tcPr>
          <w:p>
            <w:pPr>
              <w:jc w:val="center"/>
              <w:rPr>
                <w:rFonts w:ascii="宋体" w:hAnsi="宋体"/>
                <w:color w:val="auto"/>
                <w:szCs w:val="21"/>
              </w:rPr>
            </w:pPr>
            <w:r>
              <w:rPr>
                <w:rFonts w:hint="eastAsia" w:ascii="宋体" w:hAnsi="宋体"/>
                <w:color w:val="auto"/>
                <w:szCs w:val="21"/>
              </w:rPr>
              <w:t>项目质量考核（50）</w:t>
            </w:r>
          </w:p>
        </w:tc>
        <w:tc>
          <w:tcPr>
            <w:tcW w:w="2065" w:type="pct"/>
            <w:noWrap w:val="0"/>
            <w:vAlign w:val="top"/>
          </w:tcPr>
          <w:p>
            <w:pPr>
              <w:spacing w:line="360" w:lineRule="exact"/>
              <w:rPr>
                <w:rFonts w:ascii="宋体" w:hAnsi="宋体"/>
                <w:color w:val="auto"/>
                <w:szCs w:val="21"/>
              </w:rPr>
            </w:pPr>
            <w:r>
              <w:rPr>
                <w:rFonts w:hint="eastAsia" w:ascii="宋体" w:hAnsi="宋体"/>
                <w:color w:val="auto"/>
                <w:szCs w:val="21"/>
              </w:rPr>
              <w:t>提交成果文件存在明显缺陷和错误的，发现一项扣2分，累计达到5项就叫停项目一次。</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0-20</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1056" w:type="pct"/>
            <w:vMerge w:val="continue"/>
            <w:noWrap w:val="0"/>
            <w:vAlign w:val="center"/>
          </w:tcPr>
          <w:p>
            <w:pPr>
              <w:jc w:val="center"/>
              <w:rPr>
                <w:rFonts w:ascii="宋体" w:hAnsi="宋体"/>
                <w:color w:val="auto"/>
                <w:szCs w:val="21"/>
              </w:rPr>
            </w:pPr>
          </w:p>
        </w:tc>
        <w:tc>
          <w:tcPr>
            <w:tcW w:w="2065" w:type="pct"/>
            <w:noWrap w:val="0"/>
            <w:vAlign w:val="top"/>
          </w:tcPr>
          <w:p>
            <w:pPr>
              <w:spacing w:line="360" w:lineRule="exact"/>
              <w:rPr>
                <w:rFonts w:ascii="宋体" w:hAnsi="宋体"/>
                <w:color w:val="auto"/>
                <w:szCs w:val="21"/>
              </w:rPr>
            </w:pPr>
            <w:r>
              <w:rPr>
                <w:rFonts w:hint="eastAsia" w:ascii="宋体" w:hAnsi="宋体"/>
                <w:color w:val="auto"/>
                <w:szCs w:val="21"/>
              </w:rPr>
              <w:t>工程量计算准确，套用定额及计费程序正确合理，材料价格选取恰当性</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0-10</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056" w:type="pct"/>
            <w:vMerge w:val="continue"/>
            <w:noWrap w:val="0"/>
            <w:vAlign w:val="center"/>
          </w:tcPr>
          <w:p>
            <w:pPr>
              <w:jc w:val="center"/>
              <w:rPr>
                <w:rFonts w:ascii="宋体" w:hAnsi="宋体"/>
                <w:color w:val="auto"/>
                <w:szCs w:val="21"/>
              </w:rPr>
            </w:pPr>
          </w:p>
        </w:tc>
        <w:tc>
          <w:tcPr>
            <w:tcW w:w="2065" w:type="pct"/>
            <w:noWrap w:val="0"/>
            <w:vAlign w:val="top"/>
          </w:tcPr>
          <w:p>
            <w:pPr>
              <w:spacing w:line="360" w:lineRule="exact"/>
              <w:rPr>
                <w:rFonts w:ascii="宋体" w:hAnsi="宋体"/>
                <w:color w:val="auto"/>
                <w:szCs w:val="21"/>
              </w:rPr>
            </w:pPr>
            <w:r>
              <w:rPr>
                <w:rFonts w:hint="eastAsia" w:ascii="宋体" w:hAnsi="宋体"/>
                <w:color w:val="auto"/>
                <w:szCs w:val="21"/>
              </w:rPr>
              <w:t>咨询成果文件（说明书）真实、完整、准确、有条理的</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0-10</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56" w:type="pct"/>
            <w:vMerge w:val="continue"/>
            <w:noWrap w:val="0"/>
            <w:vAlign w:val="center"/>
          </w:tcPr>
          <w:p>
            <w:pPr>
              <w:jc w:val="center"/>
              <w:rPr>
                <w:rFonts w:ascii="宋体" w:hAnsi="宋体"/>
                <w:color w:val="auto"/>
                <w:szCs w:val="21"/>
              </w:rPr>
            </w:pPr>
          </w:p>
        </w:tc>
        <w:tc>
          <w:tcPr>
            <w:tcW w:w="2065" w:type="pct"/>
            <w:noWrap w:val="0"/>
            <w:vAlign w:val="top"/>
          </w:tcPr>
          <w:p>
            <w:pPr>
              <w:spacing w:line="360" w:lineRule="exact"/>
              <w:rPr>
                <w:rFonts w:ascii="宋体" w:hAnsi="宋体"/>
                <w:color w:val="auto"/>
                <w:szCs w:val="21"/>
              </w:rPr>
            </w:pPr>
            <w:r>
              <w:rPr>
                <w:rFonts w:hint="eastAsia" w:ascii="宋体" w:hAnsi="宋体"/>
                <w:color w:val="auto"/>
                <w:szCs w:val="21"/>
              </w:rPr>
              <w:t>工作质量良好，无重大的主观差错率的</w:t>
            </w:r>
          </w:p>
        </w:tc>
        <w:tc>
          <w:tcPr>
            <w:tcW w:w="458" w:type="pct"/>
            <w:noWrap w:val="0"/>
            <w:vAlign w:val="center"/>
          </w:tcPr>
          <w:p>
            <w:pPr>
              <w:spacing w:line="360" w:lineRule="exact"/>
              <w:jc w:val="center"/>
              <w:rPr>
                <w:rFonts w:ascii="宋体" w:hAnsi="宋体"/>
                <w:color w:val="auto"/>
                <w:szCs w:val="21"/>
              </w:rPr>
            </w:pPr>
            <w:r>
              <w:rPr>
                <w:rFonts w:hint="eastAsia" w:ascii="宋体" w:hAnsi="宋体"/>
                <w:color w:val="auto"/>
                <w:szCs w:val="21"/>
              </w:rPr>
              <w:t>0-10</w:t>
            </w: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056" w:type="pct"/>
            <w:noWrap w:val="0"/>
            <w:vAlign w:val="center"/>
          </w:tcPr>
          <w:p>
            <w:pPr>
              <w:jc w:val="center"/>
              <w:rPr>
                <w:rFonts w:ascii="宋体" w:hAnsi="宋体"/>
                <w:color w:val="auto"/>
                <w:szCs w:val="21"/>
              </w:rPr>
            </w:pPr>
            <w:r>
              <w:rPr>
                <w:rFonts w:hint="eastAsia" w:ascii="宋体" w:hAnsi="宋体"/>
                <w:color w:val="auto"/>
                <w:szCs w:val="21"/>
              </w:rPr>
              <w:t>项目叫停考核标准</w:t>
            </w:r>
          </w:p>
        </w:tc>
        <w:tc>
          <w:tcPr>
            <w:tcW w:w="2065" w:type="pct"/>
            <w:noWrap w:val="0"/>
            <w:vAlign w:val="top"/>
          </w:tcPr>
          <w:p>
            <w:pPr>
              <w:spacing w:line="360" w:lineRule="exact"/>
              <w:rPr>
                <w:rFonts w:hint="eastAsia" w:ascii="宋体" w:hAnsi="宋体"/>
                <w:color w:val="auto"/>
                <w:szCs w:val="21"/>
              </w:rPr>
            </w:pPr>
            <w:r>
              <w:rPr>
                <w:rFonts w:hint="eastAsia" w:ascii="宋体" w:hAnsi="宋体"/>
                <w:color w:val="auto"/>
                <w:szCs w:val="21"/>
              </w:rPr>
              <w:t>因咨询公司自身原因影响进度的叫停三次</w:t>
            </w:r>
          </w:p>
        </w:tc>
        <w:tc>
          <w:tcPr>
            <w:tcW w:w="1878" w:type="pct"/>
            <w:gridSpan w:val="3"/>
            <w:noWrap w:val="0"/>
            <w:vAlign w:val="center"/>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056" w:type="pct"/>
            <w:vMerge w:val="restart"/>
            <w:noWrap w:val="0"/>
            <w:vAlign w:val="center"/>
          </w:tcPr>
          <w:p>
            <w:pPr>
              <w:jc w:val="center"/>
              <w:rPr>
                <w:rFonts w:hint="eastAsia" w:ascii="宋体" w:hAnsi="宋体"/>
                <w:color w:val="auto"/>
                <w:szCs w:val="21"/>
              </w:rPr>
            </w:pPr>
            <w:r>
              <w:rPr>
                <w:rFonts w:hint="eastAsia" w:ascii="宋体" w:hAnsi="宋体"/>
                <w:color w:val="auto"/>
                <w:szCs w:val="21"/>
              </w:rPr>
              <w:t>出库考核标准</w:t>
            </w:r>
          </w:p>
        </w:tc>
        <w:tc>
          <w:tcPr>
            <w:tcW w:w="2065" w:type="pct"/>
            <w:noWrap w:val="0"/>
            <w:vAlign w:val="top"/>
          </w:tcPr>
          <w:p>
            <w:pPr>
              <w:spacing w:line="360" w:lineRule="exact"/>
              <w:rPr>
                <w:rFonts w:hint="eastAsia" w:ascii="宋体" w:hAnsi="宋体"/>
                <w:color w:val="auto"/>
                <w:szCs w:val="21"/>
              </w:rPr>
            </w:pPr>
            <w:r>
              <w:rPr>
                <w:rFonts w:hint="eastAsia" w:ascii="宋体" w:hAnsi="宋体"/>
                <w:color w:val="auto"/>
                <w:szCs w:val="21"/>
              </w:rPr>
              <w:t>违反阳光协议条款要求的，</w:t>
            </w:r>
            <w:r>
              <w:rPr>
                <w:rFonts w:ascii="宋体" w:hAnsi="宋体"/>
                <w:color w:val="auto"/>
                <w:szCs w:val="21"/>
              </w:rPr>
              <w:t>直接出库</w:t>
            </w:r>
          </w:p>
        </w:tc>
        <w:tc>
          <w:tcPr>
            <w:tcW w:w="458" w:type="pct"/>
            <w:noWrap w:val="0"/>
            <w:vAlign w:val="top"/>
          </w:tcPr>
          <w:p>
            <w:pPr>
              <w:spacing w:line="360" w:lineRule="exact"/>
              <w:rPr>
                <w:rFonts w:hint="eastAsia" w:ascii="宋体" w:hAnsi="宋体"/>
                <w:color w:val="auto"/>
                <w:szCs w:val="21"/>
              </w:rPr>
            </w:pPr>
          </w:p>
        </w:tc>
        <w:tc>
          <w:tcPr>
            <w:tcW w:w="804" w:type="pct"/>
            <w:noWrap w:val="0"/>
            <w:vAlign w:val="top"/>
          </w:tcPr>
          <w:p>
            <w:pPr>
              <w:rPr>
                <w:rFonts w:ascii="宋体" w:hAnsi="宋体"/>
                <w:color w:val="auto"/>
                <w:szCs w:val="21"/>
              </w:rPr>
            </w:pPr>
          </w:p>
        </w:tc>
        <w:tc>
          <w:tcPr>
            <w:tcW w:w="615" w:type="pct"/>
            <w:vMerge w:val="restart"/>
            <w:noWrap w:val="0"/>
            <w:vAlign w:val="top"/>
          </w:tcPr>
          <w:p>
            <w:pPr>
              <w:rPr>
                <w:rFonts w:ascii="宋体" w:hAnsi="宋体"/>
                <w:color w:val="auto"/>
                <w:szCs w:val="21"/>
              </w:rPr>
            </w:pPr>
            <w:r>
              <w:rPr>
                <w:rFonts w:hint="eastAsia" w:ascii="宋体" w:hAnsi="宋体"/>
                <w:color w:val="auto"/>
                <w:szCs w:val="21"/>
              </w:rPr>
              <w:t>直接停牌，不再参与任何项目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056" w:type="pct"/>
            <w:vMerge w:val="continue"/>
            <w:noWrap w:val="0"/>
            <w:vAlign w:val="center"/>
          </w:tcPr>
          <w:p>
            <w:pPr>
              <w:jc w:val="center"/>
              <w:rPr>
                <w:rFonts w:hint="eastAsia" w:ascii="宋体" w:hAnsi="宋体"/>
                <w:color w:val="auto"/>
                <w:szCs w:val="21"/>
              </w:rPr>
            </w:pPr>
          </w:p>
        </w:tc>
        <w:tc>
          <w:tcPr>
            <w:tcW w:w="2065" w:type="pct"/>
            <w:noWrap w:val="0"/>
            <w:vAlign w:val="top"/>
          </w:tcPr>
          <w:p>
            <w:pPr>
              <w:rPr>
                <w:rFonts w:hint="eastAsia" w:ascii="宋体" w:hAnsi="宋体"/>
                <w:color w:val="auto"/>
                <w:szCs w:val="21"/>
              </w:rPr>
            </w:pPr>
            <w:r>
              <w:rPr>
                <w:rFonts w:hint="eastAsia" w:ascii="宋体" w:hAnsi="宋体"/>
                <w:color w:val="auto"/>
                <w:szCs w:val="21"/>
              </w:rPr>
              <w:t>对于</w:t>
            </w:r>
            <w:r>
              <w:rPr>
                <w:rFonts w:ascii="宋体" w:hAnsi="宋体"/>
                <w:color w:val="auto"/>
                <w:szCs w:val="21"/>
              </w:rPr>
              <w:t>定稿的</w:t>
            </w:r>
            <w:r>
              <w:rPr>
                <w:rFonts w:hint="eastAsia" w:ascii="宋体" w:hAnsi="宋体"/>
                <w:color w:val="auto"/>
                <w:szCs w:val="21"/>
              </w:rPr>
              <w:t>成果</w:t>
            </w:r>
            <w:r>
              <w:rPr>
                <w:rFonts w:ascii="宋体" w:hAnsi="宋体"/>
                <w:color w:val="auto"/>
                <w:szCs w:val="21"/>
              </w:rPr>
              <w:t>文件，未经同意擅自更改的，直接出库。</w:t>
            </w:r>
          </w:p>
        </w:tc>
        <w:tc>
          <w:tcPr>
            <w:tcW w:w="458" w:type="pct"/>
            <w:noWrap w:val="0"/>
            <w:vAlign w:val="top"/>
          </w:tcPr>
          <w:p>
            <w:pPr>
              <w:rPr>
                <w:rFonts w:hint="eastAsia" w:ascii="宋体" w:hAnsi="宋体"/>
                <w:color w:val="auto"/>
                <w:szCs w:val="21"/>
              </w:rPr>
            </w:pPr>
          </w:p>
        </w:tc>
        <w:tc>
          <w:tcPr>
            <w:tcW w:w="804" w:type="pct"/>
            <w:noWrap w:val="0"/>
            <w:vAlign w:val="top"/>
          </w:tcPr>
          <w:p>
            <w:pPr>
              <w:rPr>
                <w:rFonts w:ascii="宋体" w:hAnsi="宋体"/>
                <w:color w:val="auto"/>
                <w:szCs w:val="21"/>
              </w:rPr>
            </w:pPr>
          </w:p>
        </w:tc>
        <w:tc>
          <w:tcPr>
            <w:tcW w:w="615" w:type="pct"/>
            <w:vMerge w:val="continue"/>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56" w:type="pct"/>
            <w:vMerge w:val="continue"/>
            <w:noWrap w:val="0"/>
            <w:vAlign w:val="center"/>
          </w:tcPr>
          <w:p>
            <w:pPr>
              <w:jc w:val="center"/>
              <w:rPr>
                <w:rFonts w:hint="eastAsia" w:ascii="宋体" w:hAnsi="宋体"/>
                <w:color w:val="auto"/>
                <w:szCs w:val="21"/>
              </w:rPr>
            </w:pPr>
          </w:p>
        </w:tc>
        <w:tc>
          <w:tcPr>
            <w:tcW w:w="2065" w:type="pct"/>
            <w:noWrap w:val="0"/>
            <w:vAlign w:val="top"/>
          </w:tcPr>
          <w:p>
            <w:pPr>
              <w:rPr>
                <w:rFonts w:hint="eastAsia" w:ascii="宋体" w:hAnsi="宋体"/>
                <w:color w:val="auto"/>
                <w:szCs w:val="21"/>
              </w:rPr>
            </w:pPr>
            <w:r>
              <w:rPr>
                <w:rFonts w:hint="eastAsia" w:ascii="宋体" w:hAnsi="宋体"/>
                <w:color w:val="auto"/>
                <w:szCs w:val="21"/>
              </w:rPr>
              <w:t>违反</w:t>
            </w:r>
            <w:r>
              <w:rPr>
                <w:rFonts w:ascii="宋体" w:hAnsi="宋体"/>
                <w:color w:val="auto"/>
                <w:szCs w:val="21"/>
              </w:rPr>
              <w:t>保密承诺书规定要求的，直接出库</w:t>
            </w:r>
            <w:r>
              <w:rPr>
                <w:rFonts w:hint="eastAsia" w:ascii="宋体" w:hAnsi="宋体"/>
                <w:color w:val="auto"/>
                <w:szCs w:val="21"/>
              </w:rPr>
              <w:t>。</w:t>
            </w:r>
          </w:p>
        </w:tc>
        <w:tc>
          <w:tcPr>
            <w:tcW w:w="458" w:type="pct"/>
            <w:noWrap w:val="0"/>
            <w:vAlign w:val="top"/>
          </w:tcPr>
          <w:p>
            <w:pPr>
              <w:rPr>
                <w:rFonts w:hint="eastAsia" w:ascii="宋体" w:hAnsi="宋体"/>
                <w:color w:val="auto"/>
                <w:szCs w:val="21"/>
              </w:rPr>
            </w:pPr>
          </w:p>
        </w:tc>
        <w:tc>
          <w:tcPr>
            <w:tcW w:w="804" w:type="pct"/>
            <w:noWrap w:val="0"/>
            <w:vAlign w:val="top"/>
          </w:tcPr>
          <w:p>
            <w:pPr>
              <w:rPr>
                <w:rFonts w:ascii="宋体" w:hAnsi="宋体"/>
                <w:color w:val="auto"/>
                <w:szCs w:val="21"/>
              </w:rPr>
            </w:pPr>
          </w:p>
        </w:tc>
        <w:tc>
          <w:tcPr>
            <w:tcW w:w="615" w:type="pct"/>
            <w:vMerge w:val="continue"/>
            <w:noWrap w:val="0"/>
            <w:vAlign w:val="top"/>
          </w:tcPr>
          <w:p>
            <w:pPr>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056" w:type="pct"/>
            <w:noWrap w:val="0"/>
            <w:vAlign w:val="center"/>
          </w:tcPr>
          <w:p>
            <w:pPr>
              <w:jc w:val="center"/>
              <w:rPr>
                <w:rFonts w:hint="eastAsia" w:ascii="宋体" w:hAnsi="宋体"/>
                <w:color w:val="auto"/>
                <w:szCs w:val="21"/>
              </w:rPr>
            </w:pPr>
            <w:r>
              <w:rPr>
                <w:rFonts w:hint="eastAsia" w:ascii="宋体" w:hAnsi="宋体"/>
                <w:color w:val="auto"/>
                <w:szCs w:val="21"/>
              </w:rPr>
              <w:t>总分</w:t>
            </w:r>
          </w:p>
        </w:tc>
        <w:tc>
          <w:tcPr>
            <w:tcW w:w="2065" w:type="pct"/>
            <w:noWrap w:val="0"/>
            <w:vAlign w:val="top"/>
          </w:tcPr>
          <w:p>
            <w:pPr>
              <w:rPr>
                <w:rFonts w:hint="eastAsia" w:ascii="宋体" w:hAnsi="宋体"/>
                <w:color w:val="auto"/>
                <w:szCs w:val="21"/>
              </w:rPr>
            </w:pPr>
          </w:p>
        </w:tc>
        <w:tc>
          <w:tcPr>
            <w:tcW w:w="458" w:type="pct"/>
            <w:noWrap w:val="0"/>
            <w:vAlign w:val="top"/>
          </w:tcPr>
          <w:p>
            <w:pPr>
              <w:rPr>
                <w:rFonts w:hint="eastAsia" w:ascii="宋体" w:hAnsi="宋体"/>
                <w:color w:val="auto"/>
                <w:szCs w:val="21"/>
              </w:rPr>
            </w:pPr>
          </w:p>
        </w:tc>
        <w:tc>
          <w:tcPr>
            <w:tcW w:w="804" w:type="pct"/>
            <w:noWrap w:val="0"/>
            <w:vAlign w:val="top"/>
          </w:tcPr>
          <w:p>
            <w:pPr>
              <w:rPr>
                <w:rFonts w:ascii="宋体" w:hAnsi="宋体"/>
                <w:color w:val="auto"/>
                <w:szCs w:val="21"/>
              </w:rPr>
            </w:pPr>
          </w:p>
        </w:tc>
        <w:tc>
          <w:tcPr>
            <w:tcW w:w="615" w:type="pct"/>
            <w:noWrap w:val="0"/>
            <w:vAlign w:val="top"/>
          </w:tcPr>
          <w:p>
            <w:pPr>
              <w:rPr>
                <w:rFonts w:ascii="宋体" w:hAnsi="宋体"/>
                <w:color w:val="auto"/>
                <w:szCs w:val="21"/>
              </w:rPr>
            </w:pPr>
          </w:p>
        </w:tc>
      </w:tr>
    </w:tbl>
    <w:p>
      <w:pPr>
        <w:spacing w:line="360" w:lineRule="auto"/>
        <w:rPr>
          <w:rFonts w:hint="eastAsia" w:ascii="宋体" w:hAnsi="宋体"/>
          <w:color w:val="auto"/>
          <w:szCs w:val="21"/>
        </w:rPr>
      </w:pPr>
      <w:r>
        <w:rPr>
          <w:rFonts w:hint="eastAsia" w:ascii="宋体" w:hAnsi="宋体"/>
          <w:color w:val="auto"/>
          <w:szCs w:val="21"/>
        </w:rPr>
        <w:t>备注：</w:t>
      </w:r>
    </w:p>
    <w:p>
      <w:pPr>
        <w:spacing w:line="360" w:lineRule="auto"/>
        <w:rPr>
          <w:rFonts w:hint="eastAsia" w:ascii="宋体" w:hAnsi="宋体"/>
          <w:color w:val="auto"/>
          <w:szCs w:val="21"/>
        </w:rPr>
      </w:pPr>
      <w:r>
        <w:rPr>
          <w:rFonts w:hint="eastAsia" w:ascii="宋体" w:hAnsi="宋体"/>
          <w:color w:val="auto"/>
          <w:szCs w:val="21"/>
        </w:rPr>
        <w:t xml:space="preserve">1.项目走定标审批流程前须提交本考核表。 </w:t>
      </w:r>
    </w:p>
    <w:p>
      <w:pPr>
        <w:spacing w:line="360" w:lineRule="auto"/>
        <w:rPr>
          <w:rFonts w:hint="eastAsia" w:ascii="宋体" w:hAnsi="宋体"/>
          <w:color w:val="auto"/>
          <w:szCs w:val="21"/>
        </w:rPr>
      </w:pPr>
      <w:r>
        <w:rPr>
          <w:rFonts w:hint="eastAsia" w:ascii="宋体" w:hAnsi="宋体"/>
          <w:color w:val="auto"/>
          <w:szCs w:val="21"/>
        </w:rPr>
        <w:t>2.对于考核表里出现一次叫停的项目，在总分基础上打八折，出现两次叫停的项目，就直接出库，不再参与任何项目。</w:t>
      </w:r>
    </w:p>
    <w:p>
      <w:pPr>
        <w:spacing w:line="360" w:lineRule="auto"/>
        <w:rPr>
          <w:rFonts w:hint="eastAsia" w:ascii="宋体" w:hAnsi="宋体"/>
          <w:color w:val="auto"/>
          <w:szCs w:val="21"/>
        </w:rPr>
      </w:pPr>
      <w:r>
        <w:rPr>
          <w:rFonts w:hint="eastAsia" w:ascii="宋体" w:hAnsi="宋体"/>
          <w:color w:val="auto"/>
          <w:szCs w:val="21"/>
        </w:rPr>
        <w:t>3.每项任务考核打分后，将考核分数记入该咨询服务机构的档案中，到年底统一对考核分数进行汇总排名，平均分数低于60分的咨询服务机构将停止第二、第三年分配任务的资格，以此类推。</w:t>
      </w:r>
    </w:p>
    <w:p>
      <w:pPr>
        <w:pStyle w:val="6"/>
        <w:rPr>
          <w:rFonts w:ascii="宋体" w:hAnsi="宋体"/>
          <w:color w:val="auto"/>
          <w:szCs w:val="21"/>
        </w:rPr>
      </w:pPr>
      <w:r>
        <w:rPr>
          <w:rFonts w:hint="eastAsia" w:ascii="宋体" w:hAnsi="宋体"/>
          <w:color w:val="auto"/>
          <w:szCs w:val="21"/>
        </w:rPr>
        <w:t>4.单次分数低于80分的服务机构将取消一次单项项目抽签承接任务的资格</w:t>
      </w:r>
      <w:r>
        <w:rPr>
          <w:rFonts w:hint="eastAsia"/>
          <w:color w:val="auto"/>
          <w:lang w:eastAsia="zh-CN"/>
        </w:rPr>
        <w:t>，</w:t>
      </w:r>
      <w:r>
        <w:rPr>
          <w:rFonts w:hint="eastAsia" w:ascii="宋体" w:hAnsi="宋体"/>
          <w:color w:val="auto"/>
          <w:szCs w:val="21"/>
        </w:rPr>
        <w:t>单次分数低于</w:t>
      </w:r>
      <w:r>
        <w:rPr>
          <w:rFonts w:hint="eastAsia" w:ascii="宋体" w:hAnsi="宋体"/>
          <w:color w:val="auto"/>
          <w:szCs w:val="21"/>
          <w:lang w:val="en-US" w:eastAsia="zh-CN"/>
        </w:rPr>
        <w:t>60</w:t>
      </w:r>
      <w:r>
        <w:rPr>
          <w:rFonts w:hint="eastAsia" w:ascii="宋体" w:hAnsi="宋体"/>
          <w:color w:val="auto"/>
          <w:szCs w:val="21"/>
        </w:rPr>
        <w:t>分的服务机构将</w:t>
      </w:r>
      <w:r>
        <w:rPr>
          <w:rFonts w:hint="eastAsia" w:ascii="宋体" w:hAnsi="宋体"/>
          <w:color w:val="auto"/>
          <w:szCs w:val="21"/>
          <w:lang w:val="en-US" w:eastAsia="zh-CN"/>
        </w:rPr>
        <w:t>取消四次</w:t>
      </w:r>
      <w:r>
        <w:rPr>
          <w:rFonts w:hint="eastAsia" w:ascii="宋体" w:hAnsi="宋体"/>
          <w:color w:val="auto"/>
          <w:szCs w:val="21"/>
        </w:rPr>
        <w:t>单项项目抽签承接任务的资格。</w:t>
      </w:r>
    </w:p>
    <w:p>
      <w:pPr>
        <w:spacing w:line="360" w:lineRule="auto"/>
        <w:jc w:val="center"/>
        <w:rPr>
          <w:rFonts w:ascii="宋体" w:hAnsi="宋体"/>
          <w:b/>
          <w:color w:val="auto"/>
          <w:szCs w:val="21"/>
        </w:rPr>
      </w:pPr>
      <w:r>
        <w:rPr>
          <w:rFonts w:ascii="宋体" w:hAnsi="宋体"/>
          <w:color w:val="auto"/>
          <w:szCs w:val="21"/>
        </w:rPr>
        <w:br w:type="page"/>
      </w:r>
      <w:r>
        <w:rPr>
          <w:rStyle w:val="34"/>
          <w:rFonts w:hint="eastAsia"/>
          <w:color w:val="auto"/>
          <w:lang w:val="zh-CN"/>
        </w:rPr>
        <w:t>附</w:t>
      </w:r>
      <w:r>
        <w:rPr>
          <w:rStyle w:val="34"/>
          <w:rFonts w:hint="eastAsia"/>
          <w:color w:val="auto"/>
          <w:lang w:val="en-US" w:eastAsia="zh-CN"/>
        </w:rPr>
        <w:t>件3</w:t>
      </w:r>
      <w:r>
        <w:rPr>
          <w:rStyle w:val="34"/>
          <w:rFonts w:hint="eastAsia"/>
          <w:color w:val="auto"/>
          <w:lang w:val="zh-CN"/>
        </w:rPr>
        <w:t>：工程造价咨询机构年度考核表</w:t>
      </w:r>
    </w:p>
    <w:p>
      <w:pPr>
        <w:spacing w:line="360" w:lineRule="auto"/>
        <w:jc w:val="left"/>
        <w:rPr>
          <w:rFonts w:ascii="宋体" w:hAnsi="宋体"/>
          <w:color w:val="auto"/>
          <w:szCs w:val="21"/>
        </w:rPr>
      </w:pPr>
      <w:r>
        <w:rPr>
          <w:rFonts w:hint="eastAsia" w:ascii="宋体" w:hAnsi="宋体"/>
          <w:color w:val="auto"/>
          <w:szCs w:val="21"/>
        </w:rPr>
        <w:t>考核单位（部室）名称：</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1191"/>
        <w:gridCol w:w="4920"/>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535" w:type="dxa"/>
            <w:gridSpan w:val="2"/>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被考核的供应商名称</w:t>
            </w:r>
          </w:p>
        </w:tc>
        <w:tc>
          <w:tcPr>
            <w:tcW w:w="5987" w:type="dxa"/>
            <w:gridSpan w:val="2"/>
            <w:noWrap w:val="0"/>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535" w:type="dxa"/>
            <w:gridSpan w:val="2"/>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考核的期间</w:t>
            </w:r>
          </w:p>
        </w:tc>
        <w:tc>
          <w:tcPr>
            <w:tcW w:w="5987" w:type="dxa"/>
            <w:gridSpan w:val="2"/>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从     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44"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评价内容</w:t>
            </w:r>
          </w:p>
        </w:tc>
        <w:tc>
          <w:tcPr>
            <w:tcW w:w="1191"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各项分值</w:t>
            </w:r>
          </w:p>
        </w:tc>
        <w:tc>
          <w:tcPr>
            <w:tcW w:w="4920"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具体内容</w:t>
            </w:r>
          </w:p>
        </w:tc>
        <w:tc>
          <w:tcPr>
            <w:tcW w:w="1067"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344"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接受任务分配</w:t>
            </w:r>
          </w:p>
        </w:tc>
        <w:tc>
          <w:tcPr>
            <w:tcW w:w="1191"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4920" w:type="dxa"/>
            <w:tcBorders>
              <w:top w:val="nil"/>
            </w:tcBorders>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1年内没有拒绝接受任务的，得10分；1年内拒绝接受任务1次的，得5分；1年内拒绝接受任务2次或以上的，得0分。</w:t>
            </w:r>
          </w:p>
        </w:tc>
        <w:tc>
          <w:tcPr>
            <w:tcW w:w="1067" w:type="dxa"/>
            <w:tcBorders>
              <w:top w:val="nil"/>
            </w:tcBorders>
            <w:noWrap w:val="0"/>
            <w:vAlign w:val="center"/>
          </w:tcPr>
          <w:p>
            <w:pPr>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jc w:val="center"/>
        </w:trPr>
        <w:tc>
          <w:tcPr>
            <w:tcW w:w="1344"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内部管理</w:t>
            </w:r>
          </w:p>
        </w:tc>
        <w:tc>
          <w:tcPr>
            <w:tcW w:w="1191"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企业规章、内部管理制度健全和完善的，已建立执业质量管理制度、业务档案管理制度、人事管理制度、财务制度的得15分，每缺一项扣减2分。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344" w:type="dxa"/>
            <w:vMerge w:val="restart"/>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服务情况</w:t>
            </w:r>
          </w:p>
        </w:tc>
        <w:tc>
          <w:tcPr>
            <w:tcW w:w="1191" w:type="dxa"/>
            <w:vMerge w:val="restart"/>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1）收到通知后及时与采购人签订委托合同的最高得2分；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jc w:val="center"/>
        </w:trPr>
        <w:tc>
          <w:tcPr>
            <w:tcW w:w="1344" w:type="dxa"/>
            <w:vMerge w:val="continue"/>
            <w:noWrap w:val="0"/>
            <w:vAlign w:val="center"/>
          </w:tcPr>
          <w:p>
            <w:pPr>
              <w:jc w:val="center"/>
              <w:rPr>
                <w:rFonts w:hint="eastAsia" w:ascii="宋体" w:hAnsi="宋体" w:eastAsia="宋体" w:cs="宋体"/>
                <w:color w:val="auto"/>
                <w:sz w:val="21"/>
                <w:szCs w:val="21"/>
              </w:rPr>
            </w:pPr>
          </w:p>
        </w:tc>
        <w:tc>
          <w:tcPr>
            <w:tcW w:w="1191" w:type="dxa"/>
            <w:vMerge w:val="continue"/>
            <w:noWrap w:val="0"/>
            <w:vAlign w:val="center"/>
          </w:tcPr>
          <w:p>
            <w:pPr>
              <w:jc w:val="center"/>
              <w:rPr>
                <w:rFonts w:hint="eastAsia" w:ascii="宋体" w:hAnsi="宋体" w:eastAsia="宋体" w:cs="宋体"/>
                <w:color w:val="auto"/>
                <w:sz w:val="21"/>
                <w:szCs w:val="21"/>
              </w:rPr>
            </w:pP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2）能针对项目的情况与采购人充分沟通的最高得5分；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44" w:type="dxa"/>
            <w:vMerge w:val="continue"/>
            <w:noWrap w:val="0"/>
            <w:vAlign w:val="center"/>
          </w:tcPr>
          <w:p>
            <w:pPr>
              <w:jc w:val="center"/>
              <w:rPr>
                <w:rFonts w:hint="eastAsia" w:ascii="宋体" w:hAnsi="宋体" w:eastAsia="宋体" w:cs="宋体"/>
                <w:color w:val="auto"/>
                <w:sz w:val="21"/>
                <w:szCs w:val="21"/>
              </w:rPr>
            </w:pPr>
          </w:p>
        </w:tc>
        <w:tc>
          <w:tcPr>
            <w:tcW w:w="1191" w:type="dxa"/>
            <w:vMerge w:val="continue"/>
            <w:noWrap w:val="0"/>
            <w:vAlign w:val="center"/>
          </w:tcPr>
          <w:p>
            <w:pPr>
              <w:jc w:val="center"/>
              <w:rPr>
                <w:rFonts w:hint="eastAsia" w:ascii="宋体" w:hAnsi="宋体" w:eastAsia="宋体" w:cs="宋体"/>
                <w:color w:val="auto"/>
                <w:sz w:val="21"/>
                <w:szCs w:val="21"/>
              </w:rPr>
            </w:pP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3）在编审过程中供应商提供的服务情况，包括服务响应和服务质量，最高得5分；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344" w:type="dxa"/>
            <w:vMerge w:val="continue"/>
            <w:noWrap w:val="0"/>
            <w:vAlign w:val="center"/>
          </w:tcPr>
          <w:p>
            <w:pPr>
              <w:jc w:val="center"/>
              <w:rPr>
                <w:rFonts w:hint="eastAsia" w:ascii="宋体" w:hAnsi="宋体" w:eastAsia="宋体" w:cs="宋体"/>
                <w:color w:val="auto"/>
                <w:sz w:val="21"/>
                <w:szCs w:val="21"/>
              </w:rPr>
            </w:pPr>
          </w:p>
        </w:tc>
        <w:tc>
          <w:tcPr>
            <w:tcW w:w="1191" w:type="dxa"/>
            <w:vMerge w:val="continue"/>
            <w:noWrap w:val="0"/>
            <w:vAlign w:val="center"/>
          </w:tcPr>
          <w:p>
            <w:pPr>
              <w:jc w:val="center"/>
              <w:rPr>
                <w:rFonts w:hint="eastAsia" w:ascii="宋体" w:hAnsi="宋体" w:eastAsia="宋体" w:cs="宋体"/>
                <w:color w:val="auto"/>
                <w:sz w:val="21"/>
                <w:szCs w:val="21"/>
              </w:rPr>
            </w:pP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4）完成成果文件后，能做好跟踪服务的最高得3分。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344" w:type="dxa"/>
            <w:vMerge w:val="restart"/>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项目质量</w:t>
            </w:r>
          </w:p>
        </w:tc>
        <w:tc>
          <w:tcPr>
            <w:tcW w:w="1191" w:type="dxa"/>
            <w:vMerge w:val="restart"/>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1）派出的人员对相应法规、政策熟悉和理解程度，最高得5分；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344" w:type="dxa"/>
            <w:vMerge w:val="continue"/>
            <w:noWrap w:val="0"/>
            <w:vAlign w:val="center"/>
          </w:tcPr>
          <w:p>
            <w:pPr>
              <w:jc w:val="center"/>
              <w:rPr>
                <w:rFonts w:hint="eastAsia" w:ascii="宋体" w:hAnsi="宋体" w:eastAsia="宋体" w:cs="宋体"/>
                <w:color w:val="auto"/>
                <w:sz w:val="21"/>
                <w:szCs w:val="21"/>
              </w:rPr>
            </w:pPr>
          </w:p>
        </w:tc>
        <w:tc>
          <w:tcPr>
            <w:tcW w:w="1191" w:type="dxa"/>
            <w:vMerge w:val="continue"/>
            <w:noWrap w:val="0"/>
            <w:vAlign w:val="center"/>
          </w:tcPr>
          <w:p>
            <w:pPr>
              <w:jc w:val="center"/>
              <w:rPr>
                <w:rFonts w:hint="eastAsia" w:ascii="宋体" w:hAnsi="宋体" w:eastAsia="宋体" w:cs="宋体"/>
                <w:color w:val="auto"/>
                <w:sz w:val="21"/>
                <w:szCs w:val="21"/>
              </w:rPr>
            </w:pP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2）抽查编审项目的工作底稿质量，最高得5分；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344" w:type="dxa"/>
            <w:vMerge w:val="continue"/>
            <w:noWrap w:val="0"/>
            <w:vAlign w:val="center"/>
          </w:tcPr>
          <w:p>
            <w:pPr>
              <w:jc w:val="center"/>
              <w:rPr>
                <w:rFonts w:hint="eastAsia" w:ascii="宋体" w:hAnsi="宋体" w:eastAsia="宋体" w:cs="宋体"/>
                <w:color w:val="auto"/>
                <w:sz w:val="21"/>
                <w:szCs w:val="21"/>
              </w:rPr>
            </w:pPr>
          </w:p>
        </w:tc>
        <w:tc>
          <w:tcPr>
            <w:tcW w:w="1191" w:type="dxa"/>
            <w:vMerge w:val="continue"/>
            <w:noWrap w:val="0"/>
            <w:vAlign w:val="center"/>
          </w:tcPr>
          <w:p>
            <w:pPr>
              <w:jc w:val="center"/>
              <w:rPr>
                <w:rFonts w:hint="eastAsia" w:ascii="宋体" w:hAnsi="宋体" w:eastAsia="宋体" w:cs="宋体"/>
                <w:color w:val="auto"/>
                <w:sz w:val="21"/>
                <w:szCs w:val="21"/>
              </w:rPr>
            </w:pP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3）独立按质按量完成合，成果文件内容真实、准确的，最高得10分；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344" w:type="dxa"/>
            <w:vMerge w:val="continue"/>
            <w:noWrap w:val="0"/>
            <w:vAlign w:val="center"/>
          </w:tcPr>
          <w:p>
            <w:pPr>
              <w:jc w:val="center"/>
              <w:rPr>
                <w:rFonts w:hint="eastAsia" w:ascii="宋体" w:hAnsi="宋体" w:eastAsia="宋体" w:cs="宋体"/>
                <w:color w:val="auto"/>
                <w:sz w:val="21"/>
                <w:szCs w:val="21"/>
              </w:rPr>
            </w:pPr>
          </w:p>
        </w:tc>
        <w:tc>
          <w:tcPr>
            <w:tcW w:w="1191" w:type="dxa"/>
            <w:vMerge w:val="continue"/>
            <w:noWrap w:val="0"/>
            <w:vAlign w:val="center"/>
          </w:tcPr>
          <w:p>
            <w:pPr>
              <w:jc w:val="center"/>
              <w:rPr>
                <w:rFonts w:hint="eastAsia" w:ascii="宋体" w:hAnsi="宋体" w:eastAsia="宋体" w:cs="宋体"/>
                <w:color w:val="auto"/>
                <w:sz w:val="21"/>
                <w:szCs w:val="21"/>
              </w:rPr>
            </w:pP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4）1年内无受到差错处罚的，得10分；受处罚1次的，得5分；受处罚2次或以上不得分。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344"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工作效率</w:t>
            </w:r>
          </w:p>
        </w:tc>
        <w:tc>
          <w:tcPr>
            <w:tcW w:w="1191"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15 </w:t>
            </w: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1）按合同规定时间完成的，得15分；2）由于客观原因，未能按合同规定时间完成，但经双方协商后仍能按时完成合同的，得12-13分；3）由于供应商主观原因，未能按合同规定时间完成，但经双方协商后仍能按时完成的，得9-10分；4）由于供应商主观原因，未能按合同规定时间完成，经双方协商后仍未能及时完成的，最高得5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344" w:type="dxa"/>
            <w:vMerge w:val="restart"/>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职业道德</w:t>
            </w:r>
          </w:p>
        </w:tc>
        <w:tc>
          <w:tcPr>
            <w:tcW w:w="1191" w:type="dxa"/>
            <w:vMerge w:val="restart"/>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1）派出人员没有接受采购人或其他供应商宴请、旅游、娱乐等行为的得2分，有此行为不得分；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344" w:type="dxa"/>
            <w:vMerge w:val="continue"/>
            <w:noWrap w:val="0"/>
            <w:vAlign w:val="center"/>
          </w:tcPr>
          <w:p>
            <w:pPr>
              <w:jc w:val="center"/>
              <w:rPr>
                <w:rFonts w:hint="eastAsia" w:ascii="宋体" w:hAnsi="宋体" w:eastAsia="宋体" w:cs="宋体"/>
                <w:color w:val="auto"/>
                <w:sz w:val="21"/>
                <w:szCs w:val="21"/>
              </w:rPr>
            </w:pPr>
          </w:p>
        </w:tc>
        <w:tc>
          <w:tcPr>
            <w:tcW w:w="1191" w:type="dxa"/>
            <w:vMerge w:val="continue"/>
            <w:noWrap w:val="0"/>
            <w:vAlign w:val="center"/>
          </w:tcPr>
          <w:p>
            <w:pPr>
              <w:jc w:val="center"/>
              <w:rPr>
                <w:rFonts w:hint="eastAsia" w:ascii="宋体" w:hAnsi="宋体" w:eastAsia="宋体" w:cs="宋体"/>
                <w:color w:val="auto"/>
                <w:sz w:val="21"/>
                <w:szCs w:val="21"/>
              </w:rPr>
            </w:pP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2）派出人员没有要求采购人或其他供应商提供礼品、回扣、有价证卷等行为的得2分，有此行为不得分；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344" w:type="dxa"/>
            <w:vMerge w:val="continue"/>
            <w:noWrap w:val="0"/>
            <w:vAlign w:val="center"/>
          </w:tcPr>
          <w:p>
            <w:pPr>
              <w:jc w:val="center"/>
              <w:rPr>
                <w:rFonts w:hint="eastAsia" w:ascii="宋体" w:hAnsi="宋体" w:eastAsia="宋体" w:cs="宋体"/>
                <w:color w:val="auto"/>
                <w:sz w:val="21"/>
                <w:szCs w:val="21"/>
              </w:rPr>
            </w:pPr>
          </w:p>
        </w:tc>
        <w:tc>
          <w:tcPr>
            <w:tcW w:w="1191" w:type="dxa"/>
            <w:vMerge w:val="continue"/>
            <w:noWrap w:val="0"/>
            <w:vAlign w:val="center"/>
          </w:tcPr>
          <w:p>
            <w:pPr>
              <w:jc w:val="center"/>
              <w:rPr>
                <w:rFonts w:hint="eastAsia" w:ascii="宋体" w:hAnsi="宋体" w:eastAsia="宋体" w:cs="宋体"/>
                <w:color w:val="auto"/>
                <w:sz w:val="21"/>
                <w:szCs w:val="21"/>
              </w:rPr>
            </w:pP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3）派出人员没有在采购人或其他供应商处报销应该由人负担的费用的，得2分，有此行为不得分；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344" w:type="dxa"/>
            <w:vMerge w:val="continue"/>
            <w:noWrap w:val="0"/>
            <w:vAlign w:val="center"/>
          </w:tcPr>
          <w:p>
            <w:pPr>
              <w:jc w:val="center"/>
              <w:rPr>
                <w:rFonts w:hint="eastAsia" w:ascii="宋体" w:hAnsi="宋体" w:eastAsia="宋体" w:cs="宋体"/>
                <w:color w:val="auto"/>
                <w:sz w:val="21"/>
                <w:szCs w:val="21"/>
              </w:rPr>
            </w:pPr>
          </w:p>
        </w:tc>
        <w:tc>
          <w:tcPr>
            <w:tcW w:w="1191" w:type="dxa"/>
            <w:vMerge w:val="continue"/>
            <w:noWrap w:val="0"/>
            <w:vAlign w:val="center"/>
          </w:tcPr>
          <w:p>
            <w:pPr>
              <w:jc w:val="center"/>
              <w:rPr>
                <w:rFonts w:hint="eastAsia" w:ascii="宋体" w:hAnsi="宋体" w:eastAsia="宋体" w:cs="宋体"/>
                <w:color w:val="auto"/>
                <w:sz w:val="21"/>
                <w:szCs w:val="21"/>
              </w:rPr>
            </w:pP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4）派出的人员没有被有关部门进行行政处分的得3分，被行政处分过的不得分；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1344" w:type="dxa"/>
            <w:vMerge w:val="continue"/>
            <w:noWrap w:val="0"/>
            <w:vAlign w:val="center"/>
          </w:tcPr>
          <w:p>
            <w:pPr>
              <w:jc w:val="center"/>
              <w:rPr>
                <w:rFonts w:hint="eastAsia" w:ascii="宋体" w:hAnsi="宋体" w:eastAsia="宋体" w:cs="宋体"/>
                <w:color w:val="auto"/>
                <w:sz w:val="21"/>
                <w:szCs w:val="21"/>
              </w:rPr>
            </w:pPr>
          </w:p>
        </w:tc>
        <w:tc>
          <w:tcPr>
            <w:tcW w:w="1191" w:type="dxa"/>
            <w:vMerge w:val="continue"/>
            <w:noWrap w:val="0"/>
            <w:vAlign w:val="center"/>
          </w:tcPr>
          <w:p>
            <w:pPr>
              <w:jc w:val="center"/>
              <w:rPr>
                <w:rFonts w:hint="eastAsia" w:ascii="宋体" w:hAnsi="宋体" w:eastAsia="宋体" w:cs="宋体"/>
                <w:color w:val="auto"/>
                <w:sz w:val="21"/>
                <w:szCs w:val="21"/>
              </w:rPr>
            </w:pP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5）没有其他不廉洁行为的得3分，有此行为不得分。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344" w:type="dxa"/>
            <w:vMerge w:val="continue"/>
            <w:noWrap w:val="0"/>
            <w:vAlign w:val="center"/>
          </w:tcPr>
          <w:p>
            <w:pPr>
              <w:jc w:val="center"/>
              <w:rPr>
                <w:rFonts w:hint="eastAsia" w:ascii="宋体" w:hAnsi="宋体" w:eastAsia="宋体" w:cs="宋体"/>
                <w:color w:val="auto"/>
                <w:sz w:val="21"/>
                <w:szCs w:val="21"/>
              </w:rPr>
            </w:pPr>
          </w:p>
        </w:tc>
        <w:tc>
          <w:tcPr>
            <w:tcW w:w="1191" w:type="dxa"/>
            <w:vMerge w:val="continue"/>
            <w:noWrap w:val="0"/>
            <w:vAlign w:val="center"/>
          </w:tcPr>
          <w:p>
            <w:pPr>
              <w:jc w:val="center"/>
              <w:rPr>
                <w:rFonts w:hint="eastAsia" w:ascii="宋体" w:hAnsi="宋体" w:eastAsia="宋体" w:cs="宋体"/>
                <w:color w:val="auto"/>
                <w:sz w:val="21"/>
                <w:szCs w:val="21"/>
              </w:rPr>
            </w:pPr>
          </w:p>
        </w:tc>
        <w:tc>
          <w:tcPr>
            <w:tcW w:w="4920" w:type="dxa"/>
            <w:noWrap w:val="0"/>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6）考核的期间内，供应商没有违法违规情况的得3分，有此行为，不得分。</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455" w:type="dxa"/>
            <w:gridSpan w:val="3"/>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合计</w:t>
            </w:r>
          </w:p>
        </w:tc>
        <w:tc>
          <w:tcPr>
            <w:tcW w:w="1067" w:type="dxa"/>
            <w:noWrap w:val="0"/>
            <w:vAlign w:val="center"/>
          </w:tcPr>
          <w:p>
            <w:pP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344"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评价人</w:t>
            </w:r>
          </w:p>
        </w:tc>
        <w:tc>
          <w:tcPr>
            <w:tcW w:w="1191" w:type="dxa"/>
            <w:noWrap w:val="0"/>
            <w:vAlign w:val="center"/>
          </w:tcPr>
          <w:p>
            <w:pPr>
              <w:jc w:val="center"/>
              <w:rPr>
                <w:rFonts w:hint="eastAsia" w:ascii="宋体" w:hAnsi="宋体" w:eastAsia="宋体" w:cs="宋体"/>
                <w:color w:val="auto"/>
                <w:sz w:val="21"/>
                <w:szCs w:val="21"/>
              </w:rPr>
            </w:pPr>
          </w:p>
        </w:tc>
        <w:tc>
          <w:tcPr>
            <w:tcW w:w="4920"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评价日期</w:t>
            </w:r>
          </w:p>
        </w:tc>
        <w:tc>
          <w:tcPr>
            <w:tcW w:w="1067" w:type="dxa"/>
            <w:noWrap w:val="0"/>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年</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rPr>
              <w:t>月 日</w:t>
            </w:r>
          </w:p>
        </w:tc>
      </w:tr>
    </w:tbl>
    <w:p>
      <w:pPr>
        <w:bidi w:val="0"/>
        <w:rPr>
          <w:rFonts w:hint="eastAsia"/>
          <w:color w:val="auto"/>
        </w:rPr>
      </w:pPr>
    </w:p>
    <w:p>
      <w:pPr>
        <w:pStyle w:val="7"/>
        <w:rPr>
          <w:rFonts w:hint="eastAsia"/>
          <w:color w:val="auto"/>
        </w:rPr>
      </w:pPr>
    </w:p>
    <w:p>
      <w:pPr>
        <w:pStyle w:val="8"/>
        <w:rPr>
          <w:rFonts w:hint="eastAsia"/>
          <w:color w:val="auto"/>
        </w:rPr>
      </w:pPr>
    </w:p>
    <w:p>
      <w:pPr>
        <w:pStyle w:val="9"/>
        <w:rPr>
          <w:rFonts w:hint="eastAsia"/>
          <w:color w:val="auto"/>
        </w:rPr>
      </w:pPr>
    </w:p>
    <w:p>
      <w:pPr>
        <w:rPr>
          <w:rFonts w:hint="eastAsia"/>
          <w:color w:val="auto"/>
        </w:rPr>
      </w:pPr>
    </w:p>
    <w:p>
      <w:pPr>
        <w:pStyle w:val="7"/>
        <w:rPr>
          <w:rFonts w:hint="eastAsia"/>
          <w:color w:val="auto"/>
        </w:rPr>
      </w:pPr>
    </w:p>
    <w:p>
      <w:pPr>
        <w:pStyle w:val="8"/>
        <w:rPr>
          <w:rFonts w:hint="eastAsia"/>
          <w:color w:val="auto"/>
        </w:rPr>
      </w:pPr>
    </w:p>
    <w:p>
      <w:pPr>
        <w:pStyle w:val="9"/>
        <w:rPr>
          <w:rFonts w:hint="eastAsia"/>
          <w:color w:val="auto"/>
        </w:rPr>
      </w:pPr>
    </w:p>
    <w:p>
      <w:pPr>
        <w:rPr>
          <w:rFonts w:hint="eastAsia"/>
          <w:color w:val="auto"/>
        </w:rPr>
      </w:pPr>
    </w:p>
    <w:p>
      <w:pPr>
        <w:pStyle w:val="7"/>
        <w:rPr>
          <w:rFonts w:hint="eastAsia"/>
          <w:color w:val="auto"/>
        </w:rPr>
      </w:pPr>
    </w:p>
    <w:p>
      <w:pPr>
        <w:pStyle w:val="8"/>
        <w:rPr>
          <w:rFonts w:hint="eastAsia"/>
          <w:color w:val="auto"/>
        </w:rPr>
      </w:pPr>
    </w:p>
    <w:p>
      <w:pPr>
        <w:pStyle w:val="9"/>
        <w:rPr>
          <w:rFonts w:hint="eastAsia"/>
          <w:color w:val="auto"/>
        </w:rPr>
      </w:pPr>
    </w:p>
    <w:p>
      <w:pPr>
        <w:rPr>
          <w:rFonts w:hint="eastAsia"/>
          <w:color w:val="auto"/>
        </w:rPr>
      </w:pPr>
    </w:p>
    <w:p>
      <w:pPr>
        <w:pStyle w:val="7"/>
        <w:rPr>
          <w:rFonts w:hint="eastAsia"/>
          <w:color w:val="auto"/>
        </w:rPr>
      </w:pPr>
    </w:p>
    <w:p>
      <w:pPr>
        <w:pStyle w:val="3"/>
        <w:spacing w:before="0" w:after="0" w:line="240" w:lineRule="auto"/>
        <w:rPr>
          <w:color w:val="auto"/>
          <w:sz w:val="28"/>
          <w:szCs w:val="28"/>
        </w:rPr>
      </w:pPr>
      <w:r>
        <w:rPr>
          <w:rFonts w:hint="eastAsia"/>
          <w:color w:val="auto"/>
          <w:sz w:val="28"/>
          <w:szCs w:val="28"/>
        </w:rPr>
        <w:t>第</w:t>
      </w:r>
      <w:r>
        <w:rPr>
          <w:rFonts w:hint="eastAsia"/>
          <w:color w:val="auto"/>
          <w:sz w:val="28"/>
          <w:szCs w:val="28"/>
          <w:lang w:val="en-US" w:eastAsia="zh-CN"/>
        </w:rPr>
        <w:t>六</w:t>
      </w:r>
      <w:r>
        <w:rPr>
          <w:rFonts w:hint="eastAsia"/>
          <w:color w:val="auto"/>
          <w:sz w:val="28"/>
          <w:szCs w:val="28"/>
        </w:rPr>
        <w:t>部分 合同格式（仅供参考）</w:t>
      </w:r>
      <w:bookmarkEnd w:id="183"/>
      <w:bookmarkEnd w:id="184"/>
      <w:bookmarkEnd w:id="185"/>
      <w:bookmarkStart w:id="186" w:name="_Toc1534"/>
      <w:bookmarkStart w:id="187" w:name="_Toc21155"/>
      <w:bookmarkStart w:id="188" w:name="_Toc13430"/>
    </w:p>
    <w:p>
      <w:pPr>
        <w:pStyle w:val="4"/>
        <w:spacing w:before="0" w:after="0" w:line="240" w:lineRule="auto"/>
        <w:jc w:val="center"/>
        <w:rPr>
          <w:rFonts w:ascii="宋体" w:hAnsi="宋体" w:eastAsia="宋体" w:cs="宋体"/>
          <w:color w:val="auto"/>
        </w:rPr>
      </w:pPr>
      <w:bookmarkStart w:id="189" w:name="_Toc19575"/>
      <w:bookmarkStart w:id="190" w:name="_Toc16730"/>
      <w:bookmarkStart w:id="191" w:name="_Toc8880"/>
      <w:r>
        <w:rPr>
          <w:rFonts w:hint="eastAsia" w:ascii="宋体" w:hAnsi="宋体" w:eastAsia="宋体" w:cs="宋体"/>
          <w:color w:val="auto"/>
        </w:rPr>
        <w:t>合同格式</w:t>
      </w:r>
      <w:bookmarkEnd w:id="186"/>
      <w:bookmarkEnd w:id="187"/>
      <w:bookmarkEnd w:id="188"/>
      <w:bookmarkEnd w:id="189"/>
      <w:bookmarkEnd w:id="190"/>
      <w:bookmarkEnd w:id="191"/>
    </w:p>
    <w:p>
      <w:pPr>
        <w:spacing w:line="420" w:lineRule="atLeast"/>
        <w:ind w:right="560"/>
        <w:rPr>
          <w:rFonts w:ascii="宋体" w:hAnsi="宋体" w:eastAsia="宋体"/>
          <w:color w:val="auto"/>
          <w:sz w:val="21"/>
          <w:szCs w:val="21"/>
        </w:rPr>
      </w:pPr>
      <w:r>
        <w:rPr>
          <w:rFonts w:hint="eastAsia" w:ascii="宋体" w:hAnsi="宋体" w:eastAsia="宋体"/>
          <w:color w:val="auto"/>
          <w:sz w:val="21"/>
          <w:szCs w:val="21"/>
        </w:rPr>
        <w:t>合同编号：</w:t>
      </w:r>
    </w:p>
    <w:p>
      <w:pPr>
        <w:spacing w:line="420" w:lineRule="atLeast"/>
        <w:rPr>
          <w:rFonts w:ascii="宋体" w:hAnsi="宋体" w:eastAsia="宋体"/>
          <w:color w:val="auto"/>
          <w:sz w:val="21"/>
          <w:szCs w:val="21"/>
        </w:rPr>
      </w:pPr>
      <w:r>
        <w:rPr>
          <w:rFonts w:hint="eastAsia" w:ascii="宋体" w:hAnsi="宋体" w:eastAsia="宋体"/>
          <w:color w:val="auto"/>
          <w:sz w:val="21"/>
          <w:szCs w:val="21"/>
        </w:rPr>
        <w:t>甲方：</w:t>
      </w:r>
    </w:p>
    <w:p>
      <w:pPr>
        <w:spacing w:line="420" w:lineRule="atLeast"/>
        <w:rPr>
          <w:rFonts w:ascii="宋体" w:hAnsi="宋体" w:eastAsia="宋体"/>
          <w:color w:val="auto"/>
          <w:sz w:val="21"/>
          <w:szCs w:val="21"/>
        </w:rPr>
      </w:pPr>
      <w:r>
        <w:rPr>
          <w:rFonts w:hint="eastAsia" w:ascii="宋体" w:hAnsi="宋体" w:eastAsia="宋体"/>
          <w:color w:val="auto"/>
          <w:sz w:val="21"/>
          <w:szCs w:val="21"/>
        </w:rPr>
        <w:t>乙方：“ ”为中标单位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受甲方委托，</w:t>
      </w:r>
      <w:r>
        <w:rPr>
          <w:rFonts w:hint="eastAsia" w:ascii="宋体" w:hAnsi="宋体" w:eastAsia="宋体"/>
          <w:color w:val="auto"/>
          <w:sz w:val="21"/>
          <w:szCs w:val="21"/>
          <w:u w:val="single"/>
        </w:rPr>
        <w:t xml:space="preserve">           (采购代理机构)</w:t>
      </w:r>
      <w:r>
        <w:rPr>
          <w:rFonts w:hint="eastAsia" w:ascii="宋体" w:hAnsi="宋体" w:eastAsia="宋体"/>
          <w:color w:val="auto"/>
          <w:sz w:val="21"/>
          <w:szCs w:val="21"/>
        </w:rPr>
        <w:t>组织对</w:t>
      </w:r>
      <w:r>
        <w:rPr>
          <w:rFonts w:hint="eastAsia" w:ascii="宋体" w:hAnsi="宋体" w:eastAsia="宋体"/>
          <w:color w:val="auto"/>
          <w:sz w:val="21"/>
          <w:szCs w:val="21"/>
          <w:u w:val="single"/>
        </w:rPr>
        <w:t xml:space="preserve">         （项目名称）</w:t>
      </w:r>
      <w:r>
        <w:rPr>
          <w:rFonts w:hint="eastAsia" w:ascii="宋体" w:hAnsi="宋体" w:eastAsia="宋体"/>
          <w:color w:val="auto"/>
          <w:sz w:val="21"/>
          <w:szCs w:val="21"/>
        </w:rPr>
        <w:t>采购项目（采购项目编号为）进行采购，于年月日通过公开招标，经评标委员会评定乙方为中标单位。为了保护甲、乙双方合法权益，根据</w:t>
      </w:r>
      <w:r>
        <w:rPr>
          <w:rFonts w:hint="eastAsia" w:ascii="宋体" w:hAnsi="宋体"/>
          <w:color w:val="auto"/>
          <w:sz w:val="21"/>
          <w:szCs w:val="21"/>
          <w:lang w:val="en-US" w:eastAsia="zh-CN"/>
        </w:rPr>
        <w:t>相关采购法律法规</w:t>
      </w:r>
      <w:r>
        <w:rPr>
          <w:rFonts w:hint="eastAsia" w:ascii="宋体" w:hAnsi="宋体" w:eastAsia="宋体"/>
          <w:color w:val="auto"/>
          <w:sz w:val="21"/>
          <w:szCs w:val="21"/>
        </w:rPr>
        <w:t>及其实施条例、《中华人民共和国</w:t>
      </w:r>
      <w:r>
        <w:rPr>
          <w:rFonts w:hint="eastAsia" w:eastAsia="宋体"/>
          <w:color w:val="auto"/>
          <w:lang w:val="en-US" w:eastAsia="zh-CN"/>
        </w:rPr>
        <w:t>民法典</w:t>
      </w:r>
      <w:r>
        <w:rPr>
          <w:rFonts w:hint="eastAsia" w:ascii="宋体" w:hAnsi="宋体" w:eastAsia="宋体"/>
          <w:color w:val="auto"/>
          <w:sz w:val="21"/>
          <w:szCs w:val="21"/>
        </w:rPr>
        <w:t>》，在平等自愿的基础上，按照下面的条款和条件，签署本合同。</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第一条 合同项目</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1、项目名称：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2、采购项目编号：                   。</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第二条 合同组成</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rPr>
      </w:pPr>
      <w:bookmarkStart w:id="192" w:name="_Toc86481558"/>
      <w:r>
        <w:rPr>
          <w:rFonts w:hint="eastAsia" w:ascii="宋体" w:hAnsi="宋体" w:eastAsia="宋体"/>
          <w:b/>
          <w:color w:val="auto"/>
          <w:sz w:val="21"/>
          <w:szCs w:val="21"/>
        </w:rPr>
        <w:t>第三条 服务内容、标准及要求</w:t>
      </w:r>
    </w:p>
    <w:p>
      <w:pPr>
        <w:spacing w:after="0" w:line="360" w:lineRule="auto"/>
        <w:rPr>
          <w:rFonts w:ascii="宋体" w:hAnsi="宋体" w:eastAsia="宋体" w:cs="仿宋"/>
          <w:color w:val="auto"/>
          <w:sz w:val="21"/>
          <w:szCs w:val="21"/>
          <w:u w:val="single"/>
          <w:shd w:val="clear" w:color="auto" w:fill="FFFFFF"/>
        </w:rPr>
      </w:pPr>
      <w:r>
        <w:rPr>
          <w:rFonts w:hint="eastAsia" w:ascii="宋体" w:hAnsi="宋体" w:eastAsia="宋体" w:cs="仿宋"/>
          <w:color w:val="auto"/>
          <w:sz w:val="21"/>
          <w:szCs w:val="21"/>
          <w:shd w:val="clear" w:color="auto" w:fill="FFFFFF"/>
        </w:rPr>
        <w:t>1、采购内容：</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2、采购标准：</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3、采购要求：</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第四条 价格</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2、合同总价：（人民币）大写 （¥）</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3、本合同价为固定不变价。</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第五条 服务期限及地点</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1、服务期：  年，合同生效之日自       年  月  日至     年  月  日止。</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2、服务地点：              或甲方指定地点。</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第六条 付款方式</w:t>
      </w:r>
    </w:p>
    <w:p>
      <w:pPr>
        <w:pStyle w:val="22"/>
        <w:spacing w:line="360" w:lineRule="auto"/>
        <w:ind w:firstLine="420" w:firstLineChars="200"/>
        <w:rPr>
          <w:rFonts w:ascii="宋体" w:hAnsi="宋体"/>
          <w:color w:val="auto"/>
          <w:sz w:val="21"/>
          <w:szCs w:val="21"/>
        </w:rPr>
      </w:pPr>
      <w:r>
        <w:rPr>
          <w:rFonts w:hint="eastAsia" w:ascii="宋体" w:hAnsi="宋体"/>
          <w:color w:val="auto"/>
          <w:sz w:val="21"/>
          <w:szCs w:val="21"/>
        </w:rPr>
        <w:t>1、本合同的付款方式为：。</w:t>
      </w:r>
    </w:p>
    <w:p>
      <w:pPr>
        <w:pStyle w:val="22"/>
        <w:spacing w:line="360" w:lineRule="auto"/>
        <w:ind w:firstLine="420" w:firstLineChars="200"/>
        <w:rPr>
          <w:rFonts w:ascii="宋体" w:hAnsi="宋体"/>
          <w:color w:val="auto"/>
          <w:sz w:val="21"/>
          <w:szCs w:val="21"/>
        </w:rPr>
      </w:pPr>
      <w:r>
        <w:rPr>
          <w:rFonts w:hint="eastAsia" w:ascii="宋体" w:hAnsi="宋体"/>
          <w:color w:val="auto"/>
          <w:sz w:val="21"/>
          <w:szCs w:val="21"/>
        </w:rPr>
        <w:t>2、付款前乙方应向甲方提出请款申请及所需的材料和等额合格发票。本合同的经费由</w:t>
      </w:r>
      <w:r>
        <w:rPr>
          <w:rFonts w:hint="eastAsia" w:ascii="宋体" w:hAnsi="宋体"/>
          <w:color w:val="auto"/>
          <w:sz w:val="21"/>
          <w:szCs w:val="21"/>
          <w:lang w:val="en-US" w:eastAsia="zh-CN"/>
        </w:rPr>
        <w:t>甲方</w:t>
      </w:r>
      <w:r>
        <w:rPr>
          <w:rFonts w:hint="eastAsia" w:ascii="宋体" w:hAnsi="宋体"/>
          <w:color w:val="auto"/>
          <w:sz w:val="21"/>
          <w:szCs w:val="21"/>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第七条 验收方式</w:t>
      </w:r>
    </w:p>
    <w:p>
      <w:pPr>
        <w:pStyle w:val="22"/>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1、验收应在甲乙双方共同参加下进行，依据招标文件及本合同的有关规定制定的方案进行验收，并按国家有关规定、规范进行。</w:t>
      </w:r>
    </w:p>
    <w:p>
      <w:pPr>
        <w:pStyle w:val="22"/>
        <w:spacing w:line="360" w:lineRule="auto"/>
        <w:ind w:firstLine="480"/>
        <w:rPr>
          <w:rFonts w:ascii="宋体" w:hAnsi="宋体"/>
          <w:color w:val="auto"/>
          <w:sz w:val="21"/>
          <w:szCs w:val="21"/>
        </w:rPr>
      </w:pPr>
      <w:r>
        <w:rPr>
          <w:rFonts w:hint="eastAsia" w:ascii="宋体" w:hAnsi="宋体"/>
          <w:color w:val="auto"/>
          <w:sz w:val="21"/>
          <w:szCs w:val="21"/>
        </w:rPr>
        <w:t>2、甲方组织项目验收小组按国家有关规定、规范进行验收，必要时邀请相关专业人员或机构参与验收。</w:t>
      </w:r>
    </w:p>
    <w:p>
      <w:pPr>
        <w:pStyle w:val="22"/>
        <w:spacing w:line="360" w:lineRule="auto"/>
        <w:ind w:firstLine="480"/>
        <w:rPr>
          <w:rFonts w:ascii="宋体" w:hAnsi="宋体"/>
          <w:color w:val="auto"/>
          <w:sz w:val="21"/>
          <w:szCs w:val="21"/>
        </w:rPr>
      </w:pPr>
      <w:r>
        <w:rPr>
          <w:rFonts w:hint="eastAsia" w:ascii="宋体" w:hAnsi="宋体"/>
          <w:color w:val="auto"/>
          <w:sz w:val="21"/>
          <w:szCs w:val="21"/>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第八条 税和关税</w:t>
      </w:r>
    </w:p>
    <w:p>
      <w:pPr>
        <w:pStyle w:val="22"/>
        <w:spacing w:line="360" w:lineRule="auto"/>
        <w:ind w:firstLine="482"/>
        <w:rPr>
          <w:rFonts w:ascii="宋体" w:hAnsi="宋体"/>
          <w:color w:val="auto"/>
          <w:sz w:val="21"/>
          <w:szCs w:val="21"/>
        </w:rPr>
      </w:pPr>
      <w:r>
        <w:rPr>
          <w:rFonts w:hint="eastAsia" w:ascii="宋体" w:hAnsi="宋体"/>
          <w:color w:val="auto"/>
          <w:sz w:val="21"/>
          <w:szCs w:val="21"/>
        </w:rPr>
        <w:t>1、根据现行税法对甲方征收的与本合同有关的一切税费均应由甲方承担。</w:t>
      </w:r>
    </w:p>
    <w:p>
      <w:pPr>
        <w:pStyle w:val="22"/>
        <w:spacing w:line="360" w:lineRule="auto"/>
        <w:ind w:firstLine="482"/>
        <w:rPr>
          <w:rFonts w:ascii="宋体" w:hAnsi="宋体"/>
          <w:color w:val="auto"/>
          <w:sz w:val="21"/>
          <w:szCs w:val="21"/>
        </w:rPr>
      </w:pPr>
      <w:r>
        <w:rPr>
          <w:rFonts w:hint="eastAsia" w:ascii="宋体" w:hAnsi="宋体"/>
          <w:color w:val="auto"/>
          <w:sz w:val="21"/>
          <w:szCs w:val="21"/>
        </w:rPr>
        <w:t>2、根据现行税法规定对乙方或其雇员征收的与本合同有关的一切税费应由乙方承担。</w:t>
      </w:r>
    </w:p>
    <w:p>
      <w:pPr>
        <w:pStyle w:val="22"/>
        <w:spacing w:line="360" w:lineRule="auto"/>
        <w:ind w:firstLine="482"/>
        <w:rPr>
          <w:rFonts w:ascii="宋体" w:hAnsi="宋体"/>
          <w:color w:val="auto"/>
          <w:sz w:val="21"/>
          <w:szCs w:val="21"/>
        </w:rPr>
      </w:pPr>
      <w:r>
        <w:rPr>
          <w:rFonts w:hint="eastAsia" w:ascii="宋体" w:hAnsi="宋体"/>
          <w:color w:val="auto"/>
          <w:sz w:val="21"/>
          <w:szCs w:val="21"/>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第九条 其它约定</w:t>
      </w:r>
    </w:p>
    <w:p>
      <w:pPr>
        <w:spacing w:after="0" w:line="360" w:lineRule="auto"/>
        <w:ind w:firstLine="420" w:firstLineChars="200"/>
        <w:rPr>
          <w:rFonts w:ascii="宋体" w:hAnsi="宋体" w:eastAsia="宋体"/>
          <w:color w:val="auto"/>
          <w:sz w:val="21"/>
          <w:szCs w:val="21"/>
        </w:rPr>
      </w:pPr>
      <w:r>
        <w:rPr>
          <w:rFonts w:ascii="宋体" w:hAnsi="宋体" w:eastAsia="宋体"/>
          <w:color w:val="auto"/>
          <w:sz w:val="21"/>
          <w:szCs w:val="21"/>
        </w:rPr>
        <w:t>1</w:t>
      </w:r>
      <w:r>
        <w:rPr>
          <w:rFonts w:hint="eastAsia" w:ascii="宋体" w:hAnsi="宋体" w:eastAsia="宋体"/>
          <w:color w:val="auto"/>
          <w:sz w:val="21"/>
          <w:szCs w:val="21"/>
        </w:rPr>
        <w:t>、严禁转包，未经甲方书面同意不得分包。</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2、乙方全部工作人员，须符合东莞市用工标准要求。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第十条 违约责任</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2、由于乙方的原因，导致双方签订的合同终止，乙方因此而遭受的损失，将由乙方独立承担，甲方对此不负任何责任，也不作任何赔偿。</w:t>
      </w:r>
    </w:p>
    <w:bookmarkEnd w:id="192"/>
    <w:p>
      <w:pPr>
        <w:spacing w:after="0" w:line="360" w:lineRule="auto"/>
        <w:ind w:firstLine="422" w:firstLineChars="200"/>
        <w:rPr>
          <w:rFonts w:ascii="宋体" w:hAnsi="宋体" w:eastAsia="宋体"/>
          <w:b/>
          <w:color w:val="auto"/>
          <w:sz w:val="21"/>
          <w:szCs w:val="21"/>
        </w:rPr>
      </w:pPr>
      <w:bookmarkStart w:id="193" w:name="_Toc86481570"/>
      <w:r>
        <w:rPr>
          <w:rFonts w:hint="eastAsia" w:ascii="宋体" w:hAnsi="宋体" w:eastAsia="宋体"/>
          <w:b/>
          <w:color w:val="auto"/>
          <w:sz w:val="21"/>
          <w:szCs w:val="21"/>
        </w:rPr>
        <w:t>第十一条 争议的解决</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2、本合同发生的诉讼管辖地为东莞市有管辖权的法院。</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宋体"/>
          <w:color w:val="auto"/>
          <w:sz w:val="21"/>
          <w:szCs w:val="21"/>
        </w:rPr>
        <w:t>4、本合同按照中华人民共和国的法律进行解释</w:t>
      </w:r>
      <w:r>
        <w:rPr>
          <w:rFonts w:hint="eastAsia" w:ascii="宋体" w:hAnsi="宋体" w:eastAsia="宋体" w:cs="仿宋"/>
          <w:color w:val="auto"/>
          <w:sz w:val="21"/>
          <w:szCs w:val="21"/>
          <w:shd w:val="clear" w:color="auto" w:fill="FFFFFF"/>
        </w:rPr>
        <w:t>。</w:t>
      </w:r>
    </w:p>
    <w:p>
      <w:pPr>
        <w:spacing w:after="0" w:line="360" w:lineRule="auto"/>
        <w:ind w:firstLine="422" w:firstLineChars="200"/>
        <w:rPr>
          <w:rFonts w:ascii="宋体" w:hAnsi="宋体" w:eastAsia="宋体"/>
          <w:b/>
          <w:color w:val="auto"/>
          <w:sz w:val="21"/>
          <w:szCs w:val="21"/>
        </w:rPr>
      </w:pPr>
      <w:bookmarkStart w:id="194" w:name="_Toc86481569"/>
      <w:r>
        <w:rPr>
          <w:rFonts w:hint="eastAsia" w:ascii="宋体" w:hAnsi="宋体" w:eastAsia="宋体"/>
          <w:b/>
          <w:color w:val="auto"/>
          <w:sz w:val="21"/>
          <w:szCs w:val="21"/>
        </w:rPr>
        <w:t>第十二条 合同生效</w:t>
      </w:r>
      <w:bookmarkEnd w:id="19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第十三条 其它</w:t>
      </w:r>
      <w:bookmarkEnd w:id="193"/>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本合同合计   页A4纸张，缺页之合同为无效合同。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甲方（盖章）：                      乙方（盖章）：</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法定代表(签字)：                   法定代表(签字)：</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地址：                             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                             电话：</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传真：</w:t>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传真：</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开户银行：</w:t>
      </w:r>
      <w:r>
        <w:rPr>
          <w:rFonts w:hint="eastAsia" w:ascii="宋体" w:hAnsi="宋体" w:eastAsia="宋体"/>
          <w:color w:val="auto"/>
          <w:sz w:val="21"/>
          <w:szCs w:val="21"/>
        </w:rPr>
        <w:tab/>
      </w:r>
      <w:r>
        <w:rPr>
          <w:rFonts w:hint="eastAsia" w:ascii="宋体" w:hAnsi="宋体" w:eastAsia="宋体"/>
          <w:color w:val="auto"/>
          <w:sz w:val="21"/>
          <w:szCs w:val="21"/>
        </w:rPr>
        <w:t xml:space="preserve">                     开户银行：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账号：                             账号：</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签约时间：</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签约地点：</w:t>
      </w:r>
    </w:p>
    <w:p>
      <w:pPr>
        <w:rPr>
          <w:rFonts w:ascii="宋体" w:hAnsi="宋体" w:eastAsia="宋体"/>
          <w:b/>
          <w:color w:val="auto"/>
          <w:sz w:val="21"/>
          <w:szCs w:val="21"/>
        </w:rPr>
      </w:pPr>
      <w:r>
        <w:rPr>
          <w:rFonts w:hint="eastAsia" w:ascii="宋体" w:hAnsi="宋体" w:eastAsia="宋体"/>
          <w:b/>
          <w:color w:val="auto"/>
          <w:sz w:val="21"/>
          <w:szCs w:val="21"/>
        </w:rPr>
        <w:t>此仅为合同书样本，中标人需根据实际情况和甲方签订相应的合同！</w:t>
      </w:r>
    </w:p>
    <w:p>
      <w:pPr>
        <w:rPr>
          <w:rFonts w:ascii="宋体" w:hAnsi="宋体" w:eastAsia="宋体"/>
          <w:b/>
          <w:color w:val="auto"/>
          <w:sz w:val="21"/>
          <w:szCs w:val="21"/>
        </w:rPr>
      </w:pPr>
      <w:r>
        <w:rPr>
          <w:rFonts w:hint="eastAsia" w:ascii="宋体" w:hAnsi="宋体" w:eastAsia="宋体"/>
          <w:b/>
          <w:color w:val="auto"/>
          <w:sz w:val="21"/>
          <w:szCs w:val="21"/>
        </w:rPr>
        <w:br w:type="page"/>
      </w:r>
    </w:p>
    <w:p>
      <w:pPr>
        <w:pStyle w:val="3"/>
        <w:spacing w:before="0" w:after="0" w:line="240" w:lineRule="auto"/>
        <w:rPr>
          <w:color w:val="auto"/>
          <w:sz w:val="28"/>
          <w:szCs w:val="28"/>
        </w:rPr>
      </w:pPr>
      <w:bookmarkStart w:id="195" w:name="_Toc23749"/>
      <w:bookmarkStart w:id="196" w:name="_Toc1478"/>
      <w:bookmarkStart w:id="197" w:name="_Toc31587"/>
      <w:r>
        <w:rPr>
          <w:rFonts w:hint="eastAsia"/>
          <w:color w:val="auto"/>
          <w:sz w:val="28"/>
          <w:szCs w:val="28"/>
        </w:rPr>
        <w:t>第</w:t>
      </w:r>
      <w:r>
        <w:rPr>
          <w:rFonts w:hint="eastAsia"/>
          <w:color w:val="auto"/>
          <w:sz w:val="28"/>
          <w:szCs w:val="28"/>
          <w:lang w:val="en-US" w:eastAsia="zh-CN"/>
        </w:rPr>
        <w:t>七</w:t>
      </w:r>
      <w:r>
        <w:rPr>
          <w:rFonts w:hint="eastAsia"/>
          <w:color w:val="auto"/>
          <w:sz w:val="28"/>
          <w:szCs w:val="28"/>
        </w:rPr>
        <w:t>部分  投标文件格式</w:t>
      </w:r>
      <w:bookmarkEnd w:id="195"/>
      <w:bookmarkEnd w:id="196"/>
      <w:bookmarkEnd w:id="197"/>
    </w:p>
    <w:p>
      <w:pPr>
        <w:rPr>
          <w:color w:val="auto"/>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198" w:name="_Toc5794"/>
      <w:bookmarkStart w:id="199" w:name="_Toc6790"/>
      <w:bookmarkStart w:id="200" w:name="_Toc26830"/>
      <w:r>
        <w:rPr>
          <w:rFonts w:hint="eastAsia"/>
          <w:color w:val="auto"/>
        </w:rPr>
        <w:t>投标文件目录</w:t>
      </w:r>
      <w:bookmarkEnd w:id="198"/>
      <w:bookmarkEnd w:id="199"/>
      <w:bookmarkEnd w:id="200"/>
    </w:p>
    <w:p>
      <w:pPr>
        <w:jc w:val="center"/>
        <w:rPr>
          <w:rFonts w:ascii="黑体" w:eastAsia="黑体"/>
          <w:color w:val="auto"/>
          <w:sz w:val="32"/>
          <w:szCs w:val="32"/>
        </w:rPr>
      </w:pPr>
    </w:p>
    <w:p>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格式自理。</w:t>
      </w: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1" w:name="_Toc18893"/>
      <w:bookmarkStart w:id="202" w:name="_Toc5670"/>
      <w:bookmarkStart w:id="203" w:name="_Toc25502"/>
      <w:r>
        <w:rPr>
          <w:rFonts w:hint="eastAsia"/>
          <w:color w:val="auto"/>
        </w:rPr>
        <w:t>评分标准索引表</w:t>
      </w:r>
      <w:bookmarkEnd w:id="201"/>
      <w:bookmarkEnd w:id="202"/>
      <w:bookmarkEnd w:id="203"/>
    </w:p>
    <w:p>
      <w:pPr>
        <w:adjustRightInd/>
        <w:snapToGrid/>
        <w:spacing w:line="276" w:lineRule="auto"/>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8"/>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numPr>
          <w:ilvl w:val="0"/>
          <w:numId w:val="11"/>
        </w:numPr>
        <w:rPr>
          <w:rFonts w:ascii="宋体" w:hAnsi="宋体" w:eastAsia="宋体"/>
          <w:color w:val="auto"/>
          <w:sz w:val="21"/>
          <w:szCs w:val="21"/>
        </w:rPr>
      </w:pPr>
      <w:r>
        <w:rPr>
          <w:rFonts w:hint="eastAsia" w:ascii="宋体" w:hAnsi="宋体" w:eastAsia="宋体"/>
          <w:color w:val="auto"/>
          <w:sz w:val="21"/>
          <w:szCs w:val="21"/>
        </w:rPr>
        <w:t>该表格为参考格式，投标人可按实际情况自行制订评分标准索引表。</w:t>
      </w:r>
    </w:p>
    <w:p>
      <w:pPr>
        <w:pStyle w:val="7"/>
        <w:spacing w:before="0"/>
        <w:ind w:left="0"/>
        <w:rPr>
          <w:color w:val="auto"/>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204" w:name="_Toc22080"/>
      <w:bookmarkStart w:id="205" w:name="_Toc8194"/>
      <w:bookmarkStart w:id="206" w:name="_Toc30640"/>
      <w:r>
        <w:rPr>
          <w:rFonts w:hint="eastAsia"/>
          <w:color w:val="auto"/>
          <w:lang w:val="en-US" w:eastAsia="zh-CN"/>
        </w:rPr>
        <w:t>第一章价格文件</w:t>
      </w:r>
      <w:bookmarkEnd w:id="204"/>
      <w:bookmarkEnd w:id="20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07" w:name="_Toc4168"/>
      <w:bookmarkStart w:id="208" w:name="_Toc19750"/>
      <w:r>
        <w:rPr>
          <w:rFonts w:hint="eastAsia"/>
          <w:color w:val="auto"/>
          <w:lang w:val="en-US" w:eastAsia="zh-CN"/>
        </w:rPr>
        <w:t>一、唱标一览表</w:t>
      </w:r>
      <w:bookmarkEnd w:id="207"/>
      <w:bookmarkEnd w:id="208"/>
    </w:p>
    <w:p>
      <w:pPr>
        <w:spacing w:line="360" w:lineRule="auto"/>
        <w:rPr>
          <w:color w:val="auto"/>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rPr>
              <w:t>投标</w:t>
            </w:r>
            <w:r>
              <w:rPr>
                <w:rFonts w:hint="eastAsia" w:ascii="宋体" w:hAnsi="宋体"/>
                <w:color w:val="auto"/>
                <w:sz w:val="21"/>
                <w:szCs w:val="21"/>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2" w:hRule="atLeast"/>
          <w:jc w:val="center"/>
        </w:trPr>
        <w:tc>
          <w:tcPr>
            <w:tcW w:w="2714" w:type="dxa"/>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tcBorders>
              <w:tl2br w:val="nil"/>
              <w:tr2bl w:val="nil"/>
            </w:tcBorders>
            <w:vAlign w:val="center"/>
          </w:tcPr>
          <w:p>
            <w:pPr>
              <w:numPr>
                <w:ilvl w:val="0"/>
                <w:numId w:val="0"/>
              </w:numPr>
              <w:spacing w:line="360" w:lineRule="auto"/>
              <w:ind w:firstLine="420" w:firstLineChars="200"/>
              <w:rPr>
                <w:rFonts w:ascii="宋体" w:hAnsi="宋体" w:eastAsia="宋体"/>
                <w:color w:val="auto"/>
                <w:sz w:val="21"/>
                <w:szCs w:val="21"/>
              </w:rPr>
            </w:pPr>
          </w:p>
        </w:tc>
        <w:tc>
          <w:tcPr>
            <w:tcW w:w="3262" w:type="dxa"/>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注：1、投标总价栏须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表示的投标总价</w:t>
      </w:r>
      <w:r>
        <w:rPr>
          <w:rFonts w:hint="eastAsia" w:ascii="宋体" w:hAnsi="宋体" w:eastAsia="宋体"/>
          <w:color w:val="auto"/>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2、此表应按投标人须知的规定密封标记并与《授权委托书》、《投标保证金汇入情况说明》</w:t>
      </w:r>
      <w:r>
        <w:rPr>
          <w:rFonts w:hint="eastAsia" w:ascii="宋体" w:hAnsi="宋体"/>
          <w:color w:val="auto"/>
          <w:sz w:val="21"/>
          <w:szCs w:val="21"/>
          <w:lang w:val="en-US" w:eastAsia="zh-CN"/>
        </w:rPr>
        <w:t>一</w:t>
      </w:r>
      <w:r>
        <w:rPr>
          <w:rFonts w:hint="eastAsia" w:ascii="宋体" w:hAnsi="宋体" w:eastAsia="宋体"/>
          <w:color w:val="auto"/>
          <w:sz w:val="21"/>
          <w:szCs w:val="21"/>
        </w:rPr>
        <w:t>同密封单独提交。</w:t>
      </w:r>
    </w:p>
    <w:p>
      <w:pPr>
        <w:bidi w:val="0"/>
        <w:rPr>
          <w:rFonts w:hint="eastAsia"/>
          <w:color w:val="auto"/>
        </w:rPr>
      </w:pPr>
    </w:p>
    <w:p>
      <w:pPr>
        <w:pStyle w:val="7"/>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pStyle w:val="8"/>
        <w:rPr>
          <w:rFonts w:hint="eastAsia"/>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09" w:name="_Toc31062"/>
      <w:bookmarkStart w:id="210" w:name="_Toc31172"/>
      <w:r>
        <w:rPr>
          <w:rFonts w:hint="eastAsia"/>
          <w:color w:val="auto"/>
          <w:lang w:val="en-US" w:eastAsia="zh-CN"/>
        </w:rPr>
        <w:t>二、报价明细表</w:t>
      </w:r>
      <w:bookmarkEnd w:id="209"/>
      <w:bookmarkEnd w:id="210"/>
    </w:p>
    <w:p>
      <w:pPr>
        <w:pStyle w:val="30"/>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货物</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规格型号</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r>
              <w:rPr>
                <w:rFonts w:hint="eastAsia" w:ascii="宋体" w:hAnsi="宋体" w:eastAsia="宋体"/>
                <w:color w:val="auto"/>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bl>
    <w:p>
      <w:pPr>
        <w:rPr>
          <w:rFonts w:ascii="宋体" w:hAnsi="宋体" w:eastAsia="宋体" w:cs="宋体"/>
          <w:b/>
          <w:color w:val="auto"/>
          <w:sz w:val="21"/>
          <w:szCs w:val="21"/>
        </w:rPr>
      </w:pPr>
    </w:p>
    <w:p>
      <w:pPr>
        <w:bidi w:val="0"/>
        <w:rPr>
          <w:color w:val="auto"/>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s="宋体"/>
          <w:b/>
          <w:color w:val="auto"/>
          <w:sz w:val="21"/>
          <w:szCs w:val="21"/>
        </w:rPr>
      </w:pPr>
      <w:r>
        <w:rPr>
          <w:rFonts w:hint="eastAsia" w:ascii="宋体" w:hAnsi="宋体" w:eastAsia="宋体"/>
          <w:color w:val="auto"/>
          <w:sz w:val="21"/>
          <w:szCs w:val="21"/>
        </w:rPr>
        <w:t>日期：</w:t>
      </w:r>
    </w:p>
    <w:p>
      <w:pPr>
        <w:pStyle w:val="30"/>
        <w:rPr>
          <w:rFonts w:ascii="黑体" w:eastAsia="黑体"/>
          <w:color w:val="auto"/>
          <w:sz w:val="32"/>
          <w:szCs w:val="32"/>
        </w:rPr>
      </w:pPr>
    </w:p>
    <w:p>
      <w:pPr>
        <w:pStyle w:val="30"/>
        <w:rPr>
          <w:rFonts w:ascii="黑体" w:eastAsia="黑体"/>
          <w:color w:val="auto"/>
          <w:sz w:val="32"/>
          <w:szCs w:val="32"/>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11" w:name="_Toc6471"/>
      <w:bookmarkStart w:id="212" w:name="_Toc23948"/>
      <w:r>
        <w:rPr>
          <w:rFonts w:hint="eastAsia"/>
          <w:color w:val="auto"/>
          <w:lang w:val="en-US" w:eastAsia="zh-CN"/>
        </w:rPr>
        <w:t>第二章商务文件</w:t>
      </w:r>
      <w:bookmarkEnd w:id="211"/>
      <w:bookmarkEnd w:id="212"/>
    </w:p>
    <w:bookmarkEnd w:id="20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3" w:name="_Toc23787"/>
      <w:bookmarkStart w:id="214" w:name="_Toc1952"/>
      <w:r>
        <w:rPr>
          <w:rFonts w:hint="eastAsia"/>
          <w:color w:val="auto"/>
          <w:lang w:val="en-US" w:eastAsia="zh-CN"/>
        </w:rPr>
        <w:t>一、投标函</w:t>
      </w:r>
      <w:bookmarkEnd w:id="213"/>
      <w:bookmarkEnd w:id="214"/>
    </w:p>
    <w:p>
      <w:pPr>
        <w:spacing w:after="0" w:line="36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360" w:lineRule="auto"/>
        <w:rPr>
          <w:rFonts w:ascii="宋体" w:hAnsi="宋体" w:eastAsia="宋体"/>
          <w:color w:val="auto"/>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rPr>
        <w:t>根据贵方为</w:t>
      </w:r>
      <w:r>
        <w:rPr>
          <w:rFonts w:hint="eastAsia" w:ascii="宋体" w:hAnsi="宋体" w:eastAsia="宋体"/>
          <w:color w:val="auto"/>
          <w:sz w:val="21"/>
          <w:szCs w:val="21"/>
          <w:u w:val="single"/>
        </w:rPr>
        <w:t>（项目名称）（采购项目编号）</w:t>
      </w:r>
      <w:r>
        <w:rPr>
          <w:rFonts w:hint="eastAsia" w:ascii="宋体" w:hAnsi="宋体" w:eastAsia="宋体"/>
          <w:color w:val="auto"/>
          <w:sz w:val="21"/>
          <w:szCs w:val="21"/>
        </w:rPr>
        <w:t>项目招标公告/招标邀请，签字代表</w:t>
      </w:r>
      <w:r>
        <w:rPr>
          <w:rFonts w:hint="eastAsia" w:ascii="宋体" w:hAnsi="宋体" w:eastAsia="宋体"/>
          <w:color w:val="auto"/>
          <w:sz w:val="21"/>
          <w:szCs w:val="21"/>
          <w:u w:val="single"/>
        </w:rPr>
        <w:t>（姓名、职务）</w:t>
      </w:r>
      <w:r>
        <w:rPr>
          <w:rFonts w:hint="eastAsia" w:ascii="宋体" w:hAnsi="宋体" w:eastAsia="宋体"/>
          <w:color w:val="auto"/>
          <w:sz w:val="21"/>
          <w:szCs w:val="21"/>
        </w:rPr>
        <w:t>经正式授权并代表投标人</w:t>
      </w:r>
      <w:r>
        <w:rPr>
          <w:rFonts w:hint="eastAsia" w:ascii="宋体" w:hAnsi="宋体" w:eastAsia="宋体"/>
          <w:color w:val="auto"/>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lang w:val="en-US" w:eastAsia="zh-CN"/>
        </w:rPr>
        <w:t>已</w:t>
      </w:r>
      <w:r>
        <w:rPr>
          <w:rFonts w:hint="eastAsia" w:ascii="新宋体" w:hAnsi="新宋体" w:eastAsia="新宋体"/>
          <w:color w:val="auto"/>
          <w:sz w:val="22"/>
          <w:lang w:val="zh-CN"/>
        </w:rPr>
        <w:t>完全明白招标文件的所有条款要求，并重申以下几点：</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我方将按招标文件的规定履行合同责任和义务。 </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本投标有效期为自开标日起</w:t>
      </w:r>
      <w:r>
        <w:rPr>
          <w:rFonts w:hint="eastAsia" w:ascii="宋体" w:hAnsi="宋体" w:eastAsia="宋体"/>
          <w:color w:val="auto"/>
          <w:sz w:val="21"/>
          <w:szCs w:val="21"/>
          <w:u w:val="single"/>
        </w:rPr>
        <w:t>90</w:t>
      </w:r>
      <w:r>
        <w:rPr>
          <w:rFonts w:hint="eastAsia" w:ascii="宋体" w:hAnsi="宋体" w:eastAsia="宋体"/>
          <w:color w:val="auto"/>
          <w:sz w:val="21"/>
          <w:szCs w:val="21"/>
        </w:rPr>
        <w:t>个日历日。</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本公司同意按照贵公司可能提出的要求而提供与投标有关的任何其它数据、信息或资料。</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我方保证遵守投标人须知中关于没收投标保证金的规定。</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2"/>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与本投标有关的一切正式信函请寄：</w:t>
      </w:r>
    </w:p>
    <w:p>
      <w:pPr>
        <w:spacing w:after="0" w:line="360" w:lineRule="auto"/>
        <w:rPr>
          <w:rFonts w:hint="eastAsia" w:ascii="宋体" w:hAnsi="宋体" w:eastAsia="宋体"/>
          <w:color w:val="auto"/>
          <w:sz w:val="21"/>
          <w:szCs w:val="21"/>
        </w:rPr>
      </w:pPr>
    </w:p>
    <w:p>
      <w:pPr>
        <w:spacing w:after="0" w:line="360" w:lineRule="auto"/>
        <w:rPr>
          <w:rFonts w:hint="eastAsia" w:ascii="宋体" w:hAnsi="宋体" w:eastAsia="宋体"/>
          <w:color w:val="auto"/>
          <w:sz w:val="21"/>
          <w:szCs w:val="21"/>
        </w:rPr>
      </w:pPr>
      <w:r>
        <w:rPr>
          <w:rFonts w:hint="eastAsia" w:ascii="宋体" w:hAnsi="宋体" w:eastAsia="宋体"/>
          <w:color w:val="auto"/>
          <w:sz w:val="21"/>
          <w:szCs w:val="21"/>
        </w:rPr>
        <w:t>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lang w:val="en-US" w:eastAsia="zh-CN"/>
        </w:rPr>
        <w:t>邮箱</w:t>
      </w:r>
      <w:r>
        <w:rPr>
          <w:rFonts w:hint="eastAsia" w:ascii="宋体" w:hAnsi="宋体" w:eastAsia="宋体"/>
          <w:color w:val="auto"/>
          <w:sz w:val="21"/>
          <w:szCs w:val="21"/>
        </w:rPr>
        <w:t>：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电话/移动电话：　　　　　　　　　　　　　　　</w:t>
      </w:r>
    </w:p>
    <w:p>
      <w:pPr>
        <w:spacing w:after="0" w:line="360" w:lineRule="auto"/>
        <w:rPr>
          <w:rFonts w:hint="eastAsia" w:ascii="宋体" w:hAnsi="宋体" w:eastAsia="宋体"/>
          <w:color w:val="auto"/>
          <w:sz w:val="21"/>
          <w:szCs w:val="21"/>
          <w:lang w:val="en-US" w:eastAsia="zh-CN"/>
        </w:rPr>
      </w:pPr>
      <w:r>
        <w:rPr>
          <w:rFonts w:hint="eastAsia" w:ascii="宋体" w:hAnsi="宋体" w:eastAsia="宋体"/>
          <w:color w:val="auto"/>
          <w:sz w:val="21"/>
          <w:szCs w:val="21"/>
        </w:rPr>
        <w:t xml:space="preserve">投标人代表签字： </w:t>
      </w:r>
      <w:r>
        <w:rPr>
          <w:rFonts w:hint="eastAsia" w:ascii="宋体" w:hAnsi="宋体" w:eastAsia="宋体"/>
          <w:color w:val="auto"/>
          <w:sz w:val="21"/>
          <w:szCs w:val="21"/>
          <w:lang w:val="en-US" w:eastAsia="zh-CN"/>
        </w:rPr>
        <w:t xml:space="preserve">                   </w:t>
      </w:r>
    </w:p>
    <w:p>
      <w:pPr>
        <w:spacing w:after="0" w:line="360" w:lineRule="auto"/>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投标人名称（加盖公章）</w:t>
      </w:r>
      <w:r>
        <w:rPr>
          <w:rFonts w:hint="eastAsia" w:ascii="宋体" w:hAnsi="宋体" w:eastAsia="宋体"/>
          <w:color w:val="auto"/>
          <w:sz w:val="21"/>
          <w:szCs w:val="21"/>
        </w:rPr>
        <w:t xml:space="preserve">：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日期：</w:t>
      </w:r>
    </w:p>
    <w:p>
      <w:pPr>
        <w:adjustRightInd/>
        <w:snapToGrid/>
        <w:spacing w:line="276" w:lineRule="auto"/>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5" w:name="_Toc28616"/>
      <w:bookmarkStart w:id="216" w:name="_Toc15719"/>
      <w:r>
        <w:rPr>
          <w:rFonts w:hint="eastAsia"/>
          <w:color w:val="auto"/>
          <w:lang w:val="en-US" w:eastAsia="zh-CN"/>
        </w:rPr>
        <w:t>二、资格申明函</w:t>
      </w:r>
      <w:bookmarkEnd w:id="215"/>
      <w:bookmarkEnd w:id="216"/>
    </w:p>
    <w:p>
      <w:pPr>
        <w:pStyle w:val="36"/>
        <w:spacing w:line="420" w:lineRule="atLeast"/>
        <w:ind w:firstLine="0" w:firstLineChars="0"/>
        <w:rPr>
          <w:rFonts w:ascii="宋体" w:eastAsia="宋体"/>
          <w:color w:val="auto"/>
          <w:sz w:val="21"/>
          <w:szCs w:val="21"/>
        </w:rPr>
      </w:pPr>
      <w:r>
        <w:rPr>
          <w:rFonts w:hint="eastAsia" w:ascii="宋体" w:eastAsia="宋体"/>
          <w:color w:val="auto"/>
          <w:sz w:val="21"/>
          <w:szCs w:val="21"/>
          <w:lang w:val="en-US" w:eastAsia="zh-CN"/>
        </w:rPr>
        <w:t>致</w:t>
      </w:r>
      <w:r>
        <w:rPr>
          <w:rFonts w:hint="eastAsia" w:ascii="宋体" w:eastAsia="宋体"/>
          <w:color w:val="auto"/>
          <w:sz w:val="21"/>
          <w:szCs w:val="21"/>
          <w:lang w:eastAsia="zh-CN"/>
        </w:rPr>
        <w:t>广东政通招标有限公司</w:t>
      </w:r>
      <w:r>
        <w:rPr>
          <w:rFonts w:hint="eastAsia" w:ascii="宋体" w:eastAsia="宋体"/>
          <w:color w:val="auto"/>
          <w:sz w:val="21"/>
          <w:szCs w:val="21"/>
        </w:rPr>
        <w:t>：</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我方</w:t>
      </w:r>
      <w:r>
        <w:rPr>
          <w:rFonts w:ascii="宋体" w:hAnsi="宋体" w:eastAsia="宋体"/>
          <w:color w:val="auto"/>
          <w:sz w:val="21"/>
          <w:szCs w:val="21"/>
        </w:rPr>
        <w:t>愿响应</w:t>
      </w:r>
      <w:r>
        <w:rPr>
          <w:rFonts w:hint="eastAsia" w:ascii="宋体" w:hAnsi="宋体" w:eastAsia="宋体"/>
          <w:color w:val="auto"/>
          <w:sz w:val="21"/>
          <w:szCs w:val="21"/>
        </w:rPr>
        <w:t>贵</w:t>
      </w:r>
      <w:r>
        <w:rPr>
          <w:rFonts w:ascii="宋体" w:hAnsi="宋体" w:eastAsia="宋体"/>
          <w:color w:val="auto"/>
          <w:sz w:val="21"/>
          <w:szCs w:val="21"/>
        </w:rPr>
        <w:t>方</w:t>
      </w:r>
      <w:r>
        <w:rPr>
          <w:rFonts w:hint="eastAsia" w:ascii="宋体" w:hAnsi="宋体" w:eastAsia="宋体"/>
          <w:color w:val="auto"/>
          <w:sz w:val="21"/>
          <w:szCs w:val="21"/>
        </w:rPr>
        <w:t>关于（项目名称）</w:t>
      </w:r>
      <w:r>
        <w:rPr>
          <w:rFonts w:ascii="宋体" w:hAnsi="宋体" w:eastAsia="宋体"/>
          <w:color w:val="auto"/>
          <w:sz w:val="21"/>
          <w:szCs w:val="21"/>
        </w:rPr>
        <w:t>（</w:t>
      </w:r>
      <w:r>
        <w:rPr>
          <w:rFonts w:hint="eastAsia" w:ascii="宋体" w:hAnsi="宋体" w:eastAsia="宋体"/>
          <w:color w:val="auto"/>
          <w:sz w:val="21"/>
          <w:szCs w:val="21"/>
        </w:rPr>
        <w:t>采购项目编号</w:t>
      </w:r>
      <w:r>
        <w:rPr>
          <w:rFonts w:ascii="宋体" w:hAnsi="宋体" w:eastAsia="宋体"/>
          <w:color w:val="auto"/>
          <w:sz w:val="21"/>
          <w:szCs w:val="21"/>
        </w:rPr>
        <w:t>）</w:t>
      </w:r>
      <w:r>
        <w:rPr>
          <w:rFonts w:hint="eastAsia" w:ascii="宋体" w:hAnsi="宋体" w:eastAsia="宋体"/>
          <w:color w:val="auto"/>
          <w:sz w:val="21"/>
          <w:szCs w:val="21"/>
        </w:rPr>
        <w:t>的</w:t>
      </w:r>
      <w:r>
        <w:rPr>
          <w:rFonts w:ascii="宋体" w:hAnsi="宋体" w:eastAsia="宋体"/>
          <w:color w:val="auto"/>
          <w:sz w:val="21"/>
          <w:szCs w:val="21"/>
        </w:rPr>
        <w:t>投标邀请，参与投标，提供用户需求书中规定的</w:t>
      </w:r>
      <w:r>
        <w:rPr>
          <w:rFonts w:hint="eastAsia" w:ascii="宋体" w:hAnsi="宋体" w:eastAsia="宋体"/>
          <w:color w:val="auto"/>
          <w:sz w:val="21"/>
          <w:szCs w:val="21"/>
        </w:rPr>
        <w:t>货物及相关服务</w:t>
      </w:r>
      <w:r>
        <w:rPr>
          <w:rFonts w:ascii="宋体" w:hAnsi="宋体" w:eastAsia="宋体"/>
          <w:color w:val="auto"/>
          <w:sz w:val="21"/>
          <w:szCs w:val="21"/>
        </w:rPr>
        <w:t>，并按招标文件要求提交所附资格文件且声明和保证如下：</w:t>
      </w:r>
    </w:p>
    <w:p>
      <w:pPr>
        <w:ind w:firstLine="420" w:firstLineChars="200"/>
        <w:rPr>
          <w:rFonts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rPr>
        <w:t>、</w:t>
      </w:r>
      <w:r>
        <w:rPr>
          <w:rFonts w:ascii="宋体" w:hAnsi="宋体"/>
          <w:color w:val="auto"/>
          <w:szCs w:val="21"/>
        </w:rPr>
        <w:t>我方依法注册，在法律上、财务上和运作上完全独立于（甲方名称）（甲方）及</w:t>
      </w:r>
      <w:r>
        <w:rPr>
          <w:rFonts w:hint="eastAsia" w:ascii="宋体" w:hAnsi="宋体"/>
          <w:color w:val="auto"/>
          <w:szCs w:val="21"/>
        </w:rPr>
        <w:t>广东政通招标有限公司</w:t>
      </w:r>
      <w:r>
        <w:rPr>
          <w:rFonts w:ascii="宋体" w:hAnsi="宋体"/>
          <w:color w:val="auto"/>
          <w:szCs w:val="21"/>
        </w:rPr>
        <w:t>（采购代理机构）</w:t>
      </w:r>
      <w:r>
        <w:rPr>
          <w:rFonts w:hint="eastAsia" w:ascii="宋体" w:hAnsi="宋体"/>
          <w:color w:val="auto"/>
          <w:szCs w:val="21"/>
        </w:rPr>
        <w:t>。</w:t>
      </w:r>
    </w:p>
    <w:p>
      <w:pPr>
        <w:pStyle w:val="36"/>
        <w:spacing w:line="500" w:lineRule="atLeast"/>
        <w:ind w:firstLine="3517" w:firstLineChars="1675"/>
        <w:rPr>
          <w:rFonts w:ascii="宋体" w:eastAsia="宋体"/>
          <w:color w:val="auto"/>
          <w:sz w:val="21"/>
          <w:szCs w:val="21"/>
        </w:rPr>
      </w:pP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jc w:val="both"/>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color w:val="auto"/>
        </w:rPr>
      </w:pPr>
    </w:p>
    <w:p>
      <w:pPr>
        <w:pStyle w:val="8"/>
        <w:rPr>
          <w:color w:val="auto"/>
        </w:rPr>
      </w:pPr>
    </w:p>
    <w:p>
      <w:pPr>
        <w:pStyle w:val="9"/>
        <w:rPr>
          <w:color w:val="auto"/>
        </w:rPr>
      </w:pPr>
    </w:p>
    <w:p>
      <w:pPr>
        <w:rPr>
          <w:color w:val="auto"/>
        </w:rPr>
      </w:pPr>
    </w:p>
    <w:p>
      <w:pPr>
        <w:pStyle w:val="7"/>
        <w:rPr>
          <w:color w:val="auto"/>
        </w:rPr>
      </w:pPr>
    </w:p>
    <w:p>
      <w:pPr>
        <w:rPr>
          <w:color w:val="auto"/>
        </w:rPr>
      </w:pPr>
      <w:bookmarkStart w:id="217"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8" w:name="_Toc21273"/>
      <w:bookmarkStart w:id="219" w:name="_Toc32742"/>
      <w:r>
        <w:rPr>
          <w:rFonts w:hint="eastAsia"/>
          <w:color w:val="auto"/>
          <w:lang w:val="en-US" w:eastAsia="zh-CN"/>
        </w:rPr>
        <w:t>三、在参与采购活动前三年未有重大违法记录、没有不良信用记录的声明函</w:t>
      </w:r>
      <w:bookmarkEnd w:id="218"/>
      <w:bookmarkEnd w:id="219"/>
    </w:p>
    <w:p>
      <w:pPr>
        <w:spacing w:after="0" w:line="360" w:lineRule="auto"/>
        <w:ind w:firstLine="420" w:firstLineChars="200"/>
        <w:rPr>
          <w:rFonts w:ascii="宋体" w:hAnsi="宋体" w:eastAsia="宋体" w:cs="宋体"/>
          <w:color w:val="auto"/>
          <w:sz w:val="21"/>
          <w:szCs w:val="21"/>
        </w:rPr>
      </w:pP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lang w:val="en-US" w:eastAsia="zh-CN"/>
        </w:rPr>
        <w:t>致</w:t>
      </w:r>
      <w:r>
        <w:rPr>
          <w:rFonts w:hint="eastAsia" w:ascii="宋体" w:hAnsi="宋体" w:eastAsia="宋体" w:cs="宋体"/>
          <w:color w:val="auto"/>
          <w:sz w:val="21"/>
          <w:szCs w:val="21"/>
          <w:lang w:eastAsia="zh-CN"/>
        </w:rPr>
        <w:t>广东政通招标有限公司</w:t>
      </w:r>
      <w:r>
        <w:rPr>
          <w:rFonts w:hint="eastAsia" w:ascii="宋体" w:hAnsi="宋体" w:eastAsia="宋体" w:cs="宋体"/>
          <w:color w:val="auto"/>
          <w:sz w:val="21"/>
          <w:szCs w:val="21"/>
        </w:rPr>
        <w:t>：</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（采购项目名称）</w:t>
      </w:r>
      <w:r>
        <w:rPr>
          <w:rFonts w:hint="eastAsia" w:ascii="宋体" w:hAnsi="宋体" w:eastAsia="宋体" w:cs="宋体"/>
          <w:color w:val="auto"/>
          <w:sz w:val="21"/>
          <w:szCs w:val="21"/>
        </w:rPr>
        <w:t>” （项目编号: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lang w:eastAsia="zh-CN"/>
        </w:rPr>
        <w:t>投标人名称（加盖公章）</w:t>
      </w:r>
      <w:r>
        <w:rPr>
          <w:rFonts w:hint="eastAsia" w:ascii="宋体" w:hAnsi="宋体" w:eastAsia="宋体" w:cs="宋体"/>
          <w:color w:val="auto"/>
          <w:sz w:val="21"/>
          <w:szCs w:val="21"/>
        </w:rPr>
        <w:t>：</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color w:val="auto"/>
        </w:rPr>
      </w:pPr>
      <w:r>
        <w:rPr>
          <w:rFonts w:ascii="楷体_GB2312" w:eastAsia="楷体_GB2312"/>
          <w:color w:val="auto"/>
          <w:sz w:val="24"/>
        </w:rPr>
        <w:br w:type="page"/>
      </w:r>
      <w:bookmarkEnd w:id="21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0" w:name="_Toc13243"/>
      <w:bookmarkStart w:id="221" w:name="_Toc3894"/>
      <w:r>
        <w:rPr>
          <w:rFonts w:hint="eastAsia"/>
          <w:color w:val="auto"/>
          <w:lang w:val="en-US" w:eastAsia="zh-CN"/>
        </w:rPr>
        <w:t>四、法定代表人证明书</w:t>
      </w:r>
      <w:bookmarkEnd w:id="220"/>
      <w:bookmarkEnd w:id="221"/>
    </w:p>
    <w:p>
      <w:pPr>
        <w:pStyle w:val="36"/>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6"/>
        <w:spacing w:line="420" w:lineRule="atLeast"/>
        <w:ind w:firstLine="433"/>
        <w:rPr>
          <w:rFonts w:ascii="宋体" w:eastAsia="宋体"/>
          <w:color w:val="auto"/>
          <w:sz w:val="21"/>
          <w:szCs w:val="21"/>
        </w:rPr>
      </w:pPr>
    </w:p>
    <w:p>
      <w:pPr>
        <w:pStyle w:val="36"/>
        <w:spacing w:line="360" w:lineRule="auto"/>
        <w:ind w:firstLine="420" w:firstLineChars="200"/>
        <w:rPr>
          <w:rFonts w:hint="eastAsia"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（投标人名称）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eastAsia="宋体"/>
          <w:color w:val="auto"/>
          <w:sz w:val="21"/>
          <w:szCs w:val="21"/>
        </w:rPr>
      </w:pPr>
      <w:r>
        <w:rPr>
          <w:rFonts w:hint="eastAsia" w:ascii="宋体" w:hAnsi="宋体" w:eastAsia="宋体"/>
          <w:color w:val="auto"/>
          <w:sz w:val="21"/>
          <w:szCs w:val="21"/>
        </w:rPr>
        <w:t>特此证明。</w:t>
      </w: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ind w:firstLine="420" w:firstLineChars="200"/>
        <w:rPr>
          <w:rFonts w:ascii="宋体" w:hAnsi="宋体" w:eastAsia="宋体"/>
          <w:color w:val="auto"/>
          <w:sz w:val="21"/>
          <w:szCs w:val="21"/>
        </w:rPr>
      </w:pPr>
    </w:p>
    <w:p>
      <w:pPr>
        <w:ind w:firstLine="420" w:firstLineChars="20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w:t>
      </w:r>
      <w:r>
        <w:rPr>
          <w:rFonts w:hint="eastAsia" w:ascii="宋体" w:hAnsi="宋体" w:eastAsia="宋体"/>
          <w:color w:val="auto"/>
          <w:sz w:val="21"/>
          <w:szCs w:val="21"/>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rPr>
            </w:pPr>
            <w:r>
              <w:rPr>
                <w:rFonts w:hint="eastAsia" w:ascii="宋体" w:hAnsi="宋体" w:eastAsia="宋体"/>
                <w:color w:val="auto"/>
                <w:sz w:val="21"/>
                <w:szCs w:val="21"/>
              </w:rPr>
              <w:t>法人代表身份证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2" w:name="_Toc5918"/>
      <w:bookmarkStart w:id="223" w:name="_Toc5626"/>
      <w:r>
        <w:rPr>
          <w:rFonts w:hint="eastAsia"/>
          <w:color w:val="auto"/>
          <w:lang w:val="en-US" w:eastAsia="zh-CN"/>
        </w:rPr>
        <w:t>五、法定代表人授权书</w:t>
      </w:r>
      <w:bookmarkEnd w:id="222"/>
      <w:bookmarkEnd w:id="223"/>
    </w:p>
    <w:p>
      <w:pPr>
        <w:pStyle w:val="36"/>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6"/>
        <w:spacing w:line="420" w:lineRule="atLeast"/>
        <w:ind w:firstLine="433"/>
        <w:rPr>
          <w:rFonts w:ascii="宋体" w:eastAsia="宋体"/>
          <w:color w:val="auto"/>
          <w:sz w:val="21"/>
          <w:szCs w:val="21"/>
        </w:rPr>
      </w:pPr>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本授权书声明：本人</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系</w:t>
      </w:r>
      <w:r>
        <w:rPr>
          <w:rFonts w:hint="eastAsia" w:ascii="宋体" w:hAnsi="宋体" w:eastAsia="宋体" w:cs="Times New Roman"/>
          <w:color w:val="auto"/>
          <w:sz w:val="21"/>
          <w:szCs w:val="21"/>
          <w:u w:val="single"/>
        </w:rPr>
        <w:t xml:space="preserve">     （投标人名称）    </w:t>
      </w:r>
      <w:r>
        <w:rPr>
          <w:rFonts w:hint="eastAsia" w:ascii="宋体" w:hAnsi="宋体" w:eastAsia="宋体" w:cs="Times New Roman"/>
          <w:color w:val="auto"/>
          <w:sz w:val="21"/>
          <w:szCs w:val="21"/>
        </w:rPr>
        <w:t>的法定代表人，现委托</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为我方合法代理人。代理人根据授权，以我方名义签署、澄清、说明、补正、递交、撤回、修改</w:t>
      </w:r>
      <w:r>
        <w:rPr>
          <w:rFonts w:hint="eastAsia" w:ascii="宋体" w:hAnsi="宋体" w:eastAsia="宋体" w:cs="Times New Roman"/>
          <w:color w:val="auto"/>
          <w:sz w:val="21"/>
          <w:szCs w:val="21"/>
          <w:u w:val="single"/>
        </w:rPr>
        <w:t xml:space="preserve"> （项目名称）</w:t>
      </w:r>
      <w:r>
        <w:rPr>
          <w:rFonts w:hint="eastAsia" w:ascii="宋体" w:hAnsi="宋体" w:eastAsia="宋体" w:cs="Times New Roman"/>
          <w:color w:val="auto"/>
          <w:sz w:val="21"/>
          <w:szCs w:val="21"/>
        </w:rPr>
        <w:t>（项目编号：</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rPr>
      </w:pPr>
      <w:r>
        <w:rPr>
          <w:rFonts w:hint="eastAsia" w:ascii="宋体" w:hAnsi="宋体" w:eastAsia="宋体" w:cs="Times New Roman"/>
          <w:color w:val="auto"/>
          <w:sz w:val="21"/>
          <w:szCs w:val="21"/>
        </w:rPr>
        <w:t>本授权书于</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月</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日签字生效，特此声明。</w:t>
      </w: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val="en-US" w:eastAsia="zh-CN"/>
        </w:rPr>
        <w:t>联系方式</w:t>
      </w:r>
      <w:r>
        <w:rPr>
          <w:rFonts w:hint="eastAsia"/>
          <w:color w:val="auto"/>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pStyle w:val="36"/>
        <w:spacing w:line="460" w:lineRule="exact"/>
        <w:ind w:firstLine="433"/>
        <w:rPr>
          <w:rFonts w:ascii="宋体" w:eastAsia="宋体"/>
          <w:color w:val="auto"/>
          <w:sz w:val="21"/>
          <w:szCs w:val="21"/>
        </w:rPr>
      </w:pPr>
    </w:p>
    <w:p>
      <w:pPr>
        <w:ind w:firstLine="420" w:firstLineChars="200"/>
        <w:rPr>
          <w:rFonts w:eastAsia="宋体"/>
          <w:color w:val="auto"/>
        </w:rPr>
      </w:pPr>
      <w:r>
        <w:rPr>
          <w:rFonts w:hint="eastAsia" w:ascii="宋体" w:hAnsi="宋体" w:eastAsia="宋体"/>
          <w:color w:val="auto"/>
          <w:sz w:val="21"/>
          <w:szCs w:val="21"/>
          <w:lang w:val="en-US" w:eastAsia="zh-CN"/>
        </w:rPr>
        <w:t>注：须附</w:t>
      </w:r>
      <w:r>
        <w:rPr>
          <w:rFonts w:hint="eastAsia" w:ascii="宋体" w:hAnsi="宋体" w:eastAsia="宋体"/>
          <w:color w:val="auto"/>
          <w:sz w:val="21"/>
          <w:szCs w:val="21"/>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rPr>
            </w:pPr>
            <w:bookmarkStart w:id="224" w:name="_Toc22486"/>
            <w:r>
              <w:rPr>
                <w:rFonts w:hint="eastAsia" w:ascii="宋体" w:hAnsi="宋体" w:eastAsia="宋体"/>
                <w:color w:val="auto"/>
                <w:sz w:val="21"/>
                <w:szCs w:val="21"/>
              </w:rPr>
              <w:t>被授权人身份证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adjustRightInd/>
        <w:snapToGrid/>
        <w:spacing w:line="276" w:lineRule="auto"/>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r>
        <w:rPr>
          <w:rFonts w:hint="eastAsia" w:asci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25" w:name="_Toc24013"/>
      <w:bookmarkStart w:id="226" w:name="_Toc18562"/>
      <w:r>
        <w:rPr>
          <w:rFonts w:hint="eastAsia"/>
          <w:color w:val="auto"/>
          <w:lang w:val="en-US" w:eastAsia="zh-CN"/>
        </w:rPr>
        <w:t>六、投标人基本情况说明</w:t>
      </w:r>
      <w:bookmarkEnd w:id="225"/>
      <w:bookmarkEnd w:id="22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rPr>
      </w:pPr>
      <w:bookmarkStart w:id="227" w:name="_Toc29995"/>
      <w:bookmarkStart w:id="228" w:name="_Toc4926"/>
      <w:bookmarkStart w:id="229" w:name="_Toc17470"/>
      <w:bookmarkStart w:id="230" w:name="_Toc1511"/>
      <w:bookmarkStart w:id="231" w:name="_Toc24210"/>
      <w:bookmarkStart w:id="232" w:name="_Toc5919"/>
      <w:bookmarkStart w:id="233" w:name="_Toc28067"/>
      <w:r>
        <w:rPr>
          <w:rFonts w:hint="eastAsia"/>
          <w:color w:val="auto"/>
          <w:lang w:val="en-US" w:eastAsia="zh-CN"/>
        </w:rPr>
        <w:t>七、</w:t>
      </w:r>
      <w:r>
        <w:rPr>
          <w:rFonts w:hint="eastAsia"/>
          <w:color w:val="auto"/>
        </w:rPr>
        <w:t>营业执照</w:t>
      </w:r>
      <w:bookmarkEnd w:id="227"/>
      <w:bookmarkEnd w:id="228"/>
      <w:bookmarkEnd w:id="229"/>
      <w:bookmarkEnd w:id="230"/>
      <w:bookmarkEnd w:id="231"/>
      <w:bookmarkEnd w:id="232"/>
      <w:bookmarkEnd w:id="23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rPr>
      </w:pPr>
      <w:r>
        <w:rPr>
          <w:rFonts w:hint="eastAsia"/>
          <w:color w:val="auto"/>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p>
    <w:bookmarkEnd w:id="224"/>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34" w:name="_Toc21638"/>
      <w:bookmarkStart w:id="235" w:name="_Toc29439"/>
      <w:r>
        <w:rPr>
          <w:rFonts w:hint="eastAsia"/>
          <w:color w:val="auto"/>
          <w:lang w:val="en-US" w:eastAsia="zh-CN"/>
        </w:rPr>
        <w:t>八、</w:t>
      </w:r>
      <w:r>
        <w:rPr>
          <w:rFonts w:hint="eastAsia"/>
          <w:color w:val="auto"/>
        </w:rPr>
        <w:t>特殊资格要求证明文件</w:t>
      </w:r>
      <w:bookmarkEnd w:id="234"/>
      <w:bookmarkEnd w:id="23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若采购项目对供应商资格无特殊要求，可删除本格式。</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36" w:name="_Toc14263"/>
      <w:bookmarkStart w:id="237" w:name="_Toc23341"/>
      <w:r>
        <w:rPr>
          <w:rFonts w:hint="eastAsia"/>
          <w:color w:val="auto"/>
          <w:lang w:val="en-US" w:eastAsia="zh-CN"/>
        </w:rPr>
        <w:t>九、</w:t>
      </w:r>
      <w:r>
        <w:rPr>
          <w:rFonts w:hint="eastAsia"/>
          <w:color w:val="auto"/>
        </w:rPr>
        <w:t>承诺书</w:t>
      </w:r>
      <w:bookmarkEnd w:id="236"/>
      <w:bookmarkEnd w:id="237"/>
    </w:p>
    <w:p>
      <w:pPr>
        <w:pStyle w:val="36"/>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6"/>
        <w:spacing w:line="420" w:lineRule="exact"/>
        <w:ind w:firstLine="455"/>
        <w:rPr>
          <w:rFonts w:hint="eastAsia" w:ascii="宋体" w:hAnsi="宋体" w:eastAsia="宋体" w:cs="宋体"/>
          <w:b w:val="0"/>
          <w:bCs w:val="0"/>
          <w:color w:val="auto"/>
          <w:sz w:val="21"/>
          <w:szCs w:val="21"/>
          <w:highlight w:val="none"/>
        </w:rPr>
      </w:pPr>
      <w:bookmarkStart w:id="23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38"/>
      <w:r>
        <w:rPr>
          <w:rFonts w:hint="eastAsia" w:ascii="宋体" w:hAnsi="宋体" w:eastAsia="宋体" w:cs="宋体"/>
          <w:b w:val="0"/>
          <w:bCs w:val="0"/>
          <w:color w:val="auto"/>
          <w:sz w:val="21"/>
          <w:szCs w:val="21"/>
          <w:highlight w:val="none"/>
        </w:rPr>
        <w:cr/>
      </w:r>
    </w:p>
    <w:p>
      <w:pPr>
        <w:pStyle w:val="36"/>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39" w:name="_Toc13955"/>
      <w:bookmarkStart w:id="240" w:name="_Toc13653"/>
      <w:r>
        <w:rPr>
          <w:rFonts w:hint="eastAsia"/>
          <w:color w:val="auto"/>
          <w:lang w:val="en-US" w:eastAsia="zh-CN"/>
        </w:rPr>
        <w:t>十、招标代理服务费承诺书</w:t>
      </w:r>
      <w:bookmarkEnd w:id="239"/>
      <w:bookmarkEnd w:id="240"/>
    </w:p>
    <w:p>
      <w:pPr>
        <w:pStyle w:val="36"/>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我公司</w:t>
      </w:r>
      <w:r>
        <w:rPr>
          <w:rFonts w:hint="eastAsia" w:ascii="宋体" w:hAnsi="宋体" w:eastAsia="宋体" w:cs="宋体"/>
          <w:b w:val="0"/>
          <w:bCs w:val="0"/>
          <w:color w:val="auto"/>
          <w:sz w:val="21"/>
          <w:szCs w:val="21"/>
          <w:u w:val="single"/>
        </w:rPr>
        <w:t xml:space="preserve">   （投标人名称）   </w:t>
      </w:r>
      <w:r>
        <w:rPr>
          <w:rFonts w:hint="eastAsia" w:ascii="宋体" w:hAnsi="宋体" w:eastAsia="宋体" w:cs="宋体"/>
          <w:b w:val="0"/>
          <w:bCs w:val="0"/>
          <w:color w:val="auto"/>
          <w:sz w:val="21"/>
          <w:szCs w:val="21"/>
        </w:rPr>
        <w:t>在参加贵司进行的</w:t>
      </w:r>
      <w:r>
        <w:rPr>
          <w:rFonts w:hint="eastAsia" w:ascii="宋体" w:hAnsi="宋体" w:eastAsia="宋体" w:cs="宋体"/>
          <w:b w:val="0"/>
          <w:bCs w:val="0"/>
          <w:color w:val="auto"/>
          <w:sz w:val="21"/>
          <w:szCs w:val="21"/>
          <w:u w:val="single"/>
        </w:rPr>
        <w:t xml:space="preserve">   （项目名称）  （项目编号：      ）（包号：  ）</w:t>
      </w:r>
      <w:r>
        <w:rPr>
          <w:rFonts w:hint="eastAsia" w:ascii="宋体" w:hAnsi="宋体" w:eastAsia="宋体" w:cs="宋体"/>
          <w:b w:val="0"/>
          <w:bCs w:val="0"/>
          <w:color w:val="auto"/>
          <w:sz w:val="21"/>
          <w:szCs w:val="21"/>
        </w:rPr>
        <w:t>招标中如获中标，我公司承诺</w:t>
      </w:r>
      <w:r>
        <w:rPr>
          <w:rFonts w:hint="eastAsia" w:ascii="宋体" w:hAnsi="宋体" w:eastAsia="宋体" w:cs="宋体"/>
          <w:b w:val="0"/>
          <w:bCs w:val="0"/>
          <w:color w:val="auto"/>
          <w:sz w:val="21"/>
          <w:szCs w:val="21"/>
          <w:lang w:val="en-US" w:eastAsia="zh-CN"/>
        </w:rPr>
        <w:t>在</w:t>
      </w:r>
      <w:r>
        <w:rPr>
          <w:rFonts w:hint="eastAsia" w:ascii="宋体" w:hAnsi="宋体" w:eastAsia="宋体" w:cs="宋体"/>
          <w:b w:val="0"/>
          <w:bCs w:val="0"/>
          <w:color w:val="auto"/>
          <w:sz w:val="21"/>
          <w:szCs w:val="21"/>
        </w:rPr>
        <w:t>本项目“采购结果公告”发布之日起15日内，向贵司一次性交纳招标代理服务费。</w:t>
      </w:r>
    </w:p>
    <w:p>
      <w:pPr>
        <w:bidi w:val="0"/>
        <w:ind w:firstLine="420" w:firstLineChars="200"/>
        <w:rPr>
          <w:rFonts w:hint="eastAsia"/>
          <w:color w:val="auto"/>
          <w:lang w:eastAsia="zh-CN"/>
        </w:rPr>
      </w:pPr>
      <w:r>
        <w:rPr>
          <w:rFonts w:hint="eastAsia"/>
          <w:color w:val="auto"/>
        </w:rPr>
        <w:t>特此承诺</w:t>
      </w:r>
      <w:r>
        <w:rPr>
          <w:rFonts w:hint="eastAsia"/>
          <w:color w:val="auto"/>
          <w:lang w:eastAsia="zh-CN"/>
        </w:rPr>
        <w:t>。</w:t>
      </w:r>
    </w:p>
    <w:p>
      <w:pPr>
        <w:jc w:val="center"/>
        <w:rPr>
          <w:rFonts w:hint="eastAsia" w:ascii="宋体" w:hAnsi="宋体" w:eastAsia="宋体" w:cs="宋体"/>
          <w:b w:val="0"/>
          <w:bCs w:val="0"/>
          <w:color w:val="auto"/>
          <w:sz w:val="21"/>
          <w:szCs w:val="21"/>
        </w:rPr>
      </w:pPr>
    </w:p>
    <w:p>
      <w:pPr>
        <w:bidi w:val="0"/>
        <w:rPr>
          <w:rFonts w:hint="eastAsia"/>
          <w:color w:val="auto"/>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1" w:name="_Toc1975"/>
      <w:bookmarkStart w:id="242" w:name="_Toc12598"/>
      <w:r>
        <w:rPr>
          <w:rFonts w:hint="eastAsia"/>
          <w:color w:val="auto"/>
          <w:lang w:val="en-US" w:eastAsia="zh-CN"/>
        </w:rPr>
        <w:t>十一、</w:t>
      </w:r>
      <w:r>
        <w:rPr>
          <w:rFonts w:hint="eastAsia"/>
          <w:color w:val="auto"/>
        </w:rPr>
        <w:t>商务条款偏离表</w:t>
      </w:r>
      <w:bookmarkEnd w:id="241"/>
      <w:bookmarkEnd w:id="242"/>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59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lang w:val="en-US" w:eastAsia="zh-CN"/>
              </w:rPr>
              <w:t>商务条款</w:t>
            </w:r>
            <w:r>
              <w:rPr>
                <w:rFonts w:hint="eastAsia" w:ascii="宋体" w:hAnsi="宋体" w:eastAsia="宋体"/>
                <w:color w:val="auto"/>
                <w:sz w:val="21"/>
                <w:szCs w:val="21"/>
              </w:rPr>
              <w:t>名称</w:t>
            </w:r>
          </w:p>
        </w:tc>
        <w:tc>
          <w:tcPr>
            <w:tcW w:w="1755"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招标</w:t>
            </w:r>
            <w:r>
              <w:rPr>
                <w:rFonts w:hint="eastAsia" w:ascii="宋体" w:hAnsi="宋体" w:eastAsia="宋体"/>
                <w:color w:val="auto"/>
                <w:sz w:val="21"/>
                <w:szCs w:val="21"/>
                <w:lang w:val="en-US" w:eastAsia="zh-CN"/>
              </w:rPr>
              <w:t>文件</w:t>
            </w:r>
            <w:r>
              <w:rPr>
                <w:rFonts w:hint="eastAsia" w:ascii="宋体" w:hAnsi="宋体" w:eastAsia="宋体"/>
                <w:color w:val="auto"/>
                <w:sz w:val="21"/>
                <w:szCs w:val="21"/>
              </w:rPr>
              <w:t>要求</w:t>
            </w:r>
          </w:p>
        </w:tc>
        <w:tc>
          <w:tcPr>
            <w:tcW w:w="192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偏离</w:t>
            </w:r>
            <w:r>
              <w:rPr>
                <w:rFonts w:hint="eastAsia" w:ascii="宋体" w:hAnsi="宋体" w:eastAsia="宋体"/>
                <w:color w:val="auto"/>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投标人代表签字：</w:t>
      </w:r>
    </w:p>
    <w:p>
      <w:pPr>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1、投标人应对照招标文件商务要求，在“偏离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2、商务条款包括但不限于合格投标人资格、</w:t>
      </w:r>
      <w:r>
        <w:rPr>
          <w:rFonts w:hint="eastAsia" w:ascii="宋体" w:hAnsi="宋体" w:eastAsia="宋体"/>
          <w:color w:val="auto"/>
          <w:sz w:val="21"/>
          <w:szCs w:val="21"/>
          <w:lang w:val="en-US" w:eastAsia="zh-CN"/>
        </w:rPr>
        <w:t>合同期限、</w:t>
      </w:r>
      <w:r>
        <w:rPr>
          <w:rFonts w:hint="eastAsia" w:ascii="宋体" w:hAnsi="宋体" w:eastAsia="宋体"/>
          <w:color w:val="auto"/>
          <w:sz w:val="21"/>
          <w:szCs w:val="21"/>
        </w:rPr>
        <w:t>付款方式、</w:t>
      </w:r>
      <w:r>
        <w:rPr>
          <w:rFonts w:hint="eastAsia" w:ascii="宋体" w:hAnsi="宋体" w:eastAsia="宋体"/>
          <w:color w:val="auto"/>
          <w:sz w:val="21"/>
          <w:szCs w:val="21"/>
          <w:lang w:val="en-US" w:eastAsia="zh-CN"/>
        </w:rPr>
        <w:t>报价要求、</w:t>
      </w:r>
      <w:r>
        <w:rPr>
          <w:rFonts w:hint="eastAsia" w:ascii="宋体" w:hAnsi="宋体" w:eastAsia="宋体"/>
          <w:color w:val="auto"/>
          <w:sz w:val="21"/>
          <w:szCs w:val="21"/>
        </w:rPr>
        <w:t>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rFonts w:hint="eastAsia"/>
          <w:color w:val="auto"/>
        </w:rPr>
      </w:pPr>
      <w:r>
        <w:rPr>
          <w:color w:val="auto"/>
        </w:rPr>
        <w:br w:type="page"/>
      </w:r>
      <w:bookmarkStart w:id="243"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4" w:name="_Toc25391"/>
      <w:bookmarkStart w:id="245" w:name="_Toc19276"/>
      <w:r>
        <w:rPr>
          <w:rFonts w:hint="eastAsia"/>
          <w:color w:val="auto"/>
          <w:lang w:val="en-US" w:eastAsia="zh-CN"/>
        </w:rPr>
        <w:t>十二、</w:t>
      </w:r>
      <w:r>
        <w:rPr>
          <w:rFonts w:hint="eastAsia"/>
          <w:color w:val="auto"/>
        </w:rPr>
        <w:t>业绩表</w:t>
      </w:r>
      <w:bookmarkEnd w:id="244"/>
      <w:bookmarkEnd w:id="245"/>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3"/>
        <w:spacing w:after="0"/>
        <w:rPr>
          <w:rFonts w:ascii="宋体" w:hAnsi="宋体" w:eastAsia="宋体"/>
          <w:color w:val="auto"/>
          <w:sz w:val="21"/>
          <w:szCs w:val="21"/>
        </w:rPr>
      </w:pPr>
    </w:p>
    <w:p>
      <w:pPr>
        <w:pStyle w:val="33"/>
        <w:spacing w:after="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须提供须提供证明资料，</w:t>
      </w:r>
      <w:r>
        <w:rPr>
          <w:rFonts w:hint="eastAsia" w:ascii="宋体" w:hAnsi="宋体" w:eastAsia="宋体"/>
          <w:color w:val="auto"/>
          <w:sz w:val="21"/>
          <w:szCs w:val="21"/>
        </w:rPr>
        <w:t>业绩表所列出的材料应为真实准确的，并应提供相关证明材料复印件加盖公章。</w:t>
      </w: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pStyle w:val="7"/>
        <w:ind w:left="0" w:leftChars="0" w:firstLine="0" w:firstLineChars="0"/>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rPr>
      </w:pPr>
      <w:bookmarkStart w:id="246" w:name="_Toc14688"/>
      <w:bookmarkStart w:id="247" w:name="_Toc20520"/>
      <w:r>
        <w:rPr>
          <w:rFonts w:hint="eastAsia"/>
          <w:color w:val="auto"/>
          <w:lang w:val="en-US" w:eastAsia="zh-CN"/>
        </w:rPr>
        <w:t>第三章技术文件</w:t>
      </w:r>
      <w:bookmarkEnd w:id="243"/>
      <w:bookmarkEnd w:id="246"/>
      <w:bookmarkEnd w:id="24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8" w:name="_Toc13097"/>
      <w:bookmarkStart w:id="249" w:name="_Toc7092"/>
      <w:r>
        <w:rPr>
          <w:rFonts w:hint="eastAsia"/>
          <w:color w:val="auto"/>
          <w:lang w:val="en-US" w:eastAsia="zh-CN"/>
        </w:rPr>
        <w:t>一、</w:t>
      </w:r>
      <w:r>
        <w:rPr>
          <w:rFonts w:hint="eastAsia"/>
          <w:color w:val="auto"/>
        </w:rPr>
        <w:t>技术规格偏离表</w:t>
      </w:r>
      <w:bookmarkEnd w:id="248"/>
      <w:bookmarkEnd w:id="249"/>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w:t>
            </w:r>
            <w:r>
              <w:rPr>
                <w:rFonts w:hint="eastAsia" w:ascii="宋体" w:hAnsi="宋体" w:eastAsia="宋体" w:cs="宋体"/>
                <w:color w:val="auto"/>
                <w:sz w:val="21"/>
                <w:szCs w:val="21"/>
                <w:lang w:val="en-US" w:eastAsia="zh-CN"/>
              </w:rPr>
              <w:t>文件</w:t>
            </w:r>
            <w:r>
              <w:rPr>
                <w:rFonts w:hint="eastAsia" w:ascii="宋体" w:hAnsi="宋体" w:eastAsia="宋体" w:cs="宋体"/>
                <w:color w:val="auto"/>
                <w:sz w:val="21"/>
                <w:szCs w:val="21"/>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偏离</w:t>
            </w:r>
            <w:r>
              <w:rPr>
                <w:rFonts w:hint="eastAsia" w:ascii="宋体" w:hAnsi="宋体" w:eastAsia="宋体" w:cs="宋体"/>
                <w:color w:val="auto"/>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bl>
    <w:p>
      <w:pPr>
        <w:rPr>
          <w:rFonts w:ascii="宋体" w:hAnsi="宋体" w:eastAsia="宋体"/>
          <w:color w:val="auto"/>
          <w:sz w:val="21"/>
          <w:szCs w:val="21"/>
        </w:rPr>
      </w:pPr>
    </w:p>
    <w:p>
      <w:pPr>
        <w:bidi w:val="0"/>
        <w:rPr>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ind w:firstLine="178" w:firstLineChars="85"/>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注：投标人应对照招标文件</w:t>
      </w:r>
      <w:r>
        <w:rPr>
          <w:rFonts w:hint="eastAsia" w:ascii="宋体" w:hAnsi="宋体"/>
          <w:color w:val="auto"/>
          <w:sz w:val="21"/>
          <w:szCs w:val="21"/>
          <w:lang w:val="en-US" w:eastAsia="zh-CN"/>
        </w:rPr>
        <w:t>技术</w:t>
      </w:r>
      <w:r>
        <w:rPr>
          <w:rFonts w:hint="eastAsia" w:ascii="宋体" w:hAnsi="宋体" w:eastAsia="宋体"/>
          <w:color w:val="auto"/>
          <w:sz w:val="21"/>
          <w:szCs w:val="21"/>
        </w:rPr>
        <w:t>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w:t>
      </w:r>
      <w:r>
        <w:rPr>
          <w:rFonts w:hint="eastAsia" w:ascii="宋体" w:hAnsi="宋体"/>
          <w:color w:val="auto"/>
          <w:sz w:val="21"/>
          <w:szCs w:val="21"/>
          <w:lang w:val="en-US" w:eastAsia="zh-CN"/>
        </w:rPr>
        <w:t>技术</w:t>
      </w:r>
      <w:r>
        <w:rPr>
          <w:rFonts w:hint="eastAsia" w:ascii="宋体" w:hAnsi="宋体" w:eastAsia="宋体"/>
          <w:color w:val="auto"/>
          <w:sz w:val="21"/>
          <w:szCs w:val="21"/>
        </w:rPr>
        <w:t>内容做出了实质性的响应，并申明与招标文件的偏差和例外。</w:t>
      </w:r>
    </w:p>
    <w:p>
      <w:pPr>
        <w:rPr>
          <w:rFonts w:hint="eastAsia" w:ascii="宋体" w:hAnsi="宋体" w:eastAsia="宋体"/>
          <w:color w:val="auto"/>
          <w:sz w:val="21"/>
          <w:szCs w:val="21"/>
        </w:rPr>
      </w:pPr>
    </w:p>
    <w:p>
      <w:pPr>
        <w:rPr>
          <w:rFonts w:ascii="宋体" w:hAnsi="宋体" w:eastAsia="宋体"/>
          <w:color w:val="auto"/>
          <w:sz w:val="21"/>
          <w:szCs w:val="21"/>
        </w:rPr>
      </w:pPr>
    </w:p>
    <w:p>
      <w:pPr>
        <w:spacing w:after="0" w:line="360" w:lineRule="auto"/>
        <w:rPr>
          <w:rFonts w:ascii="宋体" w:hAnsi="宋体" w:eastAsia="宋体"/>
          <w:color w:val="auto"/>
          <w:sz w:val="21"/>
          <w:szCs w:val="21"/>
        </w:rPr>
      </w:pPr>
    </w:p>
    <w:p>
      <w:pPr>
        <w:adjustRightInd/>
        <w:snapToGrid/>
        <w:spacing w:line="276" w:lineRule="auto"/>
        <w:rPr>
          <w:color w:val="auto"/>
        </w:rPr>
      </w:pPr>
    </w:p>
    <w:p>
      <w:pPr>
        <w:rPr>
          <w:rFonts w:ascii="黑体" w:eastAsia="黑体"/>
          <w:color w:val="auto"/>
          <w:sz w:val="28"/>
          <w:szCs w:val="28"/>
        </w:rPr>
      </w:pPr>
      <w:bookmarkStart w:id="250" w:name="_Toc17691"/>
      <w:r>
        <w:rPr>
          <w:rFonts w:hint="eastAsia" w:ascii="宋体" w:hAnsi="宋体" w:eastAsia="宋体"/>
          <w:color w:val="auto"/>
          <w:sz w:val="21"/>
          <w:szCs w:val="21"/>
        </w:rPr>
        <w:br w:type="page"/>
      </w:r>
      <w:bookmarkEnd w:id="250"/>
      <w:bookmarkStart w:id="251" w:name="_Toc6080"/>
      <w:bookmarkStart w:id="252" w:name="_Toc4464"/>
      <w:bookmarkStart w:id="253" w:name="_Toc18668"/>
      <w:bookmarkStart w:id="254" w:name="_Toc4827"/>
      <w:bookmarkStart w:id="255" w:name="_Toc26078"/>
      <w:bookmarkStart w:id="256" w:name="_Toc1274"/>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57" w:name="_Toc13461"/>
      <w:bookmarkStart w:id="258" w:name="_Toc10734"/>
      <w:r>
        <w:rPr>
          <w:rFonts w:hint="eastAsia"/>
          <w:color w:val="auto"/>
          <w:lang w:val="en-US" w:eastAsia="zh-CN"/>
        </w:rPr>
        <w:t>二、</w:t>
      </w:r>
      <w:r>
        <w:rPr>
          <w:rFonts w:hint="eastAsia"/>
          <w:color w:val="auto"/>
        </w:rPr>
        <w:t>重要技术参数（▲）响应表</w:t>
      </w:r>
      <w:bookmarkEnd w:id="251"/>
      <w:bookmarkEnd w:id="252"/>
      <w:bookmarkEnd w:id="253"/>
      <w:bookmarkEnd w:id="254"/>
      <w:bookmarkEnd w:id="255"/>
      <w:bookmarkEnd w:id="256"/>
      <w:bookmarkEnd w:id="257"/>
      <w:bookmarkEnd w:id="258"/>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259" w:name="_Toc29560"/>
            <w:bookmarkStart w:id="260" w:name="_Toc27079"/>
            <w:bookmarkStart w:id="261" w:name="_Toc29642"/>
            <w:r>
              <w:rPr>
                <w:rFonts w:hint="eastAsia" w:ascii="宋体" w:hAnsi="宋体" w:eastAsia="宋体" w:cs="宋体"/>
                <w:b w:val="0"/>
                <w:bCs w:val="0"/>
                <w:color w:val="auto"/>
                <w:sz w:val="21"/>
                <w:szCs w:val="21"/>
                <w:lang w:val="en-US" w:eastAsia="zh-CN"/>
              </w:rPr>
              <w:t>序号</w:t>
            </w:r>
            <w:bookmarkEnd w:id="259"/>
            <w:bookmarkEnd w:id="260"/>
            <w:bookmarkEnd w:id="261"/>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262" w:name="_Toc27090"/>
            <w:bookmarkStart w:id="263" w:name="_Toc1016"/>
            <w:bookmarkStart w:id="264" w:name="_Toc10045"/>
            <w:bookmarkStart w:id="265" w:name="_Toc16872"/>
            <w:bookmarkStart w:id="266" w:name="_Toc21739"/>
            <w:bookmarkStart w:id="267" w:name="_Toc15903"/>
            <w:bookmarkStart w:id="268" w:name="_Toc2700"/>
            <w:bookmarkStart w:id="269" w:name="_Toc22448"/>
            <w:bookmarkStart w:id="270" w:name="_Toc26124"/>
            <w:bookmarkStart w:id="271" w:name="_Toc15368"/>
            <w:bookmarkStart w:id="272" w:name="_Toc4304"/>
            <w:bookmarkStart w:id="273" w:name="_Toc14815"/>
            <w:bookmarkStart w:id="274" w:name="_Toc12049"/>
            <w:bookmarkStart w:id="275" w:name="_Toc7333"/>
            <w:bookmarkStart w:id="276" w:name="_Toc22917"/>
            <w:bookmarkStart w:id="277" w:name="_Toc22879"/>
            <w:bookmarkStart w:id="278" w:name="_Toc32531"/>
            <w:bookmarkStart w:id="279" w:name="_Toc8312"/>
            <w:bookmarkStart w:id="280" w:name="_Toc24662"/>
            <w:bookmarkStart w:id="281" w:name="_Toc21809"/>
            <w:bookmarkStart w:id="282" w:name="_Toc8490"/>
            <w:bookmarkStart w:id="283" w:name="_Toc19251"/>
            <w:bookmarkStart w:id="284" w:name="_Toc27442"/>
            <w:r>
              <w:rPr>
                <w:rFonts w:hint="eastAsia" w:ascii="宋体" w:hAnsi="宋体" w:eastAsia="宋体" w:cs="宋体"/>
                <w:b w:val="0"/>
                <w:bCs w:val="0"/>
                <w:color w:val="auto"/>
                <w:sz w:val="21"/>
                <w:szCs w:val="21"/>
                <w:lang w:val="en-US" w:eastAsia="zh-CN"/>
              </w:rPr>
              <w:t>重要</w:t>
            </w:r>
            <w:r>
              <w:rPr>
                <w:rFonts w:hint="eastAsia" w:ascii="宋体" w:hAnsi="宋体" w:eastAsia="宋体" w:cs="宋体"/>
                <w:b w:val="0"/>
                <w:bCs w:val="0"/>
                <w:color w:val="auto"/>
                <w:sz w:val="21"/>
                <w:szCs w:val="21"/>
              </w:rPr>
              <w:t>技术参</w:t>
            </w:r>
            <w:r>
              <w:rPr>
                <w:rFonts w:hint="eastAsia" w:ascii="宋体" w:hAnsi="宋体" w:eastAsia="宋体" w:cs="宋体"/>
                <w:b w:val="0"/>
                <w:bCs w:val="0"/>
                <w:color w:val="auto"/>
                <w:sz w:val="21"/>
                <w:szCs w:val="21"/>
                <w:lang w:val="en-US" w:eastAsia="zh-CN"/>
              </w:rPr>
              <w:t>数评分条款</w:t>
            </w:r>
            <w:r>
              <w:rPr>
                <w:rFonts w:hint="eastAsia" w:ascii="宋体" w:hAnsi="宋体" w:eastAsia="宋体" w:cs="宋体"/>
                <w:b w:val="0"/>
                <w:bCs w:val="0"/>
                <w:color w:val="auto"/>
                <w:sz w:val="21"/>
                <w:szCs w:val="21"/>
              </w:rPr>
              <w:t>（▲）</w:t>
            </w:r>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285" w:name="_Toc2408"/>
            <w:bookmarkStart w:id="286" w:name="_Toc22153"/>
            <w:bookmarkStart w:id="287" w:name="_Toc10122"/>
            <w:r>
              <w:rPr>
                <w:rFonts w:hint="eastAsia" w:ascii="宋体" w:hAnsi="宋体" w:eastAsia="宋体" w:cs="宋体"/>
                <w:b w:val="0"/>
                <w:bCs w:val="0"/>
                <w:color w:val="auto"/>
                <w:kern w:val="0"/>
                <w:sz w:val="21"/>
                <w:szCs w:val="21"/>
              </w:rPr>
              <w:t>投标文件响应内容</w:t>
            </w:r>
            <w:bookmarkEnd w:id="285"/>
            <w:bookmarkEnd w:id="286"/>
            <w:bookmarkEnd w:id="287"/>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288" w:name="_Toc16003"/>
            <w:bookmarkStart w:id="289" w:name="_Toc27285"/>
            <w:bookmarkStart w:id="290" w:name="_Toc29838"/>
            <w:bookmarkStart w:id="291" w:name="_Toc3701"/>
            <w:bookmarkStart w:id="292" w:name="_Toc1330"/>
            <w:bookmarkStart w:id="293" w:name="_Toc27185"/>
            <w:bookmarkStart w:id="294" w:name="_Toc20139"/>
            <w:bookmarkStart w:id="295" w:name="_Toc5563"/>
            <w:bookmarkStart w:id="296" w:name="_Toc17296"/>
            <w:bookmarkStart w:id="297" w:name="_Toc1912"/>
            <w:bookmarkStart w:id="298" w:name="_Toc20820"/>
            <w:bookmarkStart w:id="299" w:name="_Toc17642"/>
            <w:bookmarkStart w:id="300" w:name="_Toc5992"/>
            <w:r>
              <w:rPr>
                <w:rFonts w:hint="eastAsia" w:ascii="宋体" w:hAnsi="宋体" w:eastAsia="宋体" w:cs="宋体"/>
                <w:b w:val="0"/>
                <w:bCs w:val="0"/>
                <w:color w:val="auto"/>
                <w:sz w:val="21"/>
                <w:szCs w:val="21"/>
                <w:lang w:val="en-US" w:eastAsia="zh-CN"/>
              </w:rPr>
              <w:t>说明</w:t>
            </w:r>
            <w:bookmarkEnd w:id="288"/>
            <w:bookmarkEnd w:id="289"/>
            <w:bookmarkEnd w:id="290"/>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01" w:name="_Toc19105"/>
            <w:bookmarkStart w:id="302" w:name="_Toc3520"/>
            <w:bookmarkStart w:id="303" w:name="_Toc857"/>
            <w:r>
              <w:rPr>
                <w:rFonts w:hint="eastAsia" w:ascii="宋体" w:hAnsi="宋体" w:eastAsia="宋体" w:cs="宋体"/>
                <w:b w:val="0"/>
                <w:bCs w:val="0"/>
                <w:color w:val="auto"/>
                <w:sz w:val="21"/>
                <w:szCs w:val="21"/>
              </w:rPr>
              <w:t>页码范围</w:t>
            </w:r>
            <w:bookmarkEnd w:id="291"/>
            <w:bookmarkEnd w:id="292"/>
            <w:bookmarkEnd w:id="293"/>
            <w:bookmarkEnd w:id="294"/>
            <w:bookmarkEnd w:id="295"/>
            <w:bookmarkEnd w:id="296"/>
            <w:bookmarkEnd w:id="297"/>
            <w:bookmarkEnd w:id="298"/>
            <w:bookmarkEnd w:id="299"/>
            <w:bookmarkEnd w:id="300"/>
            <w:bookmarkEnd w:id="301"/>
            <w:bookmarkEnd w:id="302"/>
            <w:bookmarkEnd w:id="3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bl>
    <w:p>
      <w:pPr>
        <w:pStyle w:val="33"/>
        <w:spacing w:after="0" w:line="360" w:lineRule="auto"/>
        <w:rPr>
          <w:rFonts w:ascii="宋体" w:hAnsi="宋体" w:eastAsia="宋体"/>
          <w:color w:val="auto"/>
          <w:sz w:val="21"/>
          <w:szCs w:val="21"/>
        </w:rPr>
      </w:pP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rPr>
        <w:t>注：</w:t>
      </w: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1、投标人</w:t>
      </w:r>
      <w:r>
        <w:rPr>
          <w:rFonts w:hint="eastAsia" w:ascii="宋体" w:hAnsi="宋体" w:eastAsia="宋体"/>
          <w:color w:val="auto"/>
          <w:sz w:val="21"/>
          <w:szCs w:val="21"/>
        </w:rPr>
        <w:t>应逐条对照招标文件重要评分条款，如实地说明投标响应情况。</w:t>
      </w: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若该重要技术参数（</w:t>
      </w:r>
      <w:r>
        <w:rPr>
          <w:rFonts w:hint="eastAsia" w:ascii="宋体" w:hAnsi="宋体" w:eastAsia="宋体" w:cs="Times New Roman"/>
          <w:color w:val="auto"/>
          <w:sz w:val="21"/>
          <w:szCs w:val="21"/>
        </w:rPr>
        <w:t>▲</w:t>
      </w:r>
      <w:r>
        <w:rPr>
          <w:rFonts w:hint="eastAsia" w:ascii="宋体" w:hAnsi="宋体" w:eastAsia="宋体"/>
          <w:color w:val="auto"/>
          <w:sz w:val="21"/>
          <w:szCs w:val="21"/>
        </w:rPr>
        <w:t>）规定提交相关证明材料的，供应商应当提供，并附于本格式后。未按要求提供或提供不符合要求的证明材料，视为不满足，按评分标准进行扣分处理。</w:t>
      </w:r>
    </w:p>
    <w:p>
      <w:pPr>
        <w:pStyle w:val="33"/>
        <w:spacing w:after="0" w:line="360" w:lineRule="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3、</w:t>
      </w:r>
      <w:r>
        <w:rPr>
          <w:rFonts w:hint="eastAsia" w:ascii="宋体" w:hAnsi="宋体" w:eastAsia="宋体"/>
          <w:b/>
          <w:bCs/>
          <w:color w:val="auto"/>
          <w:sz w:val="21"/>
          <w:szCs w:val="21"/>
        </w:rPr>
        <w:t>若招标文件未设定重要技术参数（</w:t>
      </w:r>
      <w:r>
        <w:rPr>
          <w:rFonts w:hint="eastAsia" w:ascii="宋体" w:hAnsi="宋体" w:eastAsia="宋体" w:cs="Times New Roman"/>
          <w:b/>
          <w:bCs/>
          <w:color w:val="auto"/>
          <w:sz w:val="21"/>
          <w:szCs w:val="21"/>
        </w:rPr>
        <w:t>▲</w:t>
      </w:r>
      <w:r>
        <w:rPr>
          <w:rFonts w:hint="eastAsia" w:ascii="宋体" w:hAnsi="宋体" w:eastAsia="宋体"/>
          <w:b/>
          <w:bCs/>
          <w:color w:val="auto"/>
          <w:sz w:val="21"/>
          <w:szCs w:val="21"/>
        </w:rPr>
        <w:t>）评分条款的，可删除本格式。</w:t>
      </w:r>
    </w:p>
    <w:p>
      <w:pPr>
        <w:pStyle w:val="33"/>
        <w:spacing w:after="0" w:line="360" w:lineRule="auto"/>
        <w:rPr>
          <w:rFonts w:ascii="宋体" w:hAnsi="宋体" w:eastAsia="宋体"/>
          <w:color w:val="auto"/>
          <w:sz w:val="21"/>
          <w:szCs w:val="21"/>
        </w:rPr>
      </w:pPr>
    </w:p>
    <w:p>
      <w:pPr>
        <w:pStyle w:val="33"/>
        <w:numPr>
          <w:ilvl w:val="0"/>
          <w:numId w:val="13"/>
        </w:numPr>
        <w:spacing w:after="0"/>
        <w:rPr>
          <w:rFonts w:ascii="黑体" w:eastAsia="黑体"/>
          <w:color w:val="auto"/>
          <w:sz w:val="32"/>
          <w:szCs w:val="32"/>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4" w:name="_Toc27139"/>
      <w:bookmarkStart w:id="305" w:name="_Toc19349"/>
      <w:r>
        <w:rPr>
          <w:rFonts w:hint="eastAsia"/>
          <w:color w:val="auto"/>
          <w:lang w:val="en-US" w:eastAsia="zh-CN"/>
        </w:rPr>
        <w:t>三、</w:t>
      </w:r>
      <w:r>
        <w:rPr>
          <w:rFonts w:hint="eastAsia"/>
          <w:color w:val="auto"/>
        </w:rPr>
        <w:t>实质性条款（标记★）投标响应表</w:t>
      </w:r>
      <w:bookmarkEnd w:id="304"/>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p>
    <w:p>
      <w:pPr>
        <w:bidi w:val="0"/>
        <w:rPr>
          <w:rFonts w:hint="eastAsia"/>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rPr>
      </w:pPr>
      <w:r>
        <w:rPr>
          <w:rFonts w:hint="eastAsia"/>
          <w:color w:val="auto"/>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1、</w:t>
      </w:r>
      <w:r>
        <w:rPr>
          <w:rFonts w:hint="eastAsia"/>
          <w:color w:val="auto"/>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2、</w:t>
      </w:r>
      <w:r>
        <w:rPr>
          <w:rFonts w:hint="eastAsia"/>
          <w:color w:val="auto"/>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3、</w:t>
      </w:r>
      <w:r>
        <w:rPr>
          <w:rFonts w:hint="eastAsia"/>
          <w:color w:val="auto"/>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6" w:name="_Toc21519"/>
      <w:r>
        <w:rPr>
          <w:rFonts w:hint="eastAsia"/>
          <w:color w:val="auto"/>
          <w:lang w:val="en-US" w:eastAsia="zh-CN"/>
        </w:rPr>
        <w:t>四、</w:t>
      </w:r>
      <w:r>
        <w:rPr>
          <w:rFonts w:hint="eastAsia"/>
          <w:color w:val="auto"/>
        </w:rPr>
        <w:t>项目</w:t>
      </w:r>
      <w:r>
        <w:rPr>
          <w:rFonts w:hint="eastAsia"/>
          <w:color w:val="auto"/>
          <w:lang w:val="en-US" w:eastAsia="zh-CN"/>
        </w:rPr>
        <w:t>技术</w:t>
      </w:r>
      <w:r>
        <w:rPr>
          <w:rFonts w:hint="eastAsia"/>
          <w:color w:val="auto"/>
        </w:rPr>
        <w:t>方案</w:t>
      </w:r>
      <w:bookmarkEnd w:id="305"/>
      <w:bookmarkEnd w:id="306"/>
    </w:p>
    <w:p>
      <w:pPr>
        <w:spacing w:after="0" w:line="360" w:lineRule="auto"/>
        <w:ind w:left="718" w:leftChars="200" w:hanging="298" w:hangingChars="142"/>
        <w:rPr>
          <w:rFonts w:ascii="宋体" w:hAnsi="宋体" w:eastAsia="宋体" w:cs="Times New Roman"/>
          <w:color w:val="auto"/>
          <w:sz w:val="21"/>
          <w:szCs w:val="21"/>
        </w:rPr>
      </w:pPr>
      <w:r>
        <w:rPr>
          <w:rFonts w:hint="eastAsia" w:ascii="宋体" w:hAnsi="宋体" w:eastAsia="宋体"/>
          <w:color w:val="auto"/>
          <w:sz w:val="21"/>
          <w:szCs w:val="21"/>
          <w:lang w:val="en-US" w:eastAsia="zh-CN"/>
        </w:rPr>
        <w:t>根据用户需求及技术评审要求</w:t>
      </w:r>
      <w:r>
        <w:rPr>
          <w:rFonts w:hint="eastAsia" w:ascii="宋体" w:hAnsi="宋体" w:eastAsia="宋体"/>
          <w:color w:val="auto"/>
          <w:sz w:val="21"/>
          <w:szCs w:val="21"/>
        </w:rPr>
        <w:t>自行编写。</w:t>
      </w: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07" w:name="_Toc26880"/>
      <w:bookmarkStart w:id="308" w:name="_Toc16328"/>
      <w:r>
        <w:rPr>
          <w:rFonts w:hint="eastAsia"/>
          <w:color w:val="auto"/>
          <w:lang w:val="en-US" w:eastAsia="zh-CN"/>
        </w:rPr>
        <w:t>五、项目负责人及团队成员资料表</w:t>
      </w:r>
      <w:bookmarkEnd w:id="307"/>
      <w:bookmarkEnd w:id="308"/>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如本项目不涉及</w:t>
      </w:r>
      <w:r>
        <w:rPr>
          <w:rFonts w:hint="eastAsia" w:ascii="宋体" w:hAnsi="宋体"/>
          <w:color w:val="auto"/>
          <w:sz w:val="21"/>
          <w:szCs w:val="21"/>
          <w:lang w:val="en-US" w:eastAsia="zh-CN"/>
        </w:rPr>
        <w:t>人员</w:t>
      </w:r>
      <w:r>
        <w:rPr>
          <w:rFonts w:hint="eastAsia" w:ascii="宋体" w:hAnsi="宋体" w:eastAsia="宋体"/>
          <w:color w:val="auto"/>
          <w:sz w:val="21"/>
          <w:szCs w:val="21"/>
        </w:rPr>
        <w:t>内容，则无需提供此表。</w:t>
      </w:r>
    </w:p>
    <w:p>
      <w:pPr>
        <w:ind w:firstLine="178" w:firstLineChars="85"/>
        <w:rPr>
          <w:rFonts w:hint="eastAsia" w:ascii="宋体" w:hAnsi="宋体" w:eastAsia="宋体"/>
          <w:color w:val="auto"/>
          <w:sz w:val="21"/>
          <w:szCs w:val="21"/>
        </w:rPr>
      </w:pPr>
    </w:p>
    <w:p>
      <w:pPr>
        <w:pStyle w:val="7"/>
        <w:rPr>
          <w:rFonts w:hint="eastAsia"/>
          <w:color w:val="auto"/>
        </w:rPr>
      </w:pPr>
    </w:p>
    <w:p>
      <w:pPr>
        <w:rPr>
          <w:rFonts w:ascii="黑体" w:eastAsia="黑体"/>
          <w:color w:val="auto"/>
          <w:sz w:val="28"/>
          <w:szCs w:val="28"/>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309" w:name="_Toc15431"/>
      <w:bookmarkStart w:id="310" w:name="_Toc26980"/>
      <w:r>
        <w:rPr>
          <w:rFonts w:hint="eastAsia"/>
          <w:color w:val="auto"/>
          <w:lang w:val="en-US" w:eastAsia="zh-CN"/>
        </w:rPr>
        <w:t>六、投标货物明细一览表</w:t>
      </w:r>
      <w:bookmarkEnd w:id="309"/>
      <w:bookmarkEnd w:id="310"/>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w:t>
            </w: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品牌</w:t>
            </w: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货物型号</w:t>
            </w: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738"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1616"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bl>
    <w:p>
      <w:pPr>
        <w:spacing w:after="0"/>
        <w:rPr>
          <w:color w:val="auto"/>
        </w:rPr>
      </w:pPr>
      <w:r>
        <w:rPr>
          <w:rFonts w:hint="eastAsia" w:ascii="宋体" w:hAnsi="宋体" w:eastAsia="宋体" w:cs="Times New Roman"/>
          <w:color w:val="auto"/>
          <w:sz w:val="21"/>
          <w:szCs w:val="21"/>
        </w:rPr>
        <w:t>注：</w:t>
      </w:r>
      <w:r>
        <w:rPr>
          <w:rFonts w:hint="eastAsia" w:ascii="宋体" w:hAnsi="宋体" w:eastAsia="宋体"/>
          <w:color w:val="auto"/>
          <w:sz w:val="21"/>
          <w:szCs w:val="21"/>
        </w:rPr>
        <w:t>如本项目不涉及此表内容，则无需提供此表。</w:t>
      </w:r>
    </w:p>
    <w:p>
      <w:pPr>
        <w:rPr>
          <w:rFonts w:hint="eastAsia" w:ascii="宋体" w:hAnsi="宋体" w:eastAsia="宋体" w:cs="Times New Roman"/>
          <w:color w:val="auto"/>
          <w:sz w:val="21"/>
          <w:szCs w:val="21"/>
        </w:rPr>
      </w:pPr>
    </w:p>
    <w:p>
      <w:pPr>
        <w:rPr>
          <w:rFonts w:hint="eastAsia" w:ascii="宋体" w:hAnsi="宋体" w:eastAsia="宋体" w:cs="Times New Roman"/>
          <w:color w:val="auto"/>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rPr>
      </w:pPr>
      <w:r>
        <w:rPr>
          <w:rFonts w:hint="eastAsia" w:ascii="宋体" w:hAnsi="宋体" w:eastAsia="宋体" w:cs="Times New Roman"/>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s="Times New Roman"/>
          <w:color w:val="auto"/>
          <w:sz w:val="21"/>
          <w:szCs w:val="21"/>
        </w:rPr>
        <w:t>投标人盖章：</w:t>
      </w: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1" w:name="_Toc16710"/>
      <w:bookmarkStart w:id="312" w:name="_Toc21541"/>
      <w:r>
        <w:rPr>
          <w:rFonts w:hint="eastAsia"/>
          <w:color w:val="auto"/>
          <w:lang w:val="en-US" w:eastAsia="zh-CN"/>
        </w:rPr>
        <w:t>七、投标保证金汇入情况说明</w:t>
      </w:r>
      <w:bookmarkEnd w:id="311"/>
      <w:bookmarkEnd w:id="312"/>
    </w:p>
    <w:p>
      <w:pPr>
        <w:spacing w:after="0" w:line="48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本单位已按</w:t>
      </w:r>
      <w:r>
        <w:rPr>
          <w:rFonts w:hint="eastAsia" w:ascii="宋体" w:hAnsi="宋体"/>
          <w:color w:val="auto"/>
          <w:sz w:val="21"/>
          <w:szCs w:val="21"/>
          <w:lang w:eastAsia="zh-CN"/>
        </w:rPr>
        <w:t>（</w:t>
      </w:r>
      <w:r>
        <w:rPr>
          <w:rFonts w:hint="eastAsia" w:ascii="宋体" w:hAnsi="宋体" w:eastAsia="宋体"/>
          <w:color w:val="auto"/>
          <w:sz w:val="21"/>
          <w:szCs w:val="21"/>
        </w:rPr>
        <w:t>项目</w:t>
      </w:r>
      <w:r>
        <w:rPr>
          <w:rFonts w:hint="eastAsia" w:ascii="宋体" w:hAnsi="宋体"/>
          <w:color w:val="auto"/>
          <w:sz w:val="21"/>
          <w:szCs w:val="21"/>
          <w:lang w:val="en-US" w:eastAsia="zh-CN"/>
        </w:rPr>
        <w:t>名称）</w:t>
      </w:r>
      <w:r>
        <w:rPr>
          <w:rFonts w:hint="eastAsia" w:ascii="宋体" w:hAnsi="宋体" w:eastAsia="宋体"/>
          <w:color w:val="auto"/>
          <w:sz w:val="21"/>
          <w:szCs w:val="21"/>
        </w:rPr>
        <w:t>包</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（采购项目编号：</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）的招标文件要求，于</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日前以</w:t>
      </w:r>
      <w:r>
        <w:rPr>
          <w:rFonts w:hint="eastAsia" w:ascii="宋体" w:hAnsi="宋体" w:eastAsia="宋体"/>
          <w:color w:val="auto"/>
          <w:sz w:val="21"/>
          <w:szCs w:val="21"/>
          <w:u w:val="single"/>
        </w:rPr>
        <w:t xml:space="preserve">           （付款形式）</w:t>
      </w:r>
      <w:r>
        <w:rPr>
          <w:rFonts w:hint="eastAsia" w:ascii="宋体" w:hAnsi="宋体" w:eastAsia="宋体"/>
          <w:color w:val="auto"/>
          <w:sz w:val="21"/>
          <w:szCs w:val="21"/>
        </w:rPr>
        <w:t>方式汇入指定帐户（帐户名称：</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，帐号：</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u w:val="single"/>
        </w:rPr>
        <w:t xml:space="preserve"> </w:t>
      </w:r>
      <w:r>
        <w:rPr>
          <w:rFonts w:hint="eastAsia" w:ascii="宋体" w:hAnsi="宋体" w:eastAsia="宋体"/>
          <w:color w:val="auto"/>
          <w:sz w:val="21"/>
          <w:szCs w:val="21"/>
        </w:rPr>
        <w:t>,开户银行：</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汇出时间：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月</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汇款金额：</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（大写）人民币（小写：￥</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汇款帐户名称：</w:t>
      </w:r>
      <w:r>
        <w:rPr>
          <w:rFonts w:hint="eastAsia" w:ascii="宋体" w:hAnsi="宋体" w:eastAsia="宋体"/>
          <w:color w:val="auto"/>
          <w:sz w:val="21"/>
          <w:szCs w:val="21"/>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帐        号：</w:t>
      </w:r>
      <w:r>
        <w:rPr>
          <w:rFonts w:hint="eastAsia" w:ascii="宋体" w:hAnsi="宋体" w:eastAsia="宋体"/>
          <w:color w:val="auto"/>
          <w:sz w:val="21"/>
          <w:szCs w:val="21"/>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u w:val="single"/>
        </w:rPr>
      </w:pPr>
      <w:r>
        <w:rPr>
          <w:rFonts w:hint="eastAsia" w:ascii="宋体" w:hAnsi="宋体" w:eastAsia="宋体"/>
          <w:color w:val="auto"/>
          <w:sz w:val="21"/>
          <w:szCs w:val="21"/>
        </w:rPr>
        <w:t>开 户  银 行：</w:t>
      </w:r>
      <w:r>
        <w:rPr>
          <w:rFonts w:hint="eastAsia" w:ascii="宋体" w:hAnsi="宋体" w:eastAsia="宋体"/>
          <w:color w:val="auto"/>
          <w:sz w:val="21"/>
          <w:szCs w:val="21"/>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投标保证金退回时，请按上述资料退回。</w:t>
      </w:r>
    </w:p>
    <w:p>
      <w:pPr>
        <w:spacing w:after="0" w:line="480" w:lineRule="auto"/>
        <w:ind w:right="844" w:rightChars="402"/>
        <w:jc w:val="right"/>
        <w:rPr>
          <w:rFonts w:ascii="宋体" w:hAnsi="宋体" w:eastAsia="宋体"/>
          <w:color w:val="auto"/>
          <w:sz w:val="21"/>
          <w:szCs w:val="21"/>
        </w:rPr>
      </w:pPr>
      <w:r>
        <w:rPr>
          <w:rFonts w:hint="eastAsia" w:ascii="宋体" w:hAnsi="宋体" w:eastAsia="宋体"/>
          <w:color w:val="auto"/>
          <w:sz w:val="21"/>
          <w:szCs w:val="21"/>
        </w:rPr>
        <w:t>（单位公章）</w:t>
      </w:r>
    </w:p>
    <w:p>
      <w:pPr>
        <w:spacing w:after="0" w:line="480" w:lineRule="auto"/>
        <w:ind w:right="628" w:rightChars="299"/>
        <w:jc w:val="center"/>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联系人手机：</w:t>
      </w:r>
    </w:p>
    <w:p>
      <w:pPr>
        <w:spacing w:after="0"/>
        <w:rPr>
          <w:rFonts w:ascii="宋体" w:hAnsi="宋体" w:eastAsia="宋体"/>
          <w:color w:val="auto"/>
          <w:sz w:val="21"/>
          <w:szCs w:val="21"/>
        </w:rPr>
      </w:pPr>
    </w:p>
    <w:p>
      <w:pPr>
        <w:spacing w:after="0" w:line="380" w:lineRule="exact"/>
        <w:ind w:firstLine="420" w:firstLineChars="200"/>
        <w:rPr>
          <w:rFonts w:ascii="宋体" w:hAnsi="宋体" w:eastAsia="宋体"/>
          <w:color w:val="auto"/>
          <w:sz w:val="21"/>
          <w:szCs w:val="21"/>
        </w:rPr>
      </w:pPr>
      <w:r>
        <w:rPr>
          <w:rFonts w:hint="eastAsia" w:ascii="宋体" w:hAnsi="宋体" w:eastAsia="宋体"/>
          <w:color w:val="auto"/>
          <w:sz w:val="21"/>
          <w:szCs w:val="21"/>
        </w:rPr>
        <w:br w:type="page"/>
      </w:r>
    </w:p>
    <w:p>
      <w:pPr>
        <w:spacing w:after="0" w:line="380" w:lineRule="exact"/>
        <w:ind w:firstLine="420" w:firstLineChars="200"/>
        <w:rPr>
          <w:rFonts w:ascii="宋体" w:hAnsi="宋体" w:eastAsia="宋体"/>
          <w:color w:val="auto"/>
          <w:sz w:val="21"/>
          <w:szCs w:val="21"/>
        </w:rPr>
      </w:pPr>
      <w:r>
        <w:rPr>
          <w:rFonts w:hint="eastAsia" w:ascii="宋体" w:hAnsi="宋体" w:eastAsia="宋体"/>
          <w:color w:val="auto"/>
          <w:sz w:val="21"/>
          <w:szCs w:val="21"/>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rPr>
            </w:pPr>
            <w:r>
              <w:rPr>
                <w:rFonts w:hint="eastAsia" w:ascii="宋体" w:hAnsi="宋体" w:eastAsia="宋体"/>
                <w:color w:val="auto"/>
                <w:sz w:val="21"/>
                <w:szCs w:val="21"/>
              </w:rPr>
              <w:t>（粘贴汇款单或转账</w:t>
            </w:r>
            <w:r>
              <w:rPr>
                <w:rFonts w:ascii="宋体" w:hAnsi="宋体" w:eastAsia="宋体"/>
                <w:color w:val="auto"/>
                <w:sz w:val="21"/>
                <w:szCs w:val="21"/>
              </w:rPr>
              <w:t>凭证</w:t>
            </w:r>
            <w:r>
              <w:rPr>
                <w:rFonts w:hint="eastAsia" w:ascii="宋体" w:hAnsi="宋体" w:eastAsia="宋体"/>
                <w:color w:val="auto"/>
                <w:sz w:val="21"/>
                <w:szCs w:val="21"/>
              </w:rPr>
              <w:t>复印件，并在骑缝上加盖投标人公章，或是直接把转账</w:t>
            </w:r>
            <w:r>
              <w:rPr>
                <w:rFonts w:ascii="宋体" w:hAnsi="宋体" w:eastAsia="宋体"/>
                <w:color w:val="auto"/>
                <w:sz w:val="21"/>
                <w:szCs w:val="21"/>
              </w:rPr>
              <w:t>凭证</w:t>
            </w:r>
            <w:r>
              <w:rPr>
                <w:rFonts w:hint="eastAsia" w:ascii="宋体" w:hAnsi="宋体" w:eastAsia="宋体"/>
                <w:color w:val="auto"/>
                <w:sz w:val="21"/>
                <w:szCs w:val="21"/>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注：</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lang w:val="en-US" w:eastAsia="zh-CN"/>
        </w:rPr>
        <w:t>1</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rPr>
        <w:t>此表既要装订在投标文件中，又要按投标人须知的规定与</w:t>
      </w:r>
      <w:r>
        <w:rPr>
          <w:rFonts w:hint="eastAsia" w:ascii="宋体" w:hAnsi="宋体" w:eastAsia="宋体"/>
          <w:b/>
          <w:bCs/>
          <w:color w:val="auto"/>
          <w:sz w:val="21"/>
          <w:szCs w:val="21"/>
          <w:lang w:eastAsia="zh-CN"/>
        </w:rPr>
        <w:t>唱标一览表</w:t>
      </w:r>
      <w:r>
        <w:rPr>
          <w:rFonts w:hint="eastAsia" w:ascii="宋体" w:hAnsi="宋体" w:eastAsia="宋体"/>
          <w:b/>
          <w:bCs/>
          <w:color w:val="auto"/>
          <w:sz w:val="21"/>
          <w:szCs w:val="21"/>
        </w:rPr>
        <w:t>、投标保证金汇款底单复印件及授权委托书一同密封装入</w:t>
      </w:r>
      <w:r>
        <w:rPr>
          <w:rFonts w:hint="eastAsia" w:ascii="宋体" w:hAnsi="宋体" w:eastAsia="宋体"/>
          <w:b/>
          <w:bCs/>
          <w:color w:val="auto"/>
          <w:sz w:val="21"/>
          <w:szCs w:val="21"/>
          <w:lang w:eastAsia="zh-CN"/>
        </w:rPr>
        <w:t>唱标文件</w:t>
      </w:r>
      <w:r>
        <w:rPr>
          <w:rFonts w:hint="eastAsia" w:ascii="宋体" w:hAnsi="宋体" w:eastAsia="宋体"/>
          <w:b/>
          <w:bCs/>
          <w:color w:val="auto"/>
          <w:sz w:val="21"/>
          <w:szCs w:val="21"/>
        </w:rPr>
        <w:t>，</w:t>
      </w:r>
      <w:r>
        <w:rPr>
          <w:rFonts w:hint="eastAsia" w:ascii="宋体" w:hAnsi="宋体" w:eastAsia="宋体"/>
          <w:b/>
          <w:bCs/>
          <w:color w:val="auto"/>
          <w:sz w:val="21"/>
          <w:szCs w:val="21"/>
          <w:lang w:eastAsia="zh-CN"/>
        </w:rPr>
        <w:t>唱标文件</w:t>
      </w:r>
      <w:r>
        <w:rPr>
          <w:rFonts w:hint="eastAsia" w:ascii="宋体" w:hAnsi="宋体" w:eastAsia="宋体"/>
          <w:b/>
          <w:bCs/>
          <w:color w:val="auto"/>
          <w:sz w:val="21"/>
          <w:szCs w:val="21"/>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lang w:eastAsia="zh-CN"/>
        </w:rPr>
        <w:t>（</w:t>
      </w:r>
      <w:r>
        <w:rPr>
          <w:rFonts w:hint="eastAsia" w:ascii="宋体" w:hAnsi="宋体" w:eastAsia="宋体"/>
          <w:b/>
          <w:bCs/>
          <w:color w:val="auto"/>
          <w:sz w:val="21"/>
          <w:szCs w:val="21"/>
          <w:lang w:val="en-US" w:eastAsia="zh-CN"/>
        </w:rPr>
        <w:t>2</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rPr>
        <w:t>若投标人以投标担保函形式提交投标保证金，则无需在投标文件中提供此格式。</w:t>
      </w:r>
    </w:p>
    <w:p>
      <w:pPr>
        <w:rPr>
          <w:rFonts w:ascii="黑体" w:eastAsia="黑体"/>
          <w:color w:val="auto"/>
          <w:sz w:val="28"/>
          <w:szCs w:val="28"/>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3" w:name="_Toc26855"/>
      <w:bookmarkStart w:id="314" w:name="_Toc24545"/>
      <w:r>
        <w:rPr>
          <w:rFonts w:hint="eastAsia"/>
          <w:color w:val="auto"/>
          <w:lang w:val="en-US" w:eastAsia="zh-CN"/>
        </w:rPr>
        <w:t>八、采购投标担保函</w:t>
      </w:r>
      <w:bookmarkEnd w:id="313"/>
      <w:bookmarkEnd w:id="314"/>
    </w:p>
    <w:p>
      <w:pPr>
        <w:wordWrap w:val="0"/>
        <w:jc w:val="right"/>
        <w:rPr>
          <w:rFonts w:ascii="仿宋_GB2312" w:eastAsia="仿宋_GB2312"/>
          <w:color w:val="auto"/>
          <w:sz w:val="32"/>
          <w:szCs w:val="32"/>
        </w:rPr>
      </w:pPr>
      <w:r>
        <w:rPr>
          <w:rFonts w:hint="eastAsia" w:ascii="黑体" w:eastAsia="黑体"/>
          <w:color w:val="auto"/>
          <w:sz w:val="28"/>
          <w:szCs w:val="28"/>
        </w:rPr>
        <w:t xml:space="preserve"> 编号：</w:t>
      </w: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rPr>
        <w:t>（采购人或采购代理机构）：</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鉴于（以下简称“投标人”）拟参加编号为</w:t>
      </w:r>
      <w:r>
        <w:rPr>
          <w:rFonts w:hint="eastAsia" w:ascii="宋体" w:hAnsi="宋体" w:eastAsia="宋体" w:cs="宋体"/>
          <w:color w:val="auto"/>
          <w:sz w:val="21"/>
          <w:szCs w:val="21"/>
          <w:u w:val="single"/>
        </w:rPr>
        <w:t xml:space="preserve">            的</w:t>
      </w: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spacing w:after="0" w:line="480" w:lineRule="auto"/>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（一）在投标人出现下列情形之一时，我方承担保证责任：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1．中标后投标人无正当理由不与采购人或者采购代理机构签订《采购合同》；</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2．招标文件规定的投标人应当缴纳保证金的其他情形。</w:t>
      </w:r>
    </w:p>
    <w:p>
      <w:pPr>
        <w:spacing w:after="0" w:line="480" w:lineRule="auto"/>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我方的保证期间为：自本保函生效之日起个月止。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2．我方在收到索赔通知及相关证明材料后，在</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spacing w:after="0" w:line="480" w:lineRule="auto"/>
        <w:jc w:val="right"/>
        <w:rPr>
          <w:rFonts w:ascii="宋体" w:hAnsi="宋体" w:eastAsia="宋体" w:cs="宋体"/>
          <w:color w:val="auto"/>
          <w:sz w:val="21"/>
          <w:szCs w:val="21"/>
        </w:rPr>
      </w:pPr>
    </w:p>
    <w:p>
      <w:pPr>
        <w:spacing w:after="0" w:line="480" w:lineRule="auto"/>
        <w:jc w:val="right"/>
        <w:rPr>
          <w:rFonts w:ascii="宋体" w:hAnsi="宋体" w:eastAsia="宋体" w:cs="宋体"/>
          <w:color w:val="auto"/>
          <w:sz w:val="21"/>
          <w:szCs w:val="21"/>
        </w:rPr>
      </w:pPr>
      <w:r>
        <w:rPr>
          <w:rFonts w:hint="eastAsia" w:ascii="宋体" w:hAnsi="宋体" w:eastAsia="宋体" w:cs="宋体"/>
          <w:color w:val="auto"/>
          <w:sz w:val="21"/>
          <w:szCs w:val="21"/>
        </w:rPr>
        <w:t>保证人：（公章）</w:t>
      </w:r>
    </w:p>
    <w:p>
      <w:pPr>
        <w:spacing w:after="0" w:line="480" w:lineRule="auto"/>
        <w:jc w:val="right"/>
        <w:rPr>
          <w:rFonts w:ascii="宋体" w:hAnsi="宋体" w:eastAsia="宋体" w:cs="宋体"/>
          <w:color w:val="auto"/>
          <w:sz w:val="21"/>
          <w:szCs w:val="21"/>
        </w:rPr>
      </w:pPr>
      <w:r>
        <w:rPr>
          <w:rFonts w:hint="eastAsia" w:ascii="宋体" w:hAnsi="宋体" w:eastAsia="宋体" w:cs="宋体"/>
          <w:color w:val="auto"/>
          <w:sz w:val="21"/>
          <w:szCs w:val="21"/>
        </w:rPr>
        <w:t>年     月      日</w:t>
      </w:r>
    </w:p>
    <w:p>
      <w:pPr>
        <w:spacing w:after="0"/>
        <w:rPr>
          <w:rFonts w:ascii="宋体" w:hAnsi="宋体" w:eastAsia="宋体"/>
          <w:color w:val="auto"/>
          <w:sz w:val="21"/>
          <w:szCs w:val="21"/>
        </w:rPr>
      </w:pPr>
    </w:p>
    <w:p>
      <w:pPr>
        <w:spacing w:after="0"/>
        <w:rPr>
          <w:rFonts w:ascii="宋体" w:hAnsi="宋体" w:eastAsia="宋体"/>
          <w:b/>
          <w:bCs/>
          <w:color w:val="auto"/>
          <w:sz w:val="21"/>
          <w:szCs w:val="21"/>
        </w:rPr>
      </w:pPr>
      <w:r>
        <w:rPr>
          <w:rFonts w:hint="eastAsia" w:ascii="宋体" w:hAnsi="宋体" w:eastAsia="宋体"/>
          <w:b/>
          <w:bCs/>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rPr>
      </w:pPr>
      <w:r>
        <w:rPr>
          <w:rFonts w:hint="eastAsia" w:ascii="宋体" w:hAnsi="宋体" w:eastAsia="宋体"/>
          <w:b/>
          <w:bCs/>
          <w:color w:val="auto"/>
          <w:sz w:val="21"/>
          <w:szCs w:val="21"/>
        </w:rPr>
        <w:t>（2）若投标人以投标担保函形式提交投标保证金，则应将投标担保函原件交予采购代理机构。</w:t>
      </w:r>
    </w:p>
    <w:p>
      <w:pPr>
        <w:spacing w:after="0"/>
        <w:rPr>
          <w:rFonts w:ascii="黑体" w:eastAsia="黑体"/>
          <w:color w:val="auto"/>
          <w:sz w:val="30"/>
          <w:szCs w:val="30"/>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5" w:name="_Toc6961"/>
      <w:r>
        <w:rPr>
          <w:rFonts w:hint="eastAsia"/>
          <w:color w:val="auto"/>
          <w:lang w:val="en-US" w:eastAsia="zh-CN"/>
        </w:rPr>
        <w:t>九、采购履约担保函</w:t>
      </w:r>
      <w:bookmarkEnd w:id="31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rPr>
      </w:pPr>
      <w:r>
        <w:rPr>
          <w:rFonts w:hint="eastAsia" w:ascii="黑体" w:eastAsia="黑体"/>
          <w:color w:val="auto"/>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u w:val="single"/>
        </w:rPr>
      </w:pPr>
      <w:r>
        <w:rPr>
          <w:rFonts w:hint="eastAsia" w:ascii="宋体" w:hAnsi="宋体" w:eastAsia="宋体" w:cs="宋体"/>
          <w:color w:val="auto"/>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（1）此格式为履约担保函格式，无需在投标文件中提供此格式。</w:t>
      </w:r>
    </w:p>
    <w:p>
      <w:pPr>
        <w:pStyle w:val="7"/>
        <w:rPr>
          <w:color w:val="auto"/>
        </w:rPr>
      </w:pPr>
    </w:p>
    <w:p>
      <w:pPr>
        <w:bidi w:val="0"/>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6" w:name="_Toc26772"/>
      <w:bookmarkStart w:id="317" w:name="_Toc26782"/>
      <w:r>
        <w:rPr>
          <w:rFonts w:hint="eastAsia"/>
          <w:color w:val="auto"/>
          <w:lang w:val="en-US" w:eastAsia="zh-CN"/>
        </w:rPr>
        <w:t>第四章唱标信封（单独封装）</w:t>
      </w:r>
      <w:bookmarkEnd w:id="316"/>
      <w:bookmarkEnd w:id="31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（2）法人代表授权书</w:t>
      </w:r>
      <w:r>
        <w:rPr>
          <w:rFonts w:hint="eastAsia"/>
          <w:color w:val="auto"/>
          <w:lang w:val="en-US" w:eastAsia="zh-CN"/>
        </w:rPr>
        <w:t>及</w:t>
      </w:r>
      <w:r>
        <w:rPr>
          <w:rFonts w:hint="eastAsia"/>
          <w:color w:val="auto"/>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lang w:val="en-US" w:eastAsia="zh-CN"/>
        </w:rPr>
      </w:pPr>
      <w:r>
        <w:rPr>
          <w:rFonts w:hint="eastAsia"/>
          <w:color w:val="auto"/>
        </w:rPr>
        <w:t>（</w:t>
      </w:r>
      <w:r>
        <w:rPr>
          <w:rFonts w:hint="eastAsia"/>
          <w:color w:val="auto"/>
          <w:lang w:val="en-US" w:eastAsia="zh-CN"/>
        </w:rPr>
        <w:t>3</w:t>
      </w:r>
      <w:r>
        <w:rPr>
          <w:rFonts w:hint="eastAsia"/>
          <w:color w:val="auto"/>
        </w:rPr>
        <w:t>）投标保证金汇入情况说明</w:t>
      </w:r>
      <w:r>
        <w:rPr>
          <w:rFonts w:hint="eastAsia"/>
          <w:color w:val="auto"/>
          <w:lang w:val="en-US" w:eastAsia="zh-CN"/>
        </w:rPr>
        <w:t>及</w:t>
      </w:r>
      <w:r>
        <w:rPr>
          <w:rFonts w:hint="eastAsia"/>
          <w:color w:val="auto"/>
        </w:rPr>
        <w:t>投标保证金汇款底单（复印件加盖公章）</w:t>
      </w:r>
      <w:r>
        <w:rPr>
          <w:rFonts w:hint="eastAsia"/>
          <w:color w:val="auto"/>
          <w:lang w:eastAsia="zh-CN"/>
        </w:rPr>
        <w:t>，</w:t>
      </w:r>
      <w:r>
        <w:rPr>
          <w:rFonts w:hint="eastAsia"/>
          <w:color w:val="auto"/>
          <w:lang w:val="en-US" w:eastAsia="zh-CN"/>
        </w:rPr>
        <w:t>或《采购投标担保函》复印件。</w:t>
      </w: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bidi w:val="0"/>
        <w:rPr>
          <w:color w:val="auto"/>
        </w:rPr>
      </w:pPr>
    </w:p>
    <w:p>
      <w:pPr>
        <w:bidi w:val="0"/>
        <w:rPr>
          <w:color w:val="auto"/>
        </w:rPr>
      </w:pPr>
    </w:p>
    <w:p>
      <w:pPr>
        <w:bidi w:val="0"/>
        <w:rPr>
          <w:rFonts w:hint="eastAsia"/>
          <w:color w:val="auto"/>
        </w:rPr>
      </w:pPr>
      <w:bookmarkStart w:id="318" w:name="_Toc11182"/>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9" w:name="_Toc22736"/>
      <w:bookmarkStart w:id="320" w:name="_Toc2710"/>
      <w:r>
        <w:rPr>
          <w:rFonts w:hint="eastAsia"/>
          <w:color w:val="auto"/>
          <w:lang w:val="en-US" w:eastAsia="zh-CN"/>
        </w:rPr>
        <w:t>第五章联合体共同投标协议书（如有需要）</w:t>
      </w:r>
      <w:bookmarkEnd w:id="319"/>
      <w:bookmarkEnd w:id="32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u w:val="single"/>
          <w:lang w:eastAsia="zh-CN"/>
        </w:rPr>
      </w:pPr>
      <w:r>
        <w:rPr>
          <w:rFonts w:hint="eastAsia" w:ascii="宋体" w:hAnsi="宋体" w:eastAsia="宋体" w:cs="宋体"/>
          <w:color w:val="auto"/>
          <w:kern w:val="0"/>
          <w:sz w:val="21"/>
          <w:szCs w:val="21"/>
          <w:u w:val="single"/>
        </w:rPr>
        <w:t>致：</w:t>
      </w:r>
      <w:r>
        <w:rPr>
          <w:rFonts w:hint="eastAsia" w:ascii="宋体" w:hAnsi="宋体" w:eastAsia="宋体" w:cs="宋体"/>
          <w:color w:val="auto"/>
          <w:kern w:val="0"/>
          <w:sz w:val="21"/>
          <w:szCs w:val="21"/>
          <w:u w:val="single"/>
          <w:lang w:eastAsia="zh-CN"/>
        </w:rPr>
        <w:t>（</w:t>
      </w:r>
      <w:r>
        <w:rPr>
          <w:rFonts w:hint="eastAsia" w:ascii="宋体" w:hAnsi="宋体" w:eastAsia="宋体" w:cs="宋体"/>
          <w:color w:val="auto"/>
          <w:kern w:val="0"/>
          <w:sz w:val="21"/>
          <w:szCs w:val="21"/>
          <w:u w:val="single"/>
          <w:lang w:val="en-US" w:eastAsia="zh-CN"/>
        </w:rPr>
        <w:t>采购人</w:t>
      </w:r>
      <w:r>
        <w:rPr>
          <w:rFonts w:hint="eastAsia" w:ascii="宋体" w:hAnsi="宋体" w:eastAsia="宋体" w:cs="宋体"/>
          <w:color w:val="auto"/>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kern w:val="0"/>
          <w:sz w:val="21"/>
          <w:szCs w:val="21"/>
        </w:rPr>
        <w:t>共同组成一个联合体，</w:t>
      </w:r>
      <w:r>
        <w:rPr>
          <w:rFonts w:hint="eastAsia" w:ascii="宋体" w:hAnsi="宋体" w:eastAsia="宋体" w:cs="宋体"/>
          <w:color w:val="auto"/>
          <w:kern w:val="10"/>
          <w:sz w:val="21"/>
          <w:szCs w:val="21"/>
        </w:rPr>
        <w:t>以一个投标供应商的身份共同</w:t>
      </w:r>
      <w:r>
        <w:rPr>
          <w:rFonts w:hint="eastAsia" w:ascii="宋体" w:hAnsi="宋体" w:eastAsia="宋体" w:cs="宋体"/>
          <w:color w:val="auto"/>
          <w:kern w:val="0"/>
          <w:sz w:val="21"/>
          <w:szCs w:val="21"/>
        </w:rPr>
        <w:t>参加</w:t>
      </w:r>
      <w:r>
        <w:rPr>
          <w:rFonts w:hint="eastAsia" w:ascii="宋体" w:hAnsi="宋体" w:eastAsia="宋体" w:cs="宋体"/>
          <w:color w:val="auto"/>
          <w:kern w:val="0"/>
          <w:sz w:val="21"/>
          <w:szCs w:val="21"/>
          <w:u w:val="single"/>
        </w:rPr>
        <w:t>（采购项目名称）</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u w:val="single"/>
        </w:rPr>
        <w:t>（采购项目编号）</w:t>
      </w:r>
      <w:r>
        <w:rPr>
          <w:rFonts w:hint="eastAsia" w:ascii="宋体" w:hAnsi="宋体" w:eastAsia="宋体" w:cs="宋体"/>
          <w:color w:val="auto"/>
          <w:kern w:val="0"/>
          <w:sz w:val="21"/>
          <w:szCs w:val="21"/>
        </w:rPr>
        <w:t>的投标响应。</w:t>
      </w:r>
      <w:r>
        <w:rPr>
          <w:rFonts w:hint="eastAsia" w:ascii="宋体" w:hAnsi="宋体" w:eastAsia="宋体" w:cs="宋体"/>
          <w:color w:val="auto"/>
          <w:sz w:val="21"/>
          <w:szCs w:val="21"/>
        </w:rPr>
        <w:t>经协商一致，就本</w:t>
      </w:r>
      <w:r>
        <w:rPr>
          <w:rFonts w:hint="eastAsia" w:ascii="宋体" w:hAnsi="宋体" w:eastAsia="宋体" w:cs="宋体"/>
          <w:color w:val="auto"/>
          <w:kern w:val="10"/>
          <w:sz w:val="21"/>
          <w:szCs w:val="21"/>
        </w:rPr>
        <w:t>项目的投标响应和合同实施阶段的有关事务</w:t>
      </w:r>
      <w:r>
        <w:rPr>
          <w:rFonts w:hint="eastAsia" w:ascii="宋体" w:hAnsi="宋体" w:eastAsia="宋体" w:cs="宋体"/>
          <w:color w:val="auto"/>
          <w:kern w:val="0"/>
          <w:sz w:val="21"/>
          <w:szCs w:val="21"/>
        </w:rPr>
        <w:t>订立协议如下</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sz w:val="21"/>
          <w:szCs w:val="21"/>
        </w:rPr>
        <w:t>作为联合体成员，若中标、成交，联合体各方共同与采购人签订采购合同。其中</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是联合体牵头方，</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（乙公司全称）承担本项目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5.联合体成员</w:t>
      </w:r>
      <w:r>
        <w:rPr>
          <w:rFonts w:hint="eastAsia" w:ascii="宋体" w:hAnsi="宋体" w:eastAsia="宋体" w:cs="宋体"/>
          <w:color w:val="auto"/>
          <w:sz w:val="21"/>
          <w:szCs w:val="21"/>
          <w:u w:val="single"/>
        </w:rPr>
        <w:t>　（公司全称）　</w:t>
      </w:r>
      <w:r>
        <w:rPr>
          <w:rFonts w:hint="eastAsia" w:ascii="宋体" w:hAnsi="宋体" w:eastAsia="宋体" w:cs="宋体"/>
          <w:color w:val="auto"/>
          <w:sz w:val="21"/>
          <w:szCs w:val="21"/>
        </w:rPr>
        <w:t>为</w:t>
      </w:r>
      <w:r>
        <w:rPr>
          <w:rFonts w:hint="eastAsia" w:ascii="宋体" w:hAnsi="宋体" w:eastAsia="宋体" w:cs="宋体"/>
          <w:color w:val="auto"/>
          <w:sz w:val="21"/>
          <w:szCs w:val="21"/>
          <w:u w:val="single"/>
        </w:rPr>
        <w:t>（请填写：小型、微型）</w:t>
      </w:r>
      <w:r>
        <w:rPr>
          <w:rFonts w:hint="eastAsia" w:ascii="宋体" w:hAnsi="宋体" w:eastAsia="宋体" w:cs="宋体"/>
          <w:color w:val="auto"/>
          <w:sz w:val="21"/>
          <w:szCs w:val="21"/>
        </w:rPr>
        <w:t>企业，将承担合同总金额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五、</w:t>
      </w:r>
      <w:r>
        <w:rPr>
          <w:rFonts w:hint="eastAsia" w:ascii="宋体" w:hAnsi="宋体" w:eastAsia="宋体" w:cs="宋体"/>
          <w:color w:val="auto"/>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六、本协议书一式</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份，随响应文件装订</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份，联合体成员各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甲公司全称：（盖章） </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乙公司全称：（盖章）</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w:t>
      </w:r>
      <w:r>
        <w:rPr>
          <w:rFonts w:hint="eastAsia" w:ascii="宋体" w:hAnsi="宋体" w:cs="宋体"/>
          <w:color w:val="auto"/>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p>
    <w:bookmarkEnd w:id="318"/>
    <w:p>
      <w:pPr>
        <w:pStyle w:val="7"/>
        <w:ind w:left="0" w:leftChars="0" w:firstLine="0" w:firstLineChars="0"/>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color w:val="auto"/>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质疑函制作说明：</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1.供应商提出质疑时，应提交质疑函和必要的证明材料。</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3.质疑供应商若对项目的某一分包进行质疑，质疑函中应列明具体分包号。</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4.质疑函的质疑事项应具体、明确，并有必要的事实依据和法律依据。</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5.质疑函的质疑请求应与质疑事项相关。</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6.质疑供应商为自然人的，质疑函应由本人签字；质疑供应商为法人或者其他组织的，质疑函应由法定代表人、主要负责人，或者其授权代表签字或者盖章，并加盖公章。</w:t>
      </w:r>
    </w:p>
    <w:p>
      <w:pPr>
        <w:pStyle w:val="7"/>
        <w:rPr>
          <w:color w:val="auto"/>
        </w:rPr>
      </w:pPr>
    </w:p>
    <w:p>
      <w:pPr>
        <w:spacing w:after="0" w:line="360" w:lineRule="auto"/>
        <w:rPr>
          <w:color w:val="auto"/>
        </w:rPr>
      </w:pPr>
    </w:p>
    <w:p>
      <w:pPr>
        <w:pStyle w:val="7"/>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spacing w:after="0"/>
        <w:jc w:val="both"/>
        <w:rPr>
          <w:rFonts w:hint="eastAsia" w:ascii="黑体" w:hAnsi="黑体" w:eastAsia="黑体" w:cs="黑体"/>
          <w:color w:val="auto"/>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年    月    日    时    分</w:t>
            </w:r>
          </w:p>
        </w:tc>
      </w:tr>
      <w:tr>
        <w:tblPrEx>
          <w:shd w:val="clear" w:color="auto" w:fill="auto"/>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承诺:</w:t>
            </w:r>
          </w:p>
          <w:p>
            <w:pPr>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本公司对提供的所有资料的真实性、有效性承担责任。</w:t>
            </w:r>
          </w:p>
          <w:p>
            <w:pPr>
              <w:keepNext w:val="0"/>
              <w:keepLines w:val="0"/>
              <w:pageBreakBefore w:val="0"/>
              <w:widowControl/>
              <w:numPr>
                <w:ilvl w:val="0"/>
                <w:numId w:val="14"/>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 xml:space="preserve">招标文件领取人签名: </w:t>
            </w:r>
            <w:r>
              <w:rPr>
                <w:rFonts w:hint="eastAsia" w:ascii="宋体" w:hAnsi="宋体" w:eastAsia="宋体" w:cs="宋体"/>
                <w:i w:val="0"/>
                <w:iCs w:val="0"/>
                <w:color w:val="auto"/>
                <w:kern w:val="0"/>
                <w:sz w:val="28"/>
                <w:szCs w:val="28"/>
                <w:u w:val="single"/>
                <w:lang w:val="en-US" w:eastAsia="zh-CN" w:bidi="ar"/>
              </w:rPr>
              <w:t xml:space="preserve">     </w:t>
            </w:r>
            <w:r>
              <w:rPr>
                <w:rFonts w:hint="eastAsia" w:ascii="宋体" w:hAnsi="宋体" w:eastAsia="宋体" w:cs="宋体"/>
                <w:i w:val="0"/>
                <w:iCs w:val="0"/>
                <w:color w:val="auto"/>
                <w:kern w:val="0"/>
                <w:sz w:val="28"/>
                <w:szCs w:val="28"/>
                <w:u w:val="none"/>
                <w:vertAlign w:val="subscript"/>
                <w:lang w:val="en-US" w:eastAsia="zh-CN" w:bidi="ar"/>
              </w:rPr>
              <w:t xml:space="preserve"> </w:t>
            </w:r>
            <w:r>
              <w:rPr>
                <w:rFonts w:hint="eastAsia" w:ascii="宋体" w:hAnsi="宋体" w:eastAsia="宋体" w:cs="宋体"/>
                <w:i w:val="0"/>
                <w:iCs w:val="0"/>
                <w:color w:val="auto"/>
                <w:kern w:val="0"/>
                <w:sz w:val="28"/>
                <w:szCs w:val="28"/>
                <w:u w:val="none"/>
                <w:lang w:val="en-US" w:eastAsia="zh-CN" w:bidi="ar"/>
              </w:rPr>
              <w:t xml:space="preserve">              </w:t>
            </w:r>
            <w:r>
              <w:rPr>
                <w:rFonts w:hint="eastAsia" w:ascii="宋体" w:hAnsi="宋体" w:eastAsia="宋体" w:cs="宋体"/>
                <w:i w:val="0"/>
                <w:iCs w:val="0"/>
                <w:color w:val="auto"/>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人民币</w:t>
            </w:r>
            <w:r>
              <w:rPr>
                <w:rFonts w:hint="eastAsia" w:ascii="宋体" w:hAnsi="宋体" w:cs="宋体"/>
                <w:i w:val="0"/>
                <w:iCs w:val="0"/>
                <w:color w:val="auto"/>
                <w:kern w:val="0"/>
                <w:sz w:val="28"/>
                <w:szCs w:val="28"/>
                <w:u w:val="none"/>
                <w:lang w:val="en-US" w:eastAsia="zh-CN" w:bidi="ar"/>
              </w:rPr>
              <w:t>200</w:t>
            </w:r>
            <w:r>
              <w:rPr>
                <w:rFonts w:hint="eastAsia" w:ascii="宋体" w:hAnsi="宋体" w:eastAsia="宋体" w:cs="宋体"/>
                <w:i w:val="0"/>
                <w:iCs w:val="0"/>
                <w:color w:val="auto"/>
                <w:kern w:val="0"/>
                <w:sz w:val="28"/>
                <w:szCs w:val="28"/>
                <w:u w:val="none"/>
                <w:lang w:val="en-US" w:eastAsia="zh-CN" w:bidi="ar"/>
              </w:rPr>
              <w:t>元/份</w:t>
            </w:r>
          </w:p>
        </w:tc>
      </w:tr>
    </w:tbl>
    <w:p>
      <w:pPr>
        <w:pStyle w:val="8"/>
        <w:ind w:left="0" w:leftChars="0" w:firstLine="0" w:firstLineChars="0"/>
        <w:rPr>
          <w:color w:val="auto"/>
        </w:rPr>
      </w:pPr>
    </w:p>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方正兰亭黑简体">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61F5D74"/>
    <w:multiLevelType w:val="singleLevel"/>
    <w:tmpl w:val="A61F5D74"/>
    <w:lvl w:ilvl="0" w:tentative="0">
      <w:start w:val="1"/>
      <w:numFmt w:val="decimal"/>
      <w:suff w:val="nothing"/>
      <w:lvlText w:val="%1、"/>
      <w:lvlJc w:val="left"/>
      <w:rPr>
        <w:rFonts w:cs="Times New Roman"/>
      </w:rPr>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54C5C32E"/>
    <w:multiLevelType w:val="singleLevel"/>
    <w:tmpl w:val="54C5C32E"/>
    <w:lvl w:ilvl="0" w:tentative="0">
      <w:start w:val="1"/>
      <w:numFmt w:val="decimal"/>
      <w:suff w:val="nothing"/>
      <w:lvlText w:val="%1、"/>
      <w:lvlJc w:val="left"/>
      <w:rPr>
        <w:rFonts w:cs="Times New Roman"/>
      </w:rPr>
    </w:lvl>
  </w:abstractNum>
  <w:abstractNum w:abstractNumId="12">
    <w:nsid w:val="57A83E91"/>
    <w:multiLevelType w:val="singleLevel"/>
    <w:tmpl w:val="57A83E91"/>
    <w:lvl w:ilvl="0" w:tentative="0">
      <w:start w:val="1"/>
      <w:numFmt w:val="decimal"/>
      <w:suff w:val="nothing"/>
      <w:lvlText w:val="%1、"/>
      <w:lvlJc w:val="left"/>
      <w:rPr>
        <w:rFonts w:cs="Times New Roman"/>
      </w:rPr>
    </w:lvl>
  </w:abstractNum>
  <w:abstractNum w:abstractNumId="13">
    <w:nsid w:val="6E5CE7BD"/>
    <w:multiLevelType w:val="singleLevel"/>
    <w:tmpl w:val="6E5CE7BD"/>
    <w:lvl w:ilvl="0" w:tentative="0">
      <w:start w:val="1"/>
      <w:numFmt w:val="chineseCounting"/>
      <w:suff w:val="nothing"/>
      <w:lvlText w:val="%1、"/>
      <w:lvlJc w:val="left"/>
      <w:rPr>
        <w:rFonts w:hint="eastAsia"/>
      </w:rPr>
    </w:lvl>
  </w:abstractNum>
  <w:num w:numId="1">
    <w:abstractNumId w:val="13"/>
  </w:num>
  <w:num w:numId="2">
    <w:abstractNumId w:val="9"/>
  </w:num>
  <w:num w:numId="3">
    <w:abstractNumId w:val="6"/>
  </w:num>
  <w:num w:numId="4">
    <w:abstractNumId w:val="10"/>
  </w:num>
  <w:num w:numId="5">
    <w:abstractNumId w:val="7"/>
  </w:num>
  <w:num w:numId="6">
    <w:abstractNumId w:val="4"/>
  </w:num>
  <w:num w:numId="7">
    <w:abstractNumId w:val="2"/>
  </w:num>
  <w:num w:numId="8">
    <w:abstractNumId w:val="12"/>
  </w:num>
  <w:num w:numId="9">
    <w:abstractNumId w:val="11"/>
  </w:num>
  <w:num w:numId="10">
    <w:abstractNumId w:val="1"/>
  </w:num>
  <w:num w:numId="11">
    <w:abstractNumId w:val="3"/>
  </w:num>
  <w:num w:numId="12">
    <w:abstractNumId w:val="5"/>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35D7"/>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94604F"/>
    <w:rsid w:val="04DF1036"/>
    <w:rsid w:val="050F6021"/>
    <w:rsid w:val="05111D63"/>
    <w:rsid w:val="05A97DEC"/>
    <w:rsid w:val="05C81981"/>
    <w:rsid w:val="065A32ED"/>
    <w:rsid w:val="06BC41F2"/>
    <w:rsid w:val="06DF3DBD"/>
    <w:rsid w:val="07197D08"/>
    <w:rsid w:val="071C2CFD"/>
    <w:rsid w:val="071E5C55"/>
    <w:rsid w:val="072F396F"/>
    <w:rsid w:val="073A47CB"/>
    <w:rsid w:val="073F7319"/>
    <w:rsid w:val="07536A42"/>
    <w:rsid w:val="07595F41"/>
    <w:rsid w:val="07615EC0"/>
    <w:rsid w:val="077005AB"/>
    <w:rsid w:val="07893465"/>
    <w:rsid w:val="078F4581"/>
    <w:rsid w:val="07995C5E"/>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170B46"/>
    <w:rsid w:val="0B22594B"/>
    <w:rsid w:val="0B797387"/>
    <w:rsid w:val="0B8B2381"/>
    <w:rsid w:val="0BC044BE"/>
    <w:rsid w:val="0BDF26F7"/>
    <w:rsid w:val="0C264099"/>
    <w:rsid w:val="0C2B4952"/>
    <w:rsid w:val="0C7B2220"/>
    <w:rsid w:val="0D890E47"/>
    <w:rsid w:val="0DC64A00"/>
    <w:rsid w:val="0DFC60BA"/>
    <w:rsid w:val="0E4249F1"/>
    <w:rsid w:val="0E5B0851"/>
    <w:rsid w:val="0E7B4FF1"/>
    <w:rsid w:val="0F6C5A53"/>
    <w:rsid w:val="0F7C5FF6"/>
    <w:rsid w:val="0FC63FBD"/>
    <w:rsid w:val="100A0F53"/>
    <w:rsid w:val="106C564D"/>
    <w:rsid w:val="107B7B8F"/>
    <w:rsid w:val="107C67CE"/>
    <w:rsid w:val="1080523F"/>
    <w:rsid w:val="108F06C9"/>
    <w:rsid w:val="109D68CB"/>
    <w:rsid w:val="10A949B8"/>
    <w:rsid w:val="10C54639"/>
    <w:rsid w:val="10C7229A"/>
    <w:rsid w:val="11200D07"/>
    <w:rsid w:val="11DA73AF"/>
    <w:rsid w:val="11F62F4A"/>
    <w:rsid w:val="123346DD"/>
    <w:rsid w:val="1285542E"/>
    <w:rsid w:val="12C60D80"/>
    <w:rsid w:val="131867D4"/>
    <w:rsid w:val="131F7A3A"/>
    <w:rsid w:val="132645D0"/>
    <w:rsid w:val="13455ABC"/>
    <w:rsid w:val="1370322B"/>
    <w:rsid w:val="1373671E"/>
    <w:rsid w:val="13B27845"/>
    <w:rsid w:val="13BE469F"/>
    <w:rsid w:val="13F87121"/>
    <w:rsid w:val="141A03E1"/>
    <w:rsid w:val="143B2E0B"/>
    <w:rsid w:val="14672B11"/>
    <w:rsid w:val="14892735"/>
    <w:rsid w:val="14CA7505"/>
    <w:rsid w:val="14CC769D"/>
    <w:rsid w:val="14D046FA"/>
    <w:rsid w:val="157D38E3"/>
    <w:rsid w:val="15D359D7"/>
    <w:rsid w:val="15D81E0F"/>
    <w:rsid w:val="161771F3"/>
    <w:rsid w:val="16222D6D"/>
    <w:rsid w:val="163C77BE"/>
    <w:rsid w:val="16632F86"/>
    <w:rsid w:val="1679588C"/>
    <w:rsid w:val="16994962"/>
    <w:rsid w:val="16A71041"/>
    <w:rsid w:val="16AA24BF"/>
    <w:rsid w:val="16BC6D34"/>
    <w:rsid w:val="16F72341"/>
    <w:rsid w:val="17680CAB"/>
    <w:rsid w:val="176E4128"/>
    <w:rsid w:val="1783371F"/>
    <w:rsid w:val="17E62B67"/>
    <w:rsid w:val="180C0192"/>
    <w:rsid w:val="180F4499"/>
    <w:rsid w:val="18221ECE"/>
    <w:rsid w:val="190B7894"/>
    <w:rsid w:val="19A2789F"/>
    <w:rsid w:val="1A460CF5"/>
    <w:rsid w:val="1A7F297D"/>
    <w:rsid w:val="1AB16AC1"/>
    <w:rsid w:val="1B034A52"/>
    <w:rsid w:val="1B1F34AD"/>
    <w:rsid w:val="1B8D5DC6"/>
    <w:rsid w:val="1BFE1D3B"/>
    <w:rsid w:val="1C2775EC"/>
    <w:rsid w:val="1C750ECE"/>
    <w:rsid w:val="1CA22168"/>
    <w:rsid w:val="1D0836D7"/>
    <w:rsid w:val="1D196139"/>
    <w:rsid w:val="1DB85900"/>
    <w:rsid w:val="1DCA56CA"/>
    <w:rsid w:val="1DF051AF"/>
    <w:rsid w:val="1E010AF7"/>
    <w:rsid w:val="1E0178EB"/>
    <w:rsid w:val="1E301173"/>
    <w:rsid w:val="1E38333E"/>
    <w:rsid w:val="1E5C7612"/>
    <w:rsid w:val="1EA40BB4"/>
    <w:rsid w:val="1F247F08"/>
    <w:rsid w:val="1F43381C"/>
    <w:rsid w:val="1F691E82"/>
    <w:rsid w:val="1FA4148D"/>
    <w:rsid w:val="1FB54321"/>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3F72C32"/>
    <w:rsid w:val="247051F5"/>
    <w:rsid w:val="24814CBE"/>
    <w:rsid w:val="24AC168B"/>
    <w:rsid w:val="25004EF6"/>
    <w:rsid w:val="258C3BEC"/>
    <w:rsid w:val="25E576CC"/>
    <w:rsid w:val="260E3862"/>
    <w:rsid w:val="262569FC"/>
    <w:rsid w:val="26344C98"/>
    <w:rsid w:val="26F56CE2"/>
    <w:rsid w:val="27295937"/>
    <w:rsid w:val="27435D49"/>
    <w:rsid w:val="27A34F71"/>
    <w:rsid w:val="27B36A67"/>
    <w:rsid w:val="27EB0D9B"/>
    <w:rsid w:val="286602C8"/>
    <w:rsid w:val="28665C95"/>
    <w:rsid w:val="28A64522"/>
    <w:rsid w:val="28CC5B40"/>
    <w:rsid w:val="290B3EB9"/>
    <w:rsid w:val="291418C2"/>
    <w:rsid w:val="2950768C"/>
    <w:rsid w:val="29794227"/>
    <w:rsid w:val="297A5FC4"/>
    <w:rsid w:val="2A1113BC"/>
    <w:rsid w:val="2A8D4F8F"/>
    <w:rsid w:val="2A911082"/>
    <w:rsid w:val="2A917B34"/>
    <w:rsid w:val="2AC27ED1"/>
    <w:rsid w:val="2AE3766F"/>
    <w:rsid w:val="2B531616"/>
    <w:rsid w:val="2B7E4054"/>
    <w:rsid w:val="2BF22742"/>
    <w:rsid w:val="2C987C56"/>
    <w:rsid w:val="2CFF149A"/>
    <w:rsid w:val="2D1413BC"/>
    <w:rsid w:val="2D201865"/>
    <w:rsid w:val="2D4B5CEA"/>
    <w:rsid w:val="2D652658"/>
    <w:rsid w:val="2DC80C49"/>
    <w:rsid w:val="2DCA6355"/>
    <w:rsid w:val="2DF0699F"/>
    <w:rsid w:val="2E166748"/>
    <w:rsid w:val="2E556F01"/>
    <w:rsid w:val="2E8E20B4"/>
    <w:rsid w:val="2EC22D8A"/>
    <w:rsid w:val="2ED06066"/>
    <w:rsid w:val="2ED1223D"/>
    <w:rsid w:val="2EE470F7"/>
    <w:rsid w:val="2F000139"/>
    <w:rsid w:val="2F561B8A"/>
    <w:rsid w:val="2F9F42DC"/>
    <w:rsid w:val="2FE04319"/>
    <w:rsid w:val="2FF37AB3"/>
    <w:rsid w:val="308A038C"/>
    <w:rsid w:val="308C7755"/>
    <w:rsid w:val="30FF27D2"/>
    <w:rsid w:val="31170995"/>
    <w:rsid w:val="31264A30"/>
    <w:rsid w:val="31372D40"/>
    <w:rsid w:val="31547305"/>
    <w:rsid w:val="31884E67"/>
    <w:rsid w:val="31A0275E"/>
    <w:rsid w:val="31B7357A"/>
    <w:rsid w:val="31ED6B08"/>
    <w:rsid w:val="31F915C9"/>
    <w:rsid w:val="321449A9"/>
    <w:rsid w:val="32610CE6"/>
    <w:rsid w:val="32631A32"/>
    <w:rsid w:val="328464CE"/>
    <w:rsid w:val="32AB70C5"/>
    <w:rsid w:val="32C83D5A"/>
    <w:rsid w:val="32DC33E0"/>
    <w:rsid w:val="335D0AF5"/>
    <w:rsid w:val="3370088C"/>
    <w:rsid w:val="33A3154A"/>
    <w:rsid w:val="33DC2F78"/>
    <w:rsid w:val="3428227C"/>
    <w:rsid w:val="34C629BA"/>
    <w:rsid w:val="35260F83"/>
    <w:rsid w:val="35602226"/>
    <w:rsid w:val="356B72E7"/>
    <w:rsid w:val="3572424F"/>
    <w:rsid w:val="35FC3844"/>
    <w:rsid w:val="366061FD"/>
    <w:rsid w:val="36723877"/>
    <w:rsid w:val="36794DEF"/>
    <w:rsid w:val="36AD519D"/>
    <w:rsid w:val="36B57705"/>
    <w:rsid w:val="374F1A0B"/>
    <w:rsid w:val="37A103ED"/>
    <w:rsid w:val="37EA5E6E"/>
    <w:rsid w:val="37F77C8B"/>
    <w:rsid w:val="37FF016F"/>
    <w:rsid w:val="38124798"/>
    <w:rsid w:val="38427C0B"/>
    <w:rsid w:val="387C5ABE"/>
    <w:rsid w:val="389B3A1E"/>
    <w:rsid w:val="389E0191"/>
    <w:rsid w:val="38EB6119"/>
    <w:rsid w:val="394C3792"/>
    <w:rsid w:val="39DE33DA"/>
    <w:rsid w:val="39FA5B4A"/>
    <w:rsid w:val="39FE0BE9"/>
    <w:rsid w:val="3A3446CE"/>
    <w:rsid w:val="3A3C1AAF"/>
    <w:rsid w:val="3A424C25"/>
    <w:rsid w:val="3A4B7CC1"/>
    <w:rsid w:val="3A51228C"/>
    <w:rsid w:val="3A552E60"/>
    <w:rsid w:val="3A58524E"/>
    <w:rsid w:val="3A5D642F"/>
    <w:rsid w:val="3AB210FC"/>
    <w:rsid w:val="3ACE216B"/>
    <w:rsid w:val="3AD95C13"/>
    <w:rsid w:val="3B261E51"/>
    <w:rsid w:val="3B973F88"/>
    <w:rsid w:val="3BCD72F7"/>
    <w:rsid w:val="3BF267D2"/>
    <w:rsid w:val="3C414142"/>
    <w:rsid w:val="3C6C2B88"/>
    <w:rsid w:val="3CC34D7A"/>
    <w:rsid w:val="3CE114D9"/>
    <w:rsid w:val="3CF737A2"/>
    <w:rsid w:val="3CF7509A"/>
    <w:rsid w:val="3D10295A"/>
    <w:rsid w:val="3DEB2B5C"/>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302F1"/>
    <w:rsid w:val="40E743E5"/>
    <w:rsid w:val="40ED3F02"/>
    <w:rsid w:val="4110038E"/>
    <w:rsid w:val="41734CBA"/>
    <w:rsid w:val="41836C0B"/>
    <w:rsid w:val="41B51F6B"/>
    <w:rsid w:val="41C01B53"/>
    <w:rsid w:val="41DD7057"/>
    <w:rsid w:val="420F7A65"/>
    <w:rsid w:val="4216611A"/>
    <w:rsid w:val="423E300F"/>
    <w:rsid w:val="425656C8"/>
    <w:rsid w:val="4257273C"/>
    <w:rsid w:val="425D7213"/>
    <w:rsid w:val="42677B61"/>
    <w:rsid w:val="42756DB0"/>
    <w:rsid w:val="42B21AD2"/>
    <w:rsid w:val="42EC3DA5"/>
    <w:rsid w:val="42FD694D"/>
    <w:rsid w:val="434A6D8F"/>
    <w:rsid w:val="43526AAA"/>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5A313B2"/>
    <w:rsid w:val="4611075B"/>
    <w:rsid w:val="46214818"/>
    <w:rsid w:val="467A0297"/>
    <w:rsid w:val="4689256D"/>
    <w:rsid w:val="468B7125"/>
    <w:rsid w:val="46C4691F"/>
    <w:rsid w:val="47841568"/>
    <w:rsid w:val="479D1D34"/>
    <w:rsid w:val="47B609C0"/>
    <w:rsid w:val="47CF543E"/>
    <w:rsid w:val="482D31EA"/>
    <w:rsid w:val="485970A0"/>
    <w:rsid w:val="48847961"/>
    <w:rsid w:val="48A41906"/>
    <w:rsid w:val="48B65C71"/>
    <w:rsid w:val="48C525AA"/>
    <w:rsid w:val="48F303D7"/>
    <w:rsid w:val="492837FF"/>
    <w:rsid w:val="492E6A57"/>
    <w:rsid w:val="49385671"/>
    <w:rsid w:val="49B86103"/>
    <w:rsid w:val="49CD5977"/>
    <w:rsid w:val="4A0030EE"/>
    <w:rsid w:val="4A9E2E1A"/>
    <w:rsid w:val="4AC36065"/>
    <w:rsid w:val="4B1926BD"/>
    <w:rsid w:val="4B560086"/>
    <w:rsid w:val="4B7501F5"/>
    <w:rsid w:val="4B8C2DEB"/>
    <w:rsid w:val="4BFA3C9F"/>
    <w:rsid w:val="4C0E3379"/>
    <w:rsid w:val="4C107F48"/>
    <w:rsid w:val="4C3277BC"/>
    <w:rsid w:val="4C686851"/>
    <w:rsid w:val="4CB25875"/>
    <w:rsid w:val="4CC353EB"/>
    <w:rsid w:val="4CEA1FD2"/>
    <w:rsid w:val="4CF36F3C"/>
    <w:rsid w:val="4CF428DD"/>
    <w:rsid w:val="4D4F67BA"/>
    <w:rsid w:val="4D603399"/>
    <w:rsid w:val="4D867EE1"/>
    <w:rsid w:val="4DBC4C65"/>
    <w:rsid w:val="4DF6568D"/>
    <w:rsid w:val="4E2E1A80"/>
    <w:rsid w:val="4E550010"/>
    <w:rsid w:val="4E5F14CB"/>
    <w:rsid w:val="4EBA5055"/>
    <w:rsid w:val="4F3705F8"/>
    <w:rsid w:val="4F651D09"/>
    <w:rsid w:val="4FAC3540"/>
    <w:rsid w:val="4FBB12F4"/>
    <w:rsid w:val="4FCF1583"/>
    <w:rsid w:val="4FFA7625"/>
    <w:rsid w:val="501B0BF9"/>
    <w:rsid w:val="50547451"/>
    <w:rsid w:val="507D2599"/>
    <w:rsid w:val="5096229D"/>
    <w:rsid w:val="50B44FCE"/>
    <w:rsid w:val="50DC4184"/>
    <w:rsid w:val="51475B39"/>
    <w:rsid w:val="514C3EA7"/>
    <w:rsid w:val="519849E5"/>
    <w:rsid w:val="51B36892"/>
    <w:rsid w:val="52506DA7"/>
    <w:rsid w:val="526F57A8"/>
    <w:rsid w:val="533B2B84"/>
    <w:rsid w:val="537A7243"/>
    <w:rsid w:val="539C1B81"/>
    <w:rsid w:val="53AA6184"/>
    <w:rsid w:val="53AE750F"/>
    <w:rsid w:val="53BE5A5D"/>
    <w:rsid w:val="53CA212D"/>
    <w:rsid w:val="53EB0895"/>
    <w:rsid w:val="53F263AD"/>
    <w:rsid w:val="54371482"/>
    <w:rsid w:val="54693932"/>
    <w:rsid w:val="549A6BFA"/>
    <w:rsid w:val="54DA0AFD"/>
    <w:rsid w:val="54E72921"/>
    <w:rsid w:val="554C3B9F"/>
    <w:rsid w:val="55806F07"/>
    <w:rsid w:val="55FA2961"/>
    <w:rsid w:val="565E3E0E"/>
    <w:rsid w:val="565E7F4F"/>
    <w:rsid w:val="56775789"/>
    <w:rsid w:val="56857D06"/>
    <w:rsid w:val="56914056"/>
    <w:rsid w:val="569F0E63"/>
    <w:rsid w:val="56DB613D"/>
    <w:rsid w:val="56F5149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BD229A8"/>
    <w:rsid w:val="5C1D18D2"/>
    <w:rsid w:val="5C1D2403"/>
    <w:rsid w:val="5C286807"/>
    <w:rsid w:val="5C446BC8"/>
    <w:rsid w:val="5C470C4F"/>
    <w:rsid w:val="5C4C687B"/>
    <w:rsid w:val="5C564D67"/>
    <w:rsid w:val="5C6413B5"/>
    <w:rsid w:val="5C7C2768"/>
    <w:rsid w:val="5CB23AE6"/>
    <w:rsid w:val="5CF55792"/>
    <w:rsid w:val="5CFD533A"/>
    <w:rsid w:val="5D893B14"/>
    <w:rsid w:val="5D9F3D30"/>
    <w:rsid w:val="5DE50239"/>
    <w:rsid w:val="5E2810D5"/>
    <w:rsid w:val="5E2B7D62"/>
    <w:rsid w:val="5E71411E"/>
    <w:rsid w:val="5EA06921"/>
    <w:rsid w:val="5ED5006A"/>
    <w:rsid w:val="5F576E4B"/>
    <w:rsid w:val="5F5D4EDE"/>
    <w:rsid w:val="5F67086A"/>
    <w:rsid w:val="5F7A2C30"/>
    <w:rsid w:val="5FBE370A"/>
    <w:rsid w:val="60292845"/>
    <w:rsid w:val="60482CBF"/>
    <w:rsid w:val="60B16EF7"/>
    <w:rsid w:val="61027308"/>
    <w:rsid w:val="612E1A5D"/>
    <w:rsid w:val="61816046"/>
    <w:rsid w:val="62182687"/>
    <w:rsid w:val="623627B6"/>
    <w:rsid w:val="62391564"/>
    <w:rsid w:val="62816669"/>
    <w:rsid w:val="62901D34"/>
    <w:rsid w:val="62AE09FC"/>
    <w:rsid w:val="62BA0953"/>
    <w:rsid w:val="62D03A7C"/>
    <w:rsid w:val="62F16BCB"/>
    <w:rsid w:val="62F648FE"/>
    <w:rsid w:val="63341DB1"/>
    <w:rsid w:val="63447612"/>
    <w:rsid w:val="63907004"/>
    <w:rsid w:val="63A10995"/>
    <w:rsid w:val="63C23EFA"/>
    <w:rsid w:val="643A070A"/>
    <w:rsid w:val="644C573D"/>
    <w:rsid w:val="64660BAC"/>
    <w:rsid w:val="648667A7"/>
    <w:rsid w:val="64DB383A"/>
    <w:rsid w:val="65032F85"/>
    <w:rsid w:val="65136B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7A54D8"/>
    <w:rsid w:val="698D6A17"/>
    <w:rsid w:val="69A233E7"/>
    <w:rsid w:val="69EE3535"/>
    <w:rsid w:val="69F954C1"/>
    <w:rsid w:val="6A1A20CB"/>
    <w:rsid w:val="6A2031B6"/>
    <w:rsid w:val="6A440C53"/>
    <w:rsid w:val="6AC61F6F"/>
    <w:rsid w:val="6ADE74F0"/>
    <w:rsid w:val="6B1002C0"/>
    <w:rsid w:val="6B1F5CFA"/>
    <w:rsid w:val="6B723594"/>
    <w:rsid w:val="6B805156"/>
    <w:rsid w:val="6BD50977"/>
    <w:rsid w:val="6BEA2A9B"/>
    <w:rsid w:val="6C9C0875"/>
    <w:rsid w:val="6C9D1F03"/>
    <w:rsid w:val="6CAA17EE"/>
    <w:rsid w:val="6CAA3931"/>
    <w:rsid w:val="6CC3117A"/>
    <w:rsid w:val="6D3933CA"/>
    <w:rsid w:val="6D7B61EC"/>
    <w:rsid w:val="6DC3266E"/>
    <w:rsid w:val="6DD049FF"/>
    <w:rsid w:val="6DE04497"/>
    <w:rsid w:val="6E09491E"/>
    <w:rsid w:val="6E0D3655"/>
    <w:rsid w:val="6E5D7B7F"/>
    <w:rsid w:val="6E5F4465"/>
    <w:rsid w:val="6E8C54DA"/>
    <w:rsid w:val="6E9C28B4"/>
    <w:rsid w:val="6EF10568"/>
    <w:rsid w:val="6EF11E03"/>
    <w:rsid w:val="6F111C62"/>
    <w:rsid w:val="6F2176E5"/>
    <w:rsid w:val="6F3053CA"/>
    <w:rsid w:val="6F592303"/>
    <w:rsid w:val="6F5F5B74"/>
    <w:rsid w:val="6F9B1C65"/>
    <w:rsid w:val="6FA41D2C"/>
    <w:rsid w:val="6FD47A25"/>
    <w:rsid w:val="6FF44026"/>
    <w:rsid w:val="6FFB146E"/>
    <w:rsid w:val="701A5C74"/>
    <w:rsid w:val="706516C3"/>
    <w:rsid w:val="70864A71"/>
    <w:rsid w:val="70896E68"/>
    <w:rsid w:val="710A132A"/>
    <w:rsid w:val="71434811"/>
    <w:rsid w:val="714556B4"/>
    <w:rsid w:val="715B60E9"/>
    <w:rsid w:val="71E96309"/>
    <w:rsid w:val="71EA1FED"/>
    <w:rsid w:val="72284A0C"/>
    <w:rsid w:val="72C16204"/>
    <w:rsid w:val="730313F6"/>
    <w:rsid w:val="731E1007"/>
    <w:rsid w:val="73370D24"/>
    <w:rsid w:val="7359268C"/>
    <w:rsid w:val="739503EB"/>
    <w:rsid w:val="73A05B28"/>
    <w:rsid w:val="73C07D69"/>
    <w:rsid w:val="749E2255"/>
    <w:rsid w:val="74A24698"/>
    <w:rsid w:val="74B42AE4"/>
    <w:rsid w:val="750A429D"/>
    <w:rsid w:val="75167F59"/>
    <w:rsid w:val="754D77D2"/>
    <w:rsid w:val="755D38A7"/>
    <w:rsid w:val="755F5A0F"/>
    <w:rsid w:val="75614792"/>
    <w:rsid w:val="756E5849"/>
    <w:rsid w:val="75784473"/>
    <w:rsid w:val="757E044C"/>
    <w:rsid w:val="75977BC3"/>
    <w:rsid w:val="759C54AC"/>
    <w:rsid w:val="75B161B3"/>
    <w:rsid w:val="75E470E3"/>
    <w:rsid w:val="76690B0A"/>
    <w:rsid w:val="76736B32"/>
    <w:rsid w:val="76E3765E"/>
    <w:rsid w:val="76FC2AFA"/>
    <w:rsid w:val="773F0836"/>
    <w:rsid w:val="77653671"/>
    <w:rsid w:val="777D65C8"/>
    <w:rsid w:val="778546CC"/>
    <w:rsid w:val="77B56730"/>
    <w:rsid w:val="77C04A8B"/>
    <w:rsid w:val="77D85DB3"/>
    <w:rsid w:val="780252A0"/>
    <w:rsid w:val="78027772"/>
    <w:rsid w:val="78A50513"/>
    <w:rsid w:val="793B7339"/>
    <w:rsid w:val="796518DD"/>
    <w:rsid w:val="796E0C55"/>
    <w:rsid w:val="79AA0532"/>
    <w:rsid w:val="79C17E21"/>
    <w:rsid w:val="79F70999"/>
    <w:rsid w:val="79FE1DDD"/>
    <w:rsid w:val="7A075767"/>
    <w:rsid w:val="7A0B36AF"/>
    <w:rsid w:val="7A212062"/>
    <w:rsid w:val="7A282A11"/>
    <w:rsid w:val="7AB90FF6"/>
    <w:rsid w:val="7AC21562"/>
    <w:rsid w:val="7AD474A4"/>
    <w:rsid w:val="7B115232"/>
    <w:rsid w:val="7B416BDC"/>
    <w:rsid w:val="7B5350AD"/>
    <w:rsid w:val="7B6867EB"/>
    <w:rsid w:val="7B697C89"/>
    <w:rsid w:val="7B8D34C3"/>
    <w:rsid w:val="7B971D84"/>
    <w:rsid w:val="7BDA7547"/>
    <w:rsid w:val="7BF32F03"/>
    <w:rsid w:val="7C1724A5"/>
    <w:rsid w:val="7C5E03C9"/>
    <w:rsid w:val="7C8E3CCF"/>
    <w:rsid w:val="7CA54112"/>
    <w:rsid w:val="7CD772C5"/>
    <w:rsid w:val="7CE50CE4"/>
    <w:rsid w:val="7D2177E3"/>
    <w:rsid w:val="7D2E5ABF"/>
    <w:rsid w:val="7D9E3C29"/>
    <w:rsid w:val="7DAA526C"/>
    <w:rsid w:val="7E2142A2"/>
    <w:rsid w:val="7E4F5384"/>
    <w:rsid w:val="7E5A6DFA"/>
    <w:rsid w:val="7E7B0BF2"/>
    <w:rsid w:val="7E7C7A78"/>
    <w:rsid w:val="7E8D75B6"/>
    <w:rsid w:val="7EB2417D"/>
    <w:rsid w:val="7EE67601"/>
    <w:rsid w:val="7EF760EE"/>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eastAsia="宋体" w:cs="宋体"/>
      <w:sz w:val="24"/>
      <w:lang w:val="zh-CN" w:bidi="zh-CN"/>
    </w:rPr>
  </w:style>
  <w:style w:type="paragraph" w:styleId="8">
    <w:name w:val="Body Text First Indent"/>
    <w:basedOn w:val="7"/>
    <w:next w:val="9"/>
    <w:unhideWhenUsed/>
    <w:qFormat/>
    <w:uiPriority w:val="99"/>
    <w:pPr>
      <w:ind w:firstLine="420" w:firstLineChars="100"/>
    </w:pPr>
    <w:rPr>
      <w:rFonts w:ascii="Times New Roman" w:hAnsi="Times New Roman" w:cs="Times New Roman"/>
    </w:rPr>
  </w:style>
  <w:style w:type="paragraph" w:styleId="9">
    <w:name w:val="toc 6"/>
    <w:basedOn w:val="1"/>
    <w:next w:val="1"/>
    <w:qFormat/>
    <w:uiPriority w:val="0"/>
    <w:pPr>
      <w:ind w:left="1200"/>
    </w:pPr>
    <w:rPr>
      <w:rFonts w:ascii="Calibri" w:cs="Calibri"/>
      <w:sz w:val="18"/>
      <w:szCs w:val="18"/>
    </w:rPr>
  </w:style>
  <w:style w:type="paragraph" w:styleId="10">
    <w:name w:val="toc 3"/>
    <w:basedOn w:val="1"/>
    <w:next w:val="1"/>
    <w:unhideWhenUsed/>
    <w:qFormat/>
    <w:uiPriority w:val="39"/>
    <w:pPr>
      <w:tabs>
        <w:tab w:val="right" w:leader="dot" w:pos="8296"/>
      </w:tabs>
      <w:ind w:left="838" w:leftChars="381"/>
    </w:pPr>
    <w:rPr>
      <w:sz w:val="21"/>
      <w:szCs w:val="21"/>
    </w:rPr>
  </w:style>
  <w:style w:type="paragraph" w:styleId="11">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8"/>
    <w:semiHidden/>
    <w:unhideWhenUsed/>
    <w:qFormat/>
    <w:uiPriority w:val="99"/>
    <w:pPr>
      <w:spacing w:after="0"/>
    </w:pPr>
    <w:rPr>
      <w:sz w:val="18"/>
      <w:szCs w:val="18"/>
    </w:rPr>
  </w:style>
  <w:style w:type="paragraph" w:styleId="14">
    <w:name w:val="footer"/>
    <w:basedOn w:val="1"/>
    <w:link w:val="47"/>
    <w:unhideWhenUsed/>
    <w:qFormat/>
    <w:uiPriority w:val="99"/>
    <w:pPr>
      <w:tabs>
        <w:tab w:val="center" w:pos="4153"/>
        <w:tab w:val="right" w:pos="8306"/>
      </w:tabs>
    </w:pPr>
    <w:rPr>
      <w:sz w:val="18"/>
      <w:szCs w:val="18"/>
    </w:rPr>
  </w:style>
  <w:style w:type="paragraph" w:styleId="15">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pPr>
      <w:snapToGrid w:val="0"/>
      <w:jc w:val="left"/>
    </w:pPr>
    <w:rPr>
      <w:sz w:val="18"/>
    </w:rPr>
  </w:style>
  <w:style w:type="paragraph" w:styleId="21">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2">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3"/>
    <w:qFormat/>
    <w:uiPriority w:val="9"/>
    <w:rPr>
      <w:rFonts w:asciiTheme="majorHAnsi" w:hAnsiTheme="majorHAnsi" w:eastAsiaTheme="majorEastAsia" w:cstheme="majorBidi"/>
      <w:b/>
      <w:bCs/>
      <w:sz w:val="32"/>
      <w:szCs w:val="32"/>
    </w:rPr>
  </w:style>
  <w:style w:type="character" w:customStyle="1" w:styleId="32">
    <w:name w:val="标题 3 Char"/>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5"/>
    <w:qFormat/>
    <w:uiPriority w:val="9"/>
    <w:rPr>
      <w:rFonts w:eastAsia="宋体" w:asciiTheme="majorAscii" w:hAnsiTheme="majorAsci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11"/>
    <w:semiHidden/>
    <w:qFormat/>
    <w:uiPriority w:val="99"/>
    <w:rPr>
      <w:rFonts w:ascii="宋体" w:hAnsi="Courier New" w:eastAsia="宋体" w:cs="Courier New"/>
      <w:sz w:val="21"/>
      <w:szCs w:val="21"/>
    </w:rPr>
  </w:style>
  <w:style w:type="character" w:customStyle="1" w:styleId="46">
    <w:name w:val="页眉 Char"/>
    <w:basedOn w:val="25"/>
    <w:link w:val="15"/>
    <w:qFormat/>
    <w:uiPriority w:val="99"/>
    <w:rPr>
      <w:rFonts w:ascii="Tahoma" w:hAnsi="Tahoma"/>
      <w:sz w:val="18"/>
      <w:szCs w:val="18"/>
    </w:rPr>
  </w:style>
  <w:style w:type="character" w:customStyle="1" w:styleId="47">
    <w:name w:val="页脚 Char"/>
    <w:basedOn w:val="25"/>
    <w:link w:val="14"/>
    <w:qFormat/>
    <w:uiPriority w:val="99"/>
    <w:rPr>
      <w:rFonts w:ascii="Tahoma" w:hAnsi="Tahoma"/>
      <w:sz w:val="18"/>
      <w:szCs w:val="18"/>
    </w:rPr>
  </w:style>
  <w:style w:type="character" w:customStyle="1" w:styleId="48">
    <w:name w:val="批注框文本 Char"/>
    <w:basedOn w:val="25"/>
    <w:link w:val="13"/>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2"/>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83</Pages>
  <Words>35310</Words>
  <Characters>36297</Characters>
  <Lines>264</Lines>
  <Paragraphs>74</Paragraphs>
  <TotalTime>2</TotalTime>
  <ScaleCrop>false</ScaleCrop>
  <LinksUpToDate>false</LinksUpToDate>
  <CharactersWithSpaces>39600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2022-04-29T03:18:50Z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7B191A226BE24805BFC26CD982F97534</vt:lpwstr>
  </property>
  <property fmtid="{D5CDD505-2E9C-101B-9397-08002B2CF9AE}" pid="4" name="commondata">
    <vt:lpwstr>eyJoZGlkIjoiNTIxNzUwYWQwNDRjMThmYzVmNmE3Mzg5MzZiY2U0YmIifQ==</vt:lpwstr>
  </property>
</Properties>
</file>