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GDZT2022113A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东莞市道滘中学初中学业水平考点考试标准化考场建设项目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东莞市道滘中学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19"/>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10、公司位置：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621915"/>
            <wp:effectExtent l="0" t="0" r="10160" b="698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621915"/>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2"/>
        <w:spacing w:before="0" w:after="0" w:line="240" w:lineRule="auto"/>
        <w:rPr>
          <w:color w:val="auto"/>
          <w:sz w:val="28"/>
          <w:szCs w:val="28"/>
        </w:rPr>
      </w:pPr>
      <w:bookmarkStart w:id="0" w:name="_Toc17306"/>
      <w:bookmarkStart w:id="1" w:name="_Toc245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8850"/>
      <w:bookmarkStart w:id="3" w:name="_Toc7123"/>
      <w:bookmarkStart w:id="4" w:name="_Toc1420"/>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b/>
          <w:color w:val="auto"/>
          <w:sz w:val="21"/>
          <w:szCs w:val="21"/>
          <w:u w:val="single"/>
        </w:rPr>
        <w:t>东莞市道滘中学</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eastAsia="宋体"/>
          <w:b/>
          <w:color w:val="auto"/>
          <w:sz w:val="21"/>
          <w:szCs w:val="21"/>
          <w:u w:val="single"/>
        </w:rPr>
        <w:t>东莞市道滘中学初中学业水平考点考试标准化考场建设项目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编号：GDZT2022113A；</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名称：东莞市道滘中学初中学业水平考点考试标准化考场建设项目；</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917"/>
        <w:gridCol w:w="554"/>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33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37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94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3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color w:val="auto"/>
                <w:sz w:val="21"/>
                <w:szCs w:val="21"/>
                <w:u w:val="single"/>
              </w:rPr>
              <w:t>东莞市道滘中学初中学业水平考点考试标准化考场建设项目</w:t>
            </w:r>
          </w:p>
        </w:tc>
        <w:tc>
          <w:tcPr>
            <w:tcW w:w="37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94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eastAsia="宋体"/>
                <w:b/>
                <w:color w:val="auto"/>
                <w:sz w:val="21"/>
                <w:szCs w:val="21"/>
                <w:u w:val="single"/>
              </w:rPr>
              <w:t>300</w:t>
            </w:r>
            <w:r>
              <w:rPr>
                <w:rFonts w:hint="eastAsia" w:ascii="宋体" w:hAnsi="宋体"/>
                <w:b/>
                <w:color w:val="auto"/>
                <w:sz w:val="21"/>
                <w:szCs w:val="21"/>
                <w:u w:val="single"/>
                <w:lang w:val="en-US" w:eastAsia="zh-CN"/>
              </w:rPr>
              <w:t>,</w:t>
            </w:r>
            <w:r>
              <w:rPr>
                <w:rFonts w:hint="eastAsia" w:ascii="宋体" w:hAnsi="宋体" w:eastAsia="宋体"/>
                <w:b/>
                <w:color w:val="auto"/>
                <w:sz w:val="21"/>
                <w:szCs w:val="21"/>
                <w:u w:val="single"/>
              </w:rPr>
              <w:t>075</w:t>
            </w:r>
            <w:r>
              <w:rPr>
                <w:rFonts w:hint="eastAsia" w:ascii="宋体" w:hAnsi="宋体"/>
                <w:b/>
                <w:color w:val="auto"/>
                <w:sz w:val="21"/>
                <w:szCs w:val="21"/>
                <w:u w:val="single"/>
                <w:lang w:val="en-US" w:eastAsia="zh-CN"/>
              </w:rPr>
              <w:t>.00</w:t>
            </w:r>
            <w:r>
              <w:rPr>
                <w:rFonts w:hint="eastAsia" w:ascii="宋体" w:hAnsi="宋体" w:eastAsia="宋体"/>
                <w:color w:val="auto"/>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2、特殊要求：</w:t>
      </w:r>
    </w:p>
    <w:p>
      <w:pPr>
        <w:bidi w:val="0"/>
        <w:ind w:firstLine="420" w:firstLineChars="200"/>
        <w:rPr>
          <w:rFonts w:hint="eastAsia" w:eastAsia="宋体"/>
          <w:color w:val="auto"/>
          <w:lang w:eastAsia="zh-CN"/>
        </w:rPr>
      </w:pPr>
      <w:r>
        <w:rPr>
          <w:rFonts w:hint="eastAsia" w:ascii="宋体" w:hAnsi="宋体"/>
          <w:color w:val="auto"/>
          <w:sz w:val="21"/>
          <w:szCs w:val="21"/>
          <w:lang w:val="en-US" w:eastAsia="zh-CN"/>
        </w:rPr>
        <w:t>无</w:t>
      </w: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27</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7</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27</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7</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18</w:t>
      </w:r>
      <w:r>
        <w:rPr>
          <w:rFonts w:hint="eastAsia" w:ascii="宋体" w:hAnsi="宋体" w:eastAsia="宋体"/>
          <w:bCs/>
          <w:color w:val="auto"/>
          <w:sz w:val="21"/>
          <w:szCs w:val="21"/>
        </w:rPr>
        <w:t>日上午9：00～9：30。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18</w:t>
      </w:r>
      <w:r>
        <w:rPr>
          <w:rFonts w:hint="eastAsia" w:ascii="宋体" w:hAnsi="宋体" w:eastAsia="宋体"/>
          <w:bCs/>
          <w:color w:val="auto"/>
          <w:sz w:val="21"/>
          <w:szCs w:val="21"/>
        </w:rPr>
        <w:t>日上午9时30分。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东莞市道滘镇招投标服务所4楼开标室（东莞市道滘镇道厚路创新岛2号（中国银行道滘支行旁边）。</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肖工</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东莞市道滘镇</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联系电话：0769-88381</w:t>
      </w:r>
      <w:r>
        <w:rPr>
          <w:rFonts w:hint="eastAsia" w:ascii="宋体" w:hAnsi="宋体"/>
          <w:bCs/>
          <w:color w:val="auto"/>
          <w:sz w:val="21"/>
          <w:szCs w:val="21"/>
          <w:lang w:val="en-US" w:eastAsia="zh-CN"/>
        </w:rPr>
        <w:t>822</w:t>
      </w:r>
      <w:bookmarkStart w:id="388" w:name="_GoBack"/>
      <w:bookmarkEnd w:id="388"/>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p>
    <w:p>
      <w:pPr>
        <w:pStyle w:val="7"/>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
        <w:spacing w:before="0" w:after="0" w:line="240" w:lineRule="auto"/>
        <w:rPr>
          <w:rFonts w:hint="eastAsia"/>
          <w:color w:val="auto"/>
          <w:sz w:val="28"/>
          <w:szCs w:val="28"/>
          <w:lang w:val="en-US" w:eastAsia="zh-CN"/>
        </w:rPr>
      </w:pPr>
      <w:bookmarkStart w:id="5" w:name="_Toc24505"/>
      <w:bookmarkStart w:id="6" w:name="_Toc28550"/>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FE"/>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color w:val="auto"/>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color w:val="auto"/>
                <w:sz w:val="21"/>
                <w:szCs w:val="21"/>
                <w:lang w:val="en-US" w:eastAsia="zh-CN"/>
              </w:rPr>
              <w:t>10</w:t>
            </w:r>
            <w:r>
              <w:rPr>
                <w:rFonts w:hint="eastAsia" w:ascii="宋体" w:hAnsi="宋体" w:eastAsia="宋体"/>
                <w:color w:val="auto"/>
                <w:sz w:val="21"/>
                <w:szCs w:val="21"/>
              </w:rPr>
              <w:t>%</w:t>
            </w:r>
            <w:r>
              <w:rPr>
                <w:rFonts w:hint="eastAsia" w:ascii="宋体" w:hAnsi="宋体"/>
                <w:color w:val="auto"/>
                <w:sz w:val="21"/>
                <w:szCs w:val="21"/>
                <w:lang w:eastAsia="zh-CN"/>
              </w:rPr>
              <w:t>（</w:t>
            </w:r>
            <w:r>
              <w:rPr>
                <w:rFonts w:hint="eastAsia" w:ascii="宋体" w:hAnsi="宋体"/>
                <w:color w:val="auto"/>
                <w:sz w:val="21"/>
                <w:szCs w:val="21"/>
                <w:lang w:val="en-US" w:eastAsia="zh-CN"/>
              </w:rPr>
              <w:t>工程类5%</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bookmarkStart w:id="8" w:name="_Toc5749"/>
      <w:bookmarkStart w:id="9" w:name="_Toc13473"/>
      <w:bookmarkStart w:id="10" w:name="_Hlk55300595"/>
      <w:bookmarkStart w:id="11" w:name="_Toc9572"/>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rPr>
      </w:pPr>
      <w:bookmarkStart w:id="15" w:name="_Toc21613"/>
      <w:bookmarkStart w:id="16" w:name="_Toc184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2"/>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65"/>
        <w:gridCol w:w="827"/>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评审</w:t>
            </w:r>
          </w:p>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616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eastAsia="宋体" w:cs="宋体"/>
                <w:color w:val="auto"/>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eastAsia="宋体" w:cs="宋体"/>
                <w:color w:val="auto"/>
                <w:sz w:val="21"/>
                <w:szCs w:val="21"/>
                <w:lang w:val="en-US" w:eastAsia="zh-CN"/>
              </w:rPr>
              <w:t>价格</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olor w:val="auto"/>
                <w:sz w:val="21"/>
                <w:szCs w:val="21"/>
              </w:rPr>
              <w:t>投标报价得分=(评标基准价／投标报价)×价格权值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t>商务评审（20分）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75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65" w:type="dxa"/>
            <w:tcBorders>
              <w:left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业绩</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12分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投标人具有</w:t>
            </w:r>
            <w:r>
              <w:rPr>
                <w:rFonts w:hint="eastAsia" w:ascii="宋体" w:hAnsi="宋体" w:eastAsia="宋体" w:cs="宋体"/>
                <w:color w:val="auto"/>
                <w:sz w:val="21"/>
                <w:szCs w:val="21"/>
              </w:rPr>
              <w:t>考点考场视频监控系统或信号作弊防控系统项目，每个得2分；本项最高得12分。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注：须提供</w:t>
            </w:r>
            <w:r>
              <w:rPr>
                <w:rFonts w:hint="eastAsia" w:ascii="宋体" w:hAnsi="宋体" w:eastAsia="宋体" w:cs="宋体"/>
                <w:b w:val="0"/>
                <w:bCs w:val="0"/>
                <w:color w:val="auto"/>
                <w:sz w:val="21"/>
                <w:szCs w:val="21"/>
              </w:rPr>
              <w:t>中标通知书</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合同及验收报告关键页复印件，</w:t>
            </w:r>
            <w:r>
              <w:rPr>
                <w:rFonts w:hint="eastAsia" w:ascii="宋体" w:hAnsi="宋体" w:eastAsia="宋体" w:cs="宋体"/>
                <w:b w:val="0"/>
                <w:bCs w:val="0"/>
                <w:color w:val="auto"/>
                <w:sz w:val="21"/>
                <w:szCs w:val="21"/>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5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965" w:type="dxa"/>
            <w:tcBorders>
              <w:left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售后</w:t>
            </w:r>
          </w:p>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5分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根据售后服务方案、售后服务承诺、售后点技术力量，采购人提出的维护要求响应情况，出现紧急情况时的服务措施进行</w:t>
            </w:r>
            <w:r>
              <w:rPr>
                <w:rFonts w:hint="eastAsia" w:ascii="宋体" w:hAnsi="宋体" w:eastAsia="宋体" w:cs="宋体"/>
                <w:color w:val="auto"/>
                <w:sz w:val="21"/>
                <w:szCs w:val="21"/>
                <w:lang w:val="en-US" w:eastAsia="zh-CN"/>
              </w:rPr>
              <w:t>综合评审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售后服务方案、售后服务承诺、售后点技术力量完善，采购人提出的维护要求响应快，出现紧急情况时的服务措施完善，得5分；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售后服务方案、售后服务承诺、售后点技术力量较完善，采购人提出的维护要求响应较快，出现紧急情况时的服务措施较完善，得3分；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售后服务方案、售后服务承诺、售后点技术力量</w:t>
            </w:r>
            <w:r>
              <w:rPr>
                <w:rFonts w:hint="eastAsia" w:ascii="宋体" w:hAnsi="宋体" w:eastAsia="宋体" w:cs="宋体"/>
                <w:color w:val="auto"/>
                <w:sz w:val="21"/>
                <w:szCs w:val="21"/>
                <w:lang w:val="en-US" w:eastAsia="zh-CN"/>
              </w:rPr>
              <w:t>一般</w:t>
            </w:r>
            <w:r>
              <w:rPr>
                <w:rFonts w:hint="eastAsia" w:ascii="宋体" w:hAnsi="宋体" w:eastAsia="宋体" w:cs="宋体"/>
                <w:color w:val="auto"/>
                <w:sz w:val="21"/>
                <w:szCs w:val="21"/>
              </w:rPr>
              <w:t>，采购人提出的维护要求响应慢，出现紧急情况时的服务措施</w:t>
            </w:r>
            <w:r>
              <w:rPr>
                <w:rFonts w:hint="eastAsia" w:ascii="宋体" w:hAnsi="宋体" w:eastAsia="宋体" w:cs="宋体"/>
                <w:color w:val="auto"/>
                <w:sz w:val="21"/>
                <w:szCs w:val="21"/>
                <w:lang w:val="en-US" w:eastAsia="zh-CN"/>
              </w:rPr>
              <w:t>一般</w:t>
            </w:r>
            <w:r>
              <w:rPr>
                <w:rFonts w:hint="eastAsia" w:ascii="宋体" w:hAnsi="宋体" w:eastAsia="宋体" w:cs="宋体"/>
                <w:color w:val="auto"/>
                <w:sz w:val="21"/>
                <w:szCs w:val="21"/>
              </w:rPr>
              <w:t>，得1分。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售后服务响应时间</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根据投标人提供的服务响应时间承诺进行评分。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投标人承诺在接到采购人通知后1小时内到现场，得3分；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投标人承诺在接到采购人通知后2小时内到现场，得2分；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投标人承诺在接到采购人通知后3小时内到现场，得1分；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投标人</w:t>
            </w:r>
            <w:r>
              <w:rPr>
                <w:rFonts w:hint="eastAsia" w:ascii="宋体" w:hAnsi="宋体" w:eastAsia="宋体" w:cs="宋体"/>
                <w:color w:val="auto"/>
                <w:sz w:val="21"/>
                <w:szCs w:val="21"/>
                <w:lang w:val="en-US" w:eastAsia="zh-CN"/>
              </w:rPr>
              <w:t>未承诺或</w:t>
            </w:r>
            <w:r>
              <w:rPr>
                <w:rFonts w:hint="eastAsia" w:ascii="宋体" w:hAnsi="宋体" w:eastAsia="宋体" w:cs="宋体"/>
                <w:color w:val="auto"/>
                <w:sz w:val="21"/>
                <w:szCs w:val="21"/>
              </w:rPr>
              <w:t>承诺在接到采购人通知后超过3小时到现场，不得分。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注：须</w:t>
            </w:r>
            <w:r>
              <w:rPr>
                <w:rFonts w:hint="eastAsia" w:ascii="宋体" w:hAnsi="宋体" w:eastAsia="宋体" w:cs="宋体"/>
                <w:color w:val="auto"/>
                <w:sz w:val="21"/>
                <w:szCs w:val="21"/>
              </w:rPr>
              <w:t>提供服务承诺书并加盖投标人公章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技术评审（50分）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技术总体方案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的应用方案操作使用的简便性，方案设计的科学性、合理性、</w:t>
            </w:r>
            <w:r>
              <w:rPr>
                <w:rFonts w:hint="eastAsia" w:ascii="宋体" w:hAnsi="宋体" w:eastAsia="宋体" w:cs="宋体"/>
                <w:color w:val="auto"/>
                <w:sz w:val="21"/>
                <w:szCs w:val="21"/>
                <w:lang w:val="en-US" w:eastAsia="zh-CN"/>
              </w:rPr>
              <w:t>可行性</w:t>
            </w:r>
            <w:r>
              <w:rPr>
                <w:rFonts w:hint="eastAsia" w:ascii="宋体" w:hAnsi="宋体" w:eastAsia="宋体" w:cs="宋体"/>
                <w:color w:val="auto"/>
                <w:sz w:val="21"/>
                <w:szCs w:val="21"/>
              </w:rPr>
              <w:t>性，尤其是对照用户需求性能指标要求的响应情况进行综合</w:t>
            </w:r>
            <w:r>
              <w:rPr>
                <w:rFonts w:hint="eastAsia" w:ascii="宋体" w:hAnsi="宋体" w:eastAsia="宋体" w:cs="宋体"/>
                <w:color w:val="auto"/>
                <w:sz w:val="21"/>
                <w:szCs w:val="21"/>
                <w:lang w:val="en-US" w:eastAsia="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的应用方案操作使用简便</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方案设计的科学合理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可行性强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完全响应</w:t>
            </w:r>
            <w:r>
              <w:rPr>
                <w:rFonts w:hint="eastAsia" w:ascii="宋体" w:hAnsi="宋体" w:eastAsia="宋体" w:cs="宋体"/>
                <w:color w:val="auto"/>
                <w:sz w:val="21"/>
                <w:szCs w:val="21"/>
              </w:rPr>
              <w:t>用户需求性能指标要求</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得6分；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的应用方案操作使用简便</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方案设计的</w:t>
            </w:r>
            <w:r>
              <w:rPr>
                <w:rFonts w:hint="eastAsia" w:ascii="宋体" w:hAnsi="宋体" w:eastAsia="宋体" w:cs="宋体"/>
                <w:color w:val="auto"/>
                <w:sz w:val="21"/>
                <w:szCs w:val="21"/>
                <w:lang w:val="en-US" w:eastAsia="zh-CN"/>
              </w:rPr>
              <w:t>较</w:t>
            </w:r>
            <w:r>
              <w:rPr>
                <w:rFonts w:hint="eastAsia" w:ascii="宋体" w:hAnsi="宋体" w:eastAsia="宋体" w:cs="宋体"/>
                <w:color w:val="auto"/>
                <w:sz w:val="21"/>
                <w:szCs w:val="21"/>
              </w:rPr>
              <w:t>合理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可行性较强</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基本</w:t>
            </w:r>
            <w:r>
              <w:rPr>
                <w:rFonts w:hint="eastAsia" w:ascii="宋体" w:hAnsi="宋体" w:eastAsia="宋体" w:cs="宋体"/>
                <w:color w:val="auto"/>
                <w:sz w:val="21"/>
                <w:szCs w:val="21"/>
              </w:rPr>
              <w:t>用户需求性能指标要求</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得4分；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的应用方案操作使用简便</w:t>
            </w:r>
            <w:r>
              <w:rPr>
                <w:rFonts w:hint="eastAsia" w:ascii="宋体" w:hAnsi="宋体" w:eastAsia="宋体" w:cs="宋体"/>
                <w:color w:val="auto"/>
                <w:sz w:val="21"/>
                <w:szCs w:val="21"/>
                <w:lang w:val="en-US" w:eastAsia="zh-CN"/>
              </w:rPr>
              <w:t>性一般</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方案设计的</w:t>
            </w:r>
            <w:r>
              <w:rPr>
                <w:rFonts w:hint="eastAsia" w:ascii="宋体" w:hAnsi="宋体" w:eastAsia="宋体" w:cs="宋体"/>
                <w:color w:val="auto"/>
                <w:sz w:val="21"/>
                <w:szCs w:val="21"/>
                <w:lang w:val="en-US" w:eastAsia="zh-CN"/>
              </w:rPr>
              <w:t>基本</w:t>
            </w:r>
            <w:r>
              <w:rPr>
                <w:rFonts w:hint="eastAsia" w:ascii="宋体" w:hAnsi="宋体" w:eastAsia="宋体" w:cs="宋体"/>
                <w:color w:val="auto"/>
                <w:sz w:val="21"/>
                <w:szCs w:val="21"/>
              </w:rPr>
              <w:t>合理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可行性一般</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基本响应</w:t>
            </w:r>
            <w:r>
              <w:rPr>
                <w:rFonts w:hint="eastAsia" w:ascii="宋体" w:hAnsi="宋体" w:eastAsia="宋体" w:cs="宋体"/>
                <w:color w:val="auto"/>
                <w:sz w:val="21"/>
                <w:szCs w:val="21"/>
              </w:rPr>
              <w:t>用户需求性能指标要求</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的应用方案操作使用简便</w:t>
            </w:r>
            <w:r>
              <w:rPr>
                <w:rFonts w:hint="eastAsia" w:ascii="宋体" w:hAnsi="宋体" w:eastAsia="宋体" w:cs="宋体"/>
                <w:color w:val="auto"/>
                <w:sz w:val="21"/>
                <w:szCs w:val="21"/>
                <w:lang w:val="en-US" w:eastAsia="zh-CN"/>
              </w:rPr>
              <w:t>性一般</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方案设计的合理</w:t>
            </w:r>
            <w:r>
              <w:rPr>
                <w:rFonts w:hint="eastAsia" w:ascii="宋体" w:hAnsi="宋体" w:eastAsia="宋体" w:cs="宋体"/>
                <w:color w:val="auto"/>
                <w:sz w:val="21"/>
                <w:szCs w:val="21"/>
                <w:lang w:val="en-US" w:eastAsia="zh-CN"/>
              </w:rPr>
              <w:t>性差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可行性差</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部分响应</w:t>
            </w:r>
            <w:r>
              <w:rPr>
                <w:rFonts w:hint="eastAsia" w:ascii="宋体" w:hAnsi="宋体" w:eastAsia="宋体" w:cs="宋体"/>
                <w:color w:val="auto"/>
                <w:sz w:val="21"/>
                <w:szCs w:val="21"/>
              </w:rPr>
              <w:t>用户需求性能指标要求</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系统功能及指标的响应情况</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对用户需求中的带“▲”技术指标条款全部响应为满足或优于的得</w:t>
            </w:r>
            <w:r>
              <w:rPr>
                <w:rFonts w:hint="eastAsia" w:ascii="宋体" w:hAnsi="宋体" w:eastAsia="宋体" w:cs="宋体"/>
                <w:color w:val="auto"/>
                <w:sz w:val="21"/>
                <w:szCs w:val="21"/>
                <w:lang w:val="en-US" w:eastAsia="zh-CN"/>
              </w:rPr>
              <w:t>36</w:t>
            </w:r>
            <w:r>
              <w:rPr>
                <w:rFonts w:hint="eastAsia" w:ascii="宋体" w:hAnsi="宋体" w:eastAsia="宋体" w:cs="宋体"/>
                <w:color w:val="auto"/>
                <w:sz w:val="21"/>
                <w:szCs w:val="21"/>
              </w:rPr>
              <w:t>分。其中，用户需求“▲”参数指标不满足或者不响应的每一项扣1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分；扣完为止，本项最低得0分。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（用户需求“▲”参数指标须提供第三方检测机构出具的检测报告复印件</w:t>
            </w:r>
            <w:r>
              <w:rPr>
                <w:rFonts w:hint="eastAsia" w:ascii="宋体" w:hAnsi="宋体" w:eastAsia="宋体" w:cs="宋体"/>
                <w:color w:val="auto"/>
                <w:sz w:val="21"/>
                <w:szCs w:val="21"/>
                <w:lang w:val="en-US" w:eastAsia="zh-CN"/>
              </w:rPr>
              <w:t>并加盖投标人公章</w:t>
            </w:r>
            <w:r>
              <w:rPr>
                <w:rFonts w:hint="eastAsia" w:ascii="宋体" w:hAnsi="宋体" w:eastAsia="宋体" w:cs="宋体"/>
                <w:color w:val="auto"/>
                <w:sz w:val="21"/>
                <w:szCs w:val="21"/>
              </w:rPr>
              <w:t>，不提供视为不满足或者不响应。）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投入本项目项目管理人员、技术人员情况</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4分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根据各</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拟投入本项目的项目管理和技术人员情况等进行综合评分：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1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①</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具有国家工业和信息化部门颁发的智能建筑弱电工程师</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，每人得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本项最高得2分；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②具有国家人力资源和社会保障部颁发的安全防范系统安装维护员证书的，每人得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本项最高得2分。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注：</w:t>
            </w:r>
            <w:r>
              <w:rPr>
                <w:rFonts w:hint="eastAsia" w:ascii="宋体" w:hAnsi="宋体" w:eastAsia="宋体" w:cs="宋体"/>
                <w:b w:val="0"/>
                <w:bCs w:val="0"/>
                <w:color w:val="auto"/>
                <w:sz w:val="21"/>
                <w:szCs w:val="21"/>
              </w:rPr>
              <w:t>须提供以上人员证书复印件及</w:t>
            </w:r>
            <w:r>
              <w:rPr>
                <w:rFonts w:hint="eastAsia" w:ascii="宋体" w:hAnsi="宋体" w:eastAsia="宋体" w:cs="宋体"/>
                <w:b w:val="0"/>
                <w:bCs w:val="0"/>
                <w:color w:val="auto"/>
                <w:sz w:val="21"/>
                <w:szCs w:val="21"/>
                <w:lang w:val="en-US" w:eastAsia="zh-CN" w:bidi="ar"/>
              </w:rPr>
              <w:t>投标人</w:t>
            </w:r>
            <w:r>
              <w:rPr>
                <w:rFonts w:hint="eastAsia" w:ascii="宋体" w:hAnsi="宋体" w:eastAsia="宋体" w:cs="宋体"/>
                <w:b w:val="0"/>
                <w:bCs w:val="0"/>
                <w:color w:val="auto"/>
                <w:sz w:val="21"/>
                <w:szCs w:val="21"/>
                <w:lang w:bidi="ar"/>
              </w:rPr>
              <w:t>为其缴纳的距开标当月（不含开标当前月）前三个月</w:t>
            </w:r>
            <w:r>
              <w:rPr>
                <w:rFonts w:hint="eastAsia" w:ascii="宋体" w:hAnsi="宋体" w:eastAsia="宋体" w:cs="宋体"/>
                <w:b w:val="0"/>
                <w:bCs w:val="0"/>
                <w:color w:val="auto"/>
                <w:sz w:val="21"/>
                <w:szCs w:val="21"/>
                <w:lang w:val="en-US" w:eastAsia="zh-CN" w:bidi="ar"/>
              </w:rPr>
              <w:t>中任意一个月</w:t>
            </w:r>
            <w:r>
              <w:rPr>
                <w:rFonts w:hint="eastAsia" w:ascii="宋体" w:hAnsi="宋体" w:eastAsia="宋体" w:cs="宋体"/>
                <w:b w:val="0"/>
                <w:bCs w:val="0"/>
                <w:color w:val="auto"/>
                <w:sz w:val="21"/>
                <w:szCs w:val="21"/>
                <w:lang w:bidi="ar"/>
              </w:rPr>
              <w:t>的社保证明材料复印件加盖投标人公章</w:t>
            </w:r>
            <w:r>
              <w:rPr>
                <w:rFonts w:hint="eastAsia" w:ascii="宋体" w:hAnsi="宋体" w:eastAsia="宋体" w:cs="宋体"/>
                <w:b w:val="0"/>
                <w:bCs w:val="0"/>
                <w:color w:val="auto"/>
                <w:sz w:val="21"/>
                <w:szCs w:val="21"/>
                <w:lang w:eastAsia="zh-CN" w:bidi="ar"/>
              </w:rPr>
              <w:t>，</w:t>
            </w:r>
            <w:r>
              <w:rPr>
                <w:rFonts w:hint="eastAsia" w:ascii="宋体" w:hAnsi="宋体" w:eastAsia="宋体" w:cs="宋体"/>
                <w:b w:val="0"/>
                <w:bCs w:val="0"/>
                <w:color w:val="auto"/>
                <w:sz w:val="21"/>
                <w:szCs w:val="21"/>
                <w:lang w:val="en-US" w:eastAsia="zh-CN" w:bidi="ar"/>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9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培训方案</w:t>
            </w:r>
          </w:p>
        </w:tc>
        <w:tc>
          <w:tcPr>
            <w:tcW w:w="8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培训方案完整性、培训计划、工程师水平和效果等指标进行综合</w:t>
            </w:r>
            <w:r>
              <w:rPr>
                <w:rFonts w:hint="eastAsia" w:ascii="宋体" w:hAnsi="宋体" w:eastAsia="宋体" w:cs="宋体"/>
                <w:color w:val="auto"/>
                <w:sz w:val="21"/>
                <w:szCs w:val="21"/>
                <w:lang w:val="en-US" w:eastAsia="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方案内容全面完整，理论和技术阐述全面，实操经验讲解内容丰富，培训计划周详</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方案内容较为全面完整，技术要点讲解一般，实操经验讲解有一定案例，培训计划</w:t>
            </w:r>
            <w:r>
              <w:rPr>
                <w:rFonts w:hint="eastAsia" w:ascii="宋体" w:hAnsi="宋体" w:eastAsia="宋体" w:cs="宋体"/>
                <w:color w:val="auto"/>
                <w:sz w:val="21"/>
                <w:szCs w:val="21"/>
                <w:lang w:val="en-US" w:eastAsia="zh-CN"/>
              </w:rPr>
              <w:t>较周祥的</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方案内容</w:t>
            </w:r>
            <w:r>
              <w:rPr>
                <w:rFonts w:hint="eastAsia" w:ascii="宋体" w:hAnsi="宋体" w:eastAsia="宋体" w:cs="宋体"/>
                <w:color w:val="auto"/>
                <w:sz w:val="21"/>
                <w:szCs w:val="21"/>
                <w:lang w:val="en-US" w:eastAsia="zh-CN"/>
              </w:rPr>
              <w:t>基本</w:t>
            </w:r>
            <w:r>
              <w:rPr>
                <w:rFonts w:hint="eastAsia" w:ascii="宋体" w:hAnsi="宋体" w:eastAsia="宋体" w:cs="宋体"/>
                <w:color w:val="auto"/>
                <w:sz w:val="21"/>
                <w:szCs w:val="21"/>
              </w:rPr>
              <w:t>完整，技术要点讲解一般，实操经验讲解有一定案例，培训计划</w:t>
            </w:r>
            <w:r>
              <w:rPr>
                <w:rFonts w:hint="eastAsia" w:ascii="宋体" w:hAnsi="宋体" w:eastAsia="宋体" w:cs="宋体"/>
                <w:color w:val="auto"/>
                <w:sz w:val="21"/>
                <w:szCs w:val="21"/>
                <w:lang w:val="en-US" w:eastAsia="zh-CN"/>
              </w:rPr>
              <w:t>一般的</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方案内容不够完整，技术要点讲解不够清楚，实操经验讲解案件少，培训计划不够详细</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（1）无特殊说明外，以上评审项，同一证明文件不重复计分。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（2）投标人根据以上评分要求提供的投标材料因模糊不清导致评标委员会无法清晰辨认进行评审的，视为无效材料。</w:t>
            </w:r>
          </w:p>
          <w:p>
            <w:pPr>
              <w:pStyle w:val="32"/>
              <w:keepNext w:val="0"/>
              <w:keepLines w:val="0"/>
              <w:pageBreakBefore w:val="0"/>
              <w:widowControl/>
              <w:kinsoku/>
              <w:wordWrap/>
              <w:overflowPunct/>
              <w:topLinePunct w:val="0"/>
              <w:autoSpaceDE/>
              <w:autoSpaceDN/>
              <w:bidi w:val="0"/>
              <w:adjustRightInd w:val="0"/>
              <w:snapToGrid w:val="0"/>
              <w:spacing w:line="240" w:lineRule="auto"/>
              <w:ind w:firstLine="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（3）若因疫情原因暂缓统一托收或阶段性减免社会保险费而导致无法打印社保缴费证明的需提供书面说明并加盖投标人公章。</w:t>
            </w:r>
          </w:p>
        </w:tc>
      </w:tr>
    </w:tbl>
    <w:p>
      <w:pPr>
        <w:bidi w:val="0"/>
        <w:rPr>
          <w:rFonts w:hint="eastAsia"/>
          <w:color w:val="auto"/>
        </w:rPr>
      </w:pPr>
      <w:r>
        <w:rPr>
          <w:rFonts w:hint="eastAsia"/>
          <w:color w:val="auto"/>
        </w:rPr>
        <w:br w:type="page"/>
      </w:r>
    </w:p>
    <w:p>
      <w:pPr>
        <w:pStyle w:val="2"/>
        <w:spacing w:before="0" w:after="0" w:line="240" w:lineRule="auto"/>
        <w:rPr>
          <w:color w:val="auto"/>
          <w:sz w:val="24"/>
          <w:szCs w:val="24"/>
        </w:rPr>
      </w:pPr>
      <w:bookmarkStart w:id="17" w:name="_Toc29685"/>
      <w:bookmarkStart w:id="18" w:name="_Toc2479"/>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19746"/>
      <w:bookmarkStart w:id="22" w:name="_Toc11105"/>
      <w:bookmarkStart w:id="23" w:name="_Toc309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22847"/>
      <w:bookmarkStart w:id="25" w:name="_Toc18488"/>
      <w:bookmarkStart w:id="26" w:name="_Toc22803"/>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21002"/>
      <w:bookmarkStart w:id="29" w:name="_Toc16848"/>
      <w:r>
        <w:rPr>
          <w:rFonts w:hint="eastAsia" w:ascii="宋体" w:hAnsi="宋体" w:eastAsia="宋体"/>
          <w:color w:val="auto"/>
          <w:sz w:val="21"/>
          <w:szCs w:val="21"/>
        </w:rPr>
        <w:t>2.</w:t>
      </w:r>
      <w:bookmarkStart w:id="30" w:name="_Toc1530"/>
      <w:bookmarkStart w:id="31" w:name="_Toc382049092"/>
      <w:bookmarkStart w:id="32" w:name="_Toc303084246"/>
      <w:bookmarkStart w:id="33" w:name="_Toc298847174"/>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3780"/>
      <w:bookmarkStart w:id="35" w:name="_Toc2996"/>
      <w:bookmarkStart w:id="36" w:name="_Toc9710"/>
      <w:r>
        <w:rPr>
          <w:rFonts w:hint="eastAsia" w:ascii="宋体" w:hAnsi="宋体" w:eastAsia="宋体"/>
          <w:color w:val="auto"/>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3909"/>
      <w:bookmarkStart w:id="38" w:name="_Toc15945"/>
      <w:bookmarkStart w:id="39" w:name="_Toc12536"/>
      <w:r>
        <w:rPr>
          <w:rFonts w:hint="eastAsia" w:ascii="宋体" w:hAnsi="宋体" w:eastAsia="宋体"/>
          <w:color w:val="auto"/>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25040"/>
      <w:bookmarkStart w:id="41" w:name="_Toc19532"/>
      <w:bookmarkStart w:id="42" w:name="_Toc19094"/>
      <w:r>
        <w:rPr>
          <w:rFonts w:hint="eastAsia" w:ascii="宋体" w:hAnsi="宋体" w:eastAsia="宋体"/>
          <w:color w:val="auto"/>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31885"/>
      <w:bookmarkStart w:id="44" w:name="_Toc21930"/>
      <w:bookmarkStart w:id="45" w:name="_Toc8432"/>
      <w:r>
        <w:rPr>
          <w:rFonts w:hint="eastAsia" w:ascii="宋体" w:hAnsi="宋体" w:eastAsia="宋体"/>
          <w:color w:val="auto"/>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16571"/>
      <w:bookmarkStart w:id="47" w:name="_Toc3233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27045"/>
      <w:bookmarkStart w:id="52" w:name="_Toc1811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423"/>
      <w:bookmarkStart w:id="54" w:name="_Toc21771"/>
      <w:bookmarkStart w:id="55" w:name="_Toc13494"/>
      <w:r>
        <w:rPr>
          <w:rFonts w:hint="eastAsia" w:ascii="宋体" w:hAnsi="宋体" w:eastAsia="宋体"/>
          <w:color w:val="auto"/>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4217"/>
      <w:bookmarkStart w:id="57" w:name="_Toc17274"/>
      <w:bookmarkStart w:id="58" w:name="_Toc7997"/>
      <w:r>
        <w:rPr>
          <w:rFonts w:hint="eastAsia" w:ascii="宋体" w:hAnsi="宋体" w:eastAsia="宋体"/>
          <w:color w:val="auto"/>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23726"/>
      <w:bookmarkStart w:id="60" w:name="_Toc16712"/>
      <w:bookmarkStart w:id="61" w:name="_Toc4773"/>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7434"/>
      <w:bookmarkStart w:id="64" w:name="_Toc20623"/>
      <w:r>
        <w:rPr>
          <w:rFonts w:hint="eastAsia" w:ascii="宋体" w:hAnsi="宋体" w:eastAsia="宋体"/>
          <w:color w:val="auto"/>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28866"/>
      <w:bookmarkStart w:id="66" w:name="_Toc307934854"/>
      <w:bookmarkStart w:id="67" w:name="_Toc12145"/>
      <w:bookmarkStart w:id="68" w:name="_Toc18999"/>
      <w:bookmarkStart w:id="69" w:name="_Toc382049103"/>
      <w:bookmarkStart w:id="70" w:name="_Toc7728"/>
      <w:bookmarkStart w:id="71" w:name="_Toc303084256"/>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882"/>
      <w:bookmarkStart w:id="73" w:name="_Toc30189"/>
      <w:bookmarkStart w:id="74" w:name="_Toc21747"/>
      <w:r>
        <w:rPr>
          <w:rFonts w:hint="eastAsia" w:ascii="宋体" w:hAnsi="宋体" w:eastAsia="宋体"/>
          <w:color w:val="auto"/>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17188"/>
      <w:bookmarkStart w:id="77" w:name="_Toc259"/>
      <w:bookmarkStart w:id="78" w:name="_Toc7847"/>
      <w:r>
        <w:rPr>
          <w:rFonts w:hint="eastAsia" w:ascii="宋体" w:hAnsi="宋体" w:eastAsia="宋体"/>
          <w:color w:val="auto"/>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8911"/>
      <w:bookmarkStart w:id="80" w:name="_Toc16535"/>
      <w:bookmarkStart w:id="81" w:name="_Toc27724"/>
      <w:r>
        <w:rPr>
          <w:rFonts w:hint="eastAsia" w:ascii="宋体" w:hAnsi="宋体" w:eastAsia="宋体"/>
          <w:color w:val="auto"/>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68"/>
      <w:bookmarkEnd w:id="82"/>
      <w:bookmarkStart w:id="83" w:name="_Hlt10792563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22169"/>
      <w:bookmarkStart w:id="85" w:name="_Toc30815"/>
      <w:bookmarkStart w:id="86" w:name="_Toc19520"/>
      <w:r>
        <w:rPr>
          <w:rFonts w:hint="eastAsia" w:ascii="宋体" w:hAnsi="宋体" w:eastAsia="宋体"/>
          <w:color w:val="auto"/>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lang w:eastAsia="zh-CN"/>
        </w:rPr>
      </w:pPr>
      <w:bookmarkStart w:id="87" w:name="_Toc12456"/>
      <w:bookmarkStart w:id="88" w:name="_Toc25817"/>
      <w:bookmarkStart w:id="89" w:name="_Toc30257"/>
      <w:r>
        <w:rPr>
          <w:rFonts w:hint="eastAsia" w:ascii="宋体" w:hAnsi="宋体" w:eastAsia="宋体"/>
          <w:color w:val="auto"/>
          <w:sz w:val="21"/>
          <w:szCs w:val="21"/>
        </w:rPr>
        <w:t>16.投标保证金</w:t>
      </w:r>
      <w:bookmarkEnd w:id="87"/>
      <w:bookmarkEnd w:id="88"/>
      <w:bookmarkEnd w:id="89"/>
      <w:r>
        <w:rPr>
          <w:rFonts w:hint="eastAsia" w:ascii="宋体" w:hAnsi="宋体" w:eastAsia="宋体"/>
          <w:color w:val="auto"/>
          <w:sz w:val="21"/>
          <w:szCs w:val="21"/>
          <w:lang w:eastAsia="zh-CN"/>
        </w:rPr>
        <w:t>（</w:t>
      </w:r>
      <w:r>
        <w:rPr>
          <w:rFonts w:hint="eastAsia" w:ascii="宋体" w:hAnsi="宋体"/>
          <w:b/>
          <w:color w:val="auto"/>
          <w:sz w:val="21"/>
          <w:szCs w:val="21"/>
          <w:lang w:val="en-US" w:eastAsia="zh-CN"/>
        </w:rPr>
        <w:t>本项目不需提供投标保证金</w:t>
      </w:r>
      <w:r>
        <w:rPr>
          <w:rFonts w:hint="eastAsia" w:ascii="宋体" w:hAnsi="宋体" w:eastAsia="宋体"/>
          <w:color w:val="auto"/>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200"/>
      <w:bookmarkStart w:id="92" w:name="_Toc24109"/>
      <w:bookmarkStart w:id="93" w:name="_Toc31124"/>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9590"/>
      <w:bookmarkStart w:id="95" w:name="_Toc382049111"/>
      <w:bookmarkStart w:id="96" w:name="_Toc303084264"/>
      <w:bookmarkStart w:id="97" w:name="_Toc473"/>
      <w:bookmarkStart w:id="98" w:name="_Toc24997"/>
      <w:bookmarkStart w:id="99" w:name="_Toc23678"/>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7473"/>
      <w:bookmarkStart w:id="101" w:name="_Toc8628"/>
      <w:bookmarkStart w:id="102" w:name="_Toc17417"/>
      <w:r>
        <w:rPr>
          <w:rFonts w:hint="eastAsia" w:ascii="宋体" w:hAnsi="宋体" w:eastAsia="宋体"/>
          <w:color w:val="auto"/>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8526"/>
      <w:bookmarkStart w:id="104" w:name="_Toc19649"/>
      <w:bookmarkStart w:id="105" w:name="_Toc13212"/>
      <w:r>
        <w:rPr>
          <w:rFonts w:hint="eastAsia" w:ascii="宋体" w:hAnsi="宋体" w:eastAsia="宋体"/>
          <w:color w:val="auto"/>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7689"/>
      <w:bookmarkStart w:id="107" w:name="_Toc382049112"/>
      <w:bookmarkStart w:id="108" w:name="_Toc303084265"/>
      <w:bookmarkStart w:id="109" w:name="_Toc9777"/>
      <w:bookmarkStart w:id="110" w:name="_Toc5900"/>
      <w:bookmarkStart w:id="111" w:name="_Toc23477"/>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6003"/>
      <w:bookmarkStart w:id="113" w:name="_Toc15569"/>
      <w:bookmarkStart w:id="114" w:name="_Toc11133"/>
      <w:r>
        <w:rPr>
          <w:rFonts w:hint="eastAsia" w:ascii="宋体" w:hAnsi="宋体" w:eastAsia="宋体"/>
          <w:color w:val="auto"/>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29574"/>
      <w:bookmarkStart w:id="116" w:name="_Toc5049"/>
      <w:bookmarkStart w:id="117" w:name="_Toc23466"/>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4251"/>
      <w:bookmarkStart w:id="119" w:name="_Toc28458"/>
      <w:bookmarkStart w:id="120" w:name="_Toc27700"/>
      <w:r>
        <w:rPr>
          <w:rFonts w:hint="eastAsia" w:ascii="宋体" w:hAnsi="宋体" w:eastAsia="宋体"/>
          <w:color w:val="auto"/>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524"/>
      <w:bookmarkStart w:id="122" w:name="_Toc4921"/>
      <w:bookmarkStart w:id="123" w:name="_Toc5974"/>
      <w:r>
        <w:rPr>
          <w:rFonts w:hint="eastAsia" w:ascii="宋体" w:hAnsi="宋体" w:eastAsia="宋体"/>
          <w:color w:val="auto"/>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15231"/>
      <w:bookmarkStart w:id="125" w:name="_Toc26402"/>
      <w:bookmarkStart w:id="126" w:name="_Toc32730"/>
      <w:r>
        <w:rPr>
          <w:rFonts w:hint="eastAsia" w:ascii="宋体" w:hAnsi="宋体" w:eastAsia="宋体"/>
          <w:color w:val="auto"/>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3762"/>
      <w:bookmarkStart w:id="128" w:name="_Toc16745"/>
      <w:bookmarkStart w:id="129" w:name="_Toc18436"/>
      <w:r>
        <w:rPr>
          <w:rFonts w:hint="eastAsia" w:ascii="宋体" w:hAnsi="宋体" w:eastAsia="宋体"/>
          <w:color w:val="auto"/>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1742"/>
      <w:bookmarkStart w:id="132" w:name="_Toc29184"/>
      <w:r>
        <w:rPr>
          <w:rFonts w:hint="eastAsia" w:ascii="宋体" w:hAnsi="宋体" w:eastAsia="宋体"/>
          <w:color w:val="auto"/>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17683"/>
      <w:bookmarkStart w:id="134" w:name="_Toc7593"/>
      <w:bookmarkStart w:id="135" w:name="_Toc22192"/>
      <w:r>
        <w:rPr>
          <w:rFonts w:hint="eastAsia" w:ascii="宋体" w:hAnsi="宋体" w:eastAsia="宋体"/>
          <w:color w:val="auto"/>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6" w:name="_Toc316375620"/>
      <w:bookmarkStart w:id="137" w:name="_Toc22591"/>
      <w:bookmarkStart w:id="138" w:name="_Toc12115"/>
      <w:bookmarkStart w:id="139" w:name="_Toc20328"/>
      <w:bookmarkStart w:id="140" w:name="_Toc31141"/>
      <w:bookmarkStart w:id="141" w:name="_Toc382049120"/>
      <w:r>
        <w:rPr>
          <w:rFonts w:hint="eastAsia" w:ascii="宋体" w:hAnsi="宋体" w:eastAsia="宋体"/>
          <w:color w:val="auto"/>
          <w:sz w:val="21"/>
          <w:szCs w:val="21"/>
        </w:rPr>
        <w:t>28.纪律和</w:t>
      </w:r>
      <w:r>
        <w:rPr>
          <w:rFonts w:ascii="宋体" w:hAnsi="宋体" w:eastAsia="宋体"/>
          <w:color w:val="auto"/>
          <w:sz w:val="21"/>
          <w:szCs w:val="21"/>
        </w:rPr>
        <w:t>保密</w:t>
      </w:r>
      <w:bookmarkEnd w:id="136"/>
      <w:r>
        <w:rPr>
          <w:rFonts w:hint="eastAsia" w:ascii="宋体" w:hAnsi="宋体" w:eastAsia="宋体"/>
          <w:color w:val="auto"/>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42" w:name="_Toc29310"/>
      <w:bookmarkStart w:id="143" w:name="_Toc5528"/>
      <w:bookmarkStart w:id="144" w:name="_Toc12251"/>
      <w:r>
        <w:rPr>
          <w:rFonts w:hint="eastAsia" w:ascii="宋体" w:hAnsi="宋体"/>
          <w:color w:val="auto"/>
          <w:lang w:val="en-US" w:eastAsia="zh-CN"/>
        </w:rPr>
        <w:t>第六章</w:t>
      </w:r>
      <w:r>
        <w:rPr>
          <w:rFonts w:hint="eastAsia" w:ascii="宋体" w:hAnsi="宋体" w:eastAsia="宋体"/>
          <w:color w:val="auto"/>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5" w:name="_Toc6696"/>
      <w:bookmarkStart w:id="146" w:name="_Toc17778"/>
      <w:bookmarkStart w:id="147" w:name="_Toc508284011"/>
      <w:bookmarkStart w:id="148" w:name="_Toc27817"/>
      <w:r>
        <w:rPr>
          <w:rFonts w:hint="eastAsia" w:ascii="宋体" w:hAnsi="宋体" w:eastAsia="宋体"/>
          <w:color w:val="auto"/>
          <w:sz w:val="21"/>
          <w:szCs w:val="21"/>
        </w:rPr>
        <w:t>29.</w:t>
      </w:r>
      <w:r>
        <w:rPr>
          <w:rFonts w:ascii="宋体" w:hAnsi="宋体" w:eastAsia="宋体"/>
          <w:color w:val="auto"/>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9" w:name="_Toc23136"/>
      <w:bookmarkStart w:id="150" w:name="_Toc29283"/>
      <w:bookmarkStart w:id="151" w:name="_Toc12440"/>
      <w:bookmarkStart w:id="152" w:name="_Toc508284013"/>
      <w:r>
        <w:rPr>
          <w:rFonts w:hint="eastAsia" w:ascii="宋体" w:hAnsi="宋体" w:eastAsia="宋体"/>
          <w:color w:val="auto"/>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2262"/>
      <w:bookmarkStart w:id="154" w:name="_Toc22451"/>
      <w:bookmarkStart w:id="155" w:name="_Toc27279"/>
      <w:r>
        <w:rPr>
          <w:rFonts w:hint="eastAsia" w:ascii="宋体" w:hAnsi="宋体" w:eastAsia="宋体"/>
          <w:color w:val="auto"/>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6" w:name="_Toc2744"/>
      <w:bookmarkStart w:id="157" w:name="_Toc7405"/>
      <w:bookmarkStart w:id="158" w:name="_Toc29009"/>
      <w:bookmarkStart w:id="159" w:name="_Toc303084277"/>
      <w:bookmarkStart w:id="160" w:name="_Toc382049124"/>
      <w:bookmarkStart w:id="161" w:name="_Toc25756"/>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2" w:name="_Toc7360"/>
      <w:bookmarkStart w:id="163" w:name="_Toc20699"/>
      <w:bookmarkStart w:id="164" w:name="_Toc13694"/>
      <w:r>
        <w:rPr>
          <w:rFonts w:hint="eastAsia" w:ascii="宋体" w:hAnsi="宋体"/>
          <w:color w:val="auto"/>
          <w:lang w:val="en-US" w:eastAsia="zh-CN"/>
        </w:rPr>
        <w:t>第七章</w:t>
      </w:r>
      <w:r>
        <w:rPr>
          <w:rFonts w:hint="eastAsia" w:ascii="宋体" w:hAnsi="宋体" w:eastAsia="宋体"/>
          <w:color w:val="auto"/>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5498"/>
      <w:bookmarkStart w:id="166" w:name="_Toc17974"/>
      <w:bookmarkStart w:id="167" w:name="_Toc22900"/>
      <w:r>
        <w:rPr>
          <w:rFonts w:hint="eastAsia" w:ascii="宋体" w:hAnsi="宋体" w:eastAsia="宋体"/>
          <w:color w:val="auto"/>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8" w:name="_Toc11264"/>
      <w:bookmarkStart w:id="169" w:name="_Toc2767"/>
      <w:bookmarkStart w:id="170" w:name="_Toc8234"/>
      <w:r>
        <w:rPr>
          <w:rFonts w:hint="eastAsia" w:ascii="宋体" w:hAnsi="宋体" w:eastAsia="宋体"/>
          <w:color w:val="auto"/>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71" w:name="_Toc5690"/>
      <w:bookmarkStart w:id="172" w:name="_Toc24383"/>
      <w:bookmarkStart w:id="173" w:name="_Toc8919"/>
      <w:r>
        <w:rPr>
          <w:rFonts w:hint="eastAsia" w:ascii="宋体" w:hAnsi="宋体"/>
          <w:color w:val="auto"/>
          <w:lang w:val="en-US" w:eastAsia="zh-CN"/>
        </w:rPr>
        <w:t>第八章</w:t>
      </w:r>
      <w:r>
        <w:rPr>
          <w:rFonts w:hint="eastAsia" w:ascii="宋体" w:hAnsi="宋体" w:eastAsia="宋体"/>
          <w:color w:val="auto"/>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4" w:name="_Toc6548"/>
      <w:bookmarkStart w:id="175" w:name="_Toc21187"/>
      <w:bookmarkStart w:id="176" w:name="_Toc10082"/>
      <w:r>
        <w:rPr>
          <w:rFonts w:hint="eastAsia" w:ascii="宋体" w:hAnsi="宋体" w:eastAsia="宋体"/>
          <w:color w:val="auto"/>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6</w:t>
      </w:r>
      <w:r>
        <w:rPr>
          <w:rFonts w:hint="eastAsia" w:ascii="宋体" w:hAnsi="宋体"/>
          <w:color w:val="auto"/>
          <w:sz w:val="21"/>
          <w:szCs w:val="21"/>
          <w:lang w:val="en-US" w:eastAsia="zh-CN"/>
        </w:rPr>
        <w:t>11</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本招标文件是根据国家有关法律、法规以及政府采购管理有关规定和参照国际惯例编制，解释权属本采购代理机构。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2"/>
        <w:spacing w:before="0" w:after="0" w:line="240" w:lineRule="auto"/>
        <w:rPr>
          <w:rFonts w:hint="eastAsia"/>
          <w:color w:val="auto"/>
          <w:sz w:val="28"/>
          <w:szCs w:val="28"/>
        </w:rPr>
      </w:pPr>
      <w:bookmarkStart w:id="177" w:name="_Toc7011"/>
      <w:bookmarkStart w:id="178" w:name="_Toc31854"/>
      <w:bookmarkStart w:id="179" w:name="_Toc382"/>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80" w:name="_Toc1593"/>
      <w:r>
        <w:rPr>
          <w:rFonts w:hint="eastAsia" w:ascii="宋体" w:hAnsi="宋体"/>
          <w:color w:val="auto"/>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交货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签订合同之日起30天内安装调试完毕，验收并交付使用。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 签订合同、</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lang w:eastAsia="zh-CN"/>
              </w:rPr>
              <w:t>将设备清单所列货物送到工地现场并向</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提供发票后，</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在15个工作日内支付合同总价55%；</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 全部竣工，经</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验收合格，办理完验收手续且</w:t>
            </w:r>
            <w:r>
              <w:rPr>
                <w:rFonts w:hint="eastAsia" w:ascii="宋体" w:hAnsi="宋体" w:cs="宋体"/>
                <w:color w:val="auto"/>
                <w:sz w:val="21"/>
                <w:szCs w:val="21"/>
                <w:highlight w:val="none"/>
                <w:lang w:eastAsia="zh-CN"/>
              </w:rPr>
              <w:t>中标人</w:t>
            </w:r>
            <w:r>
              <w:rPr>
                <w:rFonts w:hint="eastAsia" w:ascii="宋体" w:hAnsi="宋体" w:eastAsia="宋体" w:cs="宋体"/>
                <w:color w:val="auto"/>
                <w:sz w:val="21"/>
                <w:szCs w:val="21"/>
                <w:highlight w:val="none"/>
                <w:lang w:eastAsia="zh-CN"/>
              </w:rPr>
              <w:t>向</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提供发票后，</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在15个工作日内支付合同总价的45%；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项目验收要求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（1）验收工作由采购人与</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共同进行。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（2）服务完成后，</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应向采购人提供年度运维服务报告，由采购人组织验收。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售后服务</w:t>
            </w:r>
            <w:r>
              <w:rPr>
                <w:rFonts w:hint="eastAsia" w:ascii="宋体" w:hAnsi="宋体" w:cs="宋体"/>
                <w:color w:val="auto"/>
                <w:sz w:val="21"/>
                <w:szCs w:val="21"/>
                <w:highlight w:val="none"/>
                <w:lang w:val="en-US" w:eastAsia="zh-CN"/>
              </w:rPr>
              <w:t>要求</w:t>
            </w:r>
          </w:p>
        </w:tc>
        <w:tc>
          <w:tcPr>
            <w:tcW w:w="6466" w:type="dxa"/>
            <w:vAlign w:val="center"/>
          </w:tcPr>
          <w:p>
            <w:pPr>
              <w:ind w:firstLine="420" w:firstLineChars="200"/>
              <w:rPr>
                <w:rFonts w:hint="eastAsia"/>
                <w:color w:val="auto"/>
              </w:rPr>
            </w:pPr>
            <w:r>
              <w:rPr>
                <w:rFonts w:hint="eastAsia"/>
                <w:color w:val="auto"/>
              </w:rPr>
              <w:t>1、质保期：设备安装完毕、经相关部门检查合格后，交付使用，从系统完工验收之日起三年内，中标投标人免费提供维修和保养服务，并且每月巡检一次，维护的工时工本、零配件费用均由投标人免费提供。同时，保证在接到故障通知后4小时内到达现场。</w:t>
            </w:r>
          </w:p>
          <w:p>
            <w:pPr>
              <w:ind w:firstLine="420" w:firstLineChars="200"/>
              <w:rPr>
                <w:rFonts w:hint="eastAsia"/>
                <w:color w:val="auto"/>
              </w:rPr>
            </w:pPr>
            <w:r>
              <w:rPr>
                <w:rFonts w:hint="eastAsia"/>
                <w:color w:val="auto"/>
              </w:rPr>
              <w:t>2、 中标投标人应在投标书中提供详细的售后服务计划、包括质保期后的修理、保养、零备件供应等内容。</w:t>
            </w:r>
          </w:p>
          <w:p>
            <w:pPr>
              <w:ind w:firstLine="420" w:firstLineChars="200"/>
              <w:rPr>
                <w:rFonts w:hint="eastAsia"/>
                <w:color w:val="auto"/>
              </w:rPr>
            </w:pPr>
            <w:r>
              <w:rPr>
                <w:rFonts w:hint="eastAsia"/>
                <w:color w:val="auto"/>
              </w:rPr>
              <w:t>3、在学业水平考试等考试前，须对系统做全面检修，考试期间需派技术骨干人员到考点进行技术支持和应急服务，并提供屏蔽器的备机。</w:t>
            </w:r>
          </w:p>
          <w:p>
            <w:pPr>
              <w:ind w:firstLine="420" w:firstLineChars="200"/>
              <w:rPr>
                <w:rFonts w:hint="eastAsia"/>
                <w:color w:val="auto"/>
              </w:rPr>
            </w:pPr>
            <w:r>
              <w:rPr>
                <w:rFonts w:hint="eastAsia"/>
                <w:color w:val="auto"/>
              </w:rPr>
              <w:t>4、质保期结束后，投标人有偿提供售后维修及保养服务的年费用应不高于本次中标合同金额的百分之三。</w:t>
            </w:r>
          </w:p>
          <w:p>
            <w:pPr>
              <w:ind w:firstLine="420" w:firstLineChars="200"/>
              <w:rPr>
                <w:rFonts w:hint="eastAsia" w:eastAsia="宋体"/>
                <w:color w:val="auto"/>
                <w:lang w:eastAsia="zh-CN"/>
              </w:rPr>
            </w:pPr>
            <w:r>
              <w:rPr>
                <w:rFonts w:hint="eastAsia"/>
                <w:color w:val="auto"/>
                <w:lang w:val="en-US" w:eastAsia="zh-CN"/>
              </w:rPr>
              <w:t>注：</w:t>
            </w:r>
            <w:r>
              <w:rPr>
                <w:rFonts w:hint="eastAsia"/>
                <w:color w:val="auto"/>
              </w:rPr>
              <w:t>★为确保售后服务质量，投标供应商须提供售后服务承诺函，售后服务承诺函必须包括免费提供维修和保养的服务年限和具体到场响应时间两个方面，售后服务年限不得低于3年免费维修保养年限内，日常维修、保养的到场响应时间不得高于4小时，中考考试前，投标供应商应提前派出工作人员对系统做全面检修，并在考试期间需派出至少每个考点1名技术骨干人员进行技术支持和应急服务，确保考试顺利进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pStyle w:val="7"/>
        <w:rPr>
          <w:rFonts w:hint="eastAsia"/>
          <w:color w:val="auto"/>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bookmarkStart w:id="181" w:name="_Toc19316"/>
      <w:r>
        <w:rPr>
          <w:rFonts w:hint="eastAsia" w:ascii="宋体" w:hAnsi="宋体"/>
          <w:color w:val="auto"/>
          <w:lang w:val="en-US" w:eastAsia="zh-CN"/>
        </w:rPr>
        <w:t>第二章 技术需求书</w:t>
      </w:r>
      <w:bookmarkEnd w:id="181"/>
    </w:p>
    <w:p>
      <w:pPr>
        <w:pStyle w:val="5"/>
        <w:bidi w:val="0"/>
        <w:rPr>
          <w:rFonts w:hint="eastAsia"/>
          <w:color w:val="auto"/>
        </w:rPr>
      </w:pPr>
      <w:bookmarkStart w:id="182" w:name="_Toc14462"/>
      <w:bookmarkStart w:id="183" w:name="_Toc24679"/>
      <w:bookmarkStart w:id="184" w:name="_Toc13112"/>
      <w:bookmarkStart w:id="185" w:name="_Toc31278"/>
      <w:r>
        <w:rPr>
          <w:rFonts w:hint="eastAsia"/>
          <w:color w:val="auto"/>
        </w:rPr>
        <w:t>一、项目概述</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（一）基本情况</w:t>
      </w:r>
    </w:p>
    <w:p>
      <w:pPr>
        <w:pStyle w:val="7"/>
        <w:keepNext w:val="0"/>
        <w:keepLines w:val="0"/>
        <w:pageBreakBefore w:val="0"/>
        <w:kinsoku/>
        <w:wordWrap/>
        <w:overflowPunct/>
        <w:topLinePunct w:val="0"/>
        <w:autoSpaceDE/>
        <w:autoSpaceDN/>
        <w:bidi w:val="0"/>
        <w:adjustRightInd w:val="0"/>
        <w:snapToGrid w:val="0"/>
        <w:spacing w:before="0" w:after="0" w:line="360" w:lineRule="auto"/>
        <w:ind w:left="0" w:firstLine="420" w:firstLineChars="200"/>
        <w:textAlignment w:val="auto"/>
        <w:rPr>
          <w:rFonts w:hint="eastAsia" w:ascii="宋体" w:hAnsi="宋体" w:eastAsia="宋体" w:cs="宋体"/>
          <w:color w:val="auto"/>
          <w:sz w:val="21"/>
          <w:szCs w:val="21"/>
        </w:rPr>
      </w:pPr>
      <w:bookmarkStart w:id="186" w:name="_Toc23673"/>
      <w:bookmarkStart w:id="187" w:name="_Toc3483807"/>
      <w:r>
        <w:rPr>
          <w:rFonts w:hint="eastAsia" w:ascii="宋体" w:hAnsi="宋体" w:eastAsia="宋体" w:cs="宋体"/>
          <w:color w:val="auto"/>
          <w:sz w:val="21"/>
          <w:szCs w:val="21"/>
        </w:rPr>
        <w:t xml:space="preserve">根据广东省教育厅(粤教考函〔2018〕31号)有关做好初中学业水平考试工作文件及东莞市教育局东教考〔2022〕1号《东莞市初中学业水平考试标准化考点管理办法》文件的要求，保障中考考试顺利实施，维护考试的严肃性、权威性和广大考生、考试工作人员的合法权益，给考生创造一个良好的考试环境，保证考试的公平、公正，按要求建设标准化考场监控系统。   </w:t>
      </w:r>
    </w:p>
    <w:p>
      <w:pPr>
        <w:pStyle w:val="7"/>
        <w:keepNext w:val="0"/>
        <w:keepLines w:val="0"/>
        <w:pageBreakBefore w:val="0"/>
        <w:kinsoku/>
        <w:wordWrap/>
        <w:overflowPunct/>
        <w:topLinePunct w:val="0"/>
        <w:autoSpaceDE/>
        <w:autoSpaceDN/>
        <w:bidi w:val="0"/>
        <w:adjustRightInd w:val="0"/>
        <w:snapToGrid w:val="0"/>
        <w:spacing w:before="0" w:line="36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具体要求如下：</w:t>
      </w:r>
    </w:p>
    <w:p>
      <w:pPr>
        <w:pStyle w:val="7"/>
        <w:keepNext w:val="0"/>
        <w:keepLines w:val="0"/>
        <w:pageBreakBefore w:val="0"/>
        <w:kinsoku/>
        <w:wordWrap/>
        <w:overflowPunct/>
        <w:topLinePunct w:val="0"/>
        <w:autoSpaceDE/>
        <w:autoSpaceDN/>
        <w:bidi w:val="0"/>
        <w:adjustRightInd w:val="0"/>
        <w:snapToGrid w:val="0"/>
        <w:spacing w:before="0" w:line="360" w:lineRule="auto"/>
        <w:ind w:left="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按广东省教育考试院《转发教育部考试中心关于印发&lt;国家教育考试网上巡查系统视频标准技术规范（2017版）的通知》,（粤考院办〔2017〕129号）的标准选择系统设备,技术选型不能有重大技术偏差，要保证本次建设的标准化考场监控系统统能满足标准要求，并确保证与现有设备及市教育局巡考中心的巡考平台实现无缝互联互通互控，投标人须提供解决保证互联互通互控的技术白皮书或技术方案）。</w:t>
      </w:r>
    </w:p>
    <w:p>
      <w:pPr>
        <w:rPr>
          <w:rFonts w:hint="eastAsia"/>
          <w:color w:val="auto"/>
        </w:rPr>
      </w:pPr>
    </w:p>
    <w:bookmarkEnd w:id="186"/>
    <w:bookmarkEnd w:id="187"/>
    <w:p>
      <w:pPr>
        <w:pStyle w:val="5"/>
        <w:bidi w:val="0"/>
        <w:rPr>
          <w:rFonts w:hint="eastAsia" w:ascii="宋体" w:hAnsi="宋体" w:eastAsia="宋体" w:cs="宋体"/>
          <w:color w:val="auto"/>
          <w:sz w:val="21"/>
          <w:szCs w:val="21"/>
        </w:rPr>
      </w:pPr>
      <w:r>
        <w:rPr>
          <w:rFonts w:hint="eastAsia" w:eastAsia="宋体"/>
          <w:color w:val="auto"/>
          <w:lang w:val="en-US" w:eastAsia="zh-CN"/>
        </w:rPr>
        <w:t>二</w:t>
      </w:r>
      <w:r>
        <w:rPr>
          <w:rFonts w:hint="eastAsia" w:eastAsia="宋体"/>
          <w:color w:val="auto"/>
        </w:rPr>
        <w:t>、采购项目内容和要求</w:t>
      </w:r>
      <w:r>
        <w:rPr>
          <w:rFonts w:hint="eastAsia" w:ascii="宋体" w:hAnsi="宋体" w:eastAsia="宋体" w:cs="宋体"/>
          <w:color w:val="auto"/>
          <w:sz w:val="21"/>
          <w:szCs w:val="21"/>
        </w:rPr>
        <w:tab/>
      </w:r>
    </w:p>
    <w:p>
      <w:pPr>
        <w:keepNext w:val="0"/>
        <w:keepLines w:val="0"/>
        <w:pageBreakBefore w:val="0"/>
        <w:tabs>
          <w:tab w:val="left" w:pos="6795"/>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（一）采购品目名称、数量、技术参数及性能要求（服务要求）</w:t>
      </w:r>
    </w:p>
    <w:tbl>
      <w:tblPr>
        <w:tblStyle w:val="22"/>
        <w:tblW w:w="4999" w:type="pct"/>
        <w:tblInd w:w="0" w:type="dxa"/>
        <w:tblLayout w:type="fixed"/>
        <w:tblCellMar>
          <w:top w:w="0" w:type="dxa"/>
          <w:left w:w="108" w:type="dxa"/>
          <w:bottom w:w="0" w:type="dxa"/>
          <w:right w:w="108" w:type="dxa"/>
        </w:tblCellMar>
      </w:tblPr>
      <w:tblGrid>
        <w:gridCol w:w="637"/>
        <w:gridCol w:w="1465"/>
        <w:gridCol w:w="666"/>
        <w:gridCol w:w="666"/>
        <w:gridCol w:w="4048"/>
        <w:gridCol w:w="1039"/>
      </w:tblGrid>
      <w:tr>
        <w:tblPrEx>
          <w:tblCellMar>
            <w:top w:w="0" w:type="dxa"/>
            <w:left w:w="108" w:type="dxa"/>
            <w:bottom w:w="0" w:type="dxa"/>
            <w:right w:w="108" w:type="dxa"/>
          </w:tblCellMar>
        </w:tblPrEx>
        <w:trPr>
          <w:trHeight w:val="704" w:hRule="atLeast"/>
        </w:trPr>
        <w:tc>
          <w:tcPr>
            <w:tcW w:w="3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85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采购品目名称</w:t>
            </w:r>
          </w:p>
        </w:tc>
        <w:tc>
          <w:tcPr>
            <w:tcW w:w="390"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计量单位</w:t>
            </w:r>
          </w:p>
        </w:tc>
        <w:tc>
          <w:tcPr>
            <w:tcW w:w="390"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237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设备标准及性能要求</w:t>
            </w:r>
          </w:p>
        </w:tc>
        <w:tc>
          <w:tcPr>
            <w:tcW w:w="60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CellMar>
            <w:top w:w="0" w:type="dxa"/>
            <w:left w:w="108" w:type="dxa"/>
            <w:bottom w:w="0" w:type="dxa"/>
            <w:right w:w="108" w:type="dxa"/>
          </w:tblCellMar>
        </w:tblPrEx>
        <w:trPr>
          <w:trHeight w:val="667" w:hRule="atLeast"/>
        </w:trPr>
        <w:tc>
          <w:tcPr>
            <w:tcW w:w="3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数字硬盘录像机</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37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详见设备技术参数和性能要求</w:t>
            </w:r>
          </w:p>
        </w:tc>
        <w:tc>
          <w:tcPr>
            <w:tcW w:w="60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宋体" w:hAnsi="宋体" w:eastAsia="宋体" w:cs="宋体"/>
                <w:color w:val="auto"/>
                <w:sz w:val="21"/>
                <w:szCs w:val="21"/>
                <w:lang w:val="en-US" w:eastAsia="zh-CN"/>
              </w:rPr>
            </w:pPr>
          </w:p>
        </w:tc>
      </w:tr>
      <w:tr>
        <w:tblPrEx>
          <w:tblCellMar>
            <w:top w:w="0" w:type="dxa"/>
            <w:left w:w="108" w:type="dxa"/>
            <w:bottom w:w="0" w:type="dxa"/>
            <w:right w:w="108" w:type="dxa"/>
          </w:tblCellMar>
        </w:tblPrEx>
        <w:trPr>
          <w:trHeight w:val="90"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监控显示单元</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24寸液晶显示屏16：9.分辨率1920*1080。</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704"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存储硬盘</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3.5英寸，接口类型SATA3一体化SATA硬盘(4TB)。</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79"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bookmarkStart w:id="188" w:name="_Hlk100308521"/>
            <w:r>
              <w:rPr>
                <w:rFonts w:hint="eastAsia" w:ascii="宋体" w:hAnsi="宋体" w:eastAsia="宋体" w:cs="宋体"/>
                <w:color w:val="auto"/>
                <w:sz w:val="21"/>
                <w:szCs w:val="21"/>
              </w:rPr>
              <w:t>4</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olor w:val="auto"/>
                <w:sz w:val="21"/>
                <w:szCs w:val="21"/>
              </w:rPr>
              <w:t>●</w:t>
            </w:r>
            <w:r>
              <w:rPr>
                <w:rFonts w:hint="eastAsia" w:ascii="宋体" w:hAnsi="宋体" w:eastAsia="宋体" w:cs="宋体"/>
                <w:color w:val="auto"/>
                <w:sz w:val="21"/>
                <w:szCs w:val="21"/>
              </w:rPr>
              <w:t>500万星光红外防暴半球网络摄像机</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详见设备技术参数和性能要求</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0" w:firstLineChars="0"/>
              <w:textAlignment w:val="auto"/>
              <w:rPr>
                <w:rFonts w:hint="eastAsia" w:ascii="宋体" w:hAnsi="宋体" w:eastAsia="宋体" w:cs="宋体"/>
                <w:color w:val="auto"/>
                <w:sz w:val="21"/>
                <w:szCs w:val="21"/>
              </w:rPr>
            </w:pPr>
          </w:p>
        </w:tc>
      </w:tr>
      <w:bookmarkEnd w:id="188"/>
      <w:tr>
        <w:tblPrEx>
          <w:tblCellMar>
            <w:top w:w="0" w:type="dxa"/>
            <w:left w:w="108" w:type="dxa"/>
            <w:bottom w:w="0" w:type="dxa"/>
            <w:right w:w="108" w:type="dxa"/>
          </w:tblCellMar>
        </w:tblPrEx>
        <w:trPr>
          <w:trHeight w:val="960"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500万星光级筒型网络摄像机</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详见设备技术参数和性能要求</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80"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拾音器</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监听面积：5-100平方（连续可调）；音频传输：3000米；频率响应：20Hz-20KHz;灵敏度：-35dB；信噪比：70dB(1米40dB音源)40dB(10米40dB音源)1KHz@1 Pa;指向性：全指向性；动态范围：104dB；输出阻抗：600-1000Ω非平衡；信号幅度：2.5VPP/-25dB，信号处理：DTS数字降噪，AGC自动增益，ALC自动电平控制。</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742"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有源音箱</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2.0立体声音响</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4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摄像机支架</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专用支架</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4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汇聚交换机</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三层交换机，24个10/100/1000Base-T以太网端口,4个100/1000 SFP,4个千兆SFP,背板带宽598Gbps，包转率 222Mpps。</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4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24口POE交换机</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24个10/100/1000Base-TX以太网端口，4个100/1000 SFP+2100Base-TX以太网上联端口，支持整机POE输出功率≥370W，支持工作模式切换，可在普通交换机/安全交换机/监控交换机之间进行切换，支持端口流量控制，支持安全模式，所有下行端口只能和上行端口通信，支持监控模式，可延长网络传输至250米，支持buffer 优化，保证视频数据传输，全金属机壳，安全可靠。</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4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24口接入交换机</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24个10/100/1000Base-T以太网端口,2个100/1000 SFP光口.</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4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交换机模块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千兆单模SFP光模块</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4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后备</w:t>
            </w:r>
            <w:r>
              <w:rPr>
                <w:rFonts w:hint="eastAsia" w:ascii="宋体" w:hAnsi="宋体" w:eastAsia="宋体" w:cs="宋体"/>
                <w:color w:val="auto"/>
                <w:sz w:val="21"/>
                <w:szCs w:val="21"/>
              </w:rPr>
              <w:t>电源</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220V输入10KVA，包含16块电池，一个电池柜。</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89"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液晶</w:t>
            </w:r>
            <w:r>
              <w:rPr>
                <w:rFonts w:hint="eastAsia" w:ascii="宋体" w:hAnsi="宋体" w:eastAsia="宋体" w:cs="宋体"/>
                <w:color w:val="auto"/>
                <w:sz w:val="21"/>
                <w:szCs w:val="21"/>
              </w:rPr>
              <w:t>拼接单元</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采用工业级面板，尺寸≥55 inch</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物理拼缝≤1.8mm</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亮度≥500 cd/m2</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对比度≥4000:1</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分辨率不小于1920*1080</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视频输入接口至少具备1个DVI接口，2个HDMI接口，1个VGA接口</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液晶拼接显示单元具备自动、16:9、4:3三种图像缩放显示模式。</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设备需具备色彩诊断能力，并能对色彩进行自动修正；</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液晶拼接显示单元具备节能模式，打开节能模式液晶拼接屏正常运行时的平均功耗最高可以降低50%。</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液晶拼接显示单元的色彩还原准确性指标ΔE≤0.9</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2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解码器</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详见设备技术参数和性能要求</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16"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拼接屏支架</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拼接屏专用</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08"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网线</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箱</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超五类非屏蔽</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39"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主电源线</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米</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RVV2*2.5</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692"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支电源线</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米</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1800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RVV2*1.0</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34"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单模光纤</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米</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单模8芯</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96"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PDU电源排插</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最大输入电流10A，输出插座数量8个，带指示灯</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19"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操作台</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套</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1200*800*750mm承重部分采用1.5mm冷轧钢板制作，其他1.2mm，表面静电喷涂处理，颜色电脑灰。</w:t>
            </w:r>
          </w:p>
        </w:tc>
        <w:tc>
          <w:tcPr>
            <w:tcW w:w="609" w:type="pct"/>
            <w:tcBorders>
              <w:top w:val="nil"/>
              <w:left w:val="nil"/>
              <w:bottom w:val="single" w:color="auto" w:sz="4" w:space="0"/>
              <w:right w:val="single" w:color="auto" w:sz="4" w:space="0"/>
            </w:tcBorders>
            <w:vAlign w:val="center"/>
          </w:tcPr>
          <w:p>
            <w:pPr>
              <w:pStyle w:val="7"/>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19"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机柜</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9u壁挂</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419"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插座</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86型2+3面板插座</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05" w:hRule="atLeast"/>
        </w:trPr>
        <w:tc>
          <w:tcPr>
            <w:tcW w:w="373"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859"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辅材</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批</w:t>
            </w:r>
          </w:p>
        </w:tc>
        <w:tc>
          <w:tcPr>
            <w:tcW w:w="390" w:type="pc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375"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(14*24,19*39，,22*59)mm/20mm/25mm、水晶头、胶塞螺丝、光纤跳线/光纤熔接。</w:t>
            </w:r>
          </w:p>
        </w:tc>
        <w:tc>
          <w:tcPr>
            <w:tcW w:w="6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tc>
      </w:tr>
    </w:tbl>
    <w:p>
      <w:pPr>
        <w:keepNext w:val="0"/>
        <w:keepLines w:val="0"/>
        <w:pageBreakBefore w:val="0"/>
        <w:kinsoku/>
        <w:wordWrap/>
        <w:overflowPunct/>
        <w:topLinePunct w:val="0"/>
        <w:bidi w:val="0"/>
        <w:adjustRightInd w:val="0"/>
        <w:snapToGrid w:val="0"/>
        <w:spacing w:line="360" w:lineRule="auto"/>
        <w:jc w:val="both"/>
        <w:textAlignment w:val="auto"/>
        <w:rPr>
          <w:rFonts w:hint="eastAsia" w:ascii="宋体" w:hAnsi="宋体" w:eastAsia="宋体" w:cs="宋体"/>
          <w:color w:val="auto"/>
          <w:sz w:val="21"/>
          <w:szCs w:val="21"/>
        </w:rPr>
      </w:pPr>
    </w:p>
    <w:p>
      <w:pPr>
        <w:keepNext w:val="0"/>
        <w:keepLines w:val="0"/>
        <w:pageBreakBefore w:val="0"/>
        <w:kinsoku/>
        <w:wordWrap/>
        <w:overflowPunct/>
        <w:topLinePunct w:val="0"/>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 数字硬盘录像机技术参数及性能要求</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设备支持不低于</w:t>
      </w:r>
      <w:r>
        <w:rPr>
          <w:rStyle w:val="57"/>
          <w:rFonts w:hint="eastAsia" w:ascii="宋体" w:hAnsi="宋体" w:eastAsia="宋体" w:cs="宋体"/>
          <w:color w:val="auto"/>
          <w:sz w:val="21"/>
          <w:szCs w:val="21"/>
        </w:rPr>
        <w:t>2个SATA接口，单盘位支持不低于6TB；</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设备支持不低于2个RJ45 10M/100M/1000M自适应以太网口；</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设备支持不低于1个HDMI接口、1个VGA接口；</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设备支持不低于1对音频输入/输出接口</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设备支持不低于1个HDMI、1个VGA同时输出，HDMI支持4K高清分辨率输出</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▲设备支持1个硬盘指示灯（HD）、运行指示灯（RUN）、网络状态指示灯（NET）、云状态指示灯（CLOUD）；</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设备支持对视频输出通道叠加8行字符，每行可输入60个字符或者22个汉字；</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设备支持即时回放、常规回放，事件回放，智能回放，标签回放，外部文件回放，日志回放；</w:t>
      </w:r>
    </w:p>
    <w:p>
      <w:pPr>
        <w:pStyle w:val="32"/>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▲设备支持1/8、1/4、1/2、1、2、4、8、16、32、64、128、256等倍速正放录像，1、2、4、8、16、32、64、128、256倍速倒放；</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支持802.1x设置选项，HTTPS链接，Telnet设置选项；</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11.</w:t>
      </w:r>
      <w:r>
        <w:rPr>
          <w:rFonts w:hint="eastAsia" w:ascii="宋体" w:hAnsi="宋体" w:eastAsia="宋体" w:cs="宋体"/>
          <w:color w:val="auto"/>
          <w:sz w:val="21"/>
          <w:szCs w:val="21"/>
        </w:rPr>
        <w:t>▲支持通过U盘对本机升级，对通道单个或批量升级，通过远程客户端对本机进行升级，对NVR进行云升级，对NVR接入的IPC进行单个或批量云升级；</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▲支持NVR人机与web远程登录端之间进行语音对讲，NVR人机与本机下的IPC进行双向语音对讲，NVR远程登录端与本机下的IPC进行双向语音对讲功能；</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13.</w:t>
      </w:r>
      <w:r>
        <w:rPr>
          <w:rFonts w:hint="eastAsia" w:ascii="宋体" w:hAnsi="宋体" w:eastAsia="宋体" w:cs="宋体"/>
          <w:color w:val="auto"/>
          <w:sz w:val="21"/>
          <w:szCs w:val="21"/>
        </w:rPr>
        <w:t>▲支持10种模式（360°全景＋1PTZ、180°全景、鱼眼＋3PTZ、鱼眼＋4PTZ、360°全景＋6PTZ、鱼眼＋8PTZ、全景、全景＋3PTZ、全景＋4PTZ、全景＋8PTZ）的鱼眼视频画面实时矫正，回放矫正；</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14.</w:t>
      </w:r>
      <w:r>
        <w:rPr>
          <w:rFonts w:hint="eastAsia" w:ascii="宋体" w:hAnsi="宋体" w:eastAsia="宋体" w:cs="宋体"/>
          <w:color w:val="auto"/>
          <w:sz w:val="21"/>
          <w:szCs w:val="21"/>
        </w:rPr>
        <w:t>支持人数统计功能功能，根据绊线检测告警，快速统计进入区域人数、离开区域人数以及该区域总人数，支持单个通道或多个通道按照日、月、年的方式以柱状图或列表的方式生成统计的报表，并可通过U盘或移动硬盘等外置设备导出统计的报表数据；</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设备支持媒体流组播功能，通过媒体流组播功能，可以使用户查看设备实况不受转发带宽的限制；</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16.</w:t>
      </w:r>
      <w:r>
        <w:rPr>
          <w:rFonts w:hint="eastAsia" w:ascii="宋体" w:hAnsi="宋体" w:eastAsia="宋体" w:cs="宋体"/>
          <w:color w:val="auto"/>
          <w:sz w:val="21"/>
          <w:szCs w:val="21"/>
        </w:rPr>
        <w:t>设备支持IPC离线状态原因说明，包括设备连接中、用户名密码错误、网络不通、带宽不足、弱密码拒绝访问</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17.</w:t>
      </w:r>
      <w:r>
        <w:rPr>
          <w:rFonts w:hint="eastAsia" w:ascii="宋体" w:hAnsi="宋体" w:eastAsia="宋体" w:cs="宋体"/>
          <w:color w:val="auto"/>
          <w:sz w:val="21"/>
          <w:szCs w:val="21"/>
        </w:rPr>
        <w:t>▲设备支持预览界面拖动窗格进行图像位置互换，支持通道互换功能，可直接拖动图像解绑通道顺序后再根据实际需要绑定NVR新的通道顺序；</w:t>
      </w:r>
    </w:p>
    <w:p>
      <w:pPr>
        <w:keepNext w:val="0"/>
        <w:keepLines w:val="0"/>
        <w:pageBreakBefore w:val="0"/>
        <w:kinsoku/>
        <w:wordWrap/>
        <w:overflowPunct/>
        <w:topLinePunct w:val="0"/>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（三）500万星光级红外防暴半球网络摄像机</w:t>
      </w:r>
      <w:r>
        <w:rPr>
          <w:rFonts w:hint="eastAsia" w:ascii="宋体" w:hAnsi="宋体" w:eastAsia="宋体" w:cs="宋体"/>
          <w:b/>
          <w:bCs/>
          <w:color w:val="auto"/>
          <w:sz w:val="21"/>
          <w:szCs w:val="21"/>
        </w:rPr>
        <w:tab/>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不低于1/2.7 inch逐行扫描500万像素CMOS图像传感器；</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镜头焦距2.8mm/4.0mm/6.0mm可选；</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支持不低于1个10M/100M自适应网口；音频接口不低于1入1出；告警接口不低于1入1出；</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▲拾音距离范围：设备可对距离设备15m处的声音进行采集，并可通过客户端软件进行播放；</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支持最低照度：彩色≤0.0005lx，黑白≤0.0001lx；</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设备和客户端之间使用300m超5类非屏蔽网线连接POE供电时，可正常显示监视画面</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照度适应范围不小于135dB；</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走廊模式：开启走廊模式之后，监控画面可90°旋转并自动调整宽高比；</w:t>
      </w:r>
    </w:p>
    <w:p>
      <w:pPr>
        <w:pStyle w:val="32"/>
        <w:keepNext w:val="0"/>
        <w:keepLines w:val="0"/>
        <w:pageBreakBefore w:val="0"/>
        <w:widowControl w:val="0"/>
        <w:numPr>
          <w:ilvl w:val="0"/>
          <w:numId w:val="10"/>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具有宽动态自动切换功能，当环境亮度变化时，可自动开启/关闭宽动态；</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具备区域增强(ROI)功能，提高低带宽网络环境下重点区域图像质量</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11.</w:t>
      </w:r>
      <w:r>
        <w:rPr>
          <w:rFonts w:hint="eastAsia" w:ascii="宋体" w:hAnsi="宋体" w:eastAsia="宋体" w:cs="宋体"/>
          <w:color w:val="auto"/>
          <w:sz w:val="21"/>
          <w:szCs w:val="21"/>
        </w:rPr>
        <w:t>▲样机支持以IPSAN或以ISCSI直存方式进行双路传输数据；</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客户端软件或IE浏览器给出报警提示；a)区域入侵； b)停车；c)越界入侵；d)人员聚集；e)进入区域；f)离开区域；g)快速移动；h)物品移除；i)物品遗留；j)徘徊；k)监控区域内出现人脸；样机支持行为分析触发后报警上传，发送邮件，联动录像，辅助输出等多种报警触发方式</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13.</w:t>
      </w:r>
      <w:r>
        <w:rPr>
          <w:rFonts w:hint="eastAsia" w:ascii="宋体" w:hAnsi="宋体" w:eastAsia="宋体" w:cs="宋体"/>
          <w:color w:val="auto"/>
          <w:sz w:val="21"/>
          <w:szCs w:val="21"/>
        </w:rPr>
        <w:t>▲支持人脸优选设置检验：可通过IE浏览器开启或关闭人脸优选功能，开启后具有效果优先或速度优先设置选项；</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14.</w:t>
      </w:r>
      <w:r>
        <w:rPr>
          <w:rFonts w:hint="eastAsia" w:ascii="宋体" w:hAnsi="宋体" w:eastAsia="宋体" w:cs="宋体"/>
          <w:color w:val="auto"/>
          <w:sz w:val="21"/>
          <w:szCs w:val="21"/>
        </w:rPr>
        <w:t>▲支持人脸测光控制设置检验：在IE浏览器下，具有人脸测光控制设置选项；</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▲支持智能编码功能：在同一静止场景、相同图像参数，样机开启高级模式与普通模式相比，码率节约不低于92%；</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16.</w:t>
      </w:r>
      <w:r>
        <w:rPr>
          <w:rFonts w:hint="eastAsia" w:ascii="宋体" w:hAnsi="宋体" w:eastAsia="宋体" w:cs="宋体"/>
          <w:color w:val="auto"/>
          <w:sz w:val="21"/>
          <w:szCs w:val="21"/>
        </w:rPr>
        <w:t>支持认证模式设置功能：可通过IE浏览器或客户端软件设置身份认证模式，设置选项包括无、Basic和Digest三种；</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17.</w:t>
      </w:r>
      <w:r>
        <w:rPr>
          <w:rFonts w:hint="eastAsia" w:ascii="宋体" w:hAnsi="宋体" w:eastAsia="宋体" w:cs="宋体"/>
          <w:color w:val="auto"/>
          <w:sz w:val="21"/>
          <w:szCs w:val="21"/>
        </w:rPr>
        <w:t>▲支持断网续传功能，当网络断开后，摄像机可将录像文件存储至内置SD卡中，当网络恢复后，再将这些录像文件上传至指定存储设备中；</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18.</w:t>
      </w:r>
      <w:r>
        <w:rPr>
          <w:rFonts w:hint="eastAsia" w:ascii="宋体" w:hAnsi="宋体" w:eastAsia="宋体" w:cs="宋体"/>
          <w:color w:val="auto"/>
          <w:sz w:val="21"/>
          <w:szCs w:val="21"/>
        </w:rPr>
        <w:t>▲支持网关ARP绑定功能：可通过IE浏览器添加并绑定样机所在网段网关的MAC地址，其它终端设备使用正确的网关MAC地址即样机绑定的MAC地址则可正常访问样机；</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19.</w:t>
      </w:r>
      <w:r>
        <w:rPr>
          <w:rFonts w:hint="eastAsia" w:ascii="宋体" w:hAnsi="宋体" w:eastAsia="宋体" w:cs="宋体"/>
          <w:color w:val="auto"/>
          <w:sz w:val="21"/>
          <w:szCs w:val="21"/>
        </w:rPr>
        <w:t>电源电压在DC12V±35%范围内变化，样机应能正常工作；</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20.</w:t>
      </w:r>
      <w:r>
        <w:rPr>
          <w:rFonts w:hint="eastAsia" w:ascii="宋体" w:hAnsi="宋体" w:eastAsia="宋体" w:cs="宋体"/>
          <w:color w:val="auto"/>
          <w:sz w:val="21"/>
          <w:szCs w:val="21"/>
        </w:rPr>
        <w:t>外壳防护等级不低于IP66；</w:t>
      </w:r>
    </w:p>
    <w:p>
      <w:pPr>
        <w:keepNext w:val="0"/>
        <w:keepLines w:val="0"/>
        <w:pageBreakBefore w:val="0"/>
        <w:kinsoku/>
        <w:wordWrap/>
        <w:overflowPunct/>
        <w:topLinePunct w:val="0"/>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(四) 500万星光级筒型网络摄像机技术参数及性能要求</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不低于500万像素，1/2.7 英寸CMOS图像传感器；</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最低照度：彩色≤0.0005lx，黑白≤0.0001lx；</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水平中心分辨力≥1500TVL；</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信噪比：≥60dB；</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最大可同时支持32 路用户在线；</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照度适应范围不小于135dB；</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设备具有双向语音对讲和单向语音广播功能； </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▲设备可对距离设备15m处的声音进行采集，并可通过客户端软件进行播放；</w:t>
      </w:r>
    </w:p>
    <w:p>
      <w:pPr>
        <w:pStyle w:val="32"/>
        <w:keepNext w:val="0"/>
        <w:keepLines w:val="0"/>
        <w:pageBreakBefore w:val="0"/>
        <w:widowControl w:val="0"/>
        <w:numPr>
          <w:ilvl w:val="0"/>
          <w:numId w:val="11"/>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走廊模式：开启走廊模式之后，监控画面可90°旋转并自动调整宽高比；</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▲网关ARP绑定功能：可通过IE浏览器添加并绑定摄像机所在网段网关的MAC地址，其它终端设备使用正确的网关MAC地址即摄像机绑定的MAC地址则可正常访问摄像机；</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11.</w:t>
      </w:r>
      <w:r>
        <w:rPr>
          <w:rFonts w:hint="eastAsia" w:ascii="宋体" w:hAnsi="宋体" w:eastAsia="宋体" w:cs="宋体"/>
          <w:color w:val="auto"/>
          <w:sz w:val="21"/>
          <w:szCs w:val="21"/>
        </w:rPr>
        <w:t>夜视距离：红外灯开启后，可识别距离摄像机150m出人体；</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▲人脸抓拍功能：应具有人脸抓拍功能，可对经过设定区域的行人进行人脸检测和人脸跟踪，当检测到人脸后，可抓拍人脸图片，抓拍图片数量可设，可设置抓拍人脸小图；</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13.</w:t>
      </w:r>
      <w:r>
        <w:rPr>
          <w:rFonts w:hint="eastAsia" w:ascii="宋体" w:hAnsi="宋体" w:eastAsia="宋体" w:cs="宋体"/>
          <w:color w:val="auto"/>
          <w:sz w:val="21"/>
          <w:szCs w:val="21"/>
        </w:rPr>
        <w:t>▲智能行为分析功能：当以下的智能行为分析达到设定的阀值时，可通过客户端软件或IE浏览器给出报警提示；a)区域入侵； b)停车；c)越界入侵；d)人员聚集；e)进入区域；f)离开区域；g)快速移动；h)物品移除；i)物品遗留；j)徘徊，设备支持行为分析触发后报警上传，发送邮件，联动录像，辅助输出等多种报警触发方式；</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14.</w:t>
      </w:r>
      <w:r>
        <w:rPr>
          <w:rFonts w:hint="eastAsia" w:ascii="宋体" w:hAnsi="宋体" w:eastAsia="宋体" w:cs="宋体"/>
          <w:color w:val="auto"/>
          <w:sz w:val="21"/>
          <w:szCs w:val="21"/>
        </w:rPr>
        <w:t>设备和客户端之间使用300m超5类非屏蔽网线连接POE供电时，可正常显示监视画面</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▲启用友好密码功能策略时，与摄像机处于同一网段的地址可以使用摄像机出厂密码登录和访问摄像机；跨网段的地址只能使用复杂度为高的密码（至少8 位，由大小写字母、数字和特殊字符组成）登录和访问摄像机；</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16.</w:t>
      </w:r>
      <w:r>
        <w:rPr>
          <w:rFonts w:hint="eastAsia" w:ascii="宋体" w:hAnsi="宋体" w:eastAsia="宋体" w:cs="宋体"/>
          <w:color w:val="auto"/>
          <w:sz w:val="21"/>
          <w:szCs w:val="21"/>
        </w:rPr>
        <w:t>▲认证模式设置功能：可通过IE浏览器或客户端软件设置身份认证模式，设置选项包括无、Basic和Digest三种；</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17.</w:t>
      </w:r>
      <w:r>
        <w:rPr>
          <w:rFonts w:hint="eastAsia" w:ascii="宋体" w:hAnsi="宋体" w:eastAsia="宋体" w:cs="宋体"/>
          <w:color w:val="auto"/>
          <w:sz w:val="21"/>
          <w:szCs w:val="21"/>
        </w:rPr>
        <w:t>▲智能编码功能：在同一静止场景、相同图像参数，摄像机开启智能编码高级模式与普通模式相比，码率节约为92%；</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18.</w:t>
      </w:r>
      <w:r>
        <w:rPr>
          <w:rFonts w:hint="eastAsia" w:ascii="宋体" w:hAnsi="宋体" w:eastAsia="宋体" w:cs="宋体"/>
          <w:color w:val="auto"/>
          <w:sz w:val="21"/>
          <w:szCs w:val="21"/>
        </w:rPr>
        <w:t>走廊模式：开启走廊模式后，监控画面可90°旋转并自动调整宽高比</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19.</w:t>
      </w:r>
      <w:r>
        <w:rPr>
          <w:rFonts w:hint="eastAsia" w:ascii="宋体" w:hAnsi="宋体" w:eastAsia="宋体" w:cs="宋体"/>
          <w:color w:val="auto"/>
          <w:sz w:val="21"/>
          <w:szCs w:val="21"/>
        </w:rPr>
        <w:t>电源电压在DC12V±35%范围内变化，摄像机应能正常工作。</w:t>
      </w:r>
    </w:p>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20.</w:t>
      </w:r>
      <w:r>
        <w:rPr>
          <w:rFonts w:hint="eastAsia" w:ascii="宋体" w:hAnsi="宋体" w:eastAsia="宋体" w:cs="宋体"/>
          <w:color w:val="auto"/>
          <w:sz w:val="21"/>
          <w:szCs w:val="21"/>
        </w:rPr>
        <w:t>外壳防护等级：IP66</w:t>
      </w:r>
    </w:p>
    <w:p>
      <w:pPr>
        <w:keepNext w:val="0"/>
        <w:keepLines w:val="0"/>
        <w:pageBreakBefore w:val="0"/>
        <w:kinsoku/>
        <w:wordWrap/>
        <w:overflowPunct/>
        <w:topLinePunct w:val="0"/>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（五）解码器技术参数及性能要求</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设备具有2个10/100/1000M自适应网口；</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设备应不少于6路HDMI视频输出接口；</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设备应具备不少于1个RS232串口、1个RS485接口及2个USB3.0接口；</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单路端口可解码输出4路1200W@20/4路4K@30/16路1080P@30/36路720P@30/64路D1@30 ；</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支持自定义电视墙布局，可自定义行列数或选择固定布局，用于对电视墙的快速布局设置；操作灵活；</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可控制外接的拼接屏的手动、定时、倒计时开关机以及延时关机；</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可对多台解码器设备拼接并绑定到同一电视墙进行控制操作。</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支持码流解密功能，可以对加密的IPC码流数据进行解码，并输出。</w:t>
      </w:r>
    </w:p>
    <w:p>
      <w:pPr>
        <w:pStyle w:val="32"/>
        <w:keepNext w:val="0"/>
        <w:keepLines w:val="0"/>
        <w:pageBreakBefore w:val="0"/>
        <w:widowControl w:val="0"/>
        <w:numPr>
          <w:ilvl w:val="0"/>
          <w:numId w:val="12"/>
        </w:numPr>
        <w:kinsoku/>
        <w:wordWrap/>
        <w:overflowPunct/>
        <w:topLinePunct w:val="0"/>
        <w:bidi w:val="0"/>
        <w:adjustRightInd w:val="0"/>
        <w:snapToGrid w:val="0"/>
        <w:spacing w:line="360" w:lineRule="auto"/>
        <w:ind w:left="0" w:firstLine="4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▲支持64条虚拟LED；</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 xml:space="preserve">网口备份功能，当前网口无法正常通信时，可启用另一网口。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11.</w:t>
      </w:r>
      <w:r>
        <w:rPr>
          <w:rFonts w:hint="eastAsia" w:ascii="宋体" w:hAnsi="宋体" w:eastAsia="宋体" w:cs="宋体"/>
          <w:color w:val="auto"/>
          <w:sz w:val="21"/>
          <w:szCs w:val="21"/>
        </w:rPr>
        <w:t>单物理输出口可支持36*6个窗口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▲电视墙布局不会发生改变的情况下，从50路实况切换到另外50路实况的切换时间＜0.3S，并保证切换资源时画面不会刷黑，秒级切换，切换效果佳，视觉效果好；</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13.</w:t>
      </w:r>
      <w:r>
        <w:rPr>
          <w:rFonts w:hint="eastAsia" w:ascii="宋体" w:hAnsi="宋体" w:eastAsia="宋体" w:cs="宋体"/>
          <w:color w:val="auto"/>
          <w:sz w:val="21"/>
          <w:szCs w:val="21"/>
        </w:rPr>
        <w:t>▲同一输入通道的视频图像在不同输出端口显示的时延差值应≤1ms；</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14.</w:t>
      </w:r>
      <w:r>
        <w:rPr>
          <w:rFonts w:hint="eastAsia" w:ascii="宋体" w:hAnsi="宋体" w:eastAsia="宋体" w:cs="宋体"/>
          <w:color w:val="auto"/>
          <w:sz w:val="21"/>
          <w:szCs w:val="21"/>
        </w:rPr>
        <w:t>当设备内部风扇未正常运行时可给出报警提示；</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部分窗口轮巡，可在电视墙上选择部分窗口进行轮巡，其他窗口可正常播放实况；</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16.</w:t>
      </w:r>
      <w:r>
        <w:rPr>
          <w:rFonts w:hint="eastAsia" w:ascii="宋体" w:hAnsi="宋体" w:eastAsia="宋体" w:cs="宋体"/>
          <w:color w:val="auto"/>
          <w:sz w:val="21"/>
          <w:szCs w:val="21"/>
        </w:rPr>
        <w:t>可选择一组摄像机进行一键上墙操作，不需要单独拖拽上墙，操作简洁，节约时间；</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17.</w:t>
      </w:r>
      <w:r>
        <w:rPr>
          <w:rFonts w:hint="eastAsia" w:ascii="宋体" w:hAnsi="宋体" w:eastAsia="宋体" w:cs="宋体"/>
          <w:color w:val="auto"/>
          <w:sz w:val="21"/>
          <w:szCs w:val="21"/>
        </w:rPr>
        <w:t>▲场景计划功能，可以设置在某个或某几个特定时间节点自动启动某个场景；</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18.</w:t>
      </w:r>
      <w:r>
        <w:rPr>
          <w:rFonts w:hint="eastAsia" w:ascii="宋体" w:hAnsi="宋体" w:eastAsia="宋体" w:cs="宋体"/>
          <w:color w:val="auto"/>
          <w:sz w:val="21"/>
          <w:szCs w:val="21"/>
        </w:rPr>
        <w:t>可对第三方厂商的IPC和NVR设备进行信息显示和管理操作；</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20.</w:t>
      </w:r>
      <w:r>
        <w:rPr>
          <w:rFonts w:hint="eastAsia" w:ascii="宋体" w:hAnsi="宋体" w:eastAsia="宋体" w:cs="宋体"/>
          <w:color w:val="auto"/>
          <w:sz w:val="21"/>
          <w:szCs w:val="21"/>
        </w:rPr>
        <w:t>当接入视频流超过设定规格阀值时，可在外接显示设备上给出资源不足提示；</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13" w:firstLineChars="196"/>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（六）须提交相关技术资料</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11" w:firstLineChars="196"/>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成交后、交货时，中标投标人应随机提供给</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中文资料（如安装图纸、电气原理图、操作手册、维修指南等）。</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13" w:firstLineChars="196"/>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（七）安装调试要求</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eastAsia="zh-CN"/>
        </w:rPr>
        <w:t>中标人</w:t>
      </w:r>
      <w:r>
        <w:rPr>
          <w:rFonts w:hint="eastAsia" w:ascii="宋体" w:hAnsi="宋体" w:eastAsia="宋体" w:cs="宋体"/>
          <w:color w:val="auto"/>
          <w:sz w:val="21"/>
          <w:szCs w:val="21"/>
        </w:rPr>
        <w:t>负责设备的安装调试工作。安装调试时间不能在学校正常上课时间进行（包括晚上自习时间），星期一到星期五的正常上课时间为早上7：00（北京时间）到晚上22：30（北京时间），星期六、日在不影响学生正常学习的情况下，可商讨施工时间。</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通知</w:t>
      </w:r>
      <w:r>
        <w:rPr>
          <w:rFonts w:hint="eastAsia" w:ascii="宋体" w:hAnsi="宋体" w:cs="宋体"/>
          <w:color w:val="auto"/>
          <w:sz w:val="21"/>
          <w:szCs w:val="21"/>
          <w:lang w:eastAsia="zh-CN"/>
        </w:rPr>
        <w:t>中标人</w:t>
      </w:r>
      <w:r>
        <w:rPr>
          <w:rFonts w:hint="eastAsia" w:ascii="宋体" w:hAnsi="宋体" w:eastAsia="宋体" w:cs="宋体"/>
          <w:color w:val="auto"/>
          <w:sz w:val="21"/>
          <w:szCs w:val="21"/>
        </w:rPr>
        <w:t>安排安装调试事宜。</w:t>
      </w:r>
      <w:r>
        <w:rPr>
          <w:rFonts w:hint="eastAsia" w:ascii="宋体" w:hAnsi="宋体" w:cs="宋体"/>
          <w:color w:val="auto"/>
          <w:sz w:val="21"/>
          <w:szCs w:val="21"/>
          <w:lang w:eastAsia="zh-CN"/>
        </w:rPr>
        <w:t>中标人</w:t>
      </w:r>
      <w:r>
        <w:rPr>
          <w:rFonts w:hint="eastAsia" w:ascii="宋体" w:hAnsi="宋体" w:eastAsia="宋体" w:cs="宋体"/>
          <w:color w:val="auto"/>
          <w:sz w:val="21"/>
          <w:szCs w:val="21"/>
        </w:rPr>
        <w:t>需承担以下责任及费用：</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1.依据合同提供各种咨询服务；</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2.在开工之前，要组织安装人员学习和熟悉图纸，参加设计交底；</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3.安装前要编制施工方案、安排施工总进度计划并报</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，施工中经常及时向</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报告完成的计划；</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4.参加合同设备的开箱清点工作，并负责管理合同设备和配件；</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5.教育施工人员要遵守施工现场的有关规章制度；</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6.按工程所在地建设部门、劳动安全监察部门、消防部门等政府主管部门的要求办理安装施工许可证、安全施工报批等有关手续并承担相关费用；</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7.要按照国内现行的有关安装调试规范及标准完成安装与调试工作；</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8.要负责施工人员的劳动保险和人身保险；</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9.安装调试期间要委派技术全面、作风正派、责任心强、有组织能力的现场经理，负责组织、督促、检查安装工程的质量和处理有关事宜；</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10.管理人员要做好安全和防盗、防火工作，确保安装工程顺利进行；</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11.设备安装需接受</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或</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委托总包管理和监理公司进行监督；</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12.做好施工现场</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原有场地及设备、线路的保护；</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13.安装期间，</w:t>
      </w:r>
      <w:r>
        <w:rPr>
          <w:rFonts w:hint="eastAsia" w:ascii="宋体" w:hAnsi="宋体" w:cs="宋体"/>
          <w:color w:val="auto"/>
          <w:sz w:val="21"/>
          <w:szCs w:val="21"/>
          <w:lang w:eastAsia="zh-CN"/>
        </w:rPr>
        <w:t>中标人</w:t>
      </w:r>
      <w:r>
        <w:rPr>
          <w:rFonts w:hint="eastAsia" w:ascii="宋体" w:hAnsi="宋体" w:eastAsia="宋体" w:cs="宋体"/>
          <w:color w:val="auto"/>
          <w:sz w:val="21"/>
          <w:szCs w:val="21"/>
        </w:rPr>
        <w:t>安装人员的食宿自理，并服从工地管理部门的管理。</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14.施工过程中不能影响学校的正常教育教学活动。</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left="643"/>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（八）综合布线要求</w:t>
      </w:r>
    </w:p>
    <w:p>
      <w:pPr>
        <w:keepNext w:val="0"/>
        <w:keepLines w:val="0"/>
        <w:pageBreakBefore w:val="0"/>
        <w:kinsoku/>
        <w:wordWrap/>
        <w:overflowPunct/>
        <w:topLinePunct w:val="0"/>
        <w:bidi w:val="0"/>
        <w:adjustRightInd w:val="0"/>
        <w:snapToGrid w:val="0"/>
        <w:spacing w:line="360" w:lineRule="auto"/>
        <w:ind w:firstLine="525" w:firstLineChars="2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摄像机和交换机之间的距离不能超过80米；</w:t>
      </w:r>
    </w:p>
    <w:p>
      <w:pPr>
        <w:keepNext w:val="0"/>
        <w:keepLines w:val="0"/>
        <w:pageBreakBefore w:val="0"/>
        <w:kinsoku/>
        <w:wordWrap/>
        <w:overflowPunct/>
        <w:topLinePunct w:val="0"/>
        <w:bidi w:val="0"/>
        <w:adjustRightInd w:val="0"/>
        <w:snapToGrid w:val="0"/>
        <w:spacing w:line="360" w:lineRule="auto"/>
        <w:ind w:firstLine="525" w:firstLineChars="2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网线线头到线尾不能出现接头，必须是一条完整的线缆；</w:t>
      </w:r>
    </w:p>
    <w:p>
      <w:pPr>
        <w:keepNext w:val="0"/>
        <w:keepLines w:val="0"/>
        <w:pageBreakBefore w:val="0"/>
        <w:kinsoku/>
        <w:wordWrap/>
        <w:overflowPunct/>
        <w:topLinePunct w:val="0"/>
        <w:bidi w:val="0"/>
        <w:adjustRightInd w:val="0"/>
        <w:snapToGrid w:val="0"/>
        <w:spacing w:line="360" w:lineRule="auto"/>
        <w:ind w:firstLine="525" w:firstLineChars="2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 布线时要按照强弱电分开走线，强弱电线槽距离必须大于10cm，避免强磁场干扰对视频传输的影响。</w:t>
      </w:r>
    </w:p>
    <w:p>
      <w:pPr>
        <w:keepNext w:val="0"/>
        <w:keepLines w:val="0"/>
        <w:pageBreakBefore w:val="0"/>
        <w:kinsoku/>
        <w:wordWrap/>
        <w:overflowPunct/>
        <w:topLinePunct w:val="0"/>
        <w:bidi w:val="0"/>
        <w:adjustRightInd w:val="0"/>
        <w:snapToGrid w:val="0"/>
        <w:spacing w:line="360" w:lineRule="auto"/>
        <w:ind w:firstLine="525" w:firstLineChars="2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 为便于后期维护，所有线缆必须做好线标标识。</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（九）安装工程的质量标准及竣工验收</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1.安装工程的质量标准为：中华人民共和国颁发的施工规范、质量检验标准、合同规定的条款、技术数据和施工图纸。安装调试竣工验收应以安装工程的质量标准为依据进行验收。</w:t>
      </w:r>
    </w:p>
    <w:p>
      <w:pPr>
        <w:pStyle w:val="58"/>
        <w:keepNext w:val="0"/>
        <w:keepLines w:val="0"/>
        <w:pageBreakBefore w:val="0"/>
        <w:tabs>
          <w:tab w:val="left" w:pos="0"/>
          <w:tab w:val="left" w:pos="405"/>
          <w:tab w:val="left" w:pos="567"/>
          <w:tab w:val="left" w:pos="601"/>
          <w:tab w:val="left" w:pos="1980"/>
        </w:tabs>
        <w:kinsoku/>
        <w:wordWrap/>
        <w:overflowPunct/>
        <w:topLinePunct w:val="0"/>
        <w:bidi w:val="0"/>
        <w:adjustRightInd w:val="0"/>
        <w:snapToGrid w:val="0"/>
        <w:spacing w:line="360" w:lineRule="auto"/>
        <w:ind w:firstLine="420" w:firstLineChars="200"/>
        <w:textAlignment w:val="auto"/>
        <w:rPr>
          <w:rFonts w:asciiTheme="minorEastAsia" w:hAnsiTheme="minorEastAsia" w:eastAsiaTheme="minorEastAsia"/>
          <w:color w:val="auto"/>
          <w:sz w:val="20"/>
          <w:szCs w:val="20"/>
        </w:rPr>
      </w:pPr>
      <w:r>
        <w:rPr>
          <w:rFonts w:hint="eastAsia" w:ascii="宋体" w:hAnsi="宋体" w:eastAsia="宋体" w:cs="宋体"/>
          <w:color w:val="auto"/>
          <w:sz w:val="21"/>
          <w:szCs w:val="21"/>
        </w:rPr>
        <w:t>2.</w:t>
      </w:r>
      <w:r>
        <w:rPr>
          <w:rFonts w:hint="eastAsia" w:ascii="宋体" w:hAnsi="宋体" w:cs="宋体"/>
          <w:color w:val="auto"/>
          <w:sz w:val="21"/>
          <w:szCs w:val="21"/>
          <w:lang w:eastAsia="zh-CN"/>
        </w:rPr>
        <w:t>中标人</w:t>
      </w:r>
      <w:r>
        <w:rPr>
          <w:rFonts w:hint="eastAsia" w:ascii="宋体" w:hAnsi="宋体" w:eastAsia="宋体" w:cs="宋体"/>
          <w:color w:val="auto"/>
          <w:sz w:val="21"/>
          <w:szCs w:val="21"/>
        </w:rPr>
        <w:t>在工程竣工前5天，应将验收日期及自检报告以书面形式通知</w:t>
      </w:r>
      <w:r>
        <w:rPr>
          <w:rFonts w:hint="eastAsia" w:ascii="宋体" w:hAnsi="宋体" w:cs="宋体"/>
          <w:color w:val="auto"/>
          <w:sz w:val="21"/>
          <w:szCs w:val="21"/>
          <w:lang w:eastAsia="zh-CN"/>
        </w:rPr>
        <w:t>采购人</w:t>
      </w:r>
      <w:r>
        <w:rPr>
          <w:rFonts w:hint="eastAsia" w:ascii="宋体" w:hAnsi="宋体" w:eastAsia="宋体" w:cs="宋体"/>
          <w:color w:val="auto"/>
          <w:sz w:val="21"/>
          <w:szCs w:val="21"/>
        </w:rPr>
        <w:t>届时验收。</w:t>
      </w:r>
    </w:p>
    <w:p>
      <w:pPr>
        <w:spacing w:after="0" w:line="360" w:lineRule="auto"/>
        <w:ind w:firstLine="422" w:firstLineChars="200"/>
        <w:rPr>
          <w:rFonts w:hint="eastAsia" w:ascii="宋体" w:hAnsi="宋体" w:eastAsia="宋体" w:cs="宋体"/>
          <w:b/>
          <w:bCs/>
          <w:color w:val="auto"/>
          <w:sz w:val="21"/>
          <w:szCs w:val="21"/>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82"/>
      <w:bookmarkEnd w:id="183"/>
      <w:bookmarkEnd w:id="184"/>
      <w:bookmarkEnd w:id="185"/>
      <w:bookmarkStart w:id="189" w:name="_Toc12485"/>
      <w:bookmarkStart w:id="190" w:name="_Toc21448"/>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pStyle w:val="2"/>
        <w:spacing w:before="0" w:after="0" w:line="240" w:lineRule="auto"/>
        <w:rPr>
          <w:color w:val="auto"/>
          <w:sz w:val="28"/>
          <w:szCs w:val="28"/>
        </w:rPr>
      </w:pPr>
      <w:bookmarkStart w:id="191" w:name="_Toc12014"/>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9"/>
      <w:bookmarkEnd w:id="190"/>
      <w:bookmarkEnd w:id="191"/>
      <w:bookmarkStart w:id="192" w:name="_Toc13430"/>
      <w:bookmarkStart w:id="193" w:name="_Toc21155"/>
      <w:bookmarkStart w:id="194" w:name="_Toc1534"/>
    </w:p>
    <w:p>
      <w:pPr>
        <w:pStyle w:val="4"/>
        <w:spacing w:before="0" w:after="0" w:line="240" w:lineRule="auto"/>
        <w:jc w:val="center"/>
        <w:rPr>
          <w:rFonts w:ascii="宋体" w:hAnsi="宋体" w:eastAsia="宋体" w:cs="宋体"/>
          <w:color w:val="auto"/>
        </w:rPr>
      </w:pPr>
      <w:bookmarkStart w:id="195" w:name="_Toc16730"/>
      <w:bookmarkStart w:id="196" w:name="_Toc8880"/>
      <w:bookmarkStart w:id="197" w:name="_Toc19575"/>
      <w:r>
        <w:rPr>
          <w:rFonts w:hint="eastAsia" w:ascii="宋体" w:hAnsi="宋体" w:eastAsia="宋体" w:cs="宋体"/>
          <w:color w:val="auto"/>
        </w:rPr>
        <w:t>合同格式</w:t>
      </w:r>
      <w:bookmarkEnd w:id="192"/>
      <w:bookmarkEnd w:id="193"/>
      <w:bookmarkEnd w:id="194"/>
      <w:bookmarkEnd w:id="195"/>
      <w:bookmarkEnd w:id="196"/>
      <w:bookmarkEnd w:id="197"/>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8"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0"/>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0"/>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0"/>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0"/>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8"/>
    <w:p>
      <w:pPr>
        <w:spacing w:after="0" w:line="360" w:lineRule="auto"/>
        <w:ind w:firstLine="422" w:firstLineChars="200"/>
        <w:rPr>
          <w:rFonts w:ascii="宋体" w:hAnsi="宋体" w:eastAsia="宋体"/>
          <w:b/>
          <w:color w:val="auto"/>
          <w:sz w:val="21"/>
          <w:szCs w:val="21"/>
        </w:rPr>
      </w:pPr>
      <w:bookmarkStart w:id="199"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200" w:name="_Toc86481569"/>
      <w:r>
        <w:rPr>
          <w:rFonts w:hint="eastAsia" w:ascii="宋体" w:hAnsi="宋体" w:eastAsia="宋体"/>
          <w:b/>
          <w:color w:val="auto"/>
          <w:sz w:val="21"/>
          <w:szCs w:val="21"/>
        </w:rPr>
        <w:t>第十二条 合同生效</w:t>
      </w:r>
      <w:bookmarkEnd w:id="200"/>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9"/>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2"/>
        <w:spacing w:before="0" w:after="0" w:line="240" w:lineRule="auto"/>
        <w:rPr>
          <w:color w:val="auto"/>
          <w:sz w:val="28"/>
          <w:szCs w:val="28"/>
        </w:rPr>
      </w:pPr>
      <w:bookmarkStart w:id="201" w:name="_Toc23749"/>
      <w:bookmarkStart w:id="202" w:name="_Toc31587"/>
      <w:bookmarkStart w:id="203"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201"/>
      <w:bookmarkEnd w:id="202"/>
      <w:bookmarkEnd w:id="203"/>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4" w:name="_Toc6790"/>
      <w:bookmarkStart w:id="205" w:name="_Toc5794"/>
      <w:bookmarkStart w:id="206" w:name="_Toc26830"/>
      <w:r>
        <w:rPr>
          <w:rFonts w:hint="eastAsia"/>
          <w:color w:val="auto"/>
        </w:rPr>
        <w:t>投标文件目录</w:t>
      </w:r>
      <w:bookmarkEnd w:id="204"/>
      <w:bookmarkEnd w:id="205"/>
      <w:bookmarkEnd w:id="206"/>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7" w:name="_Toc18893"/>
      <w:bookmarkStart w:id="208" w:name="_Toc5670"/>
      <w:bookmarkStart w:id="209" w:name="_Toc25502"/>
      <w:r>
        <w:rPr>
          <w:rFonts w:hint="eastAsia"/>
          <w:color w:val="auto"/>
        </w:rPr>
        <w:t>评分标准索引表</w:t>
      </w:r>
      <w:bookmarkEnd w:id="207"/>
      <w:bookmarkEnd w:id="208"/>
      <w:bookmarkEnd w:id="209"/>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3"/>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10" w:name="_Toc22080"/>
      <w:bookmarkStart w:id="211" w:name="_Toc8194"/>
      <w:bookmarkStart w:id="212" w:name="_Toc30640"/>
      <w:r>
        <w:rPr>
          <w:rFonts w:hint="eastAsia"/>
          <w:color w:val="auto"/>
          <w:lang w:val="en-US" w:eastAsia="zh-CN"/>
        </w:rPr>
        <w:t>第一章价格文件</w:t>
      </w:r>
      <w:bookmarkEnd w:id="210"/>
      <w:bookmarkEnd w:id="211"/>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19750"/>
      <w:bookmarkStart w:id="214" w:name="_Toc4168"/>
      <w:r>
        <w:rPr>
          <w:rFonts w:hint="eastAsia"/>
          <w:color w:val="auto"/>
          <w:lang w:val="en-US" w:eastAsia="zh-CN"/>
        </w:rPr>
        <w:t>一、唱标一览表</w:t>
      </w:r>
      <w:bookmarkEnd w:id="213"/>
      <w:bookmarkEnd w:id="214"/>
    </w:p>
    <w:p>
      <w:pPr>
        <w:spacing w:line="360" w:lineRule="auto"/>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7"/>
        <w:rPr>
          <w:color w:val="auto"/>
        </w:rPr>
      </w:pPr>
    </w:p>
    <w:p/>
    <w:p>
      <w:pPr>
        <w:rPr>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31172"/>
      <w:bookmarkStart w:id="216" w:name="_Toc31062"/>
      <w:r>
        <w:rPr>
          <w:rFonts w:hint="eastAsia"/>
          <w:color w:val="auto"/>
          <w:lang w:val="en-US" w:eastAsia="zh-CN"/>
        </w:rPr>
        <w:t>二、报价明细表</w:t>
      </w:r>
      <w:bookmarkEnd w:id="215"/>
      <w:bookmarkEnd w:id="216"/>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7" w:name="_Toc23355"/>
      <w:bookmarkStart w:id="218" w:name="_Toc20974"/>
      <w:r>
        <w:rPr>
          <w:rFonts w:hint="eastAsia"/>
          <w:color w:val="auto"/>
          <w:lang w:val="en-US" w:eastAsia="zh-CN"/>
        </w:rPr>
        <w:t>三、小型或微型企业（货物/服务/承担的工程）明细表</w:t>
      </w:r>
      <w:bookmarkEnd w:id="217"/>
      <w:bookmarkEnd w:id="218"/>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pStyle w:val="32"/>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2"/>
          <w:rFonts w:hint="eastAsia" w:ascii="宋体" w:hAnsi="宋体" w:eastAsia="宋体" w:cs="宋体"/>
          <w:b/>
          <w:color w:val="auto"/>
          <w:sz w:val="21"/>
          <w:szCs w:val="21"/>
        </w:rPr>
        <w:t>2、投标人应该如实填写，如投标人所投产品中无小型</w:t>
      </w:r>
      <w:r>
        <w:rPr>
          <w:rStyle w:val="42"/>
          <w:rFonts w:hint="eastAsia" w:ascii="宋体" w:hAnsi="宋体" w:eastAsia="宋体" w:cs="宋体"/>
          <w:b/>
          <w:color w:val="auto"/>
          <w:sz w:val="21"/>
          <w:szCs w:val="21"/>
          <w:lang w:val="en-US" w:eastAsia="zh-CN"/>
        </w:rPr>
        <w:t>或</w:t>
      </w:r>
      <w:r>
        <w:rPr>
          <w:rStyle w:val="42"/>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9" w:name="_Toc16718"/>
      <w:bookmarkStart w:id="220" w:name="_Toc13970"/>
      <w:r>
        <w:rPr>
          <w:rFonts w:hint="eastAsia"/>
          <w:color w:val="auto"/>
          <w:lang w:val="en-US" w:eastAsia="zh-CN"/>
        </w:rPr>
        <w:t>四、节能产品或环境标志产品明细表</w:t>
      </w:r>
      <w:bookmarkEnd w:id="219"/>
      <w:bookmarkEnd w:id="220"/>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29"/>
        <w:rPr>
          <w:rFonts w:hint="eastAsia"/>
          <w:color w:val="auto"/>
        </w:rPr>
      </w:pPr>
    </w:p>
    <w:p>
      <w:pPr>
        <w:tabs>
          <w:tab w:val="left" w:pos="284"/>
        </w:tabs>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2"/>
          <w:rFonts w:hint="eastAsia" w:ascii="宋体" w:hAnsi="宋体" w:eastAsia="宋体" w:cs="宋体"/>
          <w:b/>
          <w:color w:val="auto"/>
          <w:sz w:val="21"/>
          <w:szCs w:val="21"/>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1" w:name="_Toc17482"/>
      <w:bookmarkStart w:id="222" w:name="_Toc10853"/>
      <w:r>
        <w:rPr>
          <w:rFonts w:hint="eastAsia"/>
          <w:color w:val="auto"/>
          <w:lang w:val="en-US" w:eastAsia="zh-CN"/>
        </w:rPr>
        <w:t>五、中小企业声明函</w:t>
      </w:r>
      <w:bookmarkEnd w:id="221"/>
      <w:bookmarkEnd w:id="222"/>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1、投标人应根据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3" w:name="_Toc8560"/>
      <w:bookmarkStart w:id="224" w:name="_Toc7959"/>
      <w:r>
        <w:rPr>
          <w:rFonts w:hint="eastAsia"/>
          <w:color w:val="auto"/>
          <w:lang w:val="en-US" w:eastAsia="zh-CN"/>
        </w:rPr>
        <w:t>六、残疾人福利性单位声明函</w:t>
      </w:r>
      <w:bookmarkEnd w:id="223"/>
      <w:bookmarkEnd w:id="224"/>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25" w:name="_Toc508898066"/>
      <w:bookmarkStart w:id="226" w:name="_Toc30277"/>
      <w:bookmarkStart w:id="227" w:name="_Toc508960153"/>
      <w:bookmarkStart w:id="228" w:name="_Toc17761"/>
      <w:bookmarkStart w:id="229" w:name="_Toc508958703"/>
      <w:bookmarkStart w:id="230" w:name="_Toc20910"/>
      <w:bookmarkStart w:id="231" w:name="_Toc509844825"/>
      <w:bookmarkStart w:id="232" w:name="_Toc509479530"/>
      <w:bookmarkStart w:id="233" w:name="_Toc510171693"/>
      <w:bookmarkStart w:id="234" w:name="_Toc30247"/>
      <w:bookmarkStart w:id="235" w:name="_Toc22970"/>
      <w:bookmarkStart w:id="236" w:name="_Toc50992745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25"/>
      <w:bookmarkEnd w:id="226"/>
      <w:bookmarkEnd w:id="227"/>
      <w:bookmarkEnd w:id="228"/>
      <w:bookmarkEnd w:id="229"/>
      <w:bookmarkEnd w:id="230"/>
      <w:bookmarkEnd w:id="231"/>
      <w:bookmarkEnd w:id="232"/>
      <w:bookmarkEnd w:id="233"/>
      <w:bookmarkEnd w:id="234"/>
      <w:bookmarkEnd w:id="235"/>
      <w:bookmarkEnd w:id="236"/>
    </w:p>
    <w:p>
      <w:pPr>
        <w:pStyle w:val="7"/>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37" w:name="_Toc509927456"/>
      <w:bookmarkStart w:id="238" w:name="_Toc509844826"/>
      <w:bookmarkStart w:id="239" w:name="_Toc26216"/>
      <w:bookmarkStart w:id="240" w:name="_Toc28527"/>
      <w:bookmarkStart w:id="241" w:name="_Toc509479531"/>
      <w:bookmarkStart w:id="242" w:name="_Toc21053"/>
      <w:bookmarkStart w:id="243" w:name="_Toc5447"/>
      <w:bookmarkStart w:id="244" w:name="_Toc508958704"/>
      <w:bookmarkStart w:id="245" w:name="_Toc508898067"/>
      <w:bookmarkStart w:id="246" w:name="_Toc31520"/>
      <w:bookmarkStart w:id="247" w:name="_Toc510171694"/>
      <w:bookmarkStart w:id="248" w:name="_Toc508960154"/>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37"/>
      <w:bookmarkEnd w:id="238"/>
      <w:bookmarkEnd w:id="239"/>
      <w:bookmarkEnd w:id="240"/>
      <w:bookmarkEnd w:id="241"/>
      <w:bookmarkEnd w:id="242"/>
      <w:bookmarkEnd w:id="243"/>
      <w:bookmarkEnd w:id="244"/>
      <w:bookmarkEnd w:id="245"/>
      <w:bookmarkEnd w:id="246"/>
      <w:bookmarkEnd w:id="247"/>
      <w:bookmarkEnd w:id="24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49" w:name="_Toc9148"/>
      <w:bookmarkStart w:id="250" w:name="_Toc509479532"/>
      <w:bookmarkStart w:id="251" w:name="_Toc509844827"/>
      <w:bookmarkStart w:id="252" w:name="_Toc510171695"/>
      <w:bookmarkStart w:id="253" w:name="_Toc508898068"/>
      <w:bookmarkStart w:id="254" w:name="_Toc509927457"/>
      <w:bookmarkStart w:id="255" w:name="_Toc28126"/>
      <w:bookmarkStart w:id="256" w:name="_Toc14653"/>
      <w:bookmarkStart w:id="257" w:name="_Toc28626"/>
      <w:bookmarkStart w:id="258" w:name="_Toc508958705"/>
      <w:bookmarkStart w:id="259" w:name="_Toc24848"/>
      <w:bookmarkStart w:id="260" w:name="_Toc508960155"/>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249"/>
      <w:bookmarkEnd w:id="250"/>
      <w:bookmarkEnd w:id="251"/>
      <w:bookmarkEnd w:id="252"/>
      <w:bookmarkEnd w:id="253"/>
      <w:bookmarkEnd w:id="254"/>
      <w:bookmarkEnd w:id="255"/>
      <w:bookmarkEnd w:id="256"/>
      <w:bookmarkEnd w:id="257"/>
      <w:bookmarkEnd w:id="258"/>
      <w:bookmarkEnd w:id="259"/>
      <w:bookmarkEnd w:id="26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61" w:name="_Toc508898069"/>
      <w:bookmarkStart w:id="262" w:name="_Toc510171696"/>
      <w:bookmarkStart w:id="263" w:name="_Toc22981"/>
      <w:bookmarkStart w:id="264" w:name="_Toc508960156"/>
      <w:bookmarkStart w:id="265" w:name="_Toc509844828"/>
      <w:bookmarkStart w:id="266" w:name="_Toc9837"/>
      <w:bookmarkStart w:id="267" w:name="_Toc28044"/>
      <w:bookmarkStart w:id="268" w:name="_Toc7858"/>
      <w:bookmarkStart w:id="269" w:name="_Toc509927458"/>
      <w:bookmarkStart w:id="270" w:name="_Toc508958706"/>
      <w:bookmarkStart w:id="271" w:name="_Toc509479533"/>
      <w:bookmarkStart w:id="272" w:name="_Toc28686"/>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61"/>
      <w:bookmarkEnd w:id="262"/>
      <w:bookmarkEnd w:id="263"/>
      <w:bookmarkEnd w:id="264"/>
      <w:bookmarkEnd w:id="265"/>
      <w:bookmarkEnd w:id="266"/>
      <w:bookmarkEnd w:id="267"/>
      <w:bookmarkEnd w:id="268"/>
      <w:bookmarkEnd w:id="269"/>
      <w:bookmarkEnd w:id="270"/>
      <w:bookmarkEnd w:id="271"/>
      <w:bookmarkEnd w:id="27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73" w:name="_Toc510171697"/>
      <w:bookmarkStart w:id="274" w:name="_Toc5289"/>
      <w:bookmarkStart w:id="275" w:name="_Toc508898070"/>
      <w:bookmarkStart w:id="276" w:name="_Toc509844829"/>
      <w:bookmarkStart w:id="277" w:name="_Toc18843"/>
      <w:bookmarkStart w:id="278" w:name="_Toc509479534"/>
      <w:bookmarkStart w:id="279" w:name="_Toc509927459"/>
      <w:bookmarkStart w:id="280" w:name="_Toc508958707"/>
      <w:bookmarkStart w:id="281" w:name="_Toc508960157"/>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73"/>
      <w:bookmarkEnd w:id="274"/>
      <w:bookmarkEnd w:id="275"/>
      <w:bookmarkEnd w:id="276"/>
      <w:bookmarkEnd w:id="277"/>
      <w:bookmarkEnd w:id="278"/>
      <w:bookmarkEnd w:id="279"/>
      <w:bookmarkEnd w:id="280"/>
      <w:bookmarkEnd w:id="281"/>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82" w:name="_Toc23948"/>
      <w:bookmarkStart w:id="283" w:name="_Toc6471"/>
      <w:r>
        <w:rPr>
          <w:rFonts w:hint="eastAsia"/>
          <w:color w:val="auto"/>
          <w:lang w:val="en-US" w:eastAsia="zh-CN"/>
        </w:rPr>
        <w:t>第二章商务文件</w:t>
      </w:r>
      <w:bookmarkEnd w:id="282"/>
      <w:bookmarkEnd w:id="283"/>
    </w:p>
    <w:bookmarkEnd w:id="212"/>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4" w:name="_Toc23787"/>
      <w:bookmarkStart w:id="285" w:name="_Toc1952"/>
      <w:r>
        <w:rPr>
          <w:rFonts w:hint="eastAsia"/>
          <w:color w:val="auto"/>
          <w:lang w:val="en-US" w:eastAsia="zh-CN"/>
        </w:rPr>
        <w:t>一、投标函</w:t>
      </w:r>
      <w:bookmarkEnd w:id="284"/>
      <w:bookmarkEnd w:id="285"/>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6" w:name="_Toc15719"/>
      <w:bookmarkStart w:id="287" w:name="_Toc28616"/>
      <w:r>
        <w:rPr>
          <w:rFonts w:hint="eastAsia"/>
          <w:color w:val="auto"/>
          <w:lang w:val="en-US" w:eastAsia="zh-CN"/>
        </w:rPr>
        <w:t>二、资格申明函</w:t>
      </w:r>
      <w:bookmarkEnd w:id="286"/>
      <w:bookmarkEnd w:id="287"/>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rPr>
          <w:color w:val="auto"/>
        </w:rPr>
      </w:pPr>
      <w:bookmarkStart w:id="288"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9" w:name="_Toc32742"/>
      <w:bookmarkStart w:id="290" w:name="_Toc21273"/>
      <w:r>
        <w:rPr>
          <w:rFonts w:hint="eastAsia"/>
          <w:color w:val="auto"/>
          <w:lang w:val="en-US" w:eastAsia="zh-CN"/>
        </w:rPr>
        <w:t>三、在参与政府采购活动前三年未有重大违法记录、没有不良信用记录的声明函</w:t>
      </w:r>
      <w:bookmarkEnd w:id="289"/>
      <w:bookmarkEnd w:id="290"/>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8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1" w:name="_Toc3894"/>
      <w:bookmarkStart w:id="292" w:name="_Toc13243"/>
      <w:r>
        <w:rPr>
          <w:rFonts w:hint="eastAsia"/>
          <w:color w:val="auto"/>
          <w:lang w:val="en-US" w:eastAsia="zh-CN"/>
        </w:rPr>
        <w:t>四、法定代表人证明书</w:t>
      </w:r>
      <w:bookmarkEnd w:id="291"/>
      <w:bookmarkEnd w:id="292"/>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3" w:name="_Toc5918"/>
      <w:bookmarkStart w:id="294" w:name="_Toc5626"/>
      <w:r>
        <w:rPr>
          <w:rFonts w:hint="eastAsia"/>
          <w:color w:val="auto"/>
          <w:lang w:val="en-US" w:eastAsia="zh-CN"/>
        </w:rPr>
        <w:t>五、法定代表人授权书</w:t>
      </w:r>
      <w:bookmarkEnd w:id="293"/>
      <w:bookmarkEnd w:id="294"/>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95"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6" w:name="_Toc24013"/>
      <w:bookmarkStart w:id="297" w:name="_Toc18562"/>
      <w:r>
        <w:rPr>
          <w:rFonts w:hint="eastAsia"/>
          <w:color w:val="auto"/>
          <w:lang w:val="en-US" w:eastAsia="zh-CN"/>
        </w:rPr>
        <w:t>六、投标人基本情况说明</w:t>
      </w:r>
      <w:bookmarkEnd w:id="296"/>
      <w:bookmarkEnd w:id="297"/>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98" w:name="_Toc4926"/>
      <w:bookmarkStart w:id="299" w:name="_Toc5919"/>
      <w:bookmarkStart w:id="300" w:name="_Toc28067"/>
      <w:bookmarkStart w:id="301" w:name="_Toc1511"/>
      <w:bookmarkStart w:id="302" w:name="_Toc17470"/>
      <w:bookmarkStart w:id="303" w:name="_Toc29995"/>
      <w:bookmarkStart w:id="304" w:name="_Toc24210"/>
      <w:r>
        <w:rPr>
          <w:rFonts w:hint="eastAsia"/>
          <w:color w:val="auto"/>
          <w:lang w:val="en-US" w:eastAsia="zh-CN"/>
        </w:rPr>
        <w:t>七、</w:t>
      </w:r>
      <w:r>
        <w:rPr>
          <w:rFonts w:hint="eastAsia"/>
          <w:color w:val="auto"/>
        </w:rPr>
        <w:t>营业执照</w:t>
      </w:r>
      <w:bookmarkEnd w:id="298"/>
      <w:bookmarkEnd w:id="299"/>
      <w:bookmarkEnd w:id="300"/>
      <w:bookmarkEnd w:id="301"/>
      <w:bookmarkEnd w:id="302"/>
      <w:bookmarkEnd w:id="303"/>
      <w:bookmarkEnd w:id="30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5"/>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5" w:name="_Toc29439"/>
      <w:bookmarkStart w:id="306" w:name="_Toc21638"/>
      <w:r>
        <w:rPr>
          <w:rFonts w:hint="eastAsia"/>
          <w:color w:val="auto"/>
          <w:lang w:val="en-US" w:eastAsia="zh-CN"/>
        </w:rPr>
        <w:t>八、</w:t>
      </w:r>
      <w:r>
        <w:rPr>
          <w:rFonts w:hint="eastAsia"/>
          <w:color w:val="auto"/>
        </w:rPr>
        <w:t>特殊资格要求证明文件</w:t>
      </w:r>
      <w:bookmarkEnd w:id="305"/>
      <w:bookmarkEnd w:id="30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7" w:name="_Toc14263"/>
      <w:bookmarkStart w:id="308" w:name="_Toc23341"/>
      <w:r>
        <w:rPr>
          <w:rFonts w:hint="eastAsia"/>
          <w:color w:val="auto"/>
          <w:lang w:val="en-US" w:eastAsia="zh-CN"/>
        </w:rPr>
        <w:t>九、</w:t>
      </w:r>
      <w:r>
        <w:rPr>
          <w:rFonts w:hint="eastAsia"/>
          <w:color w:val="auto"/>
        </w:rPr>
        <w:t>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9"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9"/>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0" w:name="_Toc13653"/>
      <w:bookmarkStart w:id="311" w:name="_Toc13955"/>
      <w:r>
        <w:rPr>
          <w:rFonts w:hint="eastAsia"/>
          <w:color w:val="auto"/>
          <w:lang w:val="en-US" w:eastAsia="zh-CN"/>
        </w:rPr>
        <w:t>十、招标代理服务费承诺书</w:t>
      </w:r>
      <w:bookmarkEnd w:id="310"/>
      <w:bookmarkEnd w:id="311"/>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2" w:name="_Toc1975"/>
      <w:bookmarkStart w:id="313" w:name="_Toc12598"/>
      <w:r>
        <w:rPr>
          <w:rFonts w:hint="eastAsia"/>
          <w:color w:val="auto"/>
          <w:lang w:val="en-US" w:eastAsia="zh-CN"/>
        </w:rPr>
        <w:t>十一、</w:t>
      </w:r>
      <w:r>
        <w:rPr>
          <w:rFonts w:hint="eastAsia"/>
          <w:color w:val="auto"/>
        </w:rPr>
        <w:t>商务条款偏离表</w:t>
      </w:r>
      <w:bookmarkEnd w:id="312"/>
      <w:bookmarkEnd w:id="313"/>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14"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5" w:name="_Toc25391"/>
      <w:bookmarkStart w:id="316" w:name="_Toc19276"/>
      <w:r>
        <w:rPr>
          <w:rFonts w:hint="eastAsia"/>
          <w:color w:val="auto"/>
          <w:lang w:val="en-US" w:eastAsia="zh-CN"/>
        </w:rPr>
        <w:t>十二、</w:t>
      </w:r>
      <w:r>
        <w:rPr>
          <w:rFonts w:hint="eastAsia"/>
          <w:color w:val="auto"/>
        </w:rPr>
        <w:t>业绩表</w:t>
      </w:r>
      <w:bookmarkEnd w:id="315"/>
      <w:bookmarkEnd w:id="316"/>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rPr>
      </w:pPr>
    </w:p>
    <w:p>
      <w:pPr>
        <w:pStyle w:val="32"/>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17" w:name="_Toc20520"/>
      <w:bookmarkStart w:id="318" w:name="_Toc14688"/>
      <w:r>
        <w:rPr>
          <w:rFonts w:hint="eastAsia"/>
          <w:color w:val="auto"/>
          <w:lang w:val="en-US" w:eastAsia="zh-CN"/>
        </w:rPr>
        <w:t>第三章技术文件</w:t>
      </w:r>
      <w:bookmarkEnd w:id="314"/>
      <w:bookmarkEnd w:id="317"/>
      <w:bookmarkEnd w:id="31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9" w:name="_Toc13097"/>
      <w:bookmarkStart w:id="320" w:name="_Toc7092"/>
      <w:r>
        <w:rPr>
          <w:rFonts w:hint="eastAsia"/>
          <w:color w:val="auto"/>
          <w:lang w:val="en-US" w:eastAsia="zh-CN"/>
        </w:rPr>
        <w:t>一、</w:t>
      </w:r>
      <w:r>
        <w:rPr>
          <w:rFonts w:hint="eastAsia"/>
          <w:color w:val="auto"/>
        </w:rPr>
        <w:t>技术规格偏离表</w:t>
      </w:r>
      <w:bookmarkEnd w:id="319"/>
      <w:bookmarkEnd w:id="320"/>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21" w:name="_Toc17691"/>
      <w:r>
        <w:rPr>
          <w:rFonts w:hint="eastAsia" w:ascii="宋体" w:hAnsi="宋体" w:eastAsia="宋体"/>
          <w:color w:val="auto"/>
          <w:sz w:val="21"/>
          <w:szCs w:val="21"/>
        </w:rPr>
        <w:br w:type="page"/>
      </w:r>
      <w:bookmarkEnd w:id="321"/>
      <w:bookmarkStart w:id="322" w:name="_Toc4827"/>
      <w:bookmarkStart w:id="323" w:name="_Toc26078"/>
      <w:bookmarkStart w:id="324" w:name="_Toc4464"/>
      <w:bookmarkStart w:id="325" w:name="_Toc18668"/>
      <w:bookmarkStart w:id="326" w:name="_Toc1274"/>
      <w:bookmarkStart w:id="327" w:name="_Toc608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8" w:name="_Toc13461"/>
      <w:bookmarkStart w:id="329" w:name="_Toc10734"/>
      <w:r>
        <w:rPr>
          <w:rFonts w:hint="eastAsia"/>
          <w:color w:val="auto"/>
          <w:lang w:val="en-US" w:eastAsia="zh-CN"/>
        </w:rPr>
        <w:t>二、</w:t>
      </w:r>
      <w:r>
        <w:rPr>
          <w:rFonts w:hint="eastAsia"/>
          <w:color w:val="auto"/>
        </w:rPr>
        <w:t>重要技术参数（▲）响应表</w:t>
      </w:r>
      <w:bookmarkEnd w:id="322"/>
      <w:bookmarkEnd w:id="323"/>
      <w:bookmarkEnd w:id="324"/>
      <w:bookmarkEnd w:id="325"/>
      <w:bookmarkEnd w:id="326"/>
      <w:bookmarkEnd w:id="327"/>
      <w:bookmarkEnd w:id="328"/>
      <w:bookmarkEnd w:id="329"/>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30" w:name="_Toc29642"/>
            <w:bookmarkStart w:id="331" w:name="_Toc27079"/>
            <w:bookmarkStart w:id="332" w:name="_Toc29560"/>
            <w:r>
              <w:rPr>
                <w:rFonts w:hint="eastAsia" w:ascii="宋体" w:hAnsi="宋体" w:eastAsia="宋体" w:cs="宋体"/>
                <w:b w:val="0"/>
                <w:bCs w:val="0"/>
                <w:color w:val="auto"/>
                <w:sz w:val="21"/>
                <w:szCs w:val="21"/>
                <w:lang w:val="en-US" w:eastAsia="zh-CN"/>
              </w:rPr>
              <w:t>序号</w:t>
            </w:r>
            <w:bookmarkEnd w:id="330"/>
            <w:bookmarkEnd w:id="331"/>
            <w:bookmarkEnd w:id="332"/>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33" w:name="_Toc2700"/>
            <w:bookmarkStart w:id="334" w:name="_Toc10045"/>
            <w:bookmarkStart w:id="335" w:name="_Toc4304"/>
            <w:bookmarkStart w:id="336" w:name="_Toc21739"/>
            <w:bookmarkStart w:id="337" w:name="_Toc12049"/>
            <w:bookmarkStart w:id="338" w:name="_Toc1016"/>
            <w:bookmarkStart w:id="339" w:name="_Toc16872"/>
            <w:bookmarkStart w:id="340" w:name="_Toc15368"/>
            <w:bookmarkStart w:id="341" w:name="_Toc27090"/>
            <w:bookmarkStart w:id="342" w:name="_Toc15903"/>
            <w:bookmarkStart w:id="343" w:name="_Toc26124"/>
            <w:bookmarkStart w:id="344" w:name="_Toc22448"/>
            <w:bookmarkStart w:id="345" w:name="_Toc14815"/>
            <w:bookmarkStart w:id="346" w:name="_Toc27442"/>
            <w:bookmarkStart w:id="347" w:name="_Toc22917"/>
            <w:bookmarkStart w:id="348" w:name="_Toc22879"/>
            <w:bookmarkStart w:id="349" w:name="_Toc8312"/>
            <w:bookmarkStart w:id="350" w:name="_Toc21809"/>
            <w:bookmarkStart w:id="351" w:name="_Toc7333"/>
            <w:bookmarkStart w:id="352" w:name="_Toc32531"/>
            <w:bookmarkStart w:id="353" w:name="_Toc24662"/>
            <w:bookmarkStart w:id="354" w:name="_Toc8490"/>
            <w:bookmarkStart w:id="355" w:name="_Toc19251"/>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bookmarkEnd w:id="348"/>
          <w:bookmarkEnd w:id="349"/>
          <w:bookmarkEnd w:id="350"/>
          <w:bookmarkEnd w:id="351"/>
          <w:bookmarkEnd w:id="352"/>
          <w:bookmarkEnd w:id="353"/>
          <w:bookmarkEnd w:id="354"/>
          <w:bookmarkEnd w:id="35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56" w:name="_Toc22153"/>
            <w:bookmarkStart w:id="357" w:name="_Toc10122"/>
            <w:bookmarkStart w:id="358" w:name="_Toc2408"/>
            <w:r>
              <w:rPr>
                <w:rFonts w:hint="eastAsia" w:ascii="宋体" w:hAnsi="宋体" w:eastAsia="宋体" w:cs="宋体"/>
                <w:b w:val="0"/>
                <w:bCs w:val="0"/>
                <w:color w:val="auto"/>
                <w:kern w:val="0"/>
                <w:sz w:val="21"/>
                <w:szCs w:val="21"/>
              </w:rPr>
              <w:t>投标文件响应内容</w:t>
            </w:r>
            <w:bookmarkEnd w:id="356"/>
            <w:bookmarkEnd w:id="357"/>
            <w:bookmarkEnd w:id="358"/>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59" w:name="_Toc27285"/>
            <w:bookmarkStart w:id="360" w:name="_Toc16003"/>
            <w:bookmarkStart w:id="361" w:name="_Toc29838"/>
            <w:bookmarkStart w:id="362" w:name="_Toc17642"/>
            <w:bookmarkStart w:id="363" w:name="_Toc17296"/>
            <w:bookmarkStart w:id="364" w:name="_Toc1330"/>
            <w:bookmarkStart w:id="365" w:name="_Toc20139"/>
            <w:bookmarkStart w:id="366" w:name="_Toc5992"/>
            <w:bookmarkStart w:id="367" w:name="_Toc3701"/>
            <w:bookmarkStart w:id="368" w:name="_Toc27185"/>
            <w:bookmarkStart w:id="369" w:name="_Toc1912"/>
            <w:bookmarkStart w:id="370" w:name="_Toc20820"/>
            <w:bookmarkStart w:id="371" w:name="_Toc5563"/>
            <w:r>
              <w:rPr>
                <w:rFonts w:hint="eastAsia" w:ascii="宋体" w:hAnsi="宋体" w:eastAsia="宋体" w:cs="宋体"/>
                <w:b w:val="0"/>
                <w:bCs w:val="0"/>
                <w:color w:val="auto"/>
                <w:sz w:val="21"/>
                <w:szCs w:val="21"/>
                <w:lang w:val="en-US" w:eastAsia="zh-CN"/>
              </w:rPr>
              <w:t>说明</w:t>
            </w:r>
            <w:bookmarkEnd w:id="359"/>
            <w:bookmarkEnd w:id="360"/>
            <w:bookmarkEnd w:id="361"/>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72" w:name="_Toc3520"/>
            <w:bookmarkStart w:id="373" w:name="_Toc19105"/>
            <w:bookmarkStart w:id="374" w:name="_Toc857"/>
            <w:r>
              <w:rPr>
                <w:rFonts w:hint="eastAsia" w:ascii="宋体" w:hAnsi="宋体" w:eastAsia="宋体" w:cs="宋体"/>
                <w:b w:val="0"/>
                <w:bCs w:val="0"/>
                <w:color w:val="auto"/>
                <w:sz w:val="21"/>
                <w:szCs w:val="21"/>
              </w:rPr>
              <w:t>页码范围</w:t>
            </w:r>
            <w:bookmarkEnd w:id="362"/>
            <w:bookmarkEnd w:id="363"/>
            <w:bookmarkEnd w:id="364"/>
            <w:bookmarkEnd w:id="365"/>
            <w:bookmarkEnd w:id="366"/>
            <w:bookmarkEnd w:id="367"/>
            <w:bookmarkEnd w:id="368"/>
            <w:bookmarkEnd w:id="369"/>
            <w:bookmarkEnd w:id="370"/>
            <w:bookmarkEnd w:id="371"/>
            <w:bookmarkEnd w:id="372"/>
            <w:bookmarkEnd w:id="373"/>
            <w:bookmarkEnd w:id="37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2"/>
        <w:spacing w:after="0" w:line="360" w:lineRule="auto"/>
        <w:rPr>
          <w:rFonts w:ascii="宋体" w:hAnsi="宋体" w:eastAsia="宋体"/>
          <w:color w:val="auto"/>
          <w:sz w:val="21"/>
          <w:szCs w:val="21"/>
        </w:rPr>
      </w:pP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2"/>
        <w:spacing w:after="0" w:line="360" w:lineRule="auto"/>
        <w:rPr>
          <w:rFonts w:ascii="宋体" w:hAnsi="宋体" w:eastAsia="宋体"/>
          <w:color w:val="auto"/>
          <w:sz w:val="21"/>
          <w:szCs w:val="21"/>
        </w:rPr>
      </w:pPr>
    </w:p>
    <w:p>
      <w:pPr>
        <w:pStyle w:val="32"/>
        <w:numPr>
          <w:ilvl w:val="0"/>
          <w:numId w:val="15"/>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5" w:name="_Toc27139"/>
      <w:bookmarkStart w:id="376" w:name="_Toc19349"/>
      <w:r>
        <w:rPr>
          <w:rFonts w:hint="eastAsia"/>
          <w:color w:val="auto"/>
          <w:lang w:val="en-US" w:eastAsia="zh-CN"/>
        </w:rPr>
        <w:t>三、</w:t>
      </w:r>
      <w:r>
        <w:rPr>
          <w:rFonts w:hint="eastAsia"/>
          <w:color w:val="auto"/>
        </w:rPr>
        <w:t>实质性条款（标记★）投标响应表</w:t>
      </w:r>
      <w:bookmarkEnd w:id="375"/>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7"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76"/>
      <w:bookmarkEnd w:id="377"/>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8" w:name="_Toc26880"/>
      <w:bookmarkStart w:id="379" w:name="_Toc16328"/>
      <w:r>
        <w:rPr>
          <w:rFonts w:hint="eastAsia"/>
          <w:color w:val="auto"/>
          <w:lang w:val="en-US" w:eastAsia="zh-CN"/>
        </w:rPr>
        <w:t>五、项目负责人及团队成员资料表</w:t>
      </w:r>
      <w:bookmarkEnd w:id="378"/>
      <w:bookmarkEnd w:id="379"/>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80" w:name="_Toc15431"/>
      <w:bookmarkStart w:id="381" w:name="_Toc26980"/>
      <w:r>
        <w:rPr>
          <w:rFonts w:hint="eastAsia"/>
          <w:color w:val="auto"/>
          <w:lang w:val="en-US" w:eastAsia="zh-CN"/>
        </w:rPr>
        <w:t>六、投标货物明细一览表</w:t>
      </w:r>
      <w:bookmarkEnd w:id="380"/>
      <w:bookmarkEnd w:id="381"/>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2" w:name="_Toc6961"/>
      <w:r>
        <w:rPr>
          <w:rFonts w:hint="eastAsia"/>
          <w:color w:val="auto"/>
          <w:lang w:val="en-US" w:eastAsia="zh-CN"/>
        </w:rPr>
        <w:t>七、政府采购履约担保函</w:t>
      </w:r>
      <w:bookmarkEnd w:id="38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3" w:name="_Toc26782"/>
      <w:bookmarkStart w:id="384" w:name="_Toc26772"/>
      <w:r>
        <w:rPr>
          <w:rFonts w:hint="eastAsia"/>
          <w:color w:val="auto"/>
          <w:lang w:val="en-US" w:eastAsia="zh-CN"/>
        </w:rPr>
        <w:t>第四章唱标信封（单独封装）</w:t>
      </w:r>
      <w:bookmarkEnd w:id="383"/>
      <w:bookmarkEnd w:id="38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85"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6" w:name="_Toc22736"/>
      <w:bookmarkStart w:id="387" w:name="_Toc2710"/>
      <w:r>
        <w:rPr>
          <w:rFonts w:hint="eastAsia"/>
          <w:color w:val="auto"/>
          <w:lang w:val="en-US" w:eastAsia="zh-CN"/>
        </w:rPr>
        <w:t>第五章联合体共同投标协议书（如有需要）</w:t>
      </w:r>
      <w:bookmarkEnd w:id="386"/>
      <w:bookmarkEnd w:id="38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85"/>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21"/>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58708A"/>
    <w:multiLevelType w:val="singleLevel"/>
    <w:tmpl w:val="D058708A"/>
    <w:lvl w:ilvl="0" w:tentative="0">
      <w:start w:val="1"/>
      <w:numFmt w:val="decimal"/>
      <w:lvlText w:val="%1."/>
      <w:lvlJc w:val="left"/>
      <w:pPr>
        <w:ind w:left="425" w:hanging="425"/>
      </w:pPr>
      <w:rPr>
        <w:rFonts w:hint="default"/>
      </w:rPr>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20E36918"/>
    <w:multiLevelType w:val="multilevel"/>
    <w:tmpl w:val="20E36918"/>
    <w:lvl w:ilvl="0" w:tentative="0">
      <w:start w:val="1"/>
      <w:numFmt w:val="decimal"/>
      <w:lvlText w:val="%1."/>
      <w:lvlJc w:val="left"/>
      <w:pPr>
        <w:ind w:left="845" w:hanging="420"/>
      </w:p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5EB51179"/>
    <w:multiLevelType w:val="multilevel"/>
    <w:tmpl w:val="5EB51179"/>
    <w:lvl w:ilvl="0" w:tentative="0">
      <w:start w:val="1"/>
      <w:numFmt w:val="decimal"/>
      <w:lvlText w:val="%1."/>
      <w:lvlJc w:val="left"/>
      <w:pPr>
        <w:ind w:left="704"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abstractNum w:abstractNumId="15">
    <w:nsid w:val="7D69062E"/>
    <w:multiLevelType w:val="multilevel"/>
    <w:tmpl w:val="7D69062E"/>
    <w:lvl w:ilvl="0" w:tentative="0">
      <w:start w:val="1"/>
      <w:numFmt w:val="decimal"/>
      <w:lvlText w:val="%1."/>
      <w:lvlJc w:val="left"/>
      <w:pPr>
        <w:ind w:left="845"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11"/>
  </w:num>
  <w:num w:numId="3">
    <w:abstractNumId w:val="7"/>
  </w:num>
  <w:num w:numId="4">
    <w:abstractNumId w:val="12"/>
  </w:num>
  <w:num w:numId="5">
    <w:abstractNumId w:val="8"/>
  </w:num>
  <w:num w:numId="6">
    <w:abstractNumId w:val="4"/>
  </w:num>
  <w:num w:numId="7">
    <w:abstractNumId w:val="5"/>
  </w:num>
  <w:num w:numId="8">
    <w:abstractNumId w:val="1"/>
  </w:num>
  <w:num w:numId="9">
    <w:abstractNumId w:val="3"/>
  </w:num>
  <w:num w:numId="10">
    <w:abstractNumId w:val="15"/>
  </w:num>
  <w:num w:numId="11">
    <w:abstractNumId w:val="13"/>
  </w:num>
  <w:num w:numId="12">
    <w:abstractNumId w:val="9"/>
  </w:num>
  <w:num w:numId="13">
    <w:abstractNumId w:val="2"/>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924F43"/>
    <w:rsid w:val="01B21D79"/>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5E69F7"/>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07447"/>
    <w:rsid w:val="09061A75"/>
    <w:rsid w:val="09182241"/>
    <w:rsid w:val="09242E62"/>
    <w:rsid w:val="093C069F"/>
    <w:rsid w:val="09417888"/>
    <w:rsid w:val="094E6A1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742C8E"/>
    <w:rsid w:val="0D763377"/>
    <w:rsid w:val="0D890E47"/>
    <w:rsid w:val="0DC64A00"/>
    <w:rsid w:val="0DFC60BA"/>
    <w:rsid w:val="0E4249F1"/>
    <w:rsid w:val="0F6C5A53"/>
    <w:rsid w:val="0F7C5FF6"/>
    <w:rsid w:val="0FC63FBD"/>
    <w:rsid w:val="106C564D"/>
    <w:rsid w:val="107B7B8F"/>
    <w:rsid w:val="107C67CE"/>
    <w:rsid w:val="1080523F"/>
    <w:rsid w:val="108F06C9"/>
    <w:rsid w:val="109D68CB"/>
    <w:rsid w:val="10A949B8"/>
    <w:rsid w:val="10B4532D"/>
    <w:rsid w:val="10C54639"/>
    <w:rsid w:val="11200D07"/>
    <w:rsid w:val="11DA73AF"/>
    <w:rsid w:val="12553E13"/>
    <w:rsid w:val="12C60D80"/>
    <w:rsid w:val="12FA6C1A"/>
    <w:rsid w:val="13127065"/>
    <w:rsid w:val="131867D4"/>
    <w:rsid w:val="131F7A3A"/>
    <w:rsid w:val="132645D0"/>
    <w:rsid w:val="132D4112"/>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5288E"/>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CBB521B"/>
    <w:rsid w:val="1CBB71B1"/>
    <w:rsid w:val="1D0836D7"/>
    <w:rsid w:val="1D196139"/>
    <w:rsid w:val="1DB85900"/>
    <w:rsid w:val="1DF051AF"/>
    <w:rsid w:val="1E010AF7"/>
    <w:rsid w:val="1E0178EB"/>
    <w:rsid w:val="1E301173"/>
    <w:rsid w:val="1E38333E"/>
    <w:rsid w:val="1E5C7612"/>
    <w:rsid w:val="1EA40BB4"/>
    <w:rsid w:val="1EF51F7C"/>
    <w:rsid w:val="1F43381C"/>
    <w:rsid w:val="1FA4148D"/>
    <w:rsid w:val="20121621"/>
    <w:rsid w:val="201A421D"/>
    <w:rsid w:val="20341172"/>
    <w:rsid w:val="204E554F"/>
    <w:rsid w:val="20590035"/>
    <w:rsid w:val="20C35213"/>
    <w:rsid w:val="20FC799E"/>
    <w:rsid w:val="22154DDD"/>
    <w:rsid w:val="22213E42"/>
    <w:rsid w:val="22336873"/>
    <w:rsid w:val="23175889"/>
    <w:rsid w:val="23333599"/>
    <w:rsid w:val="238C2182"/>
    <w:rsid w:val="239015D1"/>
    <w:rsid w:val="23BB4E7D"/>
    <w:rsid w:val="23C172D6"/>
    <w:rsid w:val="23F04F64"/>
    <w:rsid w:val="24814CBE"/>
    <w:rsid w:val="24AC168B"/>
    <w:rsid w:val="250136D3"/>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D9253C"/>
    <w:rsid w:val="2DF0699F"/>
    <w:rsid w:val="2E166748"/>
    <w:rsid w:val="2E556F01"/>
    <w:rsid w:val="2E8E20B4"/>
    <w:rsid w:val="2ED06066"/>
    <w:rsid w:val="2ED1223D"/>
    <w:rsid w:val="2EE470F7"/>
    <w:rsid w:val="2F000139"/>
    <w:rsid w:val="2F561B8A"/>
    <w:rsid w:val="2F9F42DC"/>
    <w:rsid w:val="2FE04319"/>
    <w:rsid w:val="2FF37AB3"/>
    <w:rsid w:val="308C7755"/>
    <w:rsid w:val="30AA08EF"/>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4EF5568"/>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8EC1B41"/>
    <w:rsid w:val="39223B11"/>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DD3E69"/>
    <w:rsid w:val="3CE114D9"/>
    <w:rsid w:val="3CED152B"/>
    <w:rsid w:val="3CF737A2"/>
    <w:rsid w:val="3CF7509A"/>
    <w:rsid w:val="3D10295A"/>
    <w:rsid w:val="3E0572FD"/>
    <w:rsid w:val="3E1A5292"/>
    <w:rsid w:val="3E5A7FE7"/>
    <w:rsid w:val="3EC8179E"/>
    <w:rsid w:val="3EF66B2E"/>
    <w:rsid w:val="3F217914"/>
    <w:rsid w:val="3F33282F"/>
    <w:rsid w:val="3F942B76"/>
    <w:rsid w:val="3FD70BB0"/>
    <w:rsid w:val="3FFB55AC"/>
    <w:rsid w:val="401C5F9D"/>
    <w:rsid w:val="401C690C"/>
    <w:rsid w:val="401D7195"/>
    <w:rsid w:val="405F1BE4"/>
    <w:rsid w:val="40A51286"/>
    <w:rsid w:val="40CE3DC0"/>
    <w:rsid w:val="40D7455A"/>
    <w:rsid w:val="40E743E5"/>
    <w:rsid w:val="4110038E"/>
    <w:rsid w:val="416455DE"/>
    <w:rsid w:val="41734CBA"/>
    <w:rsid w:val="41C01B53"/>
    <w:rsid w:val="41DD7057"/>
    <w:rsid w:val="420F7A65"/>
    <w:rsid w:val="4216611A"/>
    <w:rsid w:val="423E300F"/>
    <w:rsid w:val="425656C8"/>
    <w:rsid w:val="4257273C"/>
    <w:rsid w:val="425D7213"/>
    <w:rsid w:val="42677B61"/>
    <w:rsid w:val="42756DB0"/>
    <w:rsid w:val="42B21AD2"/>
    <w:rsid w:val="42E51A6B"/>
    <w:rsid w:val="42FD694D"/>
    <w:rsid w:val="434A6D8F"/>
    <w:rsid w:val="435E3A57"/>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1A0A44"/>
    <w:rsid w:val="4B560086"/>
    <w:rsid w:val="4B727AA1"/>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E794E4E"/>
    <w:rsid w:val="4F3705F8"/>
    <w:rsid w:val="4F651D09"/>
    <w:rsid w:val="4FAC3540"/>
    <w:rsid w:val="4FBB12F4"/>
    <w:rsid w:val="4FCF1583"/>
    <w:rsid w:val="4FFA7625"/>
    <w:rsid w:val="501B0BF9"/>
    <w:rsid w:val="507D2599"/>
    <w:rsid w:val="508846DC"/>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057C3C"/>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41600"/>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0D3727"/>
    <w:rsid w:val="5F576E4B"/>
    <w:rsid w:val="5F5D4EDE"/>
    <w:rsid w:val="5F7A2C30"/>
    <w:rsid w:val="5FBE370A"/>
    <w:rsid w:val="60292845"/>
    <w:rsid w:val="61027308"/>
    <w:rsid w:val="612E1A5D"/>
    <w:rsid w:val="61816046"/>
    <w:rsid w:val="62182687"/>
    <w:rsid w:val="62391564"/>
    <w:rsid w:val="62816669"/>
    <w:rsid w:val="628D5920"/>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AF3FB6"/>
    <w:rsid w:val="65C60A92"/>
    <w:rsid w:val="662203DD"/>
    <w:rsid w:val="666B723B"/>
    <w:rsid w:val="6678045A"/>
    <w:rsid w:val="66DD6702"/>
    <w:rsid w:val="671050BF"/>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AD1A21"/>
    <w:rsid w:val="6BD50977"/>
    <w:rsid w:val="6BEA2A9B"/>
    <w:rsid w:val="6C9C0875"/>
    <w:rsid w:val="6C9D1F03"/>
    <w:rsid w:val="6CAA3931"/>
    <w:rsid w:val="6D3933CA"/>
    <w:rsid w:val="6D7B61EC"/>
    <w:rsid w:val="6DC3266E"/>
    <w:rsid w:val="6DD049FF"/>
    <w:rsid w:val="6E09491E"/>
    <w:rsid w:val="6E0D3655"/>
    <w:rsid w:val="6E5F4465"/>
    <w:rsid w:val="6E8C54DA"/>
    <w:rsid w:val="6EA520C3"/>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15537E"/>
    <w:rsid w:val="76736B32"/>
    <w:rsid w:val="76E3765E"/>
    <w:rsid w:val="76EB5631"/>
    <w:rsid w:val="76FC2AFA"/>
    <w:rsid w:val="773F0836"/>
    <w:rsid w:val="77653671"/>
    <w:rsid w:val="778546CC"/>
    <w:rsid w:val="77B56730"/>
    <w:rsid w:val="77C04A8B"/>
    <w:rsid w:val="77D85DB3"/>
    <w:rsid w:val="780252A0"/>
    <w:rsid w:val="78027772"/>
    <w:rsid w:val="78A50513"/>
    <w:rsid w:val="78DD5882"/>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DC94360"/>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7">
    <w:name w:val="a1"/>
    <w:basedOn w:val="24"/>
    <w:qFormat/>
    <w:uiPriority w:val="0"/>
  </w:style>
  <w:style w:type="paragraph" w:customStyle="1" w:styleId="58">
    <w:name w:val="缺省文本"/>
    <w:basedOn w:val="1"/>
    <w:qFormat/>
    <w:uiPriority w:val="0"/>
    <w:pPr>
      <w:widowControl w:val="0"/>
      <w:autoSpaceDE w:val="0"/>
      <w:autoSpaceDN w:val="0"/>
      <w:adjustRightInd w:val="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84</Pages>
  <Words>37350</Words>
  <Characters>39095</Characters>
  <Lines>264</Lines>
  <Paragraphs>74</Paragraphs>
  <TotalTime>15</TotalTime>
  <ScaleCrop>false</ScaleCrop>
  <LinksUpToDate>false</LinksUpToDate>
  <CharactersWithSpaces>42501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2022-04-27T08:16:00Z</cp:lastPrinted>
  <dcterms:modified xsi:type="dcterms:W3CDTF">2022-04-27T09:38:07Z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1DEA12CE10534F859FCC7F80AF87A9FF</vt:lpwstr>
  </property>
</Properties>
</file>