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lang w:eastAsia="zh-CN"/>
        </w:rPr>
      </w:pPr>
    </w:p>
    <w:p>
      <w:pPr>
        <w:pStyle w:val="8"/>
        <w:ind w:left="0" w:leftChars="0" w:firstLine="0" w:firstLineChars="0"/>
        <w:rPr>
          <w:rFonts w:hint="eastAsia" w:ascii="黑体" w:eastAsia="黑体"/>
          <w:color w:val="auto"/>
          <w:szCs w:val="21"/>
          <w:lang w:eastAsia="zh-CN"/>
        </w:rPr>
      </w:pPr>
    </w:p>
    <w:p>
      <w:pPr>
        <w:pStyle w:val="8"/>
        <w:ind w:left="0" w:leftChars="0" w:firstLine="0" w:firstLineChars="0"/>
        <w:rPr>
          <w:rFonts w:hint="eastAsia" w:ascii="黑体" w:eastAsia="黑体"/>
          <w:color w:val="auto"/>
          <w:szCs w:val="21"/>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GDZT2022112C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东莞市横沥市政工程建设有限公司花岗岩协议供应商供货资格采购项目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东莞市横沥市政工程建设有限公司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21"/>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请各投标供应商缴纳投标保证金前务必核对正确的缴纳账户，由于错缴、误缴而导致未按项目缴纳投标保证金的情况将由投标供应商自行负责。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9</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投标保证金必须于投标文件递交截止时间前到达</w:t>
      </w:r>
      <w:r>
        <w:rPr>
          <w:rFonts w:hint="eastAsia" w:ascii="宋体" w:hAnsi="宋体" w:eastAsia="宋体" w:cs="宋体"/>
          <w:b/>
          <w:bCs w:val="0"/>
          <w:color w:val="auto"/>
          <w:sz w:val="21"/>
          <w:szCs w:val="21"/>
          <w:u w:val="none"/>
          <w:lang w:val="zh-CN"/>
        </w:rPr>
        <w:t>广东政通招标有限公司</w:t>
      </w:r>
      <w:r>
        <w:rPr>
          <w:rFonts w:hint="eastAsia" w:ascii="宋体" w:hAnsi="宋体" w:eastAsia="宋体" w:cs="宋体"/>
          <w:b/>
          <w:bCs w:val="0"/>
          <w:color w:val="auto"/>
          <w:sz w:val="21"/>
          <w:szCs w:val="21"/>
          <w:u w:val="none"/>
        </w:rPr>
        <w:t>账户</w:t>
      </w:r>
      <w:r>
        <w:rPr>
          <w:rFonts w:hint="eastAsia" w:ascii="宋体" w:hAnsi="宋体" w:eastAsia="宋体" w:cs="宋体"/>
          <w:b/>
          <w:bCs w:val="0"/>
          <w:color w:val="auto"/>
          <w:sz w:val="21"/>
          <w:szCs w:val="21"/>
          <w:u w:val="none"/>
          <w:lang w:eastAsia="zh-CN"/>
        </w:rPr>
        <w:t>，</w:t>
      </w:r>
      <w:r>
        <w:rPr>
          <w:rFonts w:hint="eastAsia" w:ascii="宋体" w:hAnsi="宋体" w:eastAsia="宋体" w:cs="宋体"/>
          <w:b/>
          <w:bCs w:val="0"/>
          <w:color w:val="auto"/>
          <w:sz w:val="21"/>
          <w:szCs w:val="21"/>
          <w:u w:val="none"/>
          <w:lang w:val="en-US" w:eastAsia="zh-CN"/>
        </w:rPr>
        <w:t>账户详见招标文件</w:t>
      </w:r>
      <w:r>
        <w:rPr>
          <w:rFonts w:hint="eastAsia" w:ascii="宋体" w:hAnsi="宋体" w:eastAsia="宋体" w:cs="宋体"/>
          <w:b/>
          <w:bCs w:val="0"/>
          <w:color w:val="auto"/>
          <w:sz w:val="21"/>
          <w:szCs w:val="21"/>
          <w:u w:val="none"/>
        </w:rPr>
        <w:t>。由于转账当天不能确保实时到账，为避免因投标保证金未到账而导致投标被拒绝，建议提前2个工作日转账。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10</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lang w:val="en-US" w:eastAsia="zh-CN"/>
        </w:rPr>
      </w:pPr>
      <w:r>
        <w:rPr>
          <w:rFonts w:hint="eastAsia"/>
          <w:b/>
          <w:bCs/>
          <w:color w:val="auto"/>
          <w:sz w:val="24"/>
          <w:szCs w:val="24"/>
          <w:lang w:val="en-US" w:eastAsia="zh-CN"/>
        </w:rPr>
        <w:t>11、公司位置：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29</w:t>
      </w:r>
      <w:r>
        <w:rPr>
          <w:rFonts w:hint="eastAsia" w:ascii="宋体" w:hAnsi="宋体" w:eastAsia="宋体" w:cs="宋体"/>
          <w:color w:val="auto"/>
          <w:sz w:val="21"/>
          <w:szCs w:val="21"/>
        </w:rPr>
        <w:t>.发布采购结果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0</w:t>
      </w:r>
      <w:r>
        <w:rPr>
          <w:rFonts w:hint="eastAsia" w:ascii="宋体" w:hAnsi="宋体" w:eastAsia="宋体" w:cs="宋体"/>
          <w:color w:val="auto"/>
          <w:sz w:val="21"/>
          <w:szCs w:val="21"/>
        </w:rPr>
        <w:t>.合同的签订与履行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七、投标保证金汇入情况说明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八、采购投标担保函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3"/>
        <w:spacing w:before="0" w:after="0" w:line="240" w:lineRule="auto"/>
        <w:rPr>
          <w:color w:val="auto"/>
          <w:sz w:val="28"/>
          <w:szCs w:val="28"/>
        </w:rPr>
      </w:pPr>
      <w:bookmarkStart w:id="0" w:name="_Toc2456"/>
      <w:bookmarkStart w:id="1" w:name="_Toc17306"/>
      <w:r>
        <w:rPr>
          <w:rFonts w:hint="eastAsia"/>
          <w:color w:val="auto"/>
          <w:sz w:val="28"/>
          <w:szCs w:val="28"/>
        </w:rPr>
        <w:t>第一部分 投标邀请</w:t>
      </w:r>
      <w:bookmarkEnd w:id="0"/>
      <w:bookmarkEnd w:id="1"/>
    </w:p>
    <w:p>
      <w:pPr>
        <w:pStyle w:val="4"/>
        <w:spacing w:before="0" w:after="0" w:line="360" w:lineRule="auto"/>
        <w:jc w:val="center"/>
        <w:rPr>
          <w:rFonts w:ascii="宋体" w:hAnsi="宋体" w:eastAsia="宋体" w:cs="宋体"/>
          <w:color w:val="auto"/>
        </w:rPr>
      </w:pPr>
      <w:bookmarkStart w:id="2" w:name="_Toc1420"/>
      <w:bookmarkStart w:id="3" w:name="_Toc7123"/>
      <w:bookmarkStart w:id="4" w:name="_Toc8850"/>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eastAsia="宋体" w:cs="宋体"/>
          <w:b/>
          <w:bCs/>
          <w:color w:val="auto"/>
          <w:sz w:val="21"/>
          <w:szCs w:val="21"/>
          <w:highlight w:val="none"/>
          <w:u w:val="single"/>
          <w:lang w:val="en-US" w:eastAsia="zh-CN"/>
        </w:rPr>
        <w:t>东莞市横沥市政工程建设有限公司</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cs="宋体"/>
          <w:b/>
          <w:bCs/>
          <w:color w:val="auto"/>
          <w:sz w:val="21"/>
          <w:szCs w:val="21"/>
          <w:highlight w:val="none"/>
          <w:u w:val="single"/>
          <w:lang w:val="en-US" w:eastAsia="zh-CN"/>
        </w:rPr>
        <w:t>东莞市横沥市政工程建设有限公司花岗岩协议供应商供货资格采购项目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w:t>
      </w:r>
      <w:r>
        <w:rPr>
          <w:rFonts w:hint="eastAsia" w:ascii="宋体" w:hAnsi="宋体"/>
          <w:color w:val="auto"/>
          <w:sz w:val="21"/>
          <w:szCs w:val="21"/>
          <w:lang w:val="en-US" w:eastAsia="zh-CN"/>
        </w:rPr>
        <w:t>GDZT2022112C</w:t>
      </w:r>
      <w:r>
        <w:rPr>
          <w:rFonts w:hint="eastAsia" w:ascii="宋体" w:hAnsi="宋体" w:eastAsia="宋体"/>
          <w:color w:val="auto"/>
          <w:sz w:val="21"/>
          <w:szCs w:val="21"/>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color w:val="auto"/>
          <w:sz w:val="21"/>
          <w:szCs w:val="21"/>
          <w:lang w:val="en-US" w:eastAsia="zh-CN"/>
        </w:rPr>
        <w:t>东莞市横沥市政工程建设有限公司花岗岩协议供应商供货资格采购项目</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3"/>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7"/>
        <w:gridCol w:w="4546"/>
        <w:gridCol w:w="1199"/>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286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采购</w:t>
            </w:r>
            <w:r>
              <w:rPr>
                <w:rFonts w:hint="eastAsia" w:ascii="宋体" w:hAnsi="宋体" w:eastAsia="宋体"/>
                <w:color w:val="auto"/>
                <w:sz w:val="21"/>
                <w:szCs w:val="21"/>
                <w:lang w:val="en-US" w:eastAsia="zh-CN"/>
              </w:rPr>
              <w:t>内容</w:t>
            </w:r>
          </w:p>
        </w:tc>
        <w:tc>
          <w:tcPr>
            <w:tcW w:w="75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采购</w:t>
            </w:r>
            <w:r>
              <w:rPr>
                <w:rFonts w:hint="eastAsia" w:ascii="宋体" w:hAnsi="宋体" w:eastAsia="宋体"/>
                <w:color w:val="auto"/>
                <w:sz w:val="21"/>
                <w:szCs w:val="21"/>
                <w:lang w:val="en-US" w:eastAsia="zh-CN"/>
              </w:rPr>
              <w:t>数量</w:t>
            </w:r>
          </w:p>
        </w:tc>
        <w:tc>
          <w:tcPr>
            <w:tcW w:w="77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61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86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东莞市横沥市政工程建设有限公司花岗岩协议供应商供货资格采购项目</w:t>
            </w:r>
          </w:p>
        </w:tc>
        <w:tc>
          <w:tcPr>
            <w:tcW w:w="75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u w:val="none"/>
                <w:lang w:val="en-US" w:eastAsia="zh-CN"/>
              </w:rPr>
              <w:t>三家</w:t>
            </w:r>
          </w:p>
        </w:tc>
        <w:tc>
          <w:tcPr>
            <w:tcW w:w="77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u w:val="none"/>
                <w:lang w:val="en-US" w:eastAsia="zh-CN"/>
              </w:rPr>
            </w:pPr>
            <w:r>
              <w:rPr>
                <w:rFonts w:hint="eastAsia" w:ascii="宋体" w:hAnsi="宋体"/>
                <w:b/>
                <w:color w:val="auto"/>
                <w:sz w:val="21"/>
                <w:szCs w:val="21"/>
                <w:u w:val="none"/>
                <w:lang w:val="en-US" w:eastAsia="zh-CN"/>
              </w:rPr>
              <w:t>三年</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ind w:firstLine="420" w:firstLineChars="200"/>
        <w:rPr>
          <w:rFonts w:ascii="宋体" w:hAnsi="宋体"/>
          <w:color w:val="auto"/>
          <w:szCs w:val="21"/>
        </w:rPr>
      </w:pPr>
      <w:r>
        <w:rPr>
          <w:rFonts w:hint="eastAsia" w:ascii="宋体" w:hAnsi="宋体"/>
          <w:color w:val="auto"/>
          <w:szCs w:val="21"/>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8</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15</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8</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15</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200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w:t>
      </w:r>
      <w:r>
        <w:rPr>
          <w:rFonts w:hint="eastAsia" w:ascii="宋体" w:hAnsi="宋体"/>
          <w:color w:val="auto"/>
          <w:sz w:val="21"/>
          <w:szCs w:val="21"/>
          <w:lang w:val="en-US" w:eastAsia="zh-CN"/>
        </w:rPr>
        <w:t>建议</w:t>
      </w:r>
      <w:r>
        <w:rPr>
          <w:rFonts w:hint="eastAsia" w:ascii="宋体" w:hAnsi="宋体" w:eastAsia="宋体"/>
          <w:color w:val="auto"/>
          <w:sz w:val="21"/>
          <w:szCs w:val="21"/>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lang w:eastAsia="zh-CN"/>
        </w:rPr>
        <w:t>。</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b/>
          <w:color w:val="auto"/>
          <w:sz w:val="21"/>
          <w:szCs w:val="21"/>
          <w:lang w:val="en-US" w:eastAsia="zh-CN"/>
        </w:rPr>
        <w:t>四</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4</w:t>
      </w:r>
      <w:r>
        <w:rPr>
          <w:rFonts w:hint="eastAsia" w:ascii="宋体" w:hAnsi="宋体" w:eastAsia="宋体"/>
          <w:bCs/>
          <w:color w:val="auto"/>
          <w:sz w:val="21"/>
          <w:szCs w:val="21"/>
        </w:rPr>
        <w:t>月</w:t>
      </w:r>
      <w:r>
        <w:rPr>
          <w:rFonts w:hint="eastAsia" w:ascii="宋体" w:hAnsi="宋体"/>
          <w:bCs/>
          <w:color w:val="auto"/>
          <w:sz w:val="21"/>
          <w:szCs w:val="21"/>
          <w:lang w:val="en-US" w:eastAsia="zh-CN"/>
        </w:rPr>
        <w:t>29</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：00～</w:t>
      </w:r>
      <w:r>
        <w:rPr>
          <w:rFonts w:hint="eastAsia" w:ascii="宋体" w:hAnsi="宋体"/>
          <w:bCs/>
          <w:color w:val="auto"/>
          <w:sz w:val="21"/>
          <w:szCs w:val="21"/>
          <w:lang w:val="en-US" w:eastAsia="zh-CN"/>
        </w:rPr>
        <w:t>14</w:t>
      </w:r>
      <w:r>
        <w:rPr>
          <w:rFonts w:hint="eastAsia" w:ascii="宋体" w:hAnsi="宋体" w:eastAsia="宋体"/>
          <w:bCs/>
          <w:color w:val="auto"/>
          <w:sz w:val="21"/>
          <w:szCs w:val="21"/>
        </w:rPr>
        <w:t>：30。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4</w:t>
      </w:r>
      <w:r>
        <w:rPr>
          <w:rFonts w:hint="eastAsia" w:ascii="宋体" w:hAnsi="宋体" w:eastAsia="宋体"/>
          <w:bCs/>
          <w:color w:val="auto"/>
          <w:sz w:val="21"/>
          <w:szCs w:val="21"/>
        </w:rPr>
        <w:t>月</w:t>
      </w:r>
      <w:r>
        <w:rPr>
          <w:rFonts w:hint="eastAsia" w:ascii="宋体" w:hAnsi="宋体"/>
          <w:bCs/>
          <w:color w:val="auto"/>
          <w:sz w:val="21"/>
          <w:szCs w:val="21"/>
          <w:lang w:val="en-US" w:eastAsia="zh-CN"/>
        </w:rPr>
        <w:t>29</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b/>
          <w:color w:val="auto"/>
          <w:sz w:val="21"/>
          <w:szCs w:val="21"/>
          <w:lang w:val="en-US" w:eastAsia="zh-CN"/>
        </w:rPr>
        <w:t>五</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采购人联系人：</w:t>
      </w:r>
      <w:r>
        <w:rPr>
          <w:rFonts w:hint="eastAsia" w:ascii="宋体" w:hAnsi="宋体"/>
          <w:bCs/>
          <w:color w:val="auto"/>
          <w:sz w:val="21"/>
          <w:szCs w:val="21"/>
          <w:lang w:val="en-US" w:eastAsia="zh-CN"/>
        </w:rPr>
        <w:t>李工</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w:t>
      </w:r>
      <w:r>
        <w:rPr>
          <w:rFonts w:hint="eastAsia" w:ascii="宋体" w:hAnsi="宋体"/>
          <w:bCs/>
          <w:color w:val="auto"/>
          <w:sz w:val="21"/>
          <w:szCs w:val="21"/>
          <w:lang w:val="en-US" w:eastAsia="zh-CN"/>
        </w:rPr>
        <w:t>东莞市横沥镇</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联系电话：0769-83373808</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月</w:t>
      </w:r>
    </w:p>
    <w:p>
      <w:pPr>
        <w:pStyle w:val="3"/>
        <w:spacing w:before="0" w:after="0" w:line="240" w:lineRule="auto"/>
        <w:rPr>
          <w:rFonts w:hint="eastAsia"/>
          <w:color w:val="auto"/>
          <w:sz w:val="28"/>
          <w:szCs w:val="28"/>
          <w:lang w:val="en-US" w:eastAsia="zh-CN"/>
        </w:rPr>
      </w:pPr>
      <w:bookmarkStart w:id="5" w:name="_Toc24505"/>
      <w:bookmarkStart w:id="6" w:name="_Toc28550"/>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line="480" w:lineRule="auto"/>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line="480" w:lineRule="auto"/>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2</w:t>
            </w:r>
          </w:p>
        </w:tc>
        <w:tc>
          <w:tcPr>
            <w:tcW w:w="7532" w:type="dxa"/>
            <w:gridSpan w:val="4"/>
            <w:vAlign w:val="center"/>
          </w:tcPr>
          <w:p>
            <w:pPr>
              <w:spacing w:after="0" w:line="480" w:lineRule="auto"/>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line="480" w:lineRule="auto"/>
              <w:jc w:val="center"/>
              <w:rPr>
                <w:rFonts w:hint="eastAsia" w:ascii="宋体" w:hAnsi="宋体" w:eastAsia="宋体"/>
                <w:color w:val="auto"/>
                <w:sz w:val="21"/>
                <w:szCs w:val="21"/>
              </w:rPr>
            </w:pPr>
          </w:p>
        </w:tc>
        <w:tc>
          <w:tcPr>
            <w:tcW w:w="7532" w:type="dxa"/>
            <w:gridSpan w:val="4"/>
            <w:vAlign w:val="center"/>
          </w:tcPr>
          <w:p>
            <w:pPr>
              <w:spacing w:after="0" w:line="480" w:lineRule="auto"/>
              <w:rPr>
                <w:rFonts w:hint="default" w:ascii="宋体" w:hAnsi="宋体" w:eastAsia="宋体"/>
                <w:b/>
                <w:color w:val="auto"/>
                <w:sz w:val="21"/>
                <w:szCs w:val="21"/>
                <w:lang w:val="en-US" w:eastAsia="zh-CN"/>
              </w:rPr>
            </w:pPr>
            <w:r>
              <w:rPr>
                <w:rFonts w:hint="eastAsia" w:ascii="宋体" w:hAnsi="宋体"/>
                <w:color w:val="auto"/>
                <w:sz w:val="21"/>
                <w:szCs w:val="21"/>
                <w:lang w:val="en-US" w:eastAsia="zh-CN"/>
              </w:rPr>
              <w:t>自筹</w:t>
            </w:r>
            <w:r>
              <w:rPr>
                <w:rFonts w:hint="eastAsia" w:ascii="宋体" w:hAnsi="宋体" w:eastAsia="宋体"/>
                <w:color w:val="auto"/>
                <w:sz w:val="21"/>
                <w:szCs w:val="21"/>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3</w:t>
            </w:r>
          </w:p>
        </w:tc>
        <w:tc>
          <w:tcPr>
            <w:tcW w:w="7532" w:type="dxa"/>
            <w:gridSpan w:val="4"/>
            <w:vAlign w:val="center"/>
          </w:tcPr>
          <w:p>
            <w:pPr>
              <w:spacing w:after="0" w:line="480" w:lineRule="auto"/>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line="480" w:lineRule="auto"/>
              <w:jc w:val="center"/>
              <w:rPr>
                <w:rFonts w:hint="eastAsia" w:ascii="宋体" w:hAnsi="宋体" w:eastAsia="宋体"/>
                <w:color w:val="auto"/>
                <w:sz w:val="21"/>
                <w:szCs w:val="21"/>
              </w:rPr>
            </w:pPr>
          </w:p>
        </w:tc>
        <w:tc>
          <w:tcPr>
            <w:tcW w:w="7532" w:type="dxa"/>
            <w:gridSpan w:val="4"/>
            <w:vAlign w:val="center"/>
          </w:tcPr>
          <w:p>
            <w:pPr>
              <w:spacing w:after="0" w:line="480" w:lineRule="auto"/>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4</w:t>
            </w: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5</w:t>
            </w:r>
          </w:p>
        </w:tc>
        <w:tc>
          <w:tcPr>
            <w:tcW w:w="7532" w:type="dxa"/>
            <w:gridSpan w:val="4"/>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841"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政通招标网</w:t>
            </w:r>
          </w:p>
        </w:tc>
        <w:tc>
          <w:tcPr>
            <w:tcW w:w="3691"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841"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color w:val="auto"/>
                <w:sz w:val="21"/>
                <w:szCs w:val="21"/>
                <w:highlight w:val="none"/>
              </w:rPr>
              <w:t>http://www.zttendering.com/</w:t>
            </w:r>
          </w:p>
        </w:tc>
        <w:tc>
          <w:tcPr>
            <w:tcW w:w="3691" w:type="dxa"/>
            <w:vAlign w:val="center"/>
          </w:tcPr>
          <w:p>
            <w:pPr>
              <w:spacing w:after="0" w:line="480" w:lineRule="auto"/>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6</w:t>
            </w: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7</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8</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9</w:t>
            </w:r>
          </w:p>
        </w:tc>
        <w:tc>
          <w:tcPr>
            <w:tcW w:w="7532" w:type="dxa"/>
            <w:gridSpan w:val="4"/>
            <w:vAlign w:val="center"/>
          </w:tcPr>
          <w:p>
            <w:pPr>
              <w:spacing w:after="0" w:line="480" w:lineRule="auto"/>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both"/>
              <w:rPr>
                <w:rFonts w:ascii="宋体" w:hAnsi="宋体" w:eastAsia="宋体"/>
                <w:color w:val="auto"/>
                <w:sz w:val="21"/>
                <w:szCs w:val="21"/>
              </w:rPr>
            </w:pPr>
          </w:p>
        </w:tc>
        <w:tc>
          <w:tcPr>
            <w:tcW w:w="7532" w:type="dxa"/>
            <w:gridSpan w:val="4"/>
            <w:vAlign w:val="center"/>
          </w:tcPr>
          <w:p>
            <w:pPr>
              <w:spacing w:after="0" w:line="480" w:lineRule="auto"/>
              <w:jc w:val="both"/>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r>
              <w:rPr>
                <w:rFonts w:hint="eastAsia" w:ascii="宋体" w:hAnsi="宋体"/>
                <w:color w:val="auto"/>
                <w:sz w:val="21"/>
                <w:szCs w:val="21"/>
                <w:lang w:eastAsia="zh-CN"/>
              </w:rPr>
              <w:t>（</w:t>
            </w:r>
            <w:r>
              <w:rPr>
                <w:rFonts w:hint="eastAsia" w:ascii="宋体" w:hAnsi="宋体"/>
                <w:color w:val="auto"/>
                <w:sz w:val="21"/>
                <w:szCs w:val="21"/>
                <w:lang w:val="en-US" w:eastAsia="zh-CN"/>
              </w:rPr>
              <w:t>本项目无核心产品</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10</w:t>
            </w:r>
          </w:p>
        </w:tc>
        <w:tc>
          <w:tcPr>
            <w:tcW w:w="7532" w:type="dxa"/>
            <w:gridSpan w:val="4"/>
            <w:vAlign w:val="center"/>
          </w:tcPr>
          <w:p>
            <w:pPr>
              <w:spacing w:after="0" w:line="480" w:lineRule="auto"/>
              <w:jc w:val="both"/>
              <w:rPr>
                <w:rFonts w:hint="eastAsia" w:ascii="宋体" w:hAnsi="宋体" w:eastAsia="宋体"/>
                <w:b/>
                <w:color w:val="auto"/>
                <w:sz w:val="21"/>
                <w:szCs w:val="21"/>
                <w:lang w:eastAsia="zh-CN"/>
              </w:rPr>
            </w:pPr>
            <w:r>
              <w:rPr>
                <w:rFonts w:hint="eastAsia" w:ascii="宋体" w:hAnsi="宋体" w:eastAsia="宋体"/>
                <w:b/>
                <w:color w:val="auto"/>
                <w:sz w:val="21"/>
                <w:szCs w:val="21"/>
              </w:rPr>
              <w:t>投标保证金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11</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12</w:t>
            </w:r>
          </w:p>
        </w:tc>
        <w:tc>
          <w:tcPr>
            <w:tcW w:w="7532" w:type="dxa"/>
            <w:gridSpan w:val="4"/>
            <w:vAlign w:val="center"/>
          </w:tcPr>
          <w:p>
            <w:pPr>
              <w:spacing w:after="0" w:line="480" w:lineRule="auto"/>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766" w:type="dxa"/>
            <w:gridSpan w:val="2"/>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766" w:type="dxa"/>
            <w:gridSpan w:val="2"/>
            <w:vAlign w:val="center"/>
          </w:tcPr>
          <w:p>
            <w:pPr>
              <w:spacing w:after="0" w:line="480" w:lineRule="auto"/>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line="480" w:lineRule="auto"/>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13</w:t>
            </w:r>
          </w:p>
        </w:tc>
        <w:tc>
          <w:tcPr>
            <w:tcW w:w="7532" w:type="dxa"/>
            <w:gridSpan w:val="4"/>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line="480" w:lineRule="auto"/>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14</w:t>
            </w:r>
          </w:p>
        </w:tc>
        <w:tc>
          <w:tcPr>
            <w:tcW w:w="7532" w:type="dxa"/>
            <w:gridSpan w:val="4"/>
            <w:vAlign w:val="center"/>
          </w:tcPr>
          <w:p>
            <w:pPr>
              <w:spacing w:after="0" w:line="480" w:lineRule="auto"/>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15</w:t>
            </w:r>
          </w:p>
        </w:tc>
        <w:tc>
          <w:tcPr>
            <w:tcW w:w="7532" w:type="dxa"/>
            <w:gridSpan w:val="4"/>
            <w:shd w:val="clear" w:color="auto" w:fill="auto"/>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shd w:val="clear" w:color="auto" w:fill="auto"/>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履约保证金的数额为采购合同金额的5%。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16</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本项目向每家中标</w:t>
            </w:r>
            <w:r>
              <w:rPr>
                <w:rFonts w:hint="eastAsia" w:ascii="宋体" w:hAnsi="宋体"/>
                <w:color w:val="auto"/>
                <w:sz w:val="21"/>
                <w:szCs w:val="21"/>
                <w:lang w:val="en-US" w:eastAsia="zh-CN"/>
              </w:rPr>
              <w:t>单位</w:t>
            </w:r>
            <w:r>
              <w:rPr>
                <w:rFonts w:hint="eastAsia" w:ascii="宋体" w:hAnsi="宋体" w:eastAsia="宋体"/>
                <w:color w:val="auto"/>
                <w:sz w:val="21"/>
                <w:szCs w:val="21"/>
                <w:lang w:val="en-US" w:eastAsia="zh-CN"/>
              </w:rPr>
              <w:t>定额收取中标服务费人民币</w:t>
            </w:r>
            <w:r>
              <w:rPr>
                <w:rFonts w:hint="eastAsia" w:ascii="宋体" w:hAnsi="宋体"/>
                <w:color w:val="auto"/>
                <w:sz w:val="21"/>
                <w:szCs w:val="21"/>
                <w:lang w:val="en-US" w:eastAsia="zh-CN"/>
              </w:rPr>
              <w:t>叁仟</w:t>
            </w:r>
            <w:r>
              <w:rPr>
                <w:rFonts w:hint="eastAsia" w:ascii="宋体" w:hAnsi="宋体" w:eastAsia="宋体"/>
                <w:color w:val="auto"/>
                <w:sz w:val="21"/>
                <w:szCs w:val="21"/>
                <w:lang w:val="en-US" w:eastAsia="zh-CN"/>
              </w:rPr>
              <w:t>元整（¥</w:t>
            </w:r>
            <w:r>
              <w:rPr>
                <w:rFonts w:hint="eastAsia" w:ascii="宋体" w:hAnsi="宋体"/>
                <w:color w:val="auto"/>
                <w:sz w:val="21"/>
                <w:szCs w:val="21"/>
                <w:lang w:val="en-US" w:eastAsia="zh-CN"/>
              </w:rPr>
              <w:t>3</w:t>
            </w:r>
            <w:r>
              <w:rPr>
                <w:rFonts w:hint="eastAsia" w:ascii="宋体" w:hAnsi="宋体" w:eastAsia="宋体"/>
                <w:color w:val="auto"/>
                <w:sz w:val="21"/>
                <w:szCs w:val="21"/>
                <w:lang w:val="en-US" w:eastAsia="zh-CN"/>
              </w:rPr>
              <w:t>,000.00）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480" w:lineRule="auto"/>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line="480" w:lineRule="auto"/>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pStyle w:val="8"/>
        <w:rPr>
          <w:rFonts w:hint="eastAsia" w:ascii="宋体" w:hAnsi="宋体" w:eastAsia="宋体" w:cs="宋体"/>
          <w:color w:val="auto"/>
          <w:sz w:val="21"/>
          <w:szCs w:val="21"/>
        </w:rPr>
      </w:pPr>
    </w:p>
    <w:p>
      <w:pPr>
        <w:rPr>
          <w:rFonts w:hint="eastAsia"/>
          <w:color w:val="auto"/>
          <w:sz w:val="28"/>
          <w:szCs w:val="28"/>
          <w:lang w:val="en-US" w:eastAsia="zh-CN"/>
        </w:rPr>
      </w:pPr>
      <w:bookmarkStart w:id="8" w:name="_Toc13473"/>
      <w:bookmarkStart w:id="9" w:name="_Toc5749"/>
      <w:bookmarkStart w:id="10" w:name="_Hlk55300595"/>
      <w:bookmarkStart w:id="11" w:name="_Toc9572"/>
      <w:r>
        <w:rPr>
          <w:rFonts w:hint="eastAsia"/>
          <w:color w:val="auto"/>
          <w:sz w:val="28"/>
          <w:szCs w:val="28"/>
          <w:lang w:val="en-US" w:eastAsia="zh-CN"/>
        </w:rPr>
        <w:br w:type="page"/>
      </w: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rPr>
      </w:pPr>
      <w:bookmarkStart w:id="15" w:name="_Toc18413"/>
      <w:bookmarkStart w:id="16" w:name="_Toc216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评审项目</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商务技术评分（90分）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0"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w:t>
            </w:r>
          </w:p>
        </w:tc>
        <w:tc>
          <w:tcPr>
            <w:tcW w:w="1607"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供货方案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根据投标人提供的供货方案的完整性、合理性、可行性等情况进行综合评审：</w:t>
            </w:r>
          </w:p>
          <w:p>
            <w:pPr>
              <w:pStyle w:val="36"/>
              <w:spacing w:line="240" w:lineRule="auto"/>
              <w:ind w:firstLine="420" w:firstLineChars="200"/>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供货方案科学完整、合理、可行，得15分。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供货方案较完整、较合理、较可行，得10分。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供货方案基本完整、基本合理、基本可行，得5分。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供货方案简单，可行性差，得1分。</w:t>
            </w:r>
          </w:p>
          <w:p>
            <w:pPr>
              <w:pStyle w:val="36"/>
              <w:spacing w:line="240" w:lineRule="auto"/>
              <w:ind w:firstLine="420" w:firstLineChars="200"/>
              <w:rPr>
                <w:rFonts w:ascii="宋体" w:eastAsia="宋体" w:cs="宋体"/>
                <w:bCs/>
                <w:color w:val="auto"/>
                <w:sz w:val="21"/>
                <w:szCs w:val="21"/>
                <w:lang w:val="en-US" w:eastAsia="zh-CN"/>
              </w:rPr>
            </w:pPr>
            <w:r>
              <w:rPr>
                <w:rFonts w:hint="eastAsia" w:ascii="宋体" w:eastAsia="宋体" w:cs="宋体"/>
                <w:color w:val="auto"/>
                <w:sz w:val="21"/>
                <w:szCs w:val="21"/>
                <w:lang w:val="en-US" w:eastAsia="zh-CN"/>
              </w:rPr>
              <w:t>无提供供货方案，得0分。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0"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2</w:t>
            </w:r>
          </w:p>
        </w:tc>
        <w:tc>
          <w:tcPr>
            <w:tcW w:w="1607" w:type="dxa"/>
            <w:tcBorders>
              <w:top w:val="single" w:color="auto" w:sz="4" w:space="0"/>
              <w:left w:val="single" w:color="auto" w:sz="4" w:space="0"/>
              <w:right w:val="single" w:color="auto" w:sz="4" w:space="0"/>
            </w:tcBorders>
            <w:noWrap w:val="0"/>
            <w:vAlign w:val="center"/>
          </w:tcPr>
          <w:p>
            <w:pPr>
              <w:pStyle w:val="36"/>
              <w:spacing w:line="240" w:lineRule="auto"/>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产品质量</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根据投标人所提供产品的资料对产品的质量、先进性、适用性、耐用程度等进行综合评审：</w:t>
            </w:r>
          </w:p>
          <w:p>
            <w:pPr>
              <w:pStyle w:val="36"/>
              <w:spacing w:line="240" w:lineRule="auto"/>
              <w:ind w:firstLine="420" w:firstLineChars="200"/>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产品质量满足文件要求，环保、耐用程度优秀，得15分。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产品质量基本满足文件要求，环保、耐用程度良好，得10分。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产品质量一般，环保、耐用程度一般，得5分。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产品质量较差，环保、耐用程度较差，耐用程度较差，得1分。</w:t>
            </w:r>
          </w:p>
          <w:p>
            <w:pPr>
              <w:pStyle w:val="36"/>
              <w:spacing w:line="240" w:lineRule="auto"/>
              <w:ind w:firstLine="420" w:firstLineChars="200"/>
              <w:rPr>
                <w:rFonts w:ascii="宋体" w:eastAsia="宋体" w:cs="宋体"/>
                <w:bCs/>
                <w:color w:val="auto"/>
                <w:sz w:val="21"/>
                <w:szCs w:val="21"/>
                <w:lang w:val="en-US" w:eastAsia="zh-CN"/>
              </w:rPr>
            </w:pPr>
            <w:r>
              <w:rPr>
                <w:rFonts w:hint="eastAsia" w:ascii="宋体" w:eastAsia="宋体" w:cs="宋体"/>
                <w:color w:val="auto"/>
                <w:sz w:val="21"/>
                <w:szCs w:val="21"/>
                <w:lang w:val="en-US" w:eastAsia="zh-CN"/>
              </w:rPr>
              <w:t>无提供产品质量说明，得0分。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690" w:type="dxa"/>
            <w:tcBorders>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3</w:t>
            </w:r>
          </w:p>
        </w:tc>
        <w:tc>
          <w:tcPr>
            <w:tcW w:w="1607" w:type="dxa"/>
            <w:tcBorders>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质量保证承诺</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根据投标人的质量保证承诺及质保期内的服务方案详细完善程度进行</w:t>
            </w:r>
            <w:r>
              <w:rPr>
                <w:rFonts w:hint="eastAsia" w:ascii="宋体" w:eastAsia="宋体" w:cs="宋体"/>
                <w:color w:val="auto"/>
                <w:sz w:val="21"/>
                <w:szCs w:val="21"/>
                <w:lang w:val="en-US" w:eastAsia="zh-CN"/>
              </w:rPr>
              <w:t>综合评审：</w:t>
            </w:r>
          </w:p>
          <w:p>
            <w:pPr>
              <w:pStyle w:val="36"/>
              <w:spacing w:line="240" w:lineRule="auto"/>
              <w:ind w:left="1" w:firstLine="420" w:firstLineChars="200"/>
              <w:rPr>
                <w:rFonts w:hint="eastAsia" w:ascii="宋体" w:eastAsia="宋体"/>
                <w:color w:val="auto"/>
                <w:sz w:val="21"/>
                <w:szCs w:val="21"/>
                <w:lang w:val="en-US" w:eastAsia="zh-CN"/>
              </w:rPr>
            </w:pPr>
            <w:r>
              <w:rPr>
                <w:rFonts w:hint="eastAsia" w:ascii="宋体" w:eastAsia="宋体"/>
                <w:color w:val="auto"/>
                <w:sz w:val="21"/>
                <w:szCs w:val="21"/>
                <w:lang w:val="en-US" w:eastAsia="zh-CN"/>
              </w:rPr>
              <w:t>质量保证承诺优于文件要求，服务方案详细完整，可行性强，得15分。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质量保证承诺满足文件要求，服务方案较完整，可行性较强，得10分。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质量保证承诺满足文件要求，服务方案基本完整，可行性一般，得5分。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质量保证承诺不能满足文件要求，服务方案不完整，可行性差，得1分。</w:t>
            </w:r>
          </w:p>
          <w:p>
            <w:pPr>
              <w:pStyle w:val="36"/>
              <w:spacing w:line="240" w:lineRule="auto"/>
              <w:ind w:firstLine="420" w:firstLineChars="200"/>
              <w:rPr>
                <w:rFonts w:ascii="宋体" w:eastAsia="宋体" w:cs="宋体"/>
                <w:bCs/>
                <w:color w:val="auto"/>
                <w:sz w:val="21"/>
                <w:szCs w:val="21"/>
                <w:lang w:val="pt-BR" w:eastAsia="zh-CN"/>
              </w:rPr>
            </w:pPr>
            <w:r>
              <w:rPr>
                <w:rFonts w:hint="eastAsia" w:ascii="宋体" w:eastAsia="宋体"/>
                <w:color w:val="auto"/>
                <w:sz w:val="21"/>
                <w:szCs w:val="21"/>
                <w:lang w:val="en-US" w:eastAsia="zh-CN"/>
              </w:rPr>
              <w:t>无提供质量保证承诺或服务方案，得0分。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供货进度方案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eastAsia="宋体" w:cs="宋体"/>
                <w:color w:val="auto"/>
                <w:sz w:val="21"/>
                <w:szCs w:val="21"/>
              </w:rPr>
            </w:pPr>
            <w:r>
              <w:rPr>
                <w:rFonts w:hint="eastAsia" w:ascii="宋体" w:eastAsia="宋体" w:cs="宋体"/>
                <w:color w:val="auto"/>
                <w:sz w:val="21"/>
                <w:szCs w:val="21"/>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根据投标人的生产、运输、储存、供货进度方案进行</w:t>
            </w:r>
            <w:r>
              <w:rPr>
                <w:rFonts w:hint="eastAsia" w:ascii="宋体" w:eastAsia="宋体" w:cs="宋体"/>
                <w:color w:val="auto"/>
                <w:sz w:val="21"/>
                <w:szCs w:val="21"/>
                <w:lang w:val="en-US" w:eastAsia="zh-CN"/>
              </w:rPr>
              <w:t>综合评审：</w:t>
            </w:r>
          </w:p>
          <w:p>
            <w:pPr>
              <w:pStyle w:val="36"/>
              <w:spacing w:line="240" w:lineRule="auto"/>
              <w:ind w:left="1" w:firstLine="420" w:firstLineChars="200"/>
              <w:rPr>
                <w:rFonts w:hint="eastAsia" w:ascii="宋体" w:eastAsia="宋体"/>
                <w:color w:val="auto"/>
                <w:sz w:val="21"/>
                <w:szCs w:val="21"/>
                <w:lang w:val="en-US" w:eastAsia="zh-CN"/>
              </w:rPr>
            </w:pPr>
            <w:r>
              <w:rPr>
                <w:rFonts w:hint="eastAsia" w:ascii="宋体" w:eastAsia="宋体"/>
                <w:color w:val="auto"/>
                <w:sz w:val="21"/>
                <w:szCs w:val="21"/>
                <w:lang w:val="en-US" w:eastAsia="zh-CN"/>
              </w:rPr>
              <w:t>方案科学合理，可操作性强，得15分。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方案较合理，可操作性较强，得10分。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方案基本合理，可操作性一般，得5分。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方案不合理，可操作性差，得1分。</w:t>
            </w:r>
          </w:p>
          <w:p>
            <w:pPr>
              <w:pStyle w:val="36"/>
              <w:spacing w:line="240" w:lineRule="auto"/>
              <w:ind w:left="1" w:firstLine="420" w:firstLineChars="200"/>
              <w:rPr>
                <w:rFonts w:ascii="宋体" w:eastAsia="宋体" w:cs="宋体"/>
                <w:color w:val="auto"/>
                <w:sz w:val="21"/>
                <w:szCs w:val="21"/>
                <w:lang w:val="zh-CN" w:eastAsia="zh-CN"/>
              </w:rPr>
            </w:pPr>
            <w:r>
              <w:rPr>
                <w:rFonts w:hint="eastAsia" w:ascii="宋体" w:eastAsia="宋体"/>
                <w:color w:val="auto"/>
                <w:sz w:val="21"/>
                <w:szCs w:val="21"/>
                <w:lang w:val="en-US" w:eastAsia="zh-CN"/>
              </w:rPr>
              <w:t>无提供供货进度方案，得0分。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规章管理制度</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eastAsia="宋体" w:cs="宋体"/>
                <w:color w:val="auto"/>
                <w:sz w:val="21"/>
                <w:szCs w:val="21"/>
              </w:rPr>
            </w:pPr>
            <w:r>
              <w:rPr>
                <w:rFonts w:hint="eastAsia" w:ascii="宋体" w:eastAsia="宋体" w:cs="宋体"/>
                <w:color w:val="auto"/>
                <w:sz w:val="21"/>
                <w:szCs w:val="21"/>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根据投标人的规章管理制度进行综合评审：</w:t>
            </w:r>
          </w:p>
          <w:p>
            <w:pPr>
              <w:pStyle w:val="36"/>
              <w:spacing w:line="240" w:lineRule="auto"/>
              <w:ind w:firstLine="420" w:firstLineChars="200"/>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制度详细完整，可行性强，得10分。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制度较完整，可行性较强，得6分。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制度基本完整，可行性一般，得3分。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制度不完整，可行性较差，得1分。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无提供规章管理制度吗，得0分。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6</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业绩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hint="eastAsia" w:ascii="宋体" w:eastAsia="宋体" w:cs="宋体"/>
                <w:bCs/>
                <w:color w:val="auto"/>
                <w:sz w:val="21"/>
                <w:szCs w:val="21"/>
                <w:lang w:val="en-US" w:eastAsia="zh-CN"/>
              </w:rPr>
            </w:pPr>
            <w:r>
              <w:rPr>
                <w:rFonts w:hint="eastAsia" w:ascii="宋体" w:eastAsia="宋体" w:cs="宋体"/>
                <w:bCs/>
                <w:color w:val="auto"/>
                <w:sz w:val="21"/>
                <w:szCs w:val="21"/>
                <w:lang w:val="en-US" w:eastAsia="zh-CN"/>
              </w:rPr>
              <w:t>投标人具有花岗岩供货</w:t>
            </w:r>
            <w:r>
              <w:rPr>
                <w:rFonts w:hint="eastAsia" w:ascii="宋体" w:eastAsia="宋体" w:cs="宋体"/>
                <w:bCs/>
                <w:color w:val="auto"/>
                <w:sz w:val="21"/>
                <w:szCs w:val="21"/>
                <w:lang w:val="zh-CN" w:eastAsia="zh-CN"/>
              </w:rPr>
              <w:t>类业绩</w:t>
            </w:r>
            <w:r>
              <w:rPr>
                <w:rFonts w:hint="eastAsia" w:ascii="宋体" w:eastAsia="宋体" w:cs="宋体"/>
                <w:bCs/>
                <w:color w:val="auto"/>
                <w:sz w:val="21"/>
                <w:szCs w:val="21"/>
                <w:lang w:val="en-US" w:eastAsia="zh-CN"/>
              </w:rPr>
              <w:t>的，每提供一个合同业绩得2分，本项最高得8分。</w:t>
            </w:r>
          </w:p>
          <w:p>
            <w:pPr>
              <w:pStyle w:val="36"/>
              <w:spacing w:line="240" w:lineRule="auto"/>
              <w:ind w:firstLine="420" w:firstLineChars="200"/>
              <w:rPr>
                <w:rFonts w:hint="default" w:ascii="宋体" w:eastAsia="宋体" w:cs="宋体"/>
                <w:color w:val="auto"/>
                <w:sz w:val="21"/>
                <w:szCs w:val="21"/>
                <w:lang w:val="en-US" w:eastAsia="zh-CN"/>
              </w:rPr>
            </w:pPr>
            <w:r>
              <w:rPr>
                <w:rFonts w:hint="eastAsia" w:ascii="宋体" w:eastAsia="宋体" w:cs="宋体"/>
                <w:bCs/>
                <w:color w:val="auto"/>
                <w:sz w:val="21"/>
                <w:szCs w:val="21"/>
                <w:lang w:val="en-US" w:eastAsia="zh-CN"/>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7</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服务便利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kern w:val="2"/>
                <w:sz w:val="21"/>
                <w:szCs w:val="21"/>
              </w:rPr>
            </w:pPr>
            <w:r>
              <w:rPr>
                <w:rFonts w:hint="eastAsia" w:ascii="宋体" w:hAnsi="宋体" w:eastAsia="宋体" w:cs="宋体"/>
                <w:color w:val="auto"/>
                <w:sz w:val="21"/>
                <w:szCs w:val="21"/>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根据投标人提供的服务响应时间承诺进行评分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投标人承诺在接到采购人通知后1小时内到现场，得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投标人承诺在接到采购人通知后2小时内到现场，得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投标人承诺在接到采购人通知后3小时内到现场，得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投标人未承诺或承诺在接到采购人通知后超过3小时到现场，不得分。</w:t>
            </w:r>
          </w:p>
          <w:p>
            <w:pPr>
              <w:pStyle w:val="36"/>
              <w:spacing w:line="240" w:lineRule="auto"/>
              <w:ind w:left="1" w:firstLine="420" w:firstLineChars="200"/>
              <w:rPr>
                <w:rFonts w:ascii="宋体" w:eastAsia="宋体" w:cs="宋体"/>
                <w:color w:val="auto"/>
                <w:sz w:val="21"/>
                <w:szCs w:val="21"/>
                <w:lang w:val="zh-CN" w:eastAsia="zh-CN"/>
              </w:rPr>
            </w:pPr>
            <w:r>
              <w:rPr>
                <w:rFonts w:hint="eastAsia" w:ascii="宋体" w:hAnsi="宋体" w:eastAsia="宋体" w:cs="宋体"/>
                <w:bCs/>
                <w:color w:val="auto"/>
                <w:sz w:val="21"/>
                <w:szCs w:val="21"/>
                <w:highlight w:val="none"/>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售后服务方案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kern w:val="2"/>
                <w:sz w:val="21"/>
                <w:szCs w:val="21"/>
              </w:rPr>
            </w:pPr>
            <w:r>
              <w:rPr>
                <w:rFonts w:hint="eastAsia" w:ascii="宋体" w:hAnsi="宋体" w:eastAsia="宋体" w:cs="宋体"/>
                <w:color w:val="auto"/>
                <w:sz w:val="21"/>
                <w:szCs w:val="21"/>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根据售后服务方案、售后服务承诺、售后点技术力量等以及对用户单位提出的维护要求响应情况，出现紧急情况时的服务措施等进行</w:t>
            </w:r>
            <w:r>
              <w:rPr>
                <w:rFonts w:hint="eastAsia" w:ascii="宋体" w:eastAsia="宋体" w:cs="宋体"/>
                <w:color w:val="auto"/>
                <w:sz w:val="21"/>
                <w:szCs w:val="21"/>
                <w:lang w:val="en-US" w:eastAsia="zh-CN"/>
              </w:rPr>
              <w:t>综合评审：</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售后服务方案科学完整，售后服务承诺优于文件要求，可操作性强，得6分。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售后服务方案基本完整，售后服务承诺满足文件要求，可操作性一般，得3分。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售后服务方案不完整，售后服务承诺不满足文件要求，可操作性差，得1分。</w:t>
            </w:r>
          </w:p>
          <w:p>
            <w:pPr>
              <w:pStyle w:val="36"/>
              <w:spacing w:line="240" w:lineRule="auto"/>
              <w:ind w:left="1" w:firstLine="420" w:firstLineChars="200"/>
              <w:rPr>
                <w:rFonts w:ascii="宋体" w:eastAsia="宋体" w:cs="宋体"/>
                <w:color w:val="auto"/>
                <w:sz w:val="21"/>
                <w:szCs w:val="21"/>
                <w:lang w:val="zh-CN" w:eastAsia="zh-CN"/>
              </w:rPr>
            </w:pPr>
            <w:r>
              <w:rPr>
                <w:rFonts w:hint="eastAsia" w:ascii="宋体" w:eastAsia="宋体"/>
                <w:color w:val="auto"/>
                <w:sz w:val="21"/>
                <w:szCs w:val="21"/>
                <w:lang w:val="en-US" w:eastAsia="zh-CN"/>
              </w:rPr>
              <w:t>无提供售后服务方案或售后服务承诺，得0分。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widowControl w:val="0"/>
              <w:tabs>
                <w:tab w:val="left" w:pos="907"/>
              </w:tabs>
              <w:adjustRightInd/>
              <w:snapToGrid/>
              <w:spacing w:after="0" w:line="360" w:lineRule="exact"/>
              <w:ind w:firstLine="422" w:firstLineChars="200"/>
              <w:jc w:val="both"/>
              <w:rPr>
                <w:rFonts w:ascii="宋体" w:hAnsi="宋体" w:eastAsia="宋体"/>
                <w:b/>
                <w:color w:val="auto"/>
                <w:sz w:val="21"/>
                <w:szCs w:val="21"/>
              </w:rPr>
            </w:pPr>
            <w:r>
              <w:rPr>
                <w:rFonts w:hint="eastAsia" w:ascii="宋体" w:hAnsi="宋体" w:eastAsia="宋体"/>
                <w:b/>
                <w:color w:val="auto"/>
                <w:sz w:val="21"/>
                <w:szCs w:val="21"/>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ascii="宋体" w:hAnsi="宋体" w:eastAsia="宋体"/>
                <w:b/>
                <w:color w:val="auto"/>
                <w:sz w:val="21"/>
                <w:szCs w:val="21"/>
              </w:rPr>
            </w:pPr>
            <w:r>
              <w:rPr>
                <w:rFonts w:hint="eastAsia" w:ascii="宋体" w:hAnsi="宋体" w:eastAsia="宋体"/>
                <w:b/>
                <w:color w:val="auto"/>
                <w:sz w:val="21"/>
                <w:szCs w:val="21"/>
              </w:rPr>
              <w:t>（1）</w:t>
            </w:r>
            <w:r>
              <w:rPr>
                <w:rFonts w:hint="eastAsia" w:ascii="宋体" w:hAnsi="宋体" w:eastAsia="宋体"/>
                <w:b/>
                <w:color w:val="auto"/>
                <w:sz w:val="21"/>
                <w:szCs w:val="21"/>
                <w:lang w:val="en-US" w:eastAsia="zh-CN"/>
              </w:rPr>
              <w:t>除</w:t>
            </w:r>
            <w:r>
              <w:rPr>
                <w:rFonts w:hint="eastAsia" w:ascii="宋体" w:hAnsi="宋体" w:eastAsia="宋体"/>
                <w:b/>
                <w:color w:val="auto"/>
                <w:sz w:val="21"/>
                <w:szCs w:val="21"/>
              </w:rPr>
              <w:t>特殊说明外，以上评审项，同一证明文件不重复计分。</w:t>
            </w:r>
          </w:p>
          <w:p>
            <w:pPr>
              <w:pStyle w:val="33"/>
              <w:widowControl w:val="0"/>
              <w:tabs>
                <w:tab w:val="left" w:pos="907"/>
              </w:tabs>
              <w:adjustRightInd/>
              <w:snapToGrid/>
              <w:spacing w:after="0" w:line="360" w:lineRule="exact"/>
              <w:ind w:firstLine="422"/>
              <w:jc w:val="both"/>
              <w:rPr>
                <w:rFonts w:ascii="宋体" w:hAnsi="宋体" w:eastAsia="宋体"/>
                <w:b/>
                <w:color w:val="auto"/>
                <w:sz w:val="21"/>
                <w:szCs w:val="21"/>
              </w:rPr>
            </w:pPr>
            <w:r>
              <w:rPr>
                <w:rFonts w:hint="eastAsia" w:ascii="宋体" w:hAnsi="宋体" w:eastAsia="宋体"/>
                <w:b/>
                <w:color w:val="auto"/>
                <w:sz w:val="21"/>
                <w:szCs w:val="21"/>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zh-CN" w:eastAsia="zh-CN"/>
              </w:rPr>
            </w:pPr>
            <w:r>
              <w:rPr>
                <w:rFonts w:hint="eastAsia" w:ascii="宋体" w:eastAsia="宋体" w:cs="宋体"/>
                <w:color w:val="auto"/>
                <w:sz w:val="21"/>
                <w:szCs w:val="21"/>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7832" w:type="dxa"/>
            <w:gridSpan w:val="3"/>
            <w:tcBorders>
              <w:top w:val="single" w:color="auto" w:sz="4" w:space="0"/>
              <w:left w:val="single" w:color="auto" w:sz="4" w:space="0"/>
              <w:bottom w:val="single" w:color="auto" w:sz="4" w:space="0"/>
              <w:right w:val="single" w:color="auto" w:sz="4" w:space="0"/>
            </w:tcBorders>
            <w:noWrap w:val="0"/>
            <w:vAlign w:val="center"/>
          </w:tcPr>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价格分计算方法：满足招标文件要求且投标价格最低</w:t>
            </w:r>
            <w:r>
              <w:rPr>
                <w:rFonts w:hint="eastAsia" w:ascii="宋体" w:hAnsi="宋体"/>
                <w:color w:val="auto"/>
                <w:sz w:val="21"/>
                <w:szCs w:val="21"/>
                <w:lang w:eastAsia="zh-CN"/>
              </w:rPr>
              <w:t>（</w:t>
            </w:r>
            <w:r>
              <w:rPr>
                <w:rFonts w:hint="eastAsia" w:ascii="宋体" w:hAnsi="宋体"/>
                <w:color w:val="auto"/>
                <w:sz w:val="21"/>
                <w:szCs w:val="21"/>
                <w:lang w:val="en-US" w:eastAsia="zh-CN"/>
              </w:rPr>
              <w:t>即最大下浮率</w:t>
            </w:r>
            <w:r>
              <w:rPr>
                <w:rFonts w:hint="eastAsia" w:ascii="宋体" w:hAnsi="宋体"/>
                <w:color w:val="auto"/>
                <w:sz w:val="21"/>
                <w:szCs w:val="21"/>
                <w:lang w:eastAsia="zh-CN"/>
              </w:rPr>
              <w:t>）</w:t>
            </w:r>
            <w:bookmarkStart w:id="321" w:name="_GoBack"/>
            <w:bookmarkEnd w:id="321"/>
            <w:r>
              <w:rPr>
                <w:rFonts w:hint="eastAsia" w:ascii="宋体" w:hAnsi="宋体" w:eastAsia="宋体"/>
                <w:color w:val="auto"/>
                <w:sz w:val="21"/>
                <w:szCs w:val="21"/>
              </w:rPr>
              <w:t>的投标报价为评标基准价，其价格分为满分。其他投标人的价格分统一按照下列公式计算：</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投标报价得分</w:t>
            </w:r>
            <w:r>
              <w:rPr>
                <w:rFonts w:ascii="宋体" w:hAnsi="宋体" w:eastAsia="宋体"/>
                <w:color w:val="auto"/>
                <w:sz w:val="21"/>
                <w:szCs w:val="21"/>
              </w:rPr>
              <w:t>=(</w:t>
            </w:r>
            <w:r>
              <w:rPr>
                <w:rFonts w:hint="eastAsia" w:ascii="宋体" w:hAnsi="宋体" w:eastAsia="宋体"/>
                <w:color w:val="auto"/>
                <w:sz w:val="21"/>
                <w:szCs w:val="21"/>
              </w:rPr>
              <w:t>（</w:t>
            </w:r>
            <w:r>
              <w:rPr>
                <w:rFonts w:ascii="宋体" w:hAnsi="宋体" w:eastAsia="宋体"/>
                <w:color w:val="auto"/>
                <w:sz w:val="21"/>
                <w:szCs w:val="21"/>
              </w:rPr>
              <w:t>1-</w:t>
            </w:r>
            <w:r>
              <w:rPr>
                <w:rFonts w:hint="eastAsia" w:ascii="宋体" w:hAnsi="宋体" w:eastAsia="宋体"/>
                <w:color w:val="auto"/>
                <w:sz w:val="21"/>
                <w:szCs w:val="21"/>
              </w:rPr>
              <w:t>评标基准价）／（</w:t>
            </w:r>
            <w:r>
              <w:rPr>
                <w:rFonts w:ascii="宋体" w:hAnsi="宋体" w:eastAsia="宋体"/>
                <w:color w:val="auto"/>
                <w:sz w:val="21"/>
                <w:szCs w:val="21"/>
              </w:rPr>
              <w:t>1-</w:t>
            </w:r>
            <w:r>
              <w:rPr>
                <w:rFonts w:hint="eastAsia" w:ascii="宋体" w:hAnsi="宋体" w:eastAsia="宋体"/>
                <w:color w:val="auto"/>
                <w:sz w:val="21"/>
                <w:szCs w:val="21"/>
              </w:rPr>
              <w:t>投标下浮率）</w:t>
            </w:r>
            <w:r>
              <w:rPr>
                <w:rFonts w:ascii="宋体" w:hAnsi="宋体" w:eastAsia="宋体"/>
                <w:color w:val="auto"/>
                <w:sz w:val="21"/>
                <w:szCs w:val="21"/>
              </w:rPr>
              <w:t>)</w:t>
            </w:r>
            <w:r>
              <w:rPr>
                <w:rFonts w:hint="eastAsia" w:ascii="宋体" w:hAnsi="宋体" w:eastAsia="宋体"/>
                <w:color w:val="auto"/>
                <w:sz w:val="21"/>
                <w:szCs w:val="21"/>
              </w:rPr>
              <w:t>×价格权重×</w:t>
            </w:r>
            <w:r>
              <w:rPr>
                <w:rFonts w:ascii="宋体" w:hAnsi="宋体" w:eastAsia="宋体"/>
                <w:color w:val="auto"/>
                <w:sz w:val="21"/>
                <w:szCs w:val="21"/>
              </w:rPr>
              <w:t>100</w:t>
            </w:r>
          </w:p>
        </w:tc>
      </w:tr>
    </w:tbl>
    <w:p>
      <w:pPr>
        <w:bidi w:val="0"/>
        <w:rPr>
          <w:rFonts w:hint="eastAsia"/>
          <w:color w:val="auto"/>
        </w:rPr>
      </w:pPr>
      <w:r>
        <w:rPr>
          <w:rFonts w:hint="eastAsia"/>
          <w:color w:val="auto"/>
        </w:rPr>
        <w:br w:type="page"/>
      </w:r>
    </w:p>
    <w:p>
      <w:pPr>
        <w:pStyle w:val="3"/>
        <w:spacing w:before="0" w:after="0" w:line="240" w:lineRule="auto"/>
        <w:rPr>
          <w:color w:val="auto"/>
          <w:sz w:val="24"/>
          <w:szCs w:val="24"/>
        </w:rPr>
      </w:pPr>
      <w:bookmarkStart w:id="17" w:name="_Toc2479"/>
      <w:bookmarkStart w:id="18" w:name="_Toc29685"/>
      <w:bookmarkStart w:id="19" w:name="_Toc30638"/>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rPr>
      </w:pPr>
      <w:bookmarkStart w:id="21" w:name="_Toc19746"/>
      <w:bookmarkStart w:id="22" w:name="_Toc3095"/>
      <w:bookmarkStart w:id="23" w:name="_Toc11105"/>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rPr>
      </w:pPr>
      <w:bookmarkStart w:id="24" w:name="_Toc22847"/>
      <w:bookmarkStart w:id="25" w:name="_Toc18488"/>
      <w:bookmarkStart w:id="26" w:name="_Toc22803"/>
      <w:r>
        <w:rPr>
          <w:rFonts w:hint="eastAsia" w:ascii="宋体" w:hAnsi="宋体" w:eastAsia="宋体"/>
          <w:color w:val="auto"/>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7" w:name="_Toc13400"/>
      <w:bookmarkStart w:id="28" w:name="_Toc16848"/>
      <w:bookmarkStart w:id="29" w:name="_Toc21002"/>
      <w:r>
        <w:rPr>
          <w:rFonts w:hint="eastAsia" w:ascii="宋体" w:hAnsi="宋体" w:eastAsia="宋体"/>
          <w:color w:val="auto"/>
          <w:sz w:val="21"/>
          <w:szCs w:val="21"/>
        </w:rPr>
        <w:t>2.</w:t>
      </w:r>
      <w:bookmarkStart w:id="30" w:name="_Toc303084246"/>
      <w:bookmarkStart w:id="31" w:name="_Toc382049092"/>
      <w:bookmarkStart w:id="32" w:name="_Toc298847174"/>
      <w:bookmarkStart w:id="33" w:name="_Toc1530"/>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w:t>
      </w:r>
      <w:r>
        <w:rPr>
          <w:rFonts w:hint="eastAsia" w:ascii="宋体" w:hAnsi="宋体" w:eastAsia="宋体"/>
          <w:color w:val="auto"/>
          <w:sz w:val="21"/>
          <w:szCs w:val="21"/>
          <w:lang w:val="en-US" w:eastAsia="zh-CN"/>
        </w:rPr>
        <w:t>东莞市横沥市政工程建设有限公司</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3"/>
        </w:numPr>
        <w:adjustRightInd/>
        <w:snapToGrid/>
        <w:spacing w:line="360" w:lineRule="exact"/>
        <w:jc w:val="both"/>
        <w:rPr>
          <w:rFonts w:ascii="宋体" w:hAnsi="宋体" w:eastAsia="宋体"/>
          <w:color w:val="auto"/>
          <w:sz w:val="21"/>
          <w:szCs w:val="21"/>
        </w:rPr>
      </w:pPr>
      <w:r>
        <w:rPr>
          <w:rFonts w:hint="eastAsia" w:ascii="宋体" w:hAnsi="宋体" w:eastAsia="宋体"/>
          <w:color w:val="auto"/>
          <w:sz w:val="21"/>
          <w:szCs w:val="21"/>
        </w:rPr>
        <w:t>评标委员会：</w:t>
      </w:r>
      <w:r>
        <w:rPr>
          <w:rFonts w:hint="eastAsia" w:ascii="宋体" w:hAnsi="宋体"/>
          <w:color w:val="auto"/>
          <w:szCs w:val="21"/>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4" w:name="_Toc9710"/>
      <w:bookmarkStart w:id="35" w:name="_Toc3780"/>
      <w:bookmarkStart w:id="36" w:name="_Toc2996"/>
      <w:r>
        <w:rPr>
          <w:rFonts w:hint="eastAsia" w:ascii="宋体" w:hAnsi="宋体" w:eastAsia="宋体"/>
          <w:color w:val="auto"/>
          <w:sz w:val="21"/>
          <w:szCs w:val="21"/>
        </w:rPr>
        <w:t>3.货物和服务</w:t>
      </w:r>
      <w:bookmarkEnd w:id="34"/>
      <w:bookmarkEnd w:id="35"/>
      <w:bookmarkEnd w:id="36"/>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除货物和工程以外的其他采购对象</w:t>
      </w:r>
      <w:r>
        <w:rPr>
          <w:rFonts w:hint="eastAsia"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7" w:name="_Toc12536"/>
      <w:bookmarkStart w:id="38" w:name="_Toc15945"/>
      <w:bookmarkStart w:id="39" w:name="_Toc13909"/>
      <w:r>
        <w:rPr>
          <w:rFonts w:hint="eastAsia" w:ascii="宋体" w:hAnsi="宋体" w:eastAsia="宋体"/>
          <w:color w:val="auto"/>
          <w:sz w:val="21"/>
          <w:szCs w:val="21"/>
        </w:rPr>
        <w:t>4.投标费用</w:t>
      </w:r>
      <w:bookmarkEnd w:id="37"/>
      <w:bookmarkEnd w:id="38"/>
      <w:bookmarkEnd w:id="39"/>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0" w:name="_Toc19532"/>
      <w:bookmarkStart w:id="41" w:name="_Toc19094"/>
      <w:bookmarkStart w:id="42" w:name="_Toc25040"/>
      <w:r>
        <w:rPr>
          <w:rFonts w:hint="eastAsia" w:ascii="宋体" w:hAnsi="宋体" w:eastAsia="宋体"/>
          <w:color w:val="auto"/>
          <w:sz w:val="21"/>
          <w:szCs w:val="21"/>
        </w:rPr>
        <w:t>5.知识产权</w:t>
      </w:r>
      <w:bookmarkEnd w:id="40"/>
      <w:bookmarkEnd w:id="41"/>
      <w:bookmarkEnd w:id="42"/>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3" w:name="_Toc21930"/>
      <w:bookmarkStart w:id="44" w:name="_Toc31885"/>
      <w:bookmarkStart w:id="45" w:name="_Toc8432"/>
      <w:r>
        <w:rPr>
          <w:rFonts w:hint="eastAsia" w:ascii="宋体" w:hAnsi="宋体" w:eastAsia="宋体"/>
          <w:color w:val="auto"/>
          <w:sz w:val="21"/>
          <w:szCs w:val="21"/>
        </w:rPr>
        <w:t>6.关于联合体投标</w:t>
      </w:r>
      <w:bookmarkEnd w:id="43"/>
      <w:bookmarkEnd w:id="44"/>
      <w:bookmarkEnd w:id="4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w:t>
      </w:r>
      <w:r>
        <w:rPr>
          <w:rFonts w:hint="eastAsia" w:ascii="宋体" w:hAnsi="宋体"/>
          <w:color w:val="auto"/>
          <w:szCs w:val="21"/>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6" w:name="_Toc16571"/>
      <w:bookmarkStart w:id="47" w:name="_Toc32331"/>
      <w:bookmarkStart w:id="48" w:name="_Toc13811"/>
      <w:bookmarkStart w:id="49" w:name="_Toc17879"/>
      <w:r>
        <w:rPr>
          <w:rFonts w:hint="eastAsia" w:ascii="宋体" w:hAnsi="宋体" w:eastAsia="宋体"/>
          <w:color w:val="auto"/>
          <w:sz w:val="21"/>
          <w:szCs w:val="21"/>
        </w:rPr>
        <w:t>7.关于分支机构投标</w:t>
      </w:r>
      <w:bookmarkEnd w:id="46"/>
      <w:bookmarkEnd w:id="47"/>
      <w:bookmarkEnd w:id="48"/>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51" w:name="_Toc18115"/>
      <w:bookmarkStart w:id="52" w:name="_Toc2704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rPr>
      </w:pPr>
      <w:bookmarkStart w:id="53" w:name="_Toc1423"/>
      <w:bookmarkStart w:id="54" w:name="_Toc21771"/>
      <w:bookmarkStart w:id="55" w:name="_Toc13494"/>
      <w:r>
        <w:rPr>
          <w:rFonts w:hint="eastAsia" w:ascii="宋体" w:hAnsi="宋体" w:eastAsia="宋体"/>
          <w:color w:val="auto"/>
          <w:sz w:val="21"/>
          <w:szCs w:val="21"/>
        </w:rPr>
        <w:t>8.招标文件的组成</w:t>
      </w:r>
      <w:bookmarkEnd w:id="53"/>
      <w:bookmarkEnd w:id="54"/>
      <w:bookmarkEnd w:id="5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14217"/>
      <w:bookmarkStart w:id="57" w:name="_Toc17274"/>
      <w:bookmarkStart w:id="58" w:name="_Toc7997"/>
      <w:r>
        <w:rPr>
          <w:rFonts w:hint="eastAsia" w:ascii="宋体" w:hAnsi="宋体" w:eastAsia="宋体"/>
          <w:color w:val="auto"/>
          <w:sz w:val="21"/>
          <w:szCs w:val="21"/>
        </w:rPr>
        <w:t>9.招标文件的澄清或修改</w:t>
      </w:r>
      <w:bookmarkEnd w:id="56"/>
      <w:bookmarkEnd w:id="57"/>
      <w:bookmarkEnd w:id="5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4"/>
        <w:numPr>
          <w:ilvl w:val="0"/>
          <w:numId w:val="0"/>
        </w:numPr>
        <w:spacing w:before="0" w:after="0" w:line="480" w:lineRule="auto"/>
        <w:ind w:leftChars="0"/>
        <w:jc w:val="center"/>
        <w:rPr>
          <w:rFonts w:ascii="宋体" w:hAnsi="宋体" w:eastAsia="宋体"/>
          <w:color w:val="auto"/>
        </w:rPr>
      </w:pPr>
      <w:bookmarkStart w:id="59" w:name="_Toc16712"/>
      <w:bookmarkStart w:id="60" w:name="_Toc4773"/>
      <w:bookmarkStart w:id="61" w:name="_Toc23726"/>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7434"/>
      <w:bookmarkStart w:id="63" w:name="_Toc28092"/>
      <w:bookmarkStart w:id="64" w:name="_Toc20623"/>
      <w:r>
        <w:rPr>
          <w:rFonts w:hint="eastAsia" w:ascii="宋体" w:hAnsi="宋体" w:eastAsia="宋体"/>
          <w:color w:val="auto"/>
          <w:sz w:val="21"/>
          <w:szCs w:val="21"/>
        </w:rPr>
        <w:t>10.投标文件的语言及度量衡单位</w:t>
      </w:r>
      <w:bookmarkEnd w:id="62"/>
      <w:bookmarkEnd w:id="63"/>
      <w:bookmarkEnd w:id="6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307934854"/>
      <w:bookmarkStart w:id="66" w:name="_Toc303084256"/>
      <w:bookmarkStart w:id="67" w:name="_Toc18999"/>
      <w:bookmarkStart w:id="68" w:name="_Toc7728"/>
      <w:bookmarkStart w:id="69" w:name="_Toc12145"/>
      <w:bookmarkStart w:id="70" w:name="_Toc28866"/>
      <w:bookmarkStart w:id="71" w:name="_Toc382049103"/>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3882"/>
      <w:bookmarkStart w:id="73" w:name="_Toc30189"/>
      <w:bookmarkStart w:id="74" w:name="_Toc21747"/>
      <w:r>
        <w:rPr>
          <w:rFonts w:hint="eastAsia" w:ascii="宋体" w:hAnsi="宋体" w:eastAsia="宋体"/>
          <w:color w:val="auto"/>
          <w:sz w:val="21"/>
          <w:szCs w:val="21"/>
        </w:rPr>
        <w:t>12.投标文件编制</w:t>
      </w:r>
      <w:bookmarkEnd w:id="72"/>
      <w:bookmarkEnd w:id="73"/>
      <w:bookmarkEnd w:id="7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17188"/>
      <w:bookmarkStart w:id="77" w:name="_Toc7847"/>
      <w:bookmarkStart w:id="78" w:name="_Toc259"/>
      <w:r>
        <w:rPr>
          <w:rFonts w:hint="eastAsia" w:ascii="宋体" w:hAnsi="宋体" w:eastAsia="宋体"/>
          <w:color w:val="auto"/>
          <w:sz w:val="21"/>
          <w:szCs w:val="21"/>
        </w:rPr>
        <w:t>13.投标报价说明</w:t>
      </w:r>
      <w:bookmarkEnd w:id="76"/>
      <w:bookmarkEnd w:id="77"/>
      <w:bookmarkEnd w:id="7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16535"/>
      <w:bookmarkStart w:id="80" w:name="_Toc27724"/>
      <w:bookmarkStart w:id="81" w:name="_Toc18911"/>
      <w:r>
        <w:rPr>
          <w:rFonts w:hint="eastAsia" w:ascii="宋体" w:hAnsi="宋体" w:eastAsia="宋体"/>
          <w:color w:val="auto"/>
          <w:sz w:val="21"/>
          <w:szCs w:val="21"/>
        </w:rPr>
        <w:t>14.投标人所提供的服务或货物的证明文件</w:t>
      </w:r>
      <w:bookmarkEnd w:id="79"/>
      <w:bookmarkEnd w:id="80"/>
      <w:bookmarkEnd w:id="8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38"/>
      <w:bookmarkEnd w:id="82"/>
      <w:bookmarkStart w:id="83" w:name="_Hlt10792566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19520"/>
      <w:bookmarkStart w:id="85" w:name="_Toc22169"/>
      <w:bookmarkStart w:id="86" w:name="_Toc30815"/>
      <w:r>
        <w:rPr>
          <w:rFonts w:hint="eastAsia" w:ascii="宋体" w:hAnsi="宋体" w:eastAsia="宋体"/>
          <w:color w:val="auto"/>
          <w:sz w:val="21"/>
          <w:szCs w:val="21"/>
        </w:rPr>
        <w:t>15.★投标有效期</w:t>
      </w:r>
      <w:bookmarkEnd w:id="84"/>
      <w:bookmarkEnd w:id="85"/>
      <w:bookmarkEnd w:id="8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7" w:name="_Toc12456"/>
      <w:bookmarkStart w:id="88" w:name="_Toc30257"/>
      <w:bookmarkStart w:id="89" w:name="_Toc25817"/>
      <w:r>
        <w:rPr>
          <w:rFonts w:hint="eastAsia" w:ascii="宋体" w:hAnsi="宋体" w:eastAsia="宋体"/>
          <w:color w:val="auto"/>
          <w:sz w:val="21"/>
          <w:szCs w:val="21"/>
        </w:rPr>
        <w:t>16.投标保证金</w:t>
      </w:r>
      <w:bookmarkEnd w:id="87"/>
      <w:bookmarkEnd w:id="88"/>
      <w:bookmarkEnd w:id="8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4"/>
        <w:numPr>
          <w:ilvl w:val="0"/>
          <w:numId w:val="0"/>
        </w:numPr>
        <w:spacing w:before="0" w:after="0" w:line="480" w:lineRule="auto"/>
        <w:ind w:leftChars="0"/>
        <w:jc w:val="center"/>
        <w:rPr>
          <w:rFonts w:ascii="宋体" w:hAnsi="宋体" w:eastAsia="宋体"/>
          <w:color w:val="auto"/>
        </w:rPr>
      </w:pPr>
      <w:bookmarkStart w:id="91" w:name="_Toc3200"/>
      <w:bookmarkStart w:id="92" w:name="_Toc31124"/>
      <w:bookmarkStart w:id="93" w:name="_Toc24109"/>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382049111"/>
      <w:bookmarkStart w:id="95" w:name="_Toc473"/>
      <w:bookmarkStart w:id="96" w:name="_Toc24997"/>
      <w:bookmarkStart w:id="97" w:name="_Toc23678"/>
      <w:bookmarkStart w:id="98" w:name="_Toc29590"/>
      <w:bookmarkStart w:id="99" w:name="_Toc303084264"/>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8628"/>
      <w:bookmarkStart w:id="101" w:name="_Toc17417"/>
      <w:bookmarkStart w:id="102" w:name="_Toc7473"/>
      <w:r>
        <w:rPr>
          <w:rFonts w:hint="eastAsia" w:ascii="宋体" w:hAnsi="宋体" w:eastAsia="宋体"/>
          <w:color w:val="auto"/>
          <w:sz w:val="21"/>
          <w:szCs w:val="21"/>
        </w:rPr>
        <w:t>18.迟交的投标文件</w:t>
      </w:r>
      <w:bookmarkEnd w:id="100"/>
      <w:bookmarkEnd w:id="101"/>
      <w:bookmarkEnd w:id="102"/>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8526"/>
      <w:bookmarkStart w:id="104" w:name="_Toc13212"/>
      <w:bookmarkStart w:id="105" w:name="_Toc19649"/>
      <w:r>
        <w:rPr>
          <w:rFonts w:hint="eastAsia" w:ascii="宋体" w:hAnsi="宋体" w:eastAsia="宋体"/>
          <w:color w:val="auto"/>
          <w:sz w:val="21"/>
          <w:szCs w:val="21"/>
        </w:rPr>
        <w:t>19.投标样品（如需提交）</w:t>
      </w:r>
      <w:bookmarkEnd w:id="103"/>
      <w:bookmarkEnd w:id="104"/>
      <w:bookmarkEnd w:id="105"/>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303084265"/>
      <w:bookmarkStart w:id="107" w:name="_Toc382049112"/>
      <w:bookmarkStart w:id="108" w:name="_Toc5900"/>
      <w:bookmarkStart w:id="109" w:name="_Toc23477"/>
      <w:bookmarkStart w:id="110" w:name="_Toc7689"/>
      <w:bookmarkStart w:id="111" w:name="_Toc9777"/>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6003"/>
      <w:bookmarkStart w:id="113" w:name="_Toc15569"/>
      <w:bookmarkStart w:id="114" w:name="_Toc11133"/>
      <w:r>
        <w:rPr>
          <w:rFonts w:hint="eastAsia" w:ascii="宋体" w:hAnsi="宋体" w:eastAsia="宋体"/>
          <w:color w:val="auto"/>
          <w:sz w:val="21"/>
          <w:szCs w:val="21"/>
        </w:rPr>
        <w:t>21.投标文件的补充、修改与撤回</w:t>
      </w:r>
      <w:bookmarkEnd w:id="112"/>
      <w:bookmarkEnd w:id="113"/>
      <w:bookmarkEnd w:id="11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7"/>
        <w:rPr>
          <w:color w:val="auto"/>
        </w:rPr>
      </w:pPr>
    </w:p>
    <w:p>
      <w:pPr>
        <w:pStyle w:val="4"/>
        <w:numPr>
          <w:ilvl w:val="0"/>
          <w:numId w:val="0"/>
        </w:numPr>
        <w:spacing w:before="0" w:after="0" w:line="480" w:lineRule="auto"/>
        <w:ind w:leftChars="0"/>
        <w:jc w:val="center"/>
        <w:rPr>
          <w:rFonts w:ascii="宋体" w:hAnsi="宋体" w:eastAsia="宋体"/>
          <w:color w:val="auto"/>
        </w:rPr>
      </w:pPr>
      <w:bookmarkStart w:id="115" w:name="_Toc5049"/>
      <w:bookmarkStart w:id="116" w:name="_Toc29574"/>
      <w:bookmarkStart w:id="117" w:name="_Toc23466"/>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8458"/>
      <w:bookmarkStart w:id="119" w:name="_Toc27700"/>
      <w:bookmarkStart w:id="120" w:name="_Toc24251"/>
      <w:r>
        <w:rPr>
          <w:rFonts w:hint="eastAsia" w:ascii="宋体" w:hAnsi="宋体" w:eastAsia="宋体"/>
          <w:color w:val="auto"/>
          <w:sz w:val="21"/>
          <w:szCs w:val="21"/>
        </w:rPr>
        <w:t>22.开标</w:t>
      </w:r>
      <w:bookmarkEnd w:id="118"/>
      <w:bookmarkEnd w:id="119"/>
      <w:bookmarkEnd w:id="120"/>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4921"/>
      <w:bookmarkStart w:id="122" w:name="_Toc5974"/>
      <w:bookmarkStart w:id="123" w:name="_Toc5524"/>
      <w:r>
        <w:rPr>
          <w:rFonts w:hint="eastAsia" w:ascii="宋体" w:hAnsi="宋体" w:eastAsia="宋体"/>
          <w:color w:val="auto"/>
          <w:sz w:val="21"/>
          <w:szCs w:val="21"/>
        </w:rPr>
        <w:t>23.评标委员会及评标方法</w:t>
      </w:r>
      <w:bookmarkEnd w:id="121"/>
      <w:bookmarkEnd w:id="122"/>
      <w:bookmarkEnd w:id="123"/>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26402"/>
      <w:bookmarkStart w:id="125" w:name="_Toc32730"/>
      <w:bookmarkStart w:id="126" w:name="_Toc15231"/>
      <w:r>
        <w:rPr>
          <w:rFonts w:hint="eastAsia" w:ascii="宋体" w:hAnsi="宋体" w:eastAsia="宋体"/>
          <w:color w:val="auto"/>
          <w:sz w:val="21"/>
          <w:szCs w:val="21"/>
        </w:rPr>
        <w:t>24.评审原则及评标过程的保密</w:t>
      </w:r>
      <w:bookmarkEnd w:id="124"/>
      <w:bookmarkEnd w:id="125"/>
      <w:bookmarkEnd w:id="12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w:t>
      </w:r>
      <w:r>
        <w:rPr>
          <w:rFonts w:hint="eastAsia" w:ascii="宋体" w:hAnsi="宋体"/>
          <w:color w:val="auto"/>
          <w:szCs w:val="21"/>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16745"/>
      <w:bookmarkStart w:id="128" w:name="_Toc18436"/>
      <w:bookmarkStart w:id="129" w:name="_Toc3762"/>
      <w:r>
        <w:rPr>
          <w:rFonts w:hint="eastAsia" w:ascii="宋体" w:hAnsi="宋体" w:eastAsia="宋体"/>
          <w:color w:val="auto"/>
          <w:sz w:val="21"/>
          <w:szCs w:val="21"/>
        </w:rPr>
        <w:t>25.投标文件的初审</w:t>
      </w:r>
      <w:bookmarkEnd w:id="127"/>
      <w:bookmarkEnd w:id="128"/>
      <w:bookmarkEnd w:id="12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7673"/>
      <w:bookmarkStart w:id="131" w:name="_Toc29184"/>
      <w:bookmarkStart w:id="132" w:name="_Toc21742"/>
      <w:r>
        <w:rPr>
          <w:rFonts w:hint="eastAsia" w:ascii="宋体" w:hAnsi="宋体" w:eastAsia="宋体"/>
          <w:color w:val="auto"/>
          <w:sz w:val="21"/>
          <w:szCs w:val="21"/>
        </w:rPr>
        <w:t>26.商务、技术、价格评审（具体评审项目详见投标资料表）</w:t>
      </w:r>
      <w:bookmarkEnd w:id="130"/>
      <w:bookmarkEnd w:id="131"/>
      <w:bookmarkEnd w:id="13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316375620"/>
      <w:bookmarkStart w:id="134" w:name="_Toc382049120"/>
      <w:bookmarkStart w:id="135" w:name="_Toc22591"/>
      <w:bookmarkStart w:id="136" w:name="_Toc31141"/>
      <w:bookmarkStart w:id="137" w:name="_Toc20328"/>
      <w:bookmarkStart w:id="138" w:name="_Toc12115"/>
      <w:r>
        <w:rPr>
          <w:rFonts w:hint="eastAsia" w:ascii="宋体" w:hAnsi="宋体" w:eastAsia="宋体"/>
          <w:color w:val="auto"/>
          <w:sz w:val="21"/>
          <w:szCs w:val="21"/>
        </w:rPr>
        <w:t>2</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.纪律和</w:t>
      </w:r>
      <w:r>
        <w:rPr>
          <w:rFonts w:ascii="宋体" w:hAnsi="宋体" w:eastAsia="宋体"/>
          <w:color w:val="auto"/>
          <w:sz w:val="21"/>
          <w:szCs w:val="21"/>
        </w:rPr>
        <w:t>保密</w:t>
      </w:r>
      <w:bookmarkEnd w:id="133"/>
      <w:r>
        <w:rPr>
          <w:rFonts w:hint="eastAsia" w:ascii="宋体" w:hAnsi="宋体" w:eastAsia="宋体"/>
          <w:color w:val="auto"/>
          <w:sz w:val="21"/>
          <w:szCs w:val="21"/>
        </w:rPr>
        <w:t>事项</w:t>
      </w:r>
      <w:bookmarkEnd w:id="134"/>
      <w:bookmarkEnd w:id="135"/>
      <w:bookmarkEnd w:id="136"/>
      <w:bookmarkEnd w:id="137"/>
      <w:bookmarkEnd w:id="13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39" w:name="_Toc5528"/>
      <w:bookmarkStart w:id="140" w:name="_Toc29310"/>
      <w:bookmarkStart w:id="141" w:name="_Toc12251"/>
      <w:r>
        <w:rPr>
          <w:rFonts w:hint="eastAsia" w:ascii="宋体" w:hAnsi="宋体"/>
          <w:color w:val="auto"/>
          <w:lang w:val="en-US" w:eastAsia="zh-CN"/>
        </w:rPr>
        <w:t>第六章</w:t>
      </w:r>
      <w:r>
        <w:rPr>
          <w:rFonts w:hint="eastAsia" w:ascii="宋体" w:hAnsi="宋体" w:eastAsia="宋体"/>
          <w:color w:val="auto"/>
        </w:rPr>
        <w:t>授予合同</w:t>
      </w:r>
      <w:bookmarkEnd w:id="139"/>
      <w:bookmarkEnd w:id="140"/>
      <w:bookmarkEnd w:id="14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2" w:name="_Toc6696"/>
      <w:bookmarkStart w:id="143" w:name="_Toc508284011"/>
      <w:bookmarkStart w:id="144" w:name="_Toc17778"/>
      <w:bookmarkStart w:id="145" w:name="_Toc27817"/>
      <w:r>
        <w:rPr>
          <w:rFonts w:hint="eastAsia" w:ascii="宋体" w:hAnsi="宋体" w:eastAsia="宋体"/>
          <w:color w:val="auto"/>
          <w:sz w:val="21"/>
          <w:szCs w:val="21"/>
        </w:rPr>
        <w:t>2</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w:t>
      </w:r>
      <w:r>
        <w:rPr>
          <w:rFonts w:ascii="宋体" w:hAnsi="宋体" w:eastAsia="宋体"/>
          <w:color w:val="auto"/>
          <w:sz w:val="21"/>
          <w:szCs w:val="21"/>
        </w:rPr>
        <w:t>合同授予标准</w:t>
      </w:r>
      <w:bookmarkEnd w:id="142"/>
      <w:bookmarkEnd w:id="143"/>
      <w:bookmarkEnd w:id="144"/>
      <w:bookmarkEnd w:id="145"/>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6" w:name="_Toc508284013"/>
      <w:bookmarkStart w:id="147" w:name="_Toc23136"/>
      <w:bookmarkStart w:id="148" w:name="_Toc12440"/>
      <w:bookmarkStart w:id="149" w:name="_Toc29283"/>
      <w:r>
        <w:rPr>
          <w:rFonts w:hint="eastAsia" w:ascii="宋体" w:hAnsi="宋体" w:eastAsia="宋体"/>
          <w:color w:val="auto"/>
          <w:sz w:val="21"/>
          <w:szCs w:val="21"/>
          <w:lang w:val="en-US" w:eastAsia="zh-CN"/>
        </w:rPr>
        <w:t>29</w:t>
      </w:r>
      <w:r>
        <w:rPr>
          <w:rFonts w:hint="eastAsia" w:ascii="宋体" w:hAnsi="宋体" w:eastAsia="宋体"/>
          <w:color w:val="auto"/>
          <w:sz w:val="21"/>
          <w:szCs w:val="21"/>
        </w:rPr>
        <w:t>.发布采购结果</w:t>
      </w:r>
      <w:bookmarkEnd w:id="146"/>
      <w:bookmarkEnd w:id="147"/>
      <w:bookmarkEnd w:id="148"/>
      <w:bookmarkEnd w:id="14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0" w:name="_Toc27279"/>
      <w:bookmarkStart w:id="151" w:name="_Toc22451"/>
      <w:bookmarkStart w:id="152" w:name="_Toc22262"/>
      <w:r>
        <w:rPr>
          <w:rFonts w:hint="eastAsia" w:ascii="宋体" w:hAnsi="宋体" w:eastAsia="宋体"/>
          <w:color w:val="auto"/>
          <w:sz w:val="21"/>
          <w:szCs w:val="21"/>
        </w:rPr>
        <w:t>3</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.合同的签订与履行</w:t>
      </w:r>
      <w:bookmarkEnd w:id="150"/>
      <w:bookmarkEnd w:id="151"/>
      <w:bookmarkEnd w:id="15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25756"/>
      <w:bookmarkStart w:id="154" w:name="_Toc7405"/>
      <w:bookmarkStart w:id="155" w:name="_Toc2744"/>
      <w:bookmarkStart w:id="156" w:name="_Toc303084277"/>
      <w:bookmarkStart w:id="157" w:name="_Toc29009"/>
      <w:bookmarkStart w:id="158" w:name="_Toc382049124"/>
      <w:r>
        <w:rPr>
          <w:rFonts w:hint="eastAsia" w:ascii="宋体" w:hAnsi="宋体" w:eastAsia="宋体"/>
          <w:color w:val="auto"/>
          <w:sz w:val="21"/>
          <w:szCs w:val="21"/>
        </w:rPr>
        <w:t>3</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w:t>
      </w:r>
      <w:r>
        <w:rPr>
          <w:rFonts w:ascii="宋体" w:hAnsi="宋体" w:eastAsia="宋体"/>
          <w:color w:val="auto"/>
          <w:sz w:val="21"/>
          <w:szCs w:val="21"/>
        </w:rPr>
        <w:t>履约</w:t>
      </w:r>
      <w:r>
        <w:rPr>
          <w:rFonts w:hint="eastAsia" w:ascii="宋体" w:hAnsi="宋体" w:eastAsia="宋体"/>
          <w:color w:val="auto"/>
          <w:sz w:val="21"/>
          <w:szCs w:val="21"/>
        </w:rPr>
        <w:t>保证金</w:t>
      </w:r>
      <w:bookmarkEnd w:id="153"/>
      <w:bookmarkEnd w:id="154"/>
      <w:bookmarkEnd w:id="155"/>
      <w:bookmarkEnd w:id="156"/>
      <w:bookmarkEnd w:id="157"/>
      <w:bookmarkEnd w:id="15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59" w:name="_Toc20699"/>
      <w:bookmarkStart w:id="160" w:name="_Toc7360"/>
      <w:bookmarkStart w:id="161" w:name="_Toc13694"/>
      <w:r>
        <w:rPr>
          <w:rFonts w:hint="eastAsia" w:ascii="宋体" w:hAnsi="宋体"/>
          <w:color w:val="auto"/>
          <w:lang w:val="en-US" w:eastAsia="zh-CN"/>
        </w:rPr>
        <w:t>第七章</w:t>
      </w:r>
      <w:r>
        <w:rPr>
          <w:rFonts w:hint="eastAsia" w:ascii="宋体" w:hAnsi="宋体" w:eastAsia="宋体"/>
          <w:color w:val="auto"/>
        </w:rPr>
        <w:t>询问或质疑</w:t>
      </w:r>
      <w:bookmarkEnd w:id="159"/>
      <w:bookmarkEnd w:id="160"/>
      <w:bookmarkEnd w:id="1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2" w:name="_Toc22900"/>
      <w:bookmarkStart w:id="163" w:name="_Toc17974"/>
      <w:bookmarkStart w:id="164" w:name="_Toc25498"/>
      <w:r>
        <w:rPr>
          <w:rFonts w:hint="eastAsia" w:ascii="宋体" w:hAnsi="宋体" w:eastAsia="宋体"/>
          <w:color w:val="auto"/>
          <w:sz w:val="21"/>
          <w:szCs w:val="21"/>
        </w:rPr>
        <w:t>3</w:t>
      </w:r>
      <w:r>
        <w:rPr>
          <w:rFonts w:hint="eastAsia" w:ascii="宋体" w:hAnsi="宋体" w:eastAsia="宋体"/>
          <w:color w:val="auto"/>
          <w:sz w:val="21"/>
          <w:szCs w:val="21"/>
          <w:lang w:val="en-US" w:eastAsia="zh-CN"/>
        </w:rPr>
        <w:t>2</w:t>
      </w:r>
      <w:r>
        <w:rPr>
          <w:rFonts w:hint="eastAsia" w:ascii="宋体" w:hAnsi="宋体" w:eastAsia="宋体"/>
          <w:color w:val="auto"/>
          <w:sz w:val="21"/>
          <w:szCs w:val="21"/>
        </w:rPr>
        <w:t>.询问</w:t>
      </w:r>
      <w:bookmarkEnd w:id="162"/>
      <w:bookmarkEnd w:id="163"/>
      <w:bookmarkEnd w:id="164"/>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2767"/>
      <w:bookmarkStart w:id="166" w:name="_Toc11264"/>
      <w:bookmarkStart w:id="167" w:name="_Toc8234"/>
      <w:r>
        <w:rPr>
          <w:rFonts w:hint="eastAsia" w:ascii="宋体" w:hAnsi="宋体" w:eastAsia="宋体"/>
          <w:color w:val="auto"/>
          <w:sz w:val="21"/>
          <w:szCs w:val="21"/>
        </w:rPr>
        <w:t>3</w:t>
      </w:r>
      <w:r>
        <w:rPr>
          <w:rFonts w:hint="eastAsia" w:ascii="宋体" w:hAnsi="宋体" w:eastAsia="宋体"/>
          <w:color w:val="auto"/>
          <w:sz w:val="21"/>
          <w:szCs w:val="21"/>
          <w:lang w:val="en-US" w:eastAsia="zh-CN"/>
        </w:rPr>
        <w:t>3</w:t>
      </w:r>
      <w:r>
        <w:rPr>
          <w:rFonts w:hint="eastAsia" w:ascii="宋体" w:hAnsi="宋体" w:eastAsia="宋体"/>
          <w:color w:val="auto"/>
          <w:sz w:val="21"/>
          <w:szCs w:val="21"/>
        </w:rPr>
        <w:t>.质疑</w:t>
      </w:r>
      <w:bookmarkEnd w:id="165"/>
      <w:bookmarkEnd w:id="166"/>
      <w:bookmarkEnd w:id="167"/>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以联合体形式参加采购活动的，其质疑应当由组成联合体的所有投标人共同提出。</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68" w:name="_Toc5690"/>
      <w:bookmarkStart w:id="169" w:name="_Toc24383"/>
      <w:bookmarkStart w:id="170" w:name="_Toc8919"/>
      <w:r>
        <w:rPr>
          <w:rFonts w:hint="eastAsia" w:ascii="宋体" w:hAnsi="宋体"/>
          <w:color w:val="auto"/>
          <w:lang w:val="en-US" w:eastAsia="zh-CN"/>
        </w:rPr>
        <w:t>第八章</w:t>
      </w:r>
      <w:r>
        <w:rPr>
          <w:rFonts w:hint="eastAsia" w:ascii="宋体" w:hAnsi="宋体" w:eastAsia="宋体"/>
          <w:color w:val="auto"/>
        </w:rPr>
        <w:t>其他</w:t>
      </w:r>
      <w:bookmarkEnd w:id="168"/>
      <w:bookmarkEnd w:id="169"/>
      <w:bookmarkEnd w:id="170"/>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1" w:name="_Toc21187"/>
      <w:bookmarkStart w:id="172" w:name="_Toc6548"/>
      <w:bookmarkStart w:id="173" w:name="_Toc10082"/>
      <w:r>
        <w:rPr>
          <w:rFonts w:hint="eastAsia" w:ascii="宋体" w:hAnsi="宋体" w:eastAsia="宋体"/>
          <w:color w:val="auto"/>
          <w:sz w:val="21"/>
          <w:szCs w:val="21"/>
        </w:rPr>
        <w:t>3</w:t>
      </w:r>
      <w:r>
        <w:rPr>
          <w:rFonts w:hint="eastAsia" w:ascii="宋体" w:hAnsi="宋体" w:eastAsia="宋体"/>
          <w:color w:val="auto"/>
          <w:sz w:val="21"/>
          <w:szCs w:val="21"/>
          <w:lang w:val="en-US" w:eastAsia="zh-CN"/>
        </w:rPr>
        <w:t>4</w:t>
      </w:r>
      <w:r>
        <w:rPr>
          <w:rFonts w:hint="eastAsia" w:ascii="宋体" w:hAnsi="宋体" w:eastAsia="宋体"/>
          <w:color w:val="auto"/>
          <w:sz w:val="21"/>
          <w:szCs w:val="21"/>
        </w:rPr>
        <w:t>.招标文件的解释权</w:t>
      </w:r>
      <w:bookmarkEnd w:id="171"/>
      <w:bookmarkEnd w:id="172"/>
      <w:bookmarkEnd w:id="173"/>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w:t>
      </w:r>
      <w:r>
        <w:rPr>
          <w:rFonts w:hint="eastAsia" w:ascii="宋体" w:hAnsi="宋体"/>
          <w:color w:val="auto"/>
          <w:sz w:val="21"/>
          <w:szCs w:val="21"/>
          <w:lang w:val="en-US" w:eastAsia="zh-CN"/>
        </w:rPr>
        <w:t>220406</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3"/>
        <w:spacing w:before="0" w:after="0" w:line="240" w:lineRule="auto"/>
        <w:rPr>
          <w:rFonts w:hint="eastAsia"/>
          <w:color w:val="auto"/>
          <w:sz w:val="28"/>
          <w:szCs w:val="28"/>
        </w:rPr>
      </w:pPr>
      <w:bookmarkStart w:id="174" w:name="_Toc31854"/>
      <w:bookmarkStart w:id="175" w:name="_Toc382"/>
      <w:bookmarkStart w:id="176" w:name="_Toc7011"/>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4"/>
      <w:bookmarkEnd w:id="175"/>
      <w:bookmarkEnd w:id="176"/>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77" w:name="_Toc1593"/>
      <w:bookmarkStart w:id="178" w:name="_Toc19316"/>
      <w:r>
        <w:rPr>
          <w:rFonts w:hint="eastAsia" w:ascii="宋体" w:hAnsi="宋体"/>
          <w:color w:val="auto"/>
          <w:lang w:val="en-US" w:eastAsia="zh-CN"/>
        </w:rPr>
        <w:t>第一章 商务需求书</w:t>
      </w:r>
      <w:bookmarkEnd w:id="177"/>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3"/>
              <w:keepNext w:val="0"/>
              <w:keepLines w:val="0"/>
              <w:pageBreakBefore w:val="0"/>
              <w:widowControl/>
              <w:kinsoku/>
              <w:wordWrap/>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三年</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以单项合同实际供货量结算，材料到达现场并提供等额发票后，由采购单位15天内完成支付。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投标人根据项目招标内容及要求一次性报出固定下浮率。</w:t>
            </w:r>
            <w:r>
              <w:rPr>
                <w:rFonts w:hint="eastAsia" w:ascii="宋体" w:hAnsi="宋体" w:cs="宋体"/>
                <w:color w:val="auto"/>
                <w:sz w:val="21"/>
                <w:szCs w:val="21"/>
                <w:highlight w:val="none"/>
                <w:lang w:val="zh-CN"/>
              </w:rPr>
              <w:t>供货款项</w:t>
            </w:r>
            <w:r>
              <w:rPr>
                <w:rFonts w:hint="eastAsia" w:ascii="宋体" w:hAnsi="宋体" w:eastAsia="宋体" w:cs="宋体"/>
                <w:color w:val="auto"/>
                <w:sz w:val="21"/>
                <w:szCs w:val="21"/>
                <w:highlight w:val="none"/>
                <w:lang w:val="zh-CN"/>
              </w:rPr>
              <w:t>最终结算时统一采用以下方式计算费用：</w:t>
            </w:r>
            <w:r>
              <w:rPr>
                <w:rFonts w:hint="eastAsia" w:ascii="宋体" w:hAnsi="宋体" w:cs="宋体"/>
                <w:color w:val="auto"/>
                <w:sz w:val="21"/>
                <w:szCs w:val="21"/>
                <w:highlight w:val="none"/>
                <w:lang w:val="zh-CN"/>
              </w:rPr>
              <w:t>供货款项</w:t>
            </w:r>
            <w:r>
              <w:rPr>
                <w:rFonts w:hint="eastAsia" w:ascii="宋体" w:hAnsi="宋体" w:eastAsia="宋体" w:cs="宋体"/>
                <w:color w:val="auto"/>
                <w:sz w:val="21"/>
                <w:szCs w:val="21"/>
                <w:highlight w:val="none"/>
                <w:lang w:val="zh-CN"/>
              </w:rPr>
              <w:t>=（1-下浮率）×供应商当天供货报价（价格可参考当月东莞建设工程造价信息，按实际情况为准），按实际使用数量结算。</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下浮率定义：投标人对本项目进行投标时承诺报价下调的比率。</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报价应包含完成本次招标所有服务内容的费用，包括搬运费、运输费、人工费、拆除费、工具费、耗材费、各种税费、资料费、保险费、验收费、及合同实施过程中的不可预见费用等全部费用。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pStyle w:val="7"/>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r>
        <w:rPr>
          <w:rFonts w:hint="eastAsia" w:ascii="宋体" w:hAnsi="宋体"/>
          <w:color w:val="auto"/>
          <w:lang w:val="en-US" w:eastAsia="zh-CN"/>
        </w:rPr>
        <w:t>第二章 技术需求书</w:t>
      </w:r>
      <w:bookmarkEnd w:id="178"/>
    </w:p>
    <w:p>
      <w:pPr>
        <w:pStyle w:val="5"/>
        <w:bidi w:val="0"/>
        <w:rPr>
          <w:color w:val="auto"/>
        </w:rPr>
      </w:pPr>
      <w:bookmarkStart w:id="179" w:name="_Toc24679"/>
      <w:bookmarkStart w:id="180" w:name="_Toc13112"/>
      <w:bookmarkStart w:id="181" w:name="_Toc31278"/>
      <w:bookmarkStart w:id="182" w:name="_Toc14462"/>
      <w:r>
        <w:rPr>
          <w:rFonts w:hint="eastAsia"/>
          <w:color w:val="auto"/>
        </w:rPr>
        <w:t>一、协议供货材料明细</w:t>
      </w:r>
    </w:p>
    <w:tbl>
      <w:tblPr>
        <w:tblStyle w:val="23"/>
        <w:tblW w:w="0" w:type="auto"/>
        <w:tblInd w:w="3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261" w:type="dxa"/>
          </w:tcPr>
          <w:p>
            <w:pPr>
              <w:pStyle w:val="58"/>
              <w:spacing w:before="1"/>
              <w:rPr>
                <w:color w:val="auto"/>
                <w:sz w:val="16"/>
              </w:rPr>
            </w:pPr>
          </w:p>
          <w:p>
            <w:pPr>
              <w:pStyle w:val="58"/>
              <w:ind w:left="3"/>
              <w:jc w:val="center"/>
              <w:rPr>
                <w:color w:val="auto"/>
                <w:sz w:val="21"/>
              </w:rPr>
            </w:pPr>
            <w:r>
              <w:rPr>
                <w:color w:val="auto"/>
                <w:sz w:val="21"/>
              </w:rPr>
              <w:t>材料名称</w:t>
            </w:r>
          </w:p>
        </w:tc>
        <w:tc>
          <w:tcPr>
            <w:tcW w:w="4261" w:type="dxa"/>
          </w:tcPr>
          <w:p>
            <w:pPr>
              <w:pStyle w:val="58"/>
              <w:spacing w:before="1"/>
              <w:rPr>
                <w:color w:val="auto"/>
                <w:sz w:val="16"/>
              </w:rPr>
            </w:pPr>
          </w:p>
          <w:p>
            <w:pPr>
              <w:pStyle w:val="58"/>
              <w:ind w:left="6"/>
              <w:jc w:val="center"/>
              <w:rPr>
                <w:color w:val="auto"/>
                <w:sz w:val="21"/>
              </w:rPr>
            </w:pPr>
            <w:r>
              <w:rPr>
                <w:color w:val="auto"/>
                <w:sz w:val="21"/>
              </w:rPr>
              <w:t>规格型号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261" w:type="dxa"/>
          </w:tcPr>
          <w:p>
            <w:pPr>
              <w:pStyle w:val="58"/>
              <w:spacing w:before="1"/>
              <w:rPr>
                <w:color w:val="auto"/>
                <w:sz w:val="16"/>
              </w:rPr>
            </w:pPr>
          </w:p>
          <w:p>
            <w:pPr>
              <w:pStyle w:val="58"/>
              <w:ind w:left="3"/>
              <w:jc w:val="center"/>
              <w:rPr>
                <w:color w:val="auto"/>
                <w:sz w:val="21"/>
              </w:rPr>
            </w:pPr>
            <w:r>
              <w:rPr>
                <w:color w:val="auto"/>
                <w:sz w:val="21"/>
              </w:rPr>
              <w:t>麻石花岗岩路侧石</w:t>
            </w:r>
          </w:p>
        </w:tc>
        <w:tc>
          <w:tcPr>
            <w:tcW w:w="4261" w:type="dxa"/>
          </w:tcPr>
          <w:p>
            <w:pPr>
              <w:pStyle w:val="58"/>
              <w:spacing w:before="1"/>
              <w:rPr>
                <w:color w:val="auto"/>
                <w:sz w:val="16"/>
              </w:rPr>
            </w:pPr>
          </w:p>
          <w:p>
            <w:pPr>
              <w:pStyle w:val="58"/>
              <w:ind w:left="7"/>
              <w:jc w:val="center"/>
              <w:rPr>
                <w:color w:val="auto"/>
                <w:sz w:val="21"/>
              </w:rPr>
            </w:pPr>
            <w:r>
              <w:rPr>
                <w:color w:val="auto"/>
                <w:sz w:val="21"/>
              </w:rPr>
              <w:t>500*200*600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4261" w:type="dxa"/>
          </w:tcPr>
          <w:p>
            <w:pPr>
              <w:pStyle w:val="58"/>
              <w:rPr>
                <w:color w:val="auto"/>
                <w:sz w:val="16"/>
              </w:rPr>
            </w:pPr>
          </w:p>
          <w:p>
            <w:pPr>
              <w:pStyle w:val="58"/>
              <w:ind w:left="3"/>
              <w:jc w:val="center"/>
              <w:rPr>
                <w:color w:val="auto"/>
                <w:sz w:val="21"/>
              </w:rPr>
            </w:pPr>
            <w:r>
              <w:rPr>
                <w:color w:val="auto"/>
                <w:sz w:val="21"/>
              </w:rPr>
              <w:t>麻石花岗岩路侧石</w:t>
            </w:r>
          </w:p>
        </w:tc>
        <w:tc>
          <w:tcPr>
            <w:tcW w:w="4261" w:type="dxa"/>
          </w:tcPr>
          <w:p>
            <w:pPr>
              <w:pStyle w:val="58"/>
              <w:rPr>
                <w:color w:val="auto"/>
                <w:sz w:val="16"/>
              </w:rPr>
            </w:pPr>
          </w:p>
          <w:p>
            <w:pPr>
              <w:pStyle w:val="58"/>
              <w:ind w:left="7"/>
              <w:jc w:val="center"/>
              <w:rPr>
                <w:color w:val="auto"/>
                <w:sz w:val="21"/>
              </w:rPr>
            </w:pPr>
            <w:r>
              <w:rPr>
                <w:color w:val="auto"/>
                <w:sz w:val="21"/>
              </w:rPr>
              <w:t>1000*150*300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261" w:type="dxa"/>
          </w:tcPr>
          <w:p>
            <w:pPr>
              <w:pStyle w:val="58"/>
              <w:rPr>
                <w:color w:val="auto"/>
                <w:sz w:val="16"/>
              </w:rPr>
            </w:pPr>
          </w:p>
          <w:p>
            <w:pPr>
              <w:pStyle w:val="58"/>
              <w:ind w:left="6"/>
              <w:jc w:val="center"/>
              <w:rPr>
                <w:color w:val="auto"/>
                <w:sz w:val="21"/>
              </w:rPr>
            </w:pPr>
            <w:r>
              <w:rPr>
                <w:color w:val="auto"/>
                <w:sz w:val="21"/>
              </w:rPr>
              <w:t>麻石花岗岩平石</w:t>
            </w:r>
          </w:p>
        </w:tc>
        <w:tc>
          <w:tcPr>
            <w:tcW w:w="4261" w:type="dxa"/>
          </w:tcPr>
          <w:p>
            <w:pPr>
              <w:pStyle w:val="58"/>
              <w:rPr>
                <w:color w:val="auto"/>
                <w:sz w:val="16"/>
              </w:rPr>
            </w:pPr>
          </w:p>
          <w:p>
            <w:pPr>
              <w:pStyle w:val="58"/>
              <w:ind w:left="7"/>
              <w:jc w:val="center"/>
              <w:rPr>
                <w:color w:val="auto"/>
                <w:sz w:val="21"/>
              </w:rPr>
            </w:pPr>
            <w:r>
              <w:rPr>
                <w:color w:val="auto"/>
                <w:sz w:val="21"/>
              </w:rPr>
              <w:t>1000*250*120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4261" w:type="dxa"/>
          </w:tcPr>
          <w:p>
            <w:pPr>
              <w:pStyle w:val="58"/>
              <w:spacing w:before="2"/>
              <w:rPr>
                <w:color w:val="auto"/>
                <w:sz w:val="16"/>
              </w:rPr>
            </w:pPr>
          </w:p>
          <w:p>
            <w:pPr>
              <w:pStyle w:val="58"/>
              <w:ind w:left="6"/>
              <w:jc w:val="center"/>
              <w:rPr>
                <w:color w:val="auto"/>
                <w:sz w:val="21"/>
              </w:rPr>
            </w:pPr>
            <w:r>
              <w:rPr>
                <w:color w:val="auto"/>
                <w:sz w:val="21"/>
              </w:rPr>
              <w:t>麻石花岗岩压条</w:t>
            </w:r>
          </w:p>
        </w:tc>
        <w:tc>
          <w:tcPr>
            <w:tcW w:w="4261" w:type="dxa"/>
          </w:tcPr>
          <w:p>
            <w:pPr>
              <w:pStyle w:val="58"/>
              <w:spacing w:before="2"/>
              <w:rPr>
                <w:color w:val="auto"/>
                <w:sz w:val="16"/>
              </w:rPr>
            </w:pPr>
          </w:p>
          <w:p>
            <w:pPr>
              <w:pStyle w:val="58"/>
              <w:ind w:left="7"/>
              <w:jc w:val="center"/>
              <w:rPr>
                <w:color w:val="auto"/>
                <w:sz w:val="21"/>
              </w:rPr>
            </w:pPr>
            <w:r>
              <w:rPr>
                <w:color w:val="auto"/>
                <w:sz w:val="21"/>
              </w:rPr>
              <w:t>1000*100*150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261" w:type="dxa"/>
          </w:tcPr>
          <w:p>
            <w:pPr>
              <w:pStyle w:val="58"/>
              <w:spacing w:before="1"/>
              <w:rPr>
                <w:color w:val="auto"/>
                <w:sz w:val="16"/>
              </w:rPr>
            </w:pPr>
          </w:p>
          <w:p>
            <w:pPr>
              <w:pStyle w:val="58"/>
              <w:spacing w:before="1"/>
              <w:ind w:left="6"/>
              <w:jc w:val="center"/>
              <w:rPr>
                <w:color w:val="auto"/>
                <w:sz w:val="21"/>
              </w:rPr>
            </w:pPr>
            <w:r>
              <w:rPr>
                <w:color w:val="auto"/>
                <w:sz w:val="21"/>
              </w:rPr>
              <w:t>弧形麻石花岗岩路侧石</w:t>
            </w:r>
          </w:p>
        </w:tc>
        <w:tc>
          <w:tcPr>
            <w:tcW w:w="4261" w:type="dxa"/>
          </w:tcPr>
          <w:p>
            <w:pPr>
              <w:pStyle w:val="58"/>
              <w:spacing w:before="1"/>
              <w:rPr>
                <w:color w:val="auto"/>
                <w:sz w:val="16"/>
              </w:rPr>
            </w:pPr>
          </w:p>
          <w:p>
            <w:pPr>
              <w:pStyle w:val="58"/>
              <w:spacing w:before="1"/>
              <w:ind w:left="7"/>
              <w:jc w:val="center"/>
              <w:rPr>
                <w:color w:val="auto"/>
                <w:sz w:val="21"/>
              </w:rPr>
            </w:pPr>
            <w:r>
              <w:rPr>
                <w:color w:val="auto"/>
                <w:sz w:val="21"/>
              </w:rPr>
              <w:t>500*200*600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4261" w:type="dxa"/>
          </w:tcPr>
          <w:p>
            <w:pPr>
              <w:pStyle w:val="58"/>
              <w:spacing w:before="1"/>
              <w:rPr>
                <w:color w:val="auto"/>
                <w:sz w:val="16"/>
              </w:rPr>
            </w:pPr>
          </w:p>
          <w:p>
            <w:pPr>
              <w:pStyle w:val="58"/>
              <w:ind w:left="6"/>
              <w:jc w:val="center"/>
              <w:rPr>
                <w:color w:val="auto"/>
                <w:sz w:val="21"/>
              </w:rPr>
            </w:pPr>
            <w:r>
              <w:rPr>
                <w:color w:val="auto"/>
                <w:sz w:val="21"/>
              </w:rPr>
              <w:t>弧形麻石花岗岩路侧石</w:t>
            </w:r>
          </w:p>
        </w:tc>
        <w:tc>
          <w:tcPr>
            <w:tcW w:w="4261" w:type="dxa"/>
          </w:tcPr>
          <w:p>
            <w:pPr>
              <w:pStyle w:val="58"/>
              <w:spacing w:before="1"/>
              <w:rPr>
                <w:color w:val="auto"/>
                <w:sz w:val="16"/>
              </w:rPr>
            </w:pPr>
          </w:p>
          <w:p>
            <w:pPr>
              <w:pStyle w:val="58"/>
              <w:ind w:left="7"/>
              <w:jc w:val="center"/>
              <w:rPr>
                <w:color w:val="auto"/>
                <w:sz w:val="21"/>
              </w:rPr>
            </w:pPr>
            <w:r>
              <w:rPr>
                <w:color w:val="auto"/>
                <w:sz w:val="21"/>
              </w:rPr>
              <w:t>1000*150*300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261" w:type="dxa"/>
          </w:tcPr>
          <w:p>
            <w:pPr>
              <w:pStyle w:val="58"/>
              <w:spacing w:before="1"/>
              <w:rPr>
                <w:color w:val="auto"/>
                <w:sz w:val="16"/>
              </w:rPr>
            </w:pPr>
          </w:p>
          <w:p>
            <w:pPr>
              <w:pStyle w:val="58"/>
              <w:ind w:left="8"/>
              <w:jc w:val="center"/>
              <w:rPr>
                <w:color w:val="auto"/>
                <w:sz w:val="21"/>
              </w:rPr>
            </w:pPr>
            <w:r>
              <w:rPr>
                <w:color w:val="auto"/>
                <w:sz w:val="21"/>
              </w:rPr>
              <w:t>弧形麻石花岗岩平石</w:t>
            </w:r>
          </w:p>
        </w:tc>
        <w:tc>
          <w:tcPr>
            <w:tcW w:w="4261" w:type="dxa"/>
          </w:tcPr>
          <w:p>
            <w:pPr>
              <w:pStyle w:val="58"/>
              <w:spacing w:before="1"/>
              <w:rPr>
                <w:color w:val="auto"/>
                <w:sz w:val="16"/>
              </w:rPr>
            </w:pPr>
          </w:p>
          <w:p>
            <w:pPr>
              <w:pStyle w:val="58"/>
              <w:ind w:left="7"/>
              <w:jc w:val="center"/>
              <w:rPr>
                <w:color w:val="auto"/>
                <w:sz w:val="21"/>
              </w:rPr>
            </w:pPr>
            <w:r>
              <w:rPr>
                <w:color w:val="auto"/>
                <w:sz w:val="21"/>
              </w:rPr>
              <w:t>1000*250*120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4261" w:type="dxa"/>
          </w:tcPr>
          <w:p>
            <w:pPr>
              <w:pStyle w:val="58"/>
              <w:rPr>
                <w:color w:val="auto"/>
                <w:sz w:val="16"/>
              </w:rPr>
            </w:pPr>
          </w:p>
          <w:p>
            <w:pPr>
              <w:pStyle w:val="58"/>
              <w:ind w:left="8"/>
              <w:jc w:val="center"/>
              <w:rPr>
                <w:color w:val="auto"/>
                <w:sz w:val="21"/>
              </w:rPr>
            </w:pPr>
            <w:r>
              <w:rPr>
                <w:color w:val="auto"/>
                <w:sz w:val="21"/>
              </w:rPr>
              <w:t>弧形麻石花岗岩压条</w:t>
            </w:r>
          </w:p>
        </w:tc>
        <w:tc>
          <w:tcPr>
            <w:tcW w:w="4261" w:type="dxa"/>
          </w:tcPr>
          <w:p>
            <w:pPr>
              <w:pStyle w:val="58"/>
              <w:rPr>
                <w:color w:val="auto"/>
                <w:sz w:val="16"/>
              </w:rPr>
            </w:pPr>
          </w:p>
          <w:p>
            <w:pPr>
              <w:pStyle w:val="58"/>
              <w:ind w:left="7"/>
              <w:jc w:val="center"/>
              <w:rPr>
                <w:color w:val="auto"/>
                <w:sz w:val="21"/>
              </w:rPr>
            </w:pPr>
            <w:r>
              <w:rPr>
                <w:color w:val="auto"/>
                <w:sz w:val="21"/>
              </w:rPr>
              <w:t>1000*100*150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4261" w:type="dxa"/>
          </w:tcPr>
          <w:p>
            <w:pPr>
              <w:pStyle w:val="58"/>
              <w:rPr>
                <w:color w:val="auto"/>
                <w:sz w:val="16"/>
              </w:rPr>
            </w:pPr>
          </w:p>
          <w:p>
            <w:pPr>
              <w:pStyle w:val="58"/>
              <w:ind w:left="8"/>
              <w:jc w:val="center"/>
              <w:rPr>
                <w:color w:val="auto"/>
                <w:sz w:val="21"/>
              </w:rPr>
            </w:pPr>
            <w:r>
              <w:rPr>
                <w:color w:val="auto"/>
                <w:sz w:val="21"/>
              </w:rPr>
              <w:t>麻石花岗岩车止石柱</w:t>
            </w:r>
          </w:p>
        </w:tc>
        <w:tc>
          <w:tcPr>
            <w:tcW w:w="4261" w:type="dxa"/>
          </w:tcPr>
          <w:p>
            <w:pPr>
              <w:pStyle w:val="58"/>
              <w:rPr>
                <w:color w:val="auto"/>
                <w:sz w:val="16"/>
              </w:rPr>
            </w:pPr>
          </w:p>
          <w:p>
            <w:pPr>
              <w:pStyle w:val="58"/>
              <w:ind w:left="7"/>
              <w:jc w:val="center"/>
              <w:rPr>
                <w:color w:val="auto"/>
                <w:sz w:val="21"/>
              </w:rPr>
            </w:pPr>
            <w:r>
              <w:rPr>
                <w:color w:val="auto"/>
                <w:sz w:val="21"/>
              </w:rPr>
              <w:t>Φ220*1000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4261" w:type="dxa"/>
          </w:tcPr>
          <w:p>
            <w:pPr>
              <w:pStyle w:val="58"/>
              <w:spacing w:before="2"/>
              <w:rPr>
                <w:color w:val="auto"/>
                <w:sz w:val="16"/>
              </w:rPr>
            </w:pPr>
          </w:p>
          <w:p>
            <w:pPr>
              <w:pStyle w:val="58"/>
              <w:ind w:left="6"/>
              <w:jc w:val="center"/>
              <w:rPr>
                <w:color w:val="auto"/>
                <w:sz w:val="21"/>
              </w:rPr>
            </w:pPr>
            <w:r>
              <w:rPr>
                <w:color w:val="auto"/>
                <w:sz w:val="21"/>
              </w:rPr>
              <w:t>花岗岩车止石</w:t>
            </w:r>
          </w:p>
        </w:tc>
        <w:tc>
          <w:tcPr>
            <w:tcW w:w="4261" w:type="dxa"/>
          </w:tcPr>
          <w:p>
            <w:pPr>
              <w:pStyle w:val="58"/>
              <w:spacing w:before="2"/>
              <w:rPr>
                <w:color w:val="auto"/>
                <w:sz w:val="16"/>
              </w:rPr>
            </w:pPr>
          </w:p>
          <w:p>
            <w:pPr>
              <w:pStyle w:val="58"/>
              <w:ind w:left="7"/>
              <w:jc w:val="center"/>
              <w:rPr>
                <w:color w:val="auto"/>
                <w:sz w:val="21"/>
              </w:rPr>
            </w:pPr>
            <w:r>
              <w:rPr>
                <w:color w:val="auto"/>
                <w:sz w:val="21"/>
              </w:rPr>
              <w:t>Φ200*700mm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261" w:type="dxa"/>
          </w:tcPr>
          <w:p>
            <w:pPr>
              <w:pStyle w:val="58"/>
              <w:spacing w:before="1"/>
              <w:rPr>
                <w:color w:val="auto"/>
                <w:sz w:val="16"/>
              </w:rPr>
            </w:pPr>
          </w:p>
          <w:p>
            <w:pPr>
              <w:pStyle w:val="58"/>
              <w:ind w:left="6"/>
              <w:jc w:val="center"/>
              <w:rPr>
                <w:color w:val="auto"/>
                <w:sz w:val="21"/>
              </w:rPr>
            </w:pPr>
            <w:r>
              <w:rPr>
                <w:color w:val="auto"/>
                <w:sz w:val="21"/>
              </w:rPr>
              <w:t>花岗岩车止石</w:t>
            </w:r>
          </w:p>
        </w:tc>
        <w:tc>
          <w:tcPr>
            <w:tcW w:w="4261" w:type="dxa"/>
          </w:tcPr>
          <w:p>
            <w:pPr>
              <w:pStyle w:val="58"/>
              <w:spacing w:before="1"/>
              <w:rPr>
                <w:color w:val="auto"/>
                <w:sz w:val="16"/>
              </w:rPr>
            </w:pPr>
          </w:p>
          <w:p>
            <w:pPr>
              <w:pStyle w:val="58"/>
              <w:ind w:left="7"/>
              <w:jc w:val="center"/>
              <w:rPr>
                <w:color w:val="auto"/>
                <w:sz w:val="21"/>
              </w:rPr>
            </w:pPr>
            <w:r>
              <w:rPr>
                <w:color w:val="auto"/>
                <w:sz w:val="21"/>
              </w:rPr>
              <w:t>Φ200*1000mm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4261" w:type="dxa"/>
          </w:tcPr>
          <w:p>
            <w:pPr>
              <w:pStyle w:val="58"/>
              <w:spacing w:before="1"/>
              <w:rPr>
                <w:color w:val="auto"/>
                <w:sz w:val="16"/>
              </w:rPr>
            </w:pPr>
          </w:p>
          <w:p>
            <w:pPr>
              <w:pStyle w:val="58"/>
              <w:ind w:left="3"/>
              <w:jc w:val="center"/>
              <w:rPr>
                <w:color w:val="auto"/>
                <w:sz w:val="21"/>
              </w:rPr>
            </w:pPr>
            <w:r>
              <w:rPr>
                <w:color w:val="auto"/>
                <w:sz w:val="21"/>
              </w:rPr>
              <w:t>花岗岩（火烧面）</w:t>
            </w:r>
          </w:p>
        </w:tc>
        <w:tc>
          <w:tcPr>
            <w:tcW w:w="4261" w:type="dxa"/>
          </w:tcPr>
          <w:p>
            <w:pPr>
              <w:pStyle w:val="58"/>
              <w:spacing w:before="1"/>
              <w:rPr>
                <w:color w:val="auto"/>
                <w:sz w:val="16"/>
              </w:rPr>
            </w:pPr>
          </w:p>
          <w:p>
            <w:pPr>
              <w:pStyle w:val="58"/>
              <w:tabs>
                <w:tab w:val="left" w:pos="1266"/>
                <w:tab w:val="left" w:pos="1895"/>
              </w:tabs>
              <w:ind w:left="6"/>
              <w:jc w:val="center"/>
              <w:rPr>
                <w:color w:val="auto"/>
                <w:sz w:val="21"/>
              </w:rPr>
            </w:pPr>
            <w:r>
              <w:rPr>
                <w:color w:val="auto"/>
                <w:sz w:val="21"/>
              </w:rPr>
              <w:t>800*800*20</w:t>
            </w:r>
            <w:r>
              <w:rPr>
                <w:color w:val="auto"/>
                <w:sz w:val="21"/>
              </w:rPr>
              <w:tab/>
            </w:r>
            <w:r>
              <w:rPr>
                <w:color w:val="auto"/>
                <w:sz w:val="21"/>
              </w:rPr>
              <w:t>白麻</w:t>
            </w:r>
            <w:r>
              <w:rPr>
                <w:color w:val="auto"/>
                <w:sz w:val="21"/>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261" w:type="dxa"/>
          </w:tcPr>
          <w:p>
            <w:pPr>
              <w:pStyle w:val="58"/>
              <w:spacing w:before="1"/>
              <w:rPr>
                <w:color w:val="auto"/>
                <w:sz w:val="16"/>
              </w:rPr>
            </w:pPr>
          </w:p>
          <w:p>
            <w:pPr>
              <w:pStyle w:val="58"/>
              <w:ind w:left="6"/>
              <w:jc w:val="center"/>
              <w:rPr>
                <w:color w:val="auto"/>
                <w:sz w:val="21"/>
              </w:rPr>
            </w:pPr>
            <w:r>
              <w:rPr>
                <w:color w:val="auto"/>
                <w:sz w:val="21"/>
              </w:rPr>
              <w:t>花岗岩（光面）</w:t>
            </w:r>
          </w:p>
        </w:tc>
        <w:tc>
          <w:tcPr>
            <w:tcW w:w="4261" w:type="dxa"/>
          </w:tcPr>
          <w:p>
            <w:pPr>
              <w:pStyle w:val="58"/>
              <w:spacing w:before="1"/>
              <w:rPr>
                <w:color w:val="auto"/>
                <w:sz w:val="16"/>
              </w:rPr>
            </w:pPr>
          </w:p>
          <w:p>
            <w:pPr>
              <w:pStyle w:val="58"/>
              <w:tabs>
                <w:tab w:val="left" w:pos="1266"/>
                <w:tab w:val="left" w:pos="2106"/>
              </w:tabs>
              <w:ind w:left="6"/>
              <w:jc w:val="center"/>
              <w:rPr>
                <w:color w:val="auto"/>
                <w:sz w:val="21"/>
              </w:rPr>
            </w:pPr>
            <w:r>
              <w:rPr>
                <w:color w:val="auto"/>
                <w:sz w:val="21"/>
              </w:rPr>
              <w:t>800*800*20</w:t>
            </w:r>
            <w:r>
              <w:rPr>
                <w:color w:val="auto"/>
                <w:sz w:val="21"/>
              </w:rPr>
              <w:tab/>
            </w:r>
            <w:r>
              <w:rPr>
                <w:color w:val="auto"/>
                <w:sz w:val="21"/>
              </w:rPr>
              <w:t>芝麻灰</w:t>
            </w:r>
            <w:r>
              <w:rPr>
                <w:color w:val="auto"/>
                <w:sz w:val="21"/>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4261" w:type="dxa"/>
          </w:tcPr>
          <w:p>
            <w:pPr>
              <w:pStyle w:val="58"/>
              <w:rPr>
                <w:color w:val="auto"/>
                <w:sz w:val="16"/>
              </w:rPr>
            </w:pPr>
          </w:p>
          <w:p>
            <w:pPr>
              <w:pStyle w:val="58"/>
              <w:ind w:left="3"/>
              <w:jc w:val="center"/>
              <w:rPr>
                <w:color w:val="auto"/>
                <w:sz w:val="21"/>
              </w:rPr>
            </w:pPr>
            <w:r>
              <w:rPr>
                <w:color w:val="auto"/>
                <w:sz w:val="21"/>
              </w:rPr>
              <w:t>花岗岩（荔枝面）</w:t>
            </w:r>
          </w:p>
        </w:tc>
        <w:tc>
          <w:tcPr>
            <w:tcW w:w="4261" w:type="dxa"/>
          </w:tcPr>
          <w:p>
            <w:pPr>
              <w:pStyle w:val="58"/>
              <w:rPr>
                <w:color w:val="auto"/>
                <w:sz w:val="16"/>
              </w:rPr>
            </w:pPr>
          </w:p>
          <w:p>
            <w:pPr>
              <w:pStyle w:val="58"/>
              <w:tabs>
                <w:tab w:val="left" w:pos="1266"/>
                <w:tab w:val="left" w:pos="2106"/>
              </w:tabs>
              <w:ind w:left="6"/>
              <w:jc w:val="center"/>
              <w:rPr>
                <w:color w:val="auto"/>
                <w:sz w:val="21"/>
              </w:rPr>
            </w:pPr>
            <w:r>
              <w:rPr>
                <w:color w:val="auto"/>
                <w:sz w:val="21"/>
              </w:rPr>
              <w:t>800*800*20</w:t>
            </w:r>
            <w:r>
              <w:rPr>
                <w:color w:val="auto"/>
                <w:sz w:val="21"/>
              </w:rPr>
              <w:tab/>
            </w:r>
            <w:r>
              <w:rPr>
                <w:color w:val="auto"/>
                <w:sz w:val="21"/>
              </w:rPr>
              <w:t>幻彩红</w:t>
            </w:r>
            <w:r>
              <w:rPr>
                <w:color w:val="auto"/>
                <w:sz w:val="21"/>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4261" w:type="dxa"/>
          </w:tcPr>
          <w:p>
            <w:pPr>
              <w:pStyle w:val="58"/>
              <w:rPr>
                <w:color w:val="auto"/>
                <w:sz w:val="16"/>
              </w:rPr>
            </w:pPr>
          </w:p>
          <w:p>
            <w:pPr>
              <w:pStyle w:val="58"/>
              <w:ind w:left="3"/>
              <w:jc w:val="center"/>
              <w:rPr>
                <w:color w:val="auto"/>
                <w:sz w:val="21"/>
              </w:rPr>
            </w:pPr>
            <w:r>
              <w:rPr>
                <w:color w:val="auto"/>
                <w:sz w:val="21"/>
              </w:rPr>
              <w:t>文化石（火烧面）</w:t>
            </w:r>
          </w:p>
        </w:tc>
        <w:tc>
          <w:tcPr>
            <w:tcW w:w="4261" w:type="dxa"/>
          </w:tcPr>
          <w:p>
            <w:pPr>
              <w:pStyle w:val="58"/>
              <w:rPr>
                <w:color w:val="auto"/>
                <w:sz w:val="16"/>
              </w:rPr>
            </w:pPr>
          </w:p>
          <w:p>
            <w:pPr>
              <w:pStyle w:val="58"/>
              <w:tabs>
                <w:tab w:val="left" w:pos="844"/>
              </w:tabs>
              <w:ind w:left="4"/>
              <w:jc w:val="center"/>
              <w:rPr>
                <w:color w:val="auto"/>
                <w:sz w:val="21"/>
              </w:rPr>
            </w:pPr>
            <w:r>
              <w:rPr>
                <w:color w:val="auto"/>
                <w:sz w:val="21"/>
              </w:rPr>
              <w:t>多颜色</w:t>
            </w:r>
            <w:r>
              <w:rPr>
                <w:color w:val="auto"/>
                <w:sz w:val="21"/>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8522" w:type="dxa"/>
            <w:gridSpan w:val="2"/>
          </w:tcPr>
          <w:p>
            <w:pPr>
              <w:pStyle w:val="58"/>
              <w:spacing w:before="2"/>
              <w:rPr>
                <w:color w:val="auto"/>
                <w:sz w:val="16"/>
              </w:rPr>
            </w:pPr>
          </w:p>
          <w:p>
            <w:pPr>
              <w:pStyle w:val="58"/>
              <w:ind w:left="2456" w:right="2446"/>
              <w:jc w:val="center"/>
              <w:rPr>
                <w:color w:val="auto"/>
                <w:sz w:val="21"/>
              </w:rPr>
            </w:pPr>
            <w:r>
              <w:rPr>
                <w:color w:val="auto"/>
                <w:sz w:val="21"/>
              </w:rPr>
              <w:t>以上材料仅供参考，实际以派单为准。</w:t>
            </w:r>
          </w:p>
        </w:tc>
      </w:tr>
    </w:tbl>
    <w:p>
      <w:pPr>
        <w:adjustRightInd/>
        <w:snapToGrid/>
        <w:spacing w:after="0"/>
        <w:rPr>
          <w:rFonts w:ascii="宋体" w:hAnsi="宋体" w:eastAsia="宋体" w:cs="宋体"/>
          <w:color w:val="auto"/>
          <w:sz w:val="21"/>
          <w:szCs w:val="21"/>
        </w:rPr>
      </w:pPr>
    </w:p>
    <w:p>
      <w:pPr>
        <w:pStyle w:val="5"/>
        <w:bidi w:val="0"/>
        <w:rPr>
          <w:rFonts w:hint="eastAsia" w:eastAsia="宋体"/>
          <w:color w:val="auto"/>
        </w:rPr>
      </w:pPr>
      <w:r>
        <w:rPr>
          <w:rFonts w:hint="eastAsia" w:eastAsia="宋体"/>
          <w:color w:val="auto"/>
        </w:rPr>
        <w:t>二、</w:t>
      </w:r>
      <w:r>
        <w:rPr>
          <w:rFonts w:hint="eastAsia"/>
          <w:color w:val="auto"/>
        </w:rPr>
        <w:t>协议供货</w:t>
      </w:r>
      <w:r>
        <w:rPr>
          <w:rFonts w:hint="eastAsia" w:eastAsia="宋体"/>
          <w:color w:val="auto"/>
        </w:rPr>
        <w:t>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投标人所投报的产品应当是在中国境内合法销售，且符合国家有关部门规定的相应技术、节能、安全和环保标准；国家有关部门对投标人所投报的产品有强制性规定或要求的，投标人所投报的货物应当符合相应规定或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（2）投标人应对所投报货物提供1年的质保期，质保期内有质量问题实行包退、包换。在质保期限内发生质量问题的，投标人需承担整改工程费用。</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（3）投标人应当提供相关部门出具的产品质量认证证明和检测报告。</w:t>
      </w:r>
    </w:p>
    <w:p>
      <w:pPr>
        <w:bidi w:val="0"/>
        <w:rPr>
          <w:color w:val="auto"/>
        </w:rPr>
      </w:pPr>
    </w:p>
    <w:p>
      <w:pPr>
        <w:pStyle w:val="5"/>
        <w:bidi w:val="0"/>
        <w:rPr>
          <w:rFonts w:hint="eastAsia" w:eastAsia="宋体"/>
          <w:color w:val="auto"/>
        </w:rPr>
      </w:pPr>
      <w:r>
        <w:rPr>
          <w:rFonts w:hint="eastAsia" w:eastAsia="宋体"/>
          <w:color w:val="auto"/>
          <w:lang w:val="en-US" w:eastAsia="zh-CN"/>
        </w:rPr>
        <w:t>三</w:t>
      </w:r>
      <w:r>
        <w:rPr>
          <w:rFonts w:hint="eastAsia" w:eastAsia="宋体"/>
          <w:color w:val="auto"/>
        </w:rPr>
        <w:t>、派单方式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分组循环排号法：项目的委托轮换一般采用本办法。循环排号指对所有中标人以抽签方式确定顺序号，各单位编号（“1”、“2”、“3”），依照编号顺序分配项目给中标人，并依次循环分配。用循环排号法分配任务给中标人时，中标人拒绝接受任务的，采购人将与该中标人解除合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（1）分配任务均为单项合同总价不超过90万（含90万）的供货任务。</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（2）当采购人有特殊项目（如时间紧急、内容特殊、专业性强、大型重点等项目）时， 采购人将不按以上方法选定中标人，而是根据中标人的综合实力、经验、服务质量等采取择优选择的分配办法进行任务分配。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（3）任务分配确定后，由采购人与中标人就单个项目签订单项目合同。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（4）采购人有权与拒绝接受任务的中标人解除合同。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（5）采购人无法预计也无法保证各中标人承接项目的数量。</w:t>
      </w:r>
    </w:p>
    <w:p>
      <w:pPr>
        <w:spacing w:after="0" w:line="360" w:lineRule="auto"/>
        <w:rPr>
          <w:rFonts w:ascii="宋体" w:hAnsi="宋体" w:eastAsia="宋体"/>
          <w:color w:val="auto"/>
          <w:sz w:val="21"/>
          <w:szCs w:val="21"/>
        </w:rPr>
      </w:pPr>
    </w:p>
    <w:p>
      <w:pPr>
        <w:pStyle w:val="5"/>
        <w:bidi w:val="0"/>
        <w:rPr>
          <w:rFonts w:hint="eastAsia" w:eastAsia="宋体"/>
          <w:color w:val="auto"/>
        </w:rPr>
      </w:pPr>
      <w:r>
        <w:rPr>
          <w:rFonts w:hint="eastAsia" w:eastAsia="宋体"/>
          <w:color w:val="auto"/>
          <w:lang w:val="en-US" w:eastAsia="zh-CN"/>
        </w:rPr>
        <w:t>四</w:t>
      </w:r>
      <w:r>
        <w:rPr>
          <w:rFonts w:hint="eastAsia" w:eastAsia="宋体"/>
          <w:color w:val="auto"/>
        </w:rPr>
        <w:t>、服务要求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投标人必须具备相应的生产或供货能力，能及时提供采购人所需的货物，并可接受采购人到生产或销售现场进行检查或对货物进行抽样检测，以确保所提供的货物质量。在接到采购人发出的订单（或电话通知）后 按实际情况将货物运抵采购人指定的交货地点并完成验收。</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2、货物由中标供应商负责运输，采购单位不再另行支付运输费用。</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3、投标人应可接受采购人到生产或销售现场进行检查或对产品进行抽样检验。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4、供货过程中因中标供应商原因对工程现场造成损坏，中标供应商应负责将损坏场地修复，并自行支付相关费用。</w:t>
      </w:r>
    </w:p>
    <w:p>
      <w:pPr>
        <w:spacing w:after="0" w:line="360" w:lineRule="auto"/>
        <w:ind w:firstLine="420" w:firstLineChars="200"/>
        <w:rPr>
          <w:rFonts w:ascii="宋体" w:hAnsi="宋体" w:eastAsia="宋体"/>
          <w:color w:val="auto"/>
          <w:sz w:val="21"/>
          <w:szCs w:val="21"/>
        </w:rPr>
      </w:pPr>
    </w:p>
    <w:p>
      <w:pPr>
        <w:pStyle w:val="5"/>
        <w:bidi w:val="0"/>
        <w:rPr>
          <w:rFonts w:hint="eastAsia" w:eastAsia="宋体"/>
          <w:color w:val="auto"/>
        </w:rPr>
      </w:pPr>
      <w:r>
        <w:rPr>
          <w:rFonts w:hint="eastAsia" w:eastAsia="宋体"/>
          <w:color w:val="auto"/>
          <w:lang w:val="en-US" w:eastAsia="zh-CN"/>
        </w:rPr>
        <w:t>五</w:t>
      </w:r>
      <w:r>
        <w:rPr>
          <w:rFonts w:hint="eastAsia" w:eastAsia="宋体"/>
          <w:color w:val="auto"/>
        </w:rPr>
        <w:t>、其他要求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1、投标人应充分结合本招标文件上下文了解项目招标需求。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投标单位应保证提供的货物在不需要增配未列出配件（特别指出的除外）的前提下货物功能、技术标准能够达到招标文件的要求，而无须再增配未列出的配件；如供应商所提供的产品需要增配配件才能达到要求的，所增配的配件须由供应商免费提供。</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3、所有产品材料及货物标准必须符合国家标准及相关规定。</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4、投标人应根据采购要求，在投标文件中提供切实可行的供货方案。</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5、中标单位在供货安装过程中必须采取足够的安全措施，确保施工的安全，并自行负责相关安全责任。</w:t>
      </w:r>
    </w:p>
    <w:p>
      <w:pPr>
        <w:spacing w:after="0" w:line="360" w:lineRule="auto"/>
        <w:ind w:firstLine="420" w:firstLineChars="200"/>
        <w:rPr>
          <w:rFonts w:hint="eastAsia" w:ascii="宋体" w:hAnsi="宋体" w:eastAsia="宋体"/>
          <w:color w:val="auto"/>
          <w:sz w:val="21"/>
          <w:szCs w:val="21"/>
          <w:highlight w:val="yellow"/>
          <w:lang w:val="en-US" w:eastAsia="zh-CN"/>
        </w:rPr>
      </w:pPr>
      <w:r>
        <w:rPr>
          <w:rFonts w:hint="eastAsia" w:ascii="宋体" w:hAnsi="宋体" w:eastAsia="宋体"/>
          <w:color w:val="auto"/>
          <w:sz w:val="21"/>
          <w:szCs w:val="21"/>
          <w:highlight w:val="yellow"/>
          <w:lang w:val="en-US" w:eastAsia="zh-CN"/>
        </w:rPr>
        <w:t>6、如遇采购</w:t>
      </w:r>
      <w:r>
        <w:rPr>
          <w:rFonts w:hint="eastAsia" w:ascii="宋体" w:hAnsi="宋体"/>
          <w:color w:val="auto"/>
          <w:sz w:val="21"/>
          <w:szCs w:val="21"/>
          <w:highlight w:val="yellow"/>
          <w:lang w:val="en-US" w:eastAsia="zh-CN"/>
        </w:rPr>
        <w:t>方</w:t>
      </w:r>
      <w:r>
        <w:rPr>
          <w:rFonts w:hint="eastAsia" w:ascii="宋体" w:hAnsi="宋体" w:eastAsia="宋体"/>
          <w:color w:val="auto"/>
          <w:sz w:val="21"/>
          <w:szCs w:val="21"/>
          <w:highlight w:val="yellow"/>
          <w:lang w:val="en-US" w:eastAsia="zh-CN"/>
        </w:rPr>
        <w:t>单位</w:t>
      </w:r>
      <w:r>
        <w:rPr>
          <w:rFonts w:hint="eastAsia" w:ascii="宋体" w:hAnsi="宋体"/>
          <w:color w:val="auto"/>
          <w:sz w:val="21"/>
          <w:szCs w:val="21"/>
          <w:highlight w:val="yellow"/>
          <w:lang w:val="en-US" w:eastAsia="zh-CN"/>
        </w:rPr>
        <w:t>性质</w:t>
      </w:r>
      <w:r>
        <w:rPr>
          <w:rFonts w:hint="eastAsia" w:ascii="宋体" w:hAnsi="宋体" w:eastAsia="宋体"/>
          <w:color w:val="auto"/>
          <w:sz w:val="21"/>
          <w:szCs w:val="21"/>
          <w:highlight w:val="yellow"/>
          <w:lang w:val="en-US" w:eastAsia="zh-CN"/>
        </w:rPr>
        <w:t>发生变动导致合同终止的，中标</w:t>
      </w:r>
      <w:r>
        <w:rPr>
          <w:rFonts w:hint="eastAsia" w:ascii="宋体" w:hAnsi="宋体"/>
          <w:color w:val="auto"/>
          <w:sz w:val="21"/>
          <w:szCs w:val="21"/>
          <w:highlight w:val="yellow"/>
          <w:lang w:val="en-US" w:eastAsia="zh-CN"/>
        </w:rPr>
        <w:t>方</w:t>
      </w:r>
      <w:r>
        <w:rPr>
          <w:rFonts w:hint="eastAsia" w:ascii="宋体" w:hAnsi="宋体" w:eastAsia="宋体"/>
          <w:color w:val="auto"/>
          <w:sz w:val="21"/>
          <w:szCs w:val="21"/>
          <w:highlight w:val="yellow"/>
          <w:lang w:val="en-US" w:eastAsia="zh-CN"/>
        </w:rPr>
        <w:t>不得追究采购</w:t>
      </w:r>
      <w:r>
        <w:rPr>
          <w:rFonts w:hint="eastAsia" w:ascii="宋体" w:hAnsi="宋体"/>
          <w:color w:val="auto"/>
          <w:sz w:val="21"/>
          <w:szCs w:val="21"/>
          <w:highlight w:val="yellow"/>
          <w:lang w:val="en-US" w:eastAsia="zh-CN"/>
        </w:rPr>
        <w:t>方</w:t>
      </w:r>
      <w:r>
        <w:rPr>
          <w:rFonts w:hint="eastAsia" w:ascii="宋体" w:hAnsi="宋体" w:eastAsia="宋体"/>
          <w:color w:val="auto"/>
          <w:sz w:val="21"/>
          <w:szCs w:val="21"/>
          <w:highlight w:val="yellow"/>
          <w:lang w:val="en-US" w:eastAsia="zh-CN"/>
        </w:rPr>
        <w:t>责任。</w:t>
      </w:r>
    </w:p>
    <w:p>
      <w:pPr>
        <w:bidi w:val="0"/>
        <w:rPr>
          <w:rFonts w:hint="default"/>
          <w:color w:val="auto"/>
          <w:lang w:val="en-US" w:eastAsia="zh-CN"/>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注：不满足招标文件中 “★”条款的投标文件将作无效投标处理。</w:t>
      </w:r>
      <w:bookmarkEnd w:id="179"/>
      <w:bookmarkEnd w:id="180"/>
      <w:bookmarkEnd w:id="181"/>
      <w:bookmarkEnd w:id="182"/>
      <w:bookmarkStart w:id="183" w:name="_Toc21448"/>
      <w:bookmarkStart w:id="184" w:name="_Toc12485"/>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rPr>
          <w:rFonts w:hint="eastAsia"/>
          <w:color w:val="auto"/>
        </w:rPr>
      </w:pPr>
    </w:p>
    <w:p>
      <w:pPr>
        <w:bidi w:val="0"/>
        <w:rPr>
          <w:rFonts w:hint="eastAsia"/>
          <w:color w:val="auto"/>
        </w:rPr>
      </w:pPr>
    </w:p>
    <w:p>
      <w:pPr>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3"/>
        <w:spacing w:before="0" w:after="0" w:line="240" w:lineRule="auto"/>
        <w:rPr>
          <w:color w:val="auto"/>
          <w:sz w:val="28"/>
          <w:szCs w:val="28"/>
        </w:rPr>
      </w:pPr>
      <w:bookmarkStart w:id="185" w:name="_Toc12014"/>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3"/>
      <w:bookmarkEnd w:id="184"/>
      <w:bookmarkEnd w:id="185"/>
      <w:bookmarkStart w:id="186" w:name="_Toc1534"/>
      <w:bookmarkStart w:id="187" w:name="_Toc13430"/>
      <w:bookmarkStart w:id="188" w:name="_Toc21155"/>
    </w:p>
    <w:p>
      <w:pPr>
        <w:pStyle w:val="4"/>
        <w:spacing w:before="0" w:after="0" w:line="240" w:lineRule="auto"/>
        <w:jc w:val="center"/>
        <w:rPr>
          <w:rFonts w:ascii="宋体" w:hAnsi="宋体" w:eastAsia="宋体" w:cs="宋体"/>
          <w:color w:val="auto"/>
        </w:rPr>
      </w:pPr>
      <w:bookmarkStart w:id="189" w:name="_Toc19575"/>
      <w:bookmarkStart w:id="190" w:name="_Toc8880"/>
      <w:bookmarkStart w:id="191" w:name="_Toc16730"/>
      <w:r>
        <w:rPr>
          <w:rFonts w:hint="eastAsia" w:ascii="宋体" w:hAnsi="宋体" w:eastAsia="宋体" w:cs="宋体"/>
          <w:color w:val="auto"/>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w:t>
      </w:r>
      <w:r>
        <w:rPr>
          <w:rFonts w:hint="eastAsia" w:ascii="宋体" w:hAnsi="宋体"/>
          <w:color w:val="auto"/>
          <w:sz w:val="21"/>
          <w:szCs w:val="21"/>
          <w:lang w:val="en-US" w:eastAsia="zh-CN"/>
        </w:rPr>
        <w:t>相关采购法律法规</w:t>
      </w:r>
      <w:r>
        <w:rPr>
          <w:rFonts w:hint="eastAsia" w:ascii="宋体" w:hAnsi="宋体" w:eastAsia="宋体"/>
          <w:color w:val="auto"/>
          <w:sz w:val="21"/>
          <w:szCs w:val="21"/>
        </w:rPr>
        <w:t>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2"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w:t>
      </w:r>
      <w:r>
        <w:rPr>
          <w:rFonts w:hint="eastAsia" w:ascii="宋体" w:hAnsi="宋体"/>
          <w:color w:val="auto"/>
          <w:sz w:val="21"/>
          <w:szCs w:val="21"/>
          <w:lang w:val="en-US" w:eastAsia="zh-CN"/>
        </w:rPr>
        <w:t>甲方</w:t>
      </w:r>
      <w:r>
        <w:rPr>
          <w:rFonts w:hint="eastAsia" w:ascii="宋体" w:hAnsi="宋体"/>
          <w:color w:val="auto"/>
          <w:sz w:val="21"/>
          <w:szCs w:val="21"/>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2"/>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2"/>
        <w:spacing w:line="360" w:lineRule="auto"/>
        <w:ind w:firstLine="482"/>
        <w:rPr>
          <w:rFonts w:ascii="宋体" w:hAnsi="宋体"/>
          <w:color w:val="auto"/>
          <w:sz w:val="21"/>
          <w:szCs w:val="21"/>
        </w:rPr>
      </w:pPr>
      <w:r>
        <w:rPr>
          <w:rFonts w:hint="eastAsia" w:ascii="宋体" w:hAnsi="宋体"/>
          <w:color w:val="auto"/>
          <w:sz w:val="21"/>
          <w:szCs w:val="21"/>
        </w:rPr>
        <w:t>1、根据现行税法对甲方征收的与本合同有关的一切税费均应由甲方承担。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2、根据现行税法规定对乙方或其雇员征收的与本合同有关的一切税费应由乙方承担。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rPr>
      </w:pPr>
      <w:bookmarkStart w:id="193"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194" w:name="_Toc86481569"/>
      <w:r>
        <w:rPr>
          <w:rFonts w:hint="eastAsia" w:ascii="宋体" w:hAnsi="宋体" w:eastAsia="宋体"/>
          <w:b/>
          <w:color w:val="auto"/>
          <w:sz w:val="21"/>
          <w:szCs w:val="21"/>
        </w:rPr>
        <w:t>第十二条 合同生效</w:t>
      </w:r>
      <w:bookmarkEnd w:id="19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3"/>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3"/>
        <w:spacing w:before="0" w:after="0" w:line="240" w:lineRule="auto"/>
        <w:rPr>
          <w:color w:val="auto"/>
          <w:sz w:val="28"/>
          <w:szCs w:val="28"/>
        </w:rPr>
      </w:pPr>
      <w:bookmarkStart w:id="195" w:name="_Toc31587"/>
      <w:bookmarkStart w:id="196" w:name="_Toc23749"/>
      <w:bookmarkStart w:id="197" w:name="_Toc1478"/>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195"/>
      <w:bookmarkEnd w:id="196"/>
      <w:bookmarkEnd w:id="197"/>
    </w:p>
    <w:p>
      <w:pPr>
        <w:rPr>
          <w:color w:val="auto"/>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198" w:name="_Toc26830"/>
      <w:bookmarkStart w:id="199" w:name="_Toc6790"/>
      <w:bookmarkStart w:id="200" w:name="_Toc5794"/>
      <w:r>
        <w:rPr>
          <w:rFonts w:hint="eastAsia"/>
          <w:color w:val="auto"/>
        </w:rPr>
        <w:t>投标文件目录</w:t>
      </w:r>
      <w:bookmarkEnd w:id="198"/>
      <w:bookmarkEnd w:id="199"/>
      <w:bookmarkEnd w:id="200"/>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1" w:name="_Toc5670"/>
      <w:bookmarkStart w:id="202" w:name="_Toc18893"/>
      <w:bookmarkStart w:id="203" w:name="_Toc25502"/>
      <w:r>
        <w:rPr>
          <w:rFonts w:hint="eastAsia"/>
          <w:color w:val="auto"/>
        </w:rPr>
        <w:t>评分标准索引表</w:t>
      </w:r>
      <w:bookmarkEnd w:id="201"/>
      <w:bookmarkEnd w:id="202"/>
      <w:bookmarkEnd w:id="203"/>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8"/>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7"/>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04" w:name="_Toc8194"/>
      <w:bookmarkStart w:id="205" w:name="_Toc22080"/>
      <w:bookmarkStart w:id="206" w:name="_Toc30640"/>
      <w:r>
        <w:rPr>
          <w:rFonts w:hint="eastAsia"/>
          <w:color w:val="auto"/>
          <w:lang w:val="en-US" w:eastAsia="zh-CN"/>
        </w:rPr>
        <w:t>第一章价格文件</w:t>
      </w:r>
      <w:bookmarkEnd w:id="204"/>
      <w:bookmarkEnd w:id="20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7" w:name="_Toc4168"/>
      <w:bookmarkStart w:id="208" w:name="_Toc19750"/>
      <w:r>
        <w:rPr>
          <w:rFonts w:hint="eastAsia"/>
          <w:color w:val="auto"/>
          <w:lang w:val="en-US" w:eastAsia="zh-CN"/>
        </w:rPr>
        <w:t>一、唱标一览表</w:t>
      </w:r>
      <w:bookmarkEnd w:id="207"/>
      <w:bookmarkEnd w:id="208"/>
    </w:p>
    <w:p>
      <w:pPr>
        <w:spacing w:line="360" w:lineRule="auto"/>
        <w:rPr>
          <w:color w:val="auto"/>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投标</w:t>
            </w:r>
            <w:r>
              <w:rPr>
                <w:rFonts w:hint="eastAsia" w:ascii="宋体" w:hAnsi="宋体"/>
                <w:color w:val="auto"/>
                <w:sz w:val="21"/>
                <w:szCs w:val="21"/>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2、此表应按投标人须知的规定密封标记并与《授权委托书》、《投标保证金汇入情况说明》</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7"/>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7"/>
        <w:rPr>
          <w:color w:val="auto"/>
        </w:rPr>
      </w:pPr>
    </w:p>
    <w:p>
      <w:pPr>
        <w:rPr>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9" w:name="_Toc31172"/>
      <w:bookmarkStart w:id="210" w:name="_Toc31062"/>
      <w:r>
        <w:rPr>
          <w:rFonts w:hint="eastAsia"/>
          <w:color w:val="auto"/>
          <w:lang w:val="en-US" w:eastAsia="zh-CN"/>
        </w:rPr>
        <w:t>二、报价明细表</w:t>
      </w:r>
      <w:bookmarkEnd w:id="209"/>
      <w:bookmarkEnd w:id="210"/>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30"/>
        <w:rPr>
          <w:rFonts w:ascii="黑体" w:eastAsia="黑体"/>
          <w:color w:val="auto"/>
          <w:sz w:val="32"/>
          <w:szCs w:val="32"/>
        </w:rPr>
      </w:pPr>
    </w:p>
    <w:p>
      <w:pPr>
        <w:pStyle w:val="30"/>
        <w:rPr>
          <w:rFonts w:ascii="黑体" w:eastAsia="黑体"/>
          <w:color w:val="auto"/>
          <w:sz w:val="32"/>
          <w:szCs w:val="32"/>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11" w:name="_Toc23948"/>
      <w:bookmarkStart w:id="212" w:name="_Toc6471"/>
      <w:r>
        <w:rPr>
          <w:rFonts w:hint="eastAsia"/>
          <w:color w:val="auto"/>
          <w:lang w:val="en-US" w:eastAsia="zh-CN"/>
        </w:rPr>
        <w:t>第二章商务文件</w:t>
      </w:r>
      <w:bookmarkEnd w:id="211"/>
      <w:bookmarkEnd w:id="212"/>
    </w:p>
    <w:bookmarkEnd w:id="20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3" w:name="_Toc23787"/>
      <w:bookmarkStart w:id="214" w:name="_Toc1952"/>
      <w:r>
        <w:rPr>
          <w:rFonts w:hint="eastAsia"/>
          <w:color w:val="auto"/>
          <w:lang w:val="en-US" w:eastAsia="zh-CN"/>
        </w:rPr>
        <w:t>一、投标函</w:t>
      </w:r>
      <w:bookmarkEnd w:id="213"/>
      <w:bookmarkEnd w:id="214"/>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我方保证遵守投标人须知中关于没收投标保证金的规定。</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5" w:name="_Toc28616"/>
      <w:bookmarkStart w:id="216" w:name="_Toc15719"/>
      <w:r>
        <w:rPr>
          <w:rFonts w:hint="eastAsia"/>
          <w:color w:val="auto"/>
          <w:lang w:val="en-US" w:eastAsia="zh-CN"/>
        </w:rPr>
        <w:t>二、资格申明函</w:t>
      </w:r>
      <w:bookmarkEnd w:id="215"/>
      <w:bookmarkEnd w:id="216"/>
    </w:p>
    <w:p>
      <w:pPr>
        <w:pStyle w:val="36"/>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ind w:firstLine="420" w:firstLineChars="200"/>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w:t>
      </w:r>
      <w:r>
        <w:rPr>
          <w:rFonts w:ascii="宋体" w:hAnsi="宋体"/>
          <w:color w:val="auto"/>
          <w:szCs w:val="21"/>
        </w:rPr>
        <w:t>我方依法注册，在法律上、财务上和运作上完全独立于（甲方名称）（甲方）及</w:t>
      </w:r>
      <w:r>
        <w:rPr>
          <w:rFonts w:hint="eastAsia" w:ascii="宋体" w:hAnsi="宋体"/>
          <w:color w:val="auto"/>
          <w:szCs w:val="21"/>
        </w:rPr>
        <w:t>广东政通招标有限公司</w:t>
      </w:r>
      <w:r>
        <w:rPr>
          <w:rFonts w:ascii="宋体" w:hAnsi="宋体"/>
          <w:color w:val="auto"/>
          <w:szCs w:val="21"/>
        </w:rPr>
        <w:t>（采购代理机构）</w:t>
      </w:r>
      <w:r>
        <w:rPr>
          <w:rFonts w:hint="eastAsia" w:ascii="宋体" w:hAnsi="宋体"/>
          <w:color w:val="auto"/>
          <w:szCs w:val="21"/>
        </w:rPr>
        <w:t>。</w:t>
      </w:r>
    </w:p>
    <w:p>
      <w:pPr>
        <w:pStyle w:val="36"/>
        <w:spacing w:line="500" w:lineRule="atLeast"/>
        <w:ind w:firstLine="3517" w:firstLineChars="1675"/>
        <w:rPr>
          <w:rFonts w:ascii="宋体" w:eastAsia="宋体"/>
          <w:color w:val="auto"/>
          <w:sz w:val="21"/>
          <w:szCs w:val="21"/>
        </w:rPr>
      </w:pP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color w:val="auto"/>
        </w:rPr>
      </w:pPr>
    </w:p>
    <w:p>
      <w:pPr>
        <w:pStyle w:val="8"/>
        <w:rPr>
          <w:color w:val="auto"/>
        </w:rPr>
      </w:pPr>
    </w:p>
    <w:p>
      <w:pPr>
        <w:pStyle w:val="9"/>
        <w:rPr>
          <w:color w:val="auto"/>
        </w:rPr>
      </w:pPr>
    </w:p>
    <w:p>
      <w:pPr>
        <w:rPr>
          <w:color w:val="auto"/>
        </w:rPr>
      </w:pPr>
    </w:p>
    <w:p>
      <w:pPr>
        <w:pStyle w:val="7"/>
        <w:rPr>
          <w:color w:val="auto"/>
        </w:rPr>
      </w:pPr>
    </w:p>
    <w:p>
      <w:pPr>
        <w:rPr>
          <w:color w:val="auto"/>
        </w:rPr>
      </w:pPr>
      <w:bookmarkStart w:id="217"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8" w:name="_Toc21273"/>
      <w:bookmarkStart w:id="219" w:name="_Toc32742"/>
      <w:r>
        <w:rPr>
          <w:rFonts w:hint="eastAsia"/>
          <w:color w:val="auto"/>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0" w:name="_Toc3894"/>
      <w:bookmarkStart w:id="221" w:name="_Toc13243"/>
      <w:r>
        <w:rPr>
          <w:rFonts w:hint="eastAsia"/>
          <w:color w:val="auto"/>
          <w:lang w:val="en-US" w:eastAsia="zh-CN"/>
        </w:rPr>
        <w:t>四、法定代表人证明书</w:t>
      </w:r>
      <w:bookmarkEnd w:id="220"/>
      <w:bookmarkEnd w:id="221"/>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pStyle w:val="36"/>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2" w:name="_Toc5918"/>
      <w:bookmarkStart w:id="223" w:name="_Toc5626"/>
      <w:r>
        <w:rPr>
          <w:rFonts w:hint="eastAsia"/>
          <w:color w:val="auto"/>
          <w:lang w:val="en-US" w:eastAsia="zh-CN"/>
        </w:rPr>
        <w:t>五、法定代表人授权书</w:t>
      </w:r>
      <w:bookmarkEnd w:id="222"/>
      <w:bookmarkEnd w:id="223"/>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6"/>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24"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25" w:name="_Toc24013"/>
      <w:bookmarkStart w:id="226" w:name="_Toc18562"/>
      <w:r>
        <w:rPr>
          <w:rFonts w:hint="eastAsia"/>
          <w:color w:val="auto"/>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27" w:name="_Toc28067"/>
      <w:bookmarkStart w:id="228" w:name="_Toc5919"/>
      <w:bookmarkStart w:id="229" w:name="_Toc29995"/>
      <w:bookmarkStart w:id="230" w:name="_Toc24210"/>
      <w:bookmarkStart w:id="231" w:name="_Toc17470"/>
      <w:bookmarkStart w:id="232" w:name="_Toc1511"/>
      <w:bookmarkStart w:id="233" w:name="_Toc4926"/>
      <w:r>
        <w:rPr>
          <w:rFonts w:hint="eastAsia"/>
          <w:color w:val="auto"/>
          <w:lang w:val="en-US" w:eastAsia="zh-CN"/>
        </w:rPr>
        <w:t>七、</w:t>
      </w:r>
      <w:r>
        <w:rPr>
          <w:rFonts w:hint="eastAsia"/>
          <w:color w:val="auto"/>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2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4" w:name="_Toc21638"/>
      <w:bookmarkStart w:id="235" w:name="_Toc29439"/>
      <w:r>
        <w:rPr>
          <w:rFonts w:hint="eastAsia"/>
          <w:color w:val="auto"/>
          <w:lang w:val="en-US" w:eastAsia="zh-CN"/>
        </w:rPr>
        <w:t>八、</w:t>
      </w:r>
      <w:r>
        <w:rPr>
          <w:rFonts w:hint="eastAsia"/>
          <w:color w:val="auto"/>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6" w:name="_Toc23341"/>
      <w:bookmarkStart w:id="237" w:name="_Toc14263"/>
      <w:r>
        <w:rPr>
          <w:rFonts w:hint="eastAsia"/>
          <w:color w:val="auto"/>
          <w:lang w:val="en-US" w:eastAsia="zh-CN"/>
        </w:rPr>
        <w:t>九、</w:t>
      </w:r>
      <w:r>
        <w:rPr>
          <w:rFonts w:hint="eastAsia"/>
          <w:color w:val="auto"/>
        </w:rPr>
        <w:t>承诺书</w:t>
      </w:r>
      <w:bookmarkEnd w:id="236"/>
      <w:bookmarkEnd w:id="237"/>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39" w:name="_Toc13955"/>
      <w:bookmarkStart w:id="240" w:name="_Toc13653"/>
      <w:r>
        <w:rPr>
          <w:rFonts w:hint="eastAsia"/>
          <w:color w:val="auto"/>
          <w:lang w:val="en-US" w:eastAsia="zh-CN"/>
        </w:rPr>
        <w:t>十、招标代理服务费承诺书</w:t>
      </w:r>
      <w:bookmarkEnd w:id="239"/>
      <w:bookmarkEnd w:id="240"/>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1" w:name="_Toc1975"/>
      <w:bookmarkStart w:id="242" w:name="_Toc12598"/>
      <w:r>
        <w:rPr>
          <w:rFonts w:hint="eastAsia"/>
          <w:color w:val="auto"/>
          <w:lang w:val="en-US" w:eastAsia="zh-CN"/>
        </w:rPr>
        <w:t>十一、</w:t>
      </w:r>
      <w:r>
        <w:rPr>
          <w:rFonts w:hint="eastAsia"/>
          <w:color w:val="auto"/>
        </w:rPr>
        <w:t>商务条款偏离表</w:t>
      </w:r>
      <w:bookmarkEnd w:id="241"/>
      <w:bookmarkEnd w:id="24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243"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4" w:name="_Toc19276"/>
      <w:bookmarkStart w:id="245" w:name="_Toc25391"/>
      <w:r>
        <w:rPr>
          <w:rFonts w:hint="eastAsia"/>
          <w:color w:val="auto"/>
          <w:lang w:val="en-US" w:eastAsia="zh-CN"/>
        </w:rPr>
        <w:t>十二、</w:t>
      </w:r>
      <w:r>
        <w:rPr>
          <w:rFonts w:hint="eastAsia"/>
          <w:color w:val="auto"/>
        </w:rPr>
        <w:t>业绩表</w:t>
      </w:r>
      <w:bookmarkEnd w:id="244"/>
      <w:bookmarkEnd w:id="24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rPr>
      </w:pPr>
    </w:p>
    <w:p>
      <w:pPr>
        <w:pStyle w:val="33"/>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7"/>
        <w:ind w:left="0" w:leftChars="0" w:firstLine="0" w:firstLineChars="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246" w:name="_Toc14688"/>
      <w:bookmarkStart w:id="247" w:name="_Toc20520"/>
      <w:r>
        <w:rPr>
          <w:rFonts w:hint="eastAsia"/>
          <w:color w:val="auto"/>
          <w:lang w:val="en-US" w:eastAsia="zh-CN"/>
        </w:rPr>
        <w:t>第三章技术文件</w:t>
      </w:r>
      <w:bookmarkEnd w:id="243"/>
      <w:bookmarkEnd w:id="246"/>
      <w:bookmarkEnd w:id="24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8" w:name="_Toc13097"/>
      <w:bookmarkStart w:id="249" w:name="_Toc7092"/>
      <w:r>
        <w:rPr>
          <w:rFonts w:hint="eastAsia"/>
          <w:color w:val="auto"/>
          <w:lang w:val="en-US" w:eastAsia="zh-CN"/>
        </w:rPr>
        <w:t>一、</w:t>
      </w:r>
      <w:r>
        <w:rPr>
          <w:rFonts w:hint="eastAsia"/>
          <w:color w:val="auto"/>
        </w:rPr>
        <w:t>技术规格偏离表</w:t>
      </w:r>
      <w:bookmarkEnd w:id="248"/>
      <w:bookmarkEnd w:id="24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250" w:name="_Toc17691"/>
      <w:r>
        <w:rPr>
          <w:rFonts w:hint="eastAsia" w:ascii="宋体" w:hAnsi="宋体" w:eastAsia="宋体"/>
          <w:color w:val="auto"/>
          <w:sz w:val="21"/>
          <w:szCs w:val="21"/>
        </w:rPr>
        <w:br w:type="page"/>
      </w:r>
      <w:bookmarkEnd w:id="250"/>
      <w:bookmarkStart w:id="251" w:name="_Toc1274"/>
      <w:bookmarkStart w:id="252" w:name="_Toc4827"/>
      <w:bookmarkStart w:id="253" w:name="_Toc26078"/>
      <w:bookmarkStart w:id="254" w:name="_Toc18668"/>
      <w:bookmarkStart w:id="255" w:name="_Toc6080"/>
      <w:bookmarkStart w:id="256" w:name="_Toc446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57" w:name="_Toc13461"/>
      <w:bookmarkStart w:id="258" w:name="_Toc10734"/>
      <w:r>
        <w:rPr>
          <w:rFonts w:hint="eastAsia"/>
          <w:color w:val="auto"/>
          <w:lang w:val="en-US" w:eastAsia="zh-CN"/>
        </w:rPr>
        <w:t>二、</w:t>
      </w:r>
      <w:r>
        <w:rPr>
          <w:rFonts w:hint="eastAsia"/>
          <w:color w:val="auto"/>
        </w:rPr>
        <w:t>重要技术参数（▲）响应表</w:t>
      </w:r>
      <w:bookmarkEnd w:id="251"/>
      <w:bookmarkEnd w:id="252"/>
      <w:bookmarkEnd w:id="253"/>
      <w:bookmarkEnd w:id="254"/>
      <w:bookmarkEnd w:id="255"/>
      <w:bookmarkEnd w:id="256"/>
      <w:bookmarkEnd w:id="257"/>
      <w:bookmarkEnd w:id="25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59" w:name="_Toc27079"/>
            <w:bookmarkStart w:id="260" w:name="_Toc29560"/>
            <w:bookmarkStart w:id="261" w:name="_Toc29642"/>
            <w:r>
              <w:rPr>
                <w:rFonts w:hint="eastAsia" w:ascii="宋体" w:hAnsi="宋体" w:eastAsia="宋体" w:cs="宋体"/>
                <w:b w:val="0"/>
                <w:bCs w:val="0"/>
                <w:color w:val="auto"/>
                <w:sz w:val="21"/>
                <w:szCs w:val="21"/>
                <w:lang w:val="en-US" w:eastAsia="zh-CN"/>
              </w:rPr>
              <w:t>序号</w:t>
            </w:r>
            <w:bookmarkEnd w:id="259"/>
            <w:bookmarkEnd w:id="260"/>
            <w:bookmarkEnd w:id="26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262" w:name="_Toc1016"/>
            <w:bookmarkStart w:id="263" w:name="_Toc14815"/>
            <w:bookmarkStart w:id="264" w:name="_Toc15368"/>
            <w:bookmarkStart w:id="265" w:name="_Toc15903"/>
            <w:bookmarkStart w:id="266" w:name="_Toc26124"/>
            <w:bookmarkStart w:id="267" w:name="_Toc21739"/>
            <w:bookmarkStart w:id="268" w:name="_Toc4304"/>
            <w:bookmarkStart w:id="269" w:name="_Toc16872"/>
            <w:bookmarkStart w:id="270" w:name="_Toc12049"/>
            <w:bookmarkStart w:id="271" w:name="_Toc22448"/>
            <w:bookmarkStart w:id="272" w:name="_Toc2700"/>
            <w:bookmarkStart w:id="273" w:name="_Toc27090"/>
            <w:bookmarkStart w:id="274" w:name="_Toc10045"/>
            <w:bookmarkStart w:id="275" w:name="_Toc22879"/>
            <w:bookmarkStart w:id="276" w:name="_Toc22917"/>
            <w:bookmarkStart w:id="277" w:name="_Toc21809"/>
            <w:bookmarkStart w:id="278" w:name="_Toc8312"/>
            <w:bookmarkStart w:id="279" w:name="_Toc27442"/>
            <w:bookmarkStart w:id="280" w:name="_Toc7333"/>
            <w:bookmarkStart w:id="281" w:name="_Toc24662"/>
            <w:bookmarkStart w:id="282" w:name="_Toc19251"/>
            <w:bookmarkStart w:id="283" w:name="_Toc8490"/>
            <w:bookmarkStart w:id="284" w:name="_Toc32531"/>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285" w:name="_Toc22153"/>
            <w:bookmarkStart w:id="286" w:name="_Toc10122"/>
            <w:bookmarkStart w:id="287" w:name="_Toc2408"/>
            <w:r>
              <w:rPr>
                <w:rFonts w:hint="eastAsia" w:ascii="宋体" w:hAnsi="宋体" w:eastAsia="宋体" w:cs="宋体"/>
                <w:b w:val="0"/>
                <w:bCs w:val="0"/>
                <w:color w:val="auto"/>
                <w:kern w:val="0"/>
                <w:sz w:val="21"/>
                <w:szCs w:val="21"/>
              </w:rPr>
              <w:t>投标文件响应内容</w:t>
            </w:r>
            <w:bookmarkEnd w:id="285"/>
            <w:bookmarkEnd w:id="286"/>
            <w:bookmarkEnd w:id="287"/>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88" w:name="_Toc27285"/>
            <w:bookmarkStart w:id="289" w:name="_Toc16003"/>
            <w:bookmarkStart w:id="290" w:name="_Toc29838"/>
            <w:bookmarkStart w:id="291" w:name="_Toc5992"/>
            <w:bookmarkStart w:id="292" w:name="_Toc1330"/>
            <w:bookmarkStart w:id="293" w:name="_Toc5563"/>
            <w:bookmarkStart w:id="294" w:name="_Toc27185"/>
            <w:bookmarkStart w:id="295" w:name="_Toc3701"/>
            <w:bookmarkStart w:id="296" w:name="_Toc20139"/>
            <w:bookmarkStart w:id="297" w:name="_Toc17296"/>
            <w:bookmarkStart w:id="298" w:name="_Toc17642"/>
            <w:bookmarkStart w:id="299" w:name="_Toc1912"/>
            <w:bookmarkStart w:id="300" w:name="_Toc20820"/>
            <w:r>
              <w:rPr>
                <w:rFonts w:hint="eastAsia" w:ascii="宋体" w:hAnsi="宋体" w:eastAsia="宋体" w:cs="宋体"/>
                <w:b w:val="0"/>
                <w:bCs w:val="0"/>
                <w:color w:val="auto"/>
                <w:sz w:val="21"/>
                <w:szCs w:val="21"/>
                <w:lang w:val="en-US" w:eastAsia="zh-CN"/>
              </w:rPr>
              <w:t>说明</w:t>
            </w:r>
            <w:bookmarkEnd w:id="288"/>
            <w:bookmarkEnd w:id="289"/>
            <w:bookmarkEnd w:id="290"/>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01" w:name="_Toc3520"/>
            <w:bookmarkStart w:id="302" w:name="_Toc857"/>
            <w:bookmarkStart w:id="303" w:name="_Toc19105"/>
            <w:r>
              <w:rPr>
                <w:rFonts w:hint="eastAsia" w:ascii="宋体" w:hAnsi="宋体" w:eastAsia="宋体" w:cs="宋体"/>
                <w:b w:val="0"/>
                <w:bCs w:val="0"/>
                <w:color w:val="auto"/>
                <w:sz w:val="21"/>
                <w:szCs w:val="21"/>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3"/>
        <w:spacing w:after="0" w:line="360" w:lineRule="auto"/>
        <w:rPr>
          <w:rFonts w:ascii="宋体" w:hAnsi="宋体" w:eastAsia="宋体"/>
          <w:color w:val="auto"/>
          <w:sz w:val="21"/>
          <w:szCs w:val="21"/>
        </w:rPr>
      </w:pP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3"/>
        <w:spacing w:after="0" w:line="360" w:lineRule="auto"/>
        <w:rPr>
          <w:rFonts w:ascii="宋体" w:hAnsi="宋体" w:eastAsia="宋体"/>
          <w:color w:val="auto"/>
          <w:sz w:val="21"/>
          <w:szCs w:val="21"/>
        </w:rPr>
      </w:pPr>
    </w:p>
    <w:p>
      <w:pPr>
        <w:pStyle w:val="33"/>
        <w:numPr>
          <w:ilvl w:val="0"/>
          <w:numId w:val="10"/>
        </w:numPr>
        <w:spacing w:after="0"/>
        <w:rPr>
          <w:rFonts w:ascii="黑体" w:eastAsia="黑体"/>
          <w:color w:val="auto"/>
          <w:sz w:val="32"/>
          <w:szCs w:val="32"/>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27139"/>
      <w:bookmarkStart w:id="305" w:name="_Toc19349"/>
      <w:r>
        <w:rPr>
          <w:rFonts w:hint="eastAsia"/>
          <w:color w:val="auto"/>
          <w:lang w:val="en-US" w:eastAsia="zh-CN"/>
        </w:rPr>
        <w:t>三、</w:t>
      </w:r>
      <w:r>
        <w:rPr>
          <w:rFonts w:hint="eastAsia"/>
          <w:color w:val="auto"/>
        </w:rPr>
        <w:t>实质性条款（标记★）投标响应表</w:t>
      </w:r>
      <w:bookmarkEnd w:id="30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6"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7" w:name="_Toc16328"/>
      <w:bookmarkStart w:id="308" w:name="_Toc26880"/>
      <w:r>
        <w:rPr>
          <w:rFonts w:hint="eastAsia"/>
          <w:color w:val="auto"/>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7"/>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09" w:name="_Toc15431"/>
      <w:bookmarkStart w:id="310" w:name="_Toc26980"/>
      <w:r>
        <w:rPr>
          <w:rFonts w:hint="eastAsia"/>
          <w:color w:val="auto"/>
          <w:lang w:val="en-US" w:eastAsia="zh-CN"/>
        </w:rPr>
        <w:t>六、投标货物明细一览表</w:t>
      </w:r>
      <w:bookmarkEnd w:id="309"/>
      <w:bookmarkEnd w:id="31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1" w:name="_Toc21541"/>
      <w:bookmarkStart w:id="312" w:name="_Toc16710"/>
      <w:r>
        <w:rPr>
          <w:rFonts w:hint="eastAsia"/>
          <w:color w:val="auto"/>
          <w:lang w:val="en-US" w:eastAsia="zh-CN"/>
        </w:rPr>
        <w:t>七、投标保证金汇入情况说明</w:t>
      </w:r>
      <w:bookmarkEnd w:id="311"/>
      <w:bookmarkEnd w:id="312"/>
    </w:p>
    <w:p>
      <w:pPr>
        <w:spacing w:after="0" w:line="48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本单位已按</w:t>
      </w:r>
      <w:r>
        <w:rPr>
          <w:rFonts w:hint="eastAsia" w:ascii="宋体" w:hAnsi="宋体"/>
          <w:color w:val="auto"/>
          <w:sz w:val="21"/>
          <w:szCs w:val="21"/>
          <w:lang w:eastAsia="zh-CN"/>
        </w:rPr>
        <w:t>（</w:t>
      </w:r>
      <w:r>
        <w:rPr>
          <w:rFonts w:hint="eastAsia" w:ascii="宋体" w:hAnsi="宋体" w:eastAsia="宋体"/>
          <w:color w:val="auto"/>
          <w:sz w:val="21"/>
          <w:szCs w:val="21"/>
        </w:rPr>
        <w:t>项目</w:t>
      </w:r>
      <w:r>
        <w:rPr>
          <w:rFonts w:hint="eastAsia" w:ascii="宋体" w:hAnsi="宋体"/>
          <w:color w:val="auto"/>
          <w:sz w:val="21"/>
          <w:szCs w:val="21"/>
          <w:lang w:val="en-US" w:eastAsia="zh-CN"/>
        </w:rPr>
        <w:t>名称）</w:t>
      </w:r>
      <w:r>
        <w:rPr>
          <w:rFonts w:hint="eastAsia" w:ascii="宋体" w:hAnsi="宋体" w:eastAsia="宋体"/>
          <w:color w:val="auto"/>
          <w:sz w:val="21"/>
          <w:szCs w:val="21"/>
        </w:rPr>
        <w:t>包</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（采购项目编号：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）的招标文件要求，于</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日前以</w:t>
      </w:r>
      <w:r>
        <w:rPr>
          <w:rFonts w:hint="eastAsia" w:ascii="宋体" w:hAnsi="宋体" w:eastAsia="宋体"/>
          <w:color w:val="auto"/>
          <w:sz w:val="21"/>
          <w:szCs w:val="21"/>
          <w:u w:val="single"/>
        </w:rPr>
        <w:t xml:space="preserve">           （付款形式）</w:t>
      </w:r>
      <w:r>
        <w:rPr>
          <w:rFonts w:hint="eastAsia" w:ascii="宋体" w:hAnsi="宋体" w:eastAsia="宋体"/>
          <w:color w:val="auto"/>
          <w:sz w:val="21"/>
          <w:szCs w:val="21"/>
        </w:rPr>
        <w:t>方式汇入指定帐户（帐户名称：</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，帐号：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u w:val="single"/>
        </w:rPr>
        <w:t xml:space="preserve"> </w:t>
      </w:r>
      <w:r>
        <w:rPr>
          <w:rFonts w:hint="eastAsia" w:ascii="宋体" w:hAnsi="宋体" w:eastAsia="宋体"/>
          <w:color w:val="auto"/>
          <w:sz w:val="21"/>
          <w:szCs w:val="21"/>
        </w:rPr>
        <w:t>,开户银行：</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汇出时间：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汇款金额：</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（大写）人民币（小写：￥</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汇款帐户名称：</w:t>
      </w:r>
      <w:r>
        <w:rPr>
          <w:rFonts w:hint="eastAsia" w:ascii="宋体" w:hAnsi="宋体" w:eastAsia="宋体"/>
          <w:color w:val="auto"/>
          <w:sz w:val="21"/>
          <w:szCs w:val="21"/>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帐        号：</w:t>
      </w:r>
      <w:r>
        <w:rPr>
          <w:rFonts w:hint="eastAsia" w:ascii="宋体" w:hAnsi="宋体" w:eastAsia="宋体"/>
          <w:color w:val="auto"/>
          <w:sz w:val="21"/>
          <w:szCs w:val="21"/>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u w:val="single"/>
        </w:rPr>
      </w:pPr>
      <w:r>
        <w:rPr>
          <w:rFonts w:hint="eastAsia" w:ascii="宋体" w:hAnsi="宋体" w:eastAsia="宋体"/>
          <w:color w:val="auto"/>
          <w:sz w:val="21"/>
          <w:szCs w:val="21"/>
        </w:rPr>
        <w:t>开 户  银 行：</w:t>
      </w:r>
      <w:r>
        <w:rPr>
          <w:rFonts w:hint="eastAsia" w:ascii="宋体" w:hAnsi="宋体" w:eastAsia="宋体"/>
          <w:color w:val="auto"/>
          <w:sz w:val="21"/>
          <w:szCs w:val="21"/>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投标保证金退回时，请按上述资料退回。</w:t>
      </w:r>
    </w:p>
    <w:p>
      <w:pPr>
        <w:spacing w:after="0" w:line="480" w:lineRule="auto"/>
        <w:ind w:right="844" w:rightChars="402"/>
        <w:jc w:val="right"/>
        <w:rPr>
          <w:rFonts w:ascii="宋体" w:hAnsi="宋体" w:eastAsia="宋体"/>
          <w:color w:val="auto"/>
          <w:sz w:val="21"/>
          <w:szCs w:val="21"/>
        </w:rPr>
      </w:pPr>
      <w:r>
        <w:rPr>
          <w:rFonts w:hint="eastAsia" w:ascii="宋体" w:hAnsi="宋体" w:eastAsia="宋体"/>
          <w:color w:val="auto"/>
          <w:sz w:val="21"/>
          <w:szCs w:val="21"/>
        </w:rPr>
        <w:t>（单位公章）</w:t>
      </w:r>
    </w:p>
    <w:p>
      <w:pPr>
        <w:spacing w:after="0" w:line="480" w:lineRule="auto"/>
        <w:ind w:right="628" w:rightChars="299"/>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联系人手机：</w:t>
      </w:r>
    </w:p>
    <w:p>
      <w:pPr>
        <w:spacing w:after="0"/>
        <w:rPr>
          <w:rFonts w:ascii="宋体" w:hAnsi="宋体" w:eastAsia="宋体"/>
          <w:color w:val="auto"/>
          <w:sz w:val="21"/>
          <w:szCs w:val="21"/>
        </w:rPr>
      </w:pP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br w:type="page"/>
      </w: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rPr>
            </w:pPr>
            <w:r>
              <w:rPr>
                <w:rFonts w:hint="eastAsia" w:ascii="宋体" w:hAnsi="宋体" w:eastAsia="宋体"/>
                <w:color w:val="auto"/>
                <w:sz w:val="21"/>
                <w:szCs w:val="21"/>
              </w:rPr>
              <w:t>（粘贴汇款单或转账</w:t>
            </w:r>
            <w:r>
              <w:rPr>
                <w:rFonts w:ascii="宋体" w:hAnsi="宋体" w:eastAsia="宋体"/>
                <w:color w:val="auto"/>
                <w:sz w:val="21"/>
                <w:szCs w:val="21"/>
              </w:rPr>
              <w:t>凭证</w:t>
            </w:r>
            <w:r>
              <w:rPr>
                <w:rFonts w:hint="eastAsia" w:ascii="宋体" w:hAnsi="宋体" w:eastAsia="宋体"/>
                <w:color w:val="auto"/>
                <w:sz w:val="21"/>
                <w:szCs w:val="21"/>
              </w:rPr>
              <w:t>复印件，并在骑缝上加盖投标人公章，或是直接把转账</w:t>
            </w:r>
            <w:r>
              <w:rPr>
                <w:rFonts w:ascii="宋体" w:hAnsi="宋体" w:eastAsia="宋体"/>
                <w:color w:val="auto"/>
                <w:sz w:val="21"/>
                <w:szCs w:val="21"/>
              </w:rPr>
              <w:t>凭证</w:t>
            </w:r>
            <w:r>
              <w:rPr>
                <w:rFonts w:hint="eastAsia" w:ascii="宋体" w:hAnsi="宋体" w:eastAsia="宋体"/>
                <w:color w:val="auto"/>
                <w:sz w:val="21"/>
                <w:szCs w:val="21"/>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注：</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1</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此表既要装订在投标文件中，又要按投标人须知的规定与</w:t>
      </w:r>
      <w:r>
        <w:rPr>
          <w:rFonts w:hint="eastAsia" w:ascii="宋体" w:hAnsi="宋体" w:eastAsia="宋体"/>
          <w:b/>
          <w:bCs/>
          <w:color w:val="auto"/>
          <w:sz w:val="21"/>
          <w:szCs w:val="21"/>
          <w:lang w:eastAsia="zh-CN"/>
        </w:rPr>
        <w:t>唱标一览表</w:t>
      </w:r>
      <w:r>
        <w:rPr>
          <w:rFonts w:hint="eastAsia" w:ascii="宋体" w:hAnsi="宋体" w:eastAsia="宋体"/>
          <w:b/>
          <w:bCs/>
          <w:color w:val="auto"/>
          <w:sz w:val="21"/>
          <w:szCs w:val="21"/>
        </w:rPr>
        <w:t>、投标保证金汇款底单复印件及授权委托书一同密封装入</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若投标人以投标担保函形式提交投标保证金，则无需在投标文件中提供此格式。</w:t>
      </w: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3" w:name="_Toc24545"/>
      <w:bookmarkStart w:id="314" w:name="_Toc26855"/>
      <w:r>
        <w:rPr>
          <w:rFonts w:hint="eastAsia"/>
          <w:color w:val="auto"/>
          <w:lang w:val="en-US" w:eastAsia="zh-CN"/>
        </w:rPr>
        <w:t>八、采购投标担保函</w:t>
      </w:r>
      <w:bookmarkEnd w:id="313"/>
      <w:bookmarkEnd w:id="314"/>
    </w:p>
    <w:p>
      <w:pPr>
        <w:wordWrap w:val="0"/>
        <w:jc w:val="right"/>
        <w:rPr>
          <w:rFonts w:ascii="仿宋_GB2312" w:eastAsia="仿宋_GB2312"/>
          <w:color w:val="auto"/>
          <w:sz w:val="32"/>
          <w:szCs w:val="32"/>
        </w:rPr>
      </w:pPr>
      <w:r>
        <w:rPr>
          <w:rFonts w:hint="eastAsia" w:ascii="黑体" w:eastAsia="黑体"/>
          <w:color w:val="auto"/>
          <w:sz w:val="28"/>
          <w:szCs w:val="28"/>
        </w:rPr>
        <w:t xml:space="preserve"> 编号：</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（采购人或采购代理机构）：</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鉴于（以下简称“投标人”）拟参加编号为</w:t>
      </w:r>
      <w:r>
        <w:rPr>
          <w:rFonts w:hint="eastAsia" w:ascii="宋体" w:hAnsi="宋体" w:eastAsia="宋体" w:cs="宋体"/>
          <w:color w:val="auto"/>
          <w:sz w:val="21"/>
          <w:szCs w:val="21"/>
          <w:u w:val="single"/>
        </w:rPr>
        <w:t xml:space="preserve">            的</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（一）在投标人出现下列情形之一时，我方承担保证责任：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2．招标文件规定的投标人应当缴纳保证金的其他情形。</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我方的保证期间为：自本保函生效之日起个月止。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2．我方在收到索赔通知及相关证明材料后，在</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spacing w:after="0" w:line="480" w:lineRule="auto"/>
        <w:jc w:val="right"/>
        <w:rPr>
          <w:rFonts w:ascii="宋体" w:hAnsi="宋体" w:eastAsia="宋体" w:cs="宋体"/>
          <w:color w:val="auto"/>
          <w:sz w:val="21"/>
          <w:szCs w:val="21"/>
        </w:rPr>
      </w:pP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保证人：（公章）</w:t>
      </w: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年     月      日</w:t>
      </w:r>
    </w:p>
    <w:p>
      <w:pPr>
        <w:spacing w:after="0"/>
        <w:rPr>
          <w:rFonts w:ascii="宋体" w:hAnsi="宋体" w:eastAsia="宋体"/>
          <w:color w:val="auto"/>
          <w:sz w:val="21"/>
          <w:szCs w:val="21"/>
        </w:rPr>
      </w:pPr>
    </w:p>
    <w:p>
      <w:pPr>
        <w:spacing w:after="0"/>
        <w:rPr>
          <w:rFonts w:ascii="宋体" w:hAnsi="宋体" w:eastAsia="宋体"/>
          <w:b/>
          <w:bCs/>
          <w:color w:val="auto"/>
          <w:sz w:val="21"/>
          <w:szCs w:val="21"/>
        </w:rPr>
      </w:pPr>
      <w:r>
        <w:rPr>
          <w:rFonts w:hint="eastAsia" w:ascii="宋体" w:hAnsi="宋体" w:eastAsia="宋体"/>
          <w:b/>
          <w:bCs/>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rPr>
      </w:pPr>
      <w:r>
        <w:rPr>
          <w:rFonts w:hint="eastAsia" w:ascii="宋体" w:hAnsi="宋体" w:eastAsia="宋体"/>
          <w:b/>
          <w:bCs/>
          <w:color w:val="auto"/>
          <w:sz w:val="21"/>
          <w:szCs w:val="21"/>
        </w:rPr>
        <w:t>（2）若投标人以投标担保函形式提交投标保证金，则应将投标担保函原件交予采购代理机构。</w:t>
      </w:r>
    </w:p>
    <w:p>
      <w:pPr>
        <w:spacing w:after="0"/>
        <w:rPr>
          <w:rFonts w:ascii="黑体" w:eastAsia="黑体"/>
          <w:color w:val="auto"/>
          <w:sz w:val="30"/>
          <w:szCs w:val="30"/>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5" w:name="_Toc6961"/>
      <w:r>
        <w:rPr>
          <w:rFonts w:hint="eastAsia"/>
          <w:color w:val="auto"/>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7"/>
        <w:rPr>
          <w:color w:val="auto"/>
        </w:rPr>
      </w:pPr>
    </w:p>
    <w:p>
      <w:pPr>
        <w:bidi w:val="0"/>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6" w:name="_Toc26772"/>
      <w:bookmarkStart w:id="317" w:name="_Toc26782"/>
      <w:r>
        <w:rPr>
          <w:rFonts w:hint="eastAsia"/>
          <w:color w:val="auto"/>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lang w:val="en-US" w:eastAsia="zh-CN"/>
        </w:rPr>
      </w:pPr>
      <w:r>
        <w:rPr>
          <w:rFonts w:hint="eastAsia"/>
          <w:color w:val="auto"/>
        </w:rPr>
        <w:t>（</w:t>
      </w:r>
      <w:r>
        <w:rPr>
          <w:rFonts w:hint="eastAsia"/>
          <w:color w:val="auto"/>
          <w:lang w:val="en-US" w:eastAsia="zh-CN"/>
        </w:rPr>
        <w:t>3</w:t>
      </w:r>
      <w:r>
        <w:rPr>
          <w:rFonts w:hint="eastAsia"/>
          <w:color w:val="auto"/>
        </w:rPr>
        <w:t>）投标保证金汇入情况说明</w:t>
      </w:r>
      <w:r>
        <w:rPr>
          <w:rFonts w:hint="eastAsia"/>
          <w:color w:val="auto"/>
          <w:lang w:val="en-US" w:eastAsia="zh-CN"/>
        </w:rPr>
        <w:t>及</w:t>
      </w:r>
      <w:r>
        <w:rPr>
          <w:rFonts w:hint="eastAsia"/>
          <w:color w:val="auto"/>
        </w:rPr>
        <w:t>投标保证金汇款底单（复印件加盖公章）</w:t>
      </w:r>
      <w:r>
        <w:rPr>
          <w:rFonts w:hint="eastAsia"/>
          <w:color w:val="auto"/>
          <w:lang w:eastAsia="zh-CN"/>
        </w:rPr>
        <w:t>，</w:t>
      </w:r>
      <w:r>
        <w:rPr>
          <w:rFonts w:hint="eastAsia"/>
          <w:color w:val="auto"/>
          <w:lang w:val="en-US" w:eastAsia="zh-CN"/>
        </w:rPr>
        <w:t>或《采购投标担保函》复印件。</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18"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9" w:name="_Toc2710"/>
      <w:bookmarkStart w:id="320" w:name="_Toc22736"/>
      <w:r>
        <w:rPr>
          <w:rFonts w:hint="eastAsia"/>
          <w:color w:val="auto"/>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18"/>
    <w:p>
      <w:pPr>
        <w:pStyle w:val="7"/>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7"/>
        <w:rPr>
          <w:color w:val="auto"/>
        </w:rPr>
      </w:pPr>
    </w:p>
    <w:p>
      <w:pPr>
        <w:spacing w:after="0" w:line="360" w:lineRule="auto"/>
        <w:rPr>
          <w:color w:val="auto"/>
        </w:rPr>
      </w:pPr>
    </w:p>
    <w:p>
      <w:pPr>
        <w:pStyle w:val="7"/>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200</w:t>
            </w:r>
            <w:r>
              <w:rPr>
                <w:rFonts w:hint="eastAsia" w:ascii="宋体" w:hAnsi="宋体" w:eastAsia="宋体" w:cs="宋体"/>
                <w:i w:val="0"/>
                <w:iCs w:val="0"/>
                <w:color w:val="auto"/>
                <w:kern w:val="0"/>
                <w:sz w:val="28"/>
                <w:szCs w:val="28"/>
                <w:u w:val="none"/>
                <w:lang w:val="en-US" w:eastAsia="zh-CN" w:bidi="ar"/>
              </w:rPr>
              <w:t>元/份</w:t>
            </w:r>
          </w:p>
        </w:tc>
      </w:tr>
    </w:tbl>
    <w:p>
      <w:pPr>
        <w:pStyle w:val="8"/>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2"/>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B40242"/>
    <w:rsid w:val="01B938AA"/>
    <w:rsid w:val="01E74B6E"/>
    <w:rsid w:val="02126CDB"/>
    <w:rsid w:val="021832B7"/>
    <w:rsid w:val="024E2E49"/>
    <w:rsid w:val="027F4354"/>
    <w:rsid w:val="029905FA"/>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0653B2"/>
    <w:rsid w:val="0D890E47"/>
    <w:rsid w:val="0D8B3206"/>
    <w:rsid w:val="0DC64A00"/>
    <w:rsid w:val="0DFC60BA"/>
    <w:rsid w:val="0E4249F1"/>
    <w:rsid w:val="0E7B4FF1"/>
    <w:rsid w:val="0F6C5A53"/>
    <w:rsid w:val="0F7C5FF6"/>
    <w:rsid w:val="0FC63FBD"/>
    <w:rsid w:val="0FF97FBC"/>
    <w:rsid w:val="106C564D"/>
    <w:rsid w:val="107B7B8F"/>
    <w:rsid w:val="107C67CE"/>
    <w:rsid w:val="1080523F"/>
    <w:rsid w:val="108F06C9"/>
    <w:rsid w:val="109D68CB"/>
    <w:rsid w:val="10A949B8"/>
    <w:rsid w:val="10C54639"/>
    <w:rsid w:val="11200D07"/>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FE1D3B"/>
    <w:rsid w:val="1C2775EC"/>
    <w:rsid w:val="1C750ECE"/>
    <w:rsid w:val="1CA22168"/>
    <w:rsid w:val="1D0836D7"/>
    <w:rsid w:val="1D196139"/>
    <w:rsid w:val="1D6A02E0"/>
    <w:rsid w:val="1DB85900"/>
    <w:rsid w:val="1DF051AF"/>
    <w:rsid w:val="1E010AF7"/>
    <w:rsid w:val="1E0178EB"/>
    <w:rsid w:val="1E301173"/>
    <w:rsid w:val="1E38333E"/>
    <w:rsid w:val="1E5C7612"/>
    <w:rsid w:val="1EA40BB4"/>
    <w:rsid w:val="1F43381C"/>
    <w:rsid w:val="1F691E82"/>
    <w:rsid w:val="1FA4148D"/>
    <w:rsid w:val="1FE00C7B"/>
    <w:rsid w:val="20121621"/>
    <w:rsid w:val="201A421D"/>
    <w:rsid w:val="20341172"/>
    <w:rsid w:val="204E554F"/>
    <w:rsid w:val="20590035"/>
    <w:rsid w:val="20C35213"/>
    <w:rsid w:val="20FC799E"/>
    <w:rsid w:val="22154DDD"/>
    <w:rsid w:val="22213E42"/>
    <w:rsid w:val="22336873"/>
    <w:rsid w:val="22590A6D"/>
    <w:rsid w:val="23175889"/>
    <w:rsid w:val="238C2182"/>
    <w:rsid w:val="239015D1"/>
    <w:rsid w:val="23BB4E7D"/>
    <w:rsid w:val="23C172D6"/>
    <w:rsid w:val="23F04F64"/>
    <w:rsid w:val="247051F5"/>
    <w:rsid w:val="24814CBE"/>
    <w:rsid w:val="24AC168B"/>
    <w:rsid w:val="258C3BEC"/>
    <w:rsid w:val="25E576CC"/>
    <w:rsid w:val="260E3862"/>
    <w:rsid w:val="262569FC"/>
    <w:rsid w:val="26344C98"/>
    <w:rsid w:val="26F56CE2"/>
    <w:rsid w:val="27295937"/>
    <w:rsid w:val="27435D49"/>
    <w:rsid w:val="27A34F71"/>
    <w:rsid w:val="27B36A67"/>
    <w:rsid w:val="27EB0D9B"/>
    <w:rsid w:val="286602C8"/>
    <w:rsid w:val="28665C95"/>
    <w:rsid w:val="28A64522"/>
    <w:rsid w:val="28CC5B40"/>
    <w:rsid w:val="290B3EB9"/>
    <w:rsid w:val="291418C2"/>
    <w:rsid w:val="2950768C"/>
    <w:rsid w:val="29794227"/>
    <w:rsid w:val="297A5FC4"/>
    <w:rsid w:val="2A1113BC"/>
    <w:rsid w:val="2A8D4F8F"/>
    <w:rsid w:val="2A911082"/>
    <w:rsid w:val="2A917B34"/>
    <w:rsid w:val="2AE3766F"/>
    <w:rsid w:val="2B7E4054"/>
    <w:rsid w:val="2BF22742"/>
    <w:rsid w:val="2C987C56"/>
    <w:rsid w:val="2CFF149A"/>
    <w:rsid w:val="2D201865"/>
    <w:rsid w:val="2D4B5CEA"/>
    <w:rsid w:val="2D652658"/>
    <w:rsid w:val="2DB50133"/>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884E67"/>
    <w:rsid w:val="31A0275E"/>
    <w:rsid w:val="31B7357A"/>
    <w:rsid w:val="31ED6B08"/>
    <w:rsid w:val="31F915C9"/>
    <w:rsid w:val="321449A9"/>
    <w:rsid w:val="32610CE6"/>
    <w:rsid w:val="32631A32"/>
    <w:rsid w:val="328464CE"/>
    <w:rsid w:val="32AB70C5"/>
    <w:rsid w:val="32C83D5A"/>
    <w:rsid w:val="32DC33E0"/>
    <w:rsid w:val="335D0AF5"/>
    <w:rsid w:val="3370088C"/>
    <w:rsid w:val="33A3154A"/>
    <w:rsid w:val="33DC2F78"/>
    <w:rsid w:val="3428227C"/>
    <w:rsid w:val="351A0708"/>
    <w:rsid w:val="35260F83"/>
    <w:rsid w:val="35602226"/>
    <w:rsid w:val="356B72E7"/>
    <w:rsid w:val="3572424F"/>
    <w:rsid w:val="35FC3844"/>
    <w:rsid w:val="366061FD"/>
    <w:rsid w:val="36794DEF"/>
    <w:rsid w:val="36AD519D"/>
    <w:rsid w:val="36B57705"/>
    <w:rsid w:val="374F1A0B"/>
    <w:rsid w:val="37A103ED"/>
    <w:rsid w:val="37EA5E6E"/>
    <w:rsid w:val="37F77C8B"/>
    <w:rsid w:val="37FF016F"/>
    <w:rsid w:val="38427C0B"/>
    <w:rsid w:val="387C5ABE"/>
    <w:rsid w:val="389B3A1E"/>
    <w:rsid w:val="38EB6119"/>
    <w:rsid w:val="394C3792"/>
    <w:rsid w:val="39BE35CB"/>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7C317F"/>
    <w:rsid w:val="40A51286"/>
    <w:rsid w:val="40CE3DC0"/>
    <w:rsid w:val="40D7455A"/>
    <w:rsid w:val="40E743E5"/>
    <w:rsid w:val="4110038E"/>
    <w:rsid w:val="41734CBA"/>
    <w:rsid w:val="41B51F6B"/>
    <w:rsid w:val="41C01B53"/>
    <w:rsid w:val="41DD7057"/>
    <w:rsid w:val="420F7A65"/>
    <w:rsid w:val="4216611A"/>
    <w:rsid w:val="423E300F"/>
    <w:rsid w:val="425656C8"/>
    <w:rsid w:val="4257273C"/>
    <w:rsid w:val="425D7213"/>
    <w:rsid w:val="42677B61"/>
    <w:rsid w:val="42756DB0"/>
    <w:rsid w:val="42B21AD2"/>
    <w:rsid w:val="42FD694D"/>
    <w:rsid w:val="434A6D8F"/>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A0030EE"/>
    <w:rsid w:val="4AC36065"/>
    <w:rsid w:val="4B1926BD"/>
    <w:rsid w:val="4B560086"/>
    <w:rsid w:val="4B7501F5"/>
    <w:rsid w:val="4B8C2DEB"/>
    <w:rsid w:val="4BF83466"/>
    <w:rsid w:val="4BFA3C9F"/>
    <w:rsid w:val="4C0E3379"/>
    <w:rsid w:val="4C107F48"/>
    <w:rsid w:val="4C3277BC"/>
    <w:rsid w:val="4C686851"/>
    <w:rsid w:val="4CB25875"/>
    <w:rsid w:val="4CC353EB"/>
    <w:rsid w:val="4CEA1FD2"/>
    <w:rsid w:val="4CF36F3C"/>
    <w:rsid w:val="4D4F67BA"/>
    <w:rsid w:val="4D603399"/>
    <w:rsid w:val="4D867EE1"/>
    <w:rsid w:val="4DBC4C65"/>
    <w:rsid w:val="4DF6568D"/>
    <w:rsid w:val="4E091DA1"/>
    <w:rsid w:val="4E2E1A80"/>
    <w:rsid w:val="4E550010"/>
    <w:rsid w:val="4E5F14CB"/>
    <w:rsid w:val="4F3705F8"/>
    <w:rsid w:val="4F651D09"/>
    <w:rsid w:val="4FAC3540"/>
    <w:rsid w:val="4FBB12F4"/>
    <w:rsid w:val="4FCF1583"/>
    <w:rsid w:val="4FFA7625"/>
    <w:rsid w:val="501B0BF9"/>
    <w:rsid w:val="502E143E"/>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1D2403"/>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1027308"/>
    <w:rsid w:val="612E1A5D"/>
    <w:rsid w:val="61816046"/>
    <w:rsid w:val="62182687"/>
    <w:rsid w:val="623627B6"/>
    <w:rsid w:val="62391564"/>
    <w:rsid w:val="62816669"/>
    <w:rsid w:val="62BA0953"/>
    <w:rsid w:val="62BA66E5"/>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C93B75"/>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D7B7F"/>
    <w:rsid w:val="6E5F4465"/>
    <w:rsid w:val="6E8C54DA"/>
    <w:rsid w:val="6EF10568"/>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656B2F"/>
    <w:rsid w:val="72C16204"/>
    <w:rsid w:val="730313F6"/>
    <w:rsid w:val="731E1007"/>
    <w:rsid w:val="73370D24"/>
    <w:rsid w:val="7359268C"/>
    <w:rsid w:val="739503EB"/>
    <w:rsid w:val="73A05B28"/>
    <w:rsid w:val="73C07D69"/>
    <w:rsid w:val="749E2255"/>
    <w:rsid w:val="74AC4F69"/>
    <w:rsid w:val="74B42AE4"/>
    <w:rsid w:val="750A429D"/>
    <w:rsid w:val="75167F59"/>
    <w:rsid w:val="754D77D2"/>
    <w:rsid w:val="755D38A7"/>
    <w:rsid w:val="755F5A0F"/>
    <w:rsid w:val="75614792"/>
    <w:rsid w:val="756E5849"/>
    <w:rsid w:val="75784473"/>
    <w:rsid w:val="757E044C"/>
    <w:rsid w:val="75977BC3"/>
    <w:rsid w:val="759C54AC"/>
    <w:rsid w:val="75B161B3"/>
    <w:rsid w:val="75E470E3"/>
    <w:rsid w:val="76736B32"/>
    <w:rsid w:val="76E3765E"/>
    <w:rsid w:val="76FC2AFA"/>
    <w:rsid w:val="773F0836"/>
    <w:rsid w:val="77653671"/>
    <w:rsid w:val="778546CC"/>
    <w:rsid w:val="77B56730"/>
    <w:rsid w:val="77C04A8B"/>
    <w:rsid w:val="77D85DB3"/>
    <w:rsid w:val="780252A0"/>
    <w:rsid w:val="78027772"/>
    <w:rsid w:val="78A50513"/>
    <w:rsid w:val="793B7339"/>
    <w:rsid w:val="796518DD"/>
    <w:rsid w:val="796E0C55"/>
    <w:rsid w:val="79AA0532"/>
    <w:rsid w:val="79C17E21"/>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next w:val="9"/>
    <w:unhideWhenUsed/>
    <w:qFormat/>
    <w:uiPriority w:val="99"/>
    <w:pPr>
      <w:ind w:firstLine="420" w:firstLineChars="100"/>
    </w:pPr>
    <w:rPr>
      <w:rFonts w:ascii="Times New Roman" w:hAnsi="Times New Roman" w:cs="Times New Roman"/>
    </w:rPr>
  </w:style>
  <w:style w:type="paragraph" w:styleId="9">
    <w:name w:val="toc 6"/>
    <w:basedOn w:val="1"/>
    <w:next w:val="1"/>
    <w:qFormat/>
    <w:uiPriority w:val="0"/>
    <w:pPr>
      <w:ind w:left="1200"/>
    </w:pPr>
    <w:rPr>
      <w:rFonts w:ascii="Calibri" w:cs="Calibri"/>
      <w:sz w:val="18"/>
      <w:szCs w:val="18"/>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8"/>
    <w:semiHidden/>
    <w:unhideWhenUsed/>
    <w:qFormat/>
    <w:uiPriority w:val="99"/>
    <w:pPr>
      <w:spacing w:after="0"/>
    </w:pPr>
    <w:rPr>
      <w:sz w:val="18"/>
      <w:szCs w:val="18"/>
    </w:rPr>
  </w:style>
  <w:style w:type="paragraph" w:styleId="14">
    <w:name w:val="footer"/>
    <w:basedOn w:val="1"/>
    <w:link w:val="47"/>
    <w:unhideWhenUsed/>
    <w:qFormat/>
    <w:uiPriority w:val="99"/>
    <w:pPr>
      <w:tabs>
        <w:tab w:val="center" w:pos="4153"/>
        <w:tab w:val="right" w:pos="8306"/>
      </w:tabs>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pPr>
      <w:snapToGrid w:val="0"/>
      <w:jc w:val="left"/>
    </w:pPr>
    <w:rPr>
      <w:sz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3"/>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1"/>
    <w:semiHidden/>
    <w:qFormat/>
    <w:uiPriority w:val="99"/>
    <w:rPr>
      <w:rFonts w:ascii="宋体" w:hAnsi="Courier New" w:eastAsia="宋体" w:cs="Courier New"/>
      <w:sz w:val="21"/>
      <w:szCs w:val="21"/>
    </w:rPr>
  </w:style>
  <w:style w:type="character" w:customStyle="1" w:styleId="46">
    <w:name w:val="页眉 Char"/>
    <w:basedOn w:val="25"/>
    <w:link w:val="15"/>
    <w:qFormat/>
    <w:uiPriority w:val="99"/>
    <w:rPr>
      <w:rFonts w:ascii="Tahoma" w:hAnsi="Tahoma"/>
      <w:sz w:val="18"/>
      <w:szCs w:val="18"/>
    </w:rPr>
  </w:style>
  <w:style w:type="character" w:customStyle="1" w:styleId="47">
    <w:name w:val="页脚 Char"/>
    <w:basedOn w:val="25"/>
    <w:link w:val="14"/>
    <w:qFormat/>
    <w:uiPriority w:val="99"/>
    <w:rPr>
      <w:rFonts w:ascii="Tahoma" w:hAnsi="Tahoma"/>
      <w:sz w:val="18"/>
      <w:szCs w:val="18"/>
    </w:rPr>
  </w:style>
  <w:style w:type="character" w:customStyle="1" w:styleId="48">
    <w:name w:val="批注框文本 Char"/>
    <w:basedOn w:val="25"/>
    <w:link w:val="13"/>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28192</Words>
  <Characters>28926</Characters>
  <Lines>264</Lines>
  <Paragraphs>74</Paragraphs>
  <TotalTime>0</TotalTime>
  <ScaleCrop>false</ScaleCrop>
  <LinksUpToDate>false</LinksUpToDate>
  <CharactersWithSpaces>31182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2022-04-08T08:41:21Z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FA883B9110314357BCCB0107BE1C437D</vt:lpwstr>
  </property>
</Properties>
</file>