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highlight w:val="none"/>
          <w:lang w:val="en-US" w:eastAsia="zh-CN"/>
        </w:rPr>
      </w:pPr>
    </w:p>
    <w:p>
      <w:pPr>
        <w:jc w:val="center"/>
        <w:rPr>
          <w:b/>
          <w:color w:val="auto"/>
          <w:sz w:val="72"/>
          <w:szCs w:val="32"/>
          <w:highlight w:val="none"/>
        </w:rPr>
      </w:pPr>
      <w:r>
        <w:rPr>
          <w:rFonts w:hint="eastAsia" w:ascii="黑体" w:eastAsia="黑体"/>
          <w:b/>
          <w:color w:val="auto"/>
          <w:sz w:val="72"/>
          <w:szCs w:val="32"/>
          <w:highlight w:val="none"/>
          <w:lang w:val="en-US" w:eastAsia="zh-CN"/>
        </w:rPr>
        <w:t>公开招标</w:t>
      </w:r>
      <w:r>
        <w:rPr>
          <w:rFonts w:hint="eastAsia" w:ascii="黑体" w:eastAsia="黑体"/>
          <w:b/>
          <w:color w:val="auto"/>
          <w:sz w:val="72"/>
          <w:szCs w:val="32"/>
          <w:highlight w:val="none"/>
        </w:rPr>
        <w:t>文件</w:t>
      </w:r>
    </w:p>
    <w:p>
      <w:pPr>
        <w:jc w:val="center"/>
        <w:rPr>
          <w:rFonts w:hint="eastAsia"/>
          <w:color w:val="auto"/>
          <w:highlight w:val="none"/>
        </w:rPr>
      </w:pPr>
      <w:r>
        <w:rPr>
          <w:rFonts w:hint="eastAsia" w:ascii="黑体" w:hAnsi="黑体" w:eastAsia="黑体" w:cs="黑体"/>
          <w:b w:val="0"/>
          <w:bCs/>
          <w:color w:val="auto"/>
          <w:spacing w:val="57"/>
          <w:sz w:val="72"/>
          <w:szCs w:val="72"/>
          <w:highlight w:val="none"/>
        </w:rPr>
        <w:t>东莞市政府采购</w:t>
      </w:r>
    </w:p>
    <w:p>
      <w:pPr>
        <w:pStyle w:val="2"/>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2"/>
        <w:ind w:left="0" w:leftChars="0" w:firstLine="0" w:firstLineChars="0"/>
        <w:rPr>
          <w:rFonts w:hint="eastAsia" w:ascii="黑体" w:eastAsia="黑体"/>
          <w:color w:val="auto"/>
          <w:szCs w:val="21"/>
          <w:highlight w:val="none"/>
          <w:lang w:eastAsia="zh-CN"/>
        </w:rPr>
      </w:pPr>
    </w:p>
    <w:p>
      <w:pPr>
        <w:pStyle w:val="22"/>
        <w:ind w:left="0" w:leftChars="0" w:firstLine="0" w:firstLineChars="0"/>
        <w:rPr>
          <w:rFonts w:hint="eastAsia" w:ascii="黑体" w:eastAsia="黑体"/>
          <w:color w:val="auto"/>
          <w:szCs w:val="21"/>
          <w:highlight w:val="none"/>
          <w:lang w:eastAsia="zh-CN"/>
        </w:rPr>
      </w:pPr>
    </w:p>
    <w:tbl>
      <w:tblPr>
        <w:tblStyle w:val="25"/>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GDZT2022104A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东莞市横沥镇社区卫生服务中心呼叫系统采购项目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东莞市横沥镇社区卫生服务中心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pPr>
        <w:jc w:val="both"/>
        <w:rPr>
          <w:rFonts w:ascii="黑体" w:eastAsia="黑体"/>
          <w:color w:val="auto"/>
          <w:szCs w:val="21"/>
          <w:highlight w:val="none"/>
        </w:rPr>
      </w:pPr>
    </w:p>
    <w:p>
      <w:pPr>
        <w:pStyle w:val="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（本提示内容非招标文件的组成部分，仅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；如有不一致，以招标文件为准）</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请各投标供应商在制作投标文件时认真阅读本招标文件的内容。</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凡参与本项目政府采购活动的供应商需访问并登录广东省政府采购网的广东政府采购智慧云平台（https://gdgpo.czt.gd.gov.cn/）进行注册建档入库，投标供应商在使用过程中遇到涉及系统使用的任何问题，可致电云平台技术支持热线400-183-2999进行咨询。</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rPr>
        <w:t>建议投标供应商将投标文件正本、副本、唱标信封分别密封包装，并按照招标文件“第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投标人须知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eastAsia="宋体" w:cs="宋体"/>
          <w:b/>
          <w:bCs w:val="0"/>
          <w:color w:val="auto"/>
          <w:sz w:val="21"/>
          <w:szCs w:val="21"/>
          <w:highlight w:val="none"/>
          <w:u w:val="none"/>
        </w:rPr>
        <w:t>投标文件的递交”中相关要求进行提交，避免因密封包装不符合要求而导致投标文件被退回。</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rPr>
        <w:t>请正确填写《</w:t>
      </w:r>
      <w:r>
        <w:rPr>
          <w:rFonts w:hint="eastAsia" w:ascii="宋体" w:hAnsi="宋体" w:eastAsia="宋体" w:cs="宋体"/>
          <w:b/>
          <w:bCs w:val="0"/>
          <w:color w:val="auto"/>
          <w:sz w:val="21"/>
          <w:szCs w:val="21"/>
          <w:highlight w:val="none"/>
          <w:u w:val="none"/>
          <w:lang w:val="en-US" w:eastAsia="zh-CN"/>
        </w:rPr>
        <w:t>唱标</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rPr>
        <w:t>投标文件应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rPr>
        <w:t>请仔细检查投标文件是否已按招标文件盖章、签名(或盖私章)、签署日期。</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7、加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必须完全响应，不响应或负偏离将导致投标无效</w:t>
      </w:r>
      <w:r>
        <w:rPr>
          <w:rFonts w:hint="eastAsia" w:ascii="宋体" w:hAnsi="宋体" w:eastAsia="宋体" w:cs="宋体"/>
          <w:b/>
          <w:bCs w:val="0"/>
          <w:color w:val="auto"/>
          <w:sz w:val="21"/>
          <w:szCs w:val="21"/>
          <w:highlight w:val="none"/>
          <w:u w:val="none"/>
          <w:lang w:eastAsia="zh-CN"/>
        </w:rPr>
        <w:t>。</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eastAsia="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rPr>
        <w:t>为避免因迟到而无法按时递交投标文件，投标供应商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在投标文件递交截止时间之前30分钟内到达开标地点</w:t>
      </w:r>
      <w:r>
        <w:rPr>
          <w:rFonts w:hint="eastAsia" w:ascii="宋体" w:hAnsi="宋体" w:eastAsia="宋体" w:cs="宋体"/>
          <w:b/>
          <w:bCs w:val="0"/>
          <w:color w:val="auto"/>
          <w:sz w:val="21"/>
          <w:szCs w:val="21"/>
          <w:highlight w:val="none"/>
          <w:u w:val="none"/>
          <w:lang w:eastAsia="zh-CN"/>
        </w:rPr>
        <w:t>，投标截止时间一到，本公司不接收任何投标文件。</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9</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为了提高政府采购效率，节约社会交易成本与时间，希望领购了招标文件而决定不参加本项目投标的供应商，在投标文件递交截止时间的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日前，按《投标邀请函》中的联系方式，以书面形式告知采购代理机构。对您的支持与配合，谨此致谢。</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keepNext w:val="0"/>
        <w:keepLines w:val="0"/>
        <w:pageBreakBefore w:val="0"/>
        <w:widowControl/>
        <w:kinsoku/>
        <w:wordWrap/>
        <w:overflowPunct/>
        <w:topLinePunct w:val="0"/>
        <w:autoSpaceDE/>
        <w:autoSpaceDN/>
        <w:bidi w:val="0"/>
        <w:adjustRightInd w:val="0"/>
        <w:snapToGrid w:val="0"/>
        <w:textAlignment w:val="auto"/>
        <w:rPr>
          <w:rFonts w:hint="default"/>
          <w:b/>
          <w:bCs/>
          <w:sz w:val="24"/>
          <w:szCs w:val="24"/>
          <w:lang w:val="en-US" w:eastAsia="zh-CN"/>
        </w:rPr>
      </w:pPr>
      <w:r>
        <w:rPr>
          <w:rFonts w:hint="eastAsia"/>
          <w:b/>
          <w:bCs/>
          <w:sz w:val="24"/>
          <w:szCs w:val="24"/>
          <w:lang w:val="en-US" w:eastAsia="zh-CN"/>
        </w:rPr>
        <w:t>10、公司位置：</w:t>
      </w: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r>
        <w:rPr>
          <w:rFonts w:hint="eastAsia" w:eastAsia="宋体"/>
          <w:sz w:val="40"/>
          <w:szCs w:val="40"/>
          <w:lang w:eastAsia="zh-CN"/>
        </w:rPr>
        <w:drawing>
          <wp:inline distT="0" distB="0" distL="114300" distR="114300">
            <wp:extent cx="5266690" cy="42976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4297680"/>
                    </a:xfrm>
                    <a:prstGeom prst="rect">
                      <a:avLst/>
                    </a:prstGeom>
                  </pic:spPr>
                </pic:pic>
              </a:graphicData>
            </a:graphic>
          </wp:inline>
        </w:drawing>
      </w: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第一部分 投标邀请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部分 投标人须知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3.货物和服务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4.投标费用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6.关于联合体投标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7.关于分支机构投标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招标文件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8.招标文件的组成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9.招标文件的澄清或修改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投标文件的编制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10.投标文件的语言及度量衡单位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11.投标文件的组成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12.投标文件编制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13.投标报价说明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14.投标人所提供的服务或货物的证明文件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15.投标有效期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16.投标保证金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投标文件的递交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17.投标文件的装订，签署，密封和标记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18.迟交的投标文件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19.投标样品（如需提交）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20.投标截止期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21.投标文件的补充、修改与撤回</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开标与评标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22.开标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23.评标委员会及评标方法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24.评审原则及评标过程的保密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25.投标文件的初审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26.商务、技术、价格评审（具体评审项目详见投标资料表）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27.优惠政策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28.纪律和保密事项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授予合同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29.合同授予标准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31.合同的签订与履行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32.履约保证金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35.招标文件的解释权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部分  投标文件格式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投标文件目录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一、唱标一览表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_Toc23355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三、小型或微型企业（货物/服务/承担的工程）明细表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_Toc23355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_Toc13970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四、节能产品或环境标志产品明细表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_Toc13970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五、中小企业声明函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_Toc7959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六、残疾人福利性单位声明函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_Toc7959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一、投标函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三、在参与政府采购活动前三年未有重大违法记录、没有不良信用记录的声明函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六、投标人基本情况说明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实质性条款（标记★）投标响应表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_Toc6961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七</w:t>
      </w:r>
      <w:r>
        <w:rPr>
          <w:rFonts w:hint="eastAsia" w:ascii="宋体" w:hAnsi="宋体" w:eastAsia="宋体" w:cs="宋体"/>
          <w:color w:val="auto"/>
          <w:sz w:val="21"/>
          <w:szCs w:val="21"/>
          <w:highlight w:val="none"/>
          <w:lang w:val="en-US" w:eastAsia="zh-CN"/>
        </w:rPr>
        <w:t>、政府采购履约担保函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第四章唱标信封（单独封装）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第五章联合体共同投标协议书（如有需要）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4"/>
        <w:spacing w:before="0" w:after="0" w:line="240" w:lineRule="auto"/>
        <w:rPr>
          <w:color w:val="auto"/>
          <w:sz w:val="28"/>
          <w:szCs w:val="28"/>
          <w:highlight w:val="none"/>
        </w:rPr>
      </w:pPr>
      <w:bookmarkStart w:id="0" w:name="_Toc2456"/>
      <w:bookmarkStart w:id="1" w:name="_Toc17306"/>
      <w:r>
        <w:rPr>
          <w:rFonts w:hint="eastAsia"/>
          <w:color w:val="auto"/>
          <w:sz w:val="28"/>
          <w:szCs w:val="28"/>
          <w:highlight w:val="none"/>
        </w:rPr>
        <w:t>第一部分 投标邀请</w:t>
      </w:r>
      <w:bookmarkEnd w:id="0"/>
      <w:bookmarkEnd w:id="1"/>
    </w:p>
    <w:p>
      <w:pPr>
        <w:pStyle w:val="5"/>
        <w:spacing w:before="0" w:after="0" w:line="360" w:lineRule="auto"/>
        <w:jc w:val="center"/>
        <w:rPr>
          <w:rFonts w:ascii="宋体" w:hAnsi="宋体" w:eastAsia="宋体" w:cs="宋体"/>
          <w:color w:val="auto"/>
          <w:highlight w:val="none"/>
        </w:rPr>
      </w:pPr>
      <w:bookmarkStart w:id="2" w:name="_Toc1420"/>
      <w:bookmarkStart w:id="3" w:name="_Toc7123"/>
      <w:bookmarkStart w:id="4" w:name="_Toc8850"/>
      <w:r>
        <w:rPr>
          <w:rFonts w:hint="eastAsia" w:ascii="宋体" w:hAnsi="宋体" w:eastAsia="宋体" w:cs="宋体"/>
          <w:color w:val="auto"/>
          <w:highlight w:val="none"/>
        </w:rPr>
        <w:t>投标邀请书</w:t>
      </w:r>
      <w:bookmarkEnd w:id="2"/>
      <w:bookmarkEnd w:id="3"/>
      <w:bookmarkEnd w:id="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eastAsia="宋体"/>
          <w:b/>
          <w:bCs/>
          <w:color w:val="auto"/>
          <w:sz w:val="21"/>
          <w:szCs w:val="21"/>
          <w:highlight w:val="none"/>
          <w:u w:val="single"/>
        </w:rPr>
        <w:t>东莞市横沥镇社区卫生服务中心</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b/>
          <w:bCs/>
          <w:color w:val="auto"/>
          <w:sz w:val="21"/>
          <w:szCs w:val="21"/>
          <w:highlight w:val="none"/>
          <w:u w:val="single"/>
          <w:lang w:eastAsia="zh-CN"/>
        </w:rPr>
        <w:t>东莞市横沥镇社区卫生服务中心呼叫系统采购项目</w:t>
      </w:r>
      <w:r>
        <w:rPr>
          <w:rFonts w:hint="eastAsia" w:ascii="宋体" w:hAnsi="宋体" w:eastAsia="宋体" w:cs="Times New Roman"/>
          <w:color w:val="auto"/>
          <w:sz w:val="21"/>
          <w:szCs w:val="21"/>
          <w:highlight w:val="none"/>
        </w:rPr>
        <w:t>进行国内公开招标采购</w:t>
      </w:r>
      <w:r>
        <w:rPr>
          <w:rFonts w:hint="eastAsia" w:ascii="宋体" w:hAnsi="宋体" w:eastAsia="宋体"/>
          <w:color w:val="auto"/>
          <w:sz w:val="21"/>
          <w:szCs w:val="21"/>
          <w:highlight w:val="none"/>
        </w:rPr>
        <w:t>，欢迎符合招标文件要求的国内投标人参加投标</w:t>
      </w:r>
      <w:r>
        <w:rPr>
          <w:rFonts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w:t>
      </w:r>
      <w:r>
        <w:rPr>
          <w:rFonts w:hint="eastAsia" w:ascii="宋体" w:hAnsi="宋体"/>
          <w:color w:val="auto"/>
          <w:sz w:val="21"/>
          <w:szCs w:val="21"/>
          <w:highlight w:val="none"/>
          <w:lang w:val="en-US" w:eastAsia="zh-CN"/>
        </w:rPr>
        <w:t>GDZT2022104A</w:t>
      </w:r>
      <w:r>
        <w:rPr>
          <w:rFonts w:hint="eastAsia" w:ascii="宋体" w:hAnsi="宋体" w:eastAsia="宋体"/>
          <w:color w:val="auto"/>
          <w:sz w:val="21"/>
          <w:szCs w:val="21"/>
          <w:highlight w:val="none"/>
          <w:lang w:val="en-US" w:eastAsia="zh-CN"/>
        </w:rPr>
        <w:t>；</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w:t>
      </w:r>
      <w:r>
        <w:rPr>
          <w:rFonts w:hint="eastAsia" w:ascii="宋体" w:hAnsi="宋体"/>
          <w:color w:val="auto"/>
          <w:sz w:val="21"/>
          <w:szCs w:val="21"/>
          <w:highlight w:val="none"/>
          <w:lang w:val="en-US" w:eastAsia="zh-CN"/>
        </w:rPr>
        <w:t>东莞市横沥镇社区卫生服务中心呼叫系统采购项目</w:t>
      </w:r>
      <w:r>
        <w:rPr>
          <w:rFonts w:hint="eastAsia" w:ascii="宋体" w:hAnsi="宋体" w:eastAsia="宋体"/>
          <w:color w:val="auto"/>
          <w:sz w:val="21"/>
          <w:szCs w:val="21"/>
          <w:highlight w:val="none"/>
          <w:lang w:val="en-US" w:eastAsia="zh-CN"/>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4"/>
        <w:tblW w:w="43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71"/>
        <w:gridCol w:w="3904"/>
        <w:gridCol w:w="738"/>
        <w:gridCol w:w="1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5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267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包组内容</w:t>
            </w:r>
          </w:p>
        </w:tc>
        <w:tc>
          <w:tcPr>
            <w:tcW w:w="50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数量</w:t>
            </w:r>
          </w:p>
        </w:tc>
        <w:tc>
          <w:tcPr>
            <w:tcW w:w="136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45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267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东莞市横沥镇社区卫生服务中心</w:t>
            </w: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呼叫系统采购项目</w:t>
            </w:r>
          </w:p>
        </w:tc>
        <w:tc>
          <w:tcPr>
            <w:tcW w:w="50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1项</w:t>
            </w:r>
          </w:p>
        </w:tc>
        <w:tc>
          <w:tcPr>
            <w:tcW w:w="136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u w:val="single"/>
                <w:lang w:val="en-US" w:eastAsia="zh-CN"/>
              </w:rPr>
              <w:t>465,200.00</w:t>
            </w:r>
            <w:r>
              <w:rPr>
                <w:rFonts w:hint="eastAsia" w:ascii="宋体" w:hAnsi="宋体" w:eastAsia="宋体"/>
                <w:color w:val="auto"/>
                <w:sz w:val="21"/>
                <w:szCs w:val="21"/>
                <w:highlight w:val="none"/>
              </w:rPr>
              <w:t>元</w:t>
            </w:r>
          </w:p>
        </w:tc>
      </w:tr>
    </w:tbl>
    <w:p>
      <w:pPr>
        <w:pStyle w:val="2"/>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二、投标人资格要求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（1）须符合《中华人民共和国政府采购法》第二十二条规定（提供书面承诺）；</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）本项目（是/否）接受联合体投标：否</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highlight w:val="none"/>
        </w:rPr>
      </w:pP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2、特殊要求：</w:t>
      </w:r>
    </w:p>
    <w:p>
      <w:pPr>
        <w:bidi w:val="0"/>
        <w:ind w:firstLine="420" w:firstLineChars="200"/>
        <w:rPr>
          <w:rFonts w:hint="eastAsia"/>
          <w:color w:val="auto"/>
          <w:highlight w:val="none"/>
          <w:lang w:val="en-US" w:eastAsia="zh-CN"/>
        </w:rPr>
      </w:pPr>
      <w:r>
        <w:rPr>
          <w:rFonts w:hint="eastAsia"/>
          <w:color w:val="auto"/>
          <w:highlight w:val="none"/>
          <w:lang w:val="en-US" w:eastAsia="zh-CN"/>
        </w:rPr>
        <w:t>无</w:t>
      </w:r>
    </w:p>
    <w:p>
      <w:pPr>
        <w:bidi w:val="0"/>
        <w:rPr>
          <w:rFonts w:hint="default"/>
          <w:color w:val="auto"/>
          <w:highlight w:val="none"/>
          <w:lang w:val="en-US"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三、项目公示时间、招标文件领购时间、地点、方式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7</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14</w:t>
      </w:r>
      <w:r>
        <w:rPr>
          <w:rFonts w:hint="eastAsia" w:ascii="宋体" w:hAnsi="宋体" w:eastAsia="宋体"/>
          <w:color w:val="auto"/>
          <w:sz w:val="21"/>
          <w:szCs w:val="21"/>
          <w:highlight w:val="none"/>
        </w:rPr>
        <w:t>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2、招标文件领购</w:t>
      </w:r>
      <w:r>
        <w:rPr>
          <w:rFonts w:ascii="宋体" w:hAnsi="宋体" w:eastAsia="宋体"/>
          <w:color w:val="auto"/>
          <w:sz w:val="21"/>
          <w:szCs w:val="21"/>
          <w:highlight w:val="none"/>
        </w:rPr>
        <w:t>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7</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14</w:t>
      </w:r>
      <w:r>
        <w:rPr>
          <w:rFonts w:hint="eastAsia" w:ascii="宋体" w:hAnsi="宋体" w:eastAsia="宋体"/>
          <w:color w:val="auto"/>
          <w:sz w:val="21"/>
          <w:szCs w:val="21"/>
          <w:highlight w:val="none"/>
        </w:rPr>
        <w:t xml:space="preserve">日（节假日除外），上午9：00～12：00，下午14：30～17：30（北京时间）。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注：（1）投标人可自行打印招标文件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中的“获取招标文件登记表”进行填写并带到现场进行领购，并现场领取发票。（招标文件领购价：人民币</w:t>
      </w:r>
      <w:r>
        <w:rPr>
          <w:rFonts w:hint="eastAsia" w:ascii="宋体" w:hAnsi="宋体"/>
          <w:color w:val="auto"/>
          <w:sz w:val="21"/>
          <w:szCs w:val="21"/>
          <w:highlight w:val="none"/>
          <w:lang w:val="en-US" w:eastAsia="zh-CN"/>
        </w:rPr>
        <w:t>200</w:t>
      </w:r>
      <w:r>
        <w:rPr>
          <w:rFonts w:hint="eastAsia" w:ascii="宋体" w:hAnsi="宋体" w:eastAsia="宋体"/>
          <w:color w:val="auto"/>
          <w:sz w:val="21"/>
          <w:szCs w:val="21"/>
          <w:highlight w:val="none"/>
        </w:rPr>
        <w:t>元整）</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eastAsia="宋体"/>
          <w:color w:val="auto"/>
          <w:sz w:val="21"/>
          <w:szCs w:val="21"/>
          <w:highlight w:val="none"/>
          <w:lang w:val="en-US" w:eastAsia="zh-CN"/>
        </w:rPr>
        <w:t>简小姐</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（3）招标文件电子版可在政通招标网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相关招标信息公告下自行下载。</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3、招标文件领购地点：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eastAsia="宋体"/>
          <w:color w:val="auto"/>
          <w:sz w:val="21"/>
          <w:szCs w:val="21"/>
          <w:highlight w:val="none"/>
          <w:lang w:eastAsia="zh-CN"/>
        </w:rPr>
        <w:t>简海欣</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4、招标文件领购方式：现场领购。</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r>
        <w:rPr>
          <w:rFonts w:hint="eastAsia" w:ascii="宋体" w:hAnsi="宋体" w:eastAsia="宋体"/>
          <w:color w:val="auto"/>
          <w:sz w:val="21"/>
          <w:szCs w:val="21"/>
          <w:highlight w:val="none"/>
          <w:lang w:eastAsia="zh-CN"/>
        </w:rPr>
        <w:t>。</w:t>
      </w:r>
    </w:p>
    <w:p>
      <w:pPr>
        <w:bidi w:val="0"/>
        <w:rPr>
          <w:rFonts w:hint="eastAsia"/>
          <w:color w:val="auto"/>
          <w:highlight w:val="none"/>
          <w:lang w:eastAsia="zh-CN"/>
        </w:rPr>
      </w:pPr>
    </w:p>
    <w:p>
      <w:pPr>
        <w:spacing w:after="0" w:line="360" w:lineRule="auto"/>
        <w:ind w:firstLine="413" w:firstLineChars="196"/>
        <w:rPr>
          <w:rFonts w:hint="default"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四</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val="en-US" w:eastAsia="zh-CN"/>
        </w:rPr>
        <w:t>其他事项</w:t>
      </w:r>
    </w:p>
    <w:p>
      <w:p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bidi w:val="0"/>
        <w:rPr>
          <w:rFonts w:hint="default"/>
          <w:color w:val="auto"/>
          <w:highlight w:val="none"/>
          <w:lang w:val="en-US"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lang w:val="en-US" w:eastAsia="zh-CN"/>
        </w:rPr>
        <w:t>五</w:t>
      </w:r>
      <w:r>
        <w:rPr>
          <w:rFonts w:hint="eastAsia" w:ascii="宋体" w:hAnsi="宋体" w:eastAsia="宋体"/>
          <w:b/>
          <w:color w:val="auto"/>
          <w:sz w:val="21"/>
          <w:szCs w:val="21"/>
          <w:highlight w:val="none"/>
        </w:rPr>
        <w:t>、投标截止时间、开标时间及地点</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1、递交投标文件时间：202</w:t>
      </w:r>
      <w:r>
        <w:rPr>
          <w:rFonts w:hint="eastAsia" w:ascii="宋体" w:hAnsi="宋体"/>
          <w:bCs/>
          <w:color w:val="auto"/>
          <w:sz w:val="21"/>
          <w:szCs w:val="21"/>
          <w:highlight w:val="none"/>
          <w:lang w:val="en-US" w:eastAsia="zh-CN"/>
        </w:rPr>
        <w:t>2</w:t>
      </w:r>
      <w:r>
        <w:rPr>
          <w:rFonts w:hint="eastAsia" w:ascii="宋体" w:hAnsi="宋体" w:eastAsia="宋体"/>
          <w:bCs/>
          <w:color w:val="auto"/>
          <w:sz w:val="21"/>
          <w:szCs w:val="21"/>
          <w:highlight w:val="none"/>
        </w:rPr>
        <w:t>年</w:t>
      </w:r>
      <w:r>
        <w:rPr>
          <w:rFonts w:hint="eastAsia" w:ascii="宋体" w:hAnsi="宋体"/>
          <w:bCs/>
          <w:color w:val="auto"/>
          <w:sz w:val="21"/>
          <w:szCs w:val="21"/>
          <w:highlight w:val="none"/>
          <w:lang w:val="en-US" w:eastAsia="zh-CN"/>
        </w:rPr>
        <w:t>2</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28</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：00～</w:t>
      </w:r>
      <w:r>
        <w:rPr>
          <w:rFonts w:hint="eastAsia" w:ascii="宋体" w:hAnsi="宋体"/>
          <w:bCs/>
          <w:color w:val="auto"/>
          <w:sz w:val="21"/>
          <w:szCs w:val="21"/>
          <w:highlight w:val="none"/>
          <w:lang w:val="en-US" w:eastAsia="zh-CN"/>
        </w:rPr>
        <w:t>4</w:t>
      </w:r>
      <w:r>
        <w:rPr>
          <w:rFonts w:hint="eastAsia" w:ascii="宋体" w:hAnsi="宋体" w:eastAsia="宋体"/>
          <w:bCs/>
          <w:color w:val="auto"/>
          <w:sz w:val="21"/>
          <w:szCs w:val="21"/>
          <w:highlight w:val="none"/>
        </w:rPr>
        <w:t>：30。</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ascii="宋体" w:hAnsi="宋体" w:eastAsia="宋体"/>
          <w:bCs/>
          <w:color w:val="auto"/>
          <w:sz w:val="21"/>
          <w:szCs w:val="21"/>
          <w:highlight w:val="none"/>
        </w:rPr>
        <w:t>投标截止</w:t>
      </w:r>
      <w:r>
        <w:rPr>
          <w:rFonts w:hint="eastAsia" w:ascii="宋体" w:hAnsi="宋体" w:eastAsia="宋体"/>
          <w:bCs/>
          <w:color w:val="auto"/>
          <w:sz w:val="21"/>
          <w:szCs w:val="21"/>
          <w:highlight w:val="none"/>
        </w:rPr>
        <w:t>及开标时间：202</w:t>
      </w:r>
      <w:r>
        <w:rPr>
          <w:rFonts w:hint="eastAsia" w:ascii="宋体" w:hAnsi="宋体"/>
          <w:bCs/>
          <w:color w:val="auto"/>
          <w:sz w:val="21"/>
          <w:szCs w:val="21"/>
          <w:highlight w:val="none"/>
          <w:lang w:val="en-US" w:eastAsia="zh-CN"/>
        </w:rPr>
        <w:t>2</w:t>
      </w:r>
      <w:r>
        <w:rPr>
          <w:rFonts w:hint="eastAsia" w:ascii="宋体" w:hAnsi="宋体" w:eastAsia="宋体"/>
          <w:bCs/>
          <w:color w:val="auto"/>
          <w:sz w:val="21"/>
          <w:szCs w:val="21"/>
          <w:highlight w:val="none"/>
        </w:rPr>
        <w:t>年</w:t>
      </w:r>
      <w:r>
        <w:rPr>
          <w:rFonts w:hint="eastAsia" w:ascii="宋体" w:hAnsi="宋体"/>
          <w:bCs/>
          <w:color w:val="auto"/>
          <w:sz w:val="21"/>
          <w:szCs w:val="21"/>
          <w:highlight w:val="none"/>
          <w:lang w:val="en-US" w:eastAsia="zh-CN"/>
        </w:rPr>
        <w:t>2</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28</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时30分。</w:t>
      </w:r>
      <w:bookmarkStart w:id="429" w:name="_GoBack"/>
      <w:bookmarkEnd w:id="429"/>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ascii="宋体" w:hAnsi="宋体" w:eastAsia="宋体"/>
          <w:bCs/>
          <w:color w:val="auto"/>
          <w:sz w:val="21"/>
          <w:szCs w:val="21"/>
          <w:highlight w:val="none"/>
        </w:rPr>
        <w:t>开标地点：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bCs/>
          <w:color w:val="auto"/>
          <w:sz w:val="21"/>
          <w:szCs w:val="21"/>
          <w:highlight w:val="none"/>
        </w:rPr>
        <w:t>。</w:t>
      </w:r>
    </w:p>
    <w:p>
      <w:pPr>
        <w:spacing w:after="0" w:line="360" w:lineRule="auto"/>
        <w:ind w:firstLine="411" w:firstLineChars="196"/>
        <w:rPr>
          <w:rFonts w:ascii="宋体" w:hAnsi="宋体" w:eastAsia="宋体"/>
          <w:bCs/>
          <w:color w:val="auto"/>
          <w:sz w:val="21"/>
          <w:szCs w:val="21"/>
          <w:highlight w:val="none"/>
        </w:rPr>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eastAsia="宋体"/>
          <w:b/>
          <w:color w:val="auto"/>
          <w:sz w:val="21"/>
          <w:szCs w:val="21"/>
          <w:highlight w:val="none"/>
          <w:lang w:val="en-US" w:eastAsia="zh-CN"/>
        </w:rPr>
        <w:t>六</w:t>
      </w:r>
      <w:r>
        <w:rPr>
          <w:rFonts w:hint="eastAsia" w:ascii="宋体" w:hAnsi="宋体" w:eastAsia="宋体"/>
          <w:b/>
          <w:color w:val="auto"/>
          <w:sz w:val="21"/>
          <w:szCs w:val="21"/>
          <w:highlight w:val="none"/>
        </w:rPr>
        <w:t>、采购人及采购代理机构的名称、地址和联系方法：</w:t>
      </w:r>
    </w:p>
    <w:p>
      <w:pPr>
        <w:spacing w:after="0" w:line="360" w:lineRule="auto"/>
        <w:ind w:firstLine="420" w:firstLineChars="200"/>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w:t>
      </w:r>
      <w:r>
        <w:rPr>
          <w:rFonts w:hint="eastAsia" w:ascii="宋体" w:hAnsi="宋体"/>
          <w:bCs/>
          <w:color w:val="auto"/>
          <w:sz w:val="21"/>
          <w:szCs w:val="21"/>
          <w:highlight w:val="none"/>
          <w:lang w:val="en-US" w:eastAsia="zh-CN"/>
        </w:rPr>
        <w:t>黄工</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地址：东莞市横沥镇</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联系电话：0769-89302656-629</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pPr>
        <w:spacing w:after="0" w:line="360" w:lineRule="auto"/>
        <w:ind w:firstLine="420" w:firstLineChars="200"/>
        <w:rPr>
          <w:rFonts w:hint="default" w:eastAsia="宋体"/>
          <w:color w:val="auto"/>
          <w:highlight w:val="none"/>
          <w:lang w:val="en-US" w:eastAsia="zh-CN"/>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rPr>
          <w:color w:val="auto"/>
          <w:highlight w:val="none"/>
        </w:rPr>
      </w:pPr>
    </w:p>
    <w:p>
      <w:pPr>
        <w:ind w:right="752" w:rightChars="358"/>
        <w:jc w:val="both"/>
        <w:rPr>
          <w:color w:val="auto"/>
          <w:highlight w:val="none"/>
        </w:rPr>
      </w:pPr>
    </w:p>
    <w:p>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ind w:left="6205" w:leftChars="2755" w:hanging="420" w:hanging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202</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月</w:t>
      </w:r>
    </w:p>
    <w:p>
      <w:pPr>
        <w:pStyle w:val="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ind w:left="0" w:leftChars="0" w:firstLine="0" w:firstLineChars="0"/>
        <w:rPr>
          <w:rFonts w:hint="eastAsia" w:ascii="宋体" w:hAnsi="宋体" w:eastAsia="宋体" w:cs="宋体"/>
          <w:color w:val="auto"/>
          <w:sz w:val="21"/>
          <w:szCs w:val="21"/>
          <w:highlight w:val="none"/>
        </w:rPr>
      </w:pPr>
    </w:p>
    <w:p>
      <w:pPr>
        <w:pStyle w:val="22"/>
        <w:ind w:left="0" w:leftChars="0" w:firstLine="0" w:firstLineChars="0"/>
        <w:rPr>
          <w:rFonts w:hint="eastAsia" w:ascii="宋体" w:hAnsi="宋体" w:eastAsia="宋体" w:cs="宋体"/>
          <w:color w:val="auto"/>
          <w:sz w:val="21"/>
          <w:szCs w:val="21"/>
          <w:highlight w:val="none"/>
        </w:rPr>
      </w:pPr>
    </w:p>
    <w:p>
      <w:pPr>
        <w:pStyle w:val="22"/>
        <w:ind w:left="0" w:leftChars="0" w:firstLine="0" w:firstLineChars="0"/>
        <w:rPr>
          <w:rFonts w:hint="eastAsia" w:ascii="宋体" w:hAnsi="宋体" w:eastAsia="宋体" w:cs="宋体"/>
          <w:color w:val="auto"/>
          <w:sz w:val="21"/>
          <w:szCs w:val="21"/>
          <w:highlight w:val="none"/>
        </w:rPr>
      </w:pPr>
    </w:p>
    <w:p>
      <w:pPr>
        <w:pStyle w:val="22"/>
        <w:ind w:left="0" w:leftChars="0" w:firstLine="0" w:firstLineChars="0"/>
        <w:rPr>
          <w:rFonts w:hint="eastAsia" w:ascii="宋体" w:hAnsi="宋体" w:eastAsia="宋体" w:cs="宋体"/>
          <w:color w:val="auto"/>
          <w:sz w:val="21"/>
          <w:szCs w:val="21"/>
          <w:highlight w:val="none"/>
        </w:rPr>
      </w:pPr>
    </w:p>
    <w:p>
      <w:pPr>
        <w:pStyle w:val="22"/>
        <w:ind w:left="0" w:leftChars="0" w:firstLine="0" w:firstLineChars="0"/>
        <w:rPr>
          <w:rFonts w:hint="eastAsia" w:ascii="宋体" w:hAnsi="宋体" w:eastAsia="宋体" w:cs="宋体"/>
          <w:color w:val="auto"/>
          <w:sz w:val="21"/>
          <w:szCs w:val="21"/>
          <w:highlight w:val="none"/>
        </w:rPr>
      </w:pPr>
    </w:p>
    <w:p>
      <w:pPr>
        <w:pStyle w:val="4"/>
        <w:spacing w:before="0" w:after="0" w:line="240" w:lineRule="auto"/>
        <w:rPr>
          <w:rFonts w:hint="eastAsia"/>
          <w:color w:val="auto"/>
          <w:sz w:val="28"/>
          <w:szCs w:val="28"/>
          <w:highlight w:val="none"/>
          <w:lang w:val="en-US" w:eastAsia="zh-CN"/>
        </w:rPr>
      </w:pPr>
      <w:bookmarkStart w:id="5" w:name="_Toc24505"/>
      <w:bookmarkStart w:id="6" w:name="_Toc28550"/>
      <w:r>
        <w:rPr>
          <w:rFonts w:hint="eastAsia"/>
          <w:color w:val="auto"/>
          <w:sz w:val="28"/>
          <w:szCs w:val="28"/>
          <w:highlight w:val="none"/>
          <w:lang w:val="en-US" w:eastAsia="zh-CN"/>
        </w:rPr>
        <w:t xml:space="preserve">第二部分 </w:t>
      </w:r>
      <w:bookmarkStart w:id="7" w:name="_Toc20683"/>
      <w:r>
        <w:rPr>
          <w:rFonts w:hint="eastAsia"/>
          <w:color w:val="auto"/>
          <w:sz w:val="28"/>
          <w:szCs w:val="28"/>
          <w:highlight w:val="none"/>
          <w:lang w:val="en-US" w:eastAsia="zh-CN"/>
        </w:rPr>
        <w:t>投标资料表</w:t>
      </w:r>
      <w:bookmarkEnd w:id="5"/>
      <w:bookmarkEnd w:id="6"/>
      <w:bookmarkEnd w:id="7"/>
    </w:p>
    <w:tbl>
      <w:tblPr>
        <w:tblStyle w:val="24"/>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货物</w:t>
            </w:r>
            <w:r>
              <w:rPr>
                <w:rFonts w:hint="eastAsia" w:ascii="宋体" w:hAnsi="宋体" w:eastAsia="宋体"/>
                <w:bCs/>
                <w:color w:val="auto"/>
                <w:sz w:val="21"/>
                <w:szCs w:val="21"/>
                <w:highlight w:val="none"/>
              </w:rPr>
              <w:sym w:font="Wingdings" w:char="00FE"/>
            </w:r>
            <w:r>
              <w:rPr>
                <w:rFonts w:hint="eastAsia" w:ascii="宋体" w:hAnsi="宋体" w:eastAsia="宋体"/>
                <w:bCs/>
                <w:color w:val="auto"/>
                <w:sz w:val="21"/>
                <w:szCs w:val="21"/>
                <w:highlight w:val="none"/>
                <w:lang w:val="en-US" w:eastAsia="zh-CN"/>
              </w:rPr>
              <w:t xml:space="preserve">   服务</w:t>
            </w:r>
            <w:r>
              <w:rPr>
                <w:rFonts w:hint="eastAsia" w:ascii="宋体" w:hAnsi="宋体" w:eastAsia="宋体"/>
                <w:bCs/>
                <w:color w:val="auto"/>
                <w:sz w:val="21"/>
                <w:szCs w:val="21"/>
                <w:highlight w:val="none"/>
                <w:lang w:val="en-US" w:eastAsia="zh-CN"/>
              </w:rPr>
              <w:sym w:font="Wingdings" w:char="00A8"/>
            </w:r>
            <w:r>
              <w:rPr>
                <w:rFonts w:hint="eastAsia" w:ascii="宋体" w:hAnsi="宋体" w:eastAsia="宋体"/>
                <w:bCs/>
                <w:color w:val="auto"/>
                <w:sz w:val="21"/>
                <w:szCs w:val="21"/>
                <w:highlight w:val="none"/>
                <w:lang w:val="en-US" w:eastAsia="zh-CN"/>
              </w:rPr>
              <w:t xml:space="preserve">  工程</w:t>
            </w:r>
            <w:r>
              <w:rPr>
                <w:rFonts w:hint="eastAsia" w:ascii="宋体" w:hAnsi="宋体" w:eastAsia="宋体"/>
                <w:bCs/>
                <w:color w:val="auto"/>
                <w:sz w:val="21"/>
                <w:szCs w:val="21"/>
                <w:highlight w:val="none"/>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Cs/>
                <w:color w:val="auto"/>
                <w:sz w:val="21"/>
                <w:szCs w:val="21"/>
                <w:highlight w:val="none"/>
                <w:lang w:val="en-US"/>
              </w:rPr>
            </w:pPr>
            <w:r>
              <w:rPr>
                <w:rFonts w:hint="eastAsia" w:ascii="宋体" w:hAnsi="宋体" w:eastAsia="宋体"/>
                <w:bCs/>
                <w:color w:val="auto"/>
                <w:sz w:val="21"/>
                <w:szCs w:val="21"/>
                <w:highlight w:val="none"/>
                <w:lang w:val="en-US" w:eastAsia="zh-CN"/>
              </w:rPr>
              <w:t>所属行业：</w:t>
            </w:r>
            <w:r>
              <w:rPr>
                <w:rFonts w:hint="eastAsia" w:ascii="宋体" w:hAnsi="宋体"/>
                <w:bCs/>
                <w:color w:val="auto"/>
                <w:sz w:val="21"/>
                <w:szCs w:val="21"/>
                <w:highlight w:val="none"/>
                <w:lang w:val="en-US" w:eastAsia="zh-CN"/>
              </w:rPr>
              <w:t>工业</w:t>
            </w:r>
            <w:r>
              <w:rPr>
                <w:rFonts w:hint="eastAsia" w:ascii="宋体" w:hAnsi="宋体" w:eastAsia="宋体"/>
                <w:bCs/>
                <w:color w:val="auto"/>
                <w:sz w:val="21"/>
                <w:szCs w:val="21"/>
                <w:highlight w:val="none"/>
                <w:lang w:val="en-US"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color w:val="auto"/>
                <w:sz w:val="21"/>
                <w:szCs w:val="21"/>
                <w:highlight w:val="none"/>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是</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否</w:t>
            </w:r>
            <w:r>
              <w:rPr>
                <w:rFonts w:hint="eastAsia" w:ascii="宋体" w:hAnsi="宋体" w:eastAsia="宋体"/>
                <w:bCs/>
                <w:color w:val="auto"/>
                <w:sz w:val="21"/>
                <w:szCs w:val="21"/>
                <w:highlight w:val="none"/>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3</w:t>
            </w:r>
          </w:p>
        </w:tc>
        <w:tc>
          <w:tcPr>
            <w:tcW w:w="7532" w:type="dxa"/>
            <w:gridSpan w:val="4"/>
            <w:vAlign w:val="center"/>
          </w:tcPr>
          <w:p>
            <w:pPr>
              <w:spacing w:after="0"/>
              <w:rPr>
                <w:rFonts w:hint="eastAsia" w:ascii="宋体" w:hAnsi="宋体" w:eastAsia="宋体"/>
                <w:b/>
                <w:color w:val="auto"/>
                <w:sz w:val="21"/>
                <w:szCs w:val="21"/>
                <w:highlight w:val="none"/>
                <w:lang w:eastAsia="zh-CN"/>
              </w:rPr>
            </w:pPr>
            <w:r>
              <w:rPr>
                <w:rFonts w:hint="eastAsia" w:ascii="宋体" w:hAnsi="宋体" w:eastAsia="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
                <w:color w:val="auto"/>
                <w:sz w:val="21"/>
                <w:szCs w:val="21"/>
                <w:highlight w:val="none"/>
                <w:lang w:val="en-US" w:eastAsia="zh-CN"/>
              </w:rPr>
            </w:pPr>
            <w:r>
              <w:rPr>
                <w:rFonts w:hint="eastAsia" w:ascii="宋体" w:hAnsi="宋体" w:eastAsia="宋体"/>
                <w:color w:val="auto"/>
                <w:sz w:val="21"/>
                <w:szCs w:val="21"/>
                <w:highlight w:val="none"/>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4</w:t>
            </w: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5</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6</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bCs/>
                <w:color w:val="auto"/>
                <w:sz w:val="21"/>
                <w:szCs w:val="21"/>
                <w:highlight w:val="none"/>
              </w:rPr>
            </w:pPr>
            <w:r>
              <w:rPr>
                <w:rFonts w:hint="eastAsia" w:ascii="宋体" w:hAnsi="宋体" w:eastAsia="宋体"/>
                <w:b w:val="0"/>
                <w:bCs w:val="0"/>
                <w:color w:val="auto"/>
                <w:sz w:val="21"/>
                <w:szCs w:val="21"/>
                <w:highlight w:val="none"/>
              </w:rPr>
              <w:t>http://www.zttendering.com/</w:t>
            </w:r>
          </w:p>
        </w:tc>
        <w:tc>
          <w:tcPr>
            <w:tcW w:w="3691" w:type="dxa"/>
            <w:vAlign w:val="center"/>
          </w:tcPr>
          <w:p>
            <w:pPr>
              <w:spacing w:after="0"/>
              <w:jc w:val="center"/>
              <w:rPr>
                <w:rFonts w:ascii="宋体" w:hAnsi="宋体" w:eastAsia="宋体"/>
                <w:b/>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7</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9</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10</w:t>
            </w:r>
          </w:p>
        </w:tc>
        <w:tc>
          <w:tcPr>
            <w:tcW w:w="7532" w:type="dxa"/>
            <w:gridSpan w:val="4"/>
            <w:vAlign w:val="center"/>
          </w:tcPr>
          <w:p>
            <w:pPr>
              <w:spacing w:after="0"/>
              <w:jc w:val="both"/>
              <w:rPr>
                <w:rFonts w:hint="eastAsia" w:ascii="宋体" w:hAnsi="宋体" w:eastAsia="宋体"/>
                <w:color w:val="auto"/>
                <w:sz w:val="21"/>
                <w:szCs w:val="21"/>
                <w:highlight w:val="none"/>
                <w:lang w:eastAsia="zh-CN"/>
              </w:rPr>
            </w:pPr>
            <w:r>
              <w:rPr>
                <w:rFonts w:hint="eastAsia" w:ascii="宋体" w:hAnsi="宋体" w:eastAsia="宋体"/>
                <w:b/>
                <w:color w:val="auto"/>
                <w:sz w:val="21"/>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11</w:t>
            </w:r>
          </w:p>
        </w:tc>
        <w:tc>
          <w:tcPr>
            <w:tcW w:w="7532" w:type="dxa"/>
            <w:gridSpan w:val="4"/>
            <w:vAlign w:val="center"/>
          </w:tcPr>
          <w:p>
            <w:pPr>
              <w:spacing w:after="0"/>
              <w:jc w:val="both"/>
              <w:rPr>
                <w:rFonts w:hint="eastAsia" w:ascii="宋体" w:hAnsi="宋体" w:eastAsia="宋体"/>
                <w:b/>
                <w:color w:val="auto"/>
                <w:sz w:val="21"/>
                <w:szCs w:val="21"/>
                <w:highlight w:val="none"/>
                <w:lang w:eastAsia="zh-CN"/>
              </w:rPr>
            </w:pPr>
            <w:r>
              <w:rPr>
                <w:rFonts w:hint="eastAsia" w:ascii="宋体" w:hAnsi="宋体" w:eastAsia="宋体"/>
                <w:b/>
                <w:color w:val="auto"/>
                <w:sz w:val="21"/>
                <w:szCs w:val="21"/>
                <w:highlight w:val="none"/>
              </w:rPr>
              <w:t>投标保证金</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2</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3</w:t>
            </w:r>
          </w:p>
        </w:tc>
        <w:tc>
          <w:tcPr>
            <w:tcW w:w="7532" w:type="dxa"/>
            <w:gridSpan w:val="4"/>
            <w:vAlign w:val="center"/>
          </w:tcPr>
          <w:p>
            <w:pPr>
              <w:spacing w:after="0"/>
              <w:jc w:val="center"/>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c>
          <w:tcPr>
            <w:tcW w:w="3766" w:type="dxa"/>
            <w:gridSpan w:val="2"/>
            <w:vAlign w:val="center"/>
          </w:tcPr>
          <w:p>
            <w:pPr>
              <w:spacing w:after="0"/>
              <w:jc w:val="center"/>
              <w:rPr>
                <w:rFonts w:ascii="宋体" w:hAnsi="宋体" w:eastAsia="宋体"/>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4</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投标文件类型</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eastAsia="宋体"/>
                <w:b/>
                <w:color w:val="auto"/>
                <w:sz w:val="21"/>
                <w:szCs w:val="21"/>
                <w:highlight w:val="none"/>
                <w:lang w:eastAsia="zh-CN"/>
              </w:rPr>
              <w:t>唱标文件</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投标文件正本</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投标文件副本</w:t>
            </w:r>
          </w:p>
        </w:tc>
        <w:tc>
          <w:tcPr>
            <w:tcW w:w="4924" w:type="dxa"/>
            <w:gridSpan w:val="3"/>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val="en-US" w:eastAsia="zh-CN"/>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5</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lang w:val="en-US" w:eastAsia="zh-CN"/>
              </w:rPr>
              <w:t>（仅适用于政府采购）</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6%。</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对于联合协议或者分包意向协议约定小微企业的合同份额占到合同总金额30%以上的，报价给予</w:t>
            </w:r>
            <w:r>
              <w:rPr>
                <w:rFonts w:hint="default" w:ascii="宋体" w:hAnsi="宋体" w:eastAsia="宋体"/>
                <w:b/>
                <w:bCs/>
                <w:color w:val="auto"/>
                <w:sz w:val="21"/>
                <w:szCs w:val="21"/>
                <w:highlight w:val="none"/>
                <w:u w:val="single"/>
              </w:rPr>
              <w:t>2%</w:t>
            </w:r>
            <w:r>
              <w:rPr>
                <w:rFonts w:hint="eastAsia" w:ascii="宋体" w:hAnsi="宋体" w:eastAsia="宋体"/>
                <w:color w:val="auto"/>
                <w:sz w:val="21"/>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bCs/>
                <w:color w:val="auto"/>
                <w:sz w:val="21"/>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7</w:t>
            </w: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伍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注：本表关于要采购项目的具体资料，是对投标人须知的具体补充和修改，如有矛盾，应以本资料表为准。</w:t>
            </w:r>
          </w:p>
        </w:tc>
      </w:tr>
    </w:tbl>
    <w:p>
      <w:pPr>
        <w:bidi w:val="0"/>
        <w:rPr>
          <w:rFonts w:hint="eastAsia"/>
          <w:color w:val="auto"/>
          <w:highlight w:val="none"/>
        </w:rPr>
      </w:pPr>
    </w:p>
    <w:p>
      <w:pPr>
        <w:pStyle w:val="22"/>
        <w:rPr>
          <w:rFonts w:hint="eastAsia" w:ascii="宋体" w:hAnsi="宋体" w:eastAsia="宋体" w:cs="宋体"/>
          <w:color w:val="auto"/>
          <w:sz w:val="21"/>
          <w:szCs w:val="21"/>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ind w:left="0" w:leftChars="0" w:firstLine="0" w:firstLineChars="0"/>
        <w:rPr>
          <w:rFonts w:hint="eastAsia" w:ascii="宋体" w:hAnsi="宋体" w:eastAsia="宋体" w:cs="宋体"/>
          <w:color w:val="auto"/>
          <w:sz w:val="21"/>
          <w:szCs w:val="21"/>
          <w:highlight w:val="none"/>
        </w:rPr>
      </w:pPr>
    </w:p>
    <w:p>
      <w:pPr>
        <w:bidi w:val="0"/>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sz w:val="28"/>
          <w:szCs w:val="28"/>
          <w:highlight w:val="none"/>
          <w:lang w:val="en-US" w:eastAsia="zh-CN"/>
        </w:rPr>
      </w:pPr>
      <w:bookmarkStart w:id="8" w:name="_Toc13473"/>
      <w:bookmarkStart w:id="9" w:name="_Toc5749"/>
      <w:bookmarkStart w:id="10" w:name="_Hlk55300595"/>
      <w:bookmarkStart w:id="11" w:name="_Toc9572"/>
      <w:r>
        <w:rPr>
          <w:rFonts w:hint="eastAsia"/>
          <w:color w:val="auto"/>
          <w:sz w:val="28"/>
          <w:szCs w:val="28"/>
          <w:highlight w:val="none"/>
          <w:lang w:val="en-US" w:eastAsia="zh-CN"/>
        </w:rPr>
        <w:t xml:space="preserve">第三部分 </w:t>
      </w:r>
      <w:bookmarkStart w:id="12" w:name="_Toc71133523"/>
      <w:bookmarkStart w:id="13" w:name="_Hlk5530064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pPr>
        <w:pStyle w:val="5"/>
        <w:spacing w:before="0" w:after="0" w:line="240" w:lineRule="auto"/>
        <w:jc w:val="center"/>
        <w:rPr>
          <w:rFonts w:ascii="宋体" w:hAnsi="宋体" w:eastAsia="宋体" w:cs="宋体"/>
          <w:color w:val="auto"/>
          <w:sz w:val="24"/>
          <w:szCs w:val="24"/>
          <w:highlight w:val="none"/>
        </w:rPr>
      </w:pPr>
      <w:bookmarkStart w:id="15" w:name="_Toc21613"/>
      <w:bookmarkStart w:id="16" w:name="_Toc18413"/>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5"/>
      <w:bookmarkEnd w:id="16"/>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114"/>
        <w:gridCol w:w="6096"/>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114"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6096"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lang w:val="en-US" w:eastAsia="zh-CN"/>
              </w:rPr>
              <w:t>价格评分（30分）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651" w:type="dxa"/>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7210" w:type="dxa"/>
            <w:gridSpan w:val="2"/>
            <w:tcBorders>
              <w:top w:val="single" w:color="auto" w:sz="4" w:space="0"/>
              <w:left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价格分计算方法：满足招标文件要求且投标价格最低的投标报价为评标基准价，其价格分为满分。其他投标人的价格分统一按照下列公式计算：</w:t>
            </w:r>
          </w:p>
          <w:p>
            <w:pPr>
              <w:pStyle w:val="37"/>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rPr>
              <w:t>投标报价得分=(评标基准价／投标报价)×价格权值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商务评分（30分）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51" w:type="dxa"/>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114"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sz w:val="21"/>
                <w:szCs w:val="21"/>
              </w:rPr>
              <w:t>企业实力</w:t>
            </w:r>
          </w:p>
        </w:tc>
        <w:tc>
          <w:tcPr>
            <w:tcW w:w="60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投标人具有信息化软件</w:t>
            </w:r>
            <w:r>
              <w:rPr>
                <w:rFonts w:hint="eastAsia" w:ascii="宋体" w:hAnsi="宋体" w:cs="宋体"/>
                <w:sz w:val="21"/>
                <w:szCs w:val="21"/>
                <w:lang w:val="en-US" w:eastAsia="zh-CN"/>
              </w:rPr>
              <w:t>类或</w:t>
            </w:r>
            <w:r>
              <w:rPr>
                <w:rFonts w:hint="eastAsia" w:ascii="宋体" w:hAnsi="宋体" w:eastAsia="宋体" w:cs="宋体"/>
                <w:sz w:val="21"/>
                <w:szCs w:val="21"/>
              </w:rPr>
              <w:t>平台软件类著作权证书，每提供一个得</w:t>
            </w:r>
            <w:r>
              <w:rPr>
                <w:rFonts w:hint="eastAsia" w:ascii="宋体" w:hAnsi="宋体" w:cs="宋体"/>
                <w:sz w:val="21"/>
                <w:szCs w:val="21"/>
                <w:lang w:val="en-US" w:eastAsia="zh-CN"/>
              </w:rPr>
              <w:t>1</w:t>
            </w:r>
            <w:r>
              <w:rPr>
                <w:rFonts w:hint="eastAsia" w:ascii="宋体" w:hAnsi="宋体" w:eastAsia="宋体" w:cs="宋体"/>
                <w:sz w:val="21"/>
                <w:szCs w:val="21"/>
              </w:rPr>
              <w:t>分，最高得</w:t>
            </w:r>
            <w:r>
              <w:rPr>
                <w:rFonts w:hint="eastAsia" w:ascii="宋体" w:hAnsi="宋体" w:cs="宋体"/>
                <w:sz w:val="21"/>
                <w:szCs w:val="21"/>
                <w:lang w:val="en-US" w:eastAsia="zh-CN"/>
              </w:rPr>
              <w:t>7</w:t>
            </w:r>
            <w:r>
              <w:rPr>
                <w:rFonts w:hint="eastAsia" w:ascii="宋体" w:hAnsi="宋体" w:eastAsia="宋体" w:cs="宋体"/>
                <w:sz w:val="21"/>
                <w:szCs w:val="21"/>
              </w:rPr>
              <w:t>分，没有提供不得分。</w:t>
            </w:r>
          </w:p>
          <w:p>
            <w:pPr>
              <w:keepNext w:val="0"/>
              <w:keepLines w:val="0"/>
              <w:pageBreakBefore w:val="0"/>
              <w:widowControl/>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sz w:val="21"/>
                <w:szCs w:val="21"/>
                <w:lang w:val="en-US" w:eastAsia="zh-CN"/>
              </w:rPr>
              <w:t>注：</w:t>
            </w:r>
            <w:r>
              <w:rPr>
                <w:rFonts w:hint="eastAsia" w:ascii="宋体" w:hAnsi="宋体" w:eastAsia="宋体" w:cs="宋体"/>
                <w:sz w:val="21"/>
                <w:szCs w:val="21"/>
              </w:rPr>
              <w:t>须提供证书复印件加盖投标人公章</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vMerge w:val="restart"/>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114"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sz w:val="21"/>
                <w:szCs w:val="21"/>
                <w:lang w:val="en-US" w:eastAsia="zh-CN"/>
              </w:rPr>
              <w:t>业绩</w:t>
            </w:r>
          </w:p>
        </w:tc>
        <w:tc>
          <w:tcPr>
            <w:tcW w:w="6096" w:type="dxa"/>
            <w:tcBorders>
              <w:top w:val="single" w:color="auto" w:sz="4" w:space="0"/>
              <w:left w:val="single" w:color="auto" w:sz="4" w:space="0"/>
              <w:bottom w:val="single" w:color="auto" w:sz="4" w:space="0"/>
              <w:right w:val="single" w:color="auto" w:sz="4" w:space="0"/>
            </w:tcBorders>
            <w:vAlign w:val="center"/>
          </w:tcPr>
          <w:p>
            <w:pPr>
              <w:pStyle w:val="7"/>
              <w:keepNext w:val="0"/>
              <w:keepLines w:val="0"/>
              <w:pageBreakBefore w:val="0"/>
              <w:widowControl/>
              <w:kinsoku/>
              <w:wordWrap/>
              <w:overflowPunct/>
              <w:topLinePunct w:val="0"/>
              <w:autoSpaceDE/>
              <w:autoSpaceDN/>
              <w:bidi w:val="0"/>
              <w:spacing w:line="24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投标人承接过门诊呼叫系统实施与销售类项目的，每提供</w:t>
            </w:r>
            <w:r>
              <w:rPr>
                <w:rFonts w:hint="eastAsia" w:ascii="宋体" w:hAnsi="宋体" w:cs="宋体"/>
                <w:b w:val="0"/>
                <w:bCs w:val="0"/>
                <w:sz w:val="21"/>
                <w:szCs w:val="21"/>
                <w:lang w:val="en-US" w:eastAsia="zh-CN"/>
              </w:rPr>
              <w:t>一个</w:t>
            </w:r>
            <w:r>
              <w:rPr>
                <w:rFonts w:hint="eastAsia" w:ascii="宋体" w:hAnsi="宋体" w:eastAsia="宋体" w:cs="宋体"/>
                <w:b w:val="0"/>
                <w:bCs w:val="0"/>
                <w:sz w:val="21"/>
                <w:szCs w:val="21"/>
                <w:lang w:val="en-US" w:eastAsia="zh-CN"/>
              </w:rPr>
              <w:t>合同业绩得</w:t>
            </w:r>
            <w:r>
              <w:rPr>
                <w:rFonts w:hint="eastAsia" w:ascii="宋体" w:hAnsi="宋体" w:cs="宋体"/>
                <w:b w:val="0"/>
                <w:bCs w:val="0"/>
                <w:sz w:val="21"/>
                <w:szCs w:val="21"/>
                <w:lang w:val="en-US" w:eastAsia="zh-CN"/>
              </w:rPr>
              <w:t>2</w:t>
            </w:r>
            <w:r>
              <w:rPr>
                <w:rFonts w:hint="eastAsia" w:ascii="宋体" w:hAnsi="宋体" w:eastAsia="宋体" w:cs="宋体"/>
                <w:b w:val="0"/>
                <w:bCs w:val="0"/>
                <w:sz w:val="21"/>
                <w:szCs w:val="21"/>
                <w:lang w:val="en-US" w:eastAsia="zh-CN"/>
              </w:rPr>
              <w:t>分，本项最高得</w:t>
            </w:r>
            <w:r>
              <w:rPr>
                <w:rFonts w:hint="eastAsia" w:ascii="宋体" w:hAnsi="宋体" w:cs="宋体"/>
                <w:b w:val="0"/>
                <w:bCs w:val="0"/>
                <w:sz w:val="21"/>
                <w:szCs w:val="21"/>
                <w:lang w:val="en-US" w:eastAsia="zh-CN"/>
              </w:rPr>
              <w:t>4</w:t>
            </w:r>
            <w:r>
              <w:rPr>
                <w:rFonts w:hint="eastAsia" w:ascii="宋体" w:hAnsi="宋体" w:eastAsia="宋体" w:cs="宋体"/>
                <w:b w:val="0"/>
                <w:bCs w:val="0"/>
                <w:sz w:val="21"/>
                <w:szCs w:val="21"/>
                <w:lang w:val="en-US" w:eastAsia="zh-CN"/>
              </w:rPr>
              <w:t>分。没有提供不得分。</w:t>
            </w:r>
          </w:p>
          <w:p>
            <w:pPr>
              <w:keepNext w:val="0"/>
              <w:keepLines w:val="0"/>
              <w:pageBreakBefore w:val="0"/>
              <w:widowControl/>
              <w:kinsoku/>
              <w:wordWrap/>
              <w:overflowPunct/>
              <w:topLinePunct w:val="0"/>
              <w:autoSpaceDE/>
              <w:autoSpaceDN/>
              <w:bidi w:val="0"/>
              <w:spacing w:line="240" w:lineRule="auto"/>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sz w:val="21"/>
                <w:szCs w:val="21"/>
                <w:lang w:val="en-US" w:eastAsia="zh-CN"/>
              </w:rPr>
              <w:t>注：须提供合同复印件并加盖投标人公章，否则不得分。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651" w:type="dxa"/>
            <w:vMerge w:val="continue"/>
            <w:tcBorders>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c>
          <w:tcPr>
            <w:tcW w:w="1114"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lang w:val="en-US" w:eastAsia="zh-CN"/>
              </w:rPr>
            </w:pPr>
          </w:p>
        </w:tc>
        <w:tc>
          <w:tcPr>
            <w:tcW w:w="6096" w:type="dxa"/>
            <w:tcBorders>
              <w:top w:val="single" w:color="auto" w:sz="4" w:space="0"/>
              <w:left w:val="single" w:color="auto" w:sz="4" w:space="0"/>
              <w:bottom w:val="single" w:color="auto" w:sz="4" w:space="0"/>
              <w:right w:val="single" w:color="auto" w:sz="4" w:space="0"/>
            </w:tcBorders>
            <w:vAlign w:val="center"/>
          </w:tcPr>
          <w:p>
            <w:pPr>
              <w:pStyle w:val="7"/>
              <w:keepNext w:val="0"/>
              <w:keepLines w:val="0"/>
              <w:pageBreakBefore w:val="0"/>
              <w:widowControl/>
              <w:kinsoku/>
              <w:wordWrap/>
              <w:overflowPunct/>
              <w:topLinePunct w:val="0"/>
              <w:autoSpaceDE/>
              <w:autoSpaceDN/>
              <w:bidi w:val="0"/>
              <w:spacing w:line="24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投标人承接过</w:t>
            </w:r>
            <w:r>
              <w:rPr>
                <w:rFonts w:hint="eastAsia" w:ascii="宋体" w:hAnsi="宋体" w:cs="宋体"/>
                <w:b w:val="0"/>
                <w:bCs w:val="0"/>
                <w:sz w:val="21"/>
                <w:szCs w:val="21"/>
                <w:lang w:val="en-US" w:eastAsia="zh-CN"/>
              </w:rPr>
              <w:t>便民显示</w:t>
            </w:r>
            <w:r>
              <w:rPr>
                <w:rFonts w:hint="eastAsia" w:ascii="宋体" w:hAnsi="宋体" w:eastAsia="宋体" w:cs="宋体"/>
                <w:b w:val="0"/>
                <w:bCs w:val="0"/>
                <w:sz w:val="21"/>
                <w:szCs w:val="21"/>
                <w:lang w:val="en-US" w:eastAsia="zh-CN"/>
              </w:rPr>
              <w:t>系统实施与销售类项目的，每提供</w:t>
            </w:r>
            <w:r>
              <w:rPr>
                <w:rFonts w:hint="eastAsia" w:ascii="宋体" w:hAnsi="宋体" w:cs="宋体"/>
                <w:b w:val="0"/>
                <w:bCs w:val="0"/>
                <w:sz w:val="21"/>
                <w:szCs w:val="21"/>
                <w:lang w:val="en-US" w:eastAsia="zh-CN"/>
              </w:rPr>
              <w:t>一个</w:t>
            </w:r>
            <w:r>
              <w:rPr>
                <w:rFonts w:hint="eastAsia" w:ascii="宋体" w:hAnsi="宋体" w:eastAsia="宋体" w:cs="宋体"/>
                <w:b w:val="0"/>
                <w:bCs w:val="0"/>
                <w:sz w:val="21"/>
                <w:szCs w:val="21"/>
                <w:lang w:val="en-US" w:eastAsia="zh-CN"/>
              </w:rPr>
              <w:t>合同业绩得</w:t>
            </w:r>
            <w:r>
              <w:rPr>
                <w:rFonts w:hint="eastAsia" w:ascii="宋体" w:hAnsi="宋体" w:cs="宋体"/>
                <w:b w:val="0"/>
                <w:bCs w:val="0"/>
                <w:sz w:val="21"/>
                <w:szCs w:val="21"/>
                <w:lang w:val="en-US" w:eastAsia="zh-CN"/>
              </w:rPr>
              <w:t>2</w:t>
            </w:r>
            <w:r>
              <w:rPr>
                <w:rFonts w:hint="eastAsia" w:ascii="宋体" w:hAnsi="宋体" w:eastAsia="宋体" w:cs="宋体"/>
                <w:b w:val="0"/>
                <w:bCs w:val="0"/>
                <w:sz w:val="21"/>
                <w:szCs w:val="21"/>
                <w:lang w:val="en-US" w:eastAsia="zh-CN"/>
              </w:rPr>
              <w:t>分，本项最高得</w:t>
            </w:r>
            <w:r>
              <w:rPr>
                <w:rFonts w:hint="eastAsia" w:ascii="宋体" w:hAnsi="宋体" w:cs="宋体"/>
                <w:b w:val="0"/>
                <w:bCs w:val="0"/>
                <w:sz w:val="21"/>
                <w:szCs w:val="21"/>
                <w:lang w:val="en-US" w:eastAsia="zh-CN"/>
              </w:rPr>
              <w:t>4</w:t>
            </w:r>
            <w:r>
              <w:rPr>
                <w:rFonts w:hint="eastAsia" w:ascii="宋体" w:hAnsi="宋体" w:eastAsia="宋体" w:cs="宋体"/>
                <w:b w:val="0"/>
                <w:bCs w:val="0"/>
                <w:sz w:val="21"/>
                <w:szCs w:val="21"/>
                <w:lang w:val="en-US" w:eastAsia="zh-CN"/>
              </w:rPr>
              <w:t>分。没有提供不得分。</w:t>
            </w:r>
          </w:p>
          <w:p>
            <w:pPr>
              <w:pStyle w:val="7"/>
              <w:keepNext w:val="0"/>
              <w:keepLines w:val="0"/>
              <w:pageBreakBefore w:val="0"/>
              <w:widowControl/>
              <w:kinsoku/>
              <w:wordWrap/>
              <w:overflowPunct/>
              <w:topLinePunct w:val="0"/>
              <w:autoSpaceDE/>
              <w:autoSpaceDN/>
              <w:bidi w:val="0"/>
              <w:spacing w:line="240" w:lineRule="auto"/>
              <w:ind w:firstLine="420" w:firstLineChars="200"/>
              <w:textAlignment w:val="auto"/>
              <w:rPr>
                <w:rFonts w:hint="eastAsia" w:ascii="宋体" w:hAnsi="宋体" w:eastAsia="宋体" w:cs="宋体"/>
                <w:b w:val="0"/>
                <w:bCs w:val="0"/>
                <w:color w:val="auto"/>
                <w:sz w:val="21"/>
                <w:szCs w:val="21"/>
                <w:highlight w:val="none"/>
                <w:lang w:val="zh-CN"/>
              </w:rPr>
            </w:pPr>
            <w:r>
              <w:rPr>
                <w:rFonts w:hint="eastAsia" w:ascii="宋体" w:hAnsi="宋体" w:eastAsia="宋体" w:cs="宋体"/>
                <w:b w:val="0"/>
                <w:bCs w:val="0"/>
                <w:sz w:val="21"/>
                <w:szCs w:val="21"/>
                <w:lang w:val="en-US" w:eastAsia="zh-CN"/>
              </w:rPr>
              <w:t>注：须提供合同复印件并加盖投标人公章，否则不得分。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Cs/>
                <w:sz w:val="21"/>
                <w:szCs w:val="21"/>
                <w:lang w:val="en-US" w:eastAsia="zh-CN"/>
              </w:rPr>
            </w:pPr>
            <w:r>
              <w:rPr>
                <w:rFonts w:hint="eastAsia" w:ascii="宋体" w:hAnsi="宋体" w:cs="宋体"/>
                <w:bCs/>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vMerge w:val="continue"/>
            <w:tcBorders>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c>
          <w:tcPr>
            <w:tcW w:w="1114"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lang w:val="en-US" w:eastAsia="zh-CN"/>
              </w:rPr>
            </w:pPr>
          </w:p>
        </w:tc>
        <w:tc>
          <w:tcPr>
            <w:tcW w:w="6096" w:type="dxa"/>
            <w:tcBorders>
              <w:top w:val="single" w:color="auto" w:sz="4" w:space="0"/>
              <w:left w:val="single" w:color="auto" w:sz="4" w:space="0"/>
              <w:bottom w:val="single" w:color="auto" w:sz="4" w:space="0"/>
              <w:right w:val="single" w:color="auto" w:sz="4" w:space="0"/>
            </w:tcBorders>
            <w:vAlign w:val="center"/>
          </w:tcPr>
          <w:p>
            <w:pPr>
              <w:pStyle w:val="7"/>
              <w:keepNext w:val="0"/>
              <w:keepLines w:val="0"/>
              <w:pageBreakBefore w:val="0"/>
              <w:widowControl/>
              <w:kinsoku/>
              <w:wordWrap/>
              <w:overflowPunct/>
              <w:topLinePunct w:val="0"/>
              <w:autoSpaceDE/>
              <w:autoSpaceDN/>
              <w:bidi w:val="0"/>
              <w:spacing w:line="24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投标人承接过</w:t>
            </w:r>
            <w:r>
              <w:rPr>
                <w:rFonts w:hint="eastAsia" w:ascii="宋体" w:hAnsi="宋体" w:cs="宋体"/>
                <w:b w:val="0"/>
                <w:bCs w:val="0"/>
                <w:sz w:val="21"/>
                <w:szCs w:val="21"/>
                <w:lang w:val="en-US" w:eastAsia="zh-CN"/>
              </w:rPr>
              <w:t>智能发药</w:t>
            </w:r>
            <w:r>
              <w:rPr>
                <w:rFonts w:hint="eastAsia" w:ascii="宋体" w:hAnsi="宋体" w:eastAsia="宋体" w:cs="宋体"/>
                <w:b w:val="0"/>
                <w:bCs w:val="0"/>
                <w:sz w:val="21"/>
                <w:szCs w:val="21"/>
                <w:lang w:val="en-US" w:eastAsia="zh-CN"/>
              </w:rPr>
              <w:t>系统实施与销售类项目的，每提供</w:t>
            </w:r>
            <w:r>
              <w:rPr>
                <w:rFonts w:hint="eastAsia" w:ascii="宋体" w:hAnsi="宋体" w:cs="宋体"/>
                <w:b w:val="0"/>
                <w:bCs w:val="0"/>
                <w:sz w:val="21"/>
                <w:szCs w:val="21"/>
                <w:lang w:val="en-US" w:eastAsia="zh-CN"/>
              </w:rPr>
              <w:t>一个</w:t>
            </w:r>
            <w:r>
              <w:rPr>
                <w:rFonts w:hint="eastAsia" w:ascii="宋体" w:hAnsi="宋体" w:eastAsia="宋体" w:cs="宋体"/>
                <w:b w:val="0"/>
                <w:bCs w:val="0"/>
                <w:sz w:val="21"/>
                <w:szCs w:val="21"/>
                <w:lang w:val="en-US" w:eastAsia="zh-CN"/>
              </w:rPr>
              <w:t>合同业绩得</w:t>
            </w:r>
            <w:r>
              <w:rPr>
                <w:rFonts w:hint="eastAsia" w:ascii="宋体" w:hAnsi="宋体" w:cs="宋体"/>
                <w:b w:val="0"/>
                <w:bCs w:val="0"/>
                <w:sz w:val="21"/>
                <w:szCs w:val="21"/>
                <w:lang w:val="en-US" w:eastAsia="zh-CN"/>
              </w:rPr>
              <w:t>2</w:t>
            </w:r>
            <w:r>
              <w:rPr>
                <w:rFonts w:hint="eastAsia" w:ascii="宋体" w:hAnsi="宋体" w:eastAsia="宋体" w:cs="宋体"/>
                <w:b w:val="0"/>
                <w:bCs w:val="0"/>
                <w:sz w:val="21"/>
                <w:szCs w:val="21"/>
                <w:lang w:val="en-US" w:eastAsia="zh-CN"/>
              </w:rPr>
              <w:t>分，本项最高得</w:t>
            </w:r>
            <w:r>
              <w:rPr>
                <w:rFonts w:hint="eastAsia" w:ascii="宋体" w:hAnsi="宋体" w:cs="宋体"/>
                <w:b w:val="0"/>
                <w:bCs w:val="0"/>
                <w:sz w:val="21"/>
                <w:szCs w:val="21"/>
                <w:lang w:val="en-US" w:eastAsia="zh-CN"/>
              </w:rPr>
              <w:t>4</w:t>
            </w:r>
            <w:r>
              <w:rPr>
                <w:rFonts w:hint="eastAsia" w:ascii="宋体" w:hAnsi="宋体" w:eastAsia="宋体" w:cs="宋体"/>
                <w:b w:val="0"/>
                <w:bCs w:val="0"/>
                <w:sz w:val="21"/>
                <w:szCs w:val="21"/>
                <w:lang w:val="en-US" w:eastAsia="zh-CN"/>
              </w:rPr>
              <w:t>分。没有提供不得分。</w:t>
            </w:r>
          </w:p>
          <w:p>
            <w:pPr>
              <w:pStyle w:val="7"/>
              <w:keepNext w:val="0"/>
              <w:keepLines w:val="0"/>
              <w:pageBreakBefore w:val="0"/>
              <w:widowControl/>
              <w:kinsoku/>
              <w:wordWrap/>
              <w:overflowPunct/>
              <w:topLinePunct w:val="0"/>
              <w:autoSpaceDE/>
              <w:autoSpaceDN/>
              <w:bidi w:val="0"/>
              <w:spacing w:line="240" w:lineRule="auto"/>
              <w:ind w:firstLine="420" w:firstLineChars="200"/>
              <w:textAlignment w:val="auto"/>
              <w:rPr>
                <w:rFonts w:hint="eastAsia" w:ascii="宋体" w:hAnsi="宋体" w:eastAsia="宋体" w:cs="宋体"/>
                <w:b w:val="0"/>
                <w:bCs w:val="0"/>
                <w:color w:val="auto"/>
                <w:sz w:val="21"/>
                <w:szCs w:val="21"/>
                <w:highlight w:val="none"/>
                <w:lang w:val="zh-CN"/>
              </w:rPr>
            </w:pPr>
            <w:r>
              <w:rPr>
                <w:rFonts w:hint="eastAsia" w:ascii="宋体" w:hAnsi="宋体" w:eastAsia="宋体" w:cs="宋体"/>
                <w:b w:val="0"/>
                <w:bCs w:val="0"/>
                <w:sz w:val="21"/>
                <w:szCs w:val="21"/>
                <w:lang w:val="en-US" w:eastAsia="zh-CN"/>
              </w:rPr>
              <w:t>注：须提供合同复印件并加盖投标人公章，否则不得分。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Cs/>
                <w:sz w:val="21"/>
                <w:szCs w:val="21"/>
                <w:lang w:val="en-US" w:eastAsia="zh-CN"/>
              </w:rPr>
            </w:pPr>
            <w:r>
              <w:rPr>
                <w:rFonts w:hint="eastAsia" w:ascii="宋体" w:hAnsi="宋体" w:cs="宋体"/>
                <w:bCs/>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651" w:type="dxa"/>
            <w:vMerge w:val="continue"/>
            <w:tcBorders>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c>
          <w:tcPr>
            <w:tcW w:w="1114"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lang w:val="en-US" w:eastAsia="zh-CN"/>
              </w:rPr>
            </w:pPr>
          </w:p>
        </w:tc>
        <w:tc>
          <w:tcPr>
            <w:tcW w:w="6096" w:type="dxa"/>
            <w:tcBorders>
              <w:top w:val="single" w:color="auto" w:sz="4" w:space="0"/>
              <w:left w:val="single" w:color="auto" w:sz="4" w:space="0"/>
              <w:bottom w:val="single" w:color="auto" w:sz="4" w:space="0"/>
              <w:right w:val="single" w:color="auto" w:sz="4" w:space="0"/>
            </w:tcBorders>
            <w:vAlign w:val="center"/>
          </w:tcPr>
          <w:p>
            <w:pPr>
              <w:pStyle w:val="7"/>
              <w:keepNext w:val="0"/>
              <w:keepLines w:val="0"/>
              <w:pageBreakBefore w:val="0"/>
              <w:widowControl/>
              <w:kinsoku/>
              <w:wordWrap/>
              <w:overflowPunct/>
              <w:topLinePunct w:val="0"/>
              <w:autoSpaceDE/>
              <w:autoSpaceDN/>
              <w:bidi w:val="0"/>
              <w:spacing w:line="24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投标人承接过</w:t>
            </w:r>
            <w:r>
              <w:rPr>
                <w:rFonts w:hint="eastAsia" w:ascii="宋体" w:hAnsi="宋体" w:cs="宋体"/>
                <w:b w:val="0"/>
                <w:bCs w:val="0"/>
                <w:sz w:val="21"/>
                <w:szCs w:val="21"/>
                <w:lang w:val="en-US" w:eastAsia="zh-CN"/>
              </w:rPr>
              <w:t>现场导诊</w:t>
            </w:r>
            <w:r>
              <w:rPr>
                <w:rFonts w:hint="eastAsia" w:ascii="宋体" w:hAnsi="宋体" w:eastAsia="宋体" w:cs="宋体"/>
                <w:b w:val="0"/>
                <w:bCs w:val="0"/>
                <w:sz w:val="21"/>
                <w:szCs w:val="21"/>
                <w:lang w:val="en-US" w:eastAsia="zh-CN"/>
              </w:rPr>
              <w:t>系统实施与销售类项目的，每提供</w:t>
            </w:r>
            <w:r>
              <w:rPr>
                <w:rFonts w:hint="eastAsia" w:ascii="宋体" w:hAnsi="宋体" w:cs="宋体"/>
                <w:b w:val="0"/>
                <w:bCs w:val="0"/>
                <w:sz w:val="21"/>
                <w:szCs w:val="21"/>
                <w:lang w:val="en-US" w:eastAsia="zh-CN"/>
              </w:rPr>
              <w:t>一个</w:t>
            </w:r>
            <w:r>
              <w:rPr>
                <w:rFonts w:hint="eastAsia" w:ascii="宋体" w:hAnsi="宋体" w:eastAsia="宋体" w:cs="宋体"/>
                <w:b w:val="0"/>
                <w:bCs w:val="0"/>
                <w:sz w:val="21"/>
                <w:szCs w:val="21"/>
                <w:lang w:val="en-US" w:eastAsia="zh-CN"/>
              </w:rPr>
              <w:t>合同业绩得</w:t>
            </w:r>
            <w:r>
              <w:rPr>
                <w:rFonts w:hint="eastAsia" w:ascii="宋体" w:hAnsi="宋体" w:cs="宋体"/>
                <w:b w:val="0"/>
                <w:bCs w:val="0"/>
                <w:sz w:val="21"/>
                <w:szCs w:val="21"/>
                <w:lang w:val="en-US" w:eastAsia="zh-CN"/>
              </w:rPr>
              <w:t>2</w:t>
            </w:r>
            <w:r>
              <w:rPr>
                <w:rFonts w:hint="eastAsia" w:ascii="宋体" w:hAnsi="宋体" w:eastAsia="宋体" w:cs="宋体"/>
                <w:b w:val="0"/>
                <w:bCs w:val="0"/>
                <w:sz w:val="21"/>
                <w:szCs w:val="21"/>
                <w:lang w:val="en-US" w:eastAsia="zh-CN"/>
              </w:rPr>
              <w:t>分，本项最高得</w:t>
            </w:r>
            <w:r>
              <w:rPr>
                <w:rFonts w:hint="eastAsia" w:ascii="宋体" w:hAnsi="宋体" w:cs="宋体"/>
                <w:b w:val="0"/>
                <w:bCs w:val="0"/>
                <w:sz w:val="21"/>
                <w:szCs w:val="21"/>
                <w:lang w:val="en-US" w:eastAsia="zh-CN"/>
              </w:rPr>
              <w:t>4</w:t>
            </w:r>
            <w:r>
              <w:rPr>
                <w:rFonts w:hint="eastAsia" w:ascii="宋体" w:hAnsi="宋体" w:eastAsia="宋体" w:cs="宋体"/>
                <w:b w:val="0"/>
                <w:bCs w:val="0"/>
                <w:sz w:val="21"/>
                <w:szCs w:val="21"/>
                <w:lang w:val="en-US" w:eastAsia="zh-CN"/>
              </w:rPr>
              <w:t>分。没有提供不得分。</w:t>
            </w:r>
          </w:p>
          <w:p>
            <w:pPr>
              <w:pStyle w:val="7"/>
              <w:keepNext w:val="0"/>
              <w:keepLines w:val="0"/>
              <w:pageBreakBefore w:val="0"/>
              <w:widowControl/>
              <w:kinsoku/>
              <w:wordWrap/>
              <w:overflowPunct/>
              <w:topLinePunct w:val="0"/>
              <w:autoSpaceDE/>
              <w:autoSpaceDN/>
              <w:bidi w:val="0"/>
              <w:spacing w:line="240" w:lineRule="auto"/>
              <w:ind w:firstLine="420" w:firstLineChars="200"/>
              <w:textAlignment w:val="auto"/>
              <w:rPr>
                <w:rFonts w:hint="eastAsia" w:ascii="宋体" w:hAnsi="宋体" w:eastAsia="宋体" w:cs="宋体"/>
                <w:b w:val="0"/>
                <w:bCs w:val="0"/>
                <w:color w:val="auto"/>
                <w:sz w:val="21"/>
                <w:szCs w:val="21"/>
                <w:highlight w:val="none"/>
                <w:lang w:val="zh-CN"/>
              </w:rPr>
            </w:pPr>
            <w:r>
              <w:rPr>
                <w:rFonts w:hint="eastAsia" w:ascii="宋体" w:hAnsi="宋体" w:eastAsia="宋体" w:cs="宋体"/>
                <w:b w:val="0"/>
                <w:bCs w:val="0"/>
                <w:sz w:val="21"/>
                <w:szCs w:val="21"/>
                <w:lang w:val="en-US" w:eastAsia="zh-CN"/>
              </w:rPr>
              <w:t>注：须提供合同复印件并加盖投标人公章，否则不得分。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Cs/>
                <w:sz w:val="21"/>
                <w:szCs w:val="21"/>
                <w:lang w:val="en-US" w:eastAsia="zh-CN"/>
              </w:rPr>
            </w:pPr>
            <w:r>
              <w:rPr>
                <w:rFonts w:hint="eastAsia" w:ascii="宋体" w:hAnsi="宋体" w:cs="宋体"/>
                <w:bCs/>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1" w:hRule="atLeast"/>
          <w:jc w:val="center"/>
        </w:trPr>
        <w:tc>
          <w:tcPr>
            <w:tcW w:w="651" w:type="dxa"/>
            <w:tcBorders>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114"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sz w:val="21"/>
                <w:szCs w:val="21"/>
                <w:lang w:val="en-US" w:eastAsia="zh-CN"/>
              </w:rPr>
              <w:t>项目管理能力</w:t>
            </w:r>
          </w:p>
        </w:tc>
        <w:tc>
          <w:tcPr>
            <w:tcW w:w="6096" w:type="dxa"/>
            <w:tcBorders>
              <w:top w:val="single" w:color="auto" w:sz="4" w:space="0"/>
              <w:left w:val="single" w:color="auto" w:sz="4" w:space="0"/>
              <w:bottom w:val="single" w:color="auto" w:sz="4" w:space="0"/>
              <w:right w:val="single" w:color="auto" w:sz="4" w:space="0"/>
            </w:tcBorders>
            <w:vAlign w:val="center"/>
          </w:tcPr>
          <w:p>
            <w:pPr>
              <w:pStyle w:val="7"/>
              <w:numPr>
                <w:ilvl w:val="-1"/>
                <w:numId w:val="0"/>
              </w:numPr>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根据投标人拟安排的项目负责人进行评审：</w:t>
            </w:r>
          </w:p>
          <w:p>
            <w:pPr>
              <w:pStyle w:val="7"/>
              <w:numPr>
                <w:ilvl w:val="0"/>
                <w:numId w:val="0"/>
              </w:numPr>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具有信息系统项目管理师(高级)证书的得</w:t>
            </w:r>
            <w:r>
              <w:rPr>
                <w:rFonts w:hint="eastAsia" w:ascii="宋体" w:hAnsi="宋体" w:cs="宋体"/>
                <w:sz w:val="21"/>
                <w:szCs w:val="21"/>
                <w:lang w:val="en-US" w:eastAsia="zh-CN"/>
              </w:rPr>
              <w:t>4</w:t>
            </w:r>
            <w:r>
              <w:rPr>
                <w:rFonts w:hint="eastAsia" w:ascii="宋体" w:hAnsi="宋体" w:eastAsia="宋体" w:cs="宋体"/>
                <w:sz w:val="21"/>
                <w:szCs w:val="21"/>
                <w:lang w:val="en-US" w:eastAsia="zh-CN"/>
              </w:rPr>
              <w:t>分，具有系统集成项目管理工程师（中级）证书的得2分，本项最高得</w:t>
            </w:r>
            <w:r>
              <w:rPr>
                <w:rFonts w:hint="eastAsia" w:ascii="宋体" w:hAnsi="宋体" w:cs="宋体"/>
                <w:sz w:val="21"/>
                <w:szCs w:val="21"/>
                <w:lang w:val="en-US" w:eastAsia="zh-CN"/>
              </w:rPr>
              <w:t>4</w:t>
            </w:r>
            <w:r>
              <w:rPr>
                <w:rFonts w:hint="eastAsia" w:ascii="宋体" w:hAnsi="宋体" w:eastAsia="宋体" w:cs="宋体"/>
                <w:sz w:val="21"/>
                <w:szCs w:val="21"/>
                <w:lang w:val="en-US" w:eastAsia="zh-CN"/>
              </w:rPr>
              <w:t>分。</w:t>
            </w:r>
          </w:p>
          <w:p>
            <w:pPr>
              <w:pStyle w:val="7"/>
              <w:keepNext w:val="0"/>
              <w:keepLines w:val="0"/>
              <w:pageBreakBefore w:val="0"/>
              <w:widowControl/>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color w:val="auto"/>
                <w:sz w:val="21"/>
                <w:szCs w:val="21"/>
                <w:highlight w:val="none"/>
                <w:lang w:val="zh-CN"/>
              </w:rPr>
              <w:t>注：</w:t>
            </w:r>
            <w:r>
              <w:rPr>
                <w:rFonts w:hint="eastAsia" w:ascii="宋体" w:hAnsi="宋体" w:eastAsia="宋体" w:cs="宋体"/>
                <w:bCs/>
                <w:color w:val="auto"/>
                <w:sz w:val="21"/>
                <w:szCs w:val="21"/>
                <w:highlight w:val="none"/>
                <w:lang w:val="en-US" w:eastAsia="zh-CN"/>
              </w:rPr>
              <w:t>须提供项目负责人</w:t>
            </w:r>
            <w:r>
              <w:rPr>
                <w:rFonts w:hint="eastAsia" w:ascii="宋体" w:hAnsi="宋体" w:eastAsia="宋体" w:cs="宋体"/>
                <w:bCs/>
                <w:color w:val="auto"/>
                <w:sz w:val="21"/>
                <w:szCs w:val="21"/>
                <w:highlight w:val="none"/>
                <w:lang w:val="zh-CN"/>
              </w:rPr>
              <w:t>有效证书</w:t>
            </w:r>
            <w:r>
              <w:rPr>
                <w:rFonts w:hint="eastAsia" w:ascii="宋体" w:hAnsi="宋体" w:eastAsia="宋体" w:cs="宋体"/>
                <w:bCs/>
                <w:color w:val="auto"/>
                <w:sz w:val="21"/>
                <w:szCs w:val="21"/>
                <w:highlight w:val="none"/>
                <w:lang w:val="en-US" w:eastAsia="zh-CN"/>
              </w:rPr>
              <w:t>复印件</w:t>
            </w:r>
            <w:r>
              <w:rPr>
                <w:rFonts w:hint="eastAsia" w:ascii="宋体" w:hAnsi="宋体" w:eastAsia="宋体" w:cs="宋体"/>
                <w:bCs/>
                <w:color w:val="auto"/>
                <w:sz w:val="21"/>
                <w:szCs w:val="21"/>
                <w:highlight w:val="none"/>
                <w:lang w:val="zh-CN"/>
              </w:rPr>
              <w:t>及</w:t>
            </w:r>
            <w:r>
              <w:rPr>
                <w:rFonts w:hint="eastAsia" w:ascii="宋体" w:hAnsi="宋体" w:eastAsia="宋体" w:cs="宋体"/>
                <w:bCs/>
                <w:color w:val="auto"/>
                <w:sz w:val="21"/>
                <w:szCs w:val="21"/>
                <w:highlight w:val="none"/>
              </w:rPr>
              <w:t>投标人</w:t>
            </w:r>
            <w:r>
              <w:rPr>
                <w:rFonts w:hint="eastAsia" w:ascii="宋体" w:hAnsi="宋体" w:eastAsia="宋体" w:cs="宋体"/>
                <w:bCs/>
                <w:color w:val="auto"/>
                <w:sz w:val="21"/>
                <w:szCs w:val="21"/>
                <w:highlight w:val="none"/>
                <w:lang w:val="zh-CN"/>
              </w:rPr>
              <w:t>为其缴纳的近</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个月</w:t>
            </w:r>
            <w:r>
              <w:rPr>
                <w:rFonts w:hint="eastAsia" w:ascii="宋体" w:hAnsi="宋体" w:eastAsia="宋体" w:cs="宋体"/>
                <w:bCs/>
                <w:color w:val="auto"/>
                <w:sz w:val="21"/>
                <w:szCs w:val="21"/>
                <w:highlight w:val="none"/>
                <w:lang w:val="en-US" w:eastAsia="zh-CN"/>
              </w:rPr>
              <w:t>内</w:t>
            </w:r>
            <w:r>
              <w:rPr>
                <w:rFonts w:hint="eastAsia" w:ascii="宋体" w:hAnsi="宋体" w:eastAsia="宋体" w:cs="宋体"/>
                <w:bCs/>
                <w:color w:val="auto"/>
                <w:sz w:val="21"/>
                <w:szCs w:val="21"/>
                <w:highlight w:val="none"/>
                <w:lang w:val="zh-CN"/>
              </w:rPr>
              <w:t>（</w:t>
            </w:r>
            <w:r>
              <w:rPr>
                <w:rFonts w:hint="eastAsia" w:ascii="宋体" w:hAnsi="宋体" w:eastAsia="宋体" w:cs="宋体"/>
                <w:bCs/>
                <w:color w:val="auto"/>
                <w:sz w:val="21"/>
                <w:szCs w:val="21"/>
                <w:highlight w:val="none"/>
              </w:rPr>
              <w:t>不含开标当月</w:t>
            </w:r>
            <w:r>
              <w:rPr>
                <w:rFonts w:hint="eastAsia" w:ascii="宋体" w:hAnsi="宋体" w:eastAsia="宋体" w:cs="宋体"/>
                <w:bCs/>
                <w:color w:val="auto"/>
                <w:sz w:val="21"/>
                <w:szCs w:val="21"/>
                <w:highlight w:val="none"/>
                <w:lang w:val="zh-CN"/>
              </w:rPr>
              <w:t>）</w:t>
            </w:r>
            <w:r>
              <w:rPr>
                <w:rFonts w:hint="eastAsia" w:ascii="宋体" w:hAnsi="宋体" w:eastAsia="宋体" w:cs="宋体"/>
                <w:bCs/>
                <w:color w:val="auto"/>
                <w:sz w:val="21"/>
                <w:szCs w:val="21"/>
                <w:highlight w:val="none"/>
                <w:lang w:val="en-US" w:eastAsia="zh-CN"/>
              </w:rPr>
              <w:t>任意1个月的</w:t>
            </w:r>
            <w:r>
              <w:rPr>
                <w:rFonts w:hint="eastAsia" w:ascii="宋体" w:hAnsi="宋体" w:eastAsia="宋体" w:cs="宋体"/>
                <w:bCs/>
                <w:color w:val="auto"/>
                <w:sz w:val="21"/>
                <w:szCs w:val="21"/>
                <w:highlight w:val="none"/>
                <w:lang w:val="zh-CN"/>
              </w:rPr>
              <w:t>社保证明复印件加盖</w:t>
            </w:r>
            <w:r>
              <w:rPr>
                <w:rFonts w:hint="eastAsia" w:ascii="宋体" w:hAnsi="宋体" w:eastAsia="宋体" w:cs="宋体"/>
                <w:bCs/>
                <w:color w:val="auto"/>
                <w:sz w:val="21"/>
                <w:szCs w:val="21"/>
                <w:highlight w:val="none"/>
              </w:rPr>
              <w:t>投标人</w:t>
            </w:r>
            <w:r>
              <w:rPr>
                <w:rFonts w:hint="eastAsia" w:ascii="宋体" w:hAnsi="宋体" w:eastAsia="宋体" w:cs="宋体"/>
                <w:bCs/>
                <w:color w:val="auto"/>
                <w:sz w:val="21"/>
                <w:szCs w:val="21"/>
                <w:highlight w:val="none"/>
                <w:lang w:val="zh-CN"/>
              </w:rPr>
              <w:t>公章，</w:t>
            </w:r>
            <w:r>
              <w:rPr>
                <w:rFonts w:hint="eastAsia" w:ascii="宋体" w:hAnsi="宋体" w:eastAsia="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cs="宋体"/>
                <w:bCs/>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1" w:hRule="atLeast"/>
          <w:jc w:val="center"/>
        </w:trPr>
        <w:tc>
          <w:tcPr>
            <w:tcW w:w="651" w:type="dxa"/>
            <w:tcBorders>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114" w:type="dxa"/>
            <w:tcBorders>
              <w:left w:val="single" w:color="auto" w:sz="4" w:space="0"/>
              <w:right w:val="single" w:color="auto" w:sz="4" w:space="0"/>
            </w:tcBorders>
            <w:vAlign w:val="center"/>
          </w:tcPr>
          <w:p>
            <w:pPr>
              <w:pStyle w:val="2"/>
              <w:keepNext w:val="0"/>
              <w:keepLines w:val="0"/>
              <w:pageBreakBefore w:val="0"/>
              <w:kinsoku/>
              <w:wordWrap/>
              <w:overflowPunct/>
              <w:topLinePunct w:val="0"/>
              <w:autoSpaceDE/>
              <w:autoSpaceDN/>
              <w:bidi w:val="0"/>
              <w:spacing w:line="240" w:lineRule="auto"/>
              <w:ind w:left="120" w:left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bCs/>
                <w:sz w:val="21"/>
                <w:szCs w:val="21"/>
                <w:lang w:val="en-US" w:eastAsia="zh-CN"/>
              </w:rPr>
              <w:t>服务便利性</w:t>
            </w:r>
          </w:p>
        </w:tc>
        <w:tc>
          <w:tcPr>
            <w:tcW w:w="6096"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kinsoku/>
              <w:wordWrap/>
              <w:overflowPunct/>
              <w:topLinePunct w:val="0"/>
              <w:autoSpaceDE/>
              <w:autoSpaceDN/>
              <w:bidi w:val="0"/>
              <w:spacing w:after="0" w:line="240" w:lineRule="auto"/>
              <w:ind w:firstLine="420" w:firstLineChars="200"/>
              <w:textAlignment w:val="auto"/>
              <w:rPr>
                <w:rFonts w:hint="eastAsia" w:ascii="宋体" w:hAnsi="宋体" w:eastAsia="宋体" w:cs="宋体"/>
                <w:b w:val="0"/>
                <w:bCs w:val="0"/>
                <w:color w:val="auto"/>
                <w:sz w:val="21"/>
                <w:szCs w:val="21"/>
                <w:highlight w:val="none"/>
                <w:lang w:val="zh-CN" w:eastAsia="zh-CN"/>
              </w:rPr>
            </w:pPr>
            <w:r>
              <w:rPr>
                <w:rFonts w:hint="eastAsia" w:ascii="宋体" w:hAnsi="宋体" w:eastAsia="宋体" w:cs="宋体"/>
                <w:b w:val="0"/>
                <w:bCs w:val="0"/>
                <w:color w:val="auto"/>
                <w:sz w:val="21"/>
                <w:szCs w:val="21"/>
                <w:highlight w:val="none"/>
                <w:lang w:val="zh-CN"/>
              </w:rPr>
              <w:t>根据投标人提供的服务响应时间承诺进行</w:t>
            </w:r>
            <w:r>
              <w:rPr>
                <w:rFonts w:hint="eastAsia" w:ascii="宋体" w:hAnsi="宋体" w:eastAsia="宋体" w:cs="宋体"/>
                <w:b w:val="0"/>
                <w:bCs w:val="0"/>
                <w:color w:val="auto"/>
                <w:sz w:val="21"/>
                <w:szCs w:val="21"/>
                <w:highlight w:val="none"/>
                <w:lang w:val="en-US" w:eastAsia="zh-CN"/>
              </w:rPr>
              <w:t>评审：</w:t>
            </w:r>
          </w:p>
          <w:p>
            <w:pPr>
              <w:pStyle w:val="37"/>
              <w:keepNext w:val="0"/>
              <w:keepLines w:val="0"/>
              <w:pageBreakBefore w:val="0"/>
              <w:widowControl/>
              <w:kinsoku/>
              <w:wordWrap/>
              <w:overflowPunct/>
              <w:topLinePunct w:val="0"/>
              <w:autoSpaceDE/>
              <w:autoSpaceDN/>
              <w:bidi w:val="0"/>
              <w:spacing w:after="0" w:line="240" w:lineRule="auto"/>
              <w:ind w:firstLine="420" w:firstLineChars="200"/>
              <w:textAlignment w:val="auto"/>
              <w:rPr>
                <w:rFonts w:hint="eastAsia" w:ascii="宋体" w:hAnsi="宋体" w:eastAsia="宋体" w:cs="宋体"/>
                <w:b w:val="0"/>
                <w:bCs w:val="0"/>
                <w:color w:val="auto"/>
                <w:sz w:val="21"/>
                <w:szCs w:val="21"/>
                <w:highlight w:val="none"/>
                <w:lang w:val="zh-CN"/>
              </w:rPr>
            </w:pPr>
            <w:r>
              <w:rPr>
                <w:rFonts w:hint="eastAsia" w:ascii="宋体" w:hAnsi="宋体" w:eastAsia="宋体" w:cs="宋体"/>
                <w:b w:val="0"/>
                <w:bCs w:val="0"/>
                <w:color w:val="auto"/>
                <w:sz w:val="21"/>
                <w:szCs w:val="21"/>
                <w:highlight w:val="none"/>
                <w:lang w:val="zh-CN"/>
              </w:rPr>
              <w:t>承诺在接到采购人通知后1小时内到现场</w:t>
            </w:r>
            <w:r>
              <w:rPr>
                <w:rFonts w:hint="eastAsia" w:ascii="宋体" w:hAnsi="宋体" w:eastAsia="宋体" w:cs="宋体"/>
                <w:b w:val="0"/>
                <w:bCs w:val="0"/>
                <w:color w:val="auto"/>
                <w:sz w:val="21"/>
                <w:szCs w:val="21"/>
                <w:highlight w:val="none"/>
                <w:lang w:val="en-US" w:eastAsia="zh-CN"/>
              </w:rPr>
              <w:t>的</w:t>
            </w:r>
            <w:r>
              <w:rPr>
                <w:rFonts w:hint="eastAsia" w:ascii="宋体" w:hAnsi="宋体" w:eastAsia="宋体" w:cs="宋体"/>
                <w:b w:val="0"/>
                <w:bCs w:val="0"/>
                <w:color w:val="auto"/>
                <w:sz w:val="21"/>
                <w:szCs w:val="21"/>
                <w:highlight w:val="none"/>
                <w:lang w:val="zh-CN"/>
              </w:rPr>
              <w:t>，得</w:t>
            </w:r>
            <w:r>
              <w:rPr>
                <w:rFonts w:hint="eastAsia" w:asci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val="zh-CN"/>
              </w:rPr>
              <w:t>分；</w:t>
            </w:r>
          </w:p>
          <w:p>
            <w:pPr>
              <w:pStyle w:val="37"/>
              <w:keepNext w:val="0"/>
              <w:keepLines w:val="0"/>
              <w:pageBreakBefore w:val="0"/>
              <w:widowControl/>
              <w:kinsoku/>
              <w:wordWrap/>
              <w:overflowPunct/>
              <w:topLinePunct w:val="0"/>
              <w:autoSpaceDE/>
              <w:autoSpaceDN/>
              <w:bidi w:val="0"/>
              <w:spacing w:after="0" w:line="240" w:lineRule="auto"/>
              <w:ind w:firstLine="420" w:firstLineChars="200"/>
              <w:textAlignment w:val="auto"/>
              <w:rPr>
                <w:rFonts w:hint="eastAsia" w:ascii="宋体" w:hAnsi="宋体" w:eastAsia="宋体" w:cs="宋体"/>
                <w:b w:val="0"/>
                <w:bCs w:val="0"/>
                <w:color w:val="auto"/>
                <w:sz w:val="21"/>
                <w:szCs w:val="21"/>
                <w:highlight w:val="none"/>
                <w:lang w:val="zh-CN"/>
              </w:rPr>
            </w:pPr>
            <w:r>
              <w:rPr>
                <w:rFonts w:hint="eastAsia" w:ascii="宋体" w:hAnsi="宋体" w:eastAsia="宋体" w:cs="宋体"/>
                <w:b w:val="0"/>
                <w:bCs w:val="0"/>
                <w:color w:val="auto"/>
                <w:sz w:val="21"/>
                <w:szCs w:val="21"/>
                <w:highlight w:val="none"/>
                <w:lang w:val="zh-CN"/>
              </w:rPr>
              <w:t>承诺在接到采购人通知后2小时内到现场</w:t>
            </w:r>
            <w:r>
              <w:rPr>
                <w:rFonts w:hint="eastAsia" w:ascii="宋体" w:hAnsi="宋体" w:eastAsia="宋体" w:cs="宋体"/>
                <w:b w:val="0"/>
                <w:bCs w:val="0"/>
                <w:color w:val="auto"/>
                <w:sz w:val="21"/>
                <w:szCs w:val="21"/>
                <w:highlight w:val="none"/>
                <w:lang w:val="en-US" w:eastAsia="zh-CN"/>
              </w:rPr>
              <w:t>的</w:t>
            </w:r>
            <w:r>
              <w:rPr>
                <w:rFonts w:hint="eastAsia" w:ascii="宋体" w:hAnsi="宋体" w:eastAsia="宋体" w:cs="宋体"/>
                <w:b w:val="0"/>
                <w:bCs w:val="0"/>
                <w:color w:val="auto"/>
                <w:sz w:val="21"/>
                <w:szCs w:val="21"/>
                <w:highlight w:val="none"/>
                <w:lang w:val="zh-CN"/>
              </w:rPr>
              <w:t>，得</w:t>
            </w:r>
            <w:r>
              <w:rPr>
                <w:rFonts w:hint="eastAsia" w:asci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zh-CN"/>
              </w:rPr>
              <w:t>分；</w:t>
            </w:r>
          </w:p>
          <w:p>
            <w:pPr>
              <w:pStyle w:val="37"/>
              <w:keepNext w:val="0"/>
              <w:keepLines w:val="0"/>
              <w:pageBreakBefore w:val="0"/>
              <w:widowControl/>
              <w:kinsoku/>
              <w:wordWrap/>
              <w:overflowPunct/>
              <w:topLinePunct w:val="0"/>
              <w:autoSpaceDE/>
              <w:autoSpaceDN/>
              <w:bidi w:val="0"/>
              <w:spacing w:after="0" w:line="240" w:lineRule="auto"/>
              <w:ind w:firstLine="420" w:firstLineChars="200"/>
              <w:textAlignment w:val="auto"/>
              <w:rPr>
                <w:rFonts w:hint="eastAsia" w:ascii="宋体" w:hAnsi="宋体" w:eastAsia="宋体" w:cs="宋体"/>
                <w:b w:val="0"/>
                <w:bCs w:val="0"/>
                <w:color w:val="auto"/>
                <w:sz w:val="21"/>
                <w:szCs w:val="21"/>
                <w:highlight w:val="none"/>
                <w:lang w:val="zh-CN"/>
              </w:rPr>
            </w:pPr>
            <w:r>
              <w:rPr>
                <w:rFonts w:hint="eastAsia" w:ascii="宋体" w:hAnsi="宋体" w:eastAsia="宋体" w:cs="宋体"/>
                <w:b w:val="0"/>
                <w:bCs w:val="0"/>
                <w:color w:val="auto"/>
                <w:sz w:val="21"/>
                <w:szCs w:val="21"/>
                <w:highlight w:val="none"/>
                <w:lang w:val="zh-CN"/>
              </w:rPr>
              <w:t>承诺在接到采购人通知后3小时内到现场</w:t>
            </w:r>
            <w:r>
              <w:rPr>
                <w:rFonts w:hint="eastAsia" w:ascii="宋体" w:hAnsi="宋体" w:eastAsia="宋体" w:cs="宋体"/>
                <w:b w:val="0"/>
                <w:bCs w:val="0"/>
                <w:color w:val="auto"/>
                <w:sz w:val="21"/>
                <w:szCs w:val="21"/>
                <w:highlight w:val="none"/>
                <w:lang w:val="en-US" w:eastAsia="zh-CN"/>
              </w:rPr>
              <w:t>的</w:t>
            </w:r>
            <w:r>
              <w:rPr>
                <w:rFonts w:hint="eastAsia" w:ascii="宋体" w:hAnsi="宋体" w:eastAsia="宋体" w:cs="宋体"/>
                <w:b w:val="0"/>
                <w:bCs w:val="0"/>
                <w:color w:val="auto"/>
                <w:sz w:val="21"/>
                <w:szCs w:val="21"/>
                <w:highlight w:val="none"/>
                <w:lang w:val="zh-CN"/>
              </w:rPr>
              <w:t>，得</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val="zh-CN"/>
              </w:rPr>
              <w:t>分；</w:t>
            </w:r>
          </w:p>
          <w:p>
            <w:pPr>
              <w:pStyle w:val="37"/>
              <w:keepNext w:val="0"/>
              <w:keepLines w:val="0"/>
              <w:pageBreakBefore w:val="0"/>
              <w:widowControl/>
              <w:kinsoku/>
              <w:wordWrap/>
              <w:overflowPunct/>
              <w:topLinePunct w:val="0"/>
              <w:autoSpaceDE/>
              <w:autoSpaceDN/>
              <w:bidi w:val="0"/>
              <w:spacing w:after="0" w:line="240" w:lineRule="auto"/>
              <w:ind w:firstLine="420" w:firstLineChars="200"/>
              <w:textAlignment w:val="auto"/>
              <w:rPr>
                <w:rFonts w:hint="eastAsia" w:ascii="宋体" w:hAnsi="宋体" w:eastAsia="宋体" w:cs="宋体"/>
                <w:b w:val="0"/>
                <w:bCs w:val="0"/>
                <w:color w:val="auto"/>
                <w:sz w:val="21"/>
                <w:szCs w:val="21"/>
                <w:highlight w:val="none"/>
                <w:lang w:val="zh-CN"/>
              </w:rPr>
            </w:pPr>
            <w:r>
              <w:rPr>
                <w:rFonts w:hint="eastAsia" w:ascii="宋体" w:hAnsi="宋体" w:eastAsia="宋体" w:cs="宋体"/>
                <w:b w:val="0"/>
                <w:bCs w:val="0"/>
                <w:color w:val="auto"/>
                <w:sz w:val="21"/>
                <w:szCs w:val="21"/>
                <w:highlight w:val="none"/>
                <w:lang w:val="en-US" w:eastAsia="zh-CN"/>
              </w:rPr>
              <w:t>未承诺或</w:t>
            </w:r>
            <w:r>
              <w:rPr>
                <w:rFonts w:hint="eastAsia" w:ascii="宋体" w:hAnsi="宋体" w:eastAsia="宋体" w:cs="宋体"/>
                <w:b w:val="0"/>
                <w:bCs w:val="0"/>
                <w:color w:val="auto"/>
                <w:sz w:val="21"/>
                <w:szCs w:val="21"/>
                <w:highlight w:val="none"/>
                <w:lang w:val="zh-CN"/>
              </w:rPr>
              <w:t>承诺在接到采购人通知后超过3小时到现场</w:t>
            </w:r>
            <w:r>
              <w:rPr>
                <w:rFonts w:hint="eastAsia" w:ascii="宋体" w:hAnsi="宋体" w:eastAsia="宋体" w:cs="宋体"/>
                <w:b w:val="0"/>
                <w:bCs w:val="0"/>
                <w:color w:val="auto"/>
                <w:sz w:val="21"/>
                <w:szCs w:val="21"/>
                <w:highlight w:val="none"/>
                <w:lang w:val="en-US" w:eastAsia="zh-CN"/>
              </w:rPr>
              <w:t>的</w:t>
            </w:r>
            <w:r>
              <w:rPr>
                <w:rFonts w:hint="eastAsia" w:ascii="宋体" w:hAnsi="宋体" w:eastAsia="宋体" w:cs="宋体"/>
                <w:b w:val="0"/>
                <w:bCs w:val="0"/>
                <w:color w:val="auto"/>
                <w:sz w:val="21"/>
                <w:szCs w:val="21"/>
                <w:highlight w:val="none"/>
                <w:lang w:val="zh-CN"/>
              </w:rPr>
              <w:t>，</w:t>
            </w:r>
            <w:r>
              <w:rPr>
                <w:rFonts w:hint="eastAsia" w:ascii="宋体" w:hAnsi="宋体" w:eastAsia="宋体" w:cs="宋体"/>
                <w:b w:val="0"/>
                <w:bCs w:val="0"/>
                <w:color w:val="auto"/>
                <w:sz w:val="21"/>
                <w:szCs w:val="21"/>
                <w:highlight w:val="none"/>
                <w:lang w:val="en-US" w:eastAsia="zh-CN"/>
              </w:rPr>
              <w:t>不得分</w:t>
            </w:r>
            <w:r>
              <w:rPr>
                <w:rFonts w:hint="eastAsia" w:ascii="宋体" w:hAnsi="宋体" w:eastAsia="宋体" w:cs="宋体"/>
                <w:b w:val="0"/>
                <w:bCs w:val="0"/>
                <w:color w:val="auto"/>
                <w:sz w:val="21"/>
                <w:szCs w:val="21"/>
                <w:highlight w:val="none"/>
                <w:lang w:val="zh-CN"/>
              </w:rPr>
              <w:t>。</w:t>
            </w:r>
          </w:p>
          <w:p>
            <w:pPr>
              <w:keepNext w:val="0"/>
              <w:keepLines w:val="0"/>
              <w:pageBreakBefore w:val="0"/>
              <w:widowControl/>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 w:val="0"/>
                <w:bCs w:val="0"/>
                <w:color w:val="auto"/>
                <w:sz w:val="21"/>
                <w:szCs w:val="21"/>
                <w:highlight w:val="none"/>
                <w:lang w:val="zh-CN"/>
              </w:rPr>
              <w:t>注：</w:t>
            </w:r>
            <w:r>
              <w:rPr>
                <w:rFonts w:hint="eastAsia" w:ascii="宋体" w:hAnsi="宋体" w:eastAsia="宋体" w:cs="宋体"/>
                <w:b w:val="0"/>
                <w:bCs w:val="0"/>
                <w:color w:val="auto"/>
                <w:sz w:val="21"/>
                <w:szCs w:val="21"/>
                <w:highlight w:val="none"/>
                <w:lang w:val="en-US" w:eastAsia="zh-CN"/>
              </w:rPr>
              <w:t>须</w:t>
            </w:r>
            <w:r>
              <w:rPr>
                <w:rFonts w:hint="eastAsia" w:ascii="宋体" w:hAnsi="宋体" w:eastAsia="宋体" w:cs="宋体"/>
                <w:b w:val="0"/>
                <w:bCs w:val="0"/>
                <w:color w:val="auto"/>
                <w:sz w:val="21"/>
                <w:szCs w:val="21"/>
                <w:highlight w:val="none"/>
                <w:lang w:val="zh-CN"/>
              </w:rPr>
              <w:t>提供单独服务承诺书，并加盖投标人公章，</w:t>
            </w:r>
            <w:r>
              <w:rPr>
                <w:rFonts w:hint="eastAsia" w:ascii="宋体" w:hAnsi="宋体" w:eastAsia="宋体" w:cs="宋体"/>
                <w:b w:val="0"/>
                <w:bCs w:val="0"/>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cs="宋体"/>
                <w:bCs/>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技术评分（40分）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11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需求分析</w:t>
            </w:r>
          </w:p>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sz w:val="21"/>
                <w:szCs w:val="21"/>
              </w:rPr>
              <w:t>水平</w:t>
            </w:r>
          </w:p>
        </w:tc>
        <w:tc>
          <w:tcPr>
            <w:tcW w:w="60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根据投标人对用户需求理解，对各系统的应用场景表述，结合东莞市社区卫生服务信息系统对各项业务进行说明进行</w:t>
            </w:r>
            <w:r>
              <w:rPr>
                <w:rFonts w:hint="eastAsia" w:ascii="宋体" w:hAnsi="宋体" w:eastAsia="宋体" w:cs="宋体"/>
                <w:sz w:val="21"/>
                <w:szCs w:val="21"/>
                <w:lang w:val="en-US" w:eastAsia="zh-CN"/>
              </w:rPr>
              <w:t>综合</w:t>
            </w:r>
            <w:r>
              <w:rPr>
                <w:rFonts w:hint="eastAsia" w:ascii="宋体" w:hAnsi="宋体" w:eastAsia="宋体" w:cs="宋体"/>
                <w:sz w:val="21"/>
                <w:szCs w:val="21"/>
              </w:rPr>
              <w:t>评审：</w:t>
            </w:r>
          </w:p>
          <w:p>
            <w:pPr>
              <w:keepNext w:val="0"/>
              <w:keepLines w:val="0"/>
              <w:pageBreakBefore w:val="0"/>
              <w:widowControl/>
              <w:kinsoku/>
              <w:wordWrap/>
              <w:overflowPunct/>
              <w:topLinePunct w:val="0"/>
              <w:autoSpaceDE/>
              <w:autoSpaceDN/>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需求分析全面、准确，优于或全面满足采购要求的得10分；</w:t>
            </w:r>
          </w:p>
          <w:p>
            <w:pPr>
              <w:keepNext w:val="0"/>
              <w:keepLines w:val="0"/>
              <w:pageBreakBefore w:val="0"/>
              <w:widowControl/>
              <w:kinsoku/>
              <w:wordWrap/>
              <w:overflowPunct/>
              <w:topLinePunct w:val="0"/>
              <w:autoSpaceDE/>
              <w:autoSpaceDN/>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需求分析全面、准确，基本满足采购要求的得</w:t>
            </w:r>
            <w:r>
              <w:rPr>
                <w:rFonts w:hint="eastAsia" w:ascii="宋体" w:hAnsi="宋体" w:eastAsia="宋体" w:cs="宋体"/>
                <w:sz w:val="21"/>
                <w:szCs w:val="21"/>
                <w:lang w:val="en-US" w:eastAsia="zh-CN"/>
              </w:rPr>
              <w:t>6</w:t>
            </w:r>
            <w:r>
              <w:rPr>
                <w:rFonts w:hint="eastAsia" w:ascii="宋体" w:hAnsi="宋体" w:eastAsia="宋体" w:cs="宋体"/>
                <w:sz w:val="21"/>
                <w:szCs w:val="21"/>
              </w:rPr>
              <w:t>分</w:t>
            </w:r>
          </w:p>
          <w:p>
            <w:pPr>
              <w:keepNext w:val="0"/>
              <w:keepLines w:val="0"/>
              <w:pageBreakBefore w:val="0"/>
              <w:widowControl/>
              <w:kinsoku/>
              <w:wordWrap/>
              <w:overflowPunct/>
              <w:topLinePunct w:val="0"/>
              <w:autoSpaceDE/>
              <w:autoSpaceDN/>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需求分析内容基本覆盖采购要求的，得</w:t>
            </w:r>
            <w:r>
              <w:rPr>
                <w:rFonts w:hint="eastAsia" w:ascii="宋体" w:hAnsi="宋体" w:eastAsia="宋体" w:cs="宋体"/>
                <w:sz w:val="21"/>
                <w:szCs w:val="21"/>
                <w:lang w:val="en-US" w:eastAsia="zh-CN"/>
              </w:rPr>
              <w:t>3</w:t>
            </w:r>
            <w:r>
              <w:rPr>
                <w:rFonts w:hint="eastAsia" w:ascii="宋体" w:hAnsi="宋体" w:eastAsia="宋体" w:cs="宋体"/>
                <w:sz w:val="21"/>
                <w:szCs w:val="21"/>
              </w:rPr>
              <w:t>分；</w:t>
            </w:r>
          </w:p>
          <w:p>
            <w:pPr>
              <w:keepNext w:val="0"/>
              <w:keepLines w:val="0"/>
              <w:pageBreakBefore w:val="0"/>
              <w:widowControl/>
              <w:kinsoku/>
              <w:wordWrap/>
              <w:overflowPunct/>
              <w:topLinePunct w:val="0"/>
              <w:autoSpaceDE/>
              <w:autoSpaceDN/>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需求分析内容未覆盖采购要求，得1分。</w:t>
            </w:r>
          </w:p>
          <w:p>
            <w:pPr>
              <w:pStyle w:val="2"/>
              <w:spacing w:before="0" w:line="240" w:lineRule="auto"/>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宋体"/>
                <w:kern w:val="2"/>
                <w:sz w:val="21"/>
                <w:szCs w:val="21"/>
                <w:lang w:val="en-US" w:eastAsia="zh-CN"/>
              </w:rPr>
              <w:t>没有提供对应内容不得分。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8"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1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实施方案</w:t>
            </w:r>
          </w:p>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sz w:val="21"/>
                <w:szCs w:val="21"/>
              </w:rPr>
              <w:t>水平</w:t>
            </w:r>
          </w:p>
        </w:tc>
        <w:tc>
          <w:tcPr>
            <w:tcW w:w="60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根据投标人需基于现有的东莞市卫健局相关的市社区卫生服务信息系统、健康东莞APP提供的标准接口规范要求，对本项目所实现的门诊呼叫系统，提供技术和实施方案。方案需描述技术水平、结构设计、细节把握、针对性、可操作性等进行</w:t>
            </w:r>
            <w:r>
              <w:rPr>
                <w:rFonts w:hint="eastAsia" w:ascii="宋体" w:hAnsi="宋体" w:eastAsia="宋体" w:cs="宋体"/>
                <w:sz w:val="21"/>
                <w:szCs w:val="21"/>
                <w:lang w:val="en-US" w:eastAsia="zh-CN"/>
              </w:rPr>
              <w:t>综合</w:t>
            </w:r>
            <w:r>
              <w:rPr>
                <w:rFonts w:hint="eastAsia" w:ascii="宋体" w:hAnsi="宋体" w:eastAsia="宋体" w:cs="宋体"/>
                <w:sz w:val="21"/>
                <w:szCs w:val="21"/>
              </w:rPr>
              <w:t>评审：</w:t>
            </w:r>
          </w:p>
          <w:p>
            <w:pPr>
              <w:keepNext w:val="0"/>
              <w:keepLines w:val="0"/>
              <w:pageBreakBefore w:val="0"/>
              <w:widowControl/>
              <w:kinsoku/>
              <w:wordWrap/>
              <w:overflowPunct/>
              <w:topLinePunct w:val="0"/>
              <w:autoSpaceDE/>
              <w:autoSpaceDN/>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系统架构设计合理，运维过程中在方法、工具和技术路线等方面选型合理，满足或优于系统存储、网络、硬件、软件等环境要求的，数据流、数据交换场景、功能应用等方面详细描述完整，得12分；</w:t>
            </w:r>
          </w:p>
          <w:p>
            <w:pPr>
              <w:keepNext w:val="0"/>
              <w:keepLines w:val="0"/>
              <w:pageBreakBefore w:val="0"/>
              <w:widowControl/>
              <w:kinsoku/>
              <w:wordWrap/>
              <w:overflowPunct/>
              <w:topLinePunct w:val="0"/>
              <w:autoSpaceDE/>
              <w:autoSpaceDN/>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系统架构设计较合理，运维过程中在方法、工具和技术路线等方面选型较合理，满足系统存储、网络、硬件、软件等环境要求的，数据流、数据交换场景、功能应用等方面详细描述较完整，得</w:t>
            </w:r>
            <w:r>
              <w:rPr>
                <w:rFonts w:hint="eastAsia" w:ascii="宋体" w:hAnsi="宋体" w:eastAsia="宋体" w:cs="宋体"/>
                <w:sz w:val="21"/>
                <w:szCs w:val="21"/>
                <w:lang w:val="en-US" w:eastAsia="zh-CN"/>
              </w:rPr>
              <w:t>8</w:t>
            </w:r>
            <w:r>
              <w:rPr>
                <w:rFonts w:hint="eastAsia" w:ascii="宋体" w:hAnsi="宋体" w:eastAsia="宋体" w:cs="宋体"/>
                <w:sz w:val="21"/>
                <w:szCs w:val="21"/>
              </w:rPr>
              <w:t>分；</w:t>
            </w:r>
          </w:p>
          <w:p>
            <w:pPr>
              <w:keepNext w:val="0"/>
              <w:keepLines w:val="0"/>
              <w:pageBreakBefore w:val="0"/>
              <w:widowControl/>
              <w:kinsoku/>
              <w:wordWrap/>
              <w:overflowPunct/>
              <w:topLinePunct w:val="0"/>
              <w:autoSpaceDE/>
              <w:autoSpaceDN/>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系统架构设计较合理，运维过程中在方法、工具和技术路线等方面选型较合理，基本满足系统存储、网络、硬件、软件等环境要求的，数据流、数据交换场景、功能应用等方面详细描述基本完整，得</w:t>
            </w:r>
            <w:r>
              <w:rPr>
                <w:rFonts w:hint="eastAsia" w:ascii="宋体" w:hAnsi="宋体" w:eastAsia="宋体" w:cs="宋体"/>
                <w:sz w:val="21"/>
                <w:szCs w:val="21"/>
                <w:lang w:val="en-US" w:eastAsia="zh-CN"/>
              </w:rPr>
              <w:t>4</w:t>
            </w:r>
            <w:r>
              <w:rPr>
                <w:rFonts w:hint="eastAsia" w:ascii="宋体" w:hAnsi="宋体" w:eastAsia="宋体" w:cs="宋体"/>
                <w:sz w:val="21"/>
                <w:szCs w:val="21"/>
              </w:rPr>
              <w:t>分；</w:t>
            </w:r>
          </w:p>
          <w:p>
            <w:pPr>
              <w:keepNext w:val="0"/>
              <w:keepLines w:val="0"/>
              <w:pageBreakBefore w:val="0"/>
              <w:widowControl/>
              <w:kinsoku/>
              <w:wordWrap/>
              <w:overflowPunct/>
              <w:topLinePunct w:val="0"/>
              <w:autoSpaceDE/>
              <w:autoSpaceDN/>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系统架构设计较不合理，运维过程中在方法、工具和技术路线等方面选型较不合理，部分满足系统存储、网络、硬件、软件等环境要求的，数据流、数据交换场景、功能应用等方面详细描述不完整，得</w:t>
            </w:r>
            <w:r>
              <w:rPr>
                <w:rFonts w:hint="eastAsia" w:ascii="宋体" w:hAnsi="宋体" w:eastAsia="宋体" w:cs="宋体"/>
                <w:sz w:val="21"/>
                <w:szCs w:val="21"/>
                <w:lang w:val="en-US" w:eastAsia="zh-CN"/>
              </w:rPr>
              <w:t>1</w:t>
            </w:r>
            <w:r>
              <w:rPr>
                <w:rFonts w:hint="eastAsia" w:ascii="宋体" w:hAnsi="宋体" w:eastAsia="宋体" w:cs="宋体"/>
                <w:sz w:val="21"/>
                <w:szCs w:val="21"/>
              </w:rPr>
              <w:t>分；</w:t>
            </w:r>
          </w:p>
          <w:p>
            <w:pPr>
              <w:keepNext w:val="0"/>
              <w:keepLines w:val="0"/>
              <w:pageBreakBefore w:val="0"/>
              <w:widowControl/>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sz w:val="21"/>
                <w:szCs w:val="21"/>
              </w:rPr>
              <w:t>没有提供对应方案不得分。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11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项目管理</w:t>
            </w:r>
          </w:p>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sz w:val="21"/>
                <w:szCs w:val="21"/>
              </w:rPr>
              <w:t>方案水平</w:t>
            </w:r>
          </w:p>
        </w:tc>
        <w:tc>
          <w:tcPr>
            <w:tcW w:w="60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根据投标人对本项目所提供项目管理方案进行</w:t>
            </w:r>
            <w:r>
              <w:rPr>
                <w:rFonts w:hint="eastAsia" w:ascii="宋体" w:hAnsi="宋体" w:eastAsia="宋体" w:cs="宋体"/>
                <w:sz w:val="21"/>
                <w:szCs w:val="21"/>
                <w:lang w:val="en-US" w:eastAsia="zh-CN"/>
              </w:rPr>
              <w:t>综合</w:t>
            </w:r>
            <w:r>
              <w:rPr>
                <w:rFonts w:hint="eastAsia" w:ascii="宋体" w:hAnsi="宋体" w:eastAsia="宋体" w:cs="宋体"/>
                <w:sz w:val="21"/>
                <w:szCs w:val="21"/>
              </w:rPr>
              <w:t>评审：</w:t>
            </w:r>
          </w:p>
          <w:p>
            <w:pPr>
              <w:keepNext w:val="0"/>
              <w:keepLines w:val="0"/>
              <w:pageBreakBefore w:val="0"/>
              <w:widowControl/>
              <w:kinsoku/>
              <w:wordWrap/>
              <w:overflowPunct/>
              <w:topLinePunct w:val="0"/>
              <w:autoSpaceDE/>
              <w:autoSpaceDN/>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项目管理制度完善，项目实施计划合理，针对项目进度、质量、沟通等方面可行性强的，得9分；</w:t>
            </w:r>
          </w:p>
          <w:p>
            <w:pPr>
              <w:pStyle w:val="2"/>
              <w:spacing w:before="0" w:line="240" w:lineRule="auto"/>
              <w:ind w:left="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项目管理制度较完善，项目实施计划较合理，针对项目进度、质量、沟通等方面可行性较强的，得6分；</w:t>
            </w:r>
          </w:p>
          <w:p>
            <w:pPr>
              <w:pStyle w:val="2"/>
              <w:spacing w:before="0" w:line="240" w:lineRule="auto"/>
              <w:ind w:left="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项目管理制度基本完善，项目实施计划基本合理，针对项目进度、质量、沟通等方面可行性弱的，得3分；</w:t>
            </w:r>
          </w:p>
          <w:p>
            <w:pPr>
              <w:keepNext w:val="0"/>
              <w:keepLines w:val="0"/>
              <w:pageBreakBefore w:val="0"/>
              <w:widowControl/>
              <w:kinsoku/>
              <w:wordWrap/>
              <w:overflowPunct/>
              <w:topLinePunct w:val="0"/>
              <w:autoSpaceDE/>
              <w:autoSpaceDN/>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项目管理制度不完善，项目实施计划较不合理，针对项目进度、质量、沟通等方面可行性弱的，得1分；</w:t>
            </w:r>
          </w:p>
          <w:p>
            <w:pPr>
              <w:keepNext w:val="0"/>
              <w:keepLines w:val="0"/>
              <w:pageBreakBefore w:val="0"/>
              <w:widowControl/>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sz w:val="21"/>
                <w:szCs w:val="21"/>
              </w:rPr>
              <w:t>没有提供对应方案不得分。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sz w:val="21"/>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11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sz w:val="21"/>
                <w:szCs w:val="21"/>
              </w:rPr>
              <w:t>重难点分析及应对措施</w:t>
            </w:r>
          </w:p>
        </w:tc>
        <w:tc>
          <w:tcPr>
            <w:tcW w:w="6096" w:type="dxa"/>
            <w:tcBorders>
              <w:top w:val="single" w:color="auto" w:sz="4" w:space="0"/>
              <w:left w:val="single" w:color="auto" w:sz="4" w:space="0"/>
              <w:bottom w:val="single" w:color="auto" w:sz="4" w:space="0"/>
              <w:right w:val="single" w:color="auto" w:sz="4" w:space="0"/>
            </w:tcBorders>
            <w:vAlign w:val="center"/>
          </w:tcPr>
          <w:p>
            <w:pPr>
              <w:pStyle w:val="21"/>
              <w:keepNext w:val="0"/>
              <w:keepLines w:val="0"/>
              <w:pageBreakBefore w:val="0"/>
              <w:widowControl/>
              <w:kinsoku/>
              <w:wordWrap/>
              <w:overflowPunct/>
              <w:topLinePunct w:val="0"/>
              <w:autoSpaceDE/>
              <w:autoSpaceDN/>
              <w:bidi w:val="0"/>
              <w:spacing w:beforeAutospacing="0" w:after="0" w:afterAutospacing="0" w:line="24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根据投标人提供对本项目的项目管理、重点难点分析、解决方案、预案措施进行综合评审：</w:t>
            </w:r>
          </w:p>
          <w:p>
            <w:pPr>
              <w:pStyle w:val="21"/>
              <w:keepNext w:val="0"/>
              <w:keepLines w:val="0"/>
              <w:pageBreakBefore w:val="0"/>
              <w:widowControl/>
              <w:kinsoku/>
              <w:wordWrap/>
              <w:overflowPunct/>
              <w:topLinePunct w:val="0"/>
              <w:autoSpaceDE/>
              <w:autoSpaceDN/>
              <w:bidi w:val="0"/>
              <w:spacing w:beforeAutospacing="0" w:after="0" w:afterAutospacing="0" w:line="24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措施方案完整合理、可行强，完全满足或优于用户需求，得9分；</w:t>
            </w:r>
          </w:p>
          <w:p>
            <w:pPr>
              <w:pStyle w:val="21"/>
              <w:keepNext w:val="0"/>
              <w:keepLines w:val="0"/>
              <w:pageBreakBefore w:val="0"/>
              <w:widowControl/>
              <w:kinsoku/>
              <w:wordWrap/>
              <w:overflowPunct/>
              <w:topLinePunct w:val="0"/>
              <w:autoSpaceDE/>
              <w:autoSpaceDN/>
              <w:bidi w:val="0"/>
              <w:spacing w:beforeAutospacing="0" w:after="0" w:afterAutospacing="0" w:line="24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措施方案较完整、可行性较强，满足用户需求，得6分；</w:t>
            </w:r>
          </w:p>
          <w:p>
            <w:pPr>
              <w:pStyle w:val="21"/>
              <w:keepNext w:val="0"/>
              <w:keepLines w:val="0"/>
              <w:pageBreakBefore w:val="0"/>
              <w:widowControl/>
              <w:kinsoku/>
              <w:wordWrap/>
              <w:overflowPunct/>
              <w:topLinePunct w:val="0"/>
              <w:autoSpaceDE/>
              <w:autoSpaceDN/>
              <w:bidi w:val="0"/>
              <w:spacing w:beforeAutospacing="0" w:after="0" w:afterAutospacing="0" w:line="24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措施方案基本完整、可行性一般，基本符合用户需求，得3分；</w:t>
            </w:r>
          </w:p>
          <w:p>
            <w:pPr>
              <w:pStyle w:val="21"/>
              <w:keepNext w:val="0"/>
              <w:keepLines w:val="0"/>
              <w:pageBreakBefore w:val="0"/>
              <w:widowControl/>
              <w:kinsoku/>
              <w:wordWrap/>
              <w:overflowPunct/>
              <w:topLinePunct w:val="0"/>
              <w:autoSpaceDE/>
              <w:autoSpaceDN/>
              <w:bidi w:val="0"/>
              <w:spacing w:beforeAutospacing="0" w:after="0" w:afterAutospacing="0" w:line="24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措施方案不完整、可行性一般，得1分；</w:t>
            </w:r>
          </w:p>
          <w:p>
            <w:pPr>
              <w:keepNext w:val="0"/>
              <w:keepLines w:val="0"/>
              <w:pageBreakBefore w:val="0"/>
              <w:widowControl/>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sz w:val="21"/>
                <w:szCs w:val="21"/>
              </w:rPr>
              <w:t>没有提供对应方案不得分。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sz w:val="21"/>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p>
            <w:pPr>
              <w:pStyle w:val="37"/>
              <w:keepNext w:val="0"/>
              <w:keepLines w:val="0"/>
              <w:pageBreakBefore w:val="0"/>
              <w:kinsoku/>
              <w:wordWrap/>
              <w:overflowPunct/>
              <w:topLinePunct w:val="0"/>
              <w:autoSpaceDE/>
              <w:autoSpaceDN/>
              <w:bidi w:val="0"/>
              <w:spacing w:line="240" w:lineRule="auto"/>
              <w:ind w:left="0" w:leftChars="0" w:firstLine="0" w:firstLineChars="0"/>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3</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若因疫情原因暂缓统一托收或阶段性减免社会保险费而导致无法打印社保缴费证明的需提供书面说明并加盖投标人公章，否则不得分。</w:t>
            </w:r>
          </w:p>
        </w:tc>
      </w:tr>
      <w:bookmarkEnd w:id="11"/>
    </w:tbl>
    <w:p>
      <w:pPr>
        <w:pStyle w:val="4"/>
        <w:spacing w:before="0" w:after="0" w:line="240" w:lineRule="auto"/>
        <w:rPr>
          <w:color w:val="auto"/>
          <w:sz w:val="24"/>
          <w:szCs w:val="24"/>
          <w:highlight w:val="none"/>
        </w:rPr>
      </w:pPr>
      <w:bookmarkStart w:id="17" w:name="_Toc30638"/>
      <w:bookmarkStart w:id="18" w:name="_Toc2479"/>
      <w:bookmarkStart w:id="19" w:name="_Toc29685"/>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部分 投标人须知</w:t>
      </w:r>
      <w:bookmarkEnd w:id="17"/>
      <w:bookmarkEnd w:id="18"/>
      <w:bookmarkEnd w:id="19"/>
    </w:p>
    <w:p>
      <w:pPr>
        <w:pStyle w:val="5"/>
        <w:numPr>
          <w:ilvl w:val="0"/>
          <w:numId w:val="0"/>
        </w:numPr>
        <w:spacing w:before="0" w:after="0" w:line="480" w:lineRule="auto"/>
        <w:ind w:leftChars="0"/>
        <w:jc w:val="center"/>
        <w:rPr>
          <w:rFonts w:ascii="宋体" w:hAnsi="宋体" w:eastAsia="宋体"/>
          <w:color w:val="auto"/>
          <w:highlight w:val="none"/>
        </w:rPr>
      </w:pPr>
      <w:bookmarkStart w:id="21" w:name="_Toc11105"/>
      <w:bookmarkStart w:id="22" w:name="_Toc19746"/>
      <w:bookmarkStart w:id="23" w:name="_Toc3095"/>
      <w:r>
        <w:rPr>
          <w:rFonts w:hint="eastAsia" w:ascii="宋体" w:hAnsi="宋体"/>
          <w:color w:val="auto"/>
          <w:highlight w:val="none"/>
          <w:lang w:val="en-US" w:eastAsia="zh-CN"/>
        </w:rPr>
        <w:t>第一章</w:t>
      </w:r>
      <w:r>
        <w:rPr>
          <w:rFonts w:hint="eastAsia" w:ascii="宋体" w:hAnsi="宋体" w:eastAsia="宋体"/>
          <w:color w:val="auto"/>
          <w:highlight w:val="none"/>
        </w:rPr>
        <w:t>说明</w:t>
      </w:r>
      <w:bookmarkEnd w:id="21"/>
      <w:bookmarkEnd w:id="22"/>
      <w:bookmarkEnd w:id="23"/>
    </w:p>
    <w:p>
      <w:pPr>
        <w:pStyle w:val="6"/>
        <w:widowControl w:val="0"/>
        <w:overflowPunct w:val="0"/>
        <w:spacing w:before="0" w:after="0" w:line="240" w:lineRule="auto"/>
        <w:rPr>
          <w:rFonts w:ascii="宋体" w:hAnsi="宋体" w:eastAsia="宋体"/>
          <w:color w:val="auto"/>
          <w:sz w:val="21"/>
          <w:szCs w:val="21"/>
          <w:highlight w:val="none"/>
        </w:rPr>
      </w:pPr>
      <w:bookmarkStart w:id="24" w:name="_Toc22803"/>
      <w:bookmarkStart w:id="25" w:name="_Toc22847"/>
      <w:bookmarkStart w:id="26" w:name="_Toc18488"/>
      <w:r>
        <w:rPr>
          <w:rFonts w:hint="eastAsia" w:ascii="宋体" w:hAnsi="宋体" w:eastAsia="宋体"/>
          <w:color w:val="auto"/>
          <w:sz w:val="21"/>
          <w:szCs w:val="21"/>
          <w:highlight w:val="none"/>
        </w:rPr>
        <w:t>1.适用范围</w:t>
      </w:r>
      <w:bookmarkEnd w:id="24"/>
      <w:bookmarkEnd w:id="25"/>
      <w:bookmarkEnd w:id="26"/>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招标范围：见本文件《用户需求书》</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27" w:name="_Toc16848"/>
      <w:bookmarkStart w:id="28" w:name="_Toc13400"/>
      <w:bookmarkStart w:id="29" w:name="_Toc21002"/>
      <w:r>
        <w:rPr>
          <w:rFonts w:hint="eastAsia" w:ascii="宋体" w:hAnsi="宋体" w:eastAsia="宋体"/>
          <w:color w:val="auto"/>
          <w:sz w:val="21"/>
          <w:szCs w:val="21"/>
          <w:highlight w:val="none"/>
        </w:rPr>
        <w:t>2.</w:t>
      </w:r>
      <w:bookmarkStart w:id="30" w:name="_Toc298847174"/>
      <w:bookmarkStart w:id="31" w:name="_Toc303084246"/>
      <w:bookmarkStart w:id="32" w:name="_Toc1530"/>
      <w:bookmarkStart w:id="33" w:name="_Toc382049092"/>
      <w:r>
        <w:rPr>
          <w:rFonts w:hint="eastAsia" w:ascii="宋体" w:hAnsi="宋体" w:eastAsia="宋体"/>
          <w:color w:val="auto"/>
          <w:sz w:val="21"/>
          <w:szCs w:val="21"/>
          <w:highlight w:val="none"/>
        </w:rPr>
        <w:t>定义</w:t>
      </w:r>
      <w:bookmarkEnd w:id="27"/>
      <w:bookmarkEnd w:id="28"/>
      <w:bookmarkEnd w:id="29"/>
      <w:bookmarkEnd w:id="30"/>
      <w:bookmarkEnd w:id="31"/>
      <w:bookmarkEnd w:id="32"/>
      <w:bookmarkEnd w:id="33"/>
    </w:p>
    <w:p>
      <w:pPr>
        <w:pStyle w:val="34"/>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是指依法进行政府采购的国家机关、事业单位</w:t>
      </w:r>
      <w:r>
        <w:rPr>
          <w:rFonts w:hint="eastAsia" w:ascii="宋体" w:hAnsi="宋体" w:eastAsia="宋体"/>
          <w:color w:val="auto"/>
          <w:sz w:val="21"/>
          <w:szCs w:val="21"/>
          <w:highlight w:val="none"/>
        </w:rPr>
        <w:t>等</w:t>
      </w:r>
      <w:r>
        <w:rPr>
          <w:rFonts w:ascii="宋体" w:hAnsi="宋体" w:eastAsia="宋体"/>
          <w:color w:val="auto"/>
          <w:sz w:val="21"/>
          <w:szCs w:val="21"/>
          <w:highlight w:val="none"/>
        </w:rPr>
        <w:t>团体组织</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投标人：响应招标并且符合招标文件规定资格条件和参加投标竞争的法人、其他组织或者自然人。</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中标人：指经评标委员会评审推荐、采购人确认的获得本项目中标资格的投标人。</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合同：指由本次招标所产生的合同或合约文件。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公章：</w:t>
      </w:r>
      <w:r>
        <w:rPr>
          <w:rFonts w:ascii="宋体" w:hAnsi="宋体" w:eastAsia="宋体"/>
          <w:color w:val="auto"/>
          <w:sz w:val="21"/>
          <w:szCs w:val="21"/>
          <w:highlight w:val="none"/>
        </w:rPr>
        <w:t>公章是</w:t>
      </w:r>
      <w:r>
        <w:rPr>
          <w:rFonts w:ascii="宋体" w:hAnsi="宋体" w:eastAsia="宋体"/>
          <w:iCs/>
          <w:color w:val="auto"/>
          <w:sz w:val="21"/>
          <w:szCs w:val="21"/>
          <w:highlight w:val="none"/>
        </w:rPr>
        <w:t>指</w:t>
      </w:r>
      <w:r>
        <w:rPr>
          <w:rFonts w:hint="eastAsia" w:ascii="宋体" w:hAnsi="宋体" w:eastAsia="宋体"/>
          <w:iCs/>
          <w:color w:val="auto"/>
          <w:sz w:val="21"/>
          <w:szCs w:val="21"/>
          <w:highlight w:val="none"/>
        </w:rPr>
        <w:t>经过正规的法定程序并备案的法人公章</w:t>
      </w:r>
      <w:r>
        <w:rPr>
          <w:rFonts w:hint="eastAsia" w:ascii="宋体" w:hAnsi="宋体" w:eastAsia="宋体"/>
          <w:iCs/>
          <w:color w:val="auto"/>
          <w:sz w:val="21"/>
          <w:szCs w:val="21"/>
          <w:highlight w:val="none"/>
          <w:lang w:val="en-US" w:eastAsia="zh-CN"/>
        </w:rPr>
        <w:t>或</w:t>
      </w:r>
      <w:r>
        <w:rPr>
          <w:rFonts w:hint="eastAsia" w:ascii="宋体" w:hAnsi="宋体" w:eastAsia="宋体"/>
          <w:iCs/>
          <w:color w:val="auto"/>
          <w:sz w:val="21"/>
          <w:szCs w:val="21"/>
          <w:highlight w:val="none"/>
        </w:rPr>
        <w:t>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时间</w:t>
      </w:r>
      <w:r>
        <w:rPr>
          <w:rFonts w:hint="eastAsia" w:ascii="宋体" w:hAnsi="宋体" w:eastAsia="宋体"/>
          <w:iCs/>
          <w:color w:val="auto"/>
          <w:sz w:val="21"/>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34" w:name="_Toc9710"/>
      <w:bookmarkStart w:id="35" w:name="_Toc3780"/>
      <w:bookmarkStart w:id="36" w:name="_Toc2996"/>
      <w:r>
        <w:rPr>
          <w:rFonts w:hint="eastAsia" w:ascii="宋体" w:hAnsi="宋体" w:eastAsia="宋体"/>
          <w:color w:val="auto"/>
          <w:sz w:val="21"/>
          <w:szCs w:val="21"/>
          <w:highlight w:val="none"/>
        </w:rPr>
        <w:t>3.货物和服务</w:t>
      </w:r>
      <w:bookmarkEnd w:id="34"/>
      <w:bookmarkEnd w:id="35"/>
      <w:bookmarkEnd w:id="36"/>
    </w:p>
    <w:p>
      <w:pPr>
        <w:pStyle w:val="34"/>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ascii="宋体" w:hAnsi="宋体" w:eastAsia="宋体"/>
          <w:color w:val="auto"/>
          <w:sz w:val="21"/>
          <w:szCs w:val="21"/>
          <w:highlight w:val="none"/>
        </w:rPr>
        <w:t>是指各种形态和种类的物品，包括原材料、燃料、设备、产品等</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除货物和工程以外的其他政府采购对象</w:t>
      </w:r>
      <w:r>
        <w:rPr>
          <w:rFonts w:hint="eastAsia" w:ascii="宋体" w:hAnsi="宋体" w:eastAsia="宋体"/>
          <w:color w:val="auto"/>
          <w:sz w:val="21"/>
          <w:szCs w:val="21"/>
          <w:highlight w:val="none"/>
        </w:rPr>
        <w:t>。</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37" w:name="_Toc12536"/>
      <w:bookmarkStart w:id="38" w:name="_Toc15945"/>
      <w:bookmarkStart w:id="39" w:name="_Toc13909"/>
      <w:r>
        <w:rPr>
          <w:rFonts w:hint="eastAsia" w:ascii="宋体" w:hAnsi="宋体" w:eastAsia="宋体"/>
          <w:color w:val="auto"/>
          <w:sz w:val="21"/>
          <w:szCs w:val="21"/>
          <w:highlight w:val="none"/>
        </w:rPr>
        <w:t>4.投标费用</w:t>
      </w:r>
      <w:bookmarkEnd w:id="37"/>
      <w:bookmarkEnd w:id="38"/>
      <w:bookmarkEnd w:id="39"/>
    </w:p>
    <w:p>
      <w:pPr>
        <w:pStyle w:val="34"/>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ascii="宋体" w:hAnsi="宋体" w:eastAsia="宋体"/>
          <w:color w:val="auto"/>
          <w:sz w:val="21"/>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40" w:name="_Toc19532"/>
      <w:bookmarkStart w:id="41" w:name="_Toc25040"/>
      <w:bookmarkStart w:id="42" w:name="_Toc19094"/>
      <w:r>
        <w:rPr>
          <w:rFonts w:hint="eastAsia" w:ascii="宋体" w:hAnsi="宋体" w:eastAsia="宋体"/>
          <w:color w:val="auto"/>
          <w:sz w:val="21"/>
          <w:szCs w:val="21"/>
          <w:highlight w:val="none"/>
        </w:rPr>
        <w:t>5.知识产权</w:t>
      </w:r>
      <w:bookmarkEnd w:id="40"/>
      <w:bookmarkEnd w:id="41"/>
      <w:bookmarkEnd w:id="42"/>
    </w:p>
    <w:p>
      <w:pPr>
        <w:pStyle w:val="34"/>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采购人享有本项目实施过程中产生的知识成果及知识产权。</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采购货物为计算机办公设备时，投标人提供的产品必须是预装正版操作系统软件的计算机产品</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采购人有权拒绝接收使用非正版操作系统软件的计算机产品，一经发现，投标文件作无效处理，并上报相关监管部门</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投标人提供的服务、货物经认定存在侵权行为的，其投标无效，并上报相关监管部门。</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43" w:name="_Toc8432"/>
      <w:bookmarkStart w:id="44" w:name="_Toc31885"/>
      <w:bookmarkStart w:id="45" w:name="_Toc21930"/>
      <w:r>
        <w:rPr>
          <w:rFonts w:hint="eastAsia" w:ascii="宋体" w:hAnsi="宋体" w:eastAsia="宋体"/>
          <w:color w:val="auto"/>
          <w:sz w:val="21"/>
          <w:szCs w:val="21"/>
          <w:highlight w:val="none"/>
        </w:rPr>
        <w:t>6.关于联合体投标</w:t>
      </w:r>
      <w:bookmarkEnd w:id="43"/>
      <w:bookmarkEnd w:id="44"/>
      <w:bookmarkEnd w:id="45"/>
    </w:p>
    <w:p>
      <w:pPr>
        <w:pStyle w:val="34"/>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联合体各方均应当符合《政府采购法》第二十二条规定的条件。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联合体各方之间应当签订共同投标协议并</w:t>
      </w:r>
      <w:r>
        <w:rPr>
          <w:rFonts w:ascii="宋体" w:hAnsi="宋体" w:eastAsia="宋体"/>
          <w:color w:val="auto"/>
          <w:sz w:val="21"/>
          <w:szCs w:val="21"/>
          <w:highlight w:val="none"/>
        </w:rPr>
        <w:t>在投标文件内提交</w:t>
      </w:r>
      <w:r>
        <w:rPr>
          <w:rFonts w:hint="eastAsia" w:ascii="宋体" w:hAnsi="宋体" w:eastAsia="宋体"/>
          <w:color w:val="auto"/>
          <w:sz w:val="21"/>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供应商为联合体的，可以由联合体中的任意一方交纳保证金，其交纳的保证金对联合体各方均具有约束力。</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以联合体形式参加政府采购活动，联合体各方均为中小企业的，联合体视同中小企业。其中，联合体各方均为小微企业的，联合体视同小微企业。</w:t>
      </w:r>
      <w:r>
        <w:rPr>
          <w:rFonts w:hint="eastAsia" w:ascii="宋体" w:hAnsi="宋体" w:eastAsia="宋体"/>
          <w:color w:val="auto"/>
          <w:sz w:val="21"/>
          <w:szCs w:val="21"/>
          <w:highlight w:val="none"/>
          <w:lang w:eastAsia="zh-CN"/>
        </w:rPr>
        <w:t>双方均应提供《中小企业声明函》。</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牵头单位）</w:t>
      </w:r>
      <w:r>
        <w:rPr>
          <w:rFonts w:hint="eastAsia" w:ascii="宋体" w:hAnsi="宋体" w:eastAsia="宋体"/>
          <w:color w:val="auto"/>
          <w:sz w:val="21"/>
          <w:szCs w:val="21"/>
          <w:highlight w:val="none"/>
        </w:rPr>
        <w:t>情况评分。</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46" w:name="_Toc16571"/>
      <w:bookmarkStart w:id="47" w:name="_Toc32331"/>
      <w:bookmarkStart w:id="48" w:name="_Toc13811"/>
      <w:bookmarkStart w:id="49" w:name="_Toc17879"/>
      <w:r>
        <w:rPr>
          <w:rFonts w:hint="eastAsia" w:ascii="宋体" w:hAnsi="宋体" w:eastAsia="宋体"/>
          <w:color w:val="auto"/>
          <w:sz w:val="21"/>
          <w:szCs w:val="21"/>
          <w:highlight w:val="none"/>
        </w:rPr>
        <w:t>7.关于分支机构投标</w:t>
      </w:r>
      <w:bookmarkEnd w:id="46"/>
      <w:bookmarkEnd w:id="47"/>
      <w:bookmarkEnd w:id="48"/>
    </w:p>
    <w:p>
      <w:pPr>
        <w:pStyle w:val="34"/>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bookmarkStart w:id="50" w:name="EB389f116341dd4693875bc7987e7327f3"/>
    </w:p>
    <w:p>
      <w:pPr>
        <w:widowControl w:val="0"/>
        <w:numPr>
          <w:ilvl w:val="1"/>
          <w:numId w:val="3"/>
        </w:numPr>
        <w:adjustRightInd/>
        <w:snapToGrid/>
        <w:spacing w:after="0"/>
        <w:jc w:val="both"/>
        <w:rPr>
          <w:rFonts w:ascii="宋体" w:hAnsi="宋体" w:eastAsia="宋体"/>
          <w:color w:val="auto"/>
          <w:sz w:val="21"/>
          <w:szCs w:val="21"/>
          <w:highlight w:val="none"/>
        </w:rPr>
      </w:pPr>
      <w:r>
        <w:rPr>
          <w:rFonts w:ascii="宋体" w:hAnsi="宋体" w:eastAsia="宋体"/>
          <w:color w:val="auto"/>
          <w:sz w:val="21"/>
          <w:szCs w:val="21"/>
          <w:highlight w:val="none"/>
        </w:rPr>
        <w:t>对可接受</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投标的项目，</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51" w:name="_Toc27045"/>
      <w:bookmarkStart w:id="52" w:name="_Toc18115"/>
      <w:r>
        <w:rPr>
          <w:rFonts w:hint="eastAsia" w:ascii="宋体" w:hAnsi="宋体"/>
          <w:color w:val="auto"/>
          <w:highlight w:val="none"/>
          <w:lang w:val="en-US" w:eastAsia="zh-CN"/>
        </w:rPr>
        <w:t>第二章</w:t>
      </w:r>
      <w:r>
        <w:rPr>
          <w:rFonts w:hint="eastAsia" w:ascii="宋体" w:hAnsi="宋体" w:eastAsia="宋体"/>
          <w:color w:val="auto"/>
          <w:highlight w:val="none"/>
        </w:rPr>
        <w:t>招标文件</w:t>
      </w:r>
      <w:bookmarkEnd w:id="49"/>
      <w:bookmarkEnd w:id="51"/>
      <w:bookmarkEnd w:id="52"/>
    </w:p>
    <w:p>
      <w:pPr>
        <w:pStyle w:val="6"/>
        <w:widowControl w:val="0"/>
        <w:overflowPunct w:val="0"/>
        <w:spacing w:before="0" w:after="0" w:line="240" w:lineRule="auto"/>
        <w:rPr>
          <w:rFonts w:ascii="宋体" w:hAnsi="宋体" w:eastAsia="宋体"/>
          <w:color w:val="auto"/>
          <w:sz w:val="21"/>
          <w:szCs w:val="21"/>
          <w:highlight w:val="none"/>
        </w:rPr>
      </w:pPr>
      <w:bookmarkStart w:id="53" w:name="_Toc1423"/>
      <w:bookmarkStart w:id="54" w:name="_Toc21771"/>
      <w:bookmarkStart w:id="55" w:name="_Toc13494"/>
      <w:r>
        <w:rPr>
          <w:rFonts w:hint="eastAsia" w:ascii="宋体" w:hAnsi="宋体" w:eastAsia="宋体"/>
          <w:color w:val="auto"/>
          <w:sz w:val="21"/>
          <w:szCs w:val="21"/>
          <w:highlight w:val="none"/>
        </w:rPr>
        <w:t>8.招标文件的组成</w:t>
      </w:r>
      <w:bookmarkEnd w:id="53"/>
      <w:bookmarkEnd w:id="54"/>
      <w:bookmarkEnd w:id="55"/>
    </w:p>
    <w:p>
      <w:pPr>
        <w:pStyle w:val="34"/>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（1）投标邀请书；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（2）投标资料表；</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（3）投标人须知；</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（4）用户需求书；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（5）合同文本参考格式；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（6）投标文件参考格式；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（7）在招标过程中由采购代理机构发出的澄清更正文件等。</w:t>
      </w:r>
    </w:p>
    <w:p>
      <w:pPr>
        <w:spacing w:after="0"/>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56" w:name="_Toc17274"/>
      <w:bookmarkStart w:id="57" w:name="_Toc7997"/>
      <w:bookmarkStart w:id="58" w:name="_Toc14217"/>
      <w:r>
        <w:rPr>
          <w:rFonts w:hint="eastAsia" w:ascii="宋体" w:hAnsi="宋体" w:eastAsia="宋体"/>
          <w:color w:val="auto"/>
          <w:sz w:val="21"/>
          <w:szCs w:val="21"/>
          <w:highlight w:val="none"/>
        </w:rPr>
        <w:t>9.招标文件的澄清或修改</w:t>
      </w:r>
      <w:bookmarkEnd w:id="56"/>
      <w:bookmarkEnd w:id="57"/>
      <w:bookmarkEnd w:id="58"/>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color w:val="auto"/>
          <w:sz w:val="21"/>
          <w:szCs w:val="21"/>
          <w:highlight w:val="none"/>
        </w:rPr>
        <w:t>具有约束作用</w:t>
      </w:r>
      <w:r>
        <w:rPr>
          <w:rFonts w:hint="eastAsia" w:ascii="宋体" w:hAnsi="宋体" w:eastAsia="宋体"/>
          <w:color w:val="auto"/>
          <w:sz w:val="21"/>
          <w:szCs w:val="21"/>
          <w:highlight w:val="none"/>
        </w:rPr>
        <w:t>。</w:t>
      </w:r>
      <w:r>
        <w:rPr>
          <w:rFonts w:ascii="宋体" w:hAnsi="宋体" w:eastAsia="宋体"/>
          <w:color w:val="auto"/>
          <w:sz w:val="21"/>
          <w:szCs w:val="21"/>
          <w:highlight w:val="none"/>
        </w:rPr>
        <w:t>当招标文件、招标文件的澄清</w:t>
      </w:r>
      <w:r>
        <w:rPr>
          <w:rFonts w:hint="eastAsia" w:ascii="宋体" w:hAnsi="宋体" w:eastAsia="宋体"/>
          <w:color w:val="auto"/>
          <w:sz w:val="21"/>
          <w:szCs w:val="21"/>
          <w:highlight w:val="none"/>
        </w:rPr>
        <w:t>或</w:t>
      </w:r>
      <w:r>
        <w:rPr>
          <w:rFonts w:ascii="宋体" w:hAnsi="宋体" w:eastAsia="宋体"/>
          <w:color w:val="auto"/>
          <w:sz w:val="21"/>
          <w:szCs w:val="21"/>
          <w:highlight w:val="none"/>
        </w:rPr>
        <w:t>修改等在同一内容的表述上不一致时，以最后发出的书面文件</w:t>
      </w:r>
      <w:r>
        <w:rPr>
          <w:rFonts w:hint="eastAsia" w:ascii="宋体" w:hAnsi="宋体" w:eastAsia="宋体"/>
          <w:color w:val="auto"/>
          <w:sz w:val="21"/>
          <w:szCs w:val="21"/>
          <w:highlight w:val="none"/>
        </w:rPr>
        <w:t>及公告</w:t>
      </w:r>
      <w:r>
        <w:rPr>
          <w:rFonts w:ascii="宋体" w:hAnsi="宋体" w:eastAsia="宋体"/>
          <w:color w:val="auto"/>
          <w:sz w:val="21"/>
          <w:szCs w:val="21"/>
          <w:highlight w:val="none"/>
        </w:rPr>
        <w:t>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59" w:name="_Toc23726"/>
      <w:bookmarkStart w:id="60" w:name="_Toc16712"/>
      <w:bookmarkStart w:id="61" w:name="_Toc4773"/>
      <w:r>
        <w:rPr>
          <w:rFonts w:hint="eastAsia" w:ascii="宋体" w:hAnsi="宋体"/>
          <w:color w:val="auto"/>
          <w:highlight w:val="none"/>
          <w:lang w:val="en-US" w:eastAsia="zh-CN"/>
        </w:rPr>
        <w:t>第三章</w:t>
      </w:r>
      <w:r>
        <w:rPr>
          <w:rFonts w:hint="eastAsia" w:ascii="宋体" w:hAnsi="宋体" w:eastAsia="宋体"/>
          <w:color w:val="auto"/>
          <w:highlight w:val="none"/>
        </w:rPr>
        <w:t>投标文件的编制</w:t>
      </w:r>
      <w:bookmarkEnd w:id="59"/>
      <w:bookmarkEnd w:id="60"/>
      <w:bookmarkEnd w:id="61"/>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2" w:name="_Toc7434"/>
      <w:bookmarkStart w:id="63" w:name="_Toc28092"/>
      <w:bookmarkStart w:id="64" w:name="_Toc20623"/>
      <w:r>
        <w:rPr>
          <w:rFonts w:hint="eastAsia" w:ascii="宋体" w:hAnsi="宋体" w:eastAsia="宋体"/>
          <w:color w:val="auto"/>
          <w:sz w:val="21"/>
          <w:szCs w:val="21"/>
          <w:highlight w:val="none"/>
        </w:rPr>
        <w:t>10.投标文件的语言及度量衡单位</w:t>
      </w:r>
      <w:bookmarkEnd w:id="62"/>
      <w:bookmarkEnd w:id="63"/>
      <w:bookmarkEnd w:id="64"/>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除非招标文件在技术规格中另有规定，投标人在投标文件中及其与采购代理机构和采购人所有往来文件中的所有</w:t>
      </w:r>
      <w:r>
        <w:rPr>
          <w:rFonts w:ascii="宋体" w:hAnsi="宋体" w:eastAsia="宋体"/>
          <w:color w:val="auto"/>
          <w:sz w:val="21"/>
          <w:szCs w:val="21"/>
          <w:highlight w:val="none"/>
        </w:rPr>
        <w:t>计量单位</w:t>
      </w:r>
      <w:r>
        <w:rPr>
          <w:rFonts w:hint="eastAsia" w:ascii="宋体" w:hAnsi="宋体" w:eastAsia="宋体"/>
          <w:color w:val="auto"/>
          <w:sz w:val="21"/>
          <w:szCs w:val="21"/>
          <w:highlight w:val="none"/>
        </w:rPr>
        <w:t>均应采用中华人民共和国法定计量单位</w:t>
      </w:r>
      <w:r>
        <w:rPr>
          <w:rFonts w:ascii="宋体" w:hAnsi="宋体" w:eastAsia="宋体"/>
          <w:color w:val="auto"/>
          <w:sz w:val="21"/>
          <w:szCs w:val="21"/>
          <w:highlight w:val="none"/>
        </w:rPr>
        <w:t>。</w:t>
      </w:r>
    </w:p>
    <w:p>
      <w:pPr>
        <w:pageBreakBefore w:val="0"/>
        <w:widowControl w:val="0"/>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5" w:name="_Toc303084256"/>
      <w:bookmarkStart w:id="66" w:name="_Toc12145"/>
      <w:bookmarkStart w:id="67" w:name="_Toc307934854"/>
      <w:bookmarkStart w:id="68" w:name="_Toc7728"/>
      <w:bookmarkStart w:id="69" w:name="_Toc18999"/>
      <w:bookmarkStart w:id="70" w:name="_Toc382049103"/>
      <w:bookmarkStart w:id="71" w:name="_Toc28866"/>
      <w:r>
        <w:rPr>
          <w:rFonts w:hint="eastAsia" w:ascii="宋体" w:hAnsi="宋体" w:eastAsia="宋体"/>
          <w:color w:val="auto"/>
          <w:sz w:val="21"/>
          <w:szCs w:val="21"/>
          <w:highlight w:val="none"/>
        </w:rPr>
        <w:t>11.</w:t>
      </w:r>
      <w:r>
        <w:rPr>
          <w:rFonts w:ascii="宋体" w:hAnsi="宋体" w:eastAsia="宋体"/>
          <w:color w:val="auto"/>
          <w:sz w:val="21"/>
          <w:szCs w:val="21"/>
          <w:highlight w:val="none"/>
        </w:rPr>
        <w:t>投标文件的组成</w:t>
      </w:r>
      <w:bookmarkEnd w:id="65"/>
      <w:bookmarkEnd w:id="66"/>
      <w:bookmarkEnd w:id="67"/>
      <w:bookmarkEnd w:id="68"/>
      <w:bookmarkEnd w:id="69"/>
      <w:bookmarkEnd w:id="70"/>
      <w:bookmarkEnd w:id="71"/>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包括但不限于招标文件附件格式中要求提供的表格。</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lang w:val="en-US" w:eastAsia="zh-CN"/>
        </w:rPr>
        <w:t>投标</w:t>
      </w:r>
      <w:r>
        <w:rPr>
          <w:rFonts w:hint="eastAsia" w:ascii="宋体" w:hAnsi="宋体" w:eastAsia="宋体"/>
          <w:color w:val="auto"/>
          <w:sz w:val="21"/>
          <w:szCs w:val="21"/>
          <w:highlight w:val="none"/>
        </w:rPr>
        <w:t>文件须按顺序装订成册，并编制投标文件目录。除上述文件资料外投标人还须按投标人须知的要求制作“</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”作为投标文件的一部分，单独密封</w:t>
      </w:r>
      <w:r>
        <w:rPr>
          <w:rFonts w:hint="eastAsia" w:ascii="宋体" w:hAnsi="宋体" w:eastAsia="宋体"/>
          <w:color w:val="auto"/>
          <w:sz w:val="21"/>
          <w:szCs w:val="21"/>
          <w:highlight w:val="none"/>
          <w:lang w:val="en-US" w:eastAsia="zh-CN"/>
        </w:rPr>
        <w:t>提交</w:t>
      </w:r>
      <w:r>
        <w:rPr>
          <w:rFonts w:hint="eastAsia"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2" w:name="_Toc30189"/>
      <w:bookmarkStart w:id="73" w:name="_Toc21747"/>
      <w:bookmarkStart w:id="74" w:name="_Toc3882"/>
      <w:r>
        <w:rPr>
          <w:rFonts w:hint="eastAsia" w:ascii="宋体" w:hAnsi="宋体" w:eastAsia="宋体"/>
          <w:color w:val="auto"/>
          <w:sz w:val="21"/>
          <w:szCs w:val="21"/>
          <w:highlight w:val="none"/>
        </w:rPr>
        <w:t>12.投标文件编制</w:t>
      </w:r>
      <w:bookmarkEnd w:id="72"/>
      <w:bookmarkEnd w:id="73"/>
      <w:bookmarkEnd w:id="74"/>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75" w:name="_Toc303084258"/>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投标人应按招标文件的规定以及附件要求的内容和格式完整地填写</w:t>
      </w:r>
      <w:r>
        <w:rPr>
          <w:rFonts w:ascii="宋体" w:hAnsi="宋体" w:eastAsia="宋体"/>
          <w:color w:val="auto"/>
          <w:sz w:val="21"/>
          <w:szCs w:val="21"/>
          <w:highlight w:val="none"/>
        </w:rPr>
        <w:t>（表格可以按同样格式扩展）</w:t>
      </w:r>
      <w:r>
        <w:rPr>
          <w:rFonts w:hint="eastAsia" w:ascii="宋体" w:hAnsi="宋体" w:eastAsia="宋体"/>
          <w:color w:val="auto"/>
          <w:sz w:val="21"/>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因投标文件编制存在歧义对投标人产生负面影响的，投标人自行承担后果。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投标单位名称与投标人公章不一致，若投标单位名称已进行变更，应在投标文件中提供相应的证明材料并加盖公章，否则投标文件无效。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投标文件密封、标记及内容与本项目采购信息不符，导致无法分辨所投项目为本项目的，投标文件无效。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投标文件若出现以下内容，经评标委员会认定有可能间接影响评审秩序</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评审公正性的</w:t>
      </w:r>
      <w:r>
        <w:rPr>
          <w:rFonts w:hint="eastAsia" w:ascii="宋体" w:hAnsi="宋体" w:eastAsia="宋体"/>
          <w:color w:val="auto"/>
          <w:sz w:val="21"/>
          <w:szCs w:val="21"/>
          <w:highlight w:val="none"/>
        </w:rPr>
        <w:t>，其投标无效：</w:t>
      </w:r>
    </w:p>
    <w:p>
      <w:pPr>
        <w:pStyle w:val="34"/>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（1）投标文件内出现无官方证明文件的行业地域排名或</w:t>
      </w:r>
      <w:r>
        <w:rPr>
          <w:rFonts w:ascii="宋体" w:hAnsi="宋体" w:eastAsia="宋体"/>
          <w:color w:val="auto"/>
          <w:sz w:val="21"/>
          <w:szCs w:val="21"/>
          <w:highlight w:val="none"/>
        </w:rPr>
        <w:t>使用“国家级”、“最高级”、“最佳”等用语</w:t>
      </w:r>
      <w:r>
        <w:rPr>
          <w:rFonts w:hint="eastAsia" w:ascii="宋体" w:hAnsi="宋体" w:eastAsia="宋体"/>
          <w:color w:val="auto"/>
          <w:sz w:val="21"/>
          <w:szCs w:val="21"/>
          <w:highlight w:val="none"/>
        </w:rPr>
        <w:t>字眼的。</w:t>
      </w:r>
    </w:p>
    <w:p>
      <w:pPr>
        <w:pStyle w:val="34"/>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（2）投标文件内出现恶意诋毁、</w:t>
      </w:r>
      <w:r>
        <w:rPr>
          <w:rFonts w:ascii="宋体" w:hAnsi="宋体" w:eastAsia="宋体"/>
          <w:color w:val="auto"/>
          <w:sz w:val="21"/>
          <w:szCs w:val="21"/>
          <w:highlight w:val="none"/>
        </w:rPr>
        <w:t>贬低其他生产经营者的商品或者服务</w:t>
      </w:r>
      <w:r>
        <w:rPr>
          <w:rFonts w:hint="eastAsia" w:ascii="宋体" w:hAnsi="宋体" w:eastAsia="宋体"/>
          <w:color w:val="auto"/>
          <w:sz w:val="21"/>
          <w:szCs w:val="21"/>
          <w:highlight w:val="none"/>
        </w:rPr>
        <w:t>的内容。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有下列情形之一的，视为投标人串通投标，其投标无效：</w:t>
      </w:r>
    </w:p>
    <w:bookmarkEnd w:id="75"/>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（一）不同投标人的投标文件由同一单位或者个人编制；</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（二）不同投标人委托同一单位或者个人办理投标事宜；</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（三）不同投标人的投标文件载明的项目管理成员或者联系人员为同一人；</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（四）不同投标人的投标文件异常一致或者投标报价呈规律性差异；</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（五）不同投标人的投标文件相互混装；</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（六）不同投标人的投标保证金从同一单位或者个人的账户转出。</w:t>
      </w:r>
    </w:p>
    <w:p>
      <w:pPr>
        <w:widowControl w:val="0"/>
        <w:adjustRightInd/>
        <w:snapToGrid/>
        <w:spacing w:after="0" w:line="360" w:lineRule="exact"/>
        <w:jc w:val="both"/>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6" w:name="_Toc17188"/>
      <w:bookmarkStart w:id="77" w:name="_Toc7847"/>
      <w:bookmarkStart w:id="78" w:name="_Toc259"/>
      <w:r>
        <w:rPr>
          <w:rFonts w:hint="eastAsia" w:ascii="宋体" w:hAnsi="宋体" w:eastAsia="宋体"/>
          <w:color w:val="auto"/>
          <w:sz w:val="21"/>
          <w:szCs w:val="21"/>
          <w:highlight w:val="none"/>
        </w:rPr>
        <w:t>13.投标报价说明</w:t>
      </w:r>
      <w:bookmarkEnd w:id="76"/>
      <w:bookmarkEnd w:id="77"/>
      <w:bookmarkEnd w:id="78"/>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本次招标，投标人应按用户需求中的要求进行投标报价，少报无效。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投标人所提供的货物或服务均以人民币（或相关费率）报价。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投标报价应包含完成本次招标所有服务内容的费用，包含各种税务费及合同实施过程中的全部费用和售后服务费等。</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中标后开出的所有发票必须与中标人的名称一致。</w:t>
      </w:r>
    </w:p>
    <w:p>
      <w:pPr>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9" w:name="_Toc18911"/>
      <w:bookmarkStart w:id="80" w:name="_Toc16535"/>
      <w:bookmarkStart w:id="81" w:name="_Toc27724"/>
      <w:r>
        <w:rPr>
          <w:rFonts w:hint="eastAsia" w:ascii="宋体" w:hAnsi="宋体" w:eastAsia="宋体"/>
          <w:color w:val="auto"/>
          <w:sz w:val="21"/>
          <w:szCs w:val="21"/>
          <w:highlight w:val="none"/>
        </w:rPr>
        <w:t>14.投标人所提供的服务或货物的证明文件</w:t>
      </w:r>
      <w:bookmarkEnd w:id="79"/>
      <w:bookmarkEnd w:id="80"/>
      <w:bookmarkEnd w:id="81"/>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bookmarkStart w:id="82" w:name="_Hlt107925668"/>
      <w:bookmarkEnd w:id="82"/>
      <w:bookmarkStart w:id="83" w:name="_Hlt107925638"/>
      <w:bookmarkEnd w:id="83"/>
      <w:r>
        <w:rPr>
          <w:rFonts w:hint="eastAsia" w:ascii="宋体" w:hAnsi="宋体" w:eastAsia="宋体"/>
          <w:color w:val="auto"/>
          <w:sz w:val="21"/>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4"/>
        <w:pageBreakBefore w:val="0"/>
        <w:widowControl w:val="0"/>
        <w:kinsoku/>
        <w:wordWrap/>
        <w:topLinePunct w:val="0"/>
        <w:autoSpaceDE/>
        <w:autoSpaceDN/>
        <w:bidi w:val="0"/>
        <w:adjustRightInd/>
        <w:snapToGrid/>
        <w:spacing w:after="0" w:line="360" w:lineRule="auto"/>
        <w:ind w:left="425" w:firstLine="0" w:firstLineChars="0"/>
        <w:jc w:val="both"/>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84" w:name="_Toc22169"/>
      <w:bookmarkStart w:id="85" w:name="_Toc19520"/>
      <w:bookmarkStart w:id="86" w:name="_Toc30815"/>
      <w:r>
        <w:rPr>
          <w:rFonts w:hint="eastAsia" w:ascii="宋体" w:hAnsi="宋体" w:eastAsia="宋体"/>
          <w:color w:val="auto"/>
          <w:sz w:val="21"/>
          <w:szCs w:val="21"/>
          <w:highlight w:val="none"/>
        </w:rPr>
        <w:t>15.★投标有效期</w:t>
      </w:r>
      <w:bookmarkEnd w:id="84"/>
      <w:bookmarkEnd w:id="85"/>
      <w:bookmarkEnd w:id="86"/>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投标文件应根据投标人须知的规定在投标截止日后的90天内保持有效。</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hint="eastAsia" w:ascii="宋体" w:hAnsi="宋体" w:eastAsia="宋体"/>
          <w:color w:val="auto"/>
          <w:sz w:val="21"/>
          <w:szCs w:val="21"/>
          <w:highlight w:val="none"/>
          <w:lang w:eastAsia="zh-CN"/>
        </w:rPr>
      </w:pPr>
      <w:bookmarkStart w:id="87" w:name="_Toc25817"/>
      <w:bookmarkStart w:id="88" w:name="_Toc30257"/>
      <w:bookmarkStart w:id="89" w:name="_Toc12456"/>
      <w:r>
        <w:rPr>
          <w:rFonts w:hint="eastAsia" w:ascii="宋体" w:hAnsi="宋体" w:eastAsia="宋体"/>
          <w:color w:val="auto"/>
          <w:sz w:val="21"/>
          <w:szCs w:val="21"/>
          <w:highlight w:val="none"/>
        </w:rPr>
        <w:t>16.投标保证金</w:t>
      </w:r>
      <w:bookmarkEnd w:id="87"/>
      <w:bookmarkEnd w:id="88"/>
      <w:bookmarkEnd w:id="89"/>
      <w:r>
        <w:rPr>
          <w:rFonts w:hint="eastAsia" w:ascii="宋体" w:hAnsi="宋体" w:eastAsia="宋体"/>
          <w:color w:val="auto"/>
          <w:sz w:val="21"/>
          <w:szCs w:val="21"/>
          <w:highlight w:val="none"/>
          <w:lang w:eastAsia="zh-CN"/>
        </w:rPr>
        <w:t>（</w:t>
      </w:r>
      <w:r>
        <w:rPr>
          <w:rFonts w:hint="eastAsia" w:ascii="宋体" w:hAnsi="宋体"/>
          <w:b/>
          <w:color w:val="auto"/>
          <w:sz w:val="21"/>
          <w:szCs w:val="21"/>
          <w:highlight w:val="none"/>
          <w:lang w:val="en-US" w:eastAsia="zh-CN"/>
        </w:rPr>
        <w:t>本项目不需提供投标保证金</w:t>
      </w:r>
      <w:r>
        <w:rPr>
          <w:rFonts w:hint="eastAsia" w:ascii="宋体" w:hAnsi="宋体" w:eastAsia="宋体"/>
          <w:color w:val="auto"/>
          <w:sz w:val="21"/>
          <w:szCs w:val="21"/>
          <w:highlight w:val="none"/>
          <w:lang w:eastAsia="zh-CN"/>
        </w:rPr>
        <w:t>）</w:t>
      </w:r>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90" w:name="_Ref179619405"/>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投标保证金金额与招标文件要求金额保持一致（详见投标资料表）。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投标保证金有效期与投标有效期保持一致。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投标人应一次性缴交招标文件规定数额的投标保证金，投标人与交款人名称必须一致，非投标人缴纳的投标保证金无效。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采用银行转账、电汇方式提交的,付至采购代理机构指定账户上。 (详见投标人资料表)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采用《政府采购投标担保函》提交的，应符合下列规定：</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①投标担保函有效期应与投标有效期一致；</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②投标担保金额应与本项目的投标保证金一致；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保证金不接受现金方式（包括以存现方式）提交，未按要求提交投标保证金的将导致</w:t>
      </w:r>
      <w:r>
        <w:rPr>
          <w:rFonts w:hint="eastAsia" w:ascii="宋体" w:hAnsi="宋体"/>
          <w:color w:val="auto"/>
          <w:sz w:val="21"/>
          <w:szCs w:val="21"/>
          <w:highlight w:val="none"/>
          <w:lang w:val="en-US" w:eastAsia="zh-CN"/>
        </w:rPr>
        <w:t>投标文件无效</w:t>
      </w:r>
      <w:r>
        <w:rPr>
          <w:rFonts w:hint="eastAsia"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未中标的投标人的保证金在采购结果公示发出后5个工作日内退还，中标</w:t>
      </w:r>
      <w:r>
        <w:rPr>
          <w:rFonts w:hint="eastAsia" w:ascii="宋体" w:hAnsi="宋体"/>
          <w:color w:val="auto"/>
          <w:sz w:val="21"/>
          <w:szCs w:val="21"/>
          <w:highlight w:val="none"/>
          <w:lang w:val="en-US" w:eastAsia="zh-CN"/>
        </w:rPr>
        <w:t>的</w:t>
      </w:r>
      <w:r>
        <w:rPr>
          <w:rFonts w:hint="eastAsia" w:ascii="宋体" w:hAnsi="宋体" w:eastAsia="宋体"/>
          <w:color w:val="auto"/>
          <w:sz w:val="21"/>
          <w:szCs w:val="21"/>
          <w:highlight w:val="none"/>
        </w:rPr>
        <w:t>投标人的保证金在采购合同签订后5个工作日内退还。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为方便退还未中标的投保人的保证金，投标人应制作《投标保证金汇入情况说明》随</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一并递交。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有下列情形之一的，投标保证金将不予退还：</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（1）投标人在提交响应文件截止时间后撤回响应文件的；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（2）投标人在响应文件中提供虚假材料的；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（3）除因不可抗力或谈判文件、询价通知书认可的情形以外，中标单位不与采购人签订合同的；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（4）投标人与采购人、其他供应商或者采购代理机构恶意串通的；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（5）招标文件规定的其他情形。</w:t>
      </w:r>
    </w:p>
    <w:p>
      <w:pPr>
        <w:pageBreakBefore w:val="0"/>
        <w:kinsoku/>
        <w:wordWrap/>
        <w:topLinePunct w:val="0"/>
        <w:autoSpaceDE/>
        <w:autoSpaceDN/>
        <w:bidi w:val="0"/>
        <w:spacing w:line="360" w:lineRule="auto"/>
        <w:textAlignment w:val="auto"/>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91" w:name="_Toc31124"/>
      <w:bookmarkStart w:id="92" w:name="_Toc3200"/>
      <w:bookmarkStart w:id="93" w:name="_Toc24109"/>
      <w:r>
        <w:rPr>
          <w:rFonts w:hint="eastAsia" w:ascii="宋体" w:hAnsi="宋体"/>
          <w:color w:val="auto"/>
          <w:highlight w:val="none"/>
          <w:lang w:val="en-US" w:eastAsia="zh-CN"/>
        </w:rPr>
        <w:t>第四章</w:t>
      </w:r>
      <w:r>
        <w:rPr>
          <w:rFonts w:hint="eastAsia" w:ascii="宋体" w:hAnsi="宋体" w:eastAsia="宋体"/>
          <w:color w:val="auto"/>
          <w:highlight w:val="none"/>
        </w:rPr>
        <w:t>投标文件的递交</w:t>
      </w:r>
      <w:bookmarkEnd w:id="91"/>
      <w:bookmarkEnd w:id="92"/>
      <w:bookmarkEnd w:id="93"/>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94" w:name="_Toc303084264"/>
      <w:bookmarkStart w:id="95" w:name="_Toc29590"/>
      <w:bookmarkStart w:id="96" w:name="_Toc24997"/>
      <w:bookmarkStart w:id="97" w:name="_Toc382049111"/>
      <w:bookmarkStart w:id="98" w:name="_Toc473"/>
      <w:bookmarkStart w:id="99" w:name="_Toc23678"/>
      <w:r>
        <w:rPr>
          <w:rFonts w:hint="eastAsia" w:ascii="宋体" w:hAnsi="宋体" w:eastAsia="宋体"/>
          <w:color w:val="auto"/>
          <w:sz w:val="21"/>
          <w:szCs w:val="21"/>
          <w:highlight w:val="none"/>
        </w:rPr>
        <w:t>17.</w:t>
      </w:r>
      <w:r>
        <w:rPr>
          <w:rFonts w:ascii="宋体" w:hAnsi="宋体" w:eastAsia="宋体"/>
          <w:color w:val="auto"/>
          <w:sz w:val="21"/>
          <w:szCs w:val="21"/>
          <w:highlight w:val="none"/>
        </w:rPr>
        <w:t>投标文件的</w:t>
      </w:r>
      <w:r>
        <w:rPr>
          <w:rFonts w:hint="eastAsia" w:ascii="宋体" w:hAnsi="宋体" w:eastAsia="宋体"/>
          <w:color w:val="auto"/>
          <w:sz w:val="21"/>
          <w:szCs w:val="21"/>
          <w:highlight w:val="none"/>
        </w:rPr>
        <w:t>装订，签署，</w:t>
      </w:r>
      <w:r>
        <w:rPr>
          <w:rFonts w:ascii="宋体" w:hAnsi="宋体" w:eastAsia="宋体"/>
          <w:color w:val="auto"/>
          <w:sz w:val="21"/>
          <w:szCs w:val="21"/>
          <w:highlight w:val="none"/>
        </w:rPr>
        <w:t>密封和标记</w:t>
      </w:r>
      <w:bookmarkEnd w:id="94"/>
      <w:bookmarkEnd w:id="95"/>
      <w:bookmarkEnd w:id="96"/>
      <w:bookmarkEnd w:id="97"/>
      <w:bookmarkEnd w:id="98"/>
      <w:bookmarkEnd w:id="99"/>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为方便评标委员会对投标文件进行评审</w:t>
      </w:r>
      <w:r>
        <w:rPr>
          <w:rFonts w:ascii="宋体" w:hAnsi="宋体" w:eastAsia="宋体"/>
          <w:color w:val="auto"/>
          <w:sz w:val="21"/>
          <w:szCs w:val="21"/>
          <w:highlight w:val="none"/>
        </w:rPr>
        <w:t>，</w:t>
      </w:r>
      <w:r>
        <w:rPr>
          <w:rFonts w:hint="eastAsia" w:ascii="宋体" w:hAnsi="宋体" w:eastAsia="宋体"/>
          <w:color w:val="auto"/>
          <w:sz w:val="21"/>
          <w:szCs w:val="21"/>
          <w:highlight w:val="none"/>
        </w:rPr>
        <w:t>建议投标人对投标文件进行装订，价格文件、商务文件、技术文件可</w:t>
      </w:r>
      <w:r>
        <w:rPr>
          <w:rFonts w:hint="eastAsia" w:ascii="宋体" w:hAnsi="宋体" w:eastAsia="宋体"/>
          <w:color w:val="auto"/>
          <w:sz w:val="21"/>
          <w:szCs w:val="21"/>
          <w:highlight w:val="none"/>
          <w:lang w:val="en-US" w:eastAsia="zh-CN"/>
        </w:rPr>
        <w:t>合装订</w:t>
      </w:r>
      <w:r>
        <w:rPr>
          <w:rFonts w:hint="eastAsia" w:ascii="宋体" w:hAnsi="宋体" w:eastAsia="宋体"/>
          <w:color w:val="auto"/>
          <w:sz w:val="21"/>
          <w:szCs w:val="21"/>
          <w:highlight w:val="none"/>
        </w:rPr>
        <w:t>为一册，也可根据自身需要分册</w:t>
      </w:r>
      <w:r>
        <w:rPr>
          <w:rFonts w:hint="eastAsia" w:ascii="宋体" w:hAnsi="宋体" w:eastAsia="宋体"/>
          <w:color w:val="auto"/>
          <w:sz w:val="21"/>
          <w:szCs w:val="21"/>
          <w:highlight w:val="none"/>
          <w:lang w:val="en-US" w:eastAsia="zh-CN"/>
        </w:rPr>
        <w:t>装订，</w:t>
      </w:r>
      <w:r>
        <w:rPr>
          <w:rFonts w:ascii="宋体" w:hAnsi="宋体" w:eastAsia="宋体"/>
          <w:color w:val="auto"/>
          <w:sz w:val="21"/>
          <w:szCs w:val="21"/>
          <w:highlight w:val="none"/>
        </w:rPr>
        <w:t>对未经装订的投标文件可能发生的文件缺</w:t>
      </w:r>
      <w:r>
        <w:rPr>
          <w:rFonts w:hint="eastAsia" w:ascii="宋体" w:hAnsi="宋体" w:eastAsia="宋体"/>
          <w:color w:val="auto"/>
          <w:sz w:val="21"/>
          <w:szCs w:val="21"/>
          <w:highlight w:val="none"/>
        </w:rPr>
        <w:t>损</w:t>
      </w:r>
      <w:r>
        <w:rPr>
          <w:rFonts w:ascii="宋体" w:hAnsi="宋体" w:eastAsia="宋体"/>
          <w:color w:val="auto"/>
          <w:sz w:val="21"/>
          <w:szCs w:val="21"/>
          <w:highlight w:val="none"/>
        </w:rPr>
        <w:t>，由此产生的后果由投标人承担。</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正本均须用不褪色墨水书写或打印。投标文件的副本可采用投标文件的正本复印件，每套</w:t>
      </w: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应当标</w:t>
      </w:r>
      <w:r>
        <w:rPr>
          <w:rFonts w:ascii="宋体" w:hAnsi="宋体" w:eastAsia="宋体"/>
          <w:color w:val="auto"/>
          <w:sz w:val="21"/>
          <w:szCs w:val="21"/>
          <w:highlight w:val="none"/>
        </w:rPr>
        <w:t>明“正本”</w:t>
      </w:r>
      <w:r>
        <w:rPr>
          <w:rFonts w:hint="eastAsia" w:ascii="宋体" w:hAnsi="宋体" w:eastAsia="宋体"/>
          <w:color w:val="auto"/>
          <w:sz w:val="21"/>
          <w:szCs w:val="21"/>
          <w:highlight w:val="none"/>
        </w:rPr>
        <w:t>、</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的字样</w:t>
      </w:r>
      <w:r>
        <w:rPr>
          <w:rFonts w:ascii="宋体" w:hAnsi="宋体" w:eastAsia="宋体"/>
          <w:color w:val="auto"/>
          <w:sz w:val="21"/>
          <w:szCs w:val="21"/>
          <w:highlight w:val="none"/>
        </w:rPr>
        <w:t>。</w:t>
      </w:r>
      <w:r>
        <w:rPr>
          <w:rFonts w:hint="eastAsia" w:ascii="宋体" w:hAnsi="宋体" w:eastAsia="宋体"/>
          <w:color w:val="auto"/>
          <w:sz w:val="21"/>
          <w:szCs w:val="21"/>
          <w:highlight w:val="none"/>
        </w:rPr>
        <w:t>投标文件的【正本】及所有【副本】的封面及骑缝均须加盖投标人公章（文件每页盖章等同于盖骑缝章）。若</w:t>
      </w:r>
      <w:r>
        <w:rPr>
          <w:rFonts w:ascii="宋体" w:hAnsi="宋体" w:eastAsia="宋体"/>
          <w:color w:val="auto"/>
          <w:sz w:val="21"/>
          <w:szCs w:val="21"/>
          <w:highlight w:val="none"/>
        </w:rPr>
        <w:t>正本</w:t>
      </w:r>
      <w:r>
        <w:rPr>
          <w:rFonts w:hint="eastAsia" w:ascii="宋体" w:hAnsi="宋体" w:eastAsia="宋体"/>
          <w:color w:val="auto"/>
          <w:sz w:val="21"/>
          <w:szCs w:val="21"/>
          <w:highlight w:val="none"/>
        </w:rPr>
        <w:t>与</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不符，以</w:t>
      </w:r>
      <w:r>
        <w:rPr>
          <w:rFonts w:ascii="宋体" w:hAnsi="宋体" w:eastAsia="宋体"/>
          <w:color w:val="auto"/>
          <w:sz w:val="21"/>
          <w:szCs w:val="21"/>
          <w:highlight w:val="none"/>
        </w:rPr>
        <w:t>正本为准。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联合体投标文件的【正本】及【副本】的封面及骑缝均须加盖所有联合体组成成员的公章。（文件每页盖章等同于盖骑缝章）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电子文件内容包括：由投标人自行制作的与正本文件一致的所有文件。电子文件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，并注明投标人名称及项目名称、采购项目编号，随投标文件一同密封提交。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除投标人对错误处修改外，全套投标文件应无涂改或行间插字和增删。如有修改，修改处</w:t>
      </w:r>
      <w:r>
        <w:rPr>
          <w:rFonts w:hint="eastAsia" w:ascii="宋体" w:hAnsi="宋体" w:eastAsia="宋体"/>
          <w:color w:val="auto"/>
          <w:sz w:val="21"/>
          <w:szCs w:val="21"/>
          <w:highlight w:val="none"/>
        </w:rPr>
        <w:t>须由法定代表人或其正式授权代表在旁边签字及盖章</w:t>
      </w:r>
      <w:r>
        <w:rPr>
          <w:rFonts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为方便开标唱标，投标人应将</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和授权委托书单独密封提交，并在信封上标明“</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”字样。投标人的法定代表人参加投标时，须开具法定代表人证明书，按上述要求与</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一并密封提交。“</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”份数及签章等要求与投标文件正本相同（1份）。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所有的信封均应注明： </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收件人：</w:t>
      </w:r>
      <w:r>
        <w:rPr>
          <w:rFonts w:hint="eastAsia" w:ascii="宋体" w:hAnsi="宋体" w:eastAsia="宋体"/>
          <w:color w:val="auto"/>
          <w:sz w:val="21"/>
          <w:szCs w:val="21"/>
          <w:highlight w:val="none"/>
          <w:lang w:eastAsia="zh-CN"/>
        </w:rPr>
        <w:t>广东政通招标有限公司</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采用透明包装进行密封或未进行密封的投标文件；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密封破损导致投标文件内容直接或间接泄露的投标文件；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密封信封上项目编号错误的投标文件；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未在规定时间内领购文件的投标人的投标文件；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项目名称出现严重歧义或未标注所投项目信息导致无法分辨所投项目为本项目的投标文件；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采用传真、电传的投标文件；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招标文件规定的其他情形。</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采购代理机构对所有投标文件的误投或提前启封概不负责。</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投标人同时参加几个包投标时必须按招标文件要求按包号分别制作投标文件，分别密封递交。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递交的投标文件中所提供的通讯方式应保持联络畅通，因联系不上而导致的所有后果由投标人自行承担。</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0" w:name="_Toc7473"/>
      <w:bookmarkStart w:id="101" w:name="_Toc8628"/>
      <w:bookmarkStart w:id="102" w:name="_Toc17417"/>
      <w:r>
        <w:rPr>
          <w:rFonts w:hint="eastAsia" w:ascii="宋体" w:hAnsi="宋体" w:eastAsia="宋体"/>
          <w:color w:val="auto"/>
          <w:sz w:val="21"/>
          <w:szCs w:val="21"/>
          <w:highlight w:val="none"/>
        </w:rPr>
        <w:t>18.迟交的投标文件</w:t>
      </w:r>
      <w:bookmarkEnd w:id="100"/>
      <w:bookmarkEnd w:id="101"/>
      <w:bookmarkEnd w:id="102"/>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投标人在投标截止时间之后提交的投标文件，采购代理机构将拒绝接收</w:t>
      </w:r>
      <w:r>
        <w:rPr>
          <w:rFonts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有违反其他法律规定情形的，采购代理机构将拒绝接收。</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3" w:name="_Toc13212"/>
      <w:bookmarkStart w:id="104" w:name="_Toc19649"/>
      <w:bookmarkStart w:id="105" w:name="_Toc8526"/>
      <w:r>
        <w:rPr>
          <w:rFonts w:hint="eastAsia" w:ascii="宋体" w:hAnsi="宋体" w:eastAsia="宋体"/>
          <w:color w:val="auto"/>
          <w:sz w:val="21"/>
          <w:szCs w:val="21"/>
          <w:highlight w:val="none"/>
        </w:rPr>
        <w:t>19.投标样品（如需提交）</w:t>
      </w:r>
      <w:bookmarkEnd w:id="103"/>
      <w:bookmarkEnd w:id="104"/>
      <w:bookmarkEnd w:id="105"/>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如有必要，采购代理机构可以要求投标人提供本服务项目涉及的部分设备或产品样品，投标人在投标时应提交《样品清单》。</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为方便评标，投标人在提供样品时，应在所提供的样品表面显著位置标注投标人的名称、包号、样品名称、招标文件规定的服务或货物编号。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6" w:name="_Toc9777"/>
      <w:bookmarkStart w:id="107" w:name="_Toc7689"/>
      <w:bookmarkStart w:id="108" w:name="_Toc382049112"/>
      <w:bookmarkStart w:id="109" w:name="_Toc23477"/>
      <w:bookmarkStart w:id="110" w:name="_Toc303084265"/>
      <w:bookmarkStart w:id="111" w:name="_Toc5900"/>
      <w:r>
        <w:rPr>
          <w:rFonts w:hint="eastAsia" w:ascii="宋体" w:hAnsi="宋体" w:eastAsia="宋体"/>
          <w:color w:val="auto"/>
          <w:sz w:val="21"/>
          <w:szCs w:val="21"/>
          <w:highlight w:val="none"/>
        </w:rPr>
        <w:t>20.投标截止期</w:t>
      </w:r>
      <w:bookmarkEnd w:id="106"/>
      <w:bookmarkEnd w:id="107"/>
      <w:bookmarkEnd w:id="108"/>
      <w:bookmarkEnd w:id="109"/>
      <w:bookmarkEnd w:id="110"/>
      <w:bookmarkEnd w:id="111"/>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投标人应在招标文件规定的截止日期和时间内，将投标文件送达到指定地点。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可按本须知规定以</w:t>
      </w:r>
      <w:r>
        <w:rPr>
          <w:rFonts w:hint="eastAsia" w:ascii="宋体" w:hAnsi="宋体" w:eastAsia="宋体"/>
          <w:color w:val="auto"/>
          <w:sz w:val="21"/>
          <w:szCs w:val="21"/>
          <w:highlight w:val="none"/>
        </w:rPr>
        <w:t>澄清或</w:t>
      </w:r>
      <w:r>
        <w:rPr>
          <w:rFonts w:ascii="宋体" w:hAnsi="宋体" w:eastAsia="宋体"/>
          <w:color w:val="auto"/>
          <w:sz w:val="21"/>
          <w:szCs w:val="21"/>
          <w:highlight w:val="none"/>
        </w:rPr>
        <w:t>修改通知的方式，酌情延长</w:t>
      </w:r>
      <w:r>
        <w:rPr>
          <w:rFonts w:hint="eastAsia" w:ascii="宋体" w:hAnsi="宋体" w:eastAsia="宋体"/>
          <w:color w:val="auto"/>
          <w:sz w:val="21"/>
          <w:szCs w:val="21"/>
          <w:highlight w:val="none"/>
        </w:rPr>
        <w:t>递</w:t>
      </w:r>
      <w:r>
        <w:rPr>
          <w:rFonts w:ascii="宋体" w:hAnsi="宋体" w:eastAsia="宋体"/>
          <w:color w:val="auto"/>
          <w:sz w:val="21"/>
          <w:szCs w:val="21"/>
          <w:highlight w:val="none"/>
        </w:rPr>
        <w:t>交投标文件的截止时间。在此情况下，投标人的所有权利和义务以及投标人受制约的截止时间，均以延长后新的投标截止时间为准。</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2" w:name="_Toc6003"/>
      <w:bookmarkStart w:id="113" w:name="_Toc11133"/>
      <w:bookmarkStart w:id="114" w:name="_Toc15569"/>
      <w:r>
        <w:rPr>
          <w:rFonts w:hint="eastAsia" w:ascii="宋体" w:hAnsi="宋体" w:eastAsia="宋体"/>
          <w:color w:val="auto"/>
          <w:sz w:val="21"/>
          <w:szCs w:val="21"/>
          <w:highlight w:val="none"/>
        </w:rPr>
        <w:t>21.投标文件的补充、修改与撤回</w:t>
      </w:r>
      <w:bookmarkEnd w:id="112"/>
      <w:bookmarkEnd w:id="113"/>
      <w:bookmarkEnd w:id="114"/>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投标文件一经递交不予退还。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在提交投标文件截止时间至投标有效期满之前，投标人不得撤回其投标，否则其投标保证金将不予退还。</w:t>
      </w:r>
    </w:p>
    <w:p>
      <w:pPr>
        <w:pStyle w:val="2"/>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115" w:name="_Toc5049"/>
      <w:bookmarkStart w:id="116" w:name="_Toc23466"/>
      <w:bookmarkStart w:id="117" w:name="_Toc29574"/>
      <w:r>
        <w:rPr>
          <w:rFonts w:hint="eastAsia" w:ascii="宋体" w:hAnsi="宋体"/>
          <w:color w:val="auto"/>
          <w:highlight w:val="none"/>
          <w:lang w:val="en-US" w:eastAsia="zh-CN"/>
        </w:rPr>
        <w:t>第五章</w:t>
      </w:r>
      <w:r>
        <w:rPr>
          <w:rFonts w:hint="eastAsia" w:ascii="宋体" w:hAnsi="宋体" w:eastAsia="宋体"/>
          <w:color w:val="auto"/>
          <w:highlight w:val="none"/>
        </w:rPr>
        <w:t>开标与评标</w:t>
      </w:r>
      <w:bookmarkEnd w:id="115"/>
      <w:bookmarkEnd w:id="116"/>
      <w:bookmarkEnd w:id="117"/>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8" w:name="_Toc24251"/>
      <w:bookmarkStart w:id="119" w:name="_Toc28458"/>
      <w:bookmarkStart w:id="120" w:name="_Toc27700"/>
      <w:r>
        <w:rPr>
          <w:rFonts w:hint="eastAsia" w:ascii="宋体" w:hAnsi="宋体" w:eastAsia="宋体"/>
          <w:color w:val="auto"/>
          <w:sz w:val="21"/>
          <w:szCs w:val="21"/>
          <w:highlight w:val="none"/>
        </w:rPr>
        <w:t>22.开标</w:t>
      </w:r>
      <w:bookmarkEnd w:id="118"/>
      <w:bookmarkEnd w:id="119"/>
      <w:bookmarkEnd w:id="120"/>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采购代理机构按</w:t>
      </w:r>
      <w:r>
        <w:rPr>
          <w:rFonts w:ascii="宋体" w:hAnsi="宋体" w:eastAsia="宋体"/>
          <w:color w:val="auto"/>
          <w:sz w:val="21"/>
          <w:szCs w:val="21"/>
          <w:highlight w:val="none"/>
        </w:rPr>
        <w:t>本</w:t>
      </w:r>
      <w:r>
        <w:rPr>
          <w:rFonts w:hint="eastAsia" w:ascii="宋体" w:hAnsi="宋体" w:eastAsia="宋体"/>
          <w:color w:val="auto"/>
          <w:sz w:val="21"/>
          <w:szCs w:val="21"/>
          <w:highlight w:val="none"/>
        </w:rPr>
        <w:t>招标文件</w:t>
      </w:r>
      <w:r>
        <w:rPr>
          <w:rFonts w:ascii="宋体" w:hAnsi="宋体" w:eastAsia="宋体"/>
          <w:color w:val="auto"/>
          <w:sz w:val="21"/>
          <w:szCs w:val="21"/>
          <w:highlight w:val="none"/>
        </w:rPr>
        <w:t>所规定的时间和地点公开开标，并邀请所有投标人</w:t>
      </w:r>
      <w:r>
        <w:rPr>
          <w:rFonts w:hint="eastAsia" w:ascii="宋体" w:hAnsi="宋体" w:eastAsia="宋体"/>
          <w:color w:val="auto"/>
          <w:sz w:val="21"/>
          <w:szCs w:val="21"/>
          <w:highlight w:val="none"/>
        </w:rPr>
        <w:t>代表</w:t>
      </w:r>
      <w:r>
        <w:rPr>
          <w:rFonts w:ascii="宋体" w:hAnsi="宋体" w:eastAsia="宋体"/>
          <w:color w:val="auto"/>
          <w:sz w:val="21"/>
          <w:szCs w:val="21"/>
          <w:highlight w:val="none"/>
        </w:rPr>
        <w:t>参加。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开标程序：</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w:t>
      </w:r>
      <w:r>
        <w:rPr>
          <w:rFonts w:hint="eastAsia" w:ascii="宋体" w:hAnsi="宋体" w:eastAsia="宋体"/>
          <w:color w:val="auto"/>
          <w:sz w:val="21"/>
          <w:szCs w:val="21"/>
          <w:highlight w:val="none"/>
        </w:rPr>
        <w:t>会</w:t>
      </w:r>
      <w:r>
        <w:rPr>
          <w:rFonts w:ascii="宋体" w:hAnsi="宋体" w:eastAsia="宋体"/>
          <w:color w:val="auto"/>
          <w:sz w:val="21"/>
          <w:szCs w:val="21"/>
          <w:highlight w:val="none"/>
        </w:rPr>
        <w:t>由</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主持</w:t>
      </w:r>
      <w:r>
        <w:rPr>
          <w:rFonts w:hint="eastAsia" w:ascii="宋体" w:hAnsi="宋体" w:eastAsia="宋体"/>
          <w:color w:val="auto"/>
          <w:sz w:val="21"/>
          <w:szCs w:val="21"/>
          <w:highlight w:val="none"/>
        </w:rPr>
        <w:t>，投标人的法定代表人或其授权代表携带有效身份证明准时参加开标会并签名报到。</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投标人未参加开标的，视同认可开标结果。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color w:val="auto"/>
          <w:sz w:val="21"/>
          <w:szCs w:val="21"/>
          <w:highlight w:val="none"/>
          <w:lang w:val="en-US" w:eastAsia="zh-CN"/>
        </w:rPr>
        <w:t>现场参与的</w:t>
      </w:r>
      <w:r>
        <w:rPr>
          <w:rFonts w:hint="eastAsia" w:ascii="宋体" w:hAnsi="宋体" w:eastAsia="宋体"/>
          <w:color w:val="auto"/>
          <w:sz w:val="21"/>
          <w:szCs w:val="21"/>
          <w:highlight w:val="none"/>
        </w:rPr>
        <w:t>投标人不足3家的，不得开标；</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开标过程应当由采购人或者采购代理机构负责记录，由参加开标的各投标人代表和相关工作人员签字确认。</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1" w:name="_Toc4921"/>
      <w:bookmarkStart w:id="122" w:name="_Toc5524"/>
      <w:bookmarkStart w:id="123" w:name="_Toc5974"/>
      <w:r>
        <w:rPr>
          <w:rFonts w:hint="eastAsia" w:ascii="宋体" w:hAnsi="宋体" w:eastAsia="宋体"/>
          <w:color w:val="auto"/>
          <w:sz w:val="21"/>
          <w:szCs w:val="21"/>
          <w:highlight w:val="none"/>
        </w:rPr>
        <w:t>23.评标委员会及评标方法</w:t>
      </w:r>
      <w:bookmarkEnd w:id="121"/>
      <w:bookmarkEnd w:id="122"/>
      <w:bookmarkEnd w:id="123"/>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评标委员会根据招标项目的特点进行组建，并负责评标工作。</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评审方法：本次招标的评审方法采用综合评分法。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定标原则：在最大限度</w:t>
      </w:r>
      <w:r>
        <w:rPr>
          <w:rFonts w:ascii="宋体" w:hAnsi="宋体" w:eastAsia="宋体"/>
          <w:color w:val="auto"/>
          <w:sz w:val="21"/>
          <w:szCs w:val="21"/>
          <w:highlight w:val="none"/>
        </w:rPr>
        <w:t>满足招标文件</w:t>
      </w:r>
      <w:r>
        <w:rPr>
          <w:rFonts w:hint="eastAsia" w:ascii="宋体" w:hAnsi="宋体" w:eastAsia="宋体"/>
          <w:color w:val="auto"/>
          <w:sz w:val="21"/>
          <w:szCs w:val="21"/>
          <w:highlight w:val="none"/>
        </w:rPr>
        <w:t>实质性要求前提下，按照招标文件规定的各项评价因素进行量化打分，以评标总得分最高的投标人作为中标候选人或中标人。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评标委员会对投标文件的评审内容，分为商务评议、技术评议和价格评议。评审流程包括符合性检查、澄清问题、比较与评价、推荐中标候选人或确定中标人、编写评标报告等步骤。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w:t>
      </w:r>
      <w:r>
        <w:rPr>
          <w:rFonts w:hint="eastAsia" w:ascii="宋体" w:hAnsi="宋体"/>
          <w:color w:val="auto"/>
          <w:sz w:val="21"/>
          <w:szCs w:val="21"/>
          <w:highlight w:val="none"/>
          <w:lang w:val="en-US" w:eastAsia="zh-CN"/>
        </w:rPr>
        <w:t>投标人</w:t>
      </w:r>
      <w:r>
        <w:rPr>
          <w:rFonts w:hint="eastAsia" w:ascii="宋体" w:hAnsi="宋体" w:eastAsia="宋体"/>
          <w:color w:val="auto"/>
          <w:sz w:val="21"/>
          <w:szCs w:val="21"/>
          <w:highlight w:val="none"/>
        </w:rPr>
        <w:t>方有资格提交最终报价及进入综合评审。</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4" w:name="_Toc15231"/>
      <w:bookmarkStart w:id="125" w:name="_Toc32730"/>
      <w:bookmarkStart w:id="126" w:name="_Toc26402"/>
      <w:r>
        <w:rPr>
          <w:rFonts w:hint="eastAsia" w:ascii="宋体" w:hAnsi="宋体" w:eastAsia="宋体"/>
          <w:color w:val="auto"/>
          <w:sz w:val="21"/>
          <w:szCs w:val="21"/>
          <w:highlight w:val="none"/>
        </w:rPr>
        <w:t>24.评审原则及评标过程的保密</w:t>
      </w:r>
      <w:bookmarkEnd w:id="124"/>
      <w:bookmarkEnd w:id="125"/>
      <w:bookmarkEnd w:id="126"/>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评审的基本原则：评标委员会将依据《中华人民共和国政府采购法》及国家和地方政府有关法规的规定，遵循“客观、公正、审慎”的原则进行评审工作。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招标</w:t>
      </w:r>
      <w:r>
        <w:rPr>
          <w:rFonts w:hint="eastAsia" w:ascii="宋体" w:hAnsi="宋体" w:eastAsia="宋体"/>
          <w:color w:val="auto"/>
          <w:sz w:val="21"/>
          <w:szCs w:val="21"/>
          <w:highlight w:val="none"/>
        </w:rPr>
        <w:t>文件中要求</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提供的相关资质证书证明材料因国家政策变动导致新旧证书名称不一致</w:t>
      </w:r>
      <w:r>
        <w:rPr>
          <w:rFonts w:hint="eastAsia" w:ascii="宋体" w:hAnsi="宋体" w:eastAsia="宋体"/>
          <w:color w:val="auto"/>
          <w:sz w:val="21"/>
          <w:szCs w:val="21"/>
          <w:highlight w:val="none"/>
          <w:lang w:val="en-US" w:eastAsia="zh-CN"/>
        </w:rPr>
        <w:t>的</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提供新证书</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提供在有效期内的旧证书</w:t>
      </w:r>
      <w:r>
        <w:rPr>
          <w:rFonts w:hint="eastAsia" w:ascii="宋体" w:hAnsi="宋体" w:eastAsia="宋体"/>
          <w:color w:val="auto"/>
          <w:sz w:val="21"/>
          <w:szCs w:val="21"/>
          <w:highlight w:val="none"/>
          <w:lang w:val="en-US" w:eastAsia="zh-CN"/>
        </w:rPr>
        <w:t>经评审委员会认定后，均具有同等效力，</w:t>
      </w:r>
      <w:r>
        <w:rPr>
          <w:rFonts w:hint="eastAsia" w:ascii="宋体" w:hAnsi="宋体" w:eastAsia="宋体"/>
          <w:color w:val="auto"/>
          <w:sz w:val="21"/>
          <w:szCs w:val="21"/>
          <w:highlight w:val="none"/>
        </w:rPr>
        <w:t>给予同等认可。</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从公开开标到签订合同，凡与审查、澄清、评审和投标有关的资料以及定标意见相关的事项，均不得向投标人及与评标无关的其他人透露。</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任何单位和个人不得非法干预、影响评标的过程和结果。</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7" w:name="_Toc3762"/>
      <w:bookmarkStart w:id="128" w:name="_Toc18436"/>
      <w:bookmarkStart w:id="129" w:name="_Toc16745"/>
      <w:r>
        <w:rPr>
          <w:rFonts w:hint="eastAsia" w:ascii="宋体" w:hAnsi="宋体" w:eastAsia="宋体"/>
          <w:color w:val="auto"/>
          <w:sz w:val="21"/>
          <w:szCs w:val="21"/>
          <w:highlight w:val="none"/>
        </w:rPr>
        <w:t>25.投标文件的初审</w:t>
      </w:r>
      <w:bookmarkEnd w:id="127"/>
      <w:bookmarkEnd w:id="128"/>
      <w:bookmarkEnd w:id="129"/>
    </w:p>
    <w:p>
      <w:pPr>
        <w:pStyle w:val="34"/>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eastAsia="宋体"/>
          <w:b/>
          <w:color w:val="auto"/>
          <w:sz w:val="21"/>
          <w:szCs w:val="21"/>
          <w:highlight w:val="none"/>
        </w:rPr>
        <w:t>资格性检查中发现下列情形之一的，其投标作无效处理：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1) 资格瑕疵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eastAsia="宋体"/>
          <w:b/>
          <w:color w:val="auto"/>
          <w:sz w:val="21"/>
          <w:szCs w:val="21"/>
          <w:highlight w:val="none"/>
        </w:rPr>
        <w:t>发现下列情况之一的，其投标将作无效处理</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b/>
          <w:color w:val="auto"/>
          <w:sz w:val="21"/>
          <w:szCs w:val="21"/>
          <w:highlight w:val="none"/>
        </w:rPr>
        <w:t>1) 投标文件的有效性、完整性瑕疵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2) 技术响应瑕疵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实质性条款（标记★）投标响应表</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未提供的</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⑥将一个包中的内容拆开投标的；⑦投标人对同一货物或服务投标时，投标方案不唯一；⑧明显不符合技术规格、技术标准要求的；⑨其他未实质性响应招标文件技术要求的。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3) 商务响应瑕疵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4）投标报价瑕疵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5）违规行为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6)法律法规及招标文件中规定的其它情形。</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根据项目情况，评标委员会有权决定招标文件中“可能导致废标”或“可能导致其投标被拒绝”等具体条款是否实施“废标”或“投标被拒绝”，但对同一条款的裁决应适用于每个投标人。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对于投标文件中不构成实质性偏差的不正规、不一致或不规则，评标委员会可以接受，但这种接受不能损害或影响任何投标人的相对排序。</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0" w:name="_Toc21742"/>
      <w:bookmarkStart w:id="131" w:name="_Toc29184"/>
      <w:bookmarkStart w:id="132" w:name="_Toc27673"/>
      <w:r>
        <w:rPr>
          <w:rFonts w:hint="eastAsia" w:ascii="宋体" w:hAnsi="宋体" w:eastAsia="宋体"/>
          <w:color w:val="auto"/>
          <w:sz w:val="21"/>
          <w:szCs w:val="21"/>
          <w:highlight w:val="none"/>
        </w:rPr>
        <w:t>26.商务、技术、价格评审（具体评审项目详见投标资料表）</w:t>
      </w:r>
      <w:bookmarkEnd w:id="130"/>
      <w:bookmarkEnd w:id="131"/>
      <w:bookmarkEnd w:id="132"/>
    </w:p>
    <w:p>
      <w:pPr>
        <w:pStyle w:val="34"/>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对通过符合性检查的投标人进行商务技术综合评议，针对投标文件对招标文件的响应情况对各个投标人进行商务和技术评分</w:t>
      </w:r>
      <w:r>
        <w:rPr>
          <w:rFonts w:hint="eastAsia" w:ascii="宋体" w:hAnsi="宋体" w:eastAsia="宋体"/>
          <w:color w:val="auto"/>
          <w:sz w:val="21"/>
          <w:szCs w:val="21"/>
          <w:highlight w:val="none"/>
        </w:rPr>
        <w:t xml:space="preserve">。 </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投标文件报价出现前后不一致的，评标委员会按照下列规定修正：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投标文件中</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（报价表）内容与投标文件中相应内容不一致的，以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大写金额和小写金额不一致的，以大写金额为准；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单价金额小数点或者百分比有明显错位的，以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的总价为准，并修改单价；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总价金额与按单价汇总金额不一致的，以单价金额计算结果为准。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同时出现两种以上不一致的，按照前款规定的顺序修正。修正后的报价按照经投标人确认后产生约束力，投标人不确认的，其投标无效。</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3" w:name="_Toc7593"/>
      <w:bookmarkStart w:id="134" w:name="_Toc22192"/>
      <w:bookmarkStart w:id="135" w:name="_Toc17683"/>
      <w:r>
        <w:rPr>
          <w:rFonts w:hint="eastAsia" w:ascii="宋体" w:hAnsi="宋体" w:eastAsia="宋体"/>
          <w:color w:val="auto"/>
          <w:sz w:val="21"/>
          <w:szCs w:val="21"/>
          <w:highlight w:val="none"/>
        </w:rPr>
        <w:t>27.优惠政策</w:t>
      </w:r>
      <w:bookmarkEnd w:id="133"/>
      <w:bookmarkEnd w:id="134"/>
      <w:bookmarkEnd w:id="135"/>
    </w:p>
    <w:p>
      <w:pPr>
        <w:pStyle w:val="34"/>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对小型或微型企业、监狱企业、残疾人福利性单位投标的扶持：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根据财政部、工业和信息化部制定了《</w:t>
      </w:r>
      <w:r>
        <w:rPr>
          <w:rFonts w:hint="eastAsia" w:ascii="宋体" w:hAnsi="宋体" w:eastAsia="宋体"/>
          <w:color w:val="auto"/>
          <w:sz w:val="21"/>
          <w:szCs w:val="21"/>
          <w:highlight w:val="none"/>
          <w:lang w:eastAsia="zh-CN"/>
        </w:rPr>
        <w:t>政府采购促进中小企业发展管理办法</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（财库〔2020〕46号）</w:t>
      </w:r>
      <w:r>
        <w:rPr>
          <w:rFonts w:hint="eastAsia" w:ascii="宋体" w:hAnsi="宋体" w:eastAsia="宋体"/>
          <w:color w:val="auto"/>
          <w:sz w:val="21"/>
          <w:szCs w:val="21"/>
          <w:highlight w:val="none"/>
        </w:rPr>
        <w:t>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投标人为小型或微型企业且投标产品含小型或微型企业产品时，其对应产品价格的扣除详见投标资料表。</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在货物采购项目中，供应商提供的货物既有中小企业制造货物，也有大型企业制造货物的，不享受</w:t>
      </w:r>
      <w:r>
        <w:rPr>
          <w:rFonts w:hint="eastAsia" w:ascii="宋体" w:hAnsi="宋体" w:eastAsia="宋体"/>
          <w:color w:val="auto"/>
          <w:sz w:val="21"/>
          <w:szCs w:val="21"/>
          <w:highlight w:val="none"/>
          <w:lang w:eastAsia="zh-CN"/>
        </w:rPr>
        <w:t>“财政部 工业和信息化部关于印发《政府采购促进中小企业发展管理办法》的通知（财库〔2020〕46号）”</w:t>
      </w:r>
      <w:r>
        <w:rPr>
          <w:rFonts w:hint="eastAsia" w:ascii="宋体" w:hAnsi="宋体" w:eastAsia="宋体"/>
          <w:color w:val="auto"/>
          <w:sz w:val="21"/>
          <w:szCs w:val="21"/>
          <w:highlight w:val="none"/>
        </w:rPr>
        <w:t>规定的中小企业扶持政策。</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投标人同时为小型、微型企业、监狱企业、残疾人福利性单位任两种或以上情况的，评审中只享受一次价格扣除，不重复进行价格扣除。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u w:val="single"/>
        </w:rPr>
      </w:pPr>
      <w:r>
        <w:rPr>
          <w:rFonts w:hint="eastAsia" w:ascii="宋体" w:hAnsi="宋体" w:eastAsia="宋体"/>
          <w:b/>
          <w:bCs/>
          <w:color w:val="auto"/>
          <w:sz w:val="21"/>
          <w:szCs w:val="21"/>
          <w:highlight w:val="none"/>
          <w:u w:val="single"/>
        </w:rPr>
        <w:t>中标、成交供应商享受本办法（财库〔2020〕46号）规定的中小企业扶持政策的，采购代理机构</w:t>
      </w:r>
      <w:r>
        <w:rPr>
          <w:rFonts w:hint="eastAsia" w:ascii="宋体" w:hAnsi="宋体" w:eastAsia="宋体"/>
          <w:b/>
          <w:bCs/>
          <w:color w:val="auto"/>
          <w:sz w:val="21"/>
          <w:szCs w:val="21"/>
          <w:highlight w:val="none"/>
          <w:u w:val="single"/>
          <w:lang w:eastAsia="zh-CN"/>
        </w:rPr>
        <w:t>将</w:t>
      </w:r>
      <w:r>
        <w:rPr>
          <w:rFonts w:hint="eastAsia" w:ascii="宋体" w:hAnsi="宋体" w:eastAsia="宋体"/>
          <w:b/>
          <w:bCs/>
          <w:color w:val="auto"/>
          <w:sz w:val="21"/>
          <w:szCs w:val="21"/>
          <w:highlight w:val="none"/>
          <w:u w:val="single"/>
        </w:rPr>
        <w:t>随中标、成交结果公开中标、成交供应商的《中小企业声明函》。</w:t>
      </w:r>
      <w:r>
        <w:rPr>
          <w:rFonts w:hint="eastAsia" w:ascii="宋体" w:hAnsi="宋体" w:eastAsia="宋体"/>
          <w:b/>
          <w:bCs/>
          <w:color w:val="auto"/>
          <w:sz w:val="21"/>
          <w:szCs w:val="21"/>
          <w:highlight w:val="none"/>
          <w:u w:val="single"/>
          <w:lang w:eastAsia="zh-CN"/>
        </w:rPr>
        <w:t>各供应商不得提供虚假声明，提供虚假声明取消中标、成交资格，并追究其法律责任。</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符合享受政府采购支持政策的残疾人福利性单位划分标准（根据财政部 民政部 中国残疾人联合会关于促进残疾人就业政府采购政策的通知(财库[2017]141号)）：</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（1）安置的残疾人占本单位在职职工人数的比例不低于25%（含25%），并且安置的残疾人人数不少于10人（含10人）；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（2）依法与安置的每位残疾人签订了一年以上（含一年）的劳动合同或服务协议；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（3）为安置的每位残疾人按月足额缴纳了基本养老保险、基本医疗保险、失业保险、工伤保险和生育保险等社会保险费；</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（4）通过银行等金融机构向安置的每位残疾人，按月支付了不低于单位所在区县适用的经省级人民政府批准的月最低工资标准的工资；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（5）提供本单位制造的货物、承担的工程或者服务（以下简称产品），或者提供其他残疾人福利性单位制造的货物（不包括使用非残疾人福利性单位注册商标的货物）。</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对节能产品或环境标志产品的扶持：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提供节能产品或环境标志产品的投标人其产品应符合以下规定：</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若用户需求中含有《节能产品政府采购品目清单》中的政府强制采购产品，投标人应根据要求提供所对应的节能产品，否则做投标无效处理。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6" w:name="_Toc316375620"/>
      <w:bookmarkStart w:id="137" w:name="_Toc12115"/>
      <w:bookmarkStart w:id="138" w:name="_Toc20328"/>
      <w:bookmarkStart w:id="139" w:name="_Toc382049120"/>
      <w:bookmarkStart w:id="140" w:name="_Toc22591"/>
      <w:bookmarkStart w:id="141" w:name="_Toc31141"/>
      <w:r>
        <w:rPr>
          <w:rFonts w:hint="eastAsia" w:ascii="宋体" w:hAnsi="宋体" w:eastAsia="宋体"/>
          <w:color w:val="auto"/>
          <w:sz w:val="21"/>
          <w:szCs w:val="21"/>
          <w:highlight w:val="none"/>
        </w:rPr>
        <w:t>28.纪律和</w:t>
      </w:r>
      <w:r>
        <w:rPr>
          <w:rFonts w:ascii="宋体" w:hAnsi="宋体" w:eastAsia="宋体"/>
          <w:color w:val="auto"/>
          <w:sz w:val="21"/>
          <w:szCs w:val="21"/>
          <w:highlight w:val="none"/>
        </w:rPr>
        <w:t>保密</w:t>
      </w:r>
      <w:bookmarkEnd w:id="136"/>
      <w:r>
        <w:rPr>
          <w:rFonts w:hint="eastAsia" w:ascii="宋体" w:hAnsi="宋体" w:eastAsia="宋体"/>
          <w:color w:val="auto"/>
          <w:sz w:val="21"/>
          <w:szCs w:val="21"/>
          <w:highlight w:val="none"/>
        </w:rPr>
        <w:t>事项</w:t>
      </w:r>
      <w:bookmarkEnd w:id="137"/>
      <w:bookmarkEnd w:id="138"/>
      <w:bookmarkEnd w:id="139"/>
      <w:bookmarkEnd w:id="140"/>
      <w:bookmarkEnd w:id="141"/>
    </w:p>
    <w:p>
      <w:pPr>
        <w:pStyle w:val="34"/>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投标人不得串通作弊，以不正当的手段妨碍、排挤其他投标人，扰乱招标市场，破坏公平竞争原则。否则将按相关法律规定严肃处理。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142" w:name="_Toc5528"/>
      <w:bookmarkStart w:id="143" w:name="_Toc12251"/>
      <w:bookmarkStart w:id="144" w:name="_Toc29310"/>
      <w:r>
        <w:rPr>
          <w:rFonts w:hint="eastAsia" w:ascii="宋体" w:hAnsi="宋体"/>
          <w:color w:val="auto"/>
          <w:highlight w:val="none"/>
          <w:lang w:val="en-US" w:eastAsia="zh-CN"/>
        </w:rPr>
        <w:t>第六章</w:t>
      </w:r>
      <w:r>
        <w:rPr>
          <w:rFonts w:hint="eastAsia" w:ascii="宋体" w:hAnsi="宋体" w:eastAsia="宋体"/>
          <w:color w:val="auto"/>
          <w:highlight w:val="none"/>
        </w:rPr>
        <w:t>授予合同</w:t>
      </w:r>
      <w:bookmarkEnd w:id="142"/>
      <w:bookmarkEnd w:id="143"/>
      <w:bookmarkEnd w:id="144"/>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5" w:name="_Toc6696"/>
      <w:bookmarkStart w:id="146" w:name="_Toc508284011"/>
      <w:bookmarkStart w:id="147" w:name="_Toc27817"/>
      <w:bookmarkStart w:id="148" w:name="_Toc17778"/>
      <w:r>
        <w:rPr>
          <w:rFonts w:hint="eastAsia" w:ascii="宋体" w:hAnsi="宋体" w:eastAsia="宋体"/>
          <w:color w:val="auto"/>
          <w:sz w:val="21"/>
          <w:szCs w:val="21"/>
          <w:highlight w:val="none"/>
        </w:rPr>
        <w:t>29.</w:t>
      </w:r>
      <w:r>
        <w:rPr>
          <w:rFonts w:ascii="宋体" w:hAnsi="宋体" w:eastAsia="宋体"/>
          <w:color w:val="auto"/>
          <w:sz w:val="21"/>
          <w:szCs w:val="21"/>
          <w:highlight w:val="none"/>
        </w:rPr>
        <w:t>合同授予标准</w:t>
      </w:r>
      <w:bookmarkEnd w:id="145"/>
      <w:bookmarkEnd w:id="146"/>
      <w:bookmarkEnd w:id="147"/>
      <w:bookmarkEnd w:id="148"/>
    </w:p>
    <w:p>
      <w:pPr>
        <w:pStyle w:val="34"/>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根据评标委员会的评审结果，采购人按照评审报告推荐的中标候选人中按顺序依法确定中标人</w:t>
      </w:r>
      <w:r>
        <w:rPr>
          <w:rFonts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9" w:name="_Toc508284013"/>
      <w:bookmarkStart w:id="150" w:name="_Toc29283"/>
      <w:bookmarkStart w:id="151" w:name="_Toc23136"/>
      <w:bookmarkStart w:id="152" w:name="_Toc12440"/>
      <w:r>
        <w:rPr>
          <w:rFonts w:hint="eastAsia" w:ascii="宋体" w:hAnsi="宋体" w:eastAsia="宋体"/>
          <w:color w:val="auto"/>
          <w:sz w:val="21"/>
          <w:szCs w:val="21"/>
          <w:highlight w:val="none"/>
        </w:rPr>
        <w:t>30.发布采购结果</w:t>
      </w:r>
      <w:bookmarkEnd w:id="149"/>
      <w:bookmarkEnd w:id="150"/>
      <w:bookmarkEnd w:id="151"/>
      <w:bookmarkEnd w:id="152"/>
    </w:p>
    <w:p>
      <w:pPr>
        <w:pStyle w:val="34"/>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评标委员会提出评标书面报告和推荐中标意见报采购人确认后，采购代理机构将在指定的信息发布媒体上发布公告。</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中标公告期限为1个工作日。</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结果公示发布后，中标单位应及时领取中标通知书。《中标通知书》是合同的一个组成部分，《中标通知书》对采购人和中标人均具有同等法律效力。</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中标人无正当理由不得放弃中标，因中标人放弃中标而对采购人造成的损失由放弃中标的中标人承担。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中标人为残疾人福利性单位的，采购人或者其委托的采购代理机构应当随中标、成交结果同时公告其《残疾人福利性单位声明函》，接受社会监督。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原件核查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采购结果发布后，采购代理机构或采购人有权对中标单位进行原件核查，中标单位应在五个工作日内把相关原件递交至采购代理机构办公地址或采购人指定地址进行核查。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中标单位有下列情形之一的，取消中标资格：</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在规定时间内递交的原件数量、内容与采购人、采购代理机构要求不一致的；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投标人有下列情形之一的，投标文件作无效处理，其投标无效：</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在规定时间内递交的原件数量、内容不符合采购人、采购代理机构要求的；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若投标人出现虚假应标情况，投标文件作无效处理，其投标、中标无效。并根据相关法律上报相关监管部门。</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3" w:name="_Toc22451"/>
      <w:bookmarkStart w:id="154" w:name="_Toc22262"/>
      <w:bookmarkStart w:id="155" w:name="_Toc27279"/>
      <w:r>
        <w:rPr>
          <w:rFonts w:hint="eastAsia" w:ascii="宋体" w:hAnsi="宋体" w:eastAsia="宋体"/>
          <w:color w:val="auto"/>
          <w:sz w:val="21"/>
          <w:szCs w:val="21"/>
          <w:highlight w:val="none"/>
        </w:rPr>
        <w:t>31.合同的签订与履行</w:t>
      </w:r>
      <w:bookmarkEnd w:id="153"/>
      <w:bookmarkEnd w:id="154"/>
      <w:bookmarkEnd w:id="155"/>
    </w:p>
    <w:p>
      <w:pPr>
        <w:pStyle w:val="34"/>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采购人与中标人应当根据合同的约定依法履行合同义务。</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政府采购合同的履行、违约责任和解决争议的方法等适用《中华人民共和国</w:t>
      </w:r>
      <w:r>
        <w:rPr>
          <w:rFonts w:hint="eastAsia" w:ascii="宋体" w:hAnsi="宋体" w:eastAsia="宋体"/>
          <w:color w:val="auto"/>
          <w:sz w:val="21"/>
          <w:szCs w:val="21"/>
          <w:highlight w:val="none"/>
          <w:lang w:eastAsia="zh-CN"/>
        </w:rPr>
        <w:t>民法典</w:t>
      </w:r>
      <w:r>
        <w:rPr>
          <w:rFonts w:hint="eastAsia" w:ascii="宋体" w:hAnsi="宋体" w:eastAsia="宋体"/>
          <w:color w:val="auto"/>
          <w:sz w:val="21"/>
          <w:szCs w:val="21"/>
          <w:highlight w:val="none"/>
        </w:rPr>
        <w:t>》。</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合同签订之日起2个工作日内，中标人应将所签订的合同副本（加盖公章）交至</w:t>
      </w:r>
      <w:r>
        <w:rPr>
          <w:rFonts w:hint="eastAsia" w:ascii="宋体" w:hAnsi="宋体" w:eastAsia="宋体"/>
          <w:b/>
          <w:color w:val="auto"/>
          <w:sz w:val="21"/>
          <w:szCs w:val="21"/>
          <w:highlight w:val="none"/>
          <w:lang w:eastAsia="zh-CN"/>
        </w:rPr>
        <w:t>广东政通招标有限公司</w:t>
      </w:r>
      <w:r>
        <w:rPr>
          <w:rFonts w:hint="eastAsia" w:ascii="宋体" w:hAnsi="宋体" w:eastAsia="宋体"/>
          <w:b/>
          <w:color w:val="auto"/>
          <w:sz w:val="21"/>
          <w:szCs w:val="21"/>
          <w:highlight w:val="none"/>
        </w:rPr>
        <w:t>归档。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中标人拒绝与采购人签订合同的，采购人可以按照评审报告推荐的中标候选人名单排序，确定下一候选人为中标人，也可以重新开展政府采购活动。</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6" w:name="_Toc25756"/>
      <w:bookmarkStart w:id="157" w:name="_Toc303084277"/>
      <w:bookmarkStart w:id="158" w:name="_Toc2744"/>
      <w:bookmarkStart w:id="159" w:name="_Toc29009"/>
      <w:bookmarkStart w:id="160" w:name="_Toc7405"/>
      <w:bookmarkStart w:id="161" w:name="_Toc382049124"/>
      <w:r>
        <w:rPr>
          <w:rFonts w:hint="eastAsia" w:ascii="宋体" w:hAnsi="宋体" w:eastAsia="宋体"/>
          <w:color w:val="auto"/>
          <w:sz w:val="21"/>
          <w:szCs w:val="21"/>
          <w:highlight w:val="none"/>
        </w:rPr>
        <w:t>32.</w:t>
      </w:r>
      <w:r>
        <w:rPr>
          <w:rFonts w:ascii="宋体" w:hAnsi="宋体" w:eastAsia="宋体"/>
          <w:color w:val="auto"/>
          <w:sz w:val="21"/>
          <w:szCs w:val="21"/>
          <w:highlight w:val="none"/>
        </w:rPr>
        <w:t>履约</w:t>
      </w:r>
      <w:r>
        <w:rPr>
          <w:rFonts w:hint="eastAsia" w:ascii="宋体" w:hAnsi="宋体" w:eastAsia="宋体"/>
          <w:color w:val="auto"/>
          <w:sz w:val="21"/>
          <w:szCs w:val="21"/>
          <w:highlight w:val="none"/>
        </w:rPr>
        <w:t>保证金</w:t>
      </w:r>
      <w:bookmarkEnd w:id="156"/>
      <w:bookmarkEnd w:id="157"/>
      <w:bookmarkEnd w:id="158"/>
      <w:bookmarkEnd w:id="159"/>
      <w:bookmarkEnd w:id="160"/>
      <w:bookmarkEnd w:id="161"/>
    </w:p>
    <w:p>
      <w:pPr>
        <w:pStyle w:val="34"/>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采用保证金（银行转帐、电汇）方式：中标人必须保证资金在签订合同前到帐。履约保证金账户采购人另行通知，到期后无息退还。</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中标人须将履约保证金的汇款凭证 (注明中标通知书或项目编号)或履约保函（采购人注明原件已收到并盖章）用A4纸复印一式四份并加盖中标人的公章送至采购代理机构。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162" w:name="_Toc7360"/>
      <w:bookmarkStart w:id="163" w:name="_Toc13694"/>
      <w:bookmarkStart w:id="164" w:name="_Toc20699"/>
      <w:r>
        <w:rPr>
          <w:rFonts w:hint="eastAsia" w:ascii="宋体" w:hAnsi="宋体"/>
          <w:color w:val="auto"/>
          <w:highlight w:val="none"/>
          <w:lang w:val="en-US" w:eastAsia="zh-CN"/>
        </w:rPr>
        <w:t>第七章</w:t>
      </w:r>
      <w:r>
        <w:rPr>
          <w:rFonts w:hint="eastAsia" w:ascii="宋体" w:hAnsi="宋体" w:eastAsia="宋体"/>
          <w:color w:val="auto"/>
          <w:highlight w:val="none"/>
        </w:rPr>
        <w:t>询问或质疑</w:t>
      </w:r>
      <w:bookmarkEnd w:id="162"/>
      <w:bookmarkEnd w:id="163"/>
      <w:bookmarkEnd w:id="164"/>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5" w:name="_Toc17974"/>
      <w:bookmarkStart w:id="166" w:name="_Toc22900"/>
      <w:bookmarkStart w:id="167" w:name="_Toc25498"/>
      <w:r>
        <w:rPr>
          <w:rFonts w:hint="eastAsia" w:ascii="宋体" w:hAnsi="宋体" w:eastAsia="宋体"/>
          <w:color w:val="auto"/>
          <w:sz w:val="21"/>
          <w:szCs w:val="21"/>
          <w:highlight w:val="none"/>
        </w:rPr>
        <w:t>33.询问</w:t>
      </w:r>
      <w:bookmarkEnd w:id="165"/>
      <w:bookmarkEnd w:id="166"/>
      <w:bookmarkEnd w:id="167"/>
    </w:p>
    <w:p>
      <w:pPr>
        <w:pStyle w:val="34"/>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投标人对政府采购活动事项（招标文件、采购过程和采购结果）有疑问的，可以按规定向采购代理机构提出询问。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8" w:name="_Toc8234"/>
      <w:bookmarkStart w:id="169" w:name="_Toc2767"/>
      <w:bookmarkStart w:id="170" w:name="_Toc11264"/>
      <w:r>
        <w:rPr>
          <w:rFonts w:hint="eastAsia" w:ascii="宋体" w:hAnsi="宋体" w:eastAsia="宋体"/>
          <w:color w:val="auto"/>
          <w:sz w:val="21"/>
          <w:szCs w:val="21"/>
          <w:highlight w:val="none"/>
        </w:rPr>
        <w:t>34.质疑</w:t>
      </w:r>
      <w:bookmarkEnd w:id="168"/>
      <w:bookmarkEnd w:id="169"/>
      <w:bookmarkEnd w:id="170"/>
    </w:p>
    <w:p>
      <w:pPr>
        <w:pStyle w:val="34"/>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提出质疑的投标人应当是参与所质疑项目采购活动的供应商或是在规定的时间内已依法获取其可质疑的招标文件的潜在供应商。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投标人在法定质疑期内须一次性提出针对同一采购程序环节的质疑，对同一采购程序环节的二次质疑采购代理机构不予受理。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投标人提出质疑应当提交质疑函和必要的证明材料（须注明法律依据），因缺少相关证明材料或证明材料存在不真实而导致的后果由投标人自行承担。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不涉及对投标人利益造成损害的相关内容，不能作为质疑内容提交。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投诉人有下列行为之一的，属于虚假、恶意投诉，由财政部门列入不良行为记录名单，禁止其1至3年内参加全国范围内的政府采购活动：</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（一）捏造事实;</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（二）提供虚假材料;</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（三）以非法手段取得证明材料。证据来源的合法性存在明显疑问，投诉人无法证明其取得方式合法的，视为以非法手段取得证明材料。</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以联合体形式参加政府采购活动的，其质疑应当由组成联合体的所有投标人共同提出。</w:t>
      </w:r>
    </w:p>
    <w:p>
      <w:pPr>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171" w:name="_Toc8919"/>
      <w:bookmarkStart w:id="172" w:name="_Toc24383"/>
      <w:bookmarkStart w:id="173" w:name="_Toc5690"/>
      <w:r>
        <w:rPr>
          <w:rFonts w:hint="eastAsia" w:ascii="宋体" w:hAnsi="宋体"/>
          <w:color w:val="auto"/>
          <w:highlight w:val="none"/>
          <w:lang w:val="en-US" w:eastAsia="zh-CN"/>
        </w:rPr>
        <w:t>第八章</w:t>
      </w:r>
      <w:r>
        <w:rPr>
          <w:rFonts w:hint="eastAsia" w:ascii="宋体" w:hAnsi="宋体" w:eastAsia="宋体"/>
          <w:color w:val="auto"/>
          <w:highlight w:val="none"/>
        </w:rPr>
        <w:t>其他</w:t>
      </w:r>
      <w:bookmarkEnd w:id="171"/>
      <w:bookmarkEnd w:id="172"/>
      <w:bookmarkEnd w:id="173"/>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74" w:name="_Toc21187"/>
      <w:bookmarkStart w:id="175" w:name="_Toc6548"/>
      <w:bookmarkStart w:id="176" w:name="_Toc10082"/>
      <w:r>
        <w:rPr>
          <w:rFonts w:hint="eastAsia" w:ascii="宋体" w:hAnsi="宋体" w:eastAsia="宋体"/>
          <w:color w:val="auto"/>
          <w:sz w:val="21"/>
          <w:szCs w:val="21"/>
          <w:highlight w:val="none"/>
        </w:rPr>
        <w:t>35.招标文件的解释权</w:t>
      </w:r>
      <w:bookmarkEnd w:id="174"/>
      <w:bookmarkEnd w:id="175"/>
      <w:bookmarkEnd w:id="176"/>
    </w:p>
    <w:p>
      <w:pPr>
        <w:pStyle w:val="34"/>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招标文件版本号：</w:t>
      </w:r>
      <w:r>
        <w:rPr>
          <w:rFonts w:hint="eastAsia" w:ascii="宋体" w:hAnsi="宋体" w:eastAsia="宋体"/>
          <w:color w:val="auto"/>
          <w:sz w:val="21"/>
          <w:szCs w:val="21"/>
          <w:highlight w:val="none"/>
          <w:lang w:val="en-US" w:eastAsia="zh-CN"/>
        </w:rPr>
        <w:t>广东政通</w:t>
      </w:r>
      <w:r>
        <w:rPr>
          <w:rFonts w:hint="eastAsia" w:ascii="宋体" w:hAnsi="宋体" w:eastAsia="宋体"/>
          <w:color w:val="auto"/>
          <w:sz w:val="21"/>
          <w:szCs w:val="21"/>
          <w:highlight w:val="none"/>
        </w:rPr>
        <w:t>202</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0</w:t>
      </w:r>
      <w:r>
        <w:rPr>
          <w:rFonts w:hint="eastAsia" w:ascii="宋体" w:hAnsi="宋体" w:eastAsia="宋体"/>
          <w:color w:val="auto"/>
          <w:sz w:val="21"/>
          <w:szCs w:val="21"/>
          <w:highlight w:val="none"/>
          <w:lang w:val="en-US" w:eastAsia="zh-CN"/>
        </w:rPr>
        <w:t>6</w:t>
      </w:r>
      <w:r>
        <w:rPr>
          <w:rFonts w:hint="eastAsia" w:ascii="宋体" w:hAnsi="宋体"/>
          <w:color w:val="auto"/>
          <w:sz w:val="21"/>
          <w:szCs w:val="21"/>
          <w:highlight w:val="none"/>
          <w:lang w:val="en-US" w:eastAsia="zh-CN"/>
        </w:rPr>
        <w:t>11</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本招标文件是根据国家有关法律、法规以及政府采购管理有关规定和参照国际惯例编制，解释权属本采购代理机构。</w:t>
      </w:r>
    </w:p>
    <w:p>
      <w:pPr>
        <w:bidi w:val="0"/>
        <w:rPr>
          <w:rFonts w:hint="eastAsia"/>
          <w:color w:val="auto"/>
          <w:highlight w:val="none"/>
        </w:rPr>
      </w:pPr>
    </w:p>
    <w:bookmarkEnd w:id="20"/>
    <w:p>
      <w:pPr>
        <w:jc w:val="center"/>
        <w:rPr>
          <w:color w:val="auto"/>
          <w:highlight w:val="none"/>
        </w:rPr>
      </w:pPr>
      <w:r>
        <w:rPr>
          <w:rFonts w:hint="eastAsia"/>
          <w:color w:val="auto"/>
          <w:highlight w:val="none"/>
        </w:rPr>
        <w:br w:type="page"/>
      </w:r>
    </w:p>
    <w:p>
      <w:pPr>
        <w:pStyle w:val="4"/>
        <w:spacing w:before="0" w:after="0" w:line="240" w:lineRule="auto"/>
        <w:rPr>
          <w:rFonts w:hint="eastAsia"/>
          <w:color w:val="auto"/>
          <w:sz w:val="28"/>
          <w:szCs w:val="28"/>
          <w:highlight w:val="none"/>
        </w:rPr>
      </w:pPr>
      <w:bookmarkStart w:id="177" w:name="_Toc382"/>
      <w:bookmarkStart w:id="178" w:name="_Toc7011"/>
      <w:bookmarkStart w:id="179" w:name="_Toc31854"/>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77"/>
      <w:bookmarkEnd w:id="178"/>
      <w:bookmarkEnd w:id="179"/>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80" w:name="_Toc1593"/>
      <w:bookmarkStart w:id="181" w:name="_Toc24679"/>
      <w:bookmarkStart w:id="182" w:name="_Toc14462"/>
      <w:bookmarkStart w:id="183" w:name="_Toc31278"/>
      <w:bookmarkStart w:id="184" w:name="_Toc13112"/>
      <w:r>
        <w:rPr>
          <w:rFonts w:hint="eastAsia" w:ascii="宋体" w:hAnsi="宋体"/>
          <w:color w:val="auto"/>
          <w:highlight w:val="none"/>
          <w:lang w:val="en-US" w:eastAsia="zh-CN"/>
        </w:rPr>
        <w:t>第一章 商务需求书</w:t>
      </w:r>
      <w:bookmarkEnd w:id="180"/>
    </w:p>
    <w:tbl>
      <w:tblPr>
        <w:tblStyle w:val="24"/>
        <w:tblW w:w="8320" w:type="dxa"/>
        <w:tblInd w:w="7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80"/>
        <w:gridCol w:w="1120"/>
        <w:gridCol w:w="65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80"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120"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520"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680"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120"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520" w:type="dxa"/>
            <w:vAlign w:val="center"/>
          </w:tcPr>
          <w:p>
            <w:pPr>
              <w:pStyle w:val="34"/>
              <w:keepNext w:val="0"/>
              <w:keepLines w:val="0"/>
              <w:pageBreakBefore w:val="0"/>
              <w:widowControl/>
              <w:kinsoku/>
              <w:wordWrap/>
              <w:overflowPunct/>
              <w:topLinePunct w:val="0"/>
              <w:autoSpaceDE/>
              <w:autoSpaceDN/>
              <w:bidi w:val="0"/>
              <w:adjustRightInd w:val="0"/>
              <w:snapToGrid w:val="0"/>
              <w:spacing w:after="0" w:line="360" w:lineRule="auto"/>
              <w:ind w:left="210" w:leftChars="0" w:right="0" w:rightChars="0" w:hanging="210" w:hangingChars="10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680"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120"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完工期要求</w:t>
            </w:r>
          </w:p>
        </w:tc>
        <w:tc>
          <w:tcPr>
            <w:tcW w:w="6520"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签订合同后</w:t>
            </w:r>
            <w:r>
              <w:rPr>
                <w:rFonts w:hint="eastAsia" w:ascii="宋体" w:hAnsi="宋体" w:cs="宋体"/>
                <w:color w:val="auto"/>
                <w:sz w:val="21"/>
                <w:szCs w:val="21"/>
                <w:highlight w:val="none"/>
                <w:lang w:val="en-US" w:eastAsia="zh-CN"/>
              </w:rPr>
              <w:t>60</w:t>
            </w:r>
            <w:r>
              <w:rPr>
                <w:rFonts w:hint="eastAsia" w:ascii="宋体" w:hAnsi="宋体" w:eastAsia="宋体" w:cs="宋体"/>
                <w:color w:val="auto"/>
                <w:sz w:val="21"/>
                <w:szCs w:val="21"/>
                <w:highlight w:val="none"/>
                <w:lang w:eastAsia="zh-CN"/>
              </w:rPr>
              <w:t>天内完成，通过采购人验收并交付采购人使用。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680"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1120"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交货及</w:t>
            </w:r>
            <w:r>
              <w:rPr>
                <w:rFonts w:hint="eastAsia" w:ascii="宋体" w:hAnsi="宋体" w:cs="宋体"/>
                <w:color w:val="auto"/>
                <w:sz w:val="21"/>
                <w:szCs w:val="21"/>
                <w:highlight w:val="none"/>
                <w:lang w:val="en-US" w:eastAsia="zh-CN"/>
              </w:rPr>
              <w:t>安装</w:t>
            </w:r>
            <w:r>
              <w:rPr>
                <w:rFonts w:hint="eastAsia" w:ascii="宋体" w:hAnsi="宋体" w:eastAsia="宋体" w:cs="宋体"/>
                <w:color w:val="auto"/>
                <w:sz w:val="21"/>
                <w:szCs w:val="21"/>
                <w:highlight w:val="none"/>
                <w:lang w:eastAsia="zh-CN"/>
              </w:rPr>
              <w:t>地点</w:t>
            </w:r>
          </w:p>
        </w:tc>
        <w:tc>
          <w:tcPr>
            <w:tcW w:w="6520"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680"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1120"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bCs/>
                <w:color w:val="auto"/>
                <w:kern w:val="44"/>
                <w:sz w:val="21"/>
                <w:szCs w:val="21"/>
                <w:highlight w:val="none"/>
              </w:rPr>
              <w:t>★</w:t>
            </w:r>
            <w:r>
              <w:rPr>
                <w:rFonts w:hint="eastAsia" w:ascii="宋体" w:hAnsi="宋体" w:cs="宋体"/>
                <w:color w:val="auto"/>
                <w:sz w:val="21"/>
                <w:szCs w:val="21"/>
                <w:highlight w:val="none"/>
                <w:lang w:val="en-US" w:eastAsia="zh-CN"/>
              </w:rPr>
              <w:t>维护期</w:t>
            </w:r>
          </w:p>
        </w:tc>
        <w:tc>
          <w:tcPr>
            <w:tcW w:w="6520"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default" w:ascii="宋体" w:hAnsi="宋体" w:eastAsia="宋体" w:cs="宋体"/>
                <w:bCs/>
                <w:color w:val="auto"/>
                <w:kern w:val="44"/>
                <w:sz w:val="21"/>
                <w:szCs w:val="21"/>
                <w:highlight w:val="none"/>
                <w:lang w:val="en-US" w:eastAsia="zh-CN"/>
              </w:rPr>
            </w:pPr>
            <w:r>
              <w:rPr>
                <w:rFonts w:hint="eastAsia" w:ascii="宋体" w:hAnsi="宋体" w:cs="宋体"/>
                <w:bCs/>
                <w:color w:val="auto"/>
                <w:kern w:val="44"/>
                <w:sz w:val="21"/>
                <w:szCs w:val="21"/>
                <w:highlight w:val="none"/>
                <w:lang w:val="en-US" w:eastAsia="zh-CN"/>
              </w:rPr>
              <w:t>自验收合格之日起一年。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49" w:hRule="atLeast"/>
        </w:trPr>
        <w:tc>
          <w:tcPr>
            <w:tcW w:w="680"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p>
        </w:tc>
        <w:tc>
          <w:tcPr>
            <w:tcW w:w="1120"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520" w:type="dxa"/>
            <w:vAlign w:val="center"/>
          </w:tcPr>
          <w:p>
            <w:pPr>
              <w:spacing w:line="360" w:lineRule="auto"/>
              <w:jc w:val="left"/>
              <w:rPr>
                <w:rFonts w:ascii="宋体" w:hAnsi="宋体" w:cs="宋体"/>
                <w:bCs/>
                <w:szCs w:val="21"/>
              </w:rPr>
            </w:pPr>
            <w:r>
              <w:rPr>
                <w:rFonts w:hint="eastAsia" w:ascii="宋体" w:hAnsi="宋体" w:cs="宋体"/>
                <w:bCs/>
                <w:szCs w:val="21"/>
              </w:rPr>
              <w:t>签订合同后，</w:t>
            </w:r>
            <w:r>
              <w:rPr>
                <w:rFonts w:hint="eastAsia" w:ascii="宋体" w:hAnsi="宋体" w:cs="宋体"/>
                <w:bCs/>
                <w:szCs w:val="21"/>
                <w:lang w:val="en-US" w:eastAsia="zh-CN"/>
              </w:rPr>
              <w:t>1</w:t>
            </w:r>
            <w:r>
              <w:rPr>
                <w:rFonts w:hint="eastAsia" w:ascii="宋体" w:hAnsi="宋体" w:cs="宋体"/>
                <w:bCs/>
                <w:szCs w:val="21"/>
              </w:rPr>
              <w:t>5个工作日内</w:t>
            </w:r>
            <w:r>
              <w:rPr>
                <w:rFonts w:hint="eastAsia" w:ascii="宋体" w:hAnsi="宋体" w:cs="宋体"/>
                <w:bCs/>
                <w:szCs w:val="21"/>
                <w:lang w:val="en-US" w:eastAsia="zh-CN"/>
              </w:rPr>
              <w:t>采购人向中标人支付</w:t>
            </w:r>
            <w:r>
              <w:rPr>
                <w:rFonts w:hint="eastAsia" w:ascii="宋体" w:hAnsi="宋体" w:cs="宋体"/>
                <w:bCs/>
                <w:szCs w:val="21"/>
              </w:rPr>
              <w:t>合同总价款的70%；验收通过后</w:t>
            </w:r>
            <w:r>
              <w:rPr>
                <w:rFonts w:hint="eastAsia" w:ascii="宋体" w:hAnsi="宋体" w:cs="宋体"/>
                <w:bCs/>
                <w:szCs w:val="21"/>
                <w:lang w:val="en-US" w:eastAsia="zh-CN"/>
              </w:rPr>
              <w:t>15个工作日内采购人向中标人</w:t>
            </w:r>
            <w:r>
              <w:rPr>
                <w:rFonts w:hint="eastAsia" w:ascii="宋体" w:hAnsi="宋体" w:cs="宋体"/>
                <w:bCs/>
                <w:szCs w:val="21"/>
              </w:rPr>
              <w:t>支付合同总价款的30%。</w:t>
            </w:r>
          </w:p>
          <w:p>
            <w:pPr>
              <w:snapToGrid/>
              <w:rPr>
                <w:rFonts w:hint="eastAsia" w:ascii="宋体" w:hAnsi="宋体" w:eastAsia="宋体" w:cs="宋体"/>
                <w:color w:val="auto"/>
                <w:sz w:val="21"/>
                <w:szCs w:val="21"/>
                <w:highlight w:val="none"/>
                <w:lang w:eastAsia="zh-CN"/>
              </w:rPr>
            </w:pPr>
            <w:r>
              <w:rPr>
                <w:rFonts w:hint="eastAsia" w:ascii="宋体" w:hAnsi="宋体" w:cs="宋体"/>
                <w:bCs/>
                <w:szCs w:val="21"/>
              </w:rPr>
              <w:t>达到付款条件后，中标人应向采购人提供对应金额的发票，申请付款。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680"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6</w:t>
            </w:r>
          </w:p>
        </w:tc>
        <w:tc>
          <w:tcPr>
            <w:tcW w:w="1120"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520"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eastAsia" w:ascii="宋体" w:hAnsi="宋体" w:eastAsia="宋体" w:cs="宋体"/>
                <w:color w:val="auto"/>
                <w:sz w:val="21"/>
                <w:szCs w:val="21"/>
                <w:highlight w:val="none"/>
                <w:lang w:eastAsia="zh-CN"/>
              </w:rPr>
            </w:pPr>
            <w:r>
              <w:rPr>
                <w:rFonts w:hint="eastAsia" w:ascii="宋体" w:hAnsi="宋体" w:cs="仿宋"/>
                <w:color w:val="auto"/>
                <w:sz w:val="21"/>
                <w:szCs w:val="21"/>
                <w:highlight w:val="none"/>
                <w:shd w:val="clear" w:color="auto" w:fill="FFFFFF"/>
                <w:lang w:val="en-US" w:eastAsia="zh-CN"/>
              </w:rPr>
              <w:t>报价包含</w:t>
            </w:r>
            <w:r>
              <w:rPr>
                <w:rFonts w:hint="eastAsia" w:ascii="宋体" w:hAnsi="宋体" w:eastAsia="宋体" w:cs="仿宋"/>
                <w:color w:val="auto"/>
                <w:sz w:val="21"/>
                <w:szCs w:val="21"/>
                <w:highlight w:val="none"/>
                <w:shd w:val="clear" w:color="auto" w:fill="FFFFFF"/>
              </w:rPr>
              <w:t>人工费、材料费、设备使用费、各种税费、保险费及合同实施过程中的不可预见费用等全部费用</w:t>
            </w:r>
            <w:r>
              <w:rPr>
                <w:rFonts w:hint="eastAsia" w:ascii="宋体" w:hAnsi="宋体" w:cs="仿宋"/>
                <w:color w:val="auto"/>
                <w:sz w:val="21"/>
                <w:szCs w:val="21"/>
                <w:highlight w:val="none"/>
                <w:shd w:val="clear" w:color="auto" w:fill="FFFFFF"/>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680"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p>
        </w:tc>
        <w:tc>
          <w:tcPr>
            <w:tcW w:w="1120"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验收方法及标准</w:t>
            </w:r>
          </w:p>
        </w:tc>
        <w:tc>
          <w:tcPr>
            <w:tcW w:w="6520"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照采购合同的约定和现行国家标准、行业标准以及企业标准对每一项技术、服务、安全标准的履约情况进行确认。采购人有权根据需要设置出厂检验、到货检验、安装调试检验、配套服务检验等多重验收环节。必要时，采购人有权邀请参加本项目的其他投标人或者第三方机构参与验收。参与验收的投标人或者第三方机构的意见作为验收书的参考资料一并存档。验收结束后，应当出具验收书，列明各项标准的验收情况及项目总体评价，由验收双方共同签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680"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w:t>
            </w:r>
          </w:p>
        </w:tc>
        <w:tc>
          <w:tcPr>
            <w:tcW w:w="1120"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售后服务及培训</w:t>
            </w:r>
          </w:p>
        </w:tc>
        <w:tc>
          <w:tcPr>
            <w:tcW w:w="6520" w:type="dxa"/>
            <w:vAlign w:val="center"/>
          </w:tcPr>
          <w:p>
            <w:pPr>
              <w:pStyle w:val="34"/>
              <w:spacing w:after="0" w:line="360" w:lineRule="auto"/>
              <w:rPr>
                <w:rFonts w:hint="eastAsia" w:ascii="宋体" w:hAnsi="宋体" w:eastAsia="宋体" w:cs="宋体"/>
                <w:color w:val="auto"/>
                <w:sz w:val="21"/>
                <w:szCs w:val="21"/>
              </w:rPr>
            </w:pPr>
            <w:r>
              <w:rPr>
                <w:rFonts w:hint="eastAsia" w:ascii="宋体" w:hAnsi="宋体" w:cs="宋体"/>
                <w:color w:val="auto"/>
                <w:sz w:val="21"/>
                <w:szCs w:val="21"/>
                <w:lang w:val="en-US" w:eastAsia="zh-CN"/>
              </w:rPr>
              <w:t>（1）</w:t>
            </w:r>
            <w:r>
              <w:rPr>
                <w:rFonts w:hint="eastAsia" w:ascii="宋体" w:hAnsi="宋体" w:eastAsia="宋体" w:cs="宋体"/>
                <w:color w:val="auto"/>
                <w:sz w:val="21"/>
                <w:szCs w:val="21"/>
                <w:lang w:val="en-US" w:eastAsia="zh-CN"/>
              </w:rPr>
              <w:t>中标人</w:t>
            </w:r>
            <w:r>
              <w:rPr>
                <w:rFonts w:hint="eastAsia" w:ascii="宋体" w:hAnsi="宋体" w:eastAsia="宋体" w:cs="宋体"/>
                <w:color w:val="auto"/>
                <w:sz w:val="21"/>
                <w:szCs w:val="21"/>
              </w:rPr>
              <w:t>须设立专门的技术服务队伍，</w:t>
            </w:r>
            <w:r>
              <w:rPr>
                <w:rFonts w:hint="eastAsia" w:ascii="宋体" w:hAnsi="宋体" w:eastAsia="宋体" w:cs="宋体"/>
                <w:color w:val="auto"/>
                <w:sz w:val="21"/>
                <w:szCs w:val="21"/>
                <w:lang w:val="en-US" w:eastAsia="zh-CN"/>
              </w:rPr>
              <w:t>包括</w:t>
            </w:r>
            <w:r>
              <w:rPr>
                <w:rFonts w:hint="eastAsia" w:ascii="宋体" w:hAnsi="宋体" w:eastAsia="宋体" w:cs="宋体"/>
                <w:color w:val="auto"/>
                <w:sz w:val="21"/>
                <w:szCs w:val="21"/>
              </w:rPr>
              <w:t>服务咨询人员和维护工程师</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相关人员</w:t>
            </w:r>
            <w:r>
              <w:rPr>
                <w:rFonts w:hint="eastAsia" w:ascii="宋体" w:hAnsi="宋体" w:eastAsia="宋体" w:cs="宋体"/>
                <w:color w:val="auto"/>
                <w:sz w:val="21"/>
                <w:szCs w:val="21"/>
              </w:rPr>
              <w:t>应经过专门的培训，具备相应的沟通能力、业务能力和技术能力，力求在最短的时间内完成任务，尽量做到处理故障不隔日，以减少采购单位的不便及损失。</w:t>
            </w:r>
          </w:p>
          <w:p>
            <w:pPr>
              <w:pStyle w:val="34"/>
              <w:spacing w:after="0" w:line="360" w:lineRule="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（2）</w:t>
            </w:r>
            <w:r>
              <w:rPr>
                <w:rFonts w:hint="eastAsia" w:ascii="宋体" w:hAnsi="宋体" w:eastAsia="宋体" w:cs="宋体"/>
                <w:color w:val="auto"/>
                <w:sz w:val="21"/>
                <w:szCs w:val="21"/>
                <w:lang w:val="en-US" w:eastAsia="zh-CN"/>
              </w:rPr>
              <w:t>中标人应参照国际运维服务标准体系，建立各项运维服务标准流程，制定服务规章制度，应按照流程要求提供高质量、响应快的服务。服务流程应该包括服务台管理、事件管理、问题管理、配置管理、服务质量管理、服务考核评估等。要求提供7×24小时客户服务热线电话，提供全天候无间断的故障申报受理、硬件维修受理、培训需求受理以及服务政策咨询等服务内容，质保期内维修人员接到通知后2小时内响应，4小时内到场处理。</w:t>
            </w:r>
          </w:p>
          <w:p>
            <w:pPr>
              <w:pStyle w:val="34"/>
              <w:spacing w:after="0" w:line="360" w:lineRule="auto"/>
              <w:rPr>
                <w:rFonts w:ascii="宋体" w:hAnsi="宋体" w:eastAsia="宋体" w:cs="宋体"/>
                <w:color w:val="auto"/>
                <w:sz w:val="21"/>
                <w:szCs w:val="21"/>
              </w:rPr>
            </w:pPr>
            <w:r>
              <w:rPr>
                <w:rFonts w:hint="eastAsia" w:ascii="宋体" w:hAnsi="宋体" w:cs="宋体"/>
                <w:color w:val="auto"/>
                <w:sz w:val="21"/>
                <w:szCs w:val="21"/>
                <w:lang w:val="en-US" w:eastAsia="zh-CN"/>
              </w:rPr>
              <w:t>（3）</w:t>
            </w:r>
            <w:r>
              <w:rPr>
                <w:rFonts w:hint="eastAsia" w:ascii="宋体" w:hAnsi="宋体" w:eastAsia="宋体" w:cs="宋体"/>
                <w:color w:val="auto"/>
                <w:sz w:val="21"/>
                <w:szCs w:val="21"/>
              </w:rPr>
              <w:t>中标人应提供系统的免费培训服务，直到培训工作人员熟练操作为止。</w:t>
            </w:r>
          </w:p>
          <w:p>
            <w:pPr>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lang w:val="en-US" w:eastAsia="zh-CN"/>
              </w:rPr>
              <w:t>（4）</w:t>
            </w:r>
            <w:r>
              <w:rPr>
                <w:rFonts w:hint="eastAsia" w:ascii="宋体" w:hAnsi="宋体" w:eastAsia="宋体" w:cs="宋体"/>
                <w:color w:val="auto"/>
                <w:sz w:val="21"/>
                <w:szCs w:val="21"/>
              </w:rPr>
              <w:t>培训所用到的教材全部由中标人提供，培训场地和人员由采购方安排。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680"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9</w:t>
            </w:r>
          </w:p>
        </w:tc>
        <w:tc>
          <w:tcPr>
            <w:tcW w:w="1120"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520"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11" w:hRule="atLeast"/>
        </w:trPr>
        <w:tc>
          <w:tcPr>
            <w:tcW w:w="680"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p>
        </w:tc>
        <w:tc>
          <w:tcPr>
            <w:tcW w:w="1120"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违约责任</w:t>
            </w:r>
          </w:p>
        </w:tc>
        <w:tc>
          <w:tcPr>
            <w:tcW w:w="6520" w:type="dxa"/>
            <w:vAlign w:val="center"/>
          </w:tcPr>
          <w:p>
            <w:pPr>
              <w:keepNext w:val="0"/>
              <w:keepLines w:val="0"/>
              <w:pageBreakBefore w:val="0"/>
              <w:widowControl/>
              <w:kinsoku/>
              <w:wordWrap/>
              <w:overflowPunct/>
              <w:topLinePunct w:val="0"/>
              <w:autoSpaceDE/>
              <w:autoSpaceDN/>
              <w:bidi w:val="0"/>
              <w:adjustRightInd w:val="0"/>
              <w:snapToGrid/>
              <w:spacing w:beforeAutospacing="0" w:afterAutospacing="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投标人</w:t>
            </w:r>
            <w:r>
              <w:rPr>
                <w:rFonts w:hint="eastAsia" w:ascii="宋体" w:hAnsi="宋体" w:eastAsia="宋体" w:cs="宋体"/>
                <w:bCs/>
                <w:color w:val="auto"/>
                <w:sz w:val="21"/>
                <w:szCs w:val="21"/>
                <w:highlight w:val="none"/>
              </w:rPr>
              <w:t>提供的服务不符合招标文件要求的，采购人有权拒收，并要求</w:t>
            </w:r>
            <w:r>
              <w:rPr>
                <w:rFonts w:hint="eastAsia" w:ascii="宋体" w:hAnsi="宋体" w:eastAsia="宋体" w:cs="宋体"/>
                <w:bCs/>
                <w:color w:val="auto"/>
                <w:sz w:val="21"/>
                <w:szCs w:val="21"/>
                <w:highlight w:val="none"/>
                <w:lang w:eastAsia="zh-CN"/>
              </w:rPr>
              <w:t>投标人</w:t>
            </w:r>
            <w:r>
              <w:rPr>
                <w:rFonts w:hint="eastAsia" w:ascii="宋体" w:hAnsi="宋体" w:eastAsia="宋体" w:cs="宋体"/>
                <w:bCs/>
                <w:color w:val="auto"/>
                <w:sz w:val="21"/>
                <w:szCs w:val="21"/>
                <w:highlight w:val="none"/>
              </w:rPr>
              <w:t>支付合同总金额1%的违约金，违约金累计达到合同总金额的15%，采购人有权终止合同。</w:t>
            </w: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eastAsia="zh-CN"/>
              </w:rPr>
              <w:t>投标人</w:t>
            </w:r>
            <w:r>
              <w:rPr>
                <w:rFonts w:hint="eastAsia" w:ascii="宋体" w:hAnsi="宋体" w:eastAsia="宋体" w:cs="宋体"/>
                <w:bCs/>
                <w:color w:val="auto"/>
                <w:sz w:val="21"/>
                <w:szCs w:val="21"/>
                <w:highlight w:val="none"/>
              </w:rPr>
              <w:t>逾期提供各类服务、报告，则每日按本合同总金额1%向采购人支付违约金，违约金累计最高不超过合同总金额的15%。逾期超过15天，采购人有权终止合同。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680"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w:t>
            </w:r>
          </w:p>
        </w:tc>
        <w:tc>
          <w:tcPr>
            <w:tcW w:w="1120"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520"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实质响应合同各条款。</w:t>
            </w:r>
          </w:p>
        </w:tc>
      </w:tr>
    </w:tbl>
    <w:p>
      <w:pPr>
        <w:bidi w:val="0"/>
        <w:rPr>
          <w:rFonts w:hint="eastAsia"/>
          <w:color w:val="auto"/>
          <w:highlight w:val="none"/>
          <w:lang w:val="en-US" w:eastAsia="zh-CN"/>
        </w:rPr>
      </w:pPr>
    </w:p>
    <w:p>
      <w:pPr>
        <w:pStyle w:val="2"/>
        <w:rPr>
          <w:rFonts w:hint="eastAsia"/>
          <w:color w:val="auto"/>
          <w:highlight w:val="none"/>
          <w:lang w:val="en-US" w:eastAsia="zh-CN"/>
        </w:rPr>
      </w:pPr>
    </w:p>
    <w:p>
      <w:pPr>
        <w:rPr>
          <w:rFonts w:hint="eastAsia"/>
          <w:color w:val="auto"/>
          <w:highlight w:val="none"/>
          <w:lang w:val="en-US" w:eastAsia="zh-CN"/>
        </w:rPr>
      </w:pPr>
    </w:p>
    <w:p>
      <w:pPr>
        <w:bidi w:val="0"/>
        <w:rPr>
          <w:rFonts w:hint="eastAsia"/>
          <w:color w:val="auto"/>
          <w:highlight w:val="none"/>
          <w:lang w:val="en-US" w:eastAsia="zh-CN"/>
        </w:rPr>
      </w:pPr>
    </w:p>
    <w:p>
      <w:pPr>
        <w:pStyle w:val="2"/>
        <w:rPr>
          <w:rFonts w:hint="eastAsia"/>
          <w:color w:val="auto"/>
          <w:highlight w:val="none"/>
          <w:lang w:val="en-US" w:eastAsia="zh-CN"/>
        </w:rPr>
      </w:pPr>
    </w:p>
    <w:p>
      <w:pPr>
        <w:pStyle w:val="22"/>
        <w:rPr>
          <w:rFonts w:hint="eastAsia"/>
          <w:color w:val="auto"/>
          <w:highlight w:val="none"/>
          <w:lang w:val="en-US" w:eastAsia="zh-CN"/>
        </w:rPr>
      </w:pPr>
    </w:p>
    <w:p>
      <w:pPr>
        <w:pStyle w:val="22"/>
        <w:rPr>
          <w:rFonts w:hint="eastAsia"/>
          <w:color w:val="auto"/>
          <w:highlight w:val="none"/>
          <w:lang w:val="en-US" w:eastAsia="zh-CN"/>
        </w:rPr>
      </w:pPr>
    </w:p>
    <w:p>
      <w:pPr>
        <w:pStyle w:val="22"/>
        <w:rPr>
          <w:rFonts w:hint="eastAsia"/>
          <w:color w:val="auto"/>
          <w:highlight w:val="none"/>
          <w:lang w:val="en-US" w:eastAsia="zh-CN"/>
        </w:rPr>
      </w:pPr>
    </w:p>
    <w:p>
      <w:pPr>
        <w:pStyle w:val="22"/>
        <w:rPr>
          <w:rFonts w:hint="eastAsia"/>
          <w:color w:val="auto"/>
          <w:highlight w:val="none"/>
          <w:lang w:val="en-US" w:eastAsia="zh-CN"/>
        </w:rPr>
      </w:pPr>
    </w:p>
    <w:p>
      <w:pPr>
        <w:pStyle w:val="22"/>
        <w:rPr>
          <w:rFonts w:hint="eastAsia"/>
          <w:color w:val="auto"/>
          <w:highlight w:val="none"/>
          <w:lang w:val="en-US" w:eastAsia="zh-CN"/>
        </w:rPr>
      </w:pPr>
    </w:p>
    <w:p>
      <w:pPr>
        <w:pStyle w:val="22"/>
        <w:rPr>
          <w:rFonts w:hint="eastAsia"/>
          <w:color w:val="auto"/>
          <w:highlight w:val="none"/>
          <w:lang w:val="en-US" w:eastAsia="zh-CN"/>
        </w:rPr>
      </w:pPr>
    </w:p>
    <w:p>
      <w:pPr>
        <w:bidi w:val="0"/>
        <w:rPr>
          <w:rFonts w:hint="eastAsia"/>
          <w:color w:val="auto"/>
          <w:highlight w:val="none"/>
          <w:lang w:val="en-US" w:eastAsia="zh-CN"/>
        </w:rPr>
      </w:pPr>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color w:val="auto"/>
          <w:sz w:val="24"/>
          <w:highlight w:val="none"/>
        </w:rPr>
      </w:pPr>
      <w:bookmarkStart w:id="185" w:name="_Toc19316"/>
      <w:r>
        <w:rPr>
          <w:rFonts w:hint="eastAsia" w:ascii="宋体" w:hAnsi="宋体"/>
          <w:color w:val="auto"/>
          <w:highlight w:val="none"/>
          <w:lang w:val="en-US" w:eastAsia="zh-CN"/>
        </w:rPr>
        <w:t>第二章 技术需求书</w:t>
      </w:r>
      <w:bookmarkEnd w:id="185"/>
    </w:p>
    <w:p>
      <w:pPr>
        <w:pStyle w:val="6"/>
        <w:bidi w:val="0"/>
        <w:rPr>
          <w:rFonts w:hint="default" w:eastAsia="宋体"/>
          <w:lang w:val="en-US" w:eastAsia="zh-CN"/>
        </w:rPr>
      </w:pPr>
      <w:bookmarkStart w:id="186" w:name="_Toc31307"/>
      <w:bookmarkStart w:id="187" w:name="_Toc53225072"/>
      <w:bookmarkStart w:id="188" w:name="_Toc3405"/>
      <w:bookmarkStart w:id="189" w:name="_Toc3435"/>
      <w:bookmarkStart w:id="190" w:name="_Toc16204"/>
      <w:bookmarkStart w:id="191" w:name="_Toc10792"/>
      <w:bookmarkStart w:id="192" w:name="_Toc5347"/>
      <w:bookmarkStart w:id="193" w:name="_Toc4576_WPSOffice_Level2"/>
      <w:bookmarkStart w:id="194" w:name="_Toc30812"/>
      <w:r>
        <w:rPr>
          <w:rFonts w:hint="eastAsia"/>
          <w:lang w:val="en-US" w:eastAsia="zh-CN"/>
        </w:rPr>
        <w:t>一、</w:t>
      </w:r>
      <w:bookmarkEnd w:id="186"/>
      <w:bookmarkEnd w:id="187"/>
      <w:bookmarkEnd w:id="188"/>
      <w:bookmarkEnd w:id="189"/>
      <w:bookmarkEnd w:id="190"/>
      <w:bookmarkEnd w:id="191"/>
      <w:bookmarkEnd w:id="192"/>
      <w:bookmarkEnd w:id="193"/>
      <w:bookmarkEnd w:id="194"/>
      <w:r>
        <w:rPr>
          <w:rFonts w:hint="eastAsia"/>
          <w:lang w:val="en-US" w:eastAsia="zh-CN"/>
        </w:rPr>
        <w:t>项目背景</w:t>
      </w:r>
    </w:p>
    <w:p>
      <w:pPr>
        <w:bidi w:val="0"/>
        <w:ind w:firstLine="420" w:firstLineChars="200"/>
        <w:rPr>
          <w:rFonts w:hint="eastAsia" w:ascii="宋体" w:hAnsi="宋体" w:cs="宋体"/>
          <w:szCs w:val="21"/>
        </w:rPr>
      </w:pPr>
      <w:r>
        <w:rPr>
          <w:rFonts w:hint="eastAsia" w:ascii="宋体" w:hAnsi="宋体" w:cs="宋体"/>
          <w:szCs w:val="21"/>
        </w:rPr>
        <w:t>社区卫生服务机构承担着公共卫生服务的职责，基本医疗、家庭医生签约服务、健康体检、健康管理等一系列工作任务繁重，尤其是今年新冠肺炎疫情的高强度防控工作，我中心目前人手极为紧缺。就诊人数较多的站点，经常出现候诊时间长、缴费时间长、拿药时间长、人员聚集排队等情况，严重影响患者就医体验。我中心亟需通过信息化手段进行流程优化，提升服务便民度。</w:t>
      </w:r>
    </w:p>
    <w:p>
      <w:pPr>
        <w:bidi w:val="0"/>
        <w:rPr>
          <w:rFonts w:hint="eastAsia"/>
        </w:rPr>
      </w:pPr>
    </w:p>
    <w:p>
      <w:pPr>
        <w:pStyle w:val="6"/>
        <w:rPr>
          <w:rFonts w:hint="eastAsia" w:ascii="宋体" w:hAnsi="宋体" w:cs="宋体"/>
          <w:szCs w:val="21"/>
        </w:rPr>
      </w:pPr>
      <w:bookmarkStart w:id="195" w:name="_Toc24697"/>
      <w:bookmarkStart w:id="196" w:name="_Toc31751"/>
      <w:bookmarkStart w:id="197" w:name="_Toc9482"/>
      <w:bookmarkStart w:id="198" w:name="_Toc15871"/>
      <w:bookmarkStart w:id="199" w:name="_Toc17858_WPSOffice_Level2"/>
      <w:bookmarkStart w:id="200" w:name="_Toc27160"/>
      <w:bookmarkStart w:id="201" w:name="_Toc7332"/>
      <w:bookmarkStart w:id="202" w:name="_Toc18308"/>
      <w:bookmarkStart w:id="203" w:name="_Toc53225073"/>
      <w:r>
        <w:rPr>
          <w:rFonts w:hint="eastAsia"/>
          <w:lang w:val="en-US" w:eastAsia="zh-CN"/>
        </w:rPr>
        <w:t>二、建设</w:t>
      </w:r>
      <w:bookmarkEnd w:id="195"/>
      <w:bookmarkEnd w:id="196"/>
      <w:bookmarkEnd w:id="197"/>
      <w:bookmarkEnd w:id="198"/>
      <w:bookmarkEnd w:id="199"/>
      <w:bookmarkEnd w:id="200"/>
      <w:bookmarkEnd w:id="201"/>
      <w:bookmarkEnd w:id="202"/>
      <w:r>
        <w:rPr>
          <w:rFonts w:hint="eastAsia"/>
          <w:lang w:val="en-US" w:eastAsia="zh-CN"/>
        </w:rPr>
        <w:t>内容</w:t>
      </w:r>
      <w:bookmarkEnd w:id="203"/>
    </w:p>
    <w:p>
      <w:pPr>
        <w:spacing w:line="360" w:lineRule="auto"/>
        <w:ind w:firstLine="420" w:firstLineChars="200"/>
        <w:rPr>
          <w:rFonts w:hint="eastAsia" w:cstheme="minorBidi"/>
          <w:szCs w:val="22"/>
          <w:lang w:val="en-US" w:eastAsia="zh-CN"/>
        </w:rPr>
      </w:pPr>
      <w:r>
        <w:rPr>
          <w:rFonts w:hint="default" w:ascii="Tahoma" w:hAnsi="Tahoma" w:cstheme="minorBidi"/>
          <w:szCs w:val="22"/>
        </w:rPr>
        <w:t>为提高市民就医体验，减轻员工工作压力，现对中心门诊</w:t>
      </w:r>
      <w:r>
        <w:rPr>
          <w:rFonts w:hint="eastAsia" w:cstheme="minorBidi"/>
          <w:szCs w:val="22"/>
          <w:lang w:val="en-US" w:eastAsia="zh-CN"/>
        </w:rPr>
        <w:t>及部分卫生服务</w:t>
      </w:r>
      <w:r>
        <w:rPr>
          <w:rFonts w:hint="default" w:ascii="Tahoma" w:hAnsi="Tahoma" w:cstheme="minorBidi"/>
          <w:szCs w:val="22"/>
        </w:rPr>
        <w:t>站点实施智能化升级改造，</w:t>
      </w:r>
      <w:r>
        <w:rPr>
          <w:rFonts w:hint="eastAsia" w:cstheme="minorBidi"/>
          <w:szCs w:val="22"/>
          <w:lang w:val="en-US" w:eastAsia="zh-CN"/>
        </w:rPr>
        <w:t>在对接东莞市社区卫生服务信息系统前提下，实施</w:t>
      </w:r>
      <w:r>
        <w:rPr>
          <w:rFonts w:hint="default" w:ascii="Tahoma" w:hAnsi="Tahoma" w:cstheme="minorBidi"/>
          <w:szCs w:val="22"/>
        </w:rPr>
        <w:t>：1、实施现场导诊系统，提供人工引导、自助服务；</w:t>
      </w:r>
      <w:r>
        <w:rPr>
          <w:rFonts w:hint="default" w:ascii="Tahoma" w:hAnsi="Tahoma" w:cstheme="minorBidi"/>
          <w:szCs w:val="22"/>
          <w:lang w:val="en-US" w:eastAsia="zh-CN"/>
        </w:rPr>
        <w:t>2</w:t>
      </w:r>
      <w:r>
        <w:rPr>
          <w:rFonts w:hint="default" w:ascii="Tahoma" w:hAnsi="Tahoma" w:cstheme="minorBidi"/>
          <w:szCs w:val="22"/>
        </w:rPr>
        <w:t>、实施诊室外便民显示、收费显示系统</w:t>
      </w:r>
      <w:r>
        <w:rPr>
          <w:rFonts w:hint="default" w:ascii="Tahoma" w:hAnsi="Tahoma" w:cstheme="minorBidi"/>
          <w:szCs w:val="22"/>
          <w:lang w:eastAsia="zh-CN"/>
        </w:rPr>
        <w:t>、</w:t>
      </w:r>
      <w:r>
        <w:rPr>
          <w:rFonts w:hint="default" w:ascii="Tahoma" w:hAnsi="Tahoma" w:cstheme="minorBidi"/>
          <w:szCs w:val="22"/>
          <w:lang w:val="en-US" w:eastAsia="zh-CN"/>
        </w:rPr>
        <w:t>药品</w:t>
      </w:r>
      <w:r>
        <w:rPr>
          <w:rFonts w:hint="eastAsia" w:ascii="宋体" w:hAnsi="宋体" w:cs="宋体"/>
          <w:szCs w:val="21"/>
          <w:lang w:val="en-US" w:eastAsia="zh-CN"/>
        </w:rPr>
        <w:t>价格</w:t>
      </w:r>
      <w:r>
        <w:rPr>
          <w:rFonts w:hint="default" w:ascii="Tahoma" w:hAnsi="Tahoma" w:cstheme="minorBidi"/>
          <w:szCs w:val="22"/>
          <w:lang w:val="en-US" w:eastAsia="zh-CN"/>
        </w:rPr>
        <w:t>公示</w:t>
      </w:r>
      <w:r>
        <w:rPr>
          <w:rFonts w:hint="default" w:ascii="Tahoma" w:hAnsi="Tahoma" w:cstheme="minorBidi"/>
          <w:szCs w:val="22"/>
        </w:rPr>
        <w:t>；</w:t>
      </w:r>
      <w:r>
        <w:rPr>
          <w:rFonts w:hint="default" w:ascii="Tahoma" w:hAnsi="Tahoma" w:cstheme="minorBidi"/>
          <w:szCs w:val="22"/>
          <w:lang w:val="en-US" w:eastAsia="zh-CN"/>
        </w:rPr>
        <w:t>3</w:t>
      </w:r>
      <w:r>
        <w:rPr>
          <w:rFonts w:hint="default" w:ascii="Tahoma" w:hAnsi="Tahoma" w:cstheme="minorBidi"/>
          <w:szCs w:val="22"/>
        </w:rPr>
        <w:t>、实施门诊</w:t>
      </w:r>
      <w:r>
        <w:rPr>
          <w:rFonts w:hint="default" w:ascii="Tahoma" w:hAnsi="Tahoma" w:cstheme="minorBidi"/>
          <w:szCs w:val="22"/>
          <w:lang w:eastAsia="zh-CN"/>
        </w:rPr>
        <w:t>、</w:t>
      </w:r>
      <w:r>
        <w:rPr>
          <w:rFonts w:hint="default" w:ascii="Tahoma" w:hAnsi="Tahoma" w:cstheme="minorBidi"/>
          <w:szCs w:val="22"/>
          <w:lang w:val="en-US" w:eastAsia="zh-CN"/>
        </w:rPr>
        <w:t>B超排队叫号系统；4、实施发药叫号、智能发药系统等内容</w:t>
      </w:r>
      <w:r>
        <w:rPr>
          <w:rFonts w:hint="eastAsia" w:cstheme="minorBidi"/>
          <w:szCs w:val="22"/>
          <w:lang w:val="en-US" w:eastAsia="zh-CN"/>
        </w:rPr>
        <w:t>，以及相关的安全设备和综合布线。</w:t>
      </w:r>
    </w:p>
    <w:p>
      <w:pPr>
        <w:ind w:firstLine="420" w:firstLineChars="200"/>
        <w:rPr>
          <w:rFonts w:hint="default" w:ascii="宋体" w:hAnsi="宋体"/>
          <w:sz w:val="21"/>
          <w:szCs w:val="21"/>
          <w:lang w:val="en-US" w:eastAsia="zh-CN"/>
        </w:rPr>
      </w:pPr>
      <w:r>
        <w:rPr>
          <w:rFonts w:hint="eastAsia" w:cstheme="minorBidi"/>
          <w:szCs w:val="22"/>
          <w:lang w:val="en-US" w:eastAsia="zh-CN"/>
        </w:rPr>
        <w:t>各点按实际情况实施不同内容，</w:t>
      </w:r>
      <w:r>
        <w:rPr>
          <w:rFonts w:hint="eastAsia" w:ascii="宋体" w:hAnsi="宋体"/>
          <w:sz w:val="21"/>
          <w:szCs w:val="21"/>
          <w:lang w:val="en-US" w:eastAsia="zh-CN"/>
        </w:rPr>
        <w:t>采购系统清单如下：</w:t>
      </w:r>
    </w:p>
    <w:tbl>
      <w:tblPr>
        <w:tblStyle w:val="24"/>
        <w:tblW w:w="0" w:type="auto"/>
        <w:tblInd w:w="6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40"/>
        <w:gridCol w:w="1001"/>
        <w:gridCol w:w="890"/>
        <w:gridCol w:w="974"/>
        <w:gridCol w:w="890"/>
        <w:gridCol w:w="665"/>
        <w:gridCol w:w="772"/>
        <w:gridCol w:w="890"/>
        <w:gridCol w:w="890"/>
        <w:gridCol w:w="1001"/>
        <w:gridCol w:w="6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40" w:type="dxa"/>
            <w:vMerge w:val="restart"/>
            <w:tcBorders>
              <w:top w:val="single" w:color="000000" w:sz="4" w:space="0"/>
              <w:left w:val="single" w:color="000000" w:sz="4" w:space="0"/>
              <w:right w:val="single" w:color="000000" w:sz="4" w:space="0"/>
            </w:tcBorders>
            <w:shd w:val="clear" w:color="auto" w:fill="F1F1F1" w:themeFill="background1" w:themeFillShade="F2"/>
            <w:noWrap/>
            <w:vAlign w:val="center"/>
          </w:tcPr>
          <w:p>
            <w:pPr>
              <w:keepNext w:val="0"/>
              <w:keepLines w:val="0"/>
              <w:widowControl/>
              <w:suppressLineNumbers w:val="0"/>
              <w:spacing w:before="181" w:beforeLines="50" w:after="181" w:afterLines="50"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001" w:type="dxa"/>
            <w:vMerge w:val="restart"/>
            <w:tcBorders>
              <w:top w:val="single" w:color="000000" w:sz="4" w:space="0"/>
              <w:left w:val="single" w:color="000000" w:sz="4" w:space="0"/>
              <w:right w:val="single" w:color="000000" w:sz="4" w:space="0"/>
            </w:tcBorders>
            <w:shd w:val="clear" w:color="auto" w:fill="F1F1F1" w:themeFill="background1" w:themeFillShade="F2"/>
            <w:noWrap/>
            <w:vAlign w:val="center"/>
          </w:tcPr>
          <w:p>
            <w:pPr>
              <w:keepNext w:val="0"/>
              <w:keepLines w:val="0"/>
              <w:widowControl/>
              <w:suppressLineNumbers w:val="0"/>
              <w:spacing w:before="181" w:beforeLines="50" w:after="181" w:afterLines="50"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中心或站点名称</w:t>
            </w:r>
          </w:p>
        </w:tc>
        <w:tc>
          <w:tcPr>
            <w:tcW w:w="6490" w:type="dxa"/>
            <w:gridSpan w:val="8"/>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vAlign w:val="center"/>
          </w:tcPr>
          <w:p>
            <w:pPr>
              <w:keepNext w:val="0"/>
              <w:keepLines w:val="0"/>
              <w:widowControl/>
              <w:suppressLineNumbers w:val="0"/>
              <w:spacing w:before="181" w:beforeLines="50" w:after="181" w:afterLines="50" w:line="240" w:lineRule="auto"/>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采购内容和数量</w:t>
            </w:r>
          </w:p>
        </w:tc>
        <w:tc>
          <w:tcPr>
            <w:tcW w:w="636"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vAlign w:val="center"/>
          </w:tcPr>
          <w:p>
            <w:pPr>
              <w:keepNext w:val="0"/>
              <w:keepLines w:val="0"/>
              <w:widowControl/>
              <w:suppressLineNumbers w:val="0"/>
              <w:spacing w:before="181" w:beforeLines="50" w:after="181" w:afterLines="50" w:line="240" w:lineRule="auto"/>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40" w:type="dxa"/>
            <w:vMerge w:val="continue"/>
            <w:tcBorders>
              <w:left w:val="single" w:color="000000" w:sz="4" w:space="0"/>
              <w:bottom w:val="single" w:color="000000" w:sz="4" w:space="0"/>
              <w:right w:val="single" w:color="000000" w:sz="4" w:space="0"/>
            </w:tcBorders>
            <w:shd w:val="clear" w:color="auto" w:fill="F1F1F1" w:themeFill="background1" w:themeFillShade="F2"/>
            <w:noWrap/>
            <w:vAlign w:val="center"/>
          </w:tcPr>
          <w:p>
            <w:pPr>
              <w:keepNext w:val="0"/>
              <w:keepLines w:val="0"/>
              <w:widowControl/>
              <w:suppressLineNumbers w:val="0"/>
              <w:spacing w:before="181" w:beforeLines="50" w:after="181" w:afterLines="50" w:line="240" w:lineRule="auto"/>
              <w:jc w:val="center"/>
              <w:textAlignment w:val="center"/>
              <w:rPr>
                <w:rFonts w:hint="eastAsia" w:ascii="宋体" w:hAnsi="宋体" w:eastAsia="宋体" w:cs="宋体"/>
                <w:i w:val="0"/>
                <w:iCs w:val="0"/>
                <w:color w:val="000000"/>
                <w:sz w:val="22"/>
                <w:szCs w:val="22"/>
                <w:u w:val="none"/>
              </w:rPr>
            </w:pPr>
          </w:p>
        </w:tc>
        <w:tc>
          <w:tcPr>
            <w:tcW w:w="1001" w:type="dxa"/>
            <w:vMerge w:val="continue"/>
            <w:tcBorders>
              <w:left w:val="single" w:color="000000" w:sz="4" w:space="0"/>
              <w:bottom w:val="single" w:color="000000" w:sz="4" w:space="0"/>
              <w:right w:val="single" w:color="000000" w:sz="4" w:space="0"/>
            </w:tcBorders>
            <w:shd w:val="clear" w:color="auto" w:fill="F1F1F1" w:themeFill="background1" w:themeFillShade="F2"/>
            <w:noWrap/>
            <w:vAlign w:val="center"/>
          </w:tcPr>
          <w:p>
            <w:pPr>
              <w:keepNext w:val="0"/>
              <w:keepLines w:val="0"/>
              <w:widowControl/>
              <w:suppressLineNumbers w:val="0"/>
              <w:spacing w:before="181" w:beforeLines="50" w:after="181" w:afterLines="50" w:line="240" w:lineRule="auto"/>
              <w:jc w:val="center"/>
              <w:textAlignment w:val="center"/>
              <w:rPr>
                <w:rFonts w:hint="eastAsia" w:ascii="宋体" w:hAnsi="宋体" w:eastAsia="宋体" w:cs="宋体"/>
                <w:i w:val="0"/>
                <w:iCs w:val="0"/>
                <w:color w:val="000000"/>
                <w:sz w:val="22"/>
                <w:szCs w:val="22"/>
                <w:u w:val="none"/>
              </w:rPr>
            </w:pPr>
          </w:p>
        </w:tc>
        <w:tc>
          <w:tcPr>
            <w:tcW w:w="890"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vAlign w:val="center"/>
          </w:tcPr>
          <w:p>
            <w:pPr>
              <w:keepNext w:val="0"/>
              <w:keepLines w:val="0"/>
              <w:widowControl/>
              <w:suppressLineNumbers w:val="0"/>
              <w:spacing w:before="181" w:beforeLines="50" w:after="181" w:afterLines="50" w:line="240" w:lineRule="auto"/>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便民显示系统</w:t>
            </w:r>
          </w:p>
        </w:tc>
        <w:tc>
          <w:tcPr>
            <w:tcW w:w="974"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vAlign w:val="center"/>
          </w:tcPr>
          <w:p>
            <w:pPr>
              <w:keepNext w:val="0"/>
              <w:keepLines w:val="0"/>
              <w:widowControl/>
              <w:suppressLineNumbers w:val="0"/>
              <w:spacing w:before="181" w:beforeLines="50" w:after="181" w:afterLines="50" w:line="240" w:lineRule="auto"/>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B超室叫号系统</w:t>
            </w:r>
          </w:p>
        </w:tc>
        <w:tc>
          <w:tcPr>
            <w:tcW w:w="890"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vAlign w:val="center"/>
          </w:tcPr>
          <w:p>
            <w:pPr>
              <w:keepNext w:val="0"/>
              <w:keepLines w:val="0"/>
              <w:widowControl/>
              <w:suppressLineNumbers w:val="0"/>
              <w:spacing w:before="181" w:beforeLines="50" w:after="181" w:afterLines="50" w:line="240" w:lineRule="auto"/>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收费显示系统</w:t>
            </w:r>
          </w:p>
        </w:tc>
        <w:tc>
          <w:tcPr>
            <w:tcW w:w="665"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vAlign w:val="center"/>
          </w:tcPr>
          <w:p>
            <w:pPr>
              <w:keepNext w:val="0"/>
              <w:keepLines w:val="0"/>
              <w:widowControl/>
              <w:suppressLineNumbers w:val="0"/>
              <w:spacing w:before="181" w:beforeLines="50" w:after="181" w:afterLines="50" w:line="240" w:lineRule="auto"/>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药房系统</w:t>
            </w:r>
          </w:p>
        </w:tc>
        <w:tc>
          <w:tcPr>
            <w:tcW w:w="772"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vAlign w:val="center"/>
          </w:tcPr>
          <w:p>
            <w:pPr>
              <w:keepNext w:val="0"/>
              <w:keepLines w:val="0"/>
              <w:widowControl/>
              <w:suppressLineNumbers w:val="0"/>
              <w:spacing w:before="181" w:beforeLines="50" w:after="181" w:afterLines="50" w:line="240" w:lineRule="auto"/>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olor w:val="auto"/>
                <w:sz w:val="21"/>
                <w:szCs w:val="21"/>
                <w:highlight w:val="none"/>
              </w:rPr>
              <w:t>●</w:t>
            </w:r>
            <w:r>
              <w:rPr>
                <w:rFonts w:hint="eastAsia" w:ascii="宋体" w:hAnsi="宋体" w:eastAsia="宋体" w:cs="宋体"/>
                <w:i w:val="0"/>
                <w:iCs w:val="0"/>
                <w:color w:val="000000"/>
                <w:kern w:val="0"/>
                <w:sz w:val="22"/>
                <w:szCs w:val="22"/>
                <w:highlight w:val="none"/>
                <w:u w:val="none"/>
                <w:lang w:val="en-US" w:eastAsia="zh-CN" w:bidi="ar"/>
              </w:rPr>
              <w:t>呼叫系统</w:t>
            </w:r>
          </w:p>
        </w:tc>
        <w:tc>
          <w:tcPr>
            <w:tcW w:w="890"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vAlign w:val="center"/>
          </w:tcPr>
          <w:p>
            <w:pPr>
              <w:keepNext w:val="0"/>
              <w:keepLines w:val="0"/>
              <w:widowControl/>
              <w:suppressLineNumbers w:val="0"/>
              <w:spacing w:before="181" w:beforeLines="50" w:after="181" w:afterLines="50" w:line="240" w:lineRule="auto"/>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智能发药系统</w:t>
            </w:r>
          </w:p>
        </w:tc>
        <w:tc>
          <w:tcPr>
            <w:tcW w:w="890"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vAlign w:val="center"/>
          </w:tcPr>
          <w:p>
            <w:pPr>
              <w:keepNext w:val="0"/>
              <w:keepLines w:val="0"/>
              <w:widowControl/>
              <w:suppressLineNumbers w:val="0"/>
              <w:spacing w:before="181" w:beforeLines="50" w:after="181" w:afterLines="50" w:line="240" w:lineRule="auto"/>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现场导诊系统</w:t>
            </w:r>
          </w:p>
        </w:tc>
        <w:tc>
          <w:tcPr>
            <w:tcW w:w="1001"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vAlign w:val="center"/>
          </w:tcPr>
          <w:p>
            <w:pPr>
              <w:keepNext w:val="0"/>
              <w:keepLines w:val="0"/>
              <w:widowControl/>
              <w:suppressLineNumbers w:val="0"/>
              <w:spacing w:before="181" w:beforeLines="50" w:after="181" w:afterLines="50" w:line="240" w:lineRule="auto"/>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药品公示电子屏系统</w:t>
            </w:r>
          </w:p>
        </w:tc>
        <w:tc>
          <w:tcPr>
            <w:tcW w:w="636"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vAlign w:val="center"/>
          </w:tcPr>
          <w:p>
            <w:pPr>
              <w:keepNext w:val="0"/>
              <w:keepLines w:val="0"/>
              <w:widowControl/>
              <w:suppressLineNumbers w:val="0"/>
              <w:spacing w:before="181" w:beforeLines="50" w:after="181" w:afterLines="50" w:line="240" w:lineRule="auto"/>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防火墙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旧中心</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2套</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1套</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恒泉</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套</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套</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套</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石涌</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套</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套</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套</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新四</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套</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套</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套</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套</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村尾</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套</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套</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套</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田坑</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r>
              <w:rPr>
                <w:rFonts w:hint="eastAsia" w:ascii="宋体" w:hAnsi="宋体" w:cs="宋体"/>
                <w:i w:val="0"/>
                <w:iCs w:val="0"/>
                <w:color w:val="000000"/>
                <w:kern w:val="0"/>
                <w:sz w:val="22"/>
                <w:szCs w:val="22"/>
                <w:u w:val="none"/>
                <w:lang w:val="en-US" w:eastAsia="zh-CN" w:bidi="ar"/>
              </w:rPr>
              <w:t>套</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套</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套</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套</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水边</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套</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套</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套</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田饶步</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套</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套</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套</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新中心</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r>
              <w:rPr>
                <w:rFonts w:hint="eastAsia" w:ascii="宋体" w:hAnsi="宋体" w:cs="宋体"/>
                <w:i w:val="0"/>
                <w:iCs w:val="0"/>
                <w:color w:val="000000"/>
                <w:kern w:val="0"/>
                <w:sz w:val="22"/>
                <w:szCs w:val="22"/>
                <w:u w:val="none"/>
                <w:lang w:val="en-US" w:eastAsia="zh-CN" w:bidi="ar"/>
              </w:rPr>
              <w:t>套</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套</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套</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套</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套</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套</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套</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合计</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29套</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3套</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w:t>
            </w:r>
            <w:r>
              <w:rPr>
                <w:rFonts w:hint="eastAsia" w:ascii="宋体" w:hAnsi="宋体" w:cs="宋体"/>
                <w:i w:val="0"/>
                <w:iCs w:val="0"/>
                <w:color w:val="000000"/>
                <w:kern w:val="0"/>
                <w:sz w:val="22"/>
                <w:szCs w:val="22"/>
                <w:highlight w:val="none"/>
                <w:u w:val="none"/>
                <w:lang w:val="en-US" w:eastAsia="zh-CN" w:bidi="ar"/>
              </w:rPr>
              <w:t>0套</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1套</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r>
              <w:rPr>
                <w:rFonts w:hint="eastAsia" w:ascii="宋体" w:hAnsi="宋体" w:cs="宋体"/>
                <w:i w:val="0"/>
                <w:iCs w:val="0"/>
                <w:color w:val="000000"/>
                <w:kern w:val="0"/>
                <w:sz w:val="22"/>
                <w:szCs w:val="22"/>
                <w:u w:val="none"/>
                <w:lang w:val="en-US" w:eastAsia="zh-CN" w:bidi="ar"/>
              </w:rPr>
              <w:t>套</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套</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套</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套</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1套</w:t>
            </w:r>
          </w:p>
        </w:tc>
      </w:tr>
    </w:tbl>
    <w:p>
      <w:pPr>
        <w:ind w:firstLine="420" w:firstLineChars="200"/>
        <w:rPr>
          <w:rFonts w:hint="default" w:ascii="宋体" w:hAnsi="宋体"/>
          <w:sz w:val="21"/>
          <w:szCs w:val="21"/>
          <w:lang w:val="en-US" w:eastAsia="zh-CN"/>
        </w:rPr>
      </w:pPr>
      <w:r>
        <w:rPr>
          <w:rFonts w:hint="eastAsia" w:ascii="宋体" w:hAnsi="宋体"/>
          <w:sz w:val="21"/>
          <w:szCs w:val="21"/>
          <w:lang w:val="en-US" w:eastAsia="zh-CN"/>
        </w:rPr>
        <w:t>综合布线采购内容包括网线、电源安装（含线材、辅材）。</w:t>
      </w:r>
    </w:p>
    <w:p>
      <w:pPr>
        <w:bidi w:val="0"/>
        <w:rPr>
          <w:rFonts w:hint="eastAsia"/>
        </w:rPr>
      </w:pPr>
    </w:p>
    <w:p>
      <w:pPr>
        <w:pStyle w:val="6"/>
        <w:bidi w:val="0"/>
        <w:rPr>
          <w:rFonts w:hint="eastAsia"/>
          <w:lang w:val="en-US" w:eastAsia="zh-CN"/>
        </w:rPr>
      </w:pPr>
      <w:bookmarkStart w:id="204" w:name="_Toc4234"/>
      <w:bookmarkStart w:id="205" w:name="_Toc31575"/>
      <w:bookmarkStart w:id="206" w:name="_Toc22578"/>
      <w:bookmarkStart w:id="207" w:name="_Toc18807_WPSOffice_Level2"/>
      <w:bookmarkStart w:id="208" w:name="_Toc22246"/>
      <w:bookmarkStart w:id="209" w:name="_Toc53225074"/>
      <w:bookmarkStart w:id="210" w:name="_Toc29337"/>
      <w:bookmarkStart w:id="211" w:name="_Toc17862"/>
      <w:bookmarkStart w:id="212" w:name="_Toc15159"/>
      <w:r>
        <w:rPr>
          <w:rFonts w:hint="eastAsia"/>
          <w:lang w:val="en-US" w:eastAsia="zh-CN"/>
        </w:rPr>
        <w:t>三、建设原则</w:t>
      </w:r>
      <w:bookmarkEnd w:id="204"/>
      <w:bookmarkEnd w:id="205"/>
      <w:bookmarkEnd w:id="206"/>
      <w:bookmarkEnd w:id="207"/>
      <w:bookmarkEnd w:id="208"/>
      <w:bookmarkEnd w:id="209"/>
      <w:bookmarkEnd w:id="210"/>
      <w:bookmarkEnd w:id="211"/>
      <w:bookmarkEnd w:id="212"/>
    </w:p>
    <w:p>
      <w:pPr>
        <w:pageBreakBefore w:val="0"/>
        <w:widowControl/>
        <w:numPr>
          <w:ilvl w:val="0"/>
          <w:numId w:val="0"/>
        </w:numPr>
        <w:kinsoku/>
        <w:wordWrap/>
        <w:overflowPunct/>
        <w:topLinePunct w:val="0"/>
        <w:autoSpaceDE/>
        <w:autoSpaceDN/>
        <w:bidi w:val="0"/>
        <w:adjustRightInd w:val="0"/>
        <w:snapToGrid w:val="0"/>
        <w:spacing w:line="360" w:lineRule="auto"/>
        <w:ind w:left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科学性原则</w:t>
      </w:r>
    </w:p>
    <w:p>
      <w:pPr>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需要根据目前的新技术，结合当前中心的实际情况，以及市卫健局的整体规划情况，进行科学的规划。</w:t>
      </w:r>
    </w:p>
    <w:p>
      <w:pPr>
        <w:pageBreakBefore w:val="0"/>
        <w:widowControl/>
        <w:numPr>
          <w:ilvl w:val="0"/>
          <w:numId w:val="0"/>
        </w:numPr>
        <w:kinsoku/>
        <w:wordWrap/>
        <w:overflowPunct/>
        <w:topLinePunct w:val="0"/>
        <w:autoSpaceDE/>
        <w:autoSpaceDN/>
        <w:bidi w:val="0"/>
        <w:adjustRightInd w:val="0"/>
        <w:snapToGrid w:val="0"/>
        <w:spacing w:line="360" w:lineRule="auto"/>
        <w:ind w:left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实用性原则</w:t>
      </w:r>
    </w:p>
    <w:p>
      <w:pPr>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根据社区中心日常的业务开展实际，重点考虑合理分配资源的需要，业务操作的需要，便民服务的需要。以“提高效率，优化流程”为出发点。</w:t>
      </w:r>
    </w:p>
    <w:p>
      <w:pPr>
        <w:pageBreakBefore w:val="0"/>
        <w:widowControl/>
        <w:numPr>
          <w:ilvl w:val="0"/>
          <w:numId w:val="0"/>
        </w:numPr>
        <w:kinsoku/>
        <w:wordWrap/>
        <w:overflowPunct/>
        <w:topLinePunct w:val="0"/>
        <w:autoSpaceDE/>
        <w:autoSpaceDN/>
        <w:bidi w:val="0"/>
        <w:adjustRightInd w:val="0"/>
        <w:snapToGrid w:val="0"/>
        <w:spacing w:line="360" w:lineRule="auto"/>
        <w:ind w:left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前瞻性原则</w:t>
      </w:r>
    </w:p>
    <w:p>
      <w:pPr>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考虑到社区卫生中心的整体规划，需要考虑将来的业务发展需要。同时考虑整体实施特点，便于其他社区卫生服务中心借鉴复制。</w:t>
      </w:r>
    </w:p>
    <w:p>
      <w:pPr>
        <w:pageBreakBefore w:val="0"/>
        <w:widowControl/>
        <w:numPr>
          <w:ilvl w:val="0"/>
          <w:numId w:val="0"/>
        </w:numPr>
        <w:kinsoku/>
        <w:wordWrap/>
        <w:overflowPunct/>
        <w:topLinePunct w:val="0"/>
        <w:autoSpaceDE/>
        <w:autoSpaceDN/>
        <w:bidi w:val="0"/>
        <w:adjustRightInd w:val="0"/>
        <w:snapToGrid w:val="0"/>
        <w:spacing w:line="360" w:lineRule="auto"/>
        <w:ind w:left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统筹利旧原则</w:t>
      </w:r>
    </w:p>
    <w:p>
      <w:pPr>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已经建设的，可以利用的设备、仪器、软硬件系统，避免重复建设。项目实施坚持“统筹考虑、突出重点，重在创新，合理利旧”的原则。</w:t>
      </w:r>
    </w:p>
    <w:p>
      <w:pPr>
        <w:bidi w:val="0"/>
        <w:rPr>
          <w:rFonts w:hint="eastAsia"/>
        </w:rPr>
      </w:pPr>
    </w:p>
    <w:p>
      <w:pPr>
        <w:pStyle w:val="6"/>
        <w:pageBreakBefore w:val="0"/>
        <w:widowControl/>
        <w:kinsoku/>
        <w:wordWrap/>
        <w:overflowPunct/>
        <w:topLinePunct w:val="0"/>
        <w:autoSpaceDE/>
        <w:autoSpaceDN/>
        <w:bidi w:val="0"/>
        <w:adjustRightInd/>
        <w:snapToGrid/>
        <w:spacing w:line="240" w:lineRule="auto"/>
        <w:ind w:left="0" w:firstLine="0"/>
        <w:jc w:val="left"/>
        <w:textAlignment w:val="auto"/>
        <w:rPr>
          <w:rFonts w:hint="eastAsia" w:ascii="宋体" w:hAnsi="宋体" w:eastAsia="宋体" w:cs="宋体"/>
          <w:szCs w:val="21"/>
        </w:rPr>
      </w:pPr>
      <w:bookmarkStart w:id="213" w:name="_Toc31685"/>
      <w:bookmarkStart w:id="214" w:name="_Toc53225076"/>
      <w:bookmarkStart w:id="215" w:name="_Toc2133"/>
      <w:bookmarkStart w:id="216" w:name="_Toc31052"/>
      <w:bookmarkStart w:id="217" w:name="_Toc24780"/>
      <w:bookmarkStart w:id="218" w:name="_Toc2387"/>
      <w:bookmarkStart w:id="219" w:name="_Toc8764_WPSOffice_Level1"/>
      <w:bookmarkStart w:id="220" w:name="_Toc6572"/>
      <w:bookmarkStart w:id="221" w:name="_Toc25000"/>
      <w:r>
        <w:rPr>
          <w:rFonts w:hint="eastAsia"/>
          <w:lang w:val="en-US" w:eastAsia="zh-CN"/>
        </w:rPr>
        <w:t>四、建设</w:t>
      </w:r>
      <w:bookmarkEnd w:id="213"/>
      <w:bookmarkEnd w:id="214"/>
      <w:bookmarkEnd w:id="215"/>
      <w:bookmarkEnd w:id="216"/>
      <w:bookmarkEnd w:id="217"/>
      <w:bookmarkEnd w:id="218"/>
      <w:bookmarkEnd w:id="219"/>
      <w:bookmarkEnd w:id="220"/>
      <w:bookmarkEnd w:id="221"/>
      <w:r>
        <w:rPr>
          <w:rFonts w:hint="eastAsia"/>
          <w:lang w:val="en-US" w:eastAsia="zh-CN"/>
        </w:rPr>
        <w:t>要求</w:t>
      </w:r>
      <w:bookmarkStart w:id="222" w:name="_Toc29739"/>
      <w:bookmarkStart w:id="223" w:name="_Toc30286"/>
      <w:bookmarkStart w:id="224" w:name="_Toc9673"/>
      <w:bookmarkStart w:id="225" w:name="_Toc23371_WPSOffice_Level2"/>
      <w:bookmarkStart w:id="226" w:name="_Toc30655"/>
      <w:bookmarkStart w:id="227" w:name="_Toc23868"/>
      <w:bookmarkStart w:id="228" w:name="_Toc30764"/>
      <w:bookmarkStart w:id="229" w:name="_Toc10159"/>
    </w:p>
    <w:p>
      <w:pPr>
        <w:bidi w:val="0"/>
        <w:ind w:firstLine="420" w:firstLineChars="200"/>
        <w:rPr>
          <w:rFonts w:hint="eastAsia"/>
          <w:lang w:val="en-US" w:eastAsia="zh-CN"/>
        </w:rPr>
      </w:pPr>
      <w:r>
        <w:rPr>
          <w:rFonts w:hint="eastAsia"/>
          <w:lang w:val="en-US" w:eastAsia="zh-CN"/>
        </w:rPr>
        <w:t>系统及设备功能和参数要求如下：</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1"/>
        <w:gridCol w:w="1067"/>
        <w:gridCol w:w="1423"/>
        <w:gridCol w:w="4193"/>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dxa"/>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序号</w:t>
            </w:r>
          </w:p>
        </w:tc>
        <w:tc>
          <w:tcPr>
            <w:tcW w:w="1067" w:type="dxa"/>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采购内容</w:t>
            </w:r>
          </w:p>
        </w:tc>
        <w:tc>
          <w:tcPr>
            <w:tcW w:w="1423" w:type="dxa"/>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分项产品</w:t>
            </w:r>
          </w:p>
        </w:tc>
        <w:tc>
          <w:tcPr>
            <w:tcW w:w="4193" w:type="dxa"/>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功能或参数要求</w:t>
            </w:r>
          </w:p>
        </w:tc>
        <w:tc>
          <w:tcPr>
            <w:tcW w:w="1208" w:type="dxa"/>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dxa"/>
            <w:vMerge w:val="restar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067" w:type="dxa"/>
            <w:vMerge w:val="restar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highlight w:val="none"/>
                <w:u w:val="none"/>
                <w:lang w:val="en-US" w:eastAsia="zh-CN" w:bidi="ar"/>
              </w:rPr>
              <w:t>便民显示系统</w:t>
            </w:r>
          </w:p>
        </w:tc>
        <w:tc>
          <w:tcPr>
            <w:tcW w:w="1423"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highlight w:val="none"/>
                <w:u w:val="none"/>
                <w:lang w:val="en-US" w:eastAsia="zh-CN" w:bidi="ar"/>
              </w:rPr>
              <w:t>便民显示系统软件</w:t>
            </w:r>
          </w:p>
        </w:tc>
        <w:tc>
          <w:tcPr>
            <w:tcW w:w="4193"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（1）支持医生基本信息显示</w:t>
            </w:r>
          </w:p>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（2）支持本科室候诊信息显示。</w:t>
            </w:r>
          </w:p>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（3）支持本科室就诊信息显示，支持本中心个性化宣传栏位。</w:t>
            </w:r>
          </w:p>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（4）支持健康东莞扫码预约。</w:t>
            </w:r>
          </w:p>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（5）可以定制本机构公众号二维码展示。</w:t>
            </w:r>
          </w:p>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b/>
                <w:bCs/>
                <w:color w:val="auto"/>
                <w:sz w:val="21"/>
                <w:szCs w:val="21"/>
                <w:highlight w:val="none"/>
              </w:rPr>
              <w:t>★</w:t>
            </w:r>
            <w:r>
              <w:rPr>
                <w:rFonts w:hint="eastAsia" w:ascii="宋体" w:hAnsi="宋体" w:eastAsia="宋体" w:cs="宋体"/>
                <w:sz w:val="21"/>
                <w:szCs w:val="21"/>
                <w:vertAlign w:val="baseline"/>
                <w:lang w:val="en-US" w:eastAsia="zh-CN"/>
              </w:rPr>
              <w:t>（</w:t>
            </w:r>
            <w:r>
              <w:rPr>
                <w:rFonts w:hint="eastAsia" w:ascii="宋体" w:hAnsi="宋体" w:cs="宋体"/>
                <w:sz w:val="21"/>
                <w:szCs w:val="21"/>
                <w:vertAlign w:val="baseline"/>
                <w:lang w:val="en-US" w:eastAsia="zh-CN"/>
              </w:rPr>
              <w:t>6</w:t>
            </w:r>
            <w:r>
              <w:rPr>
                <w:rFonts w:hint="eastAsia" w:ascii="宋体" w:hAnsi="宋体" w:eastAsia="宋体" w:cs="宋体"/>
                <w:sz w:val="21"/>
                <w:szCs w:val="21"/>
                <w:vertAlign w:val="baseline"/>
                <w:lang w:val="en-US" w:eastAsia="zh-CN"/>
              </w:rPr>
              <w:t>）</w:t>
            </w:r>
            <w:r>
              <w:rPr>
                <w:rFonts w:hint="eastAsia" w:ascii="宋体" w:hAnsi="宋体" w:cs="宋体"/>
                <w:sz w:val="21"/>
                <w:szCs w:val="21"/>
                <w:vertAlign w:val="baseline"/>
                <w:lang w:val="en-US" w:eastAsia="zh-CN"/>
              </w:rPr>
              <w:t>实现</w:t>
            </w:r>
            <w:r>
              <w:rPr>
                <w:rFonts w:hint="eastAsia" w:ascii="宋体" w:hAnsi="宋体" w:eastAsia="宋体" w:cs="宋体"/>
                <w:sz w:val="21"/>
                <w:szCs w:val="21"/>
                <w:vertAlign w:val="baseline"/>
                <w:lang w:val="en-US" w:eastAsia="zh-CN"/>
              </w:rPr>
              <w:t>与东莞市社区卫生服务信息系统对接。</w:t>
            </w:r>
          </w:p>
        </w:tc>
        <w:tc>
          <w:tcPr>
            <w:tcW w:w="1208"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dxa"/>
            <w:vMerge w:val="continue"/>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p>
        </w:tc>
        <w:tc>
          <w:tcPr>
            <w:tcW w:w="1067" w:type="dxa"/>
            <w:vMerge w:val="continue"/>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 w:val="0"/>
                <w:iCs w:val="0"/>
                <w:color w:val="000000"/>
                <w:kern w:val="0"/>
                <w:sz w:val="21"/>
                <w:szCs w:val="21"/>
                <w:highlight w:val="none"/>
                <w:u w:val="none"/>
                <w:lang w:val="en-US" w:eastAsia="zh-CN" w:bidi="ar"/>
              </w:rPr>
            </w:pPr>
          </w:p>
        </w:tc>
        <w:tc>
          <w:tcPr>
            <w:tcW w:w="1423"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显示设备</w:t>
            </w:r>
          </w:p>
        </w:tc>
        <w:tc>
          <w:tcPr>
            <w:tcW w:w="4193"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kern w:val="0"/>
                <w:sz w:val="21"/>
                <w:szCs w:val="21"/>
              </w:rPr>
              <w:t>屏幕尺寸</w:t>
            </w:r>
            <w:r>
              <w:rPr>
                <w:rFonts w:hint="eastAsia" w:ascii="宋体" w:hAnsi="宋体" w:eastAsia="宋体" w:cs="宋体"/>
                <w:sz w:val="21"/>
                <w:szCs w:val="21"/>
              </w:rPr>
              <w:t>≥</w:t>
            </w:r>
            <w:r>
              <w:rPr>
                <w:rFonts w:hint="eastAsia" w:ascii="宋体" w:hAnsi="宋体" w:eastAsia="宋体" w:cs="宋体"/>
                <w:kern w:val="0"/>
                <w:sz w:val="21"/>
                <w:szCs w:val="21"/>
              </w:rPr>
              <w:t>21英寸</w:t>
            </w: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可挂墙；HDMI接口；支持1080P</w:t>
            </w:r>
          </w:p>
        </w:tc>
        <w:tc>
          <w:tcPr>
            <w:tcW w:w="1208"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dxa"/>
            <w:vMerge w:val="restar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067" w:type="dxa"/>
            <w:vMerge w:val="restar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highlight w:val="none"/>
                <w:u w:val="none"/>
                <w:lang w:val="en-US" w:eastAsia="zh-CN" w:bidi="ar"/>
              </w:rPr>
              <w:t>B超室叫号系统</w:t>
            </w:r>
          </w:p>
        </w:tc>
        <w:tc>
          <w:tcPr>
            <w:tcW w:w="1423"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highlight w:val="none"/>
                <w:u w:val="none"/>
                <w:lang w:val="en-US" w:eastAsia="zh-CN" w:bidi="ar"/>
              </w:rPr>
              <w:t>B超室叫号系统软件</w:t>
            </w:r>
          </w:p>
        </w:tc>
        <w:tc>
          <w:tcPr>
            <w:tcW w:w="4193"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1.支持患者排队叫号；2.支持排队显示；3.真人发音(国标普通话女生)，系统结合HIS病历建档资料，分诊叫号时可以直接呼叫患者的姓名信息，声音亲切、柔和；3.支持医生诊室信息屏显；</w:t>
            </w:r>
            <w:r>
              <w:rPr>
                <w:rFonts w:hint="eastAsia" w:ascii="宋体" w:hAnsi="宋体" w:eastAsia="宋体" w:cs="宋体"/>
                <w:b/>
                <w:bCs/>
                <w:color w:val="auto"/>
                <w:sz w:val="21"/>
                <w:szCs w:val="21"/>
                <w:highlight w:val="none"/>
              </w:rPr>
              <w:t>★</w:t>
            </w:r>
            <w:r>
              <w:rPr>
                <w:rFonts w:hint="eastAsia" w:ascii="宋体" w:hAnsi="宋体" w:eastAsia="宋体" w:cs="宋体"/>
                <w:sz w:val="21"/>
                <w:szCs w:val="21"/>
                <w:vertAlign w:val="baseline"/>
                <w:lang w:val="en-US" w:eastAsia="zh-CN"/>
              </w:rPr>
              <w:t>4.</w:t>
            </w:r>
            <w:r>
              <w:rPr>
                <w:rFonts w:hint="eastAsia" w:ascii="宋体" w:hAnsi="宋体" w:cs="宋体"/>
                <w:sz w:val="21"/>
                <w:szCs w:val="21"/>
                <w:vertAlign w:val="baseline"/>
                <w:lang w:val="en-US" w:eastAsia="zh-CN"/>
              </w:rPr>
              <w:t>实现</w:t>
            </w:r>
            <w:r>
              <w:rPr>
                <w:rFonts w:hint="eastAsia" w:ascii="宋体" w:hAnsi="宋体" w:eastAsia="宋体" w:cs="宋体"/>
                <w:sz w:val="21"/>
                <w:szCs w:val="21"/>
                <w:vertAlign w:val="baseline"/>
                <w:lang w:val="en-US" w:eastAsia="zh-CN"/>
              </w:rPr>
              <w:t>与东莞市社区卫生服务信息系统对接。</w:t>
            </w:r>
          </w:p>
        </w:tc>
        <w:tc>
          <w:tcPr>
            <w:tcW w:w="1208"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631" w:type="dxa"/>
            <w:vMerge w:val="continue"/>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p>
        </w:tc>
        <w:tc>
          <w:tcPr>
            <w:tcW w:w="1067" w:type="dxa"/>
            <w:vMerge w:val="continue"/>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 w:val="0"/>
                <w:iCs w:val="0"/>
                <w:color w:val="000000"/>
                <w:kern w:val="0"/>
                <w:sz w:val="21"/>
                <w:szCs w:val="21"/>
                <w:highlight w:val="none"/>
                <w:u w:val="none"/>
                <w:lang w:val="en-US" w:eastAsia="zh-CN" w:bidi="ar"/>
              </w:rPr>
            </w:pPr>
          </w:p>
        </w:tc>
        <w:tc>
          <w:tcPr>
            <w:tcW w:w="1423"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电视</w:t>
            </w:r>
          </w:p>
        </w:tc>
        <w:tc>
          <w:tcPr>
            <w:tcW w:w="4193"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屏幕尺寸：55英寸，高清分辨率，支持HDMI接口，可壁挂，播音喇叭。</w:t>
            </w:r>
          </w:p>
        </w:tc>
        <w:tc>
          <w:tcPr>
            <w:tcW w:w="1208"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dxa"/>
            <w:vMerge w:val="restar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1067" w:type="dxa"/>
            <w:vMerge w:val="restar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highlight w:val="none"/>
                <w:u w:val="none"/>
                <w:lang w:val="en-US" w:eastAsia="zh-CN" w:bidi="ar"/>
              </w:rPr>
              <w:t>收费显示系统</w:t>
            </w:r>
          </w:p>
        </w:tc>
        <w:tc>
          <w:tcPr>
            <w:tcW w:w="1423"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highlight w:val="none"/>
                <w:u w:val="none"/>
                <w:lang w:val="en-US" w:eastAsia="zh-CN" w:bidi="ar"/>
              </w:rPr>
              <w:t>收费显示系统软件</w:t>
            </w:r>
          </w:p>
        </w:tc>
        <w:tc>
          <w:tcPr>
            <w:tcW w:w="4193"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（1）支持收费窗口居民待收费信息展示。</w:t>
            </w:r>
          </w:p>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（2）支持计免处方缴费时自动增加21元服务费显示功能。</w:t>
            </w:r>
          </w:p>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（3）支持个性化背景设置。</w:t>
            </w:r>
          </w:p>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（4）支持健康东莞扫码预约.</w:t>
            </w:r>
          </w:p>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（5）可以定制本机构公众号二维码展示。</w:t>
            </w:r>
          </w:p>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b/>
                <w:bCs/>
                <w:color w:val="auto"/>
                <w:sz w:val="21"/>
                <w:szCs w:val="21"/>
                <w:highlight w:val="none"/>
              </w:rPr>
              <w:t>★</w:t>
            </w:r>
            <w:r>
              <w:rPr>
                <w:rFonts w:hint="eastAsia" w:ascii="宋体" w:hAnsi="宋体" w:cs="宋体"/>
                <w:sz w:val="21"/>
                <w:szCs w:val="21"/>
                <w:vertAlign w:val="baseline"/>
                <w:lang w:val="en-US" w:eastAsia="zh-CN"/>
              </w:rPr>
              <w:t>(6)实现</w:t>
            </w:r>
            <w:r>
              <w:rPr>
                <w:rFonts w:hint="eastAsia" w:ascii="宋体" w:hAnsi="宋体" w:eastAsia="宋体" w:cs="宋体"/>
                <w:sz w:val="21"/>
                <w:szCs w:val="21"/>
                <w:vertAlign w:val="baseline"/>
                <w:lang w:val="en-US" w:eastAsia="zh-CN"/>
              </w:rPr>
              <w:t>与东莞市社区卫生服务信息系统对接。</w:t>
            </w:r>
          </w:p>
        </w:tc>
        <w:tc>
          <w:tcPr>
            <w:tcW w:w="1208"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dxa"/>
            <w:vMerge w:val="continue"/>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p>
        </w:tc>
        <w:tc>
          <w:tcPr>
            <w:tcW w:w="1067" w:type="dxa"/>
            <w:vMerge w:val="continue"/>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 w:val="0"/>
                <w:iCs w:val="0"/>
                <w:color w:val="000000"/>
                <w:kern w:val="0"/>
                <w:sz w:val="21"/>
                <w:szCs w:val="21"/>
                <w:highlight w:val="none"/>
                <w:u w:val="none"/>
                <w:lang w:val="en-US" w:eastAsia="zh-CN" w:bidi="ar"/>
              </w:rPr>
            </w:pPr>
          </w:p>
        </w:tc>
        <w:tc>
          <w:tcPr>
            <w:tcW w:w="1423"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显示设备</w:t>
            </w:r>
          </w:p>
        </w:tc>
        <w:tc>
          <w:tcPr>
            <w:tcW w:w="4193"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屏幕10英寸或以上，HDMI接口，可桌面放置，高清分辨率</w:t>
            </w:r>
          </w:p>
        </w:tc>
        <w:tc>
          <w:tcPr>
            <w:tcW w:w="1208"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dxa"/>
            <w:vMerge w:val="restar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1067" w:type="dxa"/>
            <w:vMerge w:val="restar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highlight w:val="none"/>
                <w:u w:val="none"/>
                <w:lang w:val="en-US" w:eastAsia="zh-CN" w:bidi="ar"/>
              </w:rPr>
              <w:t>药房系统</w:t>
            </w:r>
          </w:p>
        </w:tc>
        <w:tc>
          <w:tcPr>
            <w:tcW w:w="1423"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highlight w:val="none"/>
                <w:u w:val="none"/>
                <w:lang w:val="en-US" w:eastAsia="zh-CN" w:bidi="ar"/>
              </w:rPr>
              <w:t>药房系统软件</w:t>
            </w:r>
          </w:p>
        </w:tc>
        <w:tc>
          <w:tcPr>
            <w:tcW w:w="4193"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（1）一键审核功能：提供扫码自动检索待发药信息，一键审核发药订单功能；</w:t>
            </w:r>
          </w:p>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（2）一键呼叫功能：提供一键扫码呼叫提醒患者取药功能，与取药叫号系统无缝对接；</w:t>
            </w:r>
          </w:p>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（3）一键确认功能：提供智能扫码发药确认功能，实时更新药品库房。</w:t>
            </w:r>
          </w:p>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（4）支持刷药师二维码进行确认，辅助药师工作量统</w:t>
            </w:r>
          </w:p>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b/>
                <w:bCs/>
                <w:color w:val="auto"/>
                <w:sz w:val="21"/>
                <w:szCs w:val="21"/>
                <w:highlight w:val="none"/>
              </w:rPr>
              <w:t>★</w:t>
            </w:r>
            <w:r>
              <w:rPr>
                <w:rFonts w:hint="eastAsia" w:ascii="宋体" w:hAnsi="宋体" w:eastAsia="宋体" w:cs="宋体"/>
                <w:sz w:val="21"/>
                <w:szCs w:val="21"/>
                <w:vertAlign w:val="baseline"/>
                <w:lang w:val="en-US" w:eastAsia="zh-CN"/>
              </w:rPr>
              <w:t>（5）</w:t>
            </w:r>
            <w:r>
              <w:rPr>
                <w:rFonts w:hint="eastAsia" w:ascii="宋体" w:hAnsi="宋体" w:cs="宋体"/>
                <w:sz w:val="21"/>
                <w:szCs w:val="21"/>
                <w:vertAlign w:val="baseline"/>
                <w:lang w:val="en-US" w:eastAsia="zh-CN"/>
              </w:rPr>
              <w:t>实现</w:t>
            </w:r>
            <w:r>
              <w:rPr>
                <w:rFonts w:hint="eastAsia" w:ascii="宋体" w:hAnsi="宋体" w:eastAsia="宋体" w:cs="宋体"/>
                <w:sz w:val="21"/>
                <w:szCs w:val="21"/>
                <w:vertAlign w:val="baseline"/>
                <w:lang w:val="en-US" w:eastAsia="zh-CN"/>
              </w:rPr>
              <w:t>与东莞市社区卫生服务信息系统对接。</w:t>
            </w:r>
          </w:p>
        </w:tc>
        <w:tc>
          <w:tcPr>
            <w:tcW w:w="1208"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31" w:type="dxa"/>
            <w:vMerge w:val="continue"/>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p>
        </w:tc>
        <w:tc>
          <w:tcPr>
            <w:tcW w:w="1067" w:type="dxa"/>
            <w:vMerge w:val="continue"/>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 w:val="0"/>
                <w:iCs w:val="0"/>
                <w:color w:val="000000"/>
                <w:kern w:val="0"/>
                <w:sz w:val="21"/>
                <w:szCs w:val="21"/>
                <w:highlight w:val="none"/>
                <w:u w:val="none"/>
                <w:lang w:val="en-US" w:eastAsia="zh-CN" w:bidi="ar"/>
              </w:rPr>
            </w:pPr>
          </w:p>
        </w:tc>
        <w:tc>
          <w:tcPr>
            <w:tcW w:w="1423" w:type="dxa"/>
            <w:vAlign w:val="top"/>
          </w:tcPr>
          <w:p>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sz w:val="21"/>
                <w:szCs w:val="21"/>
                <w:vertAlign w:val="baseline"/>
                <w:lang w:val="en-US" w:eastAsia="zh-CN"/>
              </w:rPr>
              <w:t>智能终端</w:t>
            </w:r>
          </w:p>
        </w:tc>
        <w:tc>
          <w:tcPr>
            <w:tcW w:w="4193" w:type="dxa"/>
            <w:vAlign w:val="top"/>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1.屏幕尺寸≥19英寸，LED电容10点触摸液晶屏；</w:t>
            </w:r>
          </w:p>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 xml:space="preserve">2.4G闪存， 64G内存，低功耗CPU； </w:t>
            </w:r>
          </w:p>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3.铝合金外框，后壳钣金，嵌入式；</w:t>
            </w:r>
          </w:p>
          <w:p>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4.支持windows系统。</w:t>
            </w:r>
          </w:p>
        </w:tc>
        <w:tc>
          <w:tcPr>
            <w:tcW w:w="1208"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dxa"/>
            <w:vMerge w:val="continue"/>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p>
        </w:tc>
        <w:tc>
          <w:tcPr>
            <w:tcW w:w="1067" w:type="dxa"/>
            <w:vMerge w:val="continue"/>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 w:val="0"/>
                <w:iCs w:val="0"/>
                <w:color w:val="000000"/>
                <w:kern w:val="0"/>
                <w:sz w:val="21"/>
                <w:szCs w:val="21"/>
                <w:highlight w:val="none"/>
                <w:u w:val="none"/>
                <w:lang w:val="en-US" w:eastAsia="zh-CN" w:bidi="ar"/>
              </w:rPr>
            </w:pPr>
          </w:p>
        </w:tc>
        <w:tc>
          <w:tcPr>
            <w:tcW w:w="1423" w:type="dxa"/>
            <w:vAlign w:val="top"/>
          </w:tcPr>
          <w:p>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电视</w:t>
            </w:r>
          </w:p>
        </w:tc>
        <w:tc>
          <w:tcPr>
            <w:tcW w:w="4193" w:type="dxa"/>
            <w:vAlign w:val="top"/>
          </w:tcPr>
          <w:p>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屏幕尺寸：32-42英寸(按用户现场环境选择适配)，高清分辨率，支持HDMI接口，可壁挂，播音喇叭。</w:t>
            </w:r>
          </w:p>
        </w:tc>
        <w:tc>
          <w:tcPr>
            <w:tcW w:w="1208"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dxa"/>
            <w:vMerge w:val="restar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p>
        </w:tc>
        <w:tc>
          <w:tcPr>
            <w:tcW w:w="1067" w:type="dxa"/>
            <w:vMerge w:val="restar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highlight w:val="none"/>
                <w:u w:val="none"/>
                <w:lang w:val="en-US" w:eastAsia="zh-CN" w:bidi="ar"/>
              </w:rPr>
              <w:t>呼叫系统</w:t>
            </w:r>
          </w:p>
        </w:tc>
        <w:tc>
          <w:tcPr>
            <w:tcW w:w="1423"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highlight w:val="none"/>
                <w:u w:val="none"/>
                <w:lang w:val="en-US" w:eastAsia="zh-CN" w:bidi="ar"/>
              </w:rPr>
              <w:t>呼叫系统软件</w:t>
            </w:r>
          </w:p>
        </w:tc>
        <w:tc>
          <w:tcPr>
            <w:tcW w:w="4193"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1.支持门诊患者排队叫号；2.支持药房取药、候检叫号；3.真人发音(国标普通话女生)，系统结合HIS病历建档资料，分诊叫号时可以直接呼叫患者的姓名信息，声音亲切、柔和；3.支持医生诊室信息屏显；</w:t>
            </w:r>
            <w:r>
              <w:rPr>
                <w:rFonts w:hint="eastAsia" w:ascii="宋体" w:hAnsi="宋体" w:eastAsia="宋体" w:cs="宋体"/>
                <w:b/>
                <w:bCs/>
                <w:color w:val="auto"/>
                <w:sz w:val="21"/>
                <w:szCs w:val="21"/>
                <w:highlight w:val="none"/>
              </w:rPr>
              <w:t>★</w:t>
            </w:r>
            <w:r>
              <w:rPr>
                <w:rFonts w:hint="eastAsia" w:ascii="宋体" w:hAnsi="宋体" w:eastAsia="宋体" w:cs="宋体"/>
                <w:sz w:val="21"/>
                <w:szCs w:val="21"/>
                <w:vertAlign w:val="baseline"/>
                <w:lang w:val="en-US" w:eastAsia="zh-CN"/>
              </w:rPr>
              <w:t>4.</w:t>
            </w:r>
            <w:r>
              <w:rPr>
                <w:rFonts w:hint="eastAsia" w:ascii="宋体" w:hAnsi="宋体" w:cs="宋体"/>
                <w:sz w:val="21"/>
                <w:szCs w:val="21"/>
                <w:vertAlign w:val="baseline"/>
                <w:lang w:val="en-US" w:eastAsia="zh-CN"/>
              </w:rPr>
              <w:t>实现</w:t>
            </w:r>
            <w:r>
              <w:rPr>
                <w:rFonts w:hint="eastAsia" w:ascii="宋体" w:hAnsi="宋体" w:eastAsia="宋体" w:cs="宋体"/>
                <w:sz w:val="21"/>
                <w:szCs w:val="21"/>
                <w:vertAlign w:val="baseline"/>
                <w:lang w:val="en-US" w:eastAsia="zh-CN"/>
              </w:rPr>
              <w:t>与东莞市社区卫生服务信息系统对接。</w:t>
            </w:r>
          </w:p>
        </w:tc>
        <w:tc>
          <w:tcPr>
            <w:tcW w:w="1208"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dxa"/>
            <w:vMerge w:val="continue"/>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p>
        </w:tc>
        <w:tc>
          <w:tcPr>
            <w:tcW w:w="1067" w:type="dxa"/>
            <w:vMerge w:val="continue"/>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 w:val="0"/>
                <w:iCs w:val="0"/>
                <w:color w:val="000000"/>
                <w:kern w:val="0"/>
                <w:sz w:val="21"/>
                <w:szCs w:val="21"/>
                <w:highlight w:val="none"/>
                <w:u w:val="none"/>
                <w:lang w:val="en-US" w:eastAsia="zh-CN" w:bidi="ar"/>
              </w:rPr>
            </w:pPr>
          </w:p>
        </w:tc>
        <w:tc>
          <w:tcPr>
            <w:tcW w:w="1423"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Mini主机</w:t>
            </w:r>
          </w:p>
        </w:tc>
        <w:tc>
          <w:tcPr>
            <w:tcW w:w="4193"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Mini主机，i3以上CPU，4Gb闪存，128 Gb SSD，HDMI接口，windows系统</w:t>
            </w:r>
          </w:p>
        </w:tc>
        <w:tc>
          <w:tcPr>
            <w:tcW w:w="1208"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dxa"/>
            <w:vMerge w:val="continue"/>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p>
        </w:tc>
        <w:tc>
          <w:tcPr>
            <w:tcW w:w="1067" w:type="dxa"/>
            <w:vMerge w:val="continue"/>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 w:val="0"/>
                <w:iCs w:val="0"/>
                <w:color w:val="000000"/>
                <w:kern w:val="0"/>
                <w:sz w:val="21"/>
                <w:szCs w:val="21"/>
                <w:highlight w:val="none"/>
                <w:u w:val="none"/>
                <w:lang w:val="en-US" w:eastAsia="zh-CN" w:bidi="ar"/>
              </w:rPr>
            </w:pPr>
          </w:p>
        </w:tc>
        <w:tc>
          <w:tcPr>
            <w:tcW w:w="1423"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电视</w:t>
            </w:r>
          </w:p>
        </w:tc>
        <w:tc>
          <w:tcPr>
            <w:tcW w:w="4193"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屏幕尺寸：55英寸，高清分辨率，支持HDMI接口，可壁挂，播音喇叭。</w:t>
            </w:r>
          </w:p>
        </w:tc>
        <w:tc>
          <w:tcPr>
            <w:tcW w:w="1208"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dxa"/>
            <w:vMerge w:val="restar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w:t>
            </w:r>
          </w:p>
        </w:tc>
        <w:tc>
          <w:tcPr>
            <w:tcW w:w="1067" w:type="dxa"/>
            <w:vMerge w:val="restar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highlight w:val="none"/>
                <w:u w:val="none"/>
                <w:lang w:val="en-US" w:eastAsia="zh-CN" w:bidi="ar"/>
              </w:rPr>
              <w:t>智能发药系统</w:t>
            </w:r>
          </w:p>
        </w:tc>
        <w:tc>
          <w:tcPr>
            <w:tcW w:w="1423"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highlight w:val="none"/>
                <w:u w:val="none"/>
                <w:lang w:val="en-US" w:eastAsia="zh-CN" w:bidi="ar"/>
              </w:rPr>
              <w:t>智能发药系统软件</w:t>
            </w:r>
          </w:p>
        </w:tc>
        <w:tc>
          <w:tcPr>
            <w:tcW w:w="4193"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一键审核功能：提供扫码自动检索待发药信息，一键审核发药订单功能；（2）一键呼叫功能：提供一键扫码呼叫提醒患者取药功能，与取药叫号系统无缝对接；（3）一键确认功能：提供智能扫码发药确认功能，实时更新药品库房。（4）支持刷药师二维码进行确认，辅助药师工作量统；</w:t>
            </w:r>
            <w:r>
              <w:rPr>
                <w:rFonts w:hint="eastAsia" w:ascii="宋体" w:hAnsi="宋体" w:eastAsia="宋体" w:cs="宋体"/>
                <w:b/>
                <w:bCs/>
                <w:color w:val="auto"/>
                <w:sz w:val="21"/>
                <w:szCs w:val="21"/>
                <w:highlight w:val="none"/>
              </w:rPr>
              <w:t>★</w:t>
            </w:r>
            <w:r>
              <w:rPr>
                <w:rFonts w:hint="eastAsia" w:ascii="宋体" w:hAnsi="宋体" w:eastAsia="宋体" w:cs="宋体"/>
                <w:sz w:val="21"/>
                <w:szCs w:val="21"/>
                <w:vertAlign w:val="baseline"/>
                <w:lang w:val="en-US" w:eastAsia="zh-CN"/>
              </w:rPr>
              <w:t>（5）</w:t>
            </w:r>
            <w:r>
              <w:rPr>
                <w:rFonts w:hint="eastAsia" w:ascii="宋体" w:hAnsi="宋体" w:cs="宋体"/>
                <w:sz w:val="21"/>
                <w:szCs w:val="21"/>
                <w:vertAlign w:val="baseline"/>
                <w:lang w:val="en-US" w:eastAsia="zh-CN"/>
              </w:rPr>
              <w:t>实现</w:t>
            </w:r>
            <w:r>
              <w:rPr>
                <w:rFonts w:hint="eastAsia" w:ascii="宋体" w:hAnsi="宋体" w:eastAsia="宋体" w:cs="宋体"/>
                <w:sz w:val="21"/>
                <w:szCs w:val="21"/>
                <w:vertAlign w:val="baseline"/>
                <w:lang w:val="en-US" w:eastAsia="zh-CN"/>
              </w:rPr>
              <w:t>与东莞市社区卫生服务信息系统对接。</w:t>
            </w:r>
          </w:p>
        </w:tc>
        <w:tc>
          <w:tcPr>
            <w:tcW w:w="1208"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dxa"/>
            <w:vMerge w:val="continue"/>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p>
        </w:tc>
        <w:tc>
          <w:tcPr>
            <w:tcW w:w="1067" w:type="dxa"/>
            <w:vMerge w:val="continue"/>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 w:val="0"/>
                <w:iCs w:val="0"/>
                <w:color w:val="000000"/>
                <w:kern w:val="0"/>
                <w:sz w:val="21"/>
                <w:szCs w:val="21"/>
                <w:highlight w:val="none"/>
                <w:u w:val="none"/>
                <w:lang w:val="en-US" w:eastAsia="zh-CN" w:bidi="ar"/>
              </w:rPr>
            </w:pPr>
          </w:p>
        </w:tc>
        <w:tc>
          <w:tcPr>
            <w:tcW w:w="1423"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智能终端</w:t>
            </w:r>
          </w:p>
        </w:tc>
        <w:tc>
          <w:tcPr>
            <w:tcW w:w="4193"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1.屏幕尺寸≥19英寸，LED电容10点触摸液晶屏；</w:t>
            </w:r>
          </w:p>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 xml:space="preserve">2.4G闪存， 64G内存，低功耗CPU； </w:t>
            </w:r>
          </w:p>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3.铝合金外框，后壳钣金，嵌入式；</w:t>
            </w:r>
          </w:p>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4.支持windows系统。</w:t>
            </w:r>
          </w:p>
        </w:tc>
        <w:tc>
          <w:tcPr>
            <w:tcW w:w="1208"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dxa"/>
            <w:vMerge w:val="continue"/>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p>
        </w:tc>
        <w:tc>
          <w:tcPr>
            <w:tcW w:w="1067" w:type="dxa"/>
            <w:vMerge w:val="continue"/>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 w:val="0"/>
                <w:iCs w:val="0"/>
                <w:color w:val="000000"/>
                <w:kern w:val="0"/>
                <w:sz w:val="21"/>
                <w:szCs w:val="21"/>
                <w:highlight w:val="none"/>
                <w:u w:val="none"/>
                <w:lang w:val="en-US" w:eastAsia="zh-CN" w:bidi="ar"/>
              </w:rPr>
            </w:pPr>
          </w:p>
        </w:tc>
        <w:tc>
          <w:tcPr>
            <w:tcW w:w="1423"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电视</w:t>
            </w:r>
          </w:p>
        </w:tc>
        <w:tc>
          <w:tcPr>
            <w:tcW w:w="4193"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屏幕尺寸：55英寸(或按用户现场环境选择适配)，高清分辨率，支持HDMI接口，可壁挂，播音喇叭。</w:t>
            </w:r>
          </w:p>
        </w:tc>
        <w:tc>
          <w:tcPr>
            <w:tcW w:w="1208"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dxa"/>
            <w:vMerge w:val="restar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w:t>
            </w:r>
          </w:p>
        </w:tc>
        <w:tc>
          <w:tcPr>
            <w:tcW w:w="1067" w:type="dxa"/>
            <w:vMerge w:val="restar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highlight w:val="none"/>
                <w:u w:val="none"/>
                <w:lang w:val="en-US" w:eastAsia="zh-CN" w:bidi="ar"/>
              </w:rPr>
              <w:t>现场导诊系统</w:t>
            </w:r>
          </w:p>
        </w:tc>
        <w:tc>
          <w:tcPr>
            <w:tcW w:w="1423"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highlight w:val="none"/>
                <w:u w:val="none"/>
                <w:lang w:val="en-US" w:eastAsia="zh-CN" w:bidi="ar"/>
              </w:rPr>
              <w:t>现场导诊系统软件</w:t>
            </w:r>
          </w:p>
        </w:tc>
        <w:tc>
          <w:tcPr>
            <w:tcW w:w="4193" w:type="dxa"/>
          </w:tcPr>
          <w:p>
            <w:pPr>
              <w:pStyle w:val="23"/>
              <w:keepNext w:val="0"/>
              <w:keepLines w:val="0"/>
              <w:pageBreakBefore w:val="0"/>
              <w:widowControl w:val="0"/>
              <w:numPr>
                <w:ilvl w:val="0"/>
                <w:numId w:val="9"/>
              </w:numPr>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支持刷身份证、刷社保卡现场实名认证；2.支持导医辅助患者扫码预约；3.支持导医辅助患者签到挂号，进入候诊队列；4支持导医辅助患者查询候诊队列；</w:t>
            </w:r>
          </w:p>
          <w:p>
            <w:pPr>
              <w:pStyle w:val="23"/>
              <w:keepNext w:val="0"/>
              <w:keepLines w:val="0"/>
              <w:pageBreakBefore w:val="0"/>
              <w:widowControl w:val="0"/>
              <w:numPr>
                <w:ilvl w:val="0"/>
                <w:numId w:val="9"/>
              </w:numPr>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val="en-US" w:eastAsia="zh-CN"/>
              </w:rPr>
              <w:t>5</w:t>
            </w:r>
            <w:r>
              <w:rPr>
                <w:rFonts w:hint="eastAsia" w:ascii="宋体" w:hAnsi="宋体" w:eastAsia="宋体" w:cs="宋体"/>
                <w:sz w:val="21"/>
                <w:szCs w:val="21"/>
                <w:vertAlign w:val="baseline"/>
                <w:lang w:val="en-US" w:eastAsia="zh-CN"/>
              </w:rPr>
              <w:t>.</w:t>
            </w:r>
            <w:r>
              <w:rPr>
                <w:rFonts w:hint="eastAsia" w:ascii="宋体" w:hAnsi="宋体" w:cs="宋体"/>
                <w:sz w:val="21"/>
                <w:szCs w:val="21"/>
                <w:vertAlign w:val="baseline"/>
                <w:lang w:val="en-US" w:eastAsia="zh-CN"/>
              </w:rPr>
              <w:t>实现</w:t>
            </w:r>
            <w:r>
              <w:rPr>
                <w:rFonts w:hint="eastAsia" w:ascii="宋体" w:hAnsi="宋体" w:eastAsia="宋体" w:cs="宋体"/>
                <w:sz w:val="21"/>
                <w:szCs w:val="21"/>
                <w:vertAlign w:val="baseline"/>
                <w:lang w:val="en-US" w:eastAsia="zh-CN"/>
              </w:rPr>
              <w:t>与</w:t>
            </w:r>
            <w:r>
              <w:rPr>
                <w:rFonts w:hint="eastAsia" w:ascii="宋体" w:hAnsi="宋体" w:cs="宋体"/>
                <w:sz w:val="21"/>
                <w:szCs w:val="21"/>
                <w:vertAlign w:val="baseline"/>
                <w:lang w:val="en-US" w:eastAsia="zh-CN"/>
              </w:rPr>
              <w:t>东莞市预约服务统一平台</w:t>
            </w:r>
            <w:r>
              <w:rPr>
                <w:rFonts w:hint="eastAsia" w:ascii="宋体" w:hAnsi="宋体" w:eastAsia="宋体" w:cs="宋体"/>
                <w:sz w:val="21"/>
                <w:szCs w:val="21"/>
                <w:vertAlign w:val="baseline"/>
                <w:lang w:val="en-US" w:eastAsia="zh-CN"/>
              </w:rPr>
              <w:t>系统对接。</w:t>
            </w:r>
          </w:p>
        </w:tc>
        <w:tc>
          <w:tcPr>
            <w:tcW w:w="1208"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dxa"/>
            <w:vMerge w:val="continue"/>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p>
        </w:tc>
        <w:tc>
          <w:tcPr>
            <w:tcW w:w="1067" w:type="dxa"/>
            <w:vMerge w:val="continue"/>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 w:val="0"/>
                <w:iCs w:val="0"/>
                <w:color w:val="000000"/>
                <w:kern w:val="0"/>
                <w:sz w:val="21"/>
                <w:szCs w:val="21"/>
                <w:highlight w:val="none"/>
                <w:u w:val="none"/>
                <w:lang w:val="en-US" w:eastAsia="zh-CN" w:bidi="ar"/>
              </w:rPr>
            </w:pPr>
          </w:p>
        </w:tc>
        <w:tc>
          <w:tcPr>
            <w:tcW w:w="1423"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智能终端</w:t>
            </w:r>
          </w:p>
        </w:tc>
        <w:tc>
          <w:tcPr>
            <w:tcW w:w="4193"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1.屏幕尺寸≥19英寸，LED电容10点触摸液晶屏；</w:t>
            </w:r>
          </w:p>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 xml:space="preserve">2.4G闪存， 64G内存，低功耗CPU； </w:t>
            </w:r>
          </w:p>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3.铝合金外框，后壳钣金，嵌入式；</w:t>
            </w:r>
          </w:p>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4.支持windows系统。</w:t>
            </w:r>
          </w:p>
        </w:tc>
        <w:tc>
          <w:tcPr>
            <w:tcW w:w="1208"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dxa"/>
            <w:vMerge w:val="restar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w:t>
            </w:r>
          </w:p>
        </w:tc>
        <w:tc>
          <w:tcPr>
            <w:tcW w:w="1067" w:type="dxa"/>
            <w:vMerge w:val="restar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药品公示电子屏系统</w:t>
            </w:r>
          </w:p>
        </w:tc>
        <w:tc>
          <w:tcPr>
            <w:tcW w:w="1423"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highlight w:val="none"/>
                <w:u w:val="none"/>
                <w:lang w:val="en-US" w:eastAsia="zh-CN" w:bidi="ar"/>
              </w:rPr>
              <w:t>药品公示电子屏系统</w:t>
            </w:r>
          </w:p>
        </w:tc>
        <w:tc>
          <w:tcPr>
            <w:tcW w:w="4193"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highlight w:val="none"/>
                <w:u w:val="none"/>
                <w:lang w:val="en-US" w:eastAsia="zh-CN" w:bidi="ar"/>
              </w:rPr>
              <w:t>屏幕展示药品信息</w:t>
            </w:r>
          </w:p>
        </w:tc>
        <w:tc>
          <w:tcPr>
            <w:tcW w:w="1208"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dxa"/>
            <w:vMerge w:val="continue"/>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p>
        </w:tc>
        <w:tc>
          <w:tcPr>
            <w:tcW w:w="1067" w:type="dxa"/>
            <w:vMerge w:val="continue"/>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i w:val="0"/>
                <w:iCs w:val="0"/>
                <w:color w:val="000000"/>
                <w:kern w:val="0"/>
                <w:sz w:val="21"/>
                <w:szCs w:val="21"/>
                <w:highlight w:val="none"/>
                <w:u w:val="none"/>
                <w:lang w:val="en-US" w:eastAsia="zh-CN" w:bidi="ar"/>
              </w:rPr>
            </w:pPr>
          </w:p>
        </w:tc>
        <w:tc>
          <w:tcPr>
            <w:tcW w:w="1423"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显示屏</w:t>
            </w:r>
          </w:p>
        </w:tc>
        <w:tc>
          <w:tcPr>
            <w:tcW w:w="4193"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屏幕尺寸：55英寸，高清分辨率，支持HDMI接口，可壁挂</w:t>
            </w:r>
          </w:p>
        </w:tc>
        <w:tc>
          <w:tcPr>
            <w:tcW w:w="1208"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dxa"/>
            <w:vMerge w:val="continue"/>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p>
        </w:tc>
        <w:tc>
          <w:tcPr>
            <w:tcW w:w="1067" w:type="dxa"/>
            <w:vMerge w:val="continue"/>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i w:val="0"/>
                <w:iCs w:val="0"/>
                <w:color w:val="000000"/>
                <w:kern w:val="0"/>
                <w:sz w:val="21"/>
                <w:szCs w:val="21"/>
                <w:highlight w:val="none"/>
                <w:u w:val="none"/>
                <w:lang w:val="en-US" w:eastAsia="zh-CN" w:bidi="ar"/>
              </w:rPr>
            </w:pPr>
          </w:p>
        </w:tc>
        <w:tc>
          <w:tcPr>
            <w:tcW w:w="1423"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Mini主机</w:t>
            </w:r>
          </w:p>
        </w:tc>
        <w:tc>
          <w:tcPr>
            <w:tcW w:w="4193"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Mini主机，i3以上CPU，4Gb闪存，128 GbSSD，HDMI接口，windows系统</w:t>
            </w:r>
          </w:p>
        </w:tc>
        <w:tc>
          <w:tcPr>
            <w:tcW w:w="1208"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631"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9</w:t>
            </w:r>
          </w:p>
        </w:tc>
        <w:tc>
          <w:tcPr>
            <w:tcW w:w="1067"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防火墙</w:t>
            </w:r>
          </w:p>
        </w:tc>
        <w:tc>
          <w:tcPr>
            <w:tcW w:w="1423"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防火墙设备</w:t>
            </w:r>
          </w:p>
        </w:tc>
        <w:tc>
          <w:tcPr>
            <w:tcW w:w="4193"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规格：4千兆电口、1G吞吐量、10W并发链接、1U；具备集传统防火墙、VPN、入侵防御、防病毒、数据防泄漏、带宽管理、Anti-DDoS、URL过滤、反垃圾邮件等多种功能于一身，全局配置视图和一体化策略管理入侵：第一时间获取最新威胁信息，准确检测并防御针对漏洞的攻击。可防护各种针对web的攻击，包括SQL注入攻击和跨站脚本攻击等</w:t>
            </w:r>
          </w:p>
        </w:tc>
        <w:tc>
          <w:tcPr>
            <w:tcW w:w="1208"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631" w:type="dxa"/>
            <w:vAlign w:val="top"/>
          </w:tcPr>
          <w:p>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10</w:t>
            </w:r>
          </w:p>
        </w:tc>
        <w:tc>
          <w:tcPr>
            <w:tcW w:w="1067" w:type="dxa"/>
            <w:vAlign w:val="top"/>
          </w:tcPr>
          <w:p>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综合布线</w:t>
            </w:r>
          </w:p>
        </w:tc>
        <w:tc>
          <w:tcPr>
            <w:tcW w:w="1423" w:type="dxa"/>
            <w:vAlign w:val="top"/>
          </w:tcPr>
          <w:p>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各类管材、线缆</w:t>
            </w:r>
          </w:p>
        </w:tc>
        <w:tc>
          <w:tcPr>
            <w:tcW w:w="4193" w:type="dxa"/>
            <w:vAlign w:val="top"/>
          </w:tcPr>
          <w:p>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使用国内行业知名品牌材料</w:t>
            </w:r>
          </w:p>
        </w:tc>
        <w:tc>
          <w:tcPr>
            <w:tcW w:w="1208" w:type="dxa"/>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vertAlign w:val="baseline"/>
                <w:lang w:val="en-US" w:eastAsia="zh-CN"/>
              </w:rPr>
            </w:pPr>
          </w:p>
        </w:tc>
      </w:tr>
      <w:bookmarkEnd w:id="222"/>
      <w:bookmarkEnd w:id="223"/>
      <w:bookmarkEnd w:id="224"/>
      <w:bookmarkEnd w:id="225"/>
      <w:bookmarkEnd w:id="226"/>
      <w:bookmarkEnd w:id="227"/>
      <w:bookmarkEnd w:id="228"/>
      <w:bookmarkEnd w:id="229"/>
    </w:tbl>
    <w:p>
      <w:pPr>
        <w:bidi w:val="0"/>
        <w:rPr>
          <w:rFonts w:hint="default"/>
          <w:lang w:val="en-US" w:eastAsia="zh-CN"/>
        </w:rPr>
      </w:pPr>
    </w:p>
    <w:p>
      <w:pPr>
        <w:pStyle w:val="2"/>
        <w:rPr>
          <w:rFonts w:hint="default"/>
          <w:lang w:val="en-US" w:eastAsia="zh-CN"/>
        </w:rPr>
      </w:pPr>
    </w:p>
    <w:p>
      <w:pPr>
        <w:spacing w:after="0" w:line="360" w:lineRule="auto"/>
        <w:ind w:firstLine="422" w:firstLineChars="200"/>
        <w:rPr>
          <w:rFonts w:hint="eastAsia"/>
          <w:color w:val="auto"/>
          <w:sz w:val="28"/>
          <w:szCs w:val="28"/>
          <w:highlight w:val="none"/>
        </w:rPr>
      </w:pPr>
      <w:r>
        <w:rPr>
          <w:rFonts w:hint="eastAsia" w:ascii="宋体" w:hAnsi="宋体" w:eastAsia="宋体" w:cs="Times New Roman"/>
          <w:b/>
          <w:bCs/>
          <w:color w:val="auto"/>
          <w:sz w:val="21"/>
          <w:szCs w:val="21"/>
          <w:highlight w:val="none"/>
        </w:rPr>
        <w:t>注：不满足招标文件中 “★”条款的投标文件将作无效投标处理。</w:t>
      </w:r>
      <w:bookmarkEnd w:id="181"/>
      <w:bookmarkEnd w:id="182"/>
      <w:bookmarkEnd w:id="183"/>
      <w:bookmarkEnd w:id="184"/>
      <w:bookmarkStart w:id="230" w:name="_Toc21448"/>
      <w:bookmarkStart w:id="231" w:name="_Toc12485"/>
    </w:p>
    <w:p>
      <w:pPr>
        <w:bidi w:val="0"/>
        <w:rPr>
          <w:rFonts w:hint="eastAsia"/>
          <w:color w:val="auto"/>
          <w:highlight w:val="none"/>
        </w:rPr>
      </w:pPr>
    </w:p>
    <w:p>
      <w:pPr>
        <w:pStyle w:val="22"/>
        <w:ind w:left="0" w:leftChars="0" w:firstLine="0" w:firstLineChars="0"/>
        <w:rPr>
          <w:rFonts w:hint="eastAsia"/>
          <w:color w:val="auto"/>
          <w:highlight w:val="none"/>
        </w:rPr>
      </w:pPr>
    </w:p>
    <w:p>
      <w:pPr>
        <w:pStyle w:val="22"/>
        <w:ind w:left="0" w:leftChars="0" w:firstLine="0" w:firstLineChars="0"/>
        <w:rPr>
          <w:rFonts w:hint="eastAsia"/>
          <w:color w:val="auto"/>
          <w:highlight w:val="none"/>
        </w:rPr>
      </w:pPr>
    </w:p>
    <w:p>
      <w:pPr>
        <w:pStyle w:val="22"/>
        <w:ind w:left="0" w:leftChars="0" w:firstLine="0" w:firstLineChars="0"/>
        <w:rPr>
          <w:rFonts w:hint="eastAsia"/>
          <w:color w:val="auto"/>
          <w:highlight w:val="none"/>
        </w:rPr>
      </w:pPr>
    </w:p>
    <w:p>
      <w:pPr>
        <w:pStyle w:val="22"/>
        <w:ind w:left="0" w:leftChars="0" w:firstLine="0" w:firstLineChars="0"/>
        <w:rPr>
          <w:rFonts w:hint="eastAsia"/>
          <w:color w:val="auto"/>
          <w:highlight w:val="none"/>
        </w:rPr>
      </w:pPr>
    </w:p>
    <w:p>
      <w:pPr>
        <w:pStyle w:val="22"/>
        <w:ind w:left="0" w:leftChars="0" w:firstLine="0" w:firstLineChars="0"/>
        <w:rPr>
          <w:rFonts w:hint="eastAsia"/>
          <w:color w:val="auto"/>
          <w:highlight w:val="none"/>
        </w:rPr>
      </w:pPr>
    </w:p>
    <w:p>
      <w:pPr>
        <w:pStyle w:val="22"/>
        <w:ind w:left="0" w:leftChars="0" w:firstLine="0" w:firstLineChars="0"/>
        <w:rPr>
          <w:rFonts w:hint="eastAsia"/>
          <w:color w:val="auto"/>
          <w:highlight w:val="none"/>
        </w:rPr>
      </w:pPr>
    </w:p>
    <w:p>
      <w:pPr>
        <w:pStyle w:val="4"/>
        <w:spacing w:before="0" w:after="0" w:line="240" w:lineRule="auto"/>
        <w:rPr>
          <w:color w:val="auto"/>
          <w:sz w:val="28"/>
          <w:szCs w:val="28"/>
          <w:highlight w:val="none"/>
        </w:rPr>
      </w:pPr>
      <w:bookmarkStart w:id="232" w:name="_Toc12014"/>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230"/>
      <w:bookmarkEnd w:id="231"/>
      <w:bookmarkEnd w:id="232"/>
      <w:bookmarkStart w:id="233" w:name="_Toc1534"/>
      <w:bookmarkStart w:id="234" w:name="_Toc13430"/>
      <w:bookmarkStart w:id="235" w:name="_Toc21155"/>
    </w:p>
    <w:p>
      <w:pPr>
        <w:pStyle w:val="5"/>
        <w:spacing w:before="0" w:after="0" w:line="240" w:lineRule="auto"/>
        <w:jc w:val="center"/>
        <w:rPr>
          <w:rFonts w:ascii="宋体" w:hAnsi="宋体" w:eastAsia="宋体" w:cs="宋体"/>
          <w:color w:val="auto"/>
          <w:highlight w:val="none"/>
        </w:rPr>
      </w:pPr>
      <w:bookmarkStart w:id="236" w:name="_Toc8880"/>
      <w:bookmarkStart w:id="237" w:name="_Toc16730"/>
      <w:bookmarkStart w:id="238" w:name="_Toc19575"/>
      <w:r>
        <w:rPr>
          <w:rFonts w:hint="eastAsia" w:ascii="宋体" w:hAnsi="宋体" w:eastAsia="宋体" w:cs="宋体"/>
          <w:color w:val="auto"/>
          <w:highlight w:val="none"/>
        </w:rPr>
        <w:t>合同格式</w:t>
      </w:r>
      <w:bookmarkEnd w:id="233"/>
      <w:bookmarkEnd w:id="234"/>
      <w:bookmarkEnd w:id="235"/>
      <w:bookmarkEnd w:id="236"/>
      <w:bookmarkEnd w:id="237"/>
      <w:bookmarkEnd w:id="238"/>
    </w:p>
    <w:p>
      <w:pPr>
        <w:spacing w:line="420" w:lineRule="atLeast"/>
        <w:ind w:right="560"/>
        <w:rPr>
          <w:rFonts w:ascii="宋体" w:hAnsi="宋体" w:eastAsia="宋体"/>
          <w:color w:val="auto"/>
          <w:sz w:val="21"/>
          <w:szCs w:val="21"/>
          <w:highlight w:val="none"/>
        </w:rPr>
      </w:pPr>
      <w:r>
        <w:rPr>
          <w:rFonts w:hint="eastAsia" w:ascii="宋体" w:hAnsi="宋体" w:eastAsia="宋体"/>
          <w:color w:val="auto"/>
          <w:sz w:val="21"/>
          <w:szCs w:val="21"/>
          <w:highlight w:val="none"/>
        </w:rPr>
        <w:t>合同编号：</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甲方：</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乙方：“ ”为中标单位</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受甲方委托，</w:t>
      </w:r>
      <w:r>
        <w:rPr>
          <w:rFonts w:hint="eastAsia" w:ascii="宋体" w:hAnsi="宋体" w:eastAsia="宋体"/>
          <w:color w:val="auto"/>
          <w:sz w:val="21"/>
          <w:szCs w:val="21"/>
          <w:highlight w:val="none"/>
          <w:u w:val="single"/>
        </w:rPr>
        <w:t xml:space="preserve">           (采购代理机构)</w:t>
      </w:r>
      <w:r>
        <w:rPr>
          <w:rFonts w:hint="eastAsia" w:ascii="宋体" w:hAnsi="宋体" w:eastAsia="宋体"/>
          <w:color w:val="auto"/>
          <w:sz w:val="21"/>
          <w:szCs w:val="21"/>
          <w:highlight w:val="none"/>
        </w:rPr>
        <w:t>组织对</w:t>
      </w:r>
      <w:r>
        <w:rPr>
          <w:rFonts w:hint="eastAsia" w:ascii="宋体" w:hAnsi="宋体" w:eastAsia="宋体"/>
          <w:color w:val="auto"/>
          <w:sz w:val="21"/>
          <w:szCs w:val="21"/>
          <w:highlight w:val="none"/>
          <w:u w:val="single"/>
        </w:rPr>
        <w:t xml:space="preserve">         （项目名称）</w:t>
      </w:r>
      <w:r>
        <w:rPr>
          <w:rFonts w:hint="eastAsia" w:ascii="宋体" w:hAnsi="宋体" w:eastAsia="宋体"/>
          <w:color w:val="auto"/>
          <w:sz w:val="21"/>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eastAsia="宋体"/>
          <w:color w:val="auto"/>
          <w:highlight w:val="none"/>
          <w:lang w:val="en-US" w:eastAsia="zh-CN"/>
        </w:rPr>
        <w:t>民法典</w:t>
      </w:r>
      <w:r>
        <w:rPr>
          <w:rFonts w:hint="eastAsia" w:ascii="宋体" w:hAnsi="宋体" w:eastAsia="宋体"/>
          <w:color w:val="auto"/>
          <w:sz w:val="21"/>
          <w:szCs w:val="21"/>
          <w:highlight w:val="none"/>
        </w:rPr>
        <w:t>》，在平等自愿的基础上，按照下面的条款和条件，签署本合同。</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第一条 合同项目</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1、项目名称：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2、采购项目编号：                   。</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第二条 合同组成</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1、合同文件组成内容包括：本合同书 、中标通知书、投标文件（含澄清内容）、招标文件（含招标文件澄清通知）等。</w:t>
      </w:r>
    </w:p>
    <w:p>
      <w:pPr>
        <w:spacing w:after="0" w:line="360" w:lineRule="auto"/>
        <w:ind w:firstLine="422" w:firstLineChars="200"/>
        <w:rPr>
          <w:rFonts w:ascii="宋体" w:hAnsi="宋体" w:eastAsia="宋体"/>
          <w:b/>
          <w:color w:val="auto"/>
          <w:sz w:val="21"/>
          <w:szCs w:val="21"/>
          <w:highlight w:val="none"/>
        </w:rPr>
      </w:pPr>
      <w:bookmarkStart w:id="239" w:name="_Toc86481558"/>
      <w:r>
        <w:rPr>
          <w:rFonts w:hint="eastAsia" w:ascii="宋体" w:hAnsi="宋体" w:eastAsia="宋体"/>
          <w:b/>
          <w:color w:val="auto"/>
          <w:sz w:val="21"/>
          <w:szCs w:val="21"/>
          <w:highlight w:val="none"/>
        </w:rPr>
        <w:t>第三条 服务内容、标准及要求</w:t>
      </w:r>
    </w:p>
    <w:p>
      <w:pPr>
        <w:spacing w:after="0" w:line="360" w:lineRule="auto"/>
        <w:rPr>
          <w:rFonts w:ascii="宋体" w:hAnsi="宋体" w:eastAsia="宋体" w:cs="仿宋"/>
          <w:color w:val="auto"/>
          <w:sz w:val="21"/>
          <w:szCs w:val="21"/>
          <w:highlight w:val="none"/>
          <w:u w:val="single"/>
          <w:shd w:val="clear" w:color="auto" w:fill="FFFFFF"/>
        </w:rPr>
      </w:pPr>
      <w:r>
        <w:rPr>
          <w:rFonts w:hint="eastAsia" w:ascii="宋体" w:hAnsi="宋体" w:eastAsia="宋体" w:cs="仿宋"/>
          <w:color w:val="auto"/>
          <w:sz w:val="21"/>
          <w:szCs w:val="21"/>
          <w:highlight w:val="none"/>
          <w:shd w:val="clear" w:color="auto" w:fill="FFFFFF"/>
        </w:rPr>
        <w:t>1、采购内容：</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2、采购标准：</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3、采购要求：</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4、具体采购内容采购标准及要求以招标文件用户需求书及乙方投标文件承诺条款及方案为准。</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第四条 价格</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2、合同总价：（人民币）大写 （¥）</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3、本合同价为固定不变价。</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第五条 服务期限及地点</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1、服务期：  年，合同生效之日自       年  月  日至     年  月  日止。</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2、服务地点：              或甲方指定地点。</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第六条 付款方式</w:t>
      </w:r>
    </w:p>
    <w:p>
      <w:pPr>
        <w:pStyle w:val="21"/>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1"/>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第七条 验收方式</w:t>
      </w:r>
    </w:p>
    <w:p>
      <w:pPr>
        <w:pStyle w:val="21"/>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1"/>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1"/>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第八条 税和关税</w:t>
      </w:r>
    </w:p>
    <w:p>
      <w:pPr>
        <w:pStyle w:val="21"/>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1"/>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1"/>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第九条 其它约定</w:t>
      </w:r>
    </w:p>
    <w:p>
      <w:pPr>
        <w:spacing w:after="0" w:line="360" w:lineRule="auto"/>
        <w:ind w:firstLine="420" w:firstLineChars="200"/>
        <w:rPr>
          <w:rFonts w:ascii="宋体" w:hAnsi="宋体" w:eastAsia="宋体"/>
          <w:color w:val="auto"/>
          <w:sz w:val="21"/>
          <w:szCs w:val="21"/>
          <w:highlight w:val="none"/>
        </w:rPr>
      </w:pPr>
      <w:r>
        <w:rPr>
          <w:rFonts w:ascii="宋体" w:hAnsi="宋体" w:eastAsia="宋体"/>
          <w:color w:val="auto"/>
          <w:sz w:val="21"/>
          <w:szCs w:val="21"/>
          <w:highlight w:val="none"/>
        </w:rPr>
        <w:t>1</w:t>
      </w:r>
      <w:r>
        <w:rPr>
          <w:rFonts w:hint="eastAsia" w:ascii="宋体" w:hAnsi="宋体" w:eastAsia="宋体"/>
          <w:color w:val="auto"/>
          <w:sz w:val="21"/>
          <w:szCs w:val="21"/>
          <w:highlight w:val="none"/>
        </w:rPr>
        <w:t>、严禁转包，未经甲方书面同意不得分包。</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2、乙方全部工作人员，须符合东莞市政府用工标准要求。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3、乙方服务人员进行服务期间的过失或故意行为，造成甲方经济损失的，由乙方负责赔偿。</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4、服务人员的劳动关系隶属乙方，乙方负责服务人员的工资、节假日和超时加班补助费、社会保险、住宿、伙食等。</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5、乙方负责本项目服务人员购买因意外身故或伤残和因意外事故住院治疗保险，并负责办理一切保险赔偿手续。</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第十条 违约责任</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1、合同双方任何一方不履行合同条款或不按合同约定履行条款的其它情况，均属违约，由违约方承担违约责任，赔偿因其违约造成的损失，并支付合同价款总额%的违约金。</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2、由于乙方的原因，导致双方签订的合同终止，乙方因此而遭受的损失，将由乙方独立承担，甲方对此不负任何责任，也不作任何赔偿。</w:t>
      </w:r>
    </w:p>
    <w:bookmarkEnd w:id="239"/>
    <w:p>
      <w:pPr>
        <w:spacing w:after="0" w:line="360" w:lineRule="auto"/>
        <w:ind w:firstLine="422" w:firstLineChars="200"/>
        <w:rPr>
          <w:rFonts w:ascii="宋体" w:hAnsi="宋体" w:eastAsia="宋体"/>
          <w:b/>
          <w:color w:val="auto"/>
          <w:sz w:val="21"/>
          <w:szCs w:val="21"/>
          <w:highlight w:val="none"/>
        </w:rPr>
      </w:pPr>
      <w:bookmarkStart w:id="240" w:name="_Toc86481570"/>
      <w:r>
        <w:rPr>
          <w:rFonts w:hint="eastAsia" w:ascii="宋体" w:hAnsi="宋体" w:eastAsia="宋体"/>
          <w:b/>
          <w:color w:val="auto"/>
          <w:sz w:val="21"/>
          <w:szCs w:val="21"/>
          <w:highlight w:val="none"/>
        </w:rPr>
        <w:t>第十一条 争议的解决</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2、本合同发生的诉讼管辖地为东莞市有管辖权的法院。</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3、在进行法院审理期间，除提交法院审理的事项外，合同其他部分仍继续履行。</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宋体"/>
          <w:color w:val="auto"/>
          <w:sz w:val="21"/>
          <w:szCs w:val="21"/>
          <w:highlight w:val="none"/>
        </w:rPr>
        <w:t>4、本合同按照中华人民共和国的法律进行解释</w:t>
      </w:r>
      <w:r>
        <w:rPr>
          <w:rFonts w:hint="eastAsia" w:ascii="宋体" w:hAnsi="宋体" w:eastAsia="宋体" w:cs="仿宋"/>
          <w:color w:val="auto"/>
          <w:sz w:val="21"/>
          <w:szCs w:val="21"/>
          <w:highlight w:val="none"/>
          <w:shd w:val="clear" w:color="auto" w:fill="FFFFFF"/>
        </w:rPr>
        <w:t>。</w:t>
      </w:r>
    </w:p>
    <w:p>
      <w:pPr>
        <w:spacing w:after="0" w:line="360" w:lineRule="auto"/>
        <w:ind w:firstLine="422" w:firstLineChars="200"/>
        <w:rPr>
          <w:rFonts w:ascii="宋体" w:hAnsi="宋体" w:eastAsia="宋体"/>
          <w:b/>
          <w:color w:val="auto"/>
          <w:sz w:val="21"/>
          <w:szCs w:val="21"/>
          <w:highlight w:val="none"/>
        </w:rPr>
      </w:pPr>
      <w:bookmarkStart w:id="241" w:name="_Toc86481569"/>
      <w:r>
        <w:rPr>
          <w:rFonts w:hint="eastAsia" w:ascii="宋体" w:hAnsi="宋体" w:eastAsia="宋体"/>
          <w:b/>
          <w:color w:val="auto"/>
          <w:sz w:val="21"/>
          <w:szCs w:val="21"/>
          <w:highlight w:val="none"/>
        </w:rPr>
        <w:t>第十二条 合同生效</w:t>
      </w:r>
      <w:bookmarkEnd w:id="241"/>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1、本合同由双方法定代表人或委托代理人签字盖章后立即生效，具有同等法律效力，合同有效期随服务期结束而自然终止。</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2、本合同一式    份，其中甲方    份、乙方    份，采购代理机构 壹 份（须在合同签订之日起7个工作日内递交）。</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第十三条 其它</w:t>
      </w:r>
      <w:bookmarkEnd w:id="240"/>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1、本合同未尽事宜，双方可签订补充合同，补充合同与所有附件均为合同的有效组成部分，与本合同具有同等法律效力。</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本合同合计   页A4纸张，缺页之合同为无效合同。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甲方（盖章）：                      乙方（盖章）：</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法定代表(签字)：                   法定代表(签字)：</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地址：                             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                             电话：</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传真：</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传真：</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 xml:space="preserve">                     开户银行：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账号：                             账号：</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签约时间：</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签约地点：</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此仅为合同书样本，中标人需根据实际情况和甲方签订相应的合同！</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4"/>
        <w:spacing w:before="0" w:after="0" w:line="240" w:lineRule="auto"/>
        <w:rPr>
          <w:color w:val="auto"/>
          <w:sz w:val="28"/>
          <w:szCs w:val="28"/>
          <w:highlight w:val="none"/>
        </w:rPr>
      </w:pPr>
      <w:bookmarkStart w:id="242" w:name="_Toc23749"/>
      <w:bookmarkStart w:id="243" w:name="_Toc1478"/>
      <w:bookmarkStart w:id="244" w:name="_Toc31587"/>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部分  投标文件格式</w:t>
      </w:r>
      <w:bookmarkEnd w:id="242"/>
      <w:bookmarkEnd w:id="243"/>
      <w:bookmarkEnd w:id="244"/>
    </w:p>
    <w:p>
      <w:pPr>
        <w:rPr>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45" w:name="_Toc6790"/>
      <w:bookmarkStart w:id="246" w:name="_Toc5794"/>
      <w:bookmarkStart w:id="247" w:name="_Toc26830"/>
      <w:r>
        <w:rPr>
          <w:rFonts w:hint="eastAsia"/>
          <w:color w:val="auto"/>
          <w:highlight w:val="none"/>
        </w:rPr>
        <w:t>投标文件目录</w:t>
      </w:r>
      <w:bookmarkEnd w:id="245"/>
      <w:bookmarkEnd w:id="246"/>
      <w:bookmarkEnd w:id="247"/>
    </w:p>
    <w:p>
      <w:pPr>
        <w:jc w:val="center"/>
        <w:rPr>
          <w:rFonts w:ascii="黑体" w:eastAsia="黑体"/>
          <w:color w:val="auto"/>
          <w:sz w:val="32"/>
          <w:szCs w:val="32"/>
          <w:highlight w:val="none"/>
        </w:rPr>
      </w:pPr>
    </w:p>
    <w:p>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48" w:name="_Toc5670"/>
      <w:bookmarkStart w:id="249" w:name="_Toc25502"/>
      <w:bookmarkStart w:id="250" w:name="_Toc18893"/>
      <w:r>
        <w:rPr>
          <w:rFonts w:hint="eastAsia"/>
          <w:color w:val="auto"/>
          <w:highlight w:val="none"/>
        </w:rPr>
        <w:t>评分标准索引表</w:t>
      </w:r>
      <w:bookmarkEnd w:id="248"/>
      <w:bookmarkEnd w:id="249"/>
      <w:bookmarkEnd w:id="250"/>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4"/>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4"/>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pPr>
              <w:pStyle w:val="54"/>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pPr>
              <w:pStyle w:val="54"/>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31"/>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7"/>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10"/>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该表格为参考格式，投标人可按实际情况自行制订评分标准索引表。</w:t>
      </w:r>
    </w:p>
    <w:p>
      <w:pPr>
        <w:pStyle w:val="2"/>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51" w:name="_Toc8194"/>
      <w:bookmarkStart w:id="252" w:name="_Toc22080"/>
      <w:bookmarkStart w:id="253" w:name="_Toc30640"/>
      <w:r>
        <w:rPr>
          <w:rFonts w:hint="eastAsia"/>
          <w:color w:val="auto"/>
          <w:highlight w:val="none"/>
          <w:lang w:val="en-US" w:eastAsia="zh-CN"/>
        </w:rPr>
        <w:t>第一章价格文件</w:t>
      </w:r>
      <w:bookmarkEnd w:id="251"/>
      <w:bookmarkEnd w:id="252"/>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54" w:name="_Toc19750"/>
      <w:bookmarkStart w:id="255" w:name="_Toc4168"/>
      <w:r>
        <w:rPr>
          <w:rFonts w:hint="eastAsia"/>
          <w:color w:val="auto"/>
          <w:highlight w:val="none"/>
          <w:lang w:val="en-US" w:eastAsia="zh-CN"/>
        </w:rPr>
        <w:t>一、唱标一览表</w:t>
      </w:r>
      <w:bookmarkEnd w:id="254"/>
      <w:bookmarkEnd w:id="255"/>
    </w:p>
    <w:p>
      <w:pPr>
        <w:spacing w:line="360" w:lineRule="auto"/>
        <w:rPr>
          <w:color w:val="auto"/>
          <w:highlight w:val="none"/>
        </w:rPr>
      </w:pPr>
    </w:p>
    <w:tbl>
      <w:tblPr>
        <w:tblStyle w:val="24"/>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注：1、投标总价栏须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表示的投标总价</w:t>
      </w:r>
      <w:r>
        <w:rPr>
          <w:rFonts w:hint="eastAsia" w:ascii="宋体" w:hAnsi="宋体" w:eastAsia="宋体"/>
          <w:color w:val="auto"/>
          <w:sz w:val="21"/>
          <w:szCs w:val="21"/>
          <w:highlight w:val="none"/>
        </w:rPr>
        <w:t>，报价保留小数点后两位。投标总价大小写不一致，以大写为准。投标总价必须准确唯一且应包含招标文件要求的所有费用。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2、此表应按投标人须知的规定密封标记并与《授权委托书》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bidi w:val="0"/>
        <w:rPr>
          <w:rFonts w:hint="eastAsia"/>
          <w:color w:val="auto"/>
          <w:highlight w:val="none"/>
        </w:rPr>
      </w:pPr>
    </w:p>
    <w:p>
      <w:pPr>
        <w:pStyle w:val="2"/>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color w:val="auto"/>
          <w:highlight w:val="none"/>
        </w:rPr>
      </w:pPr>
    </w:p>
    <w:p>
      <w:pPr>
        <w:pStyle w:val="2"/>
        <w:rPr>
          <w:color w:val="auto"/>
          <w:highlight w:val="none"/>
        </w:rPr>
      </w:pPr>
    </w:p>
    <w:p>
      <w:pPr>
        <w:rPr>
          <w:color w:val="auto"/>
          <w:highlight w:val="none"/>
        </w:rPr>
      </w:pPr>
    </w:p>
    <w:p>
      <w:pPr>
        <w:pStyle w:val="2"/>
        <w:rPr>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56" w:name="_Toc31062"/>
      <w:bookmarkStart w:id="257" w:name="_Toc31172"/>
      <w:r>
        <w:rPr>
          <w:rFonts w:hint="eastAsia"/>
          <w:color w:val="auto"/>
          <w:highlight w:val="none"/>
          <w:lang w:val="en-US" w:eastAsia="zh-CN"/>
        </w:rPr>
        <w:t>二、报价明细表</w:t>
      </w:r>
      <w:bookmarkEnd w:id="256"/>
      <w:bookmarkEnd w:id="257"/>
    </w:p>
    <w:p>
      <w:pPr>
        <w:pStyle w:val="31"/>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bl>
    <w:p>
      <w:pPr>
        <w:rPr>
          <w:rFonts w:ascii="宋体" w:hAnsi="宋体" w:eastAsia="宋体" w:cs="宋体"/>
          <w:b/>
          <w:color w:val="auto"/>
          <w:sz w:val="21"/>
          <w:szCs w:val="21"/>
          <w:highlight w:val="none"/>
        </w:rPr>
      </w:pPr>
    </w:p>
    <w:p>
      <w:pPr>
        <w:bidi w:val="0"/>
        <w:rPr>
          <w:color w:val="auto"/>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pPr>
        <w:pStyle w:val="31"/>
        <w:rPr>
          <w:rFonts w:ascii="黑体" w:eastAsia="黑体"/>
          <w:color w:val="auto"/>
          <w:sz w:val="32"/>
          <w:szCs w:val="32"/>
          <w:highlight w:val="none"/>
        </w:rPr>
      </w:pPr>
    </w:p>
    <w:p>
      <w:pPr>
        <w:pStyle w:val="31"/>
        <w:rPr>
          <w:rFonts w:ascii="黑体" w:eastAsia="黑体"/>
          <w:color w:val="auto"/>
          <w:sz w:val="32"/>
          <w:szCs w:val="32"/>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58" w:name="_Toc23355"/>
      <w:bookmarkStart w:id="259" w:name="_Toc20974"/>
      <w:r>
        <w:rPr>
          <w:rFonts w:hint="eastAsia"/>
          <w:color w:val="auto"/>
          <w:highlight w:val="none"/>
          <w:lang w:val="en-US" w:eastAsia="zh-CN"/>
        </w:rPr>
        <w:t>三、小型或微型企业（货物/服务/承担的工程）明细表</w:t>
      </w:r>
      <w:bookmarkEnd w:id="258"/>
      <w:bookmarkEnd w:id="259"/>
    </w:p>
    <w:tbl>
      <w:tblPr>
        <w:tblStyle w:val="24"/>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053" w:type="dxa"/>
            <w:tcBorders>
              <w:tl2br w:val="nil"/>
              <w:tr2bl w:val="nil"/>
            </w:tcBorders>
            <w:vAlign w:val="center"/>
          </w:tcPr>
          <w:p>
            <w:pPr>
              <w:spacing w:after="0"/>
              <w:ind w:hanging="148"/>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品牌</w:t>
            </w: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850" w:type="dxa"/>
            <w:tcBorders>
              <w:tl2br w:val="nil"/>
              <w:tr2bl w:val="nil"/>
            </w:tcBorders>
            <w:vAlign w:val="center"/>
          </w:tcPr>
          <w:p>
            <w:pPr>
              <w:spacing w:after="0"/>
              <w:jc w:val="center"/>
              <w:textAlignment w:val="bottom"/>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制造商</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053" w:type="dxa"/>
            <w:gridSpan w:val="7"/>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pStyle w:val="34"/>
        <w:spacing w:after="0" w:line="360" w:lineRule="auto"/>
        <w:ind w:firstLine="0" w:firstLineChars="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bidi w:val="0"/>
        <w:rPr>
          <w:rFonts w:hint="eastAsia"/>
          <w:color w:val="auto"/>
          <w:highlight w:val="none"/>
        </w:rPr>
      </w:pPr>
    </w:p>
    <w:p>
      <w:pPr>
        <w:spacing w:after="0"/>
        <w:rPr>
          <w:rStyle w:val="44"/>
          <w:rFonts w:hint="eastAsia"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4"/>
          <w:rFonts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1、投标人在“货物</w:t>
      </w:r>
      <w:r>
        <w:rPr>
          <w:rStyle w:val="44"/>
          <w:rFonts w:hint="eastAsia" w:ascii="宋体" w:hAnsi="宋体" w:eastAsia="宋体" w:cs="宋体"/>
          <w:b/>
          <w:color w:val="auto"/>
          <w:sz w:val="21"/>
          <w:szCs w:val="21"/>
          <w:highlight w:val="none"/>
          <w:lang w:val="en-US" w:eastAsia="zh-CN"/>
        </w:rPr>
        <w:t>/</w:t>
      </w:r>
      <w:r>
        <w:rPr>
          <w:rStyle w:val="44"/>
          <w:rFonts w:hint="eastAsia" w:ascii="宋体" w:hAnsi="宋体" w:eastAsia="宋体" w:cs="宋体"/>
          <w:b/>
          <w:color w:val="auto"/>
          <w:sz w:val="21"/>
          <w:szCs w:val="21"/>
          <w:highlight w:val="none"/>
        </w:rPr>
        <w:t>服务报价</w:t>
      </w:r>
      <w:r>
        <w:rPr>
          <w:rStyle w:val="44"/>
          <w:rFonts w:hint="eastAsia" w:ascii="宋体" w:hAnsi="宋体" w:eastAsia="宋体" w:cs="宋体"/>
          <w:b/>
          <w:color w:val="auto"/>
          <w:sz w:val="21"/>
          <w:szCs w:val="21"/>
          <w:highlight w:val="none"/>
          <w:lang w:val="en-US" w:eastAsia="zh-CN"/>
        </w:rPr>
        <w:t>明细</w:t>
      </w:r>
      <w:r>
        <w:rPr>
          <w:rStyle w:val="44"/>
          <w:rFonts w:hint="eastAsia" w:ascii="宋体" w:hAnsi="宋体" w:eastAsia="宋体" w:cs="宋体"/>
          <w:b/>
          <w:color w:val="auto"/>
          <w:sz w:val="21"/>
          <w:szCs w:val="21"/>
          <w:highlight w:val="none"/>
        </w:rPr>
        <w:t>表”中的报价内容中，如有属于</w:t>
      </w:r>
      <w:r>
        <w:rPr>
          <w:rFonts w:hint="eastAsia" w:ascii="宋体" w:hAnsi="宋体" w:eastAsia="宋体" w:cs="宋体"/>
          <w:b/>
          <w:color w:val="auto"/>
          <w:sz w:val="21"/>
          <w:szCs w:val="21"/>
          <w:highlight w:val="none"/>
        </w:rPr>
        <w:t>小型</w:t>
      </w:r>
      <w:r>
        <w:rPr>
          <w:rFonts w:hint="eastAsia" w:ascii="宋体" w:hAnsi="宋体" w:eastAsia="宋体" w:cs="宋体"/>
          <w:b/>
          <w:color w:val="auto"/>
          <w:sz w:val="21"/>
          <w:szCs w:val="21"/>
          <w:highlight w:val="none"/>
          <w:lang w:val="en-US" w:eastAsia="zh-CN"/>
        </w:rPr>
        <w:t>或</w:t>
      </w:r>
      <w:r>
        <w:rPr>
          <w:rFonts w:hint="eastAsia" w:ascii="宋体" w:hAnsi="宋体" w:eastAsia="宋体" w:cs="宋体"/>
          <w:b/>
          <w:color w:val="auto"/>
          <w:sz w:val="21"/>
          <w:szCs w:val="21"/>
          <w:highlight w:val="none"/>
        </w:rPr>
        <w:t>微型企业产品（货物</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服务</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承担的工程）的，必须在此表单独列明，否则在计算价格得分时不予以相应的扣除</w:t>
      </w:r>
      <w:r>
        <w:rPr>
          <w:rStyle w:val="44"/>
          <w:rFonts w:hint="eastAsia" w:ascii="宋体" w:hAnsi="宋体" w:eastAsia="宋体" w:cs="宋体"/>
          <w:b/>
          <w:color w:val="auto"/>
          <w:sz w:val="21"/>
          <w:szCs w:val="21"/>
          <w:highlight w:val="none"/>
        </w:rPr>
        <w:t>；</w:t>
      </w:r>
    </w:p>
    <w:p>
      <w:pPr>
        <w:pStyle w:val="34"/>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color w:val="auto"/>
          <w:sz w:val="32"/>
          <w:szCs w:val="32"/>
          <w:highlight w:val="none"/>
        </w:rPr>
      </w:pPr>
      <w:r>
        <w:rPr>
          <w:rStyle w:val="44"/>
          <w:rFonts w:hint="eastAsia" w:ascii="宋体" w:hAnsi="宋体" w:eastAsia="宋体" w:cs="宋体"/>
          <w:b/>
          <w:color w:val="auto"/>
          <w:sz w:val="21"/>
          <w:szCs w:val="21"/>
          <w:highlight w:val="none"/>
        </w:rPr>
        <w:t>2、投标人应该如实填写，如投标人所投产品中无小型</w:t>
      </w:r>
      <w:r>
        <w:rPr>
          <w:rStyle w:val="44"/>
          <w:rFonts w:hint="eastAsia" w:ascii="宋体" w:hAnsi="宋体" w:eastAsia="宋体" w:cs="宋体"/>
          <w:b/>
          <w:color w:val="auto"/>
          <w:sz w:val="21"/>
          <w:szCs w:val="21"/>
          <w:highlight w:val="none"/>
          <w:lang w:val="en-US" w:eastAsia="zh-CN"/>
        </w:rPr>
        <w:t>或</w:t>
      </w:r>
      <w:r>
        <w:rPr>
          <w:rStyle w:val="44"/>
          <w:rFonts w:hint="eastAsia" w:ascii="宋体" w:hAnsi="宋体" w:eastAsia="宋体" w:cs="宋体"/>
          <w:b/>
          <w:color w:val="auto"/>
          <w:sz w:val="21"/>
          <w:szCs w:val="21"/>
          <w:highlight w:val="none"/>
        </w:rPr>
        <w:t>微型企业产品的，请留空或删除此表！</w:t>
      </w: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60" w:name="_Toc13970"/>
      <w:bookmarkStart w:id="261" w:name="_Toc16718"/>
      <w:r>
        <w:rPr>
          <w:rFonts w:hint="eastAsia"/>
          <w:color w:val="auto"/>
          <w:highlight w:val="none"/>
          <w:lang w:val="en-US" w:eastAsia="zh-CN"/>
        </w:rPr>
        <w:t>四、节能产品或环境标志产品明细表</w:t>
      </w:r>
      <w:bookmarkEnd w:id="260"/>
      <w:bookmarkEnd w:id="261"/>
    </w:p>
    <w:tbl>
      <w:tblPr>
        <w:tblStyle w:val="2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266" w:type="dxa"/>
            <w:gridSpan w:val="6"/>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pStyle w:val="31"/>
        <w:rPr>
          <w:rFonts w:hint="eastAsia"/>
          <w:color w:val="auto"/>
          <w:highlight w:val="none"/>
        </w:rPr>
      </w:pPr>
    </w:p>
    <w:p>
      <w:pPr>
        <w:tabs>
          <w:tab w:val="left" w:pos="284"/>
        </w:tabs>
        <w:spacing w:after="0"/>
        <w:rPr>
          <w:rStyle w:val="44"/>
          <w:rFonts w:hint="eastAsia"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注：</w:t>
      </w:r>
    </w:p>
    <w:p>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4"/>
          <w:rFonts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1、投标人在“货物</w:t>
      </w:r>
      <w:r>
        <w:rPr>
          <w:rStyle w:val="44"/>
          <w:rFonts w:hint="eastAsia" w:ascii="宋体" w:hAnsi="宋体" w:eastAsia="宋体" w:cs="宋体"/>
          <w:b/>
          <w:color w:val="auto"/>
          <w:sz w:val="21"/>
          <w:szCs w:val="21"/>
          <w:highlight w:val="none"/>
          <w:lang w:val="en-US" w:eastAsia="zh-CN"/>
        </w:rPr>
        <w:t>/</w:t>
      </w:r>
      <w:r>
        <w:rPr>
          <w:rStyle w:val="44"/>
          <w:rFonts w:hint="eastAsia" w:ascii="宋体" w:hAnsi="宋体" w:eastAsia="宋体" w:cs="宋体"/>
          <w:b/>
          <w:color w:val="auto"/>
          <w:sz w:val="21"/>
          <w:szCs w:val="21"/>
          <w:highlight w:val="none"/>
        </w:rPr>
        <w:t>服务报价</w:t>
      </w:r>
      <w:r>
        <w:rPr>
          <w:rStyle w:val="44"/>
          <w:rFonts w:hint="eastAsia" w:ascii="宋体" w:hAnsi="宋体" w:eastAsia="宋体" w:cs="宋体"/>
          <w:b/>
          <w:color w:val="auto"/>
          <w:sz w:val="21"/>
          <w:szCs w:val="21"/>
          <w:highlight w:val="none"/>
          <w:lang w:val="en-US" w:eastAsia="zh-CN"/>
        </w:rPr>
        <w:t>明细</w:t>
      </w:r>
      <w:r>
        <w:rPr>
          <w:rStyle w:val="44"/>
          <w:rFonts w:hint="eastAsia" w:ascii="宋体" w:hAnsi="宋体" w:eastAsia="宋体" w:cs="宋体"/>
          <w:b/>
          <w:color w:val="auto"/>
          <w:sz w:val="21"/>
          <w:szCs w:val="21"/>
          <w:highlight w:val="none"/>
        </w:rPr>
        <w:t>表”中的报价内容中，如有属于节能产品或环境标志产的，必须在此表单独列明且提供相应的证明材料，否则在计算价格得分时不予以相应的扣除；</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color w:val="auto"/>
          <w:sz w:val="28"/>
          <w:szCs w:val="28"/>
          <w:highlight w:val="none"/>
        </w:rPr>
      </w:pPr>
      <w:r>
        <w:rPr>
          <w:rStyle w:val="44"/>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62" w:name="_Toc10853"/>
      <w:bookmarkStart w:id="263" w:name="_Toc17482"/>
      <w:r>
        <w:rPr>
          <w:rFonts w:hint="eastAsia"/>
          <w:color w:val="auto"/>
          <w:highlight w:val="none"/>
          <w:lang w:val="en-US" w:eastAsia="zh-CN"/>
        </w:rPr>
        <w:t>五、中小企业声明函</w:t>
      </w:r>
      <w:bookmarkEnd w:id="262"/>
      <w:bookmarkEnd w:id="263"/>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中小企业声明函（货物）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highlight w:val="none"/>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highlight w:val="none"/>
          <w:u w:val="none"/>
          <w:lang w:val="en-US" w:eastAsia="zh-CN"/>
        </w:rPr>
        <w:t>的具体情况如下：</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30"/>
          <w:rFonts w:hint="eastAsia" w:asciiTheme="minorEastAsia" w:hAnsiTheme="minorEastAsia" w:eastAsiaTheme="minorEastAsia" w:cstheme="minorEastAsia"/>
          <w:color w:val="auto"/>
          <w:sz w:val="21"/>
          <w:szCs w:val="21"/>
          <w:highlight w:val="none"/>
          <w:u w:val="none"/>
          <w:lang w:val="en-US" w:eastAsia="zh-CN"/>
        </w:rPr>
        <w:footnoteReference w:id="0"/>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2"/>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若投标人不属于规定的中小企业范围，或提供的产品不是中小企业制造的，则无需提供此表。</w:t>
      </w:r>
      <w:r>
        <w:rPr>
          <w:rFonts w:hint="eastAsia" w:ascii="宋体" w:hAnsi="宋体" w:eastAsia="宋体"/>
          <w:color w:val="auto"/>
          <w:sz w:val="21"/>
          <w:szCs w:val="21"/>
          <w:highlight w:val="none"/>
        </w:rPr>
        <w:br w:type="page"/>
      </w:r>
    </w:p>
    <w:p>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中小企业声明函（工程、服务）</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eastAsiaTheme="minorEastAsia"/>
          <w:color w:val="auto"/>
          <w:highlight w:val="non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30"/>
          <w:rFonts w:hint="eastAsia" w:asciiTheme="minorEastAsia" w:hAnsiTheme="minorEastAsia" w:eastAsiaTheme="minorEastAsia" w:cstheme="minorEastAsia"/>
          <w:color w:val="auto"/>
          <w:sz w:val="21"/>
          <w:szCs w:val="21"/>
          <w:highlight w:val="none"/>
          <w:u w:val="none"/>
          <w:lang w:val="en-US" w:eastAsia="zh-CN"/>
        </w:rPr>
        <w:footnoteReference w:id="1"/>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若投标人不属于规定的中小企业范围，或提供的产品不是中小企业制造的，则无需提供此表。</w:t>
      </w:r>
      <w:r>
        <w:rPr>
          <w:rFonts w:hint="eastAsia" w:ascii="宋体" w:hAnsi="宋体" w:eastAsia="宋体"/>
          <w:color w:val="auto"/>
          <w:sz w:val="21"/>
          <w:szCs w:val="21"/>
          <w:highlight w:val="none"/>
        </w:rPr>
        <w:br w:type="page"/>
      </w:r>
    </w:p>
    <w:p>
      <w:pP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说明</w:t>
      </w:r>
      <w:r>
        <w:rPr>
          <w:rFonts w:hint="eastAsia" w:ascii="宋体" w:hAnsi="宋体" w:eastAsia="宋体"/>
          <w:b/>
          <w:bCs/>
          <w:color w:val="auto"/>
          <w:sz w:val="21"/>
          <w:szCs w:val="21"/>
          <w:highlight w:val="none"/>
        </w:rPr>
        <w:t>：</w:t>
      </w:r>
    </w:p>
    <w:p>
      <w:pPr>
        <w:spacing w:after="0" w:line="480" w:lineRule="auto"/>
        <w:ind w:firstLine="422" w:firstLineChars="20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1、投标人应根据</w:t>
      </w:r>
      <w:r>
        <w:rPr>
          <w:rFonts w:hint="eastAsia" w:ascii="宋体" w:hAnsi="宋体" w:eastAsia="宋体"/>
          <w:b/>
          <w:bCs/>
          <w:color w:val="auto"/>
          <w:sz w:val="21"/>
          <w:szCs w:val="21"/>
          <w:highlight w:val="none"/>
          <w:lang w:eastAsia="zh-CN"/>
        </w:rPr>
        <w:t>《政府采购促进中小企业发展管理办法》的通知（财库〔2020〕46号）</w:t>
      </w:r>
      <w:r>
        <w:rPr>
          <w:rFonts w:hint="eastAsia" w:ascii="宋体" w:hAnsi="宋体" w:eastAsia="宋体"/>
          <w:b/>
          <w:bCs/>
          <w:color w:val="auto"/>
          <w:sz w:val="21"/>
          <w:szCs w:val="21"/>
          <w:highlight w:val="none"/>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楷体_GB2312" w:eastAsia="楷体_GB2312"/>
          <w:b/>
          <w:bCs/>
          <w:color w:val="auto"/>
          <w:sz w:val="24"/>
          <w:highlight w:val="none"/>
        </w:rPr>
      </w:pP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rPr>
        <w:t>、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64" w:name="_Toc7959"/>
      <w:bookmarkStart w:id="265" w:name="_Toc8560"/>
      <w:r>
        <w:rPr>
          <w:rFonts w:hint="eastAsia"/>
          <w:color w:val="auto"/>
          <w:highlight w:val="none"/>
          <w:lang w:val="en-US" w:eastAsia="zh-CN"/>
        </w:rPr>
        <w:t>六、残疾人福利性单位声明函</w:t>
      </w:r>
      <w:bookmarkEnd w:id="264"/>
      <w:bookmarkEnd w:id="265"/>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本单位对上述声明的真实性负责。如有虚假，将依法承担相应责任。</w:t>
      </w:r>
    </w:p>
    <w:p>
      <w:pPr>
        <w:spacing w:after="0" w:line="480" w:lineRule="auto"/>
        <w:jc w:val="right"/>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单位名称（盖章）：</w:t>
      </w:r>
      <w:bookmarkStart w:id="266" w:name="_Toc30247"/>
      <w:bookmarkStart w:id="267" w:name="_Toc17761"/>
      <w:bookmarkStart w:id="268" w:name="_Toc509844825"/>
      <w:bookmarkStart w:id="269" w:name="_Toc508960153"/>
      <w:bookmarkStart w:id="270" w:name="_Toc22970"/>
      <w:bookmarkStart w:id="271" w:name="_Toc508898066"/>
      <w:bookmarkStart w:id="272" w:name="_Toc509927455"/>
      <w:bookmarkStart w:id="273" w:name="_Toc509479530"/>
      <w:bookmarkStart w:id="274" w:name="_Toc508958703"/>
      <w:bookmarkStart w:id="275" w:name="_Toc30277"/>
      <w:bookmarkStart w:id="276" w:name="_Toc20910"/>
      <w:bookmarkStart w:id="277" w:name="_Toc510171693"/>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  期：</w:t>
      </w:r>
      <w:bookmarkEnd w:id="266"/>
      <w:bookmarkEnd w:id="267"/>
      <w:bookmarkEnd w:id="268"/>
      <w:bookmarkEnd w:id="269"/>
      <w:bookmarkEnd w:id="270"/>
      <w:bookmarkEnd w:id="271"/>
      <w:bookmarkEnd w:id="272"/>
      <w:bookmarkEnd w:id="273"/>
      <w:bookmarkEnd w:id="274"/>
      <w:bookmarkEnd w:id="275"/>
      <w:bookmarkEnd w:id="276"/>
      <w:bookmarkEnd w:id="277"/>
    </w:p>
    <w:p>
      <w:pPr>
        <w:pStyle w:val="2"/>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bookmarkStart w:id="278" w:name="_Toc508898067"/>
      <w:bookmarkStart w:id="279" w:name="_Toc508958704"/>
      <w:bookmarkStart w:id="280" w:name="_Toc31520"/>
      <w:bookmarkStart w:id="281" w:name="_Toc26216"/>
      <w:bookmarkStart w:id="282" w:name="_Toc509479531"/>
      <w:bookmarkStart w:id="283" w:name="_Toc508960154"/>
      <w:bookmarkStart w:id="284" w:name="_Toc509927456"/>
      <w:bookmarkStart w:id="285" w:name="_Toc21053"/>
      <w:bookmarkStart w:id="286" w:name="_Toc28527"/>
      <w:bookmarkStart w:id="287" w:name="_Toc510171694"/>
      <w:bookmarkStart w:id="288" w:name="_Toc5447"/>
      <w:bookmarkStart w:id="289" w:name="_Toc509844826"/>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（1）符合《财政部 民政部 中国残疾人联合会关于促进残疾人就业政府采购政策的通知》（财库〔2017〕 141号）规定条件的残疾人福利性单位应当提供《残疾人福利性单位声明函》。</w:t>
      </w:r>
      <w:bookmarkEnd w:id="278"/>
      <w:bookmarkEnd w:id="279"/>
      <w:bookmarkEnd w:id="280"/>
      <w:bookmarkEnd w:id="281"/>
      <w:bookmarkEnd w:id="282"/>
      <w:bookmarkEnd w:id="283"/>
      <w:bookmarkEnd w:id="284"/>
      <w:bookmarkEnd w:id="285"/>
      <w:bookmarkEnd w:id="286"/>
      <w:bookmarkEnd w:id="287"/>
      <w:bookmarkEnd w:id="288"/>
      <w:bookmarkEnd w:id="289"/>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90" w:name="_Toc508960155"/>
      <w:bookmarkStart w:id="291" w:name="_Toc510171695"/>
      <w:bookmarkStart w:id="292" w:name="_Toc509479532"/>
      <w:bookmarkStart w:id="293" w:name="_Toc28626"/>
      <w:bookmarkStart w:id="294" w:name="_Toc28126"/>
      <w:bookmarkStart w:id="295" w:name="_Toc24848"/>
      <w:bookmarkStart w:id="296" w:name="_Toc14653"/>
      <w:bookmarkStart w:id="297" w:name="_Toc508898068"/>
      <w:bookmarkStart w:id="298" w:name="_Toc509927457"/>
      <w:bookmarkStart w:id="299" w:name="_Toc9148"/>
      <w:bookmarkStart w:id="300" w:name="_Toc508958705"/>
      <w:bookmarkStart w:id="301" w:name="_Toc509844827"/>
      <w:r>
        <w:rPr>
          <w:rFonts w:hint="eastAsia" w:ascii="宋体" w:hAnsi="宋体" w:eastAsia="宋体"/>
          <w:color w:val="auto"/>
          <w:sz w:val="21"/>
          <w:szCs w:val="21"/>
          <w:highlight w:val="none"/>
        </w:rPr>
        <w:t>（2）中标人为残疾人福利性单位的，采购代理机构将随中标结果同时公告其《残疾人福利性单位声明函》，接受社会监督。</w:t>
      </w:r>
      <w:bookmarkEnd w:id="290"/>
      <w:bookmarkEnd w:id="291"/>
      <w:bookmarkEnd w:id="292"/>
      <w:bookmarkEnd w:id="293"/>
      <w:bookmarkEnd w:id="294"/>
      <w:bookmarkEnd w:id="295"/>
      <w:bookmarkEnd w:id="296"/>
      <w:bookmarkEnd w:id="297"/>
      <w:bookmarkEnd w:id="298"/>
      <w:bookmarkEnd w:id="299"/>
      <w:bookmarkEnd w:id="300"/>
      <w:bookmarkEnd w:id="301"/>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302" w:name="_Toc28686"/>
      <w:bookmarkStart w:id="303" w:name="_Toc28044"/>
      <w:bookmarkStart w:id="304" w:name="_Toc9837"/>
      <w:bookmarkStart w:id="305" w:name="_Toc510171696"/>
      <w:bookmarkStart w:id="306" w:name="_Toc509844828"/>
      <w:bookmarkStart w:id="307" w:name="_Toc7858"/>
      <w:bookmarkStart w:id="308" w:name="_Toc509479533"/>
      <w:bookmarkStart w:id="309" w:name="_Toc509927458"/>
      <w:bookmarkStart w:id="310" w:name="_Toc508958706"/>
      <w:bookmarkStart w:id="311" w:name="_Toc508960156"/>
      <w:bookmarkStart w:id="312" w:name="_Toc508898069"/>
      <w:bookmarkStart w:id="313" w:name="_Toc22981"/>
      <w:r>
        <w:rPr>
          <w:rFonts w:hint="eastAsia" w:ascii="宋体" w:hAnsi="宋体" w:eastAsia="宋体"/>
          <w:color w:val="auto"/>
          <w:sz w:val="21"/>
          <w:szCs w:val="21"/>
          <w:highlight w:val="none"/>
        </w:rPr>
        <w:t>（3）投标人提供的《残疾人福利性单位声明函》与事实不符的，依照《政府采购法》第七十七条第一款的规定追究法律责任。</w:t>
      </w:r>
      <w:bookmarkEnd w:id="302"/>
      <w:bookmarkEnd w:id="303"/>
      <w:bookmarkEnd w:id="304"/>
      <w:bookmarkEnd w:id="305"/>
      <w:bookmarkEnd w:id="306"/>
      <w:bookmarkEnd w:id="307"/>
      <w:bookmarkEnd w:id="308"/>
      <w:bookmarkEnd w:id="309"/>
      <w:bookmarkEnd w:id="310"/>
      <w:bookmarkEnd w:id="311"/>
      <w:bookmarkEnd w:id="312"/>
      <w:bookmarkEnd w:id="313"/>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314" w:name="_Toc509927459"/>
      <w:bookmarkStart w:id="315" w:name="_Toc508960157"/>
      <w:bookmarkStart w:id="316" w:name="_Toc509479534"/>
      <w:bookmarkStart w:id="317" w:name="_Toc508898070"/>
      <w:bookmarkStart w:id="318" w:name="_Toc5289"/>
      <w:bookmarkStart w:id="319" w:name="_Toc508958707"/>
      <w:bookmarkStart w:id="320" w:name="_Toc510171697"/>
      <w:bookmarkStart w:id="321" w:name="_Toc18843"/>
      <w:bookmarkStart w:id="322" w:name="_Toc509844829"/>
      <w:r>
        <w:rPr>
          <w:rFonts w:hint="eastAsia" w:ascii="宋体" w:hAnsi="宋体" w:eastAsia="宋体"/>
          <w:color w:val="auto"/>
          <w:sz w:val="21"/>
          <w:szCs w:val="21"/>
          <w:highlight w:val="none"/>
        </w:rPr>
        <w:t>（4）残疾人福利性单位视同小型、微型企业，享受评审中价格扣除。残疾人福利性单位属于小型、微型企业的，不重复享受政策。</w:t>
      </w:r>
      <w:bookmarkEnd w:id="314"/>
      <w:bookmarkEnd w:id="315"/>
      <w:bookmarkEnd w:id="316"/>
      <w:bookmarkEnd w:id="317"/>
      <w:bookmarkEnd w:id="318"/>
      <w:bookmarkEnd w:id="319"/>
      <w:bookmarkEnd w:id="320"/>
      <w:bookmarkEnd w:id="321"/>
      <w:bookmarkEnd w:id="322"/>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eastAsia="宋体"/>
          <w:bCs/>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3" w:name="_Toc6471"/>
      <w:bookmarkStart w:id="324" w:name="_Toc23948"/>
      <w:r>
        <w:rPr>
          <w:rFonts w:hint="eastAsia"/>
          <w:color w:val="auto"/>
          <w:highlight w:val="none"/>
          <w:lang w:val="en-US" w:eastAsia="zh-CN"/>
        </w:rPr>
        <w:t>第二章商务文件</w:t>
      </w:r>
      <w:bookmarkEnd w:id="323"/>
      <w:bookmarkEnd w:id="324"/>
    </w:p>
    <w:bookmarkEnd w:id="253"/>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25" w:name="_Toc1952"/>
      <w:bookmarkStart w:id="326" w:name="_Toc23787"/>
      <w:r>
        <w:rPr>
          <w:rFonts w:hint="eastAsia"/>
          <w:color w:val="auto"/>
          <w:highlight w:val="none"/>
          <w:lang w:val="en-US" w:eastAsia="zh-CN"/>
        </w:rPr>
        <w:t>一、投标函</w:t>
      </w:r>
      <w:bookmarkEnd w:id="325"/>
      <w:bookmarkEnd w:id="326"/>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经正式授权并代表投标人</w:t>
      </w:r>
      <w:r>
        <w:rPr>
          <w:rFonts w:hint="eastAsia" w:ascii="宋体" w:hAnsi="宋体" w:eastAsia="宋体"/>
          <w:color w:val="auto"/>
          <w:sz w:val="21"/>
          <w:szCs w:val="21"/>
          <w:highlight w:val="none"/>
          <w:u w:val="single"/>
        </w:rPr>
        <w:t>（投标人名称、地址）</w:t>
      </w:r>
      <w:r>
        <w:rPr>
          <w:rFonts w:hint="eastAsia" w:ascii="宋体" w:eastAsia="宋体" w:cs="宋体"/>
          <w:color w:val="auto"/>
          <w:sz w:val="22"/>
          <w:szCs w:val="22"/>
          <w:highlight w:val="none"/>
        </w:rPr>
        <w:t>进行有关本次投标的一切事宜。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在此提交的投标文件，正本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套，唱标信封及电子文件各1份。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完全明白招标文件的所有条款要求，并重申以下几点：</w:t>
      </w:r>
    </w:p>
    <w:p>
      <w:pPr>
        <w:keepNext w:val="0"/>
        <w:keepLines w:val="0"/>
        <w:pageBreakBefore w:val="0"/>
        <w:widowControl w:val="0"/>
        <w:numPr>
          <w:ilvl w:val="0"/>
          <w:numId w:val="1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我方将按招标文件的规定履行合同责任和义务。 </w:t>
      </w:r>
    </w:p>
    <w:p>
      <w:pPr>
        <w:keepNext w:val="0"/>
        <w:keepLines w:val="0"/>
        <w:pageBreakBefore w:val="0"/>
        <w:widowControl w:val="0"/>
        <w:numPr>
          <w:ilvl w:val="0"/>
          <w:numId w:val="1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本投标有效期为自开标日起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pPr>
        <w:keepNext w:val="0"/>
        <w:keepLines w:val="0"/>
        <w:pageBreakBefore w:val="0"/>
        <w:widowControl w:val="0"/>
        <w:numPr>
          <w:ilvl w:val="0"/>
          <w:numId w:val="1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本公司同意按照贵公司可能提出的要求而提供与投标有关的任何其它数据、信息或资料。</w:t>
      </w:r>
    </w:p>
    <w:p>
      <w:pPr>
        <w:keepNext w:val="0"/>
        <w:keepLines w:val="0"/>
        <w:pageBreakBefore w:val="0"/>
        <w:widowControl w:val="0"/>
        <w:numPr>
          <w:ilvl w:val="0"/>
          <w:numId w:val="1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11"/>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本公司如果中标，将保证履行招标文件及其澄清、修改文件（如果有）中的全部责任和义务，按质、按量、按期完成《采购需求书》及《合同书》中的全部任务。</w:t>
      </w:r>
    </w:p>
    <w:p>
      <w:pPr>
        <w:keepNext w:val="0"/>
        <w:keepLines w:val="0"/>
        <w:pageBreakBefore w:val="0"/>
        <w:widowControl w:val="0"/>
        <w:numPr>
          <w:ilvl w:val="0"/>
          <w:numId w:val="1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与本投标有关的一切正式信函请寄：</w:t>
      </w:r>
    </w:p>
    <w:p>
      <w:pPr>
        <w:spacing w:after="0" w:line="360" w:lineRule="auto"/>
        <w:rPr>
          <w:rFonts w:hint="eastAsia" w:ascii="宋体" w:hAnsi="宋体" w:eastAsia="宋体"/>
          <w:color w:val="auto"/>
          <w:sz w:val="21"/>
          <w:szCs w:val="21"/>
          <w:highlight w:val="none"/>
        </w:rPr>
      </w:pPr>
    </w:p>
    <w:p>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pPr>
        <w:spacing w:after="0" w:line="360" w:lineRule="auto"/>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 xml:space="preserve">投标人代表签字： </w:t>
      </w:r>
      <w:r>
        <w:rPr>
          <w:rFonts w:hint="eastAsia" w:ascii="宋体" w:hAnsi="宋体" w:eastAsia="宋体"/>
          <w:color w:val="auto"/>
          <w:sz w:val="21"/>
          <w:szCs w:val="21"/>
          <w:highlight w:val="none"/>
          <w:lang w:val="en-US" w:eastAsia="zh-CN"/>
        </w:rPr>
        <w:t xml:space="preserve">                   </w:t>
      </w:r>
    </w:p>
    <w:p>
      <w:pPr>
        <w:spacing w:after="0" w:line="360" w:lineRule="auto"/>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eastAsia="zh-CN"/>
        </w:rPr>
        <w:t>投标人名称（加盖公章）</w:t>
      </w:r>
      <w:r>
        <w:rPr>
          <w:rFonts w:hint="eastAsia" w:ascii="宋体" w:hAnsi="宋体" w:eastAsia="宋体"/>
          <w:color w:val="auto"/>
          <w:sz w:val="21"/>
          <w:szCs w:val="21"/>
          <w:highlight w:val="none"/>
        </w:rPr>
        <w:t xml:space="preserve">：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color w:val="auto"/>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27" w:name="_Toc28616"/>
      <w:bookmarkStart w:id="328" w:name="_Toc15719"/>
      <w:r>
        <w:rPr>
          <w:rFonts w:hint="eastAsia"/>
          <w:color w:val="auto"/>
          <w:highlight w:val="none"/>
          <w:lang w:val="en-US" w:eastAsia="zh-CN"/>
        </w:rPr>
        <w:t>二、资格申明函</w:t>
      </w:r>
      <w:bookmarkEnd w:id="327"/>
      <w:bookmarkEnd w:id="328"/>
    </w:p>
    <w:p>
      <w:pPr>
        <w:pStyle w:val="37"/>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ascii="宋体" w:hAnsi="宋体" w:eastAsia="宋体"/>
          <w:color w:val="auto"/>
          <w:sz w:val="21"/>
          <w:szCs w:val="21"/>
          <w:highlight w:val="none"/>
        </w:rPr>
        <w:t>投标邀请，参与投标，提供用户需求书中规定的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，并按招标文件要求提交所附资格文件且声明和保证如下：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我方具备《中华人民共和国政府采购法》第二十二条资格条件</w:t>
      </w:r>
      <w:r>
        <w:rPr>
          <w:rFonts w:hint="eastAsia" w:ascii="宋体" w:hAnsi="宋体" w:eastAsia="宋体"/>
          <w:color w:val="auto"/>
          <w:sz w:val="21"/>
          <w:szCs w:val="21"/>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（一）具有独立承担民事责任的能力；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（二）具有良好的商业信誉和健全的财务会计制度；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（三）具有履行合同所必需的设备和专业技术能力；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（四）有依法缴纳税收和社会保障资金的良好记录；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（五）参加政府采购活动前三年内，在经营活动中没有重大违法记录；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（六）法律、行政法规规定的其他条件。 </w:t>
      </w:r>
    </w:p>
    <w:p>
      <w:pPr>
        <w:numPr>
          <w:ilvl w:val="0"/>
          <w:numId w:val="0"/>
        </w:num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val="en-US" w:eastAsia="zh-CN"/>
        </w:rPr>
        <w:t>、我方</w:t>
      </w:r>
      <w:r>
        <w:rPr>
          <w:rFonts w:hint="eastAsia" w:ascii="宋体" w:hAnsi="宋体" w:eastAsia="宋体"/>
          <w:color w:val="auto"/>
          <w:sz w:val="21"/>
          <w:szCs w:val="21"/>
          <w:highlight w:val="none"/>
        </w:rPr>
        <w:t>已清楚招标文件所有要求及有关规定；并承诺参加本次政府采购活动中，如有违法、违规、弄虚作假行为，所造成的损失、不良后果及法律责任，一律由我方承担；</w:t>
      </w:r>
    </w:p>
    <w:p>
      <w:pPr>
        <w:pStyle w:val="37"/>
        <w:spacing w:line="500" w:lineRule="atLeast"/>
        <w:ind w:firstLine="3517" w:firstLineChars="1675"/>
        <w:rPr>
          <w:rFonts w:ascii="宋体" w:eastAsia="宋体"/>
          <w:color w:val="auto"/>
          <w:sz w:val="21"/>
          <w:szCs w:val="21"/>
          <w:highlight w:val="none"/>
        </w:rPr>
      </w:pPr>
    </w:p>
    <w:p>
      <w:pPr>
        <w:pStyle w:val="37"/>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jc w:val="both"/>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rPr>
          <w:color w:val="auto"/>
          <w:highlight w:val="none"/>
        </w:rPr>
      </w:pPr>
    </w:p>
    <w:p>
      <w:pPr>
        <w:rPr>
          <w:color w:val="auto"/>
          <w:highlight w:val="none"/>
        </w:rPr>
      </w:pPr>
      <w:bookmarkStart w:id="329" w:name="_Toc16412"/>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30" w:name="_Toc21273"/>
      <w:bookmarkStart w:id="331" w:name="_Toc32742"/>
      <w:r>
        <w:rPr>
          <w:rFonts w:hint="eastAsia"/>
          <w:color w:val="auto"/>
          <w:highlight w:val="none"/>
          <w:lang w:val="en-US" w:eastAsia="zh-CN"/>
        </w:rPr>
        <w:t>三、在参与政府采购活动前三年未有重大违法记录、没有不良信用记录的声明函</w:t>
      </w:r>
      <w:bookmarkEnd w:id="330"/>
      <w:bookmarkEnd w:id="331"/>
    </w:p>
    <w:p>
      <w:pPr>
        <w:spacing w:after="0" w:line="360" w:lineRule="auto"/>
        <w:ind w:firstLine="420" w:firstLineChars="200"/>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投标人名称（加盖公章）</w:t>
      </w:r>
      <w:r>
        <w:rPr>
          <w:rFonts w:hint="eastAsia" w:ascii="宋体" w:hAnsi="宋体" w:eastAsia="宋体" w:cs="宋体"/>
          <w:color w:val="auto"/>
          <w:sz w:val="21"/>
          <w:szCs w:val="21"/>
          <w:highlight w:val="none"/>
        </w:rPr>
        <w:t>：</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329"/>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32" w:name="_Toc13243"/>
      <w:bookmarkStart w:id="333" w:name="_Toc3894"/>
      <w:r>
        <w:rPr>
          <w:rFonts w:hint="eastAsia"/>
          <w:color w:val="auto"/>
          <w:highlight w:val="none"/>
          <w:lang w:val="en-US" w:eastAsia="zh-CN"/>
        </w:rPr>
        <w:t>四、法定代表人证明书</w:t>
      </w:r>
      <w:bookmarkEnd w:id="332"/>
      <w:bookmarkEnd w:id="333"/>
    </w:p>
    <w:p>
      <w:pPr>
        <w:pStyle w:val="37"/>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7"/>
        <w:spacing w:line="420" w:lineRule="atLeast"/>
        <w:ind w:firstLine="433"/>
        <w:rPr>
          <w:rFonts w:ascii="宋体" w:eastAsia="宋体"/>
          <w:color w:val="auto"/>
          <w:sz w:val="21"/>
          <w:szCs w:val="21"/>
          <w:highlight w:val="none"/>
        </w:rPr>
      </w:pPr>
    </w:p>
    <w:p>
      <w:pPr>
        <w:pStyle w:val="37"/>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7"/>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4"/>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7"/>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34" w:name="_Toc5918"/>
      <w:bookmarkStart w:id="335" w:name="_Toc5626"/>
      <w:r>
        <w:rPr>
          <w:rFonts w:hint="eastAsia"/>
          <w:color w:val="auto"/>
          <w:highlight w:val="none"/>
          <w:lang w:val="en-US" w:eastAsia="zh-CN"/>
        </w:rPr>
        <w:t>五、法定代表人授权书</w:t>
      </w:r>
      <w:bookmarkEnd w:id="334"/>
      <w:bookmarkEnd w:id="335"/>
    </w:p>
    <w:p>
      <w:pPr>
        <w:pStyle w:val="37"/>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7"/>
        <w:spacing w:line="420" w:lineRule="atLeast"/>
        <w:ind w:firstLine="433"/>
        <w:rPr>
          <w:rFonts w:ascii="宋体" w:eastAsia="宋体"/>
          <w:color w:val="auto"/>
          <w:sz w:val="21"/>
          <w:szCs w:val="21"/>
          <w:highlight w:val="none"/>
        </w:rPr>
      </w:pP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（投标人名称）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）投标文件、签订合同和处理有关事宜，其法律后果由我方承担。</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7"/>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pStyle w:val="37"/>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4"/>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highlight w:val="none"/>
              </w:rPr>
            </w:pPr>
            <w:bookmarkStart w:id="336"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adjustRightInd/>
        <w:snapToGrid/>
        <w:spacing w:line="276" w:lineRule="auto"/>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37" w:name="_Toc24013"/>
      <w:bookmarkStart w:id="338" w:name="_Toc18562"/>
      <w:r>
        <w:rPr>
          <w:rFonts w:hint="eastAsia"/>
          <w:color w:val="auto"/>
          <w:highlight w:val="none"/>
          <w:lang w:val="en-US" w:eastAsia="zh-CN"/>
        </w:rPr>
        <w:t>六、投标人基本情况说明</w:t>
      </w:r>
      <w:bookmarkEnd w:id="337"/>
      <w:bookmarkEnd w:id="338"/>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一、投标人基本情况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1、投标人名称：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5、投标人开户银行名称及账号：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pStyle w:val="2"/>
        <w:rPr>
          <w:rFonts w:hint="eastAsia" w:ascii="宋体" w:hAnsi="宋体" w:eastAsia="宋体" w:cs="宋体"/>
          <w:b/>
          <w:color w:val="auto"/>
          <w:sz w:val="21"/>
          <w:szCs w:val="21"/>
          <w:highlight w:val="none"/>
        </w:rPr>
      </w:pPr>
    </w:p>
    <w:p>
      <w:pPr>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339" w:name="_Toc28067"/>
      <w:bookmarkStart w:id="340" w:name="_Toc4926"/>
      <w:bookmarkStart w:id="341" w:name="_Toc29995"/>
      <w:bookmarkStart w:id="342" w:name="_Toc17470"/>
      <w:bookmarkStart w:id="343" w:name="_Toc1511"/>
      <w:bookmarkStart w:id="344" w:name="_Toc24210"/>
      <w:bookmarkStart w:id="345" w:name="_Toc5919"/>
      <w:r>
        <w:rPr>
          <w:rFonts w:hint="eastAsia"/>
          <w:color w:val="auto"/>
          <w:highlight w:val="none"/>
          <w:lang w:val="en-US" w:eastAsia="zh-CN"/>
        </w:rPr>
        <w:t>七、</w:t>
      </w:r>
      <w:r>
        <w:rPr>
          <w:rFonts w:hint="eastAsia"/>
          <w:color w:val="auto"/>
          <w:highlight w:val="none"/>
        </w:rPr>
        <w:t>营业执照</w:t>
      </w:r>
      <w:bookmarkEnd w:id="339"/>
      <w:bookmarkEnd w:id="340"/>
      <w:bookmarkEnd w:id="341"/>
      <w:bookmarkEnd w:id="342"/>
      <w:bookmarkEnd w:id="343"/>
      <w:bookmarkEnd w:id="344"/>
      <w:bookmarkEnd w:id="345"/>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336"/>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46" w:name="_Toc21638"/>
      <w:bookmarkStart w:id="347" w:name="_Toc29439"/>
      <w:r>
        <w:rPr>
          <w:rFonts w:hint="eastAsia"/>
          <w:color w:val="auto"/>
          <w:highlight w:val="none"/>
          <w:lang w:val="en-US" w:eastAsia="zh-CN"/>
        </w:rPr>
        <w:t>八、</w:t>
      </w:r>
      <w:r>
        <w:rPr>
          <w:rFonts w:hint="eastAsia"/>
          <w:color w:val="auto"/>
          <w:highlight w:val="none"/>
        </w:rPr>
        <w:t>特殊资格要求证明文件</w:t>
      </w:r>
      <w:bookmarkEnd w:id="346"/>
      <w:bookmarkEnd w:id="347"/>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48" w:name="_Toc14263"/>
      <w:bookmarkStart w:id="349" w:name="_Toc23341"/>
      <w:r>
        <w:rPr>
          <w:rFonts w:hint="eastAsia"/>
          <w:color w:val="auto"/>
          <w:highlight w:val="none"/>
          <w:lang w:val="en-US" w:eastAsia="zh-CN"/>
        </w:rPr>
        <w:t>九、</w:t>
      </w:r>
      <w:r>
        <w:rPr>
          <w:rFonts w:hint="eastAsia"/>
          <w:color w:val="auto"/>
          <w:highlight w:val="none"/>
        </w:rPr>
        <w:t>承诺书</w:t>
      </w:r>
      <w:bookmarkEnd w:id="348"/>
      <w:bookmarkEnd w:id="349"/>
    </w:p>
    <w:p>
      <w:pPr>
        <w:pStyle w:val="37"/>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7"/>
        <w:spacing w:line="420" w:lineRule="exact"/>
        <w:ind w:firstLine="455"/>
        <w:rPr>
          <w:rFonts w:hint="eastAsia" w:ascii="宋体" w:hAnsi="宋体" w:eastAsia="宋体" w:cs="宋体"/>
          <w:b w:val="0"/>
          <w:bCs w:val="0"/>
          <w:color w:val="auto"/>
          <w:sz w:val="21"/>
          <w:szCs w:val="21"/>
          <w:highlight w:val="none"/>
        </w:rPr>
      </w:pPr>
      <w:bookmarkStart w:id="350"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50"/>
      <w:r>
        <w:rPr>
          <w:rFonts w:hint="eastAsia" w:ascii="宋体" w:hAnsi="宋体" w:eastAsia="宋体" w:cs="宋体"/>
          <w:b w:val="0"/>
          <w:bCs w:val="0"/>
          <w:color w:val="auto"/>
          <w:sz w:val="21"/>
          <w:szCs w:val="21"/>
          <w:highlight w:val="none"/>
        </w:rPr>
        <w:cr/>
      </w:r>
    </w:p>
    <w:p>
      <w:pPr>
        <w:pStyle w:val="37"/>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51" w:name="_Toc13955"/>
      <w:bookmarkStart w:id="352" w:name="_Toc13653"/>
      <w:r>
        <w:rPr>
          <w:rFonts w:hint="eastAsia"/>
          <w:color w:val="auto"/>
          <w:highlight w:val="none"/>
          <w:lang w:val="en-US" w:eastAsia="zh-CN"/>
        </w:rPr>
        <w:t>十、招标代理服务费承诺书</w:t>
      </w:r>
      <w:bookmarkEnd w:id="351"/>
      <w:bookmarkEnd w:id="352"/>
    </w:p>
    <w:p>
      <w:pPr>
        <w:pStyle w:val="37"/>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（投标人名称）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pPr>
        <w:jc w:val="center"/>
        <w:rPr>
          <w:rFonts w:hint="eastAsia" w:ascii="宋体" w:hAnsi="宋体" w:eastAsia="宋体" w:cs="宋体"/>
          <w:b w:val="0"/>
          <w:bCs w:val="0"/>
          <w:color w:val="auto"/>
          <w:sz w:val="21"/>
          <w:szCs w:val="21"/>
          <w:highlight w:val="none"/>
        </w:rPr>
      </w:pPr>
    </w:p>
    <w:p>
      <w:pPr>
        <w:bidi w:val="0"/>
        <w:rPr>
          <w:rFonts w:hint="eastAsia"/>
          <w:color w:val="auto"/>
          <w:highlight w:val="none"/>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53" w:name="_Toc1975"/>
      <w:bookmarkStart w:id="354" w:name="_Toc12598"/>
      <w:r>
        <w:rPr>
          <w:rFonts w:hint="eastAsia"/>
          <w:color w:val="auto"/>
          <w:highlight w:val="none"/>
          <w:lang w:val="en-US" w:eastAsia="zh-CN"/>
        </w:rPr>
        <w:t>十一、</w:t>
      </w:r>
      <w:r>
        <w:rPr>
          <w:rFonts w:hint="eastAsia"/>
          <w:color w:val="auto"/>
          <w:highlight w:val="none"/>
        </w:rPr>
        <w:t>商务条款偏离表</w:t>
      </w:r>
      <w:bookmarkEnd w:id="353"/>
      <w:bookmarkEnd w:id="354"/>
    </w:p>
    <w:tbl>
      <w:tblPr>
        <w:tblStyle w:val="24"/>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招标</w:t>
            </w:r>
            <w:r>
              <w:rPr>
                <w:rFonts w:hint="eastAsia" w:ascii="宋体" w:hAnsi="宋体" w:eastAsia="宋体"/>
                <w:color w:val="auto"/>
                <w:sz w:val="21"/>
                <w:szCs w:val="21"/>
                <w:highlight w:val="none"/>
                <w:lang w:val="en-US" w:eastAsia="zh-CN"/>
              </w:rPr>
              <w:t>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1、投标人应对照招标文件商务要求，在“偏离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”，逐条说明已对招标文件的商务内容做出了实质性的响应，并申明与招标文件的偏差和例外。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2、商务条款包括但不限于合格投标人资格、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rFonts w:hint="eastAsia"/>
          <w:color w:val="auto"/>
          <w:highlight w:val="none"/>
        </w:rPr>
      </w:pPr>
      <w:r>
        <w:rPr>
          <w:color w:val="auto"/>
          <w:highlight w:val="none"/>
        </w:rPr>
        <w:br w:type="page"/>
      </w:r>
      <w:bookmarkStart w:id="355" w:name="_Toc32183"/>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56" w:name="_Toc19276"/>
      <w:bookmarkStart w:id="357" w:name="_Toc25391"/>
      <w:r>
        <w:rPr>
          <w:rFonts w:hint="eastAsia"/>
          <w:color w:val="auto"/>
          <w:highlight w:val="none"/>
          <w:lang w:val="en-US" w:eastAsia="zh-CN"/>
        </w:rPr>
        <w:t>十二、</w:t>
      </w:r>
      <w:r>
        <w:rPr>
          <w:rFonts w:hint="eastAsia"/>
          <w:color w:val="auto"/>
          <w:highlight w:val="none"/>
        </w:rPr>
        <w:t>业绩表</w:t>
      </w:r>
      <w:bookmarkEnd w:id="356"/>
      <w:bookmarkEnd w:id="357"/>
    </w:p>
    <w:tbl>
      <w:tblPr>
        <w:tblStyle w:val="24"/>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4"/>
        <w:spacing w:after="0"/>
        <w:rPr>
          <w:rFonts w:ascii="宋体" w:hAnsi="宋体" w:eastAsia="宋体"/>
          <w:color w:val="auto"/>
          <w:sz w:val="21"/>
          <w:szCs w:val="21"/>
          <w:highlight w:val="none"/>
        </w:rPr>
      </w:pPr>
    </w:p>
    <w:p>
      <w:pPr>
        <w:pStyle w:val="34"/>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2"/>
        <w:rPr>
          <w:rFonts w:hint="eastAsia"/>
          <w:color w:val="auto"/>
          <w:highlight w:val="none"/>
        </w:rPr>
      </w:pPr>
    </w:p>
    <w:p>
      <w:pPr>
        <w:pStyle w:val="2"/>
        <w:ind w:left="0" w:leftChars="0" w:firstLine="0" w:firstLineChars="0"/>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358" w:name="_Toc14688"/>
      <w:bookmarkStart w:id="359" w:name="_Toc20520"/>
      <w:r>
        <w:rPr>
          <w:rFonts w:hint="eastAsia"/>
          <w:color w:val="auto"/>
          <w:highlight w:val="none"/>
          <w:lang w:val="en-US" w:eastAsia="zh-CN"/>
        </w:rPr>
        <w:t>第三章技术文件</w:t>
      </w:r>
      <w:bookmarkEnd w:id="355"/>
      <w:bookmarkEnd w:id="358"/>
      <w:bookmarkEnd w:id="359"/>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60" w:name="_Toc7092"/>
      <w:bookmarkStart w:id="361" w:name="_Toc13097"/>
      <w:r>
        <w:rPr>
          <w:rFonts w:hint="eastAsia"/>
          <w:color w:val="auto"/>
          <w:highlight w:val="none"/>
          <w:lang w:val="en-US" w:eastAsia="zh-CN"/>
        </w:rPr>
        <w:t>一、</w:t>
      </w:r>
      <w:r>
        <w:rPr>
          <w:rFonts w:hint="eastAsia"/>
          <w:color w:val="auto"/>
          <w:highlight w:val="none"/>
        </w:rPr>
        <w:t>技术规格偏离表</w:t>
      </w:r>
      <w:bookmarkEnd w:id="360"/>
      <w:bookmarkEnd w:id="361"/>
    </w:p>
    <w:tbl>
      <w:tblPr>
        <w:tblStyle w:val="24"/>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w:t>
            </w:r>
            <w:r>
              <w:rPr>
                <w:rFonts w:hint="eastAsia" w:ascii="宋体" w:hAnsi="宋体" w:eastAsia="宋体" w:cs="宋体"/>
                <w:color w:val="auto"/>
                <w:sz w:val="21"/>
                <w:szCs w:val="21"/>
                <w:highlight w:val="none"/>
                <w:lang w:val="en-US" w:eastAsia="zh-CN"/>
              </w:rPr>
              <w:t>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bl>
    <w:p>
      <w:pPr>
        <w:rPr>
          <w:rFonts w:ascii="宋体" w:hAnsi="宋体" w:eastAsia="宋体"/>
          <w:color w:val="auto"/>
          <w:sz w:val="21"/>
          <w:szCs w:val="21"/>
          <w:highlight w:val="none"/>
        </w:rPr>
      </w:pPr>
    </w:p>
    <w:p>
      <w:pPr>
        <w:bidi w:val="0"/>
        <w:rPr>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ind w:firstLine="178" w:firstLineChars="85"/>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注：投标人应对照招标文件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”，逐条说明已对招标文件的商务内容做出了实质性的响应，并申明与招标文件的偏差和例外。</w:t>
      </w:r>
    </w:p>
    <w:p>
      <w:pPr>
        <w:rPr>
          <w:rFonts w:hint="eastAsia" w:ascii="宋体" w:hAnsi="宋体" w:eastAsia="宋体"/>
          <w:color w:val="auto"/>
          <w:sz w:val="21"/>
          <w:szCs w:val="21"/>
          <w:highlight w:val="none"/>
        </w:rPr>
      </w:pPr>
    </w:p>
    <w:p>
      <w:pPr>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62" w:name="_Toc17691"/>
      <w:r>
        <w:rPr>
          <w:rFonts w:hint="eastAsia" w:ascii="宋体" w:hAnsi="宋体" w:eastAsia="宋体"/>
          <w:color w:val="auto"/>
          <w:sz w:val="21"/>
          <w:szCs w:val="21"/>
          <w:highlight w:val="none"/>
        </w:rPr>
        <w:br w:type="page"/>
      </w:r>
      <w:bookmarkEnd w:id="362"/>
      <w:bookmarkStart w:id="363" w:name="_Toc4464"/>
      <w:bookmarkStart w:id="364" w:name="_Toc6080"/>
      <w:bookmarkStart w:id="365" w:name="_Toc1274"/>
      <w:bookmarkStart w:id="366" w:name="_Toc18668"/>
      <w:bookmarkStart w:id="367" w:name="_Toc26078"/>
      <w:bookmarkStart w:id="368" w:name="_Toc4827"/>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69" w:name="_Toc13461"/>
      <w:bookmarkStart w:id="370" w:name="_Toc10734"/>
      <w:r>
        <w:rPr>
          <w:rFonts w:hint="eastAsia"/>
          <w:color w:val="auto"/>
          <w:highlight w:val="none"/>
          <w:lang w:val="en-US" w:eastAsia="zh-CN"/>
        </w:rPr>
        <w:t>二、</w:t>
      </w:r>
      <w:r>
        <w:rPr>
          <w:rFonts w:hint="eastAsia"/>
          <w:color w:val="auto"/>
          <w:highlight w:val="none"/>
        </w:rPr>
        <w:t>重要技术参数（▲）响应表</w:t>
      </w:r>
      <w:bookmarkEnd w:id="363"/>
      <w:bookmarkEnd w:id="364"/>
      <w:bookmarkEnd w:id="365"/>
      <w:bookmarkEnd w:id="366"/>
      <w:bookmarkEnd w:id="367"/>
      <w:bookmarkEnd w:id="368"/>
      <w:bookmarkEnd w:id="369"/>
      <w:bookmarkEnd w:id="370"/>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71" w:name="_Toc29560"/>
            <w:bookmarkStart w:id="372" w:name="_Toc27079"/>
            <w:bookmarkStart w:id="373" w:name="_Toc29642"/>
            <w:r>
              <w:rPr>
                <w:rFonts w:hint="eastAsia" w:ascii="宋体" w:hAnsi="宋体" w:eastAsia="宋体" w:cs="宋体"/>
                <w:b w:val="0"/>
                <w:bCs w:val="0"/>
                <w:color w:val="auto"/>
                <w:sz w:val="21"/>
                <w:szCs w:val="21"/>
                <w:highlight w:val="none"/>
                <w:lang w:val="en-US" w:eastAsia="zh-CN"/>
              </w:rPr>
              <w:t>序号</w:t>
            </w:r>
            <w:bookmarkEnd w:id="371"/>
            <w:bookmarkEnd w:id="372"/>
            <w:bookmarkEnd w:id="373"/>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74" w:name="_Toc21739"/>
            <w:bookmarkStart w:id="375" w:name="_Toc27090"/>
            <w:bookmarkStart w:id="376" w:name="_Toc10045"/>
            <w:bookmarkStart w:id="377" w:name="_Toc14815"/>
            <w:bookmarkStart w:id="378" w:name="_Toc22448"/>
            <w:bookmarkStart w:id="379" w:name="_Toc2700"/>
            <w:bookmarkStart w:id="380" w:name="_Toc26124"/>
            <w:bookmarkStart w:id="381" w:name="_Toc15903"/>
            <w:bookmarkStart w:id="382" w:name="_Toc16872"/>
            <w:bookmarkStart w:id="383" w:name="_Toc4304"/>
            <w:bookmarkStart w:id="384" w:name="_Toc12049"/>
            <w:bookmarkStart w:id="385" w:name="_Toc1016"/>
            <w:bookmarkStart w:id="386" w:name="_Toc15368"/>
            <w:bookmarkStart w:id="387" w:name="_Toc8490"/>
            <w:bookmarkStart w:id="388" w:name="_Toc27442"/>
            <w:bookmarkStart w:id="389" w:name="_Toc24662"/>
            <w:bookmarkStart w:id="390" w:name="_Toc21809"/>
            <w:bookmarkStart w:id="391" w:name="_Toc22879"/>
            <w:bookmarkStart w:id="392" w:name="_Toc19251"/>
            <w:bookmarkStart w:id="393" w:name="_Toc8312"/>
            <w:bookmarkStart w:id="394" w:name="_Toc32531"/>
            <w:bookmarkStart w:id="395" w:name="_Toc22917"/>
            <w:bookmarkStart w:id="396" w:name="_Toc7333"/>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374"/>
            <w:bookmarkEnd w:id="375"/>
            <w:bookmarkEnd w:id="376"/>
            <w:bookmarkEnd w:id="377"/>
            <w:bookmarkEnd w:id="378"/>
            <w:bookmarkEnd w:id="379"/>
            <w:bookmarkEnd w:id="380"/>
            <w:bookmarkEnd w:id="381"/>
            <w:bookmarkEnd w:id="382"/>
            <w:bookmarkEnd w:id="383"/>
            <w:bookmarkEnd w:id="384"/>
            <w:bookmarkEnd w:id="385"/>
            <w:bookmarkEnd w:id="386"/>
          </w:p>
          <w:bookmarkEnd w:id="387"/>
          <w:bookmarkEnd w:id="388"/>
          <w:bookmarkEnd w:id="389"/>
          <w:bookmarkEnd w:id="390"/>
          <w:bookmarkEnd w:id="391"/>
          <w:bookmarkEnd w:id="392"/>
          <w:bookmarkEnd w:id="393"/>
          <w:bookmarkEnd w:id="394"/>
          <w:bookmarkEnd w:id="395"/>
          <w:bookmarkEnd w:id="396"/>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97" w:name="_Toc22153"/>
            <w:bookmarkStart w:id="398" w:name="_Toc2408"/>
            <w:bookmarkStart w:id="399" w:name="_Toc10122"/>
            <w:r>
              <w:rPr>
                <w:rFonts w:hint="eastAsia" w:ascii="宋体" w:hAnsi="宋体" w:eastAsia="宋体" w:cs="宋体"/>
                <w:b w:val="0"/>
                <w:bCs w:val="0"/>
                <w:color w:val="auto"/>
                <w:kern w:val="0"/>
                <w:sz w:val="21"/>
                <w:szCs w:val="21"/>
                <w:highlight w:val="none"/>
              </w:rPr>
              <w:t>投标文件响应内容</w:t>
            </w:r>
            <w:bookmarkEnd w:id="397"/>
            <w:bookmarkEnd w:id="398"/>
            <w:bookmarkEnd w:id="399"/>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400" w:name="_Toc29838"/>
            <w:bookmarkStart w:id="401" w:name="_Toc27285"/>
            <w:bookmarkStart w:id="402" w:name="_Toc16003"/>
            <w:bookmarkStart w:id="403" w:name="_Toc5563"/>
            <w:bookmarkStart w:id="404" w:name="_Toc17296"/>
            <w:bookmarkStart w:id="405" w:name="_Toc3701"/>
            <w:bookmarkStart w:id="406" w:name="_Toc17642"/>
            <w:bookmarkStart w:id="407" w:name="_Toc20820"/>
            <w:bookmarkStart w:id="408" w:name="_Toc20139"/>
            <w:bookmarkStart w:id="409" w:name="_Toc1912"/>
            <w:bookmarkStart w:id="410" w:name="_Toc27185"/>
            <w:bookmarkStart w:id="411" w:name="_Toc1330"/>
            <w:bookmarkStart w:id="412" w:name="_Toc5992"/>
            <w:r>
              <w:rPr>
                <w:rFonts w:hint="eastAsia" w:ascii="宋体" w:hAnsi="宋体" w:eastAsia="宋体" w:cs="宋体"/>
                <w:b w:val="0"/>
                <w:bCs w:val="0"/>
                <w:color w:val="auto"/>
                <w:sz w:val="21"/>
                <w:szCs w:val="21"/>
                <w:highlight w:val="none"/>
                <w:lang w:val="en-US" w:eastAsia="zh-CN"/>
              </w:rPr>
              <w:t>说明</w:t>
            </w:r>
            <w:bookmarkEnd w:id="400"/>
            <w:bookmarkEnd w:id="401"/>
            <w:bookmarkEnd w:id="402"/>
          </w:p>
        </w:tc>
        <w:tc>
          <w:tcPr>
            <w:tcW w:w="1591"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413" w:name="_Toc19105"/>
            <w:bookmarkStart w:id="414" w:name="_Toc3520"/>
            <w:bookmarkStart w:id="415" w:name="_Toc857"/>
            <w:r>
              <w:rPr>
                <w:rFonts w:hint="eastAsia" w:ascii="宋体" w:hAnsi="宋体" w:eastAsia="宋体" w:cs="宋体"/>
                <w:b w:val="0"/>
                <w:bCs w:val="0"/>
                <w:color w:val="auto"/>
                <w:sz w:val="21"/>
                <w:szCs w:val="21"/>
                <w:highlight w:val="none"/>
              </w:rPr>
              <w:t>页码范围</w:t>
            </w:r>
            <w:bookmarkEnd w:id="403"/>
            <w:bookmarkEnd w:id="404"/>
            <w:bookmarkEnd w:id="405"/>
            <w:bookmarkEnd w:id="406"/>
            <w:bookmarkEnd w:id="407"/>
            <w:bookmarkEnd w:id="408"/>
            <w:bookmarkEnd w:id="409"/>
            <w:bookmarkEnd w:id="410"/>
            <w:bookmarkEnd w:id="411"/>
            <w:bookmarkEnd w:id="412"/>
            <w:bookmarkEnd w:id="413"/>
            <w:bookmarkEnd w:id="414"/>
            <w:bookmarkEnd w:id="415"/>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bl>
    <w:p>
      <w:pPr>
        <w:pStyle w:val="34"/>
        <w:spacing w:after="0" w:line="360" w:lineRule="auto"/>
        <w:rPr>
          <w:rFonts w:ascii="宋体" w:hAnsi="宋体" w:eastAsia="宋体"/>
          <w:color w:val="auto"/>
          <w:sz w:val="21"/>
          <w:szCs w:val="21"/>
          <w:highlight w:val="none"/>
        </w:rPr>
      </w:pPr>
    </w:p>
    <w:p>
      <w:pPr>
        <w:pStyle w:val="34"/>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4"/>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1、投标人</w:t>
      </w:r>
      <w:r>
        <w:rPr>
          <w:rFonts w:hint="eastAsia" w:ascii="宋体" w:hAnsi="宋体" w:eastAsia="宋体"/>
          <w:color w:val="auto"/>
          <w:sz w:val="21"/>
          <w:szCs w:val="21"/>
          <w:highlight w:val="none"/>
        </w:rPr>
        <w:t>应逐条对照招标文件重要评分条款，如实地说明投标响应情况。</w:t>
      </w:r>
    </w:p>
    <w:p>
      <w:pPr>
        <w:pStyle w:val="34"/>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pPr>
        <w:pStyle w:val="34"/>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若招标文件未设定重要技术参数（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pPr>
        <w:pStyle w:val="34"/>
        <w:spacing w:after="0" w:line="360" w:lineRule="auto"/>
        <w:rPr>
          <w:rFonts w:ascii="宋体" w:hAnsi="宋体" w:eastAsia="宋体"/>
          <w:color w:val="auto"/>
          <w:sz w:val="21"/>
          <w:szCs w:val="21"/>
          <w:highlight w:val="none"/>
        </w:rPr>
      </w:pPr>
    </w:p>
    <w:p>
      <w:pPr>
        <w:pStyle w:val="34"/>
        <w:numPr>
          <w:ilvl w:val="0"/>
          <w:numId w:val="12"/>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416" w:name="_Toc27139"/>
      <w:bookmarkStart w:id="417" w:name="_Toc19349"/>
      <w:r>
        <w:rPr>
          <w:rFonts w:hint="eastAsia"/>
          <w:color w:val="auto"/>
          <w:highlight w:val="none"/>
          <w:lang w:val="en-US" w:eastAsia="zh-CN"/>
        </w:rPr>
        <w:t>三、</w:t>
      </w:r>
      <w:r>
        <w:rPr>
          <w:rFonts w:hint="eastAsia"/>
          <w:color w:val="auto"/>
          <w:highlight w:val="none"/>
        </w:rPr>
        <w:t>实质性条款（标记★）投标响应表</w:t>
      </w:r>
      <w:bookmarkEnd w:id="416"/>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招标文件实质性条款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投标文件响应内容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pPr>
        <w:bidi w:val="0"/>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bidi w:val="0"/>
        <w:rPr>
          <w:rFonts w:hint="eastAsia"/>
          <w:color w:val="auto"/>
          <w:highlight w:val="none"/>
          <w:lang w:val="en-US" w:eastAsia="zh-CN"/>
        </w:rPr>
      </w:pPr>
    </w:p>
    <w:p>
      <w:pPr>
        <w:bidi w:val="0"/>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供应商应逐条对照招标文件实质性条款，如实地说明投标响应情况。不满足的按无效投标处理。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若招标文件未设定实质性条款的，可删除本格式。</w:t>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418" w:name="_Toc21519"/>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417"/>
      <w:bookmarkEnd w:id="418"/>
    </w:p>
    <w:p>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419" w:name="_Toc16328"/>
      <w:bookmarkStart w:id="420" w:name="_Toc26880"/>
      <w:r>
        <w:rPr>
          <w:rFonts w:hint="eastAsia"/>
          <w:color w:val="auto"/>
          <w:highlight w:val="none"/>
          <w:lang w:val="en-US" w:eastAsia="zh-CN"/>
        </w:rPr>
        <w:t>五、项目负责人及团队成员资料表</w:t>
      </w:r>
      <w:bookmarkEnd w:id="419"/>
      <w:bookmarkEnd w:id="420"/>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pPr>
        <w:ind w:firstLine="178" w:firstLineChars="85"/>
        <w:rPr>
          <w:rFonts w:hint="eastAsia" w:ascii="宋体" w:hAnsi="宋体" w:eastAsia="宋体"/>
          <w:color w:val="auto"/>
          <w:sz w:val="21"/>
          <w:szCs w:val="21"/>
          <w:highlight w:val="none"/>
        </w:rPr>
      </w:pPr>
    </w:p>
    <w:p>
      <w:pPr>
        <w:pStyle w:val="2"/>
        <w:rPr>
          <w:rFonts w:hint="eastAsia"/>
          <w:color w:val="auto"/>
          <w:highlight w:val="none"/>
        </w:rPr>
      </w:pP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421" w:name="_Toc26980"/>
      <w:bookmarkStart w:id="422" w:name="_Toc15431"/>
      <w:r>
        <w:rPr>
          <w:rFonts w:hint="eastAsia"/>
          <w:color w:val="auto"/>
          <w:highlight w:val="none"/>
          <w:lang w:val="en-US" w:eastAsia="zh-CN"/>
        </w:rPr>
        <w:t>六、投标货物明细一览表</w:t>
      </w:r>
      <w:bookmarkEnd w:id="421"/>
      <w:bookmarkEnd w:id="422"/>
    </w:p>
    <w:tbl>
      <w:tblPr>
        <w:tblStyle w:val="24"/>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bl>
    <w:p>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pPr>
        <w:rPr>
          <w:rFonts w:hint="eastAsia" w:ascii="宋体" w:hAnsi="宋体" w:eastAsia="宋体" w:cs="Times New Roman"/>
          <w:color w:val="auto"/>
          <w:sz w:val="21"/>
          <w:szCs w:val="21"/>
          <w:highlight w:val="none"/>
        </w:rPr>
      </w:pPr>
    </w:p>
    <w:p>
      <w:pPr>
        <w:rPr>
          <w:rFonts w:hint="eastAsia" w:ascii="宋体" w:hAnsi="宋体" w:eastAsia="宋体" w:cs="Times New Roman"/>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黑体" w:eastAsia="黑体"/>
          <w:color w:val="auto"/>
          <w:sz w:val="30"/>
          <w:szCs w:val="30"/>
          <w:highlight w:val="none"/>
        </w:rPr>
      </w:pPr>
      <w:r>
        <w:rPr>
          <w:rFonts w:hint="eastAsia" w:ascii="宋体" w:hAnsi="宋体" w:eastAsia="宋体" w:cs="Times New Roman"/>
          <w:color w:val="auto"/>
          <w:sz w:val="21"/>
          <w:szCs w:val="21"/>
          <w:highlight w:val="none"/>
        </w:rPr>
        <w:t>投标人盖章：</w:t>
      </w: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423" w:name="_Toc6961"/>
      <w:r>
        <w:rPr>
          <w:rFonts w:hint="eastAsia"/>
          <w:color w:val="auto"/>
          <w:highlight w:val="none"/>
          <w:lang w:val="en-US" w:eastAsia="zh-CN"/>
        </w:rPr>
        <w:t>七、政府采购履约担保函</w:t>
      </w:r>
      <w:bookmarkEnd w:id="423"/>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1．将中标项目转让给他人，或者在投标文件中未说明，且未经采购招标机构人同意，将中标项目分包给他人的；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（1）此格式为履约担保函格式，无需在投标文件中提供此格式。</w:t>
      </w:r>
    </w:p>
    <w:p>
      <w:pPr>
        <w:pStyle w:val="2"/>
        <w:rPr>
          <w:color w:val="auto"/>
          <w:highlight w:val="none"/>
        </w:rPr>
      </w:pPr>
    </w:p>
    <w:p>
      <w:pPr>
        <w:bidi w:val="0"/>
        <w:rPr>
          <w:color w:val="auto"/>
          <w:highlight w:val="none"/>
        </w:rPr>
      </w:pPr>
      <w:r>
        <w:rPr>
          <w:color w:val="auto"/>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424" w:name="_Toc26772"/>
      <w:bookmarkStart w:id="425" w:name="_Toc26782"/>
      <w:r>
        <w:rPr>
          <w:rFonts w:hint="eastAsia"/>
          <w:color w:val="auto"/>
          <w:highlight w:val="none"/>
          <w:lang w:val="en-US" w:eastAsia="zh-CN"/>
        </w:rPr>
        <w:t>第四章唱标信封（单独封装）</w:t>
      </w:r>
      <w:bookmarkEnd w:id="424"/>
      <w:bookmarkEnd w:id="425"/>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rFonts w:hint="eastAsia"/>
          <w:color w:val="auto"/>
          <w:highlight w:val="none"/>
        </w:rPr>
      </w:pPr>
      <w:bookmarkStart w:id="426" w:name="_Toc11182"/>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427" w:name="_Toc2710"/>
      <w:bookmarkStart w:id="428" w:name="_Toc22736"/>
      <w:r>
        <w:rPr>
          <w:rFonts w:hint="eastAsia"/>
          <w:color w:val="auto"/>
          <w:highlight w:val="none"/>
          <w:lang w:val="en-US" w:eastAsia="zh-CN"/>
        </w:rPr>
        <w:t>第五章联合体共同投标协议书（如有需要）</w:t>
      </w:r>
      <w:bookmarkEnd w:id="427"/>
      <w:bookmarkEnd w:id="428"/>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以一个投标供应商的身份共同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的投标响应。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项目的投标响应和合同实施阶段的有关事务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作为联合体成员，若中标、成交，联合体各方共同与采购人签订政府采购合同。其中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2.联合体投标工作由联合体共同负责，由联合体各方组成的响应小组具体实施。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cs="宋体"/>
          <w:color w:val="auto"/>
          <w:sz w:val="21"/>
          <w:szCs w:val="21"/>
          <w:highlight w:val="none"/>
          <w:lang w:val="en-US" w:eastAsia="zh-CN"/>
        </w:rPr>
        <w:t>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426"/>
    <w:p>
      <w:pPr>
        <w:pStyle w:val="2"/>
        <w:ind w:left="0" w:leftChars="0" w:firstLine="0" w:firstLineChars="0"/>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color w:val="auto"/>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2"/>
        <w:rPr>
          <w:color w:val="auto"/>
          <w:highlight w:val="none"/>
        </w:rPr>
      </w:pPr>
    </w:p>
    <w:p>
      <w:pPr>
        <w:spacing w:after="0" w:line="360" w:lineRule="auto"/>
        <w:rPr>
          <w:color w:val="auto"/>
          <w:highlight w:val="none"/>
        </w:rPr>
      </w:pPr>
    </w:p>
    <w:p>
      <w:pPr>
        <w:pStyle w:val="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spacing w:after="0"/>
        <w:jc w:val="both"/>
        <w:rPr>
          <w:rFonts w:hint="eastAsia" w:ascii="黑体" w:hAnsi="黑体" w:eastAsia="黑体" w:cs="黑体"/>
          <w:color w:val="auto"/>
          <w:sz w:val="36"/>
          <w:szCs w:val="36"/>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w:t>
      </w:r>
      <w:r>
        <w:rPr>
          <w:rFonts w:hint="eastAsia" w:ascii="黑体" w:hAnsi="黑体" w:eastAsia="黑体" w:cs="黑体"/>
          <w:color w:val="auto"/>
          <w:sz w:val="52"/>
          <w:szCs w:val="52"/>
          <w:highlight w:val="none"/>
          <w:lang w:eastAsia="zh-CN"/>
        </w:rPr>
        <w:t>招标文件</w:t>
      </w:r>
      <w:r>
        <w:rPr>
          <w:rFonts w:hint="eastAsia" w:ascii="黑体" w:hAnsi="黑体" w:eastAsia="黑体" w:cs="黑体"/>
          <w:color w:val="auto"/>
          <w:sz w:val="52"/>
          <w:szCs w:val="52"/>
          <w:highlight w:val="none"/>
        </w:rPr>
        <w:t>登记表</w:t>
      </w:r>
    </w:p>
    <w:tbl>
      <w:tblPr>
        <w:tblStyle w:val="24"/>
        <w:tblW w:w="4998" w:type="pct"/>
        <w:tblInd w:w="0" w:type="dxa"/>
        <w:shd w:val="clear" w:color="auto" w:fill="auto"/>
        <w:tblLayout w:type="fixed"/>
        <w:tblCellMar>
          <w:top w:w="0" w:type="dxa"/>
          <w:left w:w="108" w:type="dxa"/>
          <w:bottom w:w="0" w:type="dxa"/>
          <w:right w:w="108" w:type="dxa"/>
        </w:tblCellMar>
      </w:tblPr>
      <w:tblGrid>
        <w:gridCol w:w="2769"/>
        <w:gridCol w:w="2355"/>
        <w:gridCol w:w="1016"/>
        <w:gridCol w:w="2379"/>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pPr>
              <w:keepNext w:val="0"/>
              <w:keepLines w:val="0"/>
              <w:pageBreakBefore w:val="0"/>
              <w:widowControl/>
              <w:numPr>
                <w:ilvl w:val="0"/>
                <w:numId w:val="1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本公司对招标文件的内容已经了解，并自愿购买该招标文件。</w:t>
            </w:r>
          </w:p>
          <w:p>
            <w:pPr>
              <w:keepNext w:val="0"/>
              <w:keepLines w:val="0"/>
              <w:pageBreakBefore w:val="0"/>
              <w:widowControl/>
              <w:numPr>
                <w:ilvl w:val="0"/>
                <w:numId w:val="1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1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 xml:space="preserve">招标文件领取人签名: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200</w:t>
            </w:r>
            <w:r>
              <w:rPr>
                <w:rFonts w:hint="eastAsia" w:ascii="宋体" w:hAnsi="宋体" w:eastAsia="宋体" w:cs="宋体"/>
                <w:i w:val="0"/>
                <w:iCs w:val="0"/>
                <w:color w:val="auto"/>
                <w:kern w:val="0"/>
                <w:sz w:val="28"/>
                <w:szCs w:val="28"/>
                <w:highlight w:val="none"/>
                <w:u w:val="none"/>
                <w:lang w:val="en-US" w:eastAsia="zh-CN" w:bidi="ar"/>
              </w:rPr>
              <w:t>元/份</w:t>
            </w:r>
          </w:p>
        </w:tc>
      </w:tr>
      <w:tr>
        <w:tblPrEx>
          <w:shd w:val="clear" w:color="auto" w:fill="auto"/>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b/>
                <w:bCs/>
                <w:color w:val="auto"/>
                <w:sz w:val="32"/>
                <w:szCs w:val="32"/>
                <w:highlight w:val="none"/>
              </w:rPr>
              <w:t>注：开完发票后请把报名表格交还至前台</w:t>
            </w:r>
          </w:p>
        </w:tc>
      </w:tr>
    </w:tbl>
    <w:p>
      <w:pPr>
        <w:pStyle w:val="22"/>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4847"/>
        <w:tab w:val="clear" w:pos="4153"/>
      </w:tabs>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3"/>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9"/>
        <w:snapToGrid w:val="0"/>
        <w:rPr>
          <w:rFonts w:hint="eastAsia" w:eastAsia="微软雅黑"/>
          <w:lang w:eastAsia="zh-CN"/>
        </w:rPr>
      </w:pPr>
      <w:r>
        <w:rPr>
          <w:rStyle w:val="30"/>
        </w:rPr>
        <w:footnoteRef/>
      </w:r>
      <w:r>
        <w:t xml:space="preserve"> </w:t>
      </w:r>
      <w:r>
        <w:rPr>
          <w:rFonts w:hint="eastAsia"/>
          <w:lang w:eastAsia="zh-CN"/>
        </w:rPr>
        <w:t>从业人员、营业人员、资产总额填报上一年度数据，无上一年度数据的新成立企业可不填报。</w:t>
      </w:r>
    </w:p>
  </w:footnote>
  <w:footnote w:id="1">
    <w:p>
      <w:pPr>
        <w:pStyle w:val="19"/>
        <w:snapToGrid w:val="0"/>
      </w:pPr>
      <w:r>
        <w:rPr>
          <w:rStyle w:val="30"/>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DA546E5F"/>
    <w:multiLevelType w:val="singleLevel"/>
    <w:tmpl w:val="DA546E5F"/>
    <w:lvl w:ilvl="0" w:tentative="0">
      <w:start w:val="1"/>
      <w:numFmt w:val="decimal"/>
      <w:lvlText w:val="%1."/>
      <w:lvlJc w:val="left"/>
      <w:pPr>
        <w:tabs>
          <w:tab w:val="left" w:pos="312"/>
        </w:tabs>
      </w:pPr>
    </w:lvl>
  </w:abstractNum>
  <w:abstractNum w:abstractNumId="4">
    <w:nsid w:val="E09EF6E1"/>
    <w:multiLevelType w:val="singleLevel"/>
    <w:tmpl w:val="E09EF6E1"/>
    <w:lvl w:ilvl="0" w:tentative="0">
      <w:start w:val="1"/>
      <w:numFmt w:val="decimal"/>
      <w:suff w:val="nothing"/>
      <w:lvlText w:val="（%1）"/>
      <w:lvlJc w:val="left"/>
    </w:lvl>
  </w:abstractNum>
  <w:abstractNum w:abstractNumId="5">
    <w:nsid w:val="F73DC5D7"/>
    <w:multiLevelType w:val="singleLevel"/>
    <w:tmpl w:val="F73DC5D7"/>
    <w:lvl w:ilvl="0" w:tentative="0">
      <w:start w:val="1"/>
      <w:numFmt w:val="decimal"/>
      <w:suff w:val="nothing"/>
      <w:lvlText w:val="（%1）"/>
      <w:lvlJc w:val="left"/>
    </w:lvl>
  </w:abstractNum>
  <w:abstractNum w:abstractNumId="6">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
    <w:nsid w:val="206CABF7"/>
    <w:multiLevelType w:val="singleLevel"/>
    <w:tmpl w:val="206CABF7"/>
    <w:lvl w:ilvl="0" w:tentative="0">
      <w:start w:val="1"/>
      <w:numFmt w:val="decimal"/>
      <w:suff w:val="nothing"/>
      <w:lvlText w:val="（%1）"/>
      <w:lvlJc w:val="left"/>
    </w:lvl>
  </w:abstractNum>
  <w:abstractNum w:abstractNumId="9">
    <w:nsid w:val="316010E5"/>
    <w:multiLevelType w:val="singleLevel"/>
    <w:tmpl w:val="316010E5"/>
    <w:lvl w:ilvl="0" w:tentative="0">
      <w:start w:val="1"/>
      <w:numFmt w:val="decimal"/>
      <w:suff w:val="nothing"/>
      <w:lvlText w:val="%1．"/>
      <w:lvlJc w:val="left"/>
    </w:lvl>
  </w:abstractNum>
  <w:abstractNum w:abstractNumId="10">
    <w:nsid w:val="3B1B8417"/>
    <w:multiLevelType w:val="singleLevel"/>
    <w:tmpl w:val="3B1B8417"/>
    <w:lvl w:ilvl="0" w:tentative="0">
      <w:start w:val="1"/>
      <w:numFmt w:val="decimal"/>
      <w:suff w:val="nothing"/>
      <w:lvlText w:val="%1、"/>
      <w:lvlJc w:val="left"/>
    </w:lvl>
  </w:abstractNum>
  <w:abstractNum w:abstractNumId="11">
    <w:nsid w:val="3F88662E"/>
    <w:multiLevelType w:val="singleLevel"/>
    <w:tmpl w:val="3F88662E"/>
    <w:lvl w:ilvl="0" w:tentative="0">
      <w:start w:val="1"/>
      <w:numFmt w:val="decimal"/>
      <w:suff w:val="space"/>
      <w:lvlText w:val="%1)"/>
      <w:lvlJc w:val="left"/>
    </w:lvl>
  </w:abstractNum>
  <w:abstractNum w:abstractNumId="12">
    <w:nsid w:val="6E5CE7BD"/>
    <w:multiLevelType w:val="singleLevel"/>
    <w:tmpl w:val="6E5CE7BD"/>
    <w:lvl w:ilvl="0" w:tentative="0">
      <w:start w:val="1"/>
      <w:numFmt w:val="chineseCounting"/>
      <w:suff w:val="nothing"/>
      <w:lvlText w:val="%1、"/>
      <w:lvlJc w:val="left"/>
      <w:rPr>
        <w:rFonts w:hint="eastAsia"/>
      </w:rPr>
    </w:lvl>
  </w:abstractNum>
  <w:num w:numId="1">
    <w:abstractNumId w:val="12"/>
  </w:num>
  <w:num w:numId="2">
    <w:abstractNumId w:val="10"/>
  </w:num>
  <w:num w:numId="3">
    <w:abstractNumId w:val="7"/>
  </w:num>
  <w:num w:numId="4">
    <w:abstractNumId w:val="11"/>
  </w:num>
  <w:num w:numId="5">
    <w:abstractNumId w:val="8"/>
  </w:num>
  <w:num w:numId="6">
    <w:abstractNumId w:val="4"/>
  </w:num>
  <w:num w:numId="7">
    <w:abstractNumId w:val="5"/>
  </w:num>
  <w:num w:numId="8">
    <w:abstractNumId w:val="1"/>
  </w:num>
  <w:num w:numId="9">
    <w:abstractNumId w:val="3"/>
  </w:num>
  <w:num w:numId="10">
    <w:abstractNumId w:val="2"/>
  </w:num>
  <w:num w:numId="11">
    <w:abstractNumId w:val="6"/>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3B1953"/>
    <w:rsid w:val="018023CE"/>
    <w:rsid w:val="01881AD6"/>
    <w:rsid w:val="01B40242"/>
    <w:rsid w:val="01B938AA"/>
    <w:rsid w:val="01C323A9"/>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D10969"/>
    <w:rsid w:val="04DF1036"/>
    <w:rsid w:val="050F6021"/>
    <w:rsid w:val="05A97DEC"/>
    <w:rsid w:val="05C81981"/>
    <w:rsid w:val="065A32ED"/>
    <w:rsid w:val="065C6224"/>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8006831"/>
    <w:rsid w:val="08031A31"/>
    <w:rsid w:val="081A5CC7"/>
    <w:rsid w:val="089F1700"/>
    <w:rsid w:val="08A276E5"/>
    <w:rsid w:val="08D27CDF"/>
    <w:rsid w:val="09061A75"/>
    <w:rsid w:val="09182241"/>
    <w:rsid w:val="091C2CBE"/>
    <w:rsid w:val="09242E62"/>
    <w:rsid w:val="093C069F"/>
    <w:rsid w:val="09417888"/>
    <w:rsid w:val="09855177"/>
    <w:rsid w:val="09870F93"/>
    <w:rsid w:val="09D658E4"/>
    <w:rsid w:val="09F1637C"/>
    <w:rsid w:val="0A25628F"/>
    <w:rsid w:val="0AA534D5"/>
    <w:rsid w:val="0AA650EB"/>
    <w:rsid w:val="0AB8066A"/>
    <w:rsid w:val="0AF47339"/>
    <w:rsid w:val="0B22594B"/>
    <w:rsid w:val="0B797387"/>
    <w:rsid w:val="0B8B2381"/>
    <w:rsid w:val="0BC044BE"/>
    <w:rsid w:val="0BDF26F7"/>
    <w:rsid w:val="0C264099"/>
    <w:rsid w:val="0C2B4952"/>
    <w:rsid w:val="0C7B2220"/>
    <w:rsid w:val="0D5A79D1"/>
    <w:rsid w:val="0D890E47"/>
    <w:rsid w:val="0DC64A00"/>
    <w:rsid w:val="0DFC60BA"/>
    <w:rsid w:val="0E4249F1"/>
    <w:rsid w:val="0F6C5A53"/>
    <w:rsid w:val="0F7C5FF6"/>
    <w:rsid w:val="0FC63FBD"/>
    <w:rsid w:val="106C564D"/>
    <w:rsid w:val="107B7B8F"/>
    <w:rsid w:val="107C67CE"/>
    <w:rsid w:val="1080523F"/>
    <w:rsid w:val="108F06C9"/>
    <w:rsid w:val="109D68CB"/>
    <w:rsid w:val="10A949B8"/>
    <w:rsid w:val="10C54639"/>
    <w:rsid w:val="11200D07"/>
    <w:rsid w:val="11B16FF7"/>
    <w:rsid w:val="11DA73AF"/>
    <w:rsid w:val="126D6AE3"/>
    <w:rsid w:val="12C60D80"/>
    <w:rsid w:val="131867D4"/>
    <w:rsid w:val="131F7A3A"/>
    <w:rsid w:val="132645D0"/>
    <w:rsid w:val="13455ABC"/>
    <w:rsid w:val="135428E1"/>
    <w:rsid w:val="1370322B"/>
    <w:rsid w:val="13B27845"/>
    <w:rsid w:val="13BE469F"/>
    <w:rsid w:val="13F87121"/>
    <w:rsid w:val="141A03E1"/>
    <w:rsid w:val="143B2E0B"/>
    <w:rsid w:val="1461652A"/>
    <w:rsid w:val="14672B11"/>
    <w:rsid w:val="14892735"/>
    <w:rsid w:val="14CC769D"/>
    <w:rsid w:val="157D38E3"/>
    <w:rsid w:val="15D359D7"/>
    <w:rsid w:val="15D81E0F"/>
    <w:rsid w:val="161771F3"/>
    <w:rsid w:val="16222D6D"/>
    <w:rsid w:val="163C77BE"/>
    <w:rsid w:val="16632F86"/>
    <w:rsid w:val="1679588C"/>
    <w:rsid w:val="16994962"/>
    <w:rsid w:val="16A71041"/>
    <w:rsid w:val="16AA24BF"/>
    <w:rsid w:val="16F72341"/>
    <w:rsid w:val="175C3424"/>
    <w:rsid w:val="17680CAB"/>
    <w:rsid w:val="176E4128"/>
    <w:rsid w:val="1783371F"/>
    <w:rsid w:val="17E62B67"/>
    <w:rsid w:val="180C0192"/>
    <w:rsid w:val="180F4499"/>
    <w:rsid w:val="18221ECE"/>
    <w:rsid w:val="190B7894"/>
    <w:rsid w:val="19944B37"/>
    <w:rsid w:val="19A2789F"/>
    <w:rsid w:val="1A460CF5"/>
    <w:rsid w:val="1A7F297D"/>
    <w:rsid w:val="1AB16AC1"/>
    <w:rsid w:val="1B034A52"/>
    <w:rsid w:val="1B080B56"/>
    <w:rsid w:val="1B1F34AD"/>
    <w:rsid w:val="1B8D5DC6"/>
    <w:rsid w:val="1BFE1D3B"/>
    <w:rsid w:val="1C2775EC"/>
    <w:rsid w:val="1C3B08CE"/>
    <w:rsid w:val="1C750ECE"/>
    <w:rsid w:val="1CA22168"/>
    <w:rsid w:val="1D0836D7"/>
    <w:rsid w:val="1D196139"/>
    <w:rsid w:val="1D707591"/>
    <w:rsid w:val="1DB85900"/>
    <w:rsid w:val="1DD01C35"/>
    <w:rsid w:val="1DF051AF"/>
    <w:rsid w:val="1E010AF7"/>
    <w:rsid w:val="1E0178EB"/>
    <w:rsid w:val="1E301173"/>
    <w:rsid w:val="1E38333E"/>
    <w:rsid w:val="1E5C7612"/>
    <w:rsid w:val="1EA40BB4"/>
    <w:rsid w:val="1F43381C"/>
    <w:rsid w:val="1FA4148D"/>
    <w:rsid w:val="20121621"/>
    <w:rsid w:val="201A421D"/>
    <w:rsid w:val="20341172"/>
    <w:rsid w:val="204E554F"/>
    <w:rsid w:val="20590035"/>
    <w:rsid w:val="20C35213"/>
    <w:rsid w:val="20FC799E"/>
    <w:rsid w:val="2164014B"/>
    <w:rsid w:val="217913F5"/>
    <w:rsid w:val="22154DDD"/>
    <w:rsid w:val="22213E42"/>
    <w:rsid w:val="22336873"/>
    <w:rsid w:val="23175889"/>
    <w:rsid w:val="238C2182"/>
    <w:rsid w:val="239015D1"/>
    <w:rsid w:val="23BB4E7D"/>
    <w:rsid w:val="23C172D6"/>
    <w:rsid w:val="23F04F64"/>
    <w:rsid w:val="24156FE0"/>
    <w:rsid w:val="24814CBE"/>
    <w:rsid w:val="24A36C74"/>
    <w:rsid w:val="24AC168B"/>
    <w:rsid w:val="258C3BEC"/>
    <w:rsid w:val="25E576CC"/>
    <w:rsid w:val="260E3862"/>
    <w:rsid w:val="262569FC"/>
    <w:rsid w:val="26344C98"/>
    <w:rsid w:val="26B079BA"/>
    <w:rsid w:val="26F56CE2"/>
    <w:rsid w:val="27435D49"/>
    <w:rsid w:val="27A34F71"/>
    <w:rsid w:val="27B36A67"/>
    <w:rsid w:val="27EB0D9B"/>
    <w:rsid w:val="286602C8"/>
    <w:rsid w:val="28665C95"/>
    <w:rsid w:val="28A64522"/>
    <w:rsid w:val="28CC5B40"/>
    <w:rsid w:val="290B3EB9"/>
    <w:rsid w:val="291418C2"/>
    <w:rsid w:val="2950768C"/>
    <w:rsid w:val="297A5FC4"/>
    <w:rsid w:val="2A1113BC"/>
    <w:rsid w:val="2A8D4F8F"/>
    <w:rsid w:val="2A911082"/>
    <w:rsid w:val="2A917B34"/>
    <w:rsid w:val="2AE3766F"/>
    <w:rsid w:val="2AFB4C99"/>
    <w:rsid w:val="2B3A2090"/>
    <w:rsid w:val="2B7E4054"/>
    <w:rsid w:val="2BF22742"/>
    <w:rsid w:val="2C987C56"/>
    <w:rsid w:val="2CFF149A"/>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8C7755"/>
    <w:rsid w:val="30D16029"/>
    <w:rsid w:val="30FF27D2"/>
    <w:rsid w:val="31170995"/>
    <w:rsid w:val="31264A30"/>
    <w:rsid w:val="31884E67"/>
    <w:rsid w:val="31A0275E"/>
    <w:rsid w:val="31B7357A"/>
    <w:rsid w:val="31ED6B08"/>
    <w:rsid w:val="31F915C9"/>
    <w:rsid w:val="32610CE6"/>
    <w:rsid w:val="32631A32"/>
    <w:rsid w:val="328464CE"/>
    <w:rsid w:val="32AB70C5"/>
    <w:rsid w:val="32DC33E0"/>
    <w:rsid w:val="332B0AC2"/>
    <w:rsid w:val="335D0AF5"/>
    <w:rsid w:val="3370088C"/>
    <w:rsid w:val="33A3154A"/>
    <w:rsid w:val="33DC2F78"/>
    <w:rsid w:val="34213A70"/>
    <w:rsid w:val="3428227C"/>
    <w:rsid w:val="35260F83"/>
    <w:rsid w:val="35602226"/>
    <w:rsid w:val="356B72E7"/>
    <w:rsid w:val="3572424F"/>
    <w:rsid w:val="35FC3844"/>
    <w:rsid w:val="362C4723"/>
    <w:rsid w:val="366061FD"/>
    <w:rsid w:val="36794DEF"/>
    <w:rsid w:val="36AD519D"/>
    <w:rsid w:val="36B57705"/>
    <w:rsid w:val="374F1A0B"/>
    <w:rsid w:val="37A103ED"/>
    <w:rsid w:val="37EA5E6E"/>
    <w:rsid w:val="37FF016F"/>
    <w:rsid w:val="38427C0B"/>
    <w:rsid w:val="387C5ABE"/>
    <w:rsid w:val="389B3A1E"/>
    <w:rsid w:val="38EB6119"/>
    <w:rsid w:val="39553192"/>
    <w:rsid w:val="3964275C"/>
    <w:rsid w:val="39DE33DA"/>
    <w:rsid w:val="39FA5B4A"/>
    <w:rsid w:val="39FE0BE9"/>
    <w:rsid w:val="3A3C1AAF"/>
    <w:rsid w:val="3A424C25"/>
    <w:rsid w:val="3A4B7CC1"/>
    <w:rsid w:val="3A51228C"/>
    <w:rsid w:val="3A552E60"/>
    <w:rsid w:val="3A5D642F"/>
    <w:rsid w:val="3AB210FC"/>
    <w:rsid w:val="3ACE216B"/>
    <w:rsid w:val="3AD95C13"/>
    <w:rsid w:val="3B261E51"/>
    <w:rsid w:val="3B973F88"/>
    <w:rsid w:val="3BCD72F7"/>
    <w:rsid w:val="3C414142"/>
    <w:rsid w:val="3CE114D9"/>
    <w:rsid w:val="3CF737A2"/>
    <w:rsid w:val="3CF7509A"/>
    <w:rsid w:val="3D10295A"/>
    <w:rsid w:val="3E0572FD"/>
    <w:rsid w:val="3E1A5292"/>
    <w:rsid w:val="3E5A7FE7"/>
    <w:rsid w:val="3EC8179E"/>
    <w:rsid w:val="3EF66B2E"/>
    <w:rsid w:val="3F1E0269"/>
    <w:rsid w:val="3F217914"/>
    <w:rsid w:val="3F942B76"/>
    <w:rsid w:val="3FD70BB0"/>
    <w:rsid w:val="3FFB55AC"/>
    <w:rsid w:val="401C5F9D"/>
    <w:rsid w:val="401C690C"/>
    <w:rsid w:val="401D7195"/>
    <w:rsid w:val="405F1BE4"/>
    <w:rsid w:val="40A51286"/>
    <w:rsid w:val="40CE3DC0"/>
    <w:rsid w:val="40D7455A"/>
    <w:rsid w:val="40E743E5"/>
    <w:rsid w:val="4110038E"/>
    <w:rsid w:val="41734CBA"/>
    <w:rsid w:val="41C01B53"/>
    <w:rsid w:val="41DD7057"/>
    <w:rsid w:val="420F7A65"/>
    <w:rsid w:val="4216611A"/>
    <w:rsid w:val="423E300F"/>
    <w:rsid w:val="425656C8"/>
    <w:rsid w:val="4257273C"/>
    <w:rsid w:val="425D7213"/>
    <w:rsid w:val="42677B61"/>
    <w:rsid w:val="42756DB0"/>
    <w:rsid w:val="42B21AD2"/>
    <w:rsid w:val="42FD694D"/>
    <w:rsid w:val="434A6D8F"/>
    <w:rsid w:val="43FA5777"/>
    <w:rsid w:val="44044D92"/>
    <w:rsid w:val="44072B3E"/>
    <w:rsid w:val="441C1611"/>
    <w:rsid w:val="443C440B"/>
    <w:rsid w:val="443F7DBF"/>
    <w:rsid w:val="44514F52"/>
    <w:rsid w:val="448965CB"/>
    <w:rsid w:val="44C5497E"/>
    <w:rsid w:val="44FA2D53"/>
    <w:rsid w:val="4571374F"/>
    <w:rsid w:val="458B1BB0"/>
    <w:rsid w:val="4611075B"/>
    <w:rsid w:val="46214818"/>
    <w:rsid w:val="467A0297"/>
    <w:rsid w:val="468B7125"/>
    <w:rsid w:val="46C4691F"/>
    <w:rsid w:val="47841568"/>
    <w:rsid w:val="479D1D34"/>
    <w:rsid w:val="47B609C0"/>
    <w:rsid w:val="47CF543E"/>
    <w:rsid w:val="482D31EA"/>
    <w:rsid w:val="485970A0"/>
    <w:rsid w:val="48847961"/>
    <w:rsid w:val="48A41906"/>
    <w:rsid w:val="48B65C71"/>
    <w:rsid w:val="48F303D7"/>
    <w:rsid w:val="49274245"/>
    <w:rsid w:val="492837FF"/>
    <w:rsid w:val="492E6A57"/>
    <w:rsid w:val="49B86103"/>
    <w:rsid w:val="4A0030EE"/>
    <w:rsid w:val="4AC36065"/>
    <w:rsid w:val="4B1A0A44"/>
    <w:rsid w:val="4B560086"/>
    <w:rsid w:val="4B7501F5"/>
    <w:rsid w:val="4B8C2DEB"/>
    <w:rsid w:val="4BFA3C9F"/>
    <w:rsid w:val="4C0D3330"/>
    <w:rsid w:val="4C0E3379"/>
    <w:rsid w:val="4C107F48"/>
    <w:rsid w:val="4C3277BC"/>
    <w:rsid w:val="4C686851"/>
    <w:rsid w:val="4CB25875"/>
    <w:rsid w:val="4CC353EB"/>
    <w:rsid w:val="4CC90074"/>
    <w:rsid w:val="4CF36F3C"/>
    <w:rsid w:val="4D4F67BA"/>
    <w:rsid w:val="4D603399"/>
    <w:rsid w:val="4D867EE1"/>
    <w:rsid w:val="4DBC4C65"/>
    <w:rsid w:val="4DF6568D"/>
    <w:rsid w:val="4E2E1A80"/>
    <w:rsid w:val="4E550010"/>
    <w:rsid w:val="4E5F14CB"/>
    <w:rsid w:val="4F3705F8"/>
    <w:rsid w:val="4F651D09"/>
    <w:rsid w:val="4F952A51"/>
    <w:rsid w:val="4FAC3540"/>
    <w:rsid w:val="4FBB12F4"/>
    <w:rsid w:val="4FCF1583"/>
    <w:rsid w:val="4FFA7625"/>
    <w:rsid w:val="501B0BF9"/>
    <w:rsid w:val="507D2599"/>
    <w:rsid w:val="5096229D"/>
    <w:rsid w:val="50B44FCE"/>
    <w:rsid w:val="50DC4184"/>
    <w:rsid w:val="51475B39"/>
    <w:rsid w:val="514C3EA7"/>
    <w:rsid w:val="519849E5"/>
    <w:rsid w:val="51B36892"/>
    <w:rsid w:val="52506DA7"/>
    <w:rsid w:val="529A1A6A"/>
    <w:rsid w:val="533B2B84"/>
    <w:rsid w:val="537A7243"/>
    <w:rsid w:val="539C1B81"/>
    <w:rsid w:val="53AA6184"/>
    <w:rsid w:val="53AE750F"/>
    <w:rsid w:val="53EB0895"/>
    <w:rsid w:val="53F263AD"/>
    <w:rsid w:val="54693932"/>
    <w:rsid w:val="549A6BFA"/>
    <w:rsid w:val="54E72921"/>
    <w:rsid w:val="54FB7856"/>
    <w:rsid w:val="55806F07"/>
    <w:rsid w:val="55FA2961"/>
    <w:rsid w:val="565E3E0E"/>
    <w:rsid w:val="565E7F4F"/>
    <w:rsid w:val="56775789"/>
    <w:rsid w:val="56857D06"/>
    <w:rsid w:val="56914056"/>
    <w:rsid w:val="569F0E63"/>
    <w:rsid w:val="56AF4E2D"/>
    <w:rsid w:val="56DB613D"/>
    <w:rsid w:val="573810DA"/>
    <w:rsid w:val="57713D51"/>
    <w:rsid w:val="57FC2169"/>
    <w:rsid w:val="58096275"/>
    <w:rsid w:val="580E4560"/>
    <w:rsid w:val="581C04F1"/>
    <w:rsid w:val="582E6EF7"/>
    <w:rsid w:val="58434392"/>
    <w:rsid w:val="584E30E6"/>
    <w:rsid w:val="59014D02"/>
    <w:rsid w:val="597B384D"/>
    <w:rsid w:val="59996DA8"/>
    <w:rsid w:val="59AC3CE9"/>
    <w:rsid w:val="59C30F1B"/>
    <w:rsid w:val="5A0D5854"/>
    <w:rsid w:val="5A20156F"/>
    <w:rsid w:val="5A8E5D27"/>
    <w:rsid w:val="5A9847F3"/>
    <w:rsid w:val="5AC7121C"/>
    <w:rsid w:val="5AD90B8D"/>
    <w:rsid w:val="5AE12927"/>
    <w:rsid w:val="5B2243E9"/>
    <w:rsid w:val="5B373D83"/>
    <w:rsid w:val="5B4E1A44"/>
    <w:rsid w:val="5B5E1CB7"/>
    <w:rsid w:val="5B666742"/>
    <w:rsid w:val="5B6919B0"/>
    <w:rsid w:val="5B873201"/>
    <w:rsid w:val="5B89551D"/>
    <w:rsid w:val="5B967767"/>
    <w:rsid w:val="5B9E55DE"/>
    <w:rsid w:val="5C1D18D2"/>
    <w:rsid w:val="5C286807"/>
    <w:rsid w:val="5C446BC8"/>
    <w:rsid w:val="5C4C687B"/>
    <w:rsid w:val="5C7C2768"/>
    <w:rsid w:val="5CB23AE6"/>
    <w:rsid w:val="5CF55792"/>
    <w:rsid w:val="5CFD533A"/>
    <w:rsid w:val="5D3A4310"/>
    <w:rsid w:val="5D893B14"/>
    <w:rsid w:val="5D9F3D30"/>
    <w:rsid w:val="5E2810D5"/>
    <w:rsid w:val="5E2B7D62"/>
    <w:rsid w:val="5E71411E"/>
    <w:rsid w:val="5EA06921"/>
    <w:rsid w:val="5EC97B27"/>
    <w:rsid w:val="5ED5006A"/>
    <w:rsid w:val="5F576E4B"/>
    <w:rsid w:val="5F5D4EDE"/>
    <w:rsid w:val="5F7A2C30"/>
    <w:rsid w:val="5FBE370A"/>
    <w:rsid w:val="60292845"/>
    <w:rsid w:val="61027308"/>
    <w:rsid w:val="612E1A5D"/>
    <w:rsid w:val="61816046"/>
    <w:rsid w:val="61B22D34"/>
    <w:rsid w:val="61F7056A"/>
    <w:rsid w:val="62182687"/>
    <w:rsid w:val="62391564"/>
    <w:rsid w:val="62435FF6"/>
    <w:rsid w:val="62606EE9"/>
    <w:rsid w:val="62816669"/>
    <w:rsid w:val="62AA25A3"/>
    <w:rsid w:val="62BA0953"/>
    <w:rsid w:val="62D03A7C"/>
    <w:rsid w:val="62F16BCB"/>
    <w:rsid w:val="62F648FE"/>
    <w:rsid w:val="63341DB1"/>
    <w:rsid w:val="63447612"/>
    <w:rsid w:val="63907004"/>
    <w:rsid w:val="63A10995"/>
    <w:rsid w:val="63C23EFA"/>
    <w:rsid w:val="643A070A"/>
    <w:rsid w:val="644C573D"/>
    <w:rsid w:val="648667A7"/>
    <w:rsid w:val="64DB383A"/>
    <w:rsid w:val="65032F85"/>
    <w:rsid w:val="65136B50"/>
    <w:rsid w:val="657E2A35"/>
    <w:rsid w:val="65A94E9D"/>
    <w:rsid w:val="65AF3FB6"/>
    <w:rsid w:val="65C60A92"/>
    <w:rsid w:val="662203DD"/>
    <w:rsid w:val="666B723B"/>
    <w:rsid w:val="6678045A"/>
    <w:rsid w:val="66DD6702"/>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EE3535"/>
    <w:rsid w:val="69F954C1"/>
    <w:rsid w:val="6A2031B6"/>
    <w:rsid w:val="6A440C53"/>
    <w:rsid w:val="6AC61F6F"/>
    <w:rsid w:val="6ADB3EAF"/>
    <w:rsid w:val="6ADE74F0"/>
    <w:rsid w:val="6B1002C0"/>
    <w:rsid w:val="6B1F5CFA"/>
    <w:rsid w:val="6B723594"/>
    <w:rsid w:val="6B805156"/>
    <w:rsid w:val="6BD50977"/>
    <w:rsid w:val="6BEA2A9B"/>
    <w:rsid w:val="6C9C0875"/>
    <w:rsid w:val="6C9D1F03"/>
    <w:rsid w:val="6CAA3931"/>
    <w:rsid w:val="6D3933CA"/>
    <w:rsid w:val="6D7B61EC"/>
    <w:rsid w:val="6DC3266E"/>
    <w:rsid w:val="6DD049FF"/>
    <w:rsid w:val="6E09491E"/>
    <w:rsid w:val="6E0D3655"/>
    <w:rsid w:val="6E5F4465"/>
    <w:rsid w:val="6E8C54DA"/>
    <w:rsid w:val="6EF11E03"/>
    <w:rsid w:val="6F111C62"/>
    <w:rsid w:val="6F2176E5"/>
    <w:rsid w:val="6F3053CA"/>
    <w:rsid w:val="6F592303"/>
    <w:rsid w:val="6F5F5B74"/>
    <w:rsid w:val="6F9B1C65"/>
    <w:rsid w:val="6FD47A25"/>
    <w:rsid w:val="6FF44026"/>
    <w:rsid w:val="6FFB146E"/>
    <w:rsid w:val="701A5C74"/>
    <w:rsid w:val="706516C3"/>
    <w:rsid w:val="70864A71"/>
    <w:rsid w:val="70896E68"/>
    <w:rsid w:val="709B161A"/>
    <w:rsid w:val="714556B4"/>
    <w:rsid w:val="715B60E9"/>
    <w:rsid w:val="715C0B42"/>
    <w:rsid w:val="71E96309"/>
    <w:rsid w:val="71EA1FED"/>
    <w:rsid w:val="72112A3B"/>
    <w:rsid w:val="72284A0C"/>
    <w:rsid w:val="72C16204"/>
    <w:rsid w:val="72F175A9"/>
    <w:rsid w:val="730313F6"/>
    <w:rsid w:val="731E1007"/>
    <w:rsid w:val="73370D24"/>
    <w:rsid w:val="7359268C"/>
    <w:rsid w:val="739503EB"/>
    <w:rsid w:val="73A05B28"/>
    <w:rsid w:val="73C07D69"/>
    <w:rsid w:val="749E2255"/>
    <w:rsid w:val="74B42AE4"/>
    <w:rsid w:val="74D430B7"/>
    <w:rsid w:val="750A429D"/>
    <w:rsid w:val="75167F59"/>
    <w:rsid w:val="754D77D2"/>
    <w:rsid w:val="755D38A7"/>
    <w:rsid w:val="755F5A0F"/>
    <w:rsid w:val="75614792"/>
    <w:rsid w:val="756E0C82"/>
    <w:rsid w:val="75784473"/>
    <w:rsid w:val="757E044C"/>
    <w:rsid w:val="75977BC3"/>
    <w:rsid w:val="75B161B3"/>
    <w:rsid w:val="75E470E3"/>
    <w:rsid w:val="76736B32"/>
    <w:rsid w:val="76E3765E"/>
    <w:rsid w:val="76FC2AFA"/>
    <w:rsid w:val="773F0836"/>
    <w:rsid w:val="77653671"/>
    <w:rsid w:val="778546CC"/>
    <w:rsid w:val="77952880"/>
    <w:rsid w:val="77B56730"/>
    <w:rsid w:val="77BA0724"/>
    <w:rsid w:val="77C04A8B"/>
    <w:rsid w:val="77D85DB3"/>
    <w:rsid w:val="780252A0"/>
    <w:rsid w:val="78027772"/>
    <w:rsid w:val="78A50513"/>
    <w:rsid w:val="793B7339"/>
    <w:rsid w:val="796518DD"/>
    <w:rsid w:val="796E0C55"/>
    <w:rsid w:val="79AA0532"/>
    <w:rsid w:val="79F70999"/>
    <w:rsid w:val="79FE1DDD"/>
    <w:rsid w:val="7A075767"/>
    <w:rsid w:val="7A212062"/>
    <w:rsid w:val="7A282A11"/>
    <w:rsid w:val="7AB90FF6"/>
    <w:rsid w:val="7AC157E1"/>
    <w:rsid w:val="7AC21562"/>
    <w:rsid w:val="7AD474A4"/>
    <w:rsid w:val="7B115232"/>
    <w:rsid w:val="7B416BDC"/>
    <w:rsid w:val="7B5350AD"/>
    <w:rsid w:val="7B6867EB"/>
    <w:rsid w:val="7B697C89"/>
    <w:rsid w:val="7B8D34C3"/>
    <w:rsid w:val="7B971D84"/>
    <w:rsid w:val="7BF32F03"/>
    <w:rsid w:val="7C1724A5"/>
    <w:rsid w:val="7C8E3CCF"/>
    <w:rsid w:val="7CA54112"/>
    <w:rsid w:val="7CE50CE4"/>
    <w:rsid w:val="7D2177E3"/>
    <w:rsid w:val="7D2E5ABF"/>
    <w:rsid w:val="7E1B3983"/>
    <w:rsid w:val="7E2142A2"/>
    <w:rsid w:val="7E4F5384"/>
    <w:rsid w:val="7E5A6DFA"/>
    <w:rsid w:val="7E7B0BF2"/>
    <w:rsid w:val="7E7C7A78"/>
    <w:rsid w:val="7E8D75B6"/>
    <w:rsid w:val="7EB2417D"/>
    <w:rsid w:val="7EF760EE"/>
    <w:rsid w:val="7F134F16"/>
    <w:rsid w:val="7F2A21E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3"/>
    <w:unhideWhenUsed/>
    <w:qFormat/>
    <w:uiPriority w:val="9"/>
    <w:pPr>
      <w:keepNext/>
      <w:keepLines/>
      <w:spacing w:line="360" w:lineRule="auto"/>
      <w:outlineLvl w:val="2"/>
    </w:pPr>
    <w:rPr>
      <w:rFonts w:eastAsia="宋体"/>
      <w:b/>
      <w:bCs/>
      <w:sz w:val="28"/>
      <w:szCs w:val="32"/>
    </w:rPr>
  </w:style>
  <w:style w:type="paragraph" w:styleId="6">
    <w:name w:val="heading 4"/>
    <w:basedOn w:val="1"/>
    <w:next w:val="1"/>
    <w:link w:val="35"/>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spacing w:before="161"/>
      <w:ind w:left="120"/>
    </w:pPr>
    <w:rPr>
      <w:rFonts w:ascii="宋体" w:hAnsi="宋体" w:eastAsia="宋体" w:cs="宋体"/>
      <w:sz w:val="24"/>
      <w:lang w:val="zh-CN" w:bidi="zh-CN"/>
    </w:rPr>
  </w:style>
  <w:style w:type="paragraph" w:styleId="7">
    <w:name w:val="annotation text"/>
    <w:basedOn w:val="1"/>
    <w:semiHidden/>
    <w:unhideWhenUsed/>
    <w:qFormat/>
    <w:uiPriority w:val="99"/>
  </w:style>
  <w:style w:type="paragraph" w:styleId="8">
    <w:name w:val="Body Text Indent"/>
    <w:basedOn w:val="1"/>
    <w:qFormat/>
    <w:uiPriority w:val="0"/>
    <w:pPr>
      <w:ind w:left="420" w:leftChars="200"/>
    </w:pPr>
  </w:style>
  <w:style w:type="paragraph" w:styleId="9">
    <w:name w:val="toc 3"/>
    <w:basedOn w:val="1"/>
    <w:next w:val="1"/>
    <w:unhideWhenUsed/>
    <w:qFormat/>
    <w:uiPriority w:val="39"/>
    <w:pPr>
      <w:tabs>
        <w:tab w:val="right" w:leader="dot" w:pos="8296"/>
      </w:tabs>
      <w:ind w:left="838" w:leftChars="381"/>
    </w:pPr>
    <w:rPr>
      <w:sz w:val="21"/>
      <w:szCs w:val="21"/>
    </w:rPr>
  </w:style>
  <w:style w:type="paragraph" w:styleId="10">
    <w:name w:val="Plain Text"/>
    <w:basedOn w:val="1"/>
    <w:link w:val="46"/>
    <w:qFormat/>
    <w:uiPriority w:val="0"/>
    <w:pPr>
      <w:widowControl w:val="0"/>
      <w:adjustRightInd/>
      <w:snapToGrid/>
      <w:spacing w:after="0"/>
      <w:jc w:val="both"/>
    </w:pPr>
    <w:rPr>
      <w:rFonts w:ascii="宋体" w:hAnsi="Courier New" w:eastAsia="宋体" w:cs="Times New Roman"/>
      <w:b/>
      <w:kern w:val="2"/>
      <w:sz w:val="21"/>
      <w:szCs w:val="20"/>
    </w:rPr>
  </w:style>
  <w:style w:type="paragraph" w:styleId="11">
    <w:name w:val="Body Text Indent 2"/>
    <w:basedOn w:val="1"/>
    <w:qFormat/>
    <w:uiPriority w:val="0"/>
    <w:pPr>
      <w:ind w:firstLine="539" w:firstLineChars="174"/>
    </w:pPr>
    <w:rPr>
      <w:rFonts w:ascii="仿宋_GB2312" w:eastAsia="仿宋_GB2312"/>
      <w:sz w:val="31"/>
    </w:rPr>
  </w:style>
  <w:style w:type="paragraph" w:styleId="12">
    <w:name w:val="Balloon Text"/>
    <w:basedOn w:val="1"/>
    <w:link w:val="49"/>
    <w:semiHidden/>
    <w:unhideWhenUsed/>
    <w:qFormat/>
    <w:uiPriority w:val="99"/>
    <w:pPr>
      <w:spacing w:after="0"/>
    </w:pPr>
    <w:rPr>
      <w:sz w:val="18"/>
      <w:szCs w:val="18"/>
    </w:rPr>
  </w:style>
  <w:style w:type="paragraph" w:styleId="13">
    <w:name w:val="footer"/>
    <w:basedOn w:val="1"/>
    <w:link w:val="48"/>
    <w:unhideWhenUsed/>
    <w:qFormat/>
    <w:uiPriority w:val="99"/>
    <w:pPr>
      <w:tabs>
        <w:tab w:val="center" w:pos="4153"/>
        <w:tab w:val="right" w:pos="8306"/>
      </w:tabs>
    </w:pPr>
    <w:rPr>
      <w:sz w:val="18"/>
      <w:szCs w:val="18"/>
    </w:rPr>
  </w:style>
  <w:style w:type="paragraph" w:styleId="14">
    <w:name w:val="header"/>
    <w:basedOn w:val="1"/>
    <w:link w:val="47"/>
    <w:unhideWhenUsed/>
    <w:qFormat/>
    <w:uiPriority w:val="99"/>
    <w:pPr>
      <w:pBdr>
        <w:bottom w:val="single" w:color="auto" w:sz="6" w:space="1"/>
      </w:pBdr>
      <w:tabs>
        <w:tab w:val="center" w:pos="4153"/>
        <w:tab w:val="right" w:pos="8306"/>
      </w:tabs>
      <w:jc w:val="center"/>
    </w:pPr>
    <w:rPr>
      <w:sz w:val="18"/>
      <w:szCs w:val="18"/>
    </w:rPr>
  </w:style>
  <w:style w:type="paragraph" w:styleId="15">
    <w:name w:val="toc 1"/>
    <w:basedOn w:val="1"/>
    <w:next w:val="1"/>
    <w:semiHidden/>
    <w:unhideWhenUsed/>
    <w:qFormat/>
    <w:uiPriority w:val="39"/>
  </w:style>
  <w:style w:type="paragraph" w:styleId="16">
    <w:name w:val="toc 4"/>
    <w:basedOn w:val="1"/>
    <w:next w:val="1"/>
    <w:unhideWhenUsed/>
    <w:qFormat/>
    <w:uiPriority w:val="39"/>
    <w:pPr>
      <w:tabs>
        <w:tab w:val="right" w:leader="dot" w:pos="8296"/>
      </w:tabs>
      <w:spacing w:after="120"/>
      <w:ind w:left="1320" w:leftChars="600"/>
    </w:pPr>
  </w:style>
  <w:style w:type="paragraph" w:styleId="17">
    <w:name w:val="index heading"/>
    <w:basedOn w:val="1"/>
    <w:next w:val="18"/>
    <w:qFormat/>
    <w:uiPriority w:val="0"/>
    <w:rPr>
      <w:rFonts w:ascii="Times New Roman" w:hAnsi="Times New Roman"/>
      <w:szCs w:val="20"/>
    </w:rPr>
  </w:style>
  <w:style w:type="paragraph" w:styleId="18">
    <w:name w:val="index 1"/>
    <w:basedOn w:val="1"/>
    <w:next w:val="1"/>
    <w:unhideWhenUsed/>
    <w:qFormat/>
    <w:uiPriority w:val="99"/>
  </w:style>
  <w:style w:type="paragraph" w:styleId="19">
    <w:name w:val="footnote text"/>
    <w:basedOn w:val="1"/>
    <w:semiHidden/>
    <w:unhideWhenUsed/>
    <w:qFormat/>
    <w:uiPriority w:val="99"/>
    <w:pPr>
      <w:snapToGrid w:val="0"/>
      <w:jc w:val="left"/>
    </w:pPr>
    <w:rPr>
      <w:sz w:val="18"/>
    </w:rPr>
  </w:style>
  <w:style w:type="paragraph" w:styleId="20">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1">
    <w:name w:val="Normal (Web)"/>
    <w:basedOn w:val="1"/>
    <w:link w:val="51"/>
    <w:qFormat/>
    <w:uiPriority w:val="0"/>
    <w:pPr>
      <w:widowControl w:val="0"/>
      <w:adjustRightInd/>
      <w:snapToGrid/>
      <w:spacing w:after="0"/>
      <w:jc w:val="both"/>
    </w:pPr>
    <w:rPr>
      <w:rFonts w:eastAsia="宋体" w:asciiTheme="minorHAnsi" w:hAnsiTheme="minorHAnsi"/>
      <w:kern w:val="2"/>
      <w:sz w:val="24"/>
      <w:szCs w:val="24"/>
    </w:rPr>
  </w:style>
  <w:style w:type="paragraph" w:styleId="22">
    <w:name w:val="Body Text First Indent"/>
    <w:basedOn w:val="2"/>
    <w:unhideWhenUsed/>
    <w:qFormat/>
    <w:uiPriority w:val="99"/>
    <w:pPr>
      <w:ind w:firstLine="420" w:firstLineChars="100"/>
    </w:pPr>
    <w:rPr>
      <w:rFonts w:ascii="Times New Roman" w:hAnsi="Times New Roman" w:cs="Times New Roman"/>
    </w:rPr>
  </w:style>
  <w:style w:type="paragraph" w:styleId="23">
    <w:name w:val="Body Text First Indent 2"/>
    <w:basedOn w:val="8"/>
    <w:qFormat/>
    <w:uiPriority w:val="0"/>
    <w:pPr>
      <w:spacing w:line="360" w:lineRule="auto"/>
      <w:ind w:left="0" w:leftChars="0" w:firstLine="420" w:firstLineChars="200"/>
      <w:jc w:val="left"/>
    </w:pPr>
    <w:rPr>
      <w:sz w:val="24"/>
    </w:rPr>
  </w:style>
  <w:style w:type="table" w:styleId="25">
    <w:name w:val="Table Grid"/>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Emphasis"/>
    <w:basedOn w:val="26"/>
    <w:qFormat/>
    <w:uiPriority w:val="20"/>
    <w:rPr>
      <w:i/>
      <w:iCs/>
    </w:rPr>
  </w:style>
  <w:style w:type="character" w:styleId="28">
    <w:name w:val="Hyperlink"/>
    <w:qFormat/>
    <w:uiPriority w:val="99"/>
    <w:rPr>
      <w:rFonts w:hint="eastAsia" w:ascii="宋体" w:hAnsi="宋体" w:eastAsia="宋体" w:cs="宋体"/>
      <w:b/>
      <w:color w:val="0031C1"/>
      <w:kern w:val="0"/>
      <w:sz w:val="18"/>
      <w:szCs w:val="18"/>
      <w:u w:val="none"/>
      <w:lang w:eastAsia="en-US"/>
    </w:rPr>
  </w:style>
  <w:style w:type="character" w:styleId="29">
    <w:name w:val="annotation reference"/>
    <w:basedOn w:val="26"/>
    <w:semiHidden/>
    <w:unhideWhenUsed/>
    <w:qFormat/>
    <w:uiPriority w:val="99"/>
    <w:rPr>
      <w:sz w:val="21"/>
      <w:szCs w:val="21"/>
    </w:rPr>
  </w:style>
  <w:style w:type="character" w:styleId="30">
    <w:name w:val="footnote reference"/>
    <w:basedOn w:val="26"/>
    <w:semiHidden/>
    <w:unhideWhenUsed/>
    <w:qFormat/>
    <w:uiPriority w:val="99"/>
    <w:rPr>
      <w:vertAlign w:val="superscript"/>
    </w:rPr>
  </w:style>
  <w:style w:type="paragraph" w:customStyle="1" w:styleId="31">
    <w:name w:val="表格文字"/>
    <w:basedOn w:val="1"/>
    <w:qFormat/>
    <w:uiPriority w:val="0"/>
    <w:pPr>
      <w:autoSpaceDE/>
      <w:autoSpaceDN/>
      <w:adjustRightInd/>
      <w:spacing w:before="25" w:after="25"/>
    </w:pPr>
    <w:rPr>
      <w:rFonts w:ascii="Times New Roman"/>
      <w:bCs/>
      <w:spacing w:val="10"/>
      <w:szCs w:val="20"/>
    </w:rPr>
  </w:style>
  <w:style w:type="character" w:customStyle="1" w:styleId="32">
    <w:name w:val="标题 2 Char"/>
    <w:basedOn w:val="26"/>
    <w:link w:val="4"/>
    <w:qFormat/>
    <w:uiPriority w:val="9"/>
    <w:rPr>
      <w:rFonts w:asciiTheme="majorHAnsi" w:hAnsiTheme="majorHAnsi" w:eastAsiaTheme="majorEastAsia" w:cstheme="majorBidi"/>
      <w:b/>
      <w:bCs/>
      <w:sz w:val="32"/>
      <w:szCs w:val="32"/>
    </w:rPr>
  </w:style>
  <w:style w:type="character" w:customStyle="1" w:styleId="33">
    <w:name w:val="标题 3 Char"/>
    <w:basedOn w:val="26"/>
    <w:link w:val="5"/>
    <w:qFormat/>
    <w:uiPriority w:val="9"/>
    <w:rPr>
      <w:rFonts w:ascii="Tahoma" w:hAnsi="Tahoma" w:eastAsia="宋体"/>
      <w:b/>
      <w:bCs/>
      <w:sz w:val="28"/>
      <w:szCs w:val="32"/>
    </w:rPr>
  </w:style>
  <w:style w:type="paragraph" w:styleId="34">
    <w:name w:val="List Paragraph"/>
    <w:basedOn w:val="1"/>
    <w:qFormat/>
    <w:uiPriority w:val="34"/>
    <w:pPr>
      <w:ind w:firstLine="420" w:firstLineChars="200"/>
    </w:pPr>
  </w:style>
  <w:style w:type="character" w:customStyle="1" w:styleId="35">
    <w:name w:val="标题 4 Char"/>
    <w:basedOn w:val="26"/>
    <w:link w:val="6"/>
    <w:qFormat/>
    <w:uiPriority w:val="9"/>
    <w:rPr>
      <w:rFonts w:eastAsia="宋体" w:asciiTheme="majorAscii" w:hAnsiTheme="majorAscii" w:cstheme="majorBidi"/>
      <w:b/>
      <w:bCs/>
      <w:sz w:val="24"/>
      <w:szCs w:val="28"/>
    </w:rPr>
  </w:style>
  <w:style w:type="character" w:customStyle="1" w:styleId="36">
    <w:name w:val="正文缩进2格 Char"/>
    <w:link w:val="37"/>
    <w:qFormat/>
    <w:uiPriority w:val="0"/>
    <w:rPr>
      <w:rFonts w:ascii="仿宋_GB2312" w:hAnsi="宋体" w:eastAsia="仿宋_GB2312"/>
      <w:kern w:val="2"/>
      <w:sz w:val="31"/>
    </w:rPr>
  </w:style>
  <w:style w:type="paragraph" w:customStyle="1" w:styleId="37">
    <w:name w:val="正文缩进2格"/>
    <w:basedOn w:val="1"/>
    <w:link w:val="36"/>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8">
    <w:name w:val="正文缩进4格"/>
    <w:basedOn w:val="37"/>
    <w:qFormat/>
    <w:uiPriority w:val="0"/>
    <w:pPr>
      <w:ind w:left="2" w:firstLine="538" w:firstLineChars="192"/>
    </w:pPr>
    <w:rPr>
      <w:color w:val="0000FF"/>
      <w:sz w:val="28"/>
    </w:rPr>
  </w:style>
  <w:style w:type="character" w:customStyle="1" w:styleId="39">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40">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41">
    <w:name w:val="标题1"/>
    <w:qFormat/>
    <w:uiPriority w:val="0"/>
    <w:rPr>
      <w:rFonts w:ascii="Times New Roman" w:hAnsi="Times New Roman" w:eastAsia="宋体" w:cs="Times New Roman"/>
      <w:b/>
      <w:kern w:val="0"/>
      <w:sz w:val="24"/>
      <w:szCs w:val="20"/>
      <w:lang w:eastAsia="en-US"/>
    </w:rPr>
  </w:style>
  <w:style w:type="character" w:customStyle="1" w:styleId="42">
    <w:name w:val="标题 3.1 Char"/>
    <w:link w:val="43"/>
    <w:qFormat/>
    <w:uiPriority w:val="0"/>
    <w:rPr>
      <w:rFonts w:ascii="宋体" w:hAnsi="宋体" w:eastAsia="宋体"/>
      <w:b/>
      <w:color w:val="FF0000"/>
      <w:kern w:val="2"/>
      <w:sz w:val="32"/>
    </w:rPr>
  </w:style>
  <w:style w:type="paragraph" w:customStyle="1" w:styleId="43">
    <w:name w:val="标题 3.1"/>
    <w:basedOn w:val="5"/>
    <w:link w:val="42"/>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4">
    <w:name w:val="样式 楷体_GB2312 小四"/>
    <w:qFormat/>
    <w:uiPriority w:val="0"/>
    <w:rPr>
      <w:rFonts w:ascii="楷体_GB2312" w:hAnsi="楷体_GB2312" w:eastAsia="仿宋_GB2312"/>
      <w:sz w:val="24"/>
    </w:rPr>
  </w:style>
  <w:style w:type="character" w:customStyle="1" w:styleId="45">
    <w:name w:val="纯文本 Char"/>
    <w:qFormat/>
    <w:uiPriority w:val="0"/>
    <w:rPr>
      <w:rFonts w:ascii="宋体" w:hAnsi="Courier New" w:eastAsia="宋体" w:cs="Times New Roman"/>
      <w:b/>
      <w:kern w:val="2"/>
      <w:sz w:val="21"/>
      <w:szCs w:val="20"/>
    </w:rPr>
  </w:style>
  <w:style w:type="character" w:customStyle="1" w:styleId="46">
    <w:name w:val="纯文本 Char1"/>
    <w:basedOn w:val="26"/>
    <w:link w:val="10"/>
    <w:semiHidden/>
    <w:qFormat/>
    <w:uiPriority w:val="99"/>
    <w:rPr>
      <w:rFonts w:ascii="宋体" w:hAnsi="Courier New" w:eastAsia="宋体" w:cs="Courier New"/>
      <w:sz w:val="21"/>
      <w:szCs w:val="21"/>
    </w:rPr>
  </w:style>
  <w:style w:type="character" w:customStyle="1" w:styleId="47">
    <w:name w:val="页眉 Char"/>
    <w:basedOn w:val="26"/>
    <w:link w:val="14"/>
    <w:qFormat/>
    <w:uiPriority w:val="99"/>
    <w:rPr>
      <w:rFonts w:ascii="Tahoma" w:hAnsi="Tahoma"/>
      <w:sz w:val="18"/>
      <w:szCs w:val="18"/>
    </w:rPr>
  </w:style>
  <w:style w:type="character" w:customStyle="1" w:styleId="48">
    <w:name w:val="页脚 Char"/>
    <w:basedOn w:val="26"/>
    <w:link w:val="13"/>
    <w:qFormat/>
    <w:uiPriority w:val="99"/>
    <w:rPr>
      <w:rFonts w:ascii="Tahoma" w:hAnsi="Tahoma"/>
      <w:sz w:val="18"/>
      <w:szCs w:val="18"/>
    </w:rPr>
  </w:style>
  <w:style w:type="character" w:customStyle="1" w:styleId="49">
    <w:name w:val="批注框文本 Char"/>
    <w:basedOn w:val="26"/>
    <w:link w:val="12"/>
    <w:semiHidden/>
    <w:qFormat/>
    <w:uiPriority w:val="99"/>
    <w:rPr>
      <w:rFonts w:ascii="Tahoma" w:hAnsi="Tahoma"/>
      <w:sz w:val="18"/>
      <w:szCs w:val="18"/>
    </w:rPr>
  </w:style>
  <w:style w:type="paragraph" w:customStyle="1" w:styleId="50">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51">
    <w:name w:val="普通(网站) Char"/>
    <w:link w:val="21"/>
    <w:qFormat/>
    <w:uiPriority w:val="0"/>
    <w:rPr>
      <w:rFonts w:eastAsia="宋体"/>
      <w:kern w:val="2"/>
      <w:sz w:val="24"/>
      <w:szCs w:val="24"/>
    </w:rPr>
  </w:style>
  <w:style w:type="paragraph" w:customStyle="1" w:styleId="52">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3">
    <w:name w:val="p141"/>
    <w:qFormat/>
    <w:uiPriority w:val="0"/>
    <w:rPr>
      <w:sz w:val="21"/>
      <w:szCs w:val="21"/>
    </w:rPr>
  </w:style>
  <w:style w:type="paragraph" w:customStyle="1" w:styleId="54">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5">
    <w:name w:val="正文无缩进"/>
    <w:basedOn w:val="37"/>
    <w:qFormat/>
    <w:uiPriority w:val="0"/>
    <w:pPr>
      <w:ind w:firstLine="0" w:firstLineChars="0"/>
    </w:pPr>
  </w:style>
  <w:style w:type="paragraph" w:customStyle="1" w:styleId="56">
    <w:name w:val="一级条标题"/>
    <w:basedOn w:val="57"/>
    <w:next w:val="58"/>
    <w:qFormat/>
    <w:uiPriority w:val="0"/>
    <w:pPr>
      <w:tabs>
        <w:tab w:val="left" w:pos="720"/>
      </w:tabs>
      <w:spacing w:beforeLines="0" w:afterLines="0"/>
      <w:outlineLvl w:val="2"/>
    </w:pPr>
  </w:style>
  <w:style w:type="paragraph" w:customStyle="1" w:styleId="57">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8">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73</Pages>
  <Words>32715</Words>
  <Characters>33586</Characters>
  <Lines>264</Lines>
  <Paragraphs>74</Paragraphs>
  <TotalTime>0</TotalTime>
  <ScaleCrop>false</ScaleCrop>
  <LinksUpToDate>false</LinksUpToDate>
  <CharactersWithSpaces>35801</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2021-04-23T09:50:00Z</cp:lastPrinted>
  <dcterms:modified xsi:type="dcterms:W3CDTF">2022-02-07T07:41:22Z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051BAFFE72374091B1FDBAF775E0DE95</vt:lpwstr>
  </property>
</Properties>
</file>