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highlight w:val="none"/>
        </w:rPr>
      </w:pPr>
      <w:r>
        <w:rPr>
          <w:rFonts w:hint="eastAsia" w:ascii="黑体" w:eastAsia="黑体"/>
          <w:color w:val="auto"/>
          <w:szCs w:val="21"/>
          <w:highlight w:val="none"/>
          <w:lang w:eastAsia="zh-CN"/>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12"/>
                    <a:srcRect l="6233" t="18358" r="67326" b="19339"/>
                    <a:stretch>
                      <a:fillRect/>
                    </a:stretch>
                  </pic:blipFill>
                  <pic:spPr>
                    <a:xfrm>
                      <a:off x="0" y="0"/>
                      <a:ext cx="682625" cy="652145"/>
                    </a:xfrm>
                    <a:prstGeom prst="rect">
                      <a:avLst/>
                    </a:prstGeom>
                  </pic:spPr>
                </pic:pic>
              </a:graphicData>
            </a:graphic>
          </wp:inline>
        </w:drawing>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ind w:right="-28"/>
        <w:jc w:val="center"/>
        <w:textAlignment w:val="bottom"/>
        <w:rPr>
          <w:rFonts w:hint="eastAsia" w:ascii="黑体" w:hAnsi="黑体" w:eastAsia="黑体" w:cs="黑体"/>
          <w:b w:val="0"/>
          <w:bCs/>
          <w:color w:val="auto"/>
          <w:spacing w:val="57"/>
          <w:sz w:val="72"/>
          <w:szCs w:val="72"/>
          <w:highlight w:val="none"/>
        </w:rPr>
      </w:pPr>
      <w:r>
        <w:rPr>
          <w:rFonts w:hint="eastAsia" w:ascii="黑体" w:hAnsi="黑体" w:eastAsia="黑体" w:cs="黑体"/>
          <w:b w:val="0"/>
          <w:bCs/>
          <w:color w:val="auto"/>
          <w:spacing w:val="57"/>
          <w:sz w:val="72"/>
          <w:szCs w:val="72"/>
          <w:highlight w:val="none"/>
        </w:rPr>
        <w:t>公开招标文件</w:t>
      </w:r>
    </w:p>
    <w:p>
      <w:pPr>
        <w:jc w:val="center"/>
        <w:rPr>
          <w:rFonts w:hint="default" w:eastAsia="微软雅黑"/>
          <w:color w:val="auto"/>
          <w:highlight w:val="none"/>
          <w:lang w:val="en-US" w:eastAsia="zh-CN"/>
        </w:rPr>
      </w:pPr>
      <w:r>
        <w:rPr>
          <w:rFonts w:hint="eastAsia" w:ascii="黑体" w:hAnsi="黑体" w:eastAsia="黑体" w:cs="黑体"/>
          <w:b w:val="0"/>
          <w:bCs/>
          <w:color w:val="auto"/>
          <w:spacing w:val="57"/>
          <w:sz w:val="72"/>
          <w:szCs w:val="72"/>
          <w:highlight w:val="none"/>
          <w:lang w:val="en-US" w:eastAsia="zh-CN"/>
        </w:rPr>
        <w:t>国内采购</w:t>
      </w:r>
    </w:p>
    <w:p>
      <w:pPr>
        <w:rPr>
          <w:color w:val="auto"/>
          <w:highlight w:val="none"/>
        </w:rPr>
      </w:pPr>
    </w:p>
    <w:tbl>
      <w:tblPr>
        <w:tblStyle w:val="22"/>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eastAsia="zh-CN"/>
              </w:rPr>
              <w:t>东实集团及下属公司检测服务资格采购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项目采购编号：</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DGSY-ZB-03-45-056（2021）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eastAsia="zh-CN"/>
              </w:rPr>
              <w:t>东莞实业投资控股集团有限公司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hint="eastAsia"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val="en-US" w:eastAsia="zh-CN"/>
              </w:rPr>
              <w:t>招标代理：</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eastAsia="zh-CN"/>
              </w:rPr>
              <w:t>广东政通招标有限公司</w:t>
            </w:r>
          </w:p>
        </w:tc>
      </w:tr>
    </w:tbl>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r>
        <w:rPr>
          <w:rFonts w:hint="eastAsia" w:ascii="黑体" w:eastAsia="黑体"/>
          <w:color w:val="auto"/>
          <w:szCs w:val="21"/>
          <w:highlight w:val="none"/>
          <w:lang w:eastAsia="zh-CN"/>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13"/>
                    <a:srcRect l="6033" t="52170" r="5754" b="9299"/>
                    <a:stretch>
                      <a:fillRect/>
                    </a:stretch>
                  </pic:blipFill>
                  <pic:spPr>
                    <a:xfrm>
                      <a:off x="0" y="0"/>
                      <a:ext cx="3716020" cy="633730"/>
                    </a:xfrm>
                    <a:prstGeom prst="rect">
                      <a:avLst/>
                    </a:prstGeom>
                  </pic:spPr>
                </pic:pic>
              </a:graphicData>
            </a:graphic>
          </wp:inline>
        </w:drawing>
      </w:r>
    </w:p>
    <w:p>
      <w:pPr>
        <w:spacing w:before="200"/>
        <w:jc w:val="center"/>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lang w:val="en-US" w:eastAsia="zh-CN"/>
        </w:rPr>
        <w:t>2021</w:t>
      </w:r>
      <w:r>
        <w:rPr>
          <w:rFonts w:hint="eastAsia" w:ascii="黑体" w:hAnsi="黑体" w:eastAsia="黑体" w:cs="黑体"/>
          <w:bCs/>
          <w:color w:val="auto"/>
          <w:sz w:val="32"/>
          <w:szCs w:val="24"/>
          <w:highlight w:val="none"/>
          <w:lang w:eastAsia="zh-CN"/>
        </w:rPr>
        <w:t>年</w:t>
      </w:r>
      <w:r>
        <w:rPr>
          <w:rFonts w:hint="eastAsia" w:ascii="黑体" w:hAnsi="黑体" w:eastAsia="黑体" w:cs="黑体"/>
          <w:bCs/>
          <w:color w:val="auto"/>
          <w:sz w:val="32"/>
          <w:szCs w:val="24"/>
          <w:highlight w:val="none"/>
          <w:lang w:val="en-US" w:eastAsia="zh-CN"/>
        </w:rPr>
        <w:t>12</w:t>
      </w:r>
      <w:r>
        <w:rPr>
          <w:rFonts w:hint="eastAsia" w:ascii="黑体" w:hAnsi="黑体" w:eastAsia="黑体" w:cs="黑体"/>
          <w:bCs/>
          <w:color w:val="auto"/>
          <w:sz w:val="32"/>
          <w:szCs w:val="24"/>
          <w:highlight w:val="none"/>
          <w:lang w:eastAsia="zh-CN"/>
        </w:rPr>
        <w:t>月</w:t>
      </w:r>
    </w:p>
    <w:p>
      <w:pPr>
        <w:rPr>
          <w:color w:val="auto"/>
          <w:highlight w:val="none"/>
        </w:rPr>
        <w:sectPr>
          <w:footerReference r:id="rId6" w:type="first"/>
          <w:footerReference r:id="rId5" w:type="default"/>
          <w:pgSz w:w="11906" w:h="16838"/>
          <w:pgMar w:top="1440" w:right="1800" w:bottom="1440" w:left="1800" w:header="708" w:footer="708" w:gutter="0"/>
          <w:pgNumType w:fmt="decimal" w:start="1"/>
          <w:cols w:space="708" w:num="1"/>
          <w:titlePg/>
          <w:docGrid w:type="lines" w:linePitch="360" w:charSpace="0"/>
        </w:sectPr>
      </w:pPr>
    </w:p>
    <w:p>
      <w:pPr>
        <w:pStyle w:val="18"/>
        <w:ind w:left="0" w:leftChars="0"/>
        <w:rPr>
          <w:color w:val="auto"/>
          <w:sz w:val="40"/>
          <w:szCs w:val="40"/>
          <w:highlight w:val="none"/>
        </w:rPr>
      </w:pPr>
      <w:r>
        <w:rPr>
          <w:rFonts w:hint="eastAsia"/>
          <w:color w:val="auto"/>
          <w:sz w:val="40"/>
          <w:szCs w:val="40"/>
          <w:highlight w:val="none"/>
        </w:rPr>
        <w:t>目录</w:t>
      </w:r>
    </w:p>
    <w:p>
      <w:pPr>
        <w:pStyle w:val="10"/>
        <w:spacing w:after="0" w:line="288" w:lineRule="auto"/>
        <w:ind w:left="0" w:leftChars="0"/>
        <w:rPr>
          <w:rFonts w:ascii="宋体" w:hAnsi="宋体" w:eastAsia="宋体"/>
          <w:color w:val="auto"/>
          <w:kern w:val="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"1-4" \h \z \u </w:instrText>
      </w:r>
      <w:r>
        <w:rPr>
          <w:rFonts w:hint="eastAsia" w:ascii="宋体" w:hAns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"_Toc74645192" </w:instrText>
      </w:r>
      <w:r>
        <w:rPr>
          <w:color w:val="auto"/>
          <w:highlight w:val="none"/>
        </w:rPr>
        <w:fldChar w:fldCharType="separate"/>
      </w:r>
      <w:r>
        <w:rPr>
          <w:rStyle w:val="25"/>
          <w:rFonts w:hint="default"/>
          <w:color w:val="auto"/>
          <w:sz w:val="21"/>
          <w:szCs w:val="21"/>
          <w:highlight w:val="none"/>
        </w:rPr>
        <w:t>投标邀请书</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_Toc74645192 \h </w:instrText>
      </w:r>
      <w:r>
        <w:rPr>
          <w:rFonts w:ascii="宋体" w:hAnsi="宋体" w:eastAsia="宋体"/>
          <w:color w:val="auto"/>
          <w:highlight w:val="none"/>
        </w:rPr>
        <w:fldChar w:fldCharType="separate"/>
      </w:r>
      <w:r>
        <w:rPr>
          <w:rFonts w:ascii="宋体" w:hAnsi="宋体" w:eastAsia="宋体"/>
          <w:color w:val="auto"/>
          <w:highlight w:val="none"/>
        </w:rPr>
        <w:t>4</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8"/>
        <w:spacing w:line="288" w:lineRule="auto"/>
        <w:ind w:left="0" w:leftChars="0"/>
        <w:jc w:val="both"/>
        <w:rPr>
          <w:color w:val="auto"/>
          <w:kern w:val="2"/>
          <w:sz w:val="21"/>
          <w:szCs w:val="21"/>
          <w:highlight w:val="none"/>
        </w:rPr>
      </w:pPr>
      <w:r>
        <w:rPr>
          <w:color w:val="auto"/>
          <w:highlight w:val="none"/>
        </w:rPr>
        <w:fldChar w:fldCharType="begin"/>
      </w:r>
      <w:r>
        <w:rPr>
          <w:color w:val="auto"/>
          <w:highlight w:val="none"/>
        </w:rPr>
        <w:instrText xml:space="preserve"> HYPERLINK \l "_Toc74645193" </w:instrText>
      </w:r>
      <w:r>
        <w:rPr>
          <w:color w:val="auto"/>
          <w:highlight w:val="none"/>
        </w:rPr>
        <w:fldChar w:fldCharType="separate"/>
      </w:r>
      <w:r>
        <w:rPr>
          <w:rStyle w:val="25"/>
          <w:rFonts w:hint="default"/>
          <w:color w:val="auto"/>
          <w:sz w:val="21"/>
          <w:szCs w:val="21"/>
          <w:highlight w:val="none"/>
        </w:rPr>
        <w:t>第二部分 相关资料表格</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_Toc74645193 \h </w:instrText>
      </w:r>
      <w:r>
        <w:rPr>
          <w:color w:val="auto"/>
          <w:sz w:val="21"/>
          <w:szCs w:val="21"/>
          <w:highlight w:val="none"/>
        </w:rPr>
        <w:fldChar w:fldCharType="separate"/>
      </w:r>
      <w:r>
        <w:rPr>
          <w:color w:val="auto"/>
          <w:sz w:val="21"/>
          <w:szCs w:val="21"/>
          <w:highlight w:val="none"/>
        </w:rPr>
        <w:t>6</w:t>
      </w:r>
      <w:r>
        <w:rPr>
          <w:color w:val="auto"/>
          <w:sz w:val="21"/>
          <w:szCs w:val="21"/>
          <w:highlight w:val="none"/>
        </w:rPr>
        <w:fldChar w:fldCharType="end"/>
      </w:r>
      <w:r>
        <w:rPr>
          <w:color w:val="auto"/>
          <w:sz w:val="21"/>
          <w:szCs w:val="21"/>
          <w:highlight w:val="none"/>
        </w:rPr>
        <w:fldChar w:fldCharType="end"/>
      </w:r>
    </w:p>
    <w:p>
      <w:pPr>
        <w:pStyle w:val="10"/>
        <w:spacing w:after="0" w:line="288" w:lineRule="auto"/>
        <w:ind w:left="0" w:leftChars="0"/>
        <w:rPr>
          <w:rFonts w:ascii="宋体" w:hAnsi="宋体" w:eastAsia="宋体"/>
          <w:color w:val="auto"/>
          <w:kern w:val="2"/>
          <w:highlight w:val="none"/>
        </w:rPr>
      </w:pPr>
      <w:r>
        <w:rPr>
          <w:color w:val="auto"/>
          <w:highlight w:val="none"/>
        </w:rPr>
        <w:fldChar w:fldCharType="begin"/>
      </w:r>
      <w:r>
        <w:rPr>
          <w:color w:val="auto"/>
          <w:highlight w:val="none"/>
        </w:rPr>
        <w:instrText xml:space="preserve"> HYPERLINK \l "_Toc74645194" </w:instrText>
      </w:r>
      <w:r>
        <w:rPr>
          <w:color w:val="auto"/>
          <w:highlight w:val="none"/>
        </w:rPr>
        <w:fldChar w:fldCharType="separate"/>
      </w:r>
      <w:r>
        <w:rPr>
          <w:rStyle w:val="25"/>
          <w:rFonts w:hint="default"/>
          <w:color w:val="auto"/>
          <w:sz w:val="21"/>
          <w:szCs w:val="21"/>
          <w:highlight w:val="none"/>
        </w:rPr>
        <w:t>附表一：投标资料表</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_Toc74645194 \h </w:instrText>
      </w:r>
      <w:r>
        <w:rPr>
          <w:rFonts w:ascii="宋体" w:hAnsi="宋体" w:eastAsia="宋体"/>
          <w:color w:val="auto"/>
          <w:highlight w:val="none"/>
        </w:rPr>
        <w:fldChar w:fldCharType="separate"/>
      </w:r>
      <w:r>
        <w:rPr>
          <w:rFonts w:ascii="宋体" w:hAnsi="宋体" w:eastAsia="宋体"/>
          <w:color w:val="auto"/>
          <w:highlight w:val="none"/>
        </w:rPr>
        <w:t>6</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0"/>
        <w:spacing w:after="0" w:line="288" w:lineRule="auto"/>
        <w:ind w:left="0" w:leftChars="0"/>
        <w:rPr>
          <w:rFonts w:ascii="宋体" w:hAnsi="宋体" w:eastAsia="宋体"/>
          <w:color w:val="auto"/>
          <w:kern w:val="2"/>
          <w:highlight w:val="none"/>
        </w:rPr>
      </w:pPr>
      <w:r>
        <w:rPr>
          <w:color w:val="auto"/>
          <w:highlight w:val="none"/>
        </w:rPr>
        <w:fldChar w:fldCharType="begin"/>
      </w:r>
      <w:r>
        <w:rPr>
          <w:color w:val="auto"/>
          <w:highlight w:val="none"/>
        </w:rPr>
        <w:instrText xml:space="preserve"> HYPERLINK \l "_Toc74645195" </w:instrText>
      </w:r>
      <w:r>
        <w:rPr>
          <w:color w:val="auto"/>
          <w:highlight w:val="none"/>
        </w:rPr>
        <w:fldChar w:fldCharType="separate"/>
      </w:r>
      <w:r>
        <w:rPr>
          <w:rStyle w:val="25"/>
          <w:rFonts w:hint="default"/>
          <w:color w:val="auto"/>
          <w:sz w:val="21"/>
          <w:szCs w:val="21"/>
          <w:highlight w:val="none"/>
        </w:rPr>
        <w:t>附表二：商务技术评分及价格权重表</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_Toc74645195 \h </w:instrText>
      </w:r>
      <w:r>
        <w:rPr>
          <w:rFonts w:ascii="宋体" w:hAnsi="宋体" w:eastAsia="宋体"/>
          <w:color w:val="auto"/>
          <w:highlight w:val="none"/>
        </w:rPr>
        <w:fldChar w:fldCharType="separate"/>
      </w:r>
      <w:r>
        <w:rPr>
          <w:rFonts w:ascii="宋体" w:hAnsi="宋体" w:eastAsia="宋体"/>
          <w:color w:val="auto"/>
          <w:highlight w:val="none"/>
        </w:rPr>
        <w:t>9</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8"/>
        <w:spacing w:line="288" w:lineRule="auto"/>
        <w:ind w:left="0" w:leftChars="0"/>
        <w:jc w:val="both"/>
        <w:rPr>
          <w:color w:val="auto"/>
          <w:kern w:val="2"/>
          <w:sz w:val="21"/>
          <w:szCs w:val="21"/>
          <w:highlight w:val="none"/>
        </w:rPr>
      </w:pPr>
      <w:r>
        <w:rPr>
          <w:color w:val="auto"/>
          <w:highlight w:val="none"/>
        </w:rPr>
        <w:fldChar w:fldCharType="begin"/>
      </w:r>
      <w:r>
        <w:rPr>
          <w:color w:val="auto"/>
          <w:highlight w:val="none"/>
        </w:rPr>
        <w:instrText xml:space="preserve"> HYPERLINK \l "_Toc74645196" </w:instrText>
      </w:r>
      <w:r>
        <w:rPr>
          <w:color w:val="auto"/>
          <w:highlight w:val="none"/>
        </w:rPr>
        <w:fldChar w:fldCharType="separate"/>
      </w:r>
      <w:r>
        <w:rPr>
          <w:rStyle w:val="25"/>
          <w:rFonts w:hint="default"/>
          <w:color w:val="auto"/>
          <w:sz w:val="21"/>
          <w:szCs w:val="21"/>
          <w:highlight w:val="none"/>
        </w:rPr>
        <w:t>第三部分 用户需求书</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_Toc74645196 \h </w:instrText>
      </w:r>
      <w:r>
        <w:rPr>
          <w:color w:val="auto"/>
          <w:sz w:val="21"/>
          <w:szCs w:val="21"/>
          <w:highlight w:val="none"/>
        </w:rPr>
        <w:fldChar w:fldCharType="separate"/>
      </w:r>
      <w:r>
        <w:rPr>
          <w:color w:val="auto"/>
          <w:sz w:val="21"/>
          <w:szCs w:val="21"/>
          <w:highlight w:val="none"/>
        </w:rPr>
        <w:t>12</w:t>
      </w:r>
      <w:r>
        <w:rPr>
          <w:color w:val="auto"/>
          <w:sz w:val="21"/>
          <w:szCs w:val="21"/>
          <w:highlight w:val="none"/>
        </w:rPr>
        <w:fldChar w:fldCharType="end"/>
      </w:r>
      <w:r>
        <w:rPr>
          <w:color w:val="auto"/>
          <w:sz w:val="21"/>
          <w:szCs w:val="21"/>
          <w:highlight w:val="none"/>
        </w:rPr>
        <w:fldChar w:fldCharType="end"/>
      </w:r>
    </w:p>
    <w:p>
      <w:pPr>
        <w:pStyle w:val="10"/>
        <w:spacing w:after="0" w:line="288" w:lineRule="auto"/>
        <w:ind w:left="0" w:leftChars="0"/>
        <w:rPr>
          <w:rFonts w:ascii="宋体" w:hAnsi="宋体" w:eastAsia="宋体"/>
          <w:color w:val="auto"/>
          <w:kern w:val="2"/>
          <w:highlight w:val="none"/>
        </w:rPr>
      </w:pPr>
      <w:r>
        <w:rPr>
          <w:color w:val="auto"/>
          <w:highlight w:val="none"/>
        </w:rPr>
        <w:fldChar w:fldCharType="begin"/>
      </w:r>
      <w:r>
        <w:rPr>
          <w:color w:val="auto"/>
          <w:highlight w:val="none"/>
        </w:rPr>
        <w:instrText xml:space="preserve"> HYPERLINK \l "_Toc74645197" </w:instrText>
      </w:r>
      <w:r>
        <w:rPr>
          <w:color w:val="auto"/>
          <w:highlight w:val="none"/>
        </w:rPr>
        <w:fldChar w:fldCharType="separate"/>
      </w:r>
      <w:r>
        <w:rPr>
          <w:rStyle w:val="25"/>
          <w:rFonts w:hint="default"/>
          <w:color w:val="auto"/>
          <w:sz w:val="21"/>
          <w:szCs w:val="21"/>
          <w:highlight w:val="none"/>
        </w:rPr>
        <w:t>用户需求明细</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_Toc74645197 \h </w:instrText>
      </w:r>
      <w:r>
        <w:rPr>
          <w:rFonts w:ascii="宋体" w:hAnsi="宋体" w:eastAsia="宋体"/>
          <w:color w:val="auto"/>
          <w:highlight w:val="none"/>
        </w:rPr>
        <w:fldChar w:fldCharType="separate"/>
      </w:r>
      <w:r>
        <w:rPr>
          <w:rFonts w:ascii="宋体" w:hAnsi="宋体" w:eastAsia="宋体"/>
          <w:color w:val="auto"/>
          <w:highlight w:val="none"/>
        </w:rPr>
        <w:t>12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8"/>
        <w:spacing w:line="288" w:lineRule="auto"/>
        <w:ind w:left="0" w:leftChars="0"/>
        <w:jc w:val="both"/>
        <w:rPr>
          <w:color w:val="auto"/>
          <w:kern w:val="2"/>
          <w:sz w:val="21"/>
          <w:szCs w:val="21"/>
          <w:highlight w:val="none"/>
        </w:rPr>
      </w:pPr>
      <w:r>
        <w:rPr>
          <w:color w:val="auto"/>
          <w:highlight w:val="none"/>
        </w:rPr>
        <w:fldChar w:fldCharType="begin"/>
      </w:r>
      <w:r>
        <w:rPr>
          <w:color w:val="auto"/>
          <w:highlight w:val="none"/>
        </w:rPr>
        <w:instrText xml:space="preserve"> HYPERLINK \l "_Toc74645198" </w:instrText>
      </w:r>
      <w:r>
        <w:rPr>
          <w:color w:val="auto"/>
          <w:highlight w:val="none"/>
        </w:rPr>
        <w:fldChar w:fldCharType="separate"/>
      </w:r>
      <w:r>
        <w:rPr>
          <w:rStyle w:val="25"/>
          <w:rFonts w:hint="default"/>
          <w:color w:val="auto"/>
          <w:sz w:val="21"/>
          <w:szCs w:val="21"/>
          <w:highlight w:val="none"/>
        </w:rPr>
        <w:t>第四部分 投标人须知</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_Toc74645198 \h </w:instrText>
      </w:r>
      <w:r>
        <w:rPr>
          <w:color w:val="auto"/>
          <w:sz w:val="21"/>
          <w:szCs w:val="21"/>
          <w:highlight w:val="none"/>
        </w:rPr>
        <w:fldChar w:fldCharType="separate"/>
      </w:r>
      <w:r>
        <w:rPr>
          <w:color w:val="auto"/>
          <w:sz w:val="21"/>
          <w:szCs w:val="21"/>
          <w:highlight w:val="none"/>
        </w:rPr>
        <w:t>14</w:t>
      </w:r>
      <w:r>
        <w:rPr>
          <w:color w:val="auto"/>
          <w:sz w:val="21"/>
          <w:szCs w:val="21"/>
          <w:highlight w:val="none"/>
        </w:rPr>
        <w:fldChar w:fldCharType="end"/>
      </w:r>
      <w:r>
        <w:rPr>
          <w:color w:val="auto"/>
          <w:sz w:val="21"/>
          <w:szCs w:val="21"/>
          <w:highlight w:val="none"/>
        </w:rPr>
        <w:fldChar w:fldCharType="end"/>
      </w:r>
    </w:p>
    <w:p>
      <w:pPr>
        <w:pStyle w:val="10"/>
        <w:spacing w:after="0" w:line="288" w:lineRule="auto"/>
        <w:ind w:left="0" w:leftChars="0"/>
        <w:rPr>
          <w:rFonts w:ascii="宋体" w:hAnsi="宋体" w:eastAsia="宋体"/>
          <w:color w:val="auto"/>
          <w:kern w:val="2"/>
          <w:highlight w:val="none"/>
        </w:rPr>
      </w:pPr>
      <w:r>
        <w:rPr>
          <w:color w:val="auto"/>
          <w:highlight w:val="none"/>
        </w:rPr>
        <w:fldChar w:fldCharType="begin"/>
      </w:r>
      <w:r>
        <w:rPr>
          <w:color w:val="auto"/>
          <w:highlight w:val="none"/>
        </w:rPr>
        <w:instrText xml:space="preserve"> HYPERLINK \l "_Toc74645199" </w:instrText>
      </w:r>
      <w:r>
        <w:rPr>
          <w:color w:val="auto"/>
          <w:highlight w:val="none"/>
        </w:rPr>
        <w:fldChar w:fldCharType="separate"/>
      </w:r>
      <w:r>
        <w:rPr>
          <w:rStyle w:val="25"/>
          <w:rFonts w:hint="default"/>
          <w:color w:val="auto"/>
          <w:sz w:val="21"/>
          <w:szCs w:val="21"/>
          <w:highlight w:val="none"/>
        </w:rPr>
        <w:t>一、说明</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_Toc74645199 \h </w:instrText>
      </w:r>
      <w:r>
        <w:rPr>
          <w:rFonts w:ascii="宋体" w:hAnsi="宋体" w:eastAsia="宋体"/>
          <w:color w:val="auto"/>
          <w:highlight w:val="none"/>
        </w:rPr>
        <w:fldChar w:fldCharType="separate"/>
      </w:r>
      <w:r>
        <w:rPr>
          <w:rFonts w:ascii="宋体" w:hAnsi="宋体" w:eastAsia="宋体"/>
          <w:color w:val="auto"/>
          <w:highlight w:val="none"/>
        </w:rPr>
        <w:t>14</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"_Toc74645200" </w:instrText>
      </w:r>
      <w:r>
        <w:rPr>
          <w:color w:val="auto"/>
          <w:highlight w:val="none"/>
        </w:rPr>
        <w:fldChar w:fldCharType="separate"/>
      </w:r>
      <w:r>
        <w:rPr>
          <w:rStyle w:val="25"/>
          <w:rFonts w:hint="default"/>
          <w:color w:val="auto"/>
          <w:sz w:val="21"/>
          <w:szCs w:val="21"/>
          <w:highlight w:val="none"/>
        </w:rPr>
        <w:t>1.适用范围</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_Toc74645200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14</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"_Toc74645201" </w:instrText>
      </w:r>
      <w:r>
        <w:rPr>
          <w:color w:val="auto"/>
          <w:highlight w:val="none"/>
        </w:rPr>
        <w:fldChar w:fldCharType="separate"/>
      </w:r>
      <w:r>
        <w:rPr>
          <w:rStyle w:val="25"/>
          <w:rFonts w:hint="default"/>
          <w:color w:val="auto"/>
          <w:sz w:val="21"/>
          <w:szCs w:val="21"/>
          <w:highlight w:val="none"/>
        </w:rPr>
        <w:t>2.定义</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_Toc74645201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14</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"_Toc74645202" </w:instrText>
      </w:r>
      <w:r>
        <w:rPr>
          <w:color w:val="auto"/>
          <w:highlight w:val="none"/>
        </w:rPr>
        <w:fldChar w:fldCharType="separate"/>
      </w:r>
      <w:r>
        <w:rPr>
          <w:rStyle w:val="25"/>
          <w:rFonts w:hint="default"/>
          <w:color w:val="auto"/>
          <w:sz w:val="21"/>
          <w:szCs w:val="21"/>
          <w:highlight w:val="none"/>
        </w:rPr>
        <w:t>3.货物和服务</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_Toc74645202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14</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"_Toc74645203" </w:instrText>
      </w:r>
      <w:r>
        <w:rPr>
          <w:color w:val="auto"/>
          <w:highlight w:val="none"/>
        </w:rPr>
        <w:fldChar w:fldCharType="separate"/>
      </w:r>
      <w:r>
        <w:rPr>
          <w:rStyle w:val="25"/>
          <w:rFonts w:hint="default"/>
          <w:color w:val="auto"/>
          <w:sz w:val="21"/>
          <w:szCs w:val="21"/>
          <w:highlight w:val="none"/>
        </w:rPr>
        <w:t>4.投标费用</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_Toc74645203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14</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"_Toc74645204" </w:instrText>
      </w:r>
      <w:r>
        <w:rPr>
          <w:color w:val="auto"/>
          <w:highlight w:val="none"/>
        </w:rPr>
        <w:fldChar w:fldCharType="separate"/>
      </w:r>
      <w:r>
        <w:rPr>
          <w:rStyle w:val="25"/>
          <w:rFonts w:hint="default"/>
          <w:color w:val="auto"/>
          <w:sz w:val="21"/>
          <w:szCs w:val="21"/>
          <w:highlight w:val="none"/>
        </w:rPr>
        <w:t>5.知识产权</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_Toc74645204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14</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"_Toc74645205" </w:instrText>
      </w:r>
      <w:r>
        <w:rPr>
          <w:color w:val="auto"/>
          <w:highlight w:val="none"/>
        </w:rPr>
        <w:fldChar w:fldCharType="separate"/>
      </w:r>
      <w:r>
        <w:rPr>
          <w:rStyle w:val="25"/>
          <w:rFonts w:hint="default"/>
          <w:color w:val="auto"/>
          <w:sz w:val="21"/>
          <w:szCs w:val="21"/>
          <w:highlight w:val="none"/>
        </w:rPr>
        <w:t>6.关于联合体投标</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_Toc74645205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15</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"_Toc74645206" </w:instrText>
      </w:r>
      <w:r>
        <w:rPr>
          <w:color w:val="auto"/>
          <w:highlight w:val="none"/>
        </w:rPr>
        <w:fldChar w:fldCharType="separate"/>
      </w:r>
      <w:r>
        <w:rPr>
          <w:rStyle w:val="25"/>
          <w:rFonts w:hint="default"/>
          <w:color w:val="auto"/>
          <w:sz w:val="21"/>
          <w:szCs w:val="21"/>
          <w:highlight w:val="none"/>
        </w:rPr>
        <w:t>7.关于分支机构投标</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_Toc74645206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16</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0"/>
        <w:tabs>
          <w:tab w:val="left" w:pos="1050"/>
        </w:tabs>
        <w:spacing w:after="0" w:line="288" w:lineRule="auto"/>
        <w:ind w:left="0" w:leftChars="0"/>
        <w:rPr>
          <w:rFonts w:ascii="宋体" w:hAnsi="宋体" w:eastAsia="宋体"/>
          <w:color w:val="auto"/>
          <w:kern w:val="2"/>
          <w:highlight w:val="none"/>
        </w:rPr>
      </w:pPr>
      <w:r>
        <w:rPr>
          <w:color w:val="auto"/>
          <w:highlight w:val="none"/>
        </w:rPr>
        <w:fldChar w:fldCharType="begin"/>
      </w:r>
      <w:r>
        <w:rPr>
          <w:color w:val="auto"/>
          <w:highlight w:val="none"/>
        </w:rPr>
        <w:instrText xml:space="preserve"> HYPERLINK \l "_Toc74645207" </w:instrText>
      </w:r>
      <w:r>
        <w:rPr>
          <w:color w:val="auto"/>
          <w:highlight w:val="none"/>
        </w:rPr>
        <w:fldChar w:fldCharType="separate"/>
      </w:r>
      <w:r>
        <w:rPr>
          <w:rStyle w:val="25"/>
          <w:rFonts w:hint="default"/>
          <w:color w:val="auto"/>
          <w:sz w:val="21"/>
          <w:szCs w:val="21"/>
          <w:highlight w:val="none"/>
        </w:rPr>
        <w:t>二、招标文件</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_Toc74645207 \h </w:instrText>
      </w:r>
      <w:r>
        <w:rPr>
          <w:rFonts w:ascii="宋体" w:hAnsi="宋体" w:eastAsia="宋体"/>
          <w:color w:val="auto"/>
          <w:highlight w:val="none"/>
        </w:rPr>
        <w:fldChar w:fldCharType="separate"/>
      </w:r>
      <w:r>
        <w:rPr>
          <w:rFonts w:ascii="宋体" w:hAnsi="宋体" w:eastAsia="宋体"/>
          <w:color w:val="auto"/>
          <w:highlight w:val="none"/>
        </w:rPr>
        <w:t>16</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"_Toc74645208" </w:instrText>
      </w:r>
      <w:r>
        <w:rPr>
          <w:color w:val="auto"/>
          <w:highlight w:val="none"/>
        </w:rPr>
        <w:fldChar w:fldCharType="separate"/>
      </w:r>
      <w:r>
        <w:rPr>
          <w:rStyle w:val="25"/>
          <w:rFonts w:hint="default"/>
          <w:color w:val="auto"/>
          <w:sz w:val="21"/>
          <w:szCs w:val="21"/>
          <w:highlight w:val="none"/>
        </w:rPr>
        <w:t>8.招标文件的组成</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_Toc74645208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16</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"_Toc74645209" </w:instrText>
      </w:r>
      <w:r>
        <w:rPr>
          <w:color w:val="auto"/>
          <w:highlight w:val="none"/>
        </w:rPr>
        <w:fldChar w:fldCharType="separate"/>
      </w:r>
      <w:r>
        <w:rPr>
          <w:rStyle w:val="25"/>
          <w:rFonts w:hint="default"/>
          <w:color w:val="auto"/>
          <w:sz w:val="21"/>
          <w:szCs w:val="21"/>
          <w:highlight w:val="none"/>
        </w:rPr>
        <w:t>9.招标文件的澄清或修改</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_Toc74645209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16</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0"/>
        <w:tabs>
          <w:tab w:val="left" w:pos="1470"/>
        </w:tabs>
        <w:spacing w:after="0" w:line="288" w:lineRule="auto"/>
        <w:ind w:left="0" w:leftChars="0"/>
        <w:rPr>
          <w:rFonts w:ascii="宋体" w:hAnsi="宋体" w:eastAsia="宋体"/>
          <w:color w:val="auto"/>
          <w:kern w:val="2"/>
          <w:highlight w:val="none"/>
        </w:rPr>
      </w:pPr>
      <w:r>
        <w:rPr>
          <w:color w:val="auto"/>
          <w:highlight w:val="none"/>
        </w:rPr>
        <w:fldChar w:fldCharType="begin"/>
      </w:r>
      <w:r>
        <w:rPr>
          <w:color w:val="auto"/>
          <w:highlight w:val="none"/>
        </w:rPr>
        <w:instrText xml:space="preserve"> HYPERLINK \l "_Toc74645210" </w:instrText>
      </w:r>
      <w:r>
        <w:rPr>
          <w:color w:val="auto"/>
          <w:highlight w:val="none"/>
        </w:rPr>
        <w:fldChar w:fldCharType="separate"/>
      </w:r>
      <w:r>
        <w:rPr>
          <w:rStyle w:val="25"/>
          <w:rFonts w:hint="default"/>
          <w:color w:val="auto"/>
          <w:sz w:val="21"/>
          <w:szCs w:val="21"/>
          <w:highlight w:val="none"/>
        </w:rPr>
        <w:t>三、投标文件的编制</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_Toc74645210 \h </w:instrText>
      </w:r>
      <w:r>
        <w:rPr>
          <w:rFonts w:ascii="宋体" w:hAnsi="宋体" w:eastAsia="宋体"/>
          <w:color w:val="auto"/>
          <w:highlight w:val="none"/>
        </w:rPr>
        <w:fldChar w:fldCharType="separate"/>
      </w:r>
      <w:r>
        <w:rPr>
          <w:rFonts w:ascii="宋体" w:hAnsi="宋体" w:eastAsia="宋体"/>
          <w:color w:val="auto"/>
          <w:highlight w:val="none"/>
        </w:rPr>
        <w:t>16</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"_Toc74645211" </w:instrText>
      </w:r>
      <w:r>
        <w:rPr>
          <w:color w:val="auto"/>
          <w:highlight w:val="none"/>
        </w:rPr>
        <w:fldChar w:fldCharType="separate"/>
      </w:r>
      <w:r>
        <w:rPr>
          <w:rStyle w:val="25"/>
          <w:rFonts w:hint="default"/>
          <w:color w:val="auto"/>
          <w:sz w:val="21"/>
          <w:szCs w:val="21"/>
          <w:highlight w:val="none"/>
        </w:rPr>
        <w:t>10.投标文件的语言及度量衡单位</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_Toc74645211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16</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"_Toc74645212" </w:instrText>
      </w:r>
      <w:r>
        <w:rPr>
          <w:color w:val="auto"/>
          <w:highlight w:val="none"/>
        </w:rPr>
        <w:fldChar w:fldCharType="separate"/>
      </w:r>
      <w:r>
        <w:rPr>
          <w:rStyle w:val="25"/>
          <w:rFonts w:hint="default"/>
          <w:color w:val="auto"/>
          <w:sz w:val="21"/>
          <w:szCs w:val="21"/>
          <w:highlight w:val="none"/>
        </w:rPr>
        <w:t>11.投标文件的组成</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_Toc74645212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17</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"_Toc74645213" </w:instrText>
      </w:r>
      <w:r>
        <w:rPr>
          <w:color w:val="auto"/>
          <w:highlight w:val="none"/>
        </w:rPr>
        <w:fldChar w:fldCharType="separate"/>
      </w:r>
      <w:r>
        <w:rPr>
          <w:rStyle w:val="25"/>
          <w:rFonts w:hint="default"/>
          <w:color w:val="auto"/>
          <w:sz w:val="21"/>
          <w:szCs w:val="21"/>
          <w:highlight w:val="none"/>
        </w:rPr>
        <w:t>12.投标文件编制</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_Toc74645213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17</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"_Toc74645214" </w:instrText>
      </w:r>
      <w:r>
        <w:rPr>
          <w:color w:val="auto"/>
          <w:highlight w:val="none"/>
        </w:rPr>
        <w:fldChar w:fldCharType="separate"/>
      </w:r>
      <w:r>
        <w:rPr>
          <w:rStyle w:val="25"/>
          <w:rFonts w:hint="default"/>
          <w:color w:val="auto"/>
          <w:sz w:val="21"/>
          <w:szCs w:val="21"/>
          <w:highlight w:val="none"/>
        </w:rPr>
        <w:t>13.投标报价说明</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_Toc74645214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17</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"_Toc74645215" </w:instrText>
      </w:r>
      <w:r>
        <w:rPr>
          <w:color w:val="auto"/>
          <w:highlight w:val="none"/>
        </w:rPr>
        <w:fldChar w:fldCharType="separate"/>
      </w:r>
      <w:r>
        <w:rPr>
          <w:rStyle w:val="25"/>
          <w:rFonts w:hint="default"/>
          <w:color w:val="auto"/>
          <w:sz w:val="21"/>
          <w:szCs w:val="21"/>
          <w:highlight w:val="none"/>
        </w:rPr>
        <w:t>14.投标人所提供的服务或货物的证明文件</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_Toc74645215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18</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"_Toc74645216" </w:instrText>
      </w:r>
      <w:r>
        <w:rPr>
          <w:color w:val="auto"/>
          <w:highlight w:val="none"/>
        </w:rPr>
        <w:fldChar w:fldCharType="separate"/>
      </w:r>
      <w:r>
        <w:rPr>
          <w:rStyle w:val="25"/>
          <w:rFonts w:hint="default"/>
          <w:color w:val="auto"/>
          <w:sz w:val="21"/>
          <w:szCs w:val="21"/>
          <w:highlight w:val="none"/>
        </w:rPr>
        <w:t>15.★投标有效期</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_Toc74645216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18</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"_Toc74645217" </w:instrText>
      </w:r>
      <w:r>
        <w:rPr>
          <w:color w:val="auto"/>
          <w:highlight w:val="none"/>
        </w:rPr>
        <w:fldChar w:fldCharType="separate"/>
      </w:r>
      <w:r>
        <w:rPr>
          <w:rStyle w:val="25"/>
          <w:rFonts w:hint="default"/>
          <w:color w:val="auto"/>
          <w:sz w:val="21"/>
          <w:szCs w:val="21"/>
          <w:highlight w:val="none"/>
        </w:rPr>
        <w:t>16.★投标保证金</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_Toc74645217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18</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0"/>
        <w:tabs>
          <w:tab w:val="left" w:pos="1470"/>
        </w:tabs>
        <w:spacing w:after="0" w:line="288" w:lineRule="auto"/>
        <w:ind w:left="0" w:leftChars="0"/>
        <w:rPr>
          <w:rFonts w:ascii="宋体" w:hAnsi="宋体" w:eastAsia="宋体"/>
          <w:color w:val="auto"/>
          <w:kern w:val="2"/>
          <w:highlight w:val="none"/>
        </w:rPr>
      </w:pPr>
      <w:r>
        <w:rPr>
          <w:color w:val="auto"/>
          <w:highlight w:val="none"/>
        </w:rPr>
        <w:fldChar w:fldCharType="begin"/>
      </w:r>
      <w:r>
        <w:rPr>
          <w:color w:val="auto"/>
          <w:highlight w:val="none"/>
        </w:rPr>
        <w:instrText xml:space="preserve"> HYPERLINK \l "_Toc74645218" </w:instrText>
      </w:r>
      <w:r>
        <w:rPr>
          <w:color w:val="auto"/>
          <w:highlight w:val="none"/>
        </w:rPr>
        <w:fldChar w:fldCharType="separate"/>
      </w:r>
      <w:r>
        <w:rPr>
          <w:rStyle w:val="25"/>
          <w:rFonts w:hint="default"/>
          <w:color w:val="auto"/>
          <w:sz w:val="21"/>
          <w:szCs w:val="21"/>
          <w:highlight w:val="none"/>
        </w:rPr>
        <w:t>四、投标文件的递交</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_Toc74645218 \h </w:instrText>
      </w:r>
      <w:r>
        <w:rPr>
          <w:rFonts w:ascii="宋体" w:hAnsi="宋体" w:eastAsia="宋体"/>
          <w:color w:val="auto"/>
          <w:highlight w:val="none"/>
        </w:rPr>
        <w:fldChar w:fldCharType="separate"/>
      </w:r>
      <w:r>
        <w:rPr>
          <w:rFonts w:ascii="宋体" w:hAnsi="宋体" w:eastAsia="宋体"/>
          <w:color w:val="auto"/>
          <w:highlight w:val="none"/>
        </w:rPr>
        <w:t>19</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"_Toc74645219" </w:instrText>
      </w:r>
      <w:r>
        <w:rPr>
          <w:color w:val="auto"/>
          <w:highlight w:val="none"/>
        </w:rPr>
        <w:fldChar w:fldCharType="separate"/>
      </w:r>
      <w:r>
        <w:rPr>
          <w:rStyle w:val="25"/>
          <w:rFonts w:hint="default"/>
          <w:color w:val="auto"/>
          <w:sz w:val="21"/>
          <w:szCs w:val="21"/>
          <w:highlight w:val="none"/>
        </w:rPr>
        <w:t>17.投标文件的装订，签署，密封和标记</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_Toc74645219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19</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"_Toc74645220" </w:instrText>
      </w:r>
      <w:r>
        <w:rPr>
          <w:color w:val="auto"/>
          <w:highlight w:val="none"/>
        </w:rPr>
        <w:fldChar w:fldCharType="separate"/>
      </w:r>
      <w:r>
        <w:rPr>
          <w:rStyle w:val="25"/>
          <w:rFonts w:hint="default"/>
          <w:color w:val="auto"/>
          <w:sz w:val="21"/>
          <w:szCs w:val="21"/>
          <w:highlight w:val="none"/>
        </w:rPr>
        <w:t>18.迟交的投标文件</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_Toc74645220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20</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"_Toc74645221" </w:instrText>
      </w:r>
      <w:r>
        <w:rPr>
          <w:color w:val="auto"/>
          <w:highlight w:val="none"/>
        </w:rPr>
        <w:fldChar w:fldCharType="separate"/>
      </w:r>
      <w:r>
        <w:rPr>
          <w:rStyle w:val="25"/>
          <w:rFonts w:hint="default"/>
          <w:color w:val="auto"/>
          <w:sz w:val="21"/>
          <w:szCs w:val="21"/>
          <w:highlight w:val="none"/>
        </w:rPr>
        <w:t>19.投标样品（如需提交）</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_Toc74645221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20</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"_Toc74645222" </w:instrText>
      </w:r>
      <w:r>
        <w:rPr>
          <w:color w:val="auto"/>
          <w:highlight w:val="none"/>
        </w:rPr>
        <w:fldChar w:fldCharType="separate"/>
      </w:r>
      <w:r>
        <w:rPr>
          <w:rStyle w:val="25"/>
          <w:rFonts w:hint="default"/>
          <w:color w:val="auto"/>
          <w:sz w:val="21"/>
          <w:szCs w:val="21"/>
          <w:highlight w:val="none"/>
        </w:rPr>
        <w:t>20.投标截止期</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_Toc74645222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20</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"_Toc74645223" </w:instrText>
      </w:r>
      <w:r>
        <w:rPr>
          <w:color w:val="auto"/>
          <w:highlight w:val="none"/>
        </w:rPr>
        <w:fldChar w:fldCharType="separate"/>
      </w:r>
      <w:r>
        <w:rPr>
          <w:rStyle w:val="25"/>
          <w:rFonts w:hint="default"/>
          <w:color w:val="auto"/>
          <w:sz w:val="21"/>
          <w:szCs w:val="21"/>
          <w:highlight w:val="none"/>
        </w:rPr>
        <w:t>21.投标文件的补充、修改与撤回</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_Toc74645223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20</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0"/>
        <w:tabs>
          <w:tab w:val="left" w:pos="1470"/>
        </w:tabs>
        <w:spacing w:after="0" w:line="288" w:lineRule="auto"/>
        <w:ind w:left="0" w:leftChars="0"/>
        <w:rPr>
          <w:rFonts w:ascii="宋体" w:hAnsi="宋体" w:eastAsia="宋体"/>
          <w:color w:val="auto"/>
          <w:kern w:val="2"/>
          <w:highlight w:val="none"/>
        </w:rPr>
      </w:pPr>
      <w:r>
        <w:rPr>
          <w:color w:val="auto"/>
          <w:highlight w:val="none"/>
        </w:rPr>
        <w:fldChar w:fldCharType="begin"/>
      </w:r>
      <w:r>
        <w:rPr>
          <w:color w:val="auto"/>
          <w:highlight w:val="none"/>
        </w:rPr>
        <w:instrText xml:space="preserve"> HYPERLINK \l "_Toc74645224" </w:instrText>
      </w:r>
      <w:r>
        <w:rPr>
          <w:color w:val="auto"/>
          <w:highlight w:val="none"/>
        </w:rPr>
        <w:fldChar w:fldCharType="separate"/>
      </w:r>
      <w:r>
        <w:rPr>
          <w:rStyle w:val="25"/>
          <w:rFonts w:hint="default"/>
          <w:color w:val="auto"/>
          <w:sz w:val="21"/>
          <w:szCs w:val="21"/>
          <w:highlight w:val="none"/>
        </w:rPr>
        <w:t>五、开标与评标</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_Toc74645224 \h </w:instrText>
      </w:r>
      <w:r>
        <w:rPr>
          <w:rFonts w:ascii="宋体" w:hAnsi="宋体" w:eastAsia="宋体"/>
          <w:color w:val="auto"/>
          <w:highlight w:val="none"/>
        </w:rPr>
        <w:fldChar w:fldCharType="separate"/>
      </w:r>
      <w:r>
        <w:rPr>
          <w:rFonts w:ascii="宋体" w:hAnsi="宋体" w:eastAsia="宋体"/>
          <w:color w:val="auto"/>
          <w:highlight w:val="none"/>
        </w:rPr>
        <w:t>21</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"_Toc74645225" </w:instrText>
      </w:r>
      <w:r>
        <w:rPr>
          <w:color w:val="auto"/>
          <w:highlight w:val="none"/>
        </w:rPr>
        <w:fldChar w:fldCharType="separate"/>
      </w:r>
      <w:r>
        <w:rPr>
          <w:rStyle w:val="25"/>
          <w:rFonts w:hint="default"/>
          <w:color w:val="auto"/>
          <w:sz w:val="21"/>
          <w:szCs w:val="21"/>
          <w:highlight w:val="none"/>
        </w:rPr>
        <w:t>22.开标</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_Toc74645225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21</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"_Toc74645226" </w:instrText>
      </w:r>
      <w:r>
        <w:rPr>
          <w:color w:val="auto"/>
          <w:highlight w:val="none"/>
        </w:rPr>
        <w:fldChar w:fldCharType="separate"/>
      </w:r>
      <w:r>
        <w:rPr>
          <w:rStyle w:val="25"/>
          <w:rFonts w:hint="default"/>
          <w:color w:val="auto"/>
          <w:sz w:val="21"/>
          <w:szCs w:val="21"/>
          <w:highlight w:val="none"/>
        </w:rPr>
        <w:t>23.评标委员会及评标方法</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_Toc74645226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21</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"_Toc74645227" </w:instrText>
      </w:r>
      <w:r>
        <w:rPr>
          <w:color w:val="auto"/>
          <w:highlight w:val="none"/>
        </w:rPr>
        <w:fldChar w:fldCharType="separate"/>
      </w:r>
      <w:r>
        <w:rPr>
          <w:rStyle w:val="25"/>
          <w:rFonts w:hint="default"/>
          <w:color w:val="auto"/>
          <w:sz w:val="21"/>
          <w:szCs w:val="21"/>
          <w:highlight w:val="none"/>
        </w:rPr>
        <w:t>24.评审原则及评标过程的保密</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_Toc74645227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21</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"_Toc74645228" </w:instrText>
      </w:r>
      <w:r>
        <w:rPr>
          <w:color w:val="auto"/>
          <w:highlight w:val="none"/>
        </w:rPr>
        <w:fldChar w:fldCharType="separate"/>
      </w:r>
      <w:r>
        <w:rPr>
          <w:rStyle w:val="25"/>
          <w:rFonts w:hint="default"/>
          <w:color w:val="auto"/>
          <w:sz w:val="21"/>
          <w:szCs w:val="21"/>
          <w:highlight w:val="none"/>
        </w:rPr>
        <w:t>25.投标文件的初审</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_Toc74645228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22</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"_Toc74645229" </w:instrText>
      </w:r>
      <w:r>
        <w:rPr>
          <w:color w:val="auto"/>
          <w:highlight w:val="none"/>
        </w:rPr>
        <w:fldChar w:fldCharType="separate"/>
      </w:r>
      <w:r>
        <w:rPr>
          <w:rStyle w:val="25"/>
          <w:rFonts w:hint="default"/>
          <w:color w:val="auto"/>
          <w:sz w:val="21"/>
          <w:szCs w:val="21"/>
          <w:highlight w:val="none"/>
        </w:rPr>
        <w:t>26.商务、技术、价格评审（具体评审项目详见投标资料表）</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_Toc74645229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23</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"_Toc74645230" </w:instrText>
      </w:r>
      <w:r>
        <w:rPr>
          <w:color w:val="auto"/>
          <w:highlight w:val="none"/>
        </w:rPr>
        <w:fldChar w:fldCharType="separate"/>
      </w:r>
      <w:r>
        <w:rPr>
          <w:rStyle w:val="25"/>
          <w:rFonts w:hint="default"/>
          <w:color w:val="auto"/>
          <w:sz w:val="21"/>
          <w:szCs w:val="21"/>
          <w:highlight w:val="none"/>
        </w:rPr>
        <w:t>27.纪律和保密事项</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_Toc74645230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24</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0"/>
        <w:tabs>
          <w:tab w:val="left" w:pos="1050"/>
        </w:tabs>
        <w:spacing w:after="0" w:line="288" w:lineRule="auto"/>
        <w:ind w:left="0" w:leftChars="0"/>
        <w:rPr>
          <w:rFonts w:ascii="宋体" w:hAnsi="宋体" w:eastAsia="宋体"/>
          <w:color w:val="auto"/>
          <w:kern w:val="2"/>
          <w:highlight w:val="none"/>
        </w:rPr>
      </w:pPr>
      <w:r>
        <w:rPr>
          <w:color w:val="auto"/>
          <w:highlight w:val="none"/>
        </w:rPr>
        <w:fldChar w:fldCharType="begin"/>
      </w:r>
      <w:r>
        <w:rPr>
          <w:color w:val="auto"/>
          <w:highlight w:val="none"/>
        </w:rPr>
        <w:instrText xml:space="preserve"> HYPERLINK \l "_Toc74645231" </w:instrText>
      </w:r>
      <w:r>
        <w:rPr>
          <w:color w:val="auto"/>
          <w:highlight w:val="none"/>
        </w:rPr>
        <w:fldChar w:fldCharType="separate"/>
      </w:r>
      <w:r>
        <w:rPr>
          <w:rStyle w:val="25"/>
          <w:rFonts w:hint="default"/>
          <w:color w:val="auto"/>
          <w:sz w:val="21"/>
          <w:szCs w:val="21"/>
          <w:highlight w:val="none"/>
        </w:rPr>
        <w:t>六、授予合同</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_Toc74645231 \h </w:instrText>
      </w:r>
      <w:r>
        <w:rPr>
          <w:rFonts w:ascii="宋体" w:hAnsi="宋体" w:eastAsia="宋体"/>
          <w:color w:val="auto"/>
          <w:highlight w:val="none"/>
        </w:rPr>
        <w:fldChar w:fldCharType="separate"/>
      </w:r>
      <w:r>
        <w:rPr>
          <w:rFonts w:ascii="宋体" w:hAnsi="宋体" w:eastAsia="宋体"/>
          <w:color w:val="auto"/>
          <w:highlight w:val="none"/>
        </w:rPr>
        <w:t>24</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"_Toc74645232" </w:instrText>
      </w:r>
      <w:r>
        <w:rPr>
          <w:color w:val="auto"/>
          <w:highlight w:val="none"/>
        </w:rPr>
        <w:fldChar w:fldCharType="separate"/>
      </w:r>
      <w:r>
        <w:rPr>
          <w:rStyle w:val="25"/>
          <w:rFonts w:hint="default"/>
          <w:color w:val="auto"/>
          <w:sz w:val="21"/>
          <w:szCs w:val="21"/>
          <w:highlight w:val="none"/>
        </w:rPr>
        <w:t>28.合同授予标准</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_Toc74645232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24</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"_Toc74645233" </w:instrText>
      </w:r>
      <w:r>
        <w:rPr>
          <w:color w:val="auto"/>
          <w:highlight w:val="none"/>
        </w:rPr>
        <w:fldChar w:fldCharType="separate"/>
      </w:r>
      <w:r>
        <w:rPr>
          <w:rStyle w:val="25"/>
          <w:rFonts w:hint="default"/>
          <w:color w:val="auto"/>
          <w:sz w:val="21"/>
          <w:szCs w:val="21"/>
          <w:highlight w:val="none"/>
        </w:rPr>
        <w:t>29.发布中标结果</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_Toc74645233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24</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"_Toc74645234" </w:instrText>
      </w:r>
      <w:r>
        <w:rPr>
          <w:color w:val="auto"/>
          <w:highlight w:val="none"/>
        </w:rPr>
        <w:fldChar w:fldCharType="separate"/>
      </w:r>
      <w:r>
        <w:rPr>
          <w:rStyle w:val="25"/>
          <w:rFonts w:hint="default"/>
          <w:color w:val="auto"/>
          <w:sz w:val="21"/>
          <w:szCs w:val="21"/>
          <w:highlight w:val="none"/>
        </w:rPr>
        <w:t>30资格后审</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_Toc74645234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24</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"_Toc74645235" </w:instrText>
      </w:r>
      <w:r>
        <w:rPr>
          <w:color w:val="auto"/>
          <w:highlight w:val="none"/>
        </w:rPr>
        <w:fldChar w:fldCharType="separate"/>
      </w:r>
      <w:r>
        <w:rPr>
          <w:rStyle w:val="25"/>
          <w:rFonts w:hint="default"/>
          <w:color w:val="auto"/>
          <w:sz w:val="21"/>
          <w:szCs w:val="21"/>
          <w:highlight w:val="none"/>
        </w:rPr>
        <w:t>31.合同的签订与履行</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_Toc74645235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25</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"_Toc74645236" </w:instrText>
      </w:r>
      <w:r>
        <w:rPr>
          <w:color w:val="auto"/>
          <w:highlight w:val="none"/>
        </w:rPr>
        <w:fldChar w:fldCharType="separate"/>
      </w:r>
      <w:r>
        <w:rPr>
          <w:rStyle w:val="25"/>
          <w:rFonts w:hint="default"/>
          <w:color w:val="auto"/>
          <w:sz w:val="21"/>
          <w:szCs w:val="21"/>
          <w:highlight w:val="none"/>
        </w:rPr>
        <w:t>32.履约担保</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_Toc74645236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25</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"_Toc74645237" </w:instrText>
      </w:r>
      <w:r>
        <w:rPr>
          <w:color w:val="auto"/>
          <w:highlight w:val="none"/>
        </w:rPr>
        <w:fldChar w:fldCharType="separate"/>
      </w:r>
      <w:r>
        <w:rPr>
          <w:rStyle w:val="25"/>
          <w:rFonts w:hint="default"/>
          <w:color w:val="auto"/>
          <w:sz w:val="21"/>
          <w:szCs w:val="21"/>
          <w:highlight w:val="none"/>
        </w:rPr>
        <w:t>33.预付款保函</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_Toc74645237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26</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0"/>
        <w:tabs>
          <w:tab w:val="left" w:pos="1470"/>
        </w:tabs>
        <w:spacing w:after="0" w:line="288" w:lineRule="auto"/>
        <w:ind w:left="0" w:leftChars="0"/>
        <w:rPr>
          <w:rFonts w:ascii="宋体" w:hAnsi="宋体" w:eastAsia="宋体"/>
          <w:color w:val="auto"/>
          <w:kern w:val="2"/>
          <w:highlight w:val="none"/>
        </w:rPr>
      </w:pPr>
      <w:r>
        <w:rPr>
          <w:color w:val="auto"/>
          <w:highlight w:val="none"/>
        </w:rPr>
        <w:fldChar w:fldCharType="begin"/>
      </w:r>
      <w:r>
        <w:rPr>
          <w:color w:val="auto"/>
          <w:highlight w:val="none"/>
        </w:rPr>
        <w:instrText xml:space="preserve"> HYPERLINK \l "_Toc74645238" </w:instrText>
      </w:r>
      <w:r>
        <w:rPr>
          <w:color w:val="auto"/>
          <w:highlight w:val="none"/>
        </w:rPr>
        <w:fldChar w:fldCharType="separate"/>
      </w:r>
      <w:r>
        <w:rPr>
          <w:rStyle w:val="25"/>
          <w:rFonts w:hint="default"/>
          <w:color w:val="auto"/>
          <w:sz w:val="21"/>
          <w:szCs w:val="21"/>
          <w:highlight w:val="none"/>
        </w:rPr>
        <w:t>七、询问或质疑</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_Toc74645238 \h </w:instrText>
      </w:r>
      <w:r>
        <w:rPr>
          <w:rFonts w:ascii="宋体" w:hAnsi="宋体" w:eastAsia="宋体"/>
          <w:color w:val="auto"/>
          <w:highlight w:val="none"/>
        </w:rPr>
        <w:fldChar w:fldCharType="separate"/>
      </w:r>
      <w:r>
        <w:rPr>
          <w:rFonts w:ascii="宋体" w:hAnsi="宋体" w:eastAsia="宋体"/>
          <w:color w:val="auto"/>
          <w:highlight w:val="none"/>
        </w:rPr>
        <w:t>27</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"_Toc74645239" </w:instrText>
      </w:r>
      <w:r>
        <w:rPr>
          <w:color w:val="auto"/>
          <w:highlight w:val="none"/>
        </w:rPr>
        <w:fldChar w:fldCharType="separate"/>
      </w:r>
      <w:r>
        <w:rPr>
          <w:rStyle w:val="25"/>
          <w:rFonts w:hint="default"/>
          <w:color w:val="auto"/>
          <w:sz w:val="21"/>
          <w:szCs w:val="21"/>
          <w:highlight w:val="none"/>
        </w:rPr>
        <w:t>3</w:t>
      </w:r>
      <w:r>
        <w:rPr>
          <w:rStyle w:val="25"/>
          <w:rFonts w:hint="eastAsia"/>
          <w:color w:val="auto"/>
          <w:sz w:val="21"/>
          <w:szCs w:val="21"/>
          <w:highlight w:val="none"/>
          <w:lang w:val="en-US" w:eastAsia="zh-CN"/>
        </w:rPr>
        <w:t>4</w:t>
      </w:r>
      <w:r>
        <w:rPr>
          <w:rStyle w:val="25"/>
          <w:rFonts w:hint="default"/>
          <w:color w:val="auto"/>
          <w:sz w:val="21"/>
          <w:szCs w:val="21"/>
          <w:highlight w:val="none"/>
        </w:rPr>
        <w:t>.询问</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_Toc74645239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27</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"_Toc74645240" </w:instrText>
      </w:r>
      <w:r>
        <w:rPr>
          <w:color w:val="auto"/>
          <w:highlight w:val="none"/>
        </w:rPr>
        <w:fldChar w:fldCharType="separate"/>
      </w:r>
      <w:r>
        <w:rPr>
          <w:rStyle w:val="25"/>
          <w:rFonts w:hint="default"/>
          <w:color w:val="auto"/>
          <w:sz w:val="21"/>
          <w:szCs w:val="21"/>
          <w:highlight w:val="none"/>
        </w:rPr>
        <w:t>3</w:t>
      </w:r>
      <w:r>
        <w:rPr>
          <w:rStyle w:val="25"/>
          <w:rFonts w:hint="eastAsia"/>
          <w:color w:val="auto"/>
          <w:sz w:val="21"/>
          <w:szCs w:val="21"/>
          <w:highlight w:val="none"/>
          <w:lang w:val="en-US" w:eastAsia="zh-CN"/>
        </w:rPr>
        <w:t>5</w:t>
      </w:r>
      <w:r>
        <w:rPr>
          <w:rStyle w:val="25"/>
          <w:rFonts w:hint="default"/>
          <w:color w:val="auto"/>
          <w:sz w:val="21"/>
          <w:szCs w:val="21"/>
          <w:highlight w:val="none"/>
        </w:rPr>
        <w:t>.质疑</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_Toc74645240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27</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0"/>
        <w:spacing w:after="0" w:line="288" w:lineRule="auto"/>
        <w:ind w:left="0" w:leftChars="0"/>
        <w:rPr>
          <w:rFonts w:ascii="宋体" w:hAnsi="宋体" w:eastAsia="宋体"/>
          <w:color w:val="auto"/>
          <w:kern w:val="2"/>
          <w:highlight w:val="none"/>
        </w:rPr>
      </w:pPr>
      <w:r>
        <w:rPr>
          <w:color w:val="auto"/>
          <w:highlight w:val="none"/>
        </w:rPr>
        <w:fldChar w:fldCharType="begin"/>
      </w:r>
      <w:r>
        <w:rPr>
          <w:color w:val="auto"/>
          <w:highlight w:val="none"/>
        </w:rPr>
        <w:instrText xml:space="preserve"> HYPERLINK \l "_Toc74645241" </w:instrText>
      </w:r>
      <w:r>
        <w:rPr>
          <w:color w:val="auto"/>
          <w:highlight w:val="none"/>
        </w:rPr>
        <w:fldChar w:fldCharType="separate"/>
      </w:r>
      <w:r>
        <w:rPr>
          <w:rStyle w:val="25"/>
          <w:rFonts w:hint="default"/>
          <w:color w:val="auto"/>
          <w:sz w:val="21"/>
          <w:szCs w:val="21"/>
          <w:highlight w:val="none"/>
        </w:rPr>
        <w:t>八、其他</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_Toc74645241 \h </w:instrText>
      </w:r>
      <w:r>
        <w:rPr>
          <w:rFonts w:ascii="宋体" w:hAnsi="宋体" w:eastAsia="宋体"/>
          <w:color w:val="auto"/>
          <w:highlight w:val="none"/>
        </w:rPr>
        <w:fldChar w:fldCharType="separate"/>
      </w:r>
      <w:r>
        <w:rPr>
          <w:rFonts w:ascii="宋体" w:hAnsi="宋体" w:eastAsia="宋体"/>
          <w:color w:val="auto"/>
          <w:highlight w:val="none"/>
        </w:rPr>
        <w:t>27</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"_Toc74645242" </w:instrText>
      </w:r>
      <w:r>
        <w:rPr>
          <w:color w:val="auto"/>
          <w:highlight w:val="none"/>
        </w:rPr>
        <w:fldChar w:fldCharType="separate"/>
      </w:r>
      <w:r>
        <w:rPr>
          <w:rStyle w:val="25"/>
          <w:rFonts w:hint="default"/>
          <w:color w:val="auto"/>
          <w:sz w:val="21"/>
          <w:szCs w:val="21"/>
          <w:highlight w:val="none"/>
        </w:rPr>
        <w:t>3</w:t>
      </w:r>
      <w:r>
        <w:rPr>
          <w:rStyle w:val="25"/>
          <w:rFonts w:hint="eastAsia"/>
          <w:color w:val="auto"/>
          <w:sz w:val="21"/>
          <w:szCs w:val="21"/>
          <w:highlight w:val="none"/>
          <w:lang w:val="en-US" w:eastAsia="zh-CN"/>
        </w:rPr>
        <w:t>6</w:t>
      </w:r>
      <w:r>
        <w:rPr>
          <w:rStyle w:val="25"/>
          <w:rFonts w:hint="default"/>
          <w:color w:val="auto"/>
          <w:sz w:val="21"/>
          <w:szCs w:val="21"/>
          <w:highlight w:val="none"/>
        </w:rPr>
        <w:t>.招标文件的解释权</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_Toc74645242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27</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8"/>
        <w:spacing w:line="288" w:lineRule="auto"/>
        <w:ind w:left="0" w:leftChars="0"/>
        <w:jc w:val="both"/>
        <w:rPr>
          <w:color w:val="auto"/>
          <w:kern w:val="2"/>
          <w:sz w:val="21"/>
          <w:szCs w:val="21"/>
          <w:highlight w:val="none"/>
        </w:rPr>
      </w:pPr>
      <w:r>
        <w:rPr>
          <w:color w:val="auto"/>
          <w:highlight w:val="none"/>
        </w:rPr>
        <w:fldChar w:fldCharType="begin"/>
      </w:r>
      <w:r>
        <w:rPr>
          <w:color w:val="auto"/>
          <w:highlight w:val="none"/>
        </w:rPr>
        <w:instrText xml:space="preserve"> HYPERLINK \l "_Toc74645243" </w:instrText>
      </w:r>
      <w:r>
        <w:rPr>
          <w:color w:val="auto"/>
          <w:highlight w:val="none"/>
        </w:rPr>
        <w:fldChar w:fldCharType="separate"/>
      </w:r>
      <w:r>
        <w:rPr>
          <w:rStyle w:val="25"/>
          <w:rFonts w:hint="default"/>
          <w:color w:val="auto"/>
          <w:sz w:val="21"/>
          <w:szCs w:val="21"/>
          <w:highlight w:val="none"/>
        </w:rPr>
        <w:t xml:space="preserve">第五部分 </w:t>
      </w:r>
      <w:r>
        <w:rPr>
          <w:rStyle w:val="25"/>
          <w:rFonts w:hint="eastAsia"/>
          <w:color w:val="auto"/>
          <w:sz w:val="21"/>
          <w:szCs w:val="21"/>
          <w:highlight w:val="none"/>
          <w:lang w:val="en-US" w:eastAsia="zh-CN"/>
        </w:rPr>
        <w:t>协议条款</w:t>
      </w:r>
      <w:r>
        <w:rPr>
          <w:rStyle w:val="25"/>
          <w:rFonts w:hint="default"/>
          <w:color w:val="auto"/>
          <w:sz w:val="21"/>
          <w:szCs w:val="21"/>
          <w:highlight w:val="none"/>
        </w:rPr>
        <w:t>（仅供参考）</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_Toc74645243 \h </w:instrText>
      </w:r>
      <w:r>
        <w:rPr>
          <w:color w:val="auto"/>
          <w:sz w:val="21"/>
          <w:szCs w:val="21"/>
          <w:highlight w:val="none"/>
        </w:rPr>
        <w:fldChar w:fldCharType="separate"/>
      </w:r>
      <w:r>
        <w:rPr>
          <w:color w:val="auto"/>
          <w:sz w:val="21"/>
          <w:szCs w:val="21"/>
          <w:highlight w:val="none"/>
        </w:rPr>
        <w:t>28</w:t>
      </w:r>
      <w:r>
        <w:rPr>
          <w:color w:val="auto"/>
          <w:sz w:val="21"/>
          <w:szCs w:val="21"/>
          <w:highlight w:val="none"/>
        </w:rPr>
        <w:fldChar w:fldCharType="end"/>
      </w:r>
      <w:r>
        <w:rPr>
          <w:color w:val="auto"/>
          <w:sz w:val="21"/>
          <w:szCs w:val="21"/>
          <w:highlight w:val="none"/>
        </w:rPr>
        <w:fldChar w:fldCharType="end"/>
      </w:r>
    </w:p>
    <w:p>
      <w:pPr>
        <w:pStyle w:val="18"/>
        <w:spacing w:line="288" w:lineRule="auto"/>
        <w:ind w:left="0" w:leftChars="0"/>
        <w:jc w:val="both"/>
        <w:rPr>
          <w:color w:val="auto"/>
          <w:kern w:val="2"/>
          <w:sz w:val="21"/>
          <w:szCs w:val="21"/>
          <w:highlight w:val="none"/>
        </w:rPr>
      </w:pPr>
      <w:r>
        <w:rPr>
          <w:color w:val="auto"/>
          <w:highlight w:val="none"/>
        </w:rPr>
        <w:fldChar w:fldCharType="begin"/>
      </w:r>
      <w:r>
        <w:rPr>
          <w:color w:val="auto"/>
          <w:highlight w:val="none"/>
        </w:rPr>
        <w:instrText xml:space="preserve"> HYPERLINK \l "_Toc74645245" </w:instrText>
      </w:r>
      <w:r>
        <w:rPr>
          <w:color w:val="auto"/>
          <w:highlight w:val="none"/>
        </w:rPr>
        <w:fldChar w:fldCharType="separate"/>
      </w:r>
      <w:r>
        <w:rPr>
          <w:rStyle w:val="25"/>
          <w:rFonts w:hint="default"/>
          <w:color w:val="auto"/>
          <w:sz w:val="21"/>
          <w:szCs w:val="21"/>
          <w:highlight w:val="none"/>
        </w:rPr>
        <w:t>第六部分  附件－投标文件格式</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_Toc74645245 \h </w:instrText>
      </w:r>
      <w:r>
        <w:rPr>
          <w:color w:val="auto"/>
          <w:sz w:val="21"/>
          <w:szCs w:val="21"/>
          <w:highlight w:val="none"/>
        </w:rPr>
        <w:fldChar w:fldCharType="separate"/>
      </w:r>
      <w:r>
        <w:rPr>
          <w:color w:val="auto"/>
          <w:sz w:val="21"/>
          <w:szCs w:val="21"/>
          <w:highlight w:val="none"/>
        </w:rPr>
        <w:t>42</w:t>
      </w:r>
      <w:r>
        <w:rPr>
          <w:color w:val="auto"/>
          <w:sz w:val="21"/>
          <w:szCs w:val="21"/>
          <w:highlight w:val="none"/>
        </w:rPr>
        <w:fldChar w:fldCharType="end"/>
      </w:r>
      <w:r>
        <w:rPr>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"_Toc74645246" </w:instrText>
      </w:r>
      <w:r>
        <w:rPr>
          <w:color w:val="auto"/>
          <w:highlight w:val="none"/>
        </w:rPr>
        <w:fldChar w:fldCharType="separate"/>
      </w:r>
      <w:r>
        <w:rPr>
          <w:rStyle w:val="25"/>
          <w:rFonts w:hint="default"/>
          <w:color w:val="auto"/>
          <w:sz w:val="21"/>
          <w:szCs w:val="21"/>
          <w:highlight w:val="none"/>
        </w:rPr>
        <w:t>附件1.投标文件目录</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_Toc74645246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42</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"_Toc74645247" </w:instrText>
      </w:r>
      <w:r>
        <w:rPr>
          <w:color w:val="auto"/>
          <w:highlight w:val="none"/>
        </w:rPr>
        <w:fldChar w:fldCharType="separate"/>
      </w:r>
      <w:r>
        <w:rPr>
          <w:rStyle w:val="25"/>
          <w:rFonts w:hint="default"/>
          <w:color w:val="auto"/>
          <w:sz w:val="21"/>
          <w:szCs w:val="21"/>
          <w:highlight w:val="none"/>
        </w:rPr>
        <w:t>附件1-1 评分标准索引表</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_Toc74645247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43</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"_Toc74645248" </w:instrText>
      </w:r>
      <w:r>
        <w:rPr>
          <w:color w:val="auto"/>
          <w:highlight w:val="none"/>
        </w:rPr>
        <w:fldChar w:fldCharType="separate"/>
      </w:r>
      <w:r>
        <w:rPr>
          <w:rStyle w:val="25"/>
          <w:rFonts w:hint="default"/>
          <w:color w:val="auto"/>
          <w:sz w:val="21"/>
          <w:szCs w:val="21"/>
          <w:highlight w:val="none"/>
        </w:rPr>
        <w:t>附件2.开标一览表格式</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_Toc74645248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44</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"_Toc74645249" </w:instrText>
      </w:r>
      <w:r>
        <w:rPr>
          <w:color w:val="auto"/>
          <w:highlight w:val="none"/>
        </w:rPr>
        <w:fldChar w:fldCharType="separate"/>
      </w:r>
      <w:r>
        <w:rPr>
          <w:rStyle w:val="25"/>
          <w:rFonts w:hint="default"/>
          <w:color w:val="auto"/>
          <w:sz w:val="21"/>
          <w:szCs w:val="21"/>
          <w:highlight w:val="none"/>
        </w:rPr>
        <w:t>附件3.</w:t>
      </w:r>
      <w:r>
        <w:rPr>
          <w:rStyle w:val="25"/>
          <w:rFonts w:hint="eastAsia"/>
          <w:color w:val="auto"/>
          <w:sz w:val="21"/>
          <w:szCs w:val="21"/>
          <w:highlight w:val="none"/>
          <w:lang w:val="en-US" w:eastAsia="zh-CN"/>
        </w:rPr>
        <w:t>投标书</w:t>
      </w:r>
      <w:r>
        <w:rPr>
          <w:rStyle w:val="25"/>
          <w:rFonts w:hint="default"/>
          <w:color w:val="auto"/>
          <w:sz w:val="21"/>
          <w:szCs w:val="21"/>
          <w:highlight w:val="none"/>
        </w:rPr>
        <w:t>格式</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_Toc74645249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44</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"_Toc74645251" </w:instrText>
      </w:r>
      <w:r>
        <w:rPr>
          <w:color w:val="auto"/>
          <w:highlight w:val="none"/>
        </w:rPr>
        <w:fldChar w:fldCharType="separate"/>
      </w:r>
      <w:r>
        <w:rPr>
          <w:rStyle w:val="25"/>
          <w:rFonts w:hint="default"/>
          <w:color w:val="auto"/>
          <w:sz w:val="21"/>
          <w:szCs w:val="21"/>
          <w:highlight w:val="none"/>
        </w:rPr>
        <w:t>附件</w:t>
      </w:r>
      <w:r>
        <w:rPr>
          <w:rStyle w:val="25"/>
          <w:rFonts w:hint="eastAsia"/>
          <w:color w:val="auto"/>
          <w:sz w:val="21"/>
          <w:szCs w:val="21"/>
          <w:highlight w:val="none"/>
          <w:lang w:val="en-US" w:eastAsia="zh-CN"/>
        </w:rPr>
        <w:t>4</w:t>
      </w:r>
      <w:r>
        <w:rPr>
          <w:rStyle w:val="25"/>
          <w:rFonts w:hint="default"/>
          <w:color w:val="auto"/>
          <w:sz w:val="21"/>
          <w:szCs w:val="21"/>
          <w:highlight w:val="none"/>
        </w:rPr>
        <w:t>.法定代表人证明书格式</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_Toc74645251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46</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"_Toc74645252" </w:instrText>
      </w:r>
      <w:r>
        <w:rPr>
          <w:color w:val="auto"/>
          <w:highlight w:val="none"/>
        </w:rPr>
        <w:fldChar w:fldCharType="separate"/>
      </w:r>
      <w:r>
        <w:rPr>
          <w:rStyle w:val="25"/>
          <w:rFonts w:hint="default"/>
          <w:color w:val="auto"/>
          <w:sz w:val="21"/>
          <w:szCs w:val="21"/>
          <w:highlight w:val="none"/>
        </w:rPr>
        <w:t>附件</w:t>
      </w:r>
      <w:r>
        <w:rPr>
          <w:rStyle w:val="25"/>
          <w:rFonts w:hint="eastAsia"/>
          <w:color w:val="auto"/>
          <w:sz w:val="21"/>
          <w:szCs w:val="21"/>
          <w:highlight w:val="none"/>
          <w:lang w:val="en-US" w:eastAsia="zh-CN"/>
        </w:rPr>
        <w:t>5</w:t>
      </w:r>
      <w:r>
        <w:rPr>
          <w:rStyle w:val="25"/>
          <w:rFonts w:hint="default"/>
          <w:color w:val="auto"/>
          <w:sz w:val="21"/>
          <w:szCs w:val="21"/>
          <w:highlight w:val="none"/>
        </w:rPr>
        <w:t>.法定代表人授权书格式</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_Toc74645252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47</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"_Toc74645253" </w:instrText>
      </w:r>
      <w:r>
        <w:rPr>
          <w:color w:val="auto"/>
          <w:highlight w:val="none"/>
        </w:rPr>
        <w:fldChar w:fldCharType="separate"/>
      </w:r>
      <w:r>
        <w:rPr>
          <w:rStyle w:val="25"/>
          <w:rFonts w:hint="default"/>
          <w:color w:val="auto"/>
          <w:sz w:val="21"/>
          <w:szCs w:val="21"/>
          <w:highlight w:val="none"/>
        </w:rPr>
        <w:t>附件</w:t>
      </w:r>
      <w:r>
        <w:rPr>
          <w:rStyle w:val="25"/>
          <w:rFonts w:hint="eastAsia"/>
          <w:color w:val="auto"/>
          <w:sz w:val="21"/>
          <w:szCs w:val="21"/>
          <w:highlight w:val="none"/>
          <w:lang w:val="en-US" w:eastAsia="zh-CN"/>
        </w:rPr>
        <w:t>6</w:t>
      </w:r>
      <w:r>
        <w:rPr>
          <w:rStyle w:val="25"/>
          <w:rFonts w:hint="default"/>
          <w:color w:val="auto"/>
          <w:sz w:val="21"/>
          <w:szCs w:val="21"/>
          <w:highlight w:val="none"/>
        </w:rPr>
        <w:t>.资格申明</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_Toc74645253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48</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"_Toc74645254" </w:instrText>
      </w:r>
      <w:r>
        <w:rPr>
          <w:color w:val="auto"/>
          <w:highlight w:val="none"/>
        </w:rPr>
        <w:fldChar w:fldCharType="separate"/>
      </w:r>
      <w:r>
        <w:rPr>
          <w:rStyle w:val="25"/>
          <w:rFonts w:hint="default"/>
          <w:color w:val="auto"/>
          <w:sz w:val="21"/>
          <w:szCs w:val="21"/>
          <w:highlight w:val="none"/>
        </w:rPr>
        <w:t>附件</w:t>
      </w:r>
      <w:r>
        <w:rPr>
          <w:rStyle w:val="25"/>
          <w:rFonts w:hint="eastAsia"/>
          <w:color w:val="auto"/>
          <w:sz w:val="21"/>
          <w:szCs w:val="21"/>
          <w:highlight w:val="none"/>
          <w:lang w:val="en-US" w:eastAsia="zh-CN"/>
        </w:rPr>
        <w:t>7</w:t>
      </w:r>
      <w:r>
        <w:rPr>
          <w:rStyle w:val="25"/>
          <w:rFonts w:hint="default"/>
          <w:color w:val="auto"/>
          <w:sz w:val="21"/>
          <w:szCs w:val="21"/>
          <w:highlight w:val="none"/>
        </w:rPr>
        <w:t>.营业执照</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_Toc74645254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49</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"_Toc74645255" </w:instrText>
      </w:r>
      <w:r>
        <w:rPr>
          <w:color w:val="auto"/>
          <w:highlight w:val="none"/>
        </w:rPr>
        <w:fldChar w:fldCharType="separate"/>
      </w:r>
      <w:r>
        <w:rPr>
          <w:rStyle w:val="25"/>
          <w:rFonts w:hint="default"/>
          <w:color w:val="auto"/>
          <w:sz w:val="21"/>
          <w:szCs w:val="21"/>
          <w:highlight w:val="none"/>
        </w:rPr>
        <w:t>附件</w:t>
      </w:r>
      <w:r>
        <w:rPr>
          <w:rStyle w:val="25"/>
          <w:rFonts w:hint="eastAsia"/>
          <w:color w:val="auto"/>
          <w:sz w:val="21"/>
          <w:szCs w:val="21"/>
          <w:highlight w:val="none"/>
          <w:lang w:val="en-US" w:eastAsia="zh-CN"/>
        </w:rPr>
        <w:t>8</w:t>
      </w:r>
      <w:r>
        <w:rPr>
          <w:rStyle w:val="25"/>
          <w:rFonts w:hint="default"/>
          <w:color w:val="auto"/>
          <w:sz w:val="21"/>
          <w:szCs w:val="21"/>
          <w:highlight w:val="none"/>
        </w:rPr>
        <w:t>.相关资质证明文件</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_Toc74645255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50</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"_Toc74645256" </w:instrText>
      </w:r>
      <w:r>
        <w:rPr>
          <w:color w:val="auto"/>
          <w:highlight w:val="none"/>
        </w:rPr>
        <w:fldChar w:fldCharType="separate"/>
      </w:r>
      <w:r>
        <w:rPr>
          <w:rStyle w:val="25"/>
          <w:rFonts w:hint="default"/>
          <w:color w:val="auto"/>
          <w:sz w:val="21"/>
          <w:szCs w:val="21"/>
          <w:highlight w:val="none"/>
        </w:rPr>
        <w:t>附件</w:t>
      </w:r>
      <w:r>
        <w:rPr>
          <w:rStyle w:val="25"/>
          <w:rFonts w:hint="eastAsia"/>
          <w:color w:val="auto"/>
          <w:sz w:val="21"/>
          <w:szCs w:val="21"/>
          <w:highlight w:val="none"/>
          <w:lang w:val="en-US" w:eastAsia="zh-CN"/>
        </w:rPr>
        <w:t>9</w:t>
      </w:r>
      <w:r>
        <w:rPr>
          <w:rStyle w:val="25"/>
          <w:rFonts w:hint="default"/>
          <w:color w:val="auto"/>
          <w:sz w:val="21"/>
          <w:szCs w:val="21"/>
          <w:highlight w:val="none"/>
        </w:rPr>
        <w:t>.商务条款偏离表格式</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_Toc74645256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51</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"_Toc74645257" </w:instrText>
      </w:r>
      <w:r>
        <w:rPr>
          <w:color w:val="auto"/>
          <w:highlight w:val="none"/>
        </w:rPr>
        <w:fldChar w:fldCharType="separate"/>
      </w:r>
      <w:r>
        <w:rPr>
          <w:rStyle w:val="25"/>
          <w:rFonts w:hint="default"/>
          <w:color w:val="auto"/>
          <w:sz w:val="21"/>
          <w:szCs w:val="21"/>
          <w:highlight w:val="none"/>
        </w:rPr>
        <w:t>附件1</w:t>
      </w:r>
      <w:r>
        <w:rPr>
          <w:rStyle w:val="25"/>
          <w:rFonts w:hint="eastAsia"/>
          <w:color w:val="auto"/>
          <w:sz w:val="21"/>
          <w:szCs w:val="21"/>
          <w:highlight w:val="none"/>
          <w:lang w:val="en-US" w:eastAsia="zh-CN"/>
        </w:rPr>
        <w:t>0</w:t>
      </w:r>
      <w:r>
        <w:rPr>
          <w:rStyle w:val="25"/>
          <w:rFonts w:hint="default"/>
          <w:color w:val="auto"/>
          <w:sz w:val="21"/>
          <w:szCs w:val="21"/>
          <w:highlight w:val="none"/>
        </w:rPr>
        <w:t>.技术规格偏离表格式</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_Toc74645257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52</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"_Toc74645262" </w:instrText>
      </w:r>
      <w:r>
        <w:rPr>
          <w:color w:val="auto"/>
          <w:highlight w:val="none"/>
        </w:rPr>
        <w:fldChar w:fldCharType="separate"/>
      </w:r>
      <w:r>
        <w:rPr>
          <w:rStyle w:val="25"/>
          <w:rFonts w:hint="default"/>
          <w:color w:val="auto"/>
          <w:sz w:val="21"/>
          <w:szCs w:val="21"/>
          <w:highlight w:val="none"/>
        </w:rPr>
        <w:t>附件1</w:t>
      </w:r>
      <w:r>
        <w:rPr>
          <w:rStyle w:val="25"/>
          <w:rFonts w:hint="eastAsia"/>
          <w:color w:val="auto"/>
          <w:sz w:val="21"/>
          <w:szCs w:val="21"/>
          <w:highlight w:val="none"/>
          <w:lang w:val="en-US" w:eastAsia="zh-CN"/>
        </w:rPr>
        <w:t>1</w:t>
      </w:r>
      <w:r>
        <w:rPr>
          <w:rStyle w:val="25"/>
          <w:rFonts w:hint="default"/>
          <w:color w:val="auto"/>
          <w:sz w:val="21"/>
          <w:szCs w:val="21"/>
          <w:highlight w:val="none"/>
        </w:rPr>
        <w:t>.业绩表</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_Toc74645262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53</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"_Toc74645263" </w:instrText>
      </w:r>
      <w:r>
        <w:rPr>
          <w:color w:val="auto"/>
          <w:highlight w:val="none"/>
        </w:rPr>
        <w:fldChar w:fldCharType="separate"/>
      </w:r>
      <w:r>
        <w:rPr>
          <w:rStyle w:val="25"/>
          <w:rFonts w:hint="default"/>
          <w:color w:val="auto"/>
          <w:sz w:val="21"/>
          <w:szCs w:val="21"/>
          <w:highlight w:val="none"/>
        </w:rPr>
        <w:t>附件1</w:t>
      </w:r>
      <w:r>
        <w:rPr>
          <w:rStyle w:val="25"/>
          <w:rFonts w:hint="eastAsia"/>
          <w:color w:val="auto"/>
          <w:sz w:val="21"/>
          <w:szCs w:val="21"/>
          <w:highlight w:val="none"/>
          <w:lang w:val="en-US" w:eastAsia="zh-CN"/>
        </w:rPr>
        <w:t>2</w:t>
      </w:r>
      <w:r>
        <w:rPr>
          <w:rStyle w:val="25"/>
          <w:rFonts w:hint="default"/>
          <w:color w:val="auto"/>
          <w:sz w:val="21"/>
          <w:szCs w:val="21"/>
          <w:highlight w:val="none"/>
        </w:rPr>
        <w:t>.项目实施方案格式</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_Toc74645263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54</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"_Toc74645264" </w:instrText>
      </w:r>
      <w:r>
        <w:rPr>
          <w:color w:val="auto"/>
          <w:highlight w:val="none"/>
        </w:rPr>
        <w:fldChar w:fldCharType="separate"/>
      </w:r>
      <w:r>
        <w:rPr>
          <w:rStyle w:val="25"/>
          <w:rFonts w:hint="default"/>
          <w:color w:val="auto"/>
          <w:sz w:val="21"/>
          <w:szCs w:val="21"/>
          <w:highlight w:val="none"/>
        </w:rPr>
        <w:t>附件1</w:t>
      </w:r>
      <w:r>
        <w:rPr>
          <w:rStyle w:val="25"/>
          <w:rFonts w:hint="eastAsia"/>
          <w:color w:val="auto"/>
          <w:sz w:val="21"/>
          <w:szCs w:val="21"/>
          <w:highlight w:val="none"/>
          <w:lang w:val="en-US" w:eastAsia="zh-CN"/>
        </w:rPr>
        <w:t>3</w:t>
      </w:r>
      <w:r>
        <w:rPr>
          <w:rStyle w:val="25"/>
          <w:rFonts w:hint="default"/>
          <w:color w:val="auto"/>
          <w:sz w:val="21"/>
          <w:szCs w:val="21"/>
          <w:highlight w:val="none"/>
        </w:rPr>
        <w:t>.实施本项目的有关人员资料表格式</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_Toc74645264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55</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"_Toc74645266" </w:instrText>
      </w:r>
      <w:r>
        <w:rPr>
          <w:color w:val="auto"/>
          <w:highlight w:val="none"/>
        </w:rPr>
        <w:fldChar w:fldCharType="separate"/>
      </w:r>
      <w:r>
        <w:rPr>
          <w:rStyle w:val="25"/>
          <w:rFonts w:hint="default"/>
          <w:color w:val="auto"/>
          <w:sz w:val="21"/>
          <w:szCs w:val="21"/>
          <w:highlight w:val="none"/>
        </w:rPr>
        <w:t>附件1</w:t>
      </w:r>
      <w:r>
        <w:rPr>
          <w:rStyle w:val="25"/>
          <w:rFonts w:hint="eastAsia"/>
          <w:color w:val="auto"/>
          <w:sz w:val="21"/>
          <w:szCs w:val="21"/>
          <w:highlight w:val="none"/>
          <w:lang w:val="en-US" w:eastAsia="zh-CN"/>
        </w:rPr>
        <w:t>4</w:t>
      </w:r>
      <w:r>
        <w:rPr>
          <w:rStyle w:val="25"/>
          <w:rFonts w:hint="default"/>
          <w:color w:val="auto"/>
          <w:sz w:val="21"/>
          <w:szCs w:val="21"/>
          <w:highlight w:val="none"/>
        </w:rPr>
        <w:t>.在经营活动中没有重大违法记录的书面声明格式</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_Toc74645266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56</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"_Toc74645267" </w:instrText>
      </w:r>
      <w:r>
        <w:rPr>
          <w:color w:val="auto"/>
          <w:highlight w:val="none"/>
        </w:rPr>
        <w:fldChar w:fldCharType="separate"/>
      </w:r>
      <w:r>
        <w:rPr>
          <w:rStyle w:val="25"/>
          <w:rFonts w:hint="default"/>
          <w:color w:val="auto"/>
          <w:sz w:val="21"/>
          <w:szCs w:val="21"/>
          <w:highlight w:val="none"/>
        </w:rPr>
        <w:t>附件1</w:t>
      </w:r>
      <w:r>
        <w:rPr>
          <w:rStyle w:val="25"/>
          <w:rFonts w:hint="eastAsia"/>
          <w:color w:val="auto"/>
          <w:sz w:val="21"/>
          <w:szCs w:val="21"/>
          <w:highlight w:val="none"/>
          <w:lang w:val="en-US" w:eastAsia="zh-CN"/>
        </w:rPr>
        <w:t>5</w:t>
      </w:r>
      <w:r>
        <w:rPr>
          <w:rStyle w:val="25"/>
          <w:rFonts w:hint="default"/>
          <w:color w:val="auto"/>
          <w:sz w:val="21"/>
          <w:szCs w:val="21"/>
          <w:highlight w:val="none"/>
        </w:rPr>
        <w:t>.投标保证金汇入情况说明格式</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_Toc74645267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57</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hint="default" w:ascii="宋体" w:hAnsi="宋体" w:eastAsia="宋体"/>
          <w:color w:val="auto"/>
          <w:sz w:val="21"/>
          <w:szCs w:val="21"/>
          <w:highlight w:val="none"/>
          <w:lang w:val="en-US" w:eastAsia="zh-CN"/>
        </w:rPr>
      </w:pPr>
      <w:r>
        <w:rPr>
          <w:color w:val="auto"/>
          <w:highlight w:val="none"/>
        </w:rPr>
        <w:fldChar w:fldCharType="begin"/>
      </w:r>
      <w:r>
        <w:rPr>
          <w:color w:val="auto"/>
          <w:highlight w:val="none"/>
        </w:rPr>
        <w:instrText xml:space="preserve"> HYPERLINK \l "_Toc74645268" </w:instrText>
      </w:r>
      <w:r>
        <w:rPr>
          <w:color w:val="auto"/>
          <w:highlight w:val="none"/>
        </w:rPr>
        <w:fldChar w:fldCharType="separate"/>
      </w:r>
      <w:r>
        <w:rPr>
          <w:rStyle w:val="25"/>
          <w:rFonts w:hint="default"/>
          <w:color w:val="auto"/>
          <w:sz w:val="21"/>
          <w:szCs w:val="21"/>
          <w:highlight w:val="none"/>
        </w:rPr>
        <w:t>附件1</w:t>
      </w:r>
      <w:r>
        <w:rPr>
          <w:rStyle w:val="25"/>
          <w:rFonts w:hint="eastAsia"/>
          <w:color w:val="auto"/>
          <w:sz w:val="21"/>
          <w:szCs w:val="21"/>
          <w:highlight w:val="none"/>
          <w:lang w:val="en-US" w:eastAsia="zh-CN"/>
        </w:rPr>
        <w:t>6</w:t>
      </w:r>
      <w:r>
        <w:rPr>
          <w:rStyle w:val="25"/>
          <w:rFonts w:hint="default"/>
          <w:color w:val="auto"/>
          <w:sz w:val="21"/>
          <w:szCs w:val="21"/>
          <w:highlight w:val="none"/>
        </w:rPr>
        <w:t>.</w:t>
      </w:r>
      <w:r>
        <w:rPr>
          <w:rStyle w:val="25"/>
          <w:rFonts w:hint="eastAsia"/>
          <w:color w:val="auto"/>
          <w:sz w:val="21"/>
          <w:szCs w:val="21"/>
          <w:highlight w:val="none"/>
          <w:lang w:val="en-US" w:eastAsia="zh-CN"/>
        </w:rPr>
        <w:t>不可撤销履约保函</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end"/>
      </w:r>
      <w:r>
        <w:rPr>
          <w:rFonts w:hint="eastAsia" w:ascii="宋体" w:hAnsi="宋体"/>
          <w:color w:val="auto"/>
          <w:sz w:val="21"/>
          <w:szCs w:val="21"/>
          <w:highlight w:val="none"/>
          <w:lang w:val="en-US" w:eastAsia="zh-CN"/>
        </w:rPr>
        <w:t>59</w:t>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"_Toc74645268" </w:instrText>
      </w:r>
      <w:r>
        <w:rPr>
          <w:color w:val="auto"/>
          <w:highlight w:val="none"/>
        </w:rPr>
        <w:fldChar w:fldCharType="separate"/>
      </w:r>
      <w:r>
        <w:rPr>
          <w:rStyle w:val="25"/>
          <w:rFonts w:hint="default"/>
          <w:color w:val="auto"/>
          <w:sz w:val="21"/>
          <w:szCs w:val="21"/>
          <w:highlight w:val="none"/>
        </w:rPr>
        <w:t>附件</w:t>
      </w:r>
      <w:r>
        <w:rPr>
          <w:rStyle w:val="25"/>
          <w:rFonts w:hint="eastAsia"/>
          <w:color w:val="auto"/>
          <w:sz w:val="21"/>
          <w:szCs w:val="21"/>
          <w:highlight w:val="none"/>
          <w:lang w:val="en-US" w:eastAsia="zh-CN"/>
        </w:rPr>
        <w:t>17</w:t>
      </w:r>
      <w:r>
        <w:rPr>
          <w:rStyle w:val="25"/>
          <w:rFonts w:hint="default"/>
          <w:color w:val="auto"/>
          <w:sz w:val="21"/>
          <w:szCs w:val="21"/>
          <w:highlight w:val="none"/>
        </w:rPr>
        <w:t>.</w:t>
      </w:r>
      <w:r>
        <w:rPr>
          <w:rStyle w:val="25"/>
          <w:rFonts w:hint="eastAsia"/>
          <w:color w:val="auto"/>
          <w:sz w:val="21"/>
          <w:szCs w:val="21"/>
          <w:highlight w:val="none"/>
          <w:lang w:val="en-US" w:eastAsia="zh-CN"/>
        </w:rPr>
        <w:t>开标文件格式</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_Toc74645268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60</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
      <w:pPr>
        <w:pStyle w:val="16"/>
        <w:tabs>
          <w:tab w:val="right" w:leader="dot" w:pos="8306"/>
          <w:tab w:val="clear" w:pos="8296"/>
        </w:tabs>
        <w:spacing w:after="0" w:line="288" w:lineRule="auto"/>
        <w:ind w:left="0" w:leftChars="0"/>
        <w:jc w:val="both"/>
        <w:rPr>
          <w:rFonts w:cs="宋体"/>
          <w:color w:val="auto"/>
          <w:szCs w:val="21"/>
          <w:highlight w:val="none"/>
        </w:rPr>
      </w:pPr>
      <w:r>
        <w:rPr>
          <w:rFonts w:hint="eastAsia" w:ascii="宋体" w:hAnsi="宋体" w:eastAsia="宋体" w:cs="宋体"/>
          <w:color w:val="auto"/>
          <w:sz w:val="21"/>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18"/>
        <w:tabs>
          <w:tab w:val="right" w:leader="dot" w:pos="8306"/>
          <w:tab w:val="clear" w:pos="8296"/>
        </w:tabs>
        <w:spacing w:line="240" w:lineRule="auto"/>
        <w:ind w:left="0" w:leftChars="0"/>
        <w:jc w:val="both"/>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第一部分投标邀请</w:t>
      </w:r>
    </w:p>
    <w:p>
      <w:pPr>
        <w:pStyle w:val="6"/>
        <w:spacing w:before="0" w:after="0" w:line="360" w:lineRule="auto"/>
        <w:jc w:val="center"/>
        <w:rPr>
          <w:rFonts w:ascii="宋体" w:hAnsi="宋体" w:eastAsia="宋体" w:cs="宋体"/>
          <w:color w:val="auto"/>
          <w:highlight w:val="none"/>
        </w:rPr>
      </w:pPr>
      <w:bookmarkStart w:id="0" w:name="_Toc74645192"/>
      <w:r>
        <w:rPr>
          <w:rFonts w:hint="eastAsia" w:ascii="宋体" w:hAnsi="宋体" w:eastAsia="宋体" w:cs="宋体"/>
          <w:color w:val="auto"/>
          <w:highlight w:val="none"/>
        </w:rPr>
        <w:t>投标邀请书</w:t>
      </w:r>
      <w:bookmarkEnd w:id="0"/>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eastAsia="宋体"/>
          <w:b/>
          <w:color w:val="auto"/>
          <w:sz w:val="21"/>
          <w:szCs w:val="21"/>
          <w:highlight w:val="none"/>
          <w:u w:val="single"/>
          <w:lang w:eastAsia="zh-CN"/>
        </w:rPr>
        <w:t>东莞实业投资控股集团有限公司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b/>
          <w:color w:val="auto"/>
          <w:sz w:val="21"/>
          <w:szCs w:val="21"/>
          <w:highlight w:val="none"/>
          <w:u w:val="single"/>
          <w:lang w:eastAsia="zh-CN"/>
        </w:rPr>
        <w:t>东实集团及下属公司检测服务资格采购</w:t>
      </w:r>
      <w:r>
        <w:rPr>
          <w:rFonts w:hint="eastAsia" w:ascii="宋体" w:hAnsi="宋体" w:eastAsia="宋体"/>
          <w:color w:val="auto"/>
          <w:sz w:val="21"/>
          <w:szCs w:val="21"/>
          <w:highlight w:val="none"/>
        </w:rPr>
        <w:t>（项目编号：</w:t>
      </w:r>
      <w:r>
        <w:rPr>
          <w:rFonts w:hint="eastAsia" w:ascii="宋体" w:hAnsi="宋体" w:eastAsia="宋体"/>
          <w:b/>
          <w:color w:val="auto"/>
          <w:sz w:val="21"/>
          <w:szCs w:val="21"/>
          <w:highlight w:val="none"/>
          <w:u w:val="single"/>
          <w:lang w:val="en-US" w:eastAsia="zh-CN"/>
        </w:rPr>
        <w:t>DGSY-ZB-03-45-056（2021）</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1、项目内容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1684"/>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420" w:type="dxa"/>
            <w:noWrap w:val="0"/>
            <w:vAlign w:val="center"/>
          </w:tcPr>
          <w:p>
            <w:pPr>
              <w:pageBreakBefore w:val="0"/>
              <w:kinsoku/>
              <w:wordWrap/>
              <w:overflowPunct/>
              <w:topLinePunct w:val="0"/>
              <w:bidi w:val="0"/>
              <w:adjustRightInd w:val="0"/>
              <w:spacing w:after="0" w:line="36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项目采购内容</w:t>
            </w:r>
          </w:p>
        </w:tc>
        <w:tc>
          <w:tcPr>
            <w:tcW w:w="1684" w:type="dxa"/>
            <w:noWrap w:val="0"/>
            <w:vAlign w:val="center"/>
          </w:tcPr>
          <w:p>
            <w:pPr>
              <w:pageBreakBefore w:val="0"/>
              <w:kinsoku/>
              <w:wordWrap/>
              <w:overflowPunct/>
              <w:topLinePunct w:val="0"/>
              <w:bidi w:val="0"/>
              <w:adjustRightInd w:val="0"/>
              <w:spacing w:after="0" w:line="36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入围家数</w:t>
            </w:r>
          </w:p>
        </w:tc>
        <w:tc>
          <w:tcPr>
            <w:tcW w:w="2851" w:type="dxa"/>
            <w:noWrap w:val="0"/>
            <w:vAlign w:val="center"/>
          </w:tcPr>
          <w:p>
            <w:pPr>
              <w:pageBreakBefore w:val="0"/>
              <w:kinsoku/>
              <w:wordWrap/>
              <w:overflowPunct/>
              <w:topLinePunct w:val="0"/>
              <w:bidi w:val="0"/>
              <w:adjustRightInd w:val="0"/>
              <w:spacing w:after="0" w:line="36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420" w:type="dxa"/>
            <w:noWrap w:val="0"/>
            <w:vAlign w:val="center"/>
          </w:tcPr>
          <w:p>
            <w:pPr>
              <w:pageBreakBefore w:val="0"/>
              <w:kinsoku/>
              <w:wordWrap/>
              <w:overflowPunct/>
              <w:topLinePunct w:val="0"/>
              <w:bidi w:val="0"/>
              <w:adjustRightIn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建设工程检测单位协议供应商</w:t>
            </w:r>
          </w:p>
        </w:tc>
        <w:tc>
          <w:tcPr>
            <w:tcW w:w="1684" w:type="dxa"/>
            <w:noWrap w:val="0"/>
            <w:vAlign w:val="center"/>
          </w:tcPr>
          <w:p>
            <w:pPr>
              <w:pageBreakBefore w:val="0"/>
              <w:kinsoku/>
              <w:wordWrap/>
              <w:overflowPunct/>
              <w:topLinePunct w:val="0"/>
              <w:bidi w:val="0"/>
              <w:adjustRightIn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十家</w:t>
            </w:r>
          </w:p>
        </w:tc>
        <w:tc>
          <w:tcPr>
            <w:tcW w:w="2851" w:type="dxa"/>
            <w:noWrap w:val="0"/>
            <w:vAlign w:val="center"/>
          </w:tcPr>
          <w:p>
            <w:pPr>
              <w:pStyle w:val="55"/>
              <w:pageBreakBefore w:val="0"/>
              <w:kinsoku/>
              <w:wordWrap/>
              <w:overflowPunct/>
              <w:topLinePunct w:val="0"/>
              <w:bidi w:val="0"/>
              <w:adjustRightIn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确认服务资格之日起三年</w:t>
            </w:r>
          </w:p>
        </w:tc>
      </w:tr>
    </w:tbl>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2、简要技术要求或招标项目的性质：详细内容请参阅招标文件第三部分《用户需求书》。</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（1）投标人须为在中华人民共和国境内登记注册的具有独立承担民事责任能力的法人或其他组织；</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（2）参加采购活动前三年内，在经营活动中没有重大违法记录（须提供书面声明）；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（3）本项目</w:t>
      </w:r>
      <w:r>
        <w:rPr>
          <w:rFonts w:hint="eastAsia" w:ascii="宋体" w:hAnsi="宋体" w:eastAsia="宋体"/>
          <w:color w:val="auto"/>
          <w:sz w:val="21"/>
          <w:szCs w:val="21"/>
          <w:highlight w:val="none"/>
          <w:lang w:val="en-US" w:eastAsia="zh-CN"/>
        </w:rPr>
        <w:t>不</w:t>
      </w:r>
      <w:r>
        <w:rPr>
          <w:rFonts w:hint="eastAsia" w:ascii="宋体" w:hAnsi="宋体" w:eastAsia="宋体"/>
          <w:color w:val="auto"/>
          <w:sz w:val="21"/>
          <w:szCs w:val="21"/>
          <w:highlight w:val="none"/>
        </w:rPr>
        <w:t>接受联合体投标；投标人的单位负责人为同一人或者存在直接控股、管理关系的不同投标人，不得参加同一合同项下的采购活动。</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未被列入东实集团及下属企业工程建设领域黑名单。【以东莞实业投资控股集团有限公司发文（东实通〔2021〕44号）、（东实通〔2021〕98号）为准】</w:t>
      </w:r>
    </w:p>
    <w:p>
      <w:pPr>
        <w:bidi w:val="0"/>
        <w:rPr>
          <w:color w:val="auto"/>
          <w:highlight w:val="none"/>
        </w:rPr>
      </w:pP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2、特殊要求：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必须具有国家建设行政主管部门颁发的</w:t>
      </w:r>
      <w:r>
        <w:rPr>
          <w:rFonts w:hint="eastAsia" w:ascii="宋体" w:hAnsi="宋体"/>
          <w:color w:val="auto"/>
          <w:sz w:val="21"/>
          <w:szCs w:val="21"/>
          <w:highlight w:val="none"/>
          <w:lang w:val="en-US" w:eastAsia="zh-CN"/>
        </w:rPr>
        <w:t>有效期内</w:t>
      </w:r>
      <w:r>
        <w:rPr>
          <w:rFonts w:hint="eastAsia" w:ascii="宋体" w:hAnsi="宋体" w:eastAsia="宋体"/>
          <w:color w:val="auto"/>
          <w:sz w:val="21"/>
          <w:szCs w:val="21"/>
          <w:highlight w:val="none"/>
        </w:rPr>
        <w:t>建设工程质量检测机构资质证书（检测范围包括：地基基础工程检测、主体结构工程现场检测、见证取样检测）。</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必须具备质量技术监督局颁发的CMA计量认证合格证书，且证书在有效期内。</w:t>
      </w:r>
    </w:p>
    <w:p>
      <w:pPr>
        <w:spacing w:after="0" w:line="360" w:lineRule="auto"/>
        <w:rPr>
          <w:rFonts w:ascii="宋体" w:hAnsi="宋体" w:eastAsia="宋体"/>
          <w:color w:val="auto"/>
          <w:sz w:val="21"/>
          <w:szCs w:val="21"/>
          <w:highlight w:val="none"/>
        </w:rPr>
      </w:pPr>
    </w:p>
    <w:p>
      <w:pPr>
        <w:spacing w:after="0" w:line="360" w:lineRule="auto"/>
        <w:ind w:firstLine="413" w:firstLineChars="196"/>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三、获取招标文方式及要求：</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1、招标文件下载地址：东莞实业投资控股集团网站</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http://www.dgsy.com.cn</w:t>
      </w:r>
      <w:r>
        <w:rPr>
          <w:rFonts w:hint="eastAsia" w:ascii="宋体" w:hAnsi="宋体" w:cs="宋体"/>
          <w:color w:val="auto"/>
          <w:szCs w:val="21"/>
          <w:highlight w:val="none"/>
          <w:u w:val="single"/>
        </w:rPr>
        <w:t>）</w:t>
      </w:r>
      <w:r>
        <w:rPr>
          <w:rFonts w:hint="eastAsia" w:ascii="宋体" w:hAnsi="宋体" w:cs="宋体"/>
          <w:color w:val="auto"/>
          <w:szCs w:val="21"/>
          <w:highlight w:val="none"/>
        </w:rPr>
        <w:t>首页招标采购栏目下下载。</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2、招标文件下载时间：2021年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日至202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19</w:t>
      </w:r>
      <w:r>
        <w:rPr>
          <w:rFonts w:hint="eastAsia" w:ascii="宋体" w:hAnsi="宋体" w:cs="宋体"/>
          <w:color w:val="auto"/>
          <w:szCs w:val="21"/>
          <w:highlight w:val="none"/>
        </w:rPr>
        <w:t>日。</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3、获取招标文件时间：2021年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日至202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19</w:t>
      </w:r>
      <w:r>
        <w:rPr>
          <w:rFonts w:hint="eastAsia" w:ascii="宋体" w:hAnsi="宋体" w:cs="宋体"/>
          <w:color w:val="auto"/>
          <w:szCs w:val="21"/>
          <w:highlight w:val="none"/>
        </w:rPr>
        <w:t>日（节假日除外），上午8：30～12：00，下午14：00～17：30（北京时间）。</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4、获取招标文件方式：不进行实名登记报名。拟参加投标的投标人可自行于东莞实业投资控股集团网站</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http://www.dgsy.com.cn</w:t>
      </w:r>
      <w:r>
        <w:rPr>
          <w:rFonts w:hint="eastAsia" w:ascii="宋体" w:hAnsi="宋体" w:cs="宋体"/>
          <w:color w:val="auto"/>
          <w:szCs w:val="21"/>
          <w:highlight w:val="none"/>
          <w:u w:val="single"/>
        </w:rPr>
        <w:t>）</w:t>
      </w:r>
      <w:r>
        <w:rPr>
          <w:rFonts w:hint="eastAsia" w:ascii="宋体" w:hAnsi="宋体" w:cs="宋体"/>
          <w:color w:val="auto"/>
          <w:szCs w:val="21"/>
          <w:highlight w:val="none"/>
        </w:rPr>
        <w:t>下载招标文件。</w:t>
      </w:r>
    </w:p>
    <w:p>
      <w:pPr>
        <w:bidi w:val="0"/>
        <w:rPr>
          <w:color w:val="auto"/>
          <w:highlight w:val="none"/>
        </w:rPr>
      </w:pPr>
    </w:p>
    <w:p>
      <w:pPr>
        <w:spacing w:after="0" w:line="360" w:lineRule="auto"/>
        <w:ind w:firstLine="413" w:firstLineChars="196"/>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四、递交投标文件截止时间、投标时间及地点：</w:t>
      </w:r>
    </w:p>
    <w:p>
      <w:pPr>
        <w:ind w:firstLine="420" w:firstLineChars="200"/>
        <w:rPr>
          <w:rFonts w:ascii="宋体" w:hAnsi="宋体"/>
          <w:color w:val="auto"/>
          <w:szCs w:val="21"/>
          <w:highlight w:val="none"/>
        </w:rPr>
      </w:pPr>
      <w:r>
        <w:rPr>
          <w:rFonts w:hint="eastAsia" w:ascii="宋体" w:hAnsi="宋体"/>
          <w:color w:val="auto"/>
          <w:szCs w:val="21"/>
          <w:highlight w:val="none"/>
        </w:rPr>
        <w:t>1、递交投标文件时间：202</w:t>
      </w:r>
      <w:r>
        <w:rPr>
          <w:rFonts w:hint="eastAsia" w:ascii="宋体" w:hAnsi="宋体"/>
          <w:color w:val="auto"/>
          <w:szCs w:val="21"/>
          <w:highlight w:val="none"/>
          <w:lang w:val="en-US" w:eastAsia="zh-CN"/>
        </w:rPr>
        <w:t>2</w:t>
      </w:r>
      <w:r>
        <w:rPr>
          <w:rFonts w:ascii="宋体" w:hAnsi="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rPr>
        <w:t>日</w:t>
      </w:r>
      <w:r>
        <w:rPr>
          <w:rFonts w:hint="eastAsia" w:ascii="宋体" w:hAnsi="宋体" w:cs="宋体"/>
          <w:color w:val="auto"/>
          <w:szCs w:val="21"/>
          <w:highlight w:val="none"/>
          <w:lang w:eastAsia="zh-CN"/>
        </w:rPr>
        <w:t>（</w:t>
      </w:r>
      <w:bookmarkStart w:id="136" w:name="_GoBack"/>
      <w:bookmarkEnd w:id="136"/>
      <w:r>
        <w:rPr>
          <w:rFonts w:hint="eastAsia" w:ascii="宋体" w:hAnsi="宋体"/>
          <w:color w:val="auto"/>
          <w:szCs w:val="21"/>
          <w:highlight w:val="none"/>
        </w:rPr>
        <w:t>北京时间）</w:t>
      </w:r>
      <w:r>
        <w:rPr>
          <w:rFonts w:hint="eastAsia" w:ascii="宋体" w:hAnsi="宋体"/>
          <w:color w:val="auto"/>
          <w:szCs w:val="21"/>
          <w:highlight w:val="none"/>
          <w:u w:val="single"/>
          <w:lang w:val="en-US" w:eastAsia="zh-CN"/>
        </w:rPr>
        <w:t>09</w:t>
      </w:r>
      <w:r>
        <w:rPr>
          <w:rFonts w:hint="eastAsia" w:ascii="宋体" w:hAnsi="宋体"/>
          <w:color w:val="auto"/>
          <w:szCs w:val="21"/>
          <w:highlight w:val="none"/>
        </w:rPr>
        <w:t>:</w:t>
      </w:r>
      <w:r>
        <w:rPr>
          <w:rFonts w:hint="eastAsia" w:ascii="宋体" w:hAnsi="宋体"/>
          <w:color w:val="auto"/>
          <w:szCs w:val="21"/>
          <w:highlight w:val="none"/>
          <w:u w:val="single"/>
          <w:lang w:val="en-US" w:eastAsia="zh-CN"/>
        </w:rPr>
        <w:t>00</w:t>
      </w:r>
      <w:r>
        <w:rPr>
          <w:rFonts w:hint="eastAsia" w:ascii="宋体" w:hAnsi="宋体"/>
          <w:color w:val="auto"/>
          <w:szCs w:val="21"/>
          <w:highlight w:val="none"/>
        </w:rPr>
        <w:t>～</w:t>
      </w:r>
      <w:r>
        <w:rPr>
          <w:rFonts w:hint="eastAsia" w:ascii="宋体" w:hAnsi="宋体"/>
          <w:color w:val="auto"/>
          <w:szCs w:val="21"/>
          <w:highlight w:val="none"/>
          <w:u w:val="single"/>
          <w:lang w:val="en-US" w:eastAsia="zh-CN"/>
        </w:rPr>
        <w:t>09</w:t>
      </w:r>
      <w:r>
        <w:rPr>
          <w:rFonts w:hint="eastAsia" w:ascii="宋体" w:hAnsi="宋体"/>
          <w:color w:val="auto"/>
          <w:szCs w:val="21"/>
          <w:highlight w:val="none"/>
        </w:rPr>
        <w:t>:</w:t>
      </w:r>
      <w:r>
        <w:rPr>
          <w:rFonts w:hint="eastAsia" w:ascii="宋体" w:hAnsi="宋体"/>
          <w:color w:val="auto"/>
          <w:szCs w:val="21"/>
          <w:highlight w:val="none"/>
          <w:u w:val="single"/>
          <w:lang w:val="en-US" w:eastAsia="zh-CN"/>
        </w:rPr>
        <w:t>30</w:t>
      </w:r>
      <w:r>
        <w:rPr>
          <w:rFonts w:hint="eastAsia" w:ascii="宋体" w:hAnsi="宋体"/>
          <w:color w:val="auto"/>
          <w:szCs w:val="21"/>
          <w:highlight w:val="none"/>
        </w:rPr>
        <w:t>。</w:t>
      </w:r>
    </w:p>
    <w:p>
      <w:pPr>
        <w:ind w:firstLine="420" w:firstLineChars="200"/>
        <w:rPr>
          <w:rFonts w:ascii="宋体" w:hAnsi="宋体"/>
          <w:b/>
          <w:color w:val="auto"/>
          <w:szCs w:val="21"/>
          <w:highlight w:val="none"/>
        </w:rPr>
      </w:pPr>
      <w:r>
        <w:rPr>
          <w:rFonts w:hint="eastAsia" w:ascii="宋体" w:hAnsi="宋体"/>
          <w:color w:val="auto"/>
          <w:szCs w:val="21"/>
          <w:highlight w:val="none"/>
        </w:rPr>
        <w:t>2、递交投标文件</w:t>
      </w:r>
      <w:r>
        <w:rPr>
          <w:rFonts w:ascii="宋体" w:hAnsi="宋体"/>
          <w:color w:val="auto"/>
          <w:szCs w:val="21"/>
          <w:highlight w:val="none"/>
        </w:rPr>
        <w:t>截止</w:t>
      </w:r>
      <w:r>
        <w:rPr>
          <w:rFonts w:hint="eastAsia" w:ascii="宋体" w:hAnsi="宋体"/>
          <w:color w:val="auto"/>
          <w:szCs w:val="21"/>
          <w:highlight w:val="none"/>
        </w:rPr>
        <w:t>及开标时间：202</w:t>
      </w:r>
      <w:r>
        <w:rPr>
          <w:rFonts w:hint="eastAsia" w:ascii="宋体" w:hAnsi="宋体"/>
          <w:color w:val="auto"/>
          <w:szCs w:val="21"/>
          <w:highlight w:val="none"/>
          <w:lang w:val="en-US" w:eastAsia="zh-CN"/>
        </w:rPr>
        <w:t>2</w:t>
      </w:r>
      <w:r>
        <w:rPr>
          <w:rFonts w:ascii="宋体" w:hAnsi="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rPr>
        <w:t>日</w:t>
      </w:r>
      <w:r>
        <w:rPr>
          <w:rFonts w:hint="eastAsia" w:ascii="宋体" w:hAnsi="宋体"/>
          <w:color w:val="auto"/>
          <w:szCs w:val="21"/>
          <w:highlight w:val="none"/>
          <w:u w:val="single"/>
          <w:lang w:val="en-US" w:eastAsia="zh-CN"/>
        </w:rPr>
        <w:t>09</w:t>
      </w:r>
      <w:r>
        <w:rPr>
          <w:rFonts w:hint="eastAsia" w:ascii="宋体" w:hAnsi="宋体"/>
          <w:color w:val="auto"/>
          <w:szCs w:val="21"/>
          <w:highlight w:val="none"/>
        </w:rPr>
        <w:t>:</w:t>
      </w:r>
      <w:r>
        <w:rPr>
          <w:rFonts w:hint="eastAsia" w:ascii="宋体" w:hAnsi="宋体"/>
          <w:color w:val="auto"/>
          <w:szCs w:val="21"/>
          <w:highlight w:val="none"/>
          <w:u w:val="single"/>
          <w:lang w:val="en-US" w:eastAsia="zh-CN"/>
        </w:rPr>
        <w:t>30</w:t>
      </w:r>
      <w:r>
        <w:rPr>
          <w:rFonts w:hint="eastAsia" w:ascii="宋体" w:hAnsi="宋体"/>
          <w:color w:val="auto"/>
          <w:szCs w:val="21"/>
          <w:highlight w:val="none"/>
        </w:rPr>
        <w:t>（北京时间），所有投标文件应于截止时间之前递交，迟交或以电报、传真形式的投标文件将拒绝接收。</w:t>
      </w:r>
      <w:r>
        <w:rPr>
          <w:rFonts w:hint="eastAsia" w:ascii="宋体" w:hAnsi="宋体"/>
          <w:b/>
          <w:color w:val="auto"/>
          <w:szCs w:val="21"/>
          <w:highlight w:val="none"/>
        </w:rPr>
        <w:t>届时请投标人的法定代表人或其授权代表务必携带有效身份证明出席开标会议。</w:t>
      </w:r>
    </w:p>
    <w:p>
      <w:pPr>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开标地点</w:t>
      </w:r>
      <w:r>
        <w:rPr>
          <w:rFonts w:hint="eastAsia" w:ascii="宋体" w:hAnsi="宋体"/>
          <w:color w:val="auto"/>
          <w:szCs w:val="21"/>
          <w:highlight w:val="none"/>
        </w:rPr>
        <w:t>：</w:t>
      </w:r>
      <w:r>
        <w:rPr>
          <w:rFonts w:hint="eastAsia" w:ascii="宋体" w:hAnsi="宋体"/>
          <w:color w:val="auto"/>
          <w:szCs w:val="21"/>
          <w:highlight w:val="none"/>
          <w:lang w:eastAsia="zh-CN"/>
        </w:rPr>
        <w:t>东莞市南城街道鸿福路199号（市民服务中心）411室</w:t>
      </w:r>
      <w:r>
        <w:rPr>
          <w:rFonts w:hint="eastAsia" w:ascii="宋体" w:hAnsi="宋体"/>
          <w:color w:val="auto"/>
          <w:szCs w:val="21"/>
          <w:highlight w:val="none"/>
        </w:rPr>
        <w:t>。</w:t>
      </w:r>
    </w:p>
    <w:p>
      <w:pPr>
        <w:spacing w:after="0" w:line="360" w:lineRule="auto"/>
        <w:ind w:firstLine="411" w:firstLineChars="196"/>
        <w:rPr>
          <w:rFonts w:ascii="宋体" w:hAnsi="宋体" w:eastAsia="宋体"/>
          <w:bCs/>
          <w:color w:val="auto"/>
          <w:sz w:val="21"/>
          <w:szCs w:val="21"/>
          <w:highlight w:val="none"/>
        </w:rPr>
      </w:pPr>
    </w:p>
    <w:p>
      <w:pPr>
        <w:spacing w:after="0" w:line="360" w:lineRule="auto"/>
        <w:ind w:firstLine="413" w:firstLineChars="196"/>
        <w:rPr>
          <w:rFonts w:ascii="宋体" w:hAnsi="宋体" w:eastAsia="宋体"/>
          <w:bCs/>
          <w:color w:val="auto"/>
          <w:sz w:val="21"/>
          <w:szCs w:val="21"/>
          <w:highlight w:val="none"/>
        </w:rPr>
      </w:pPr>
      <w:r>
        <w:rPr>
          <w:rFonts w:hint="eastAsia" w:ascii="宋体" w:hAnsi="宋体" w:eastAsia="宋体"/>
          <w:b/>
          <w:color w:val="auto"/>
          <w:sz w:val="21"/>
          <w:szCs w:val="21"/>
          <w:highlight w:val="none"/>
        </w:rPr>
        <w:t>五、采购人及采购代理机构的名称、地址和联系方法：</w:t>
      </w:r>
    </w:p>
    <w:p>
      <w:pPr>
        <w:spacing w:after="0" w:line="360" w:lineRule="auto"/>
        <w:ind w:firstLine="420" w:firstLineChars="200"/>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采购人联系人：</w:t>
      </w:r>
      <w:r>
        <w:rPr>
          <w:rFonts w:hint="eastAsia" w:ascii="宋体" w:hAnsi="宋体" w:eastAsia="宋体"/>
          <w:bCs/>
          <w:color w:val="auto"/>
          <w:sz w:val="21"/>
          <w:szCs w:val="21"/>
          <w:highlight w:val="none"/>
          <w:lang w:val="en-US" w:eastAsia="zh-CN"/>
        </w:rPr>
        <w:t>段工</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地址：</w:t>
      </w:r>
      <w:r>
        <w:rPr>
          <w:rFonts w:hint="eastAsia" w:hAnsi="宋体"/>
          <w:color w:val="auto"/>
          <w:sz w:val="21"/>
          <w:szCs w:val="21"/>
          <w:highlight w:val="none"/>
        </w:rPr>
        <w:t>东莞市东城八一路1号机关二号大院9号楼</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联系电话：0769-28822831</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采购代理机构名称：</w:t>
      </w:r>
      <w:r>
        <w:rPr>
          <w:rFonts w:hint="eastAsia" w:ascii="宋体" w:hAnsi="宋体" w:eastAsia="宋体"/>
          <w:color w:val="auto"/>
          <w:sz w:val="21"/>
          <w:szCs w:val="21"/>
          <w:highlight w:val="none"/>
          <w:lang w:eastAsia="zh-CN"/>
        </w:rPr>
        <w:t>广东政通招标有限公司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w:t>
      </w:r>
      <w:r>
        <w:rPr>
          <w:rFonts w:hint="eastAsia" w:ascii="宋体" w:hAnsi="宋体"/>
          <w:color w:val="auto"/>
          <w:sz w:val="21"/>
          <w:szCs w:val="21"/>
          <w:highlight w:val="none"/>
          <w:lang w:eastAsia="zh-CN"/>
        </w:rPr>
        <w:t>东莞市南城街道鸿福路199号（市民服务中心）411室</w:t>
      </w:r>
      <w:r>
        <w:rPr>
          <w:rFonts w:hint="eastAsia" w:ascii="宋体" w:hAnsi="宋体" w:eastAsia="宋体"/>
          <w:color w:val="auto"/>
          <w:sz w:val="21"/>
          <w:szCs w:val="21"/>
          <w:highlight w:val="none"/>
        </w:rPr>
        <w:t>。</w:t>
      </w:r>
    </w:p>
    <w:p>
      <w:pPr>
        <w:spacing w:after="0"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val="en-US" w:eastAsia="zh-CN"/>
        </w:rPr>
        <w:t>杨工、薛工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hint="default" w:eastAsia="宋体"/>
          <w:color w:val="auto"/>
          <w:highlight w:val="none"/>
          <w:lang w:val="en-US" w:eastAsia="zh-CN"/>
        </w:rPr>
      </w:pPr>
      <w:r>
        <w:rPr>
          <w:rFonts w:hint="eastAsia" w:ascii="宋体" w:hAnsi="宋体" w:eastAsia="宋体"/>
          <w:color w:val="auto"/>
          <w:sz w:val="21"/>
          <w:szCs w:val="21"/>
          <w:highlight w:val="none"/>
        </w:rPr>
        <w:t>E－ mail：</w:t>
      </w:r>
      <w:r>
        <w:rPr>
          <w:rFonts w:hint="eastAsia" w:ascii="宋体" w:hAnsi="宋体" w:eastAsia="宋体"/>
          <w:color w:val="auto"/>
          <w:sz w:val="21"/>
          <w:szCs w:val="21"/>
          <w:highlight w:val="none"/>
          <w:lang w:val="en-US" w:eastAsia="zh-CN"/>
        </w:rPr>
        <w:t>471539976@qq.com</w:t>
      </w:r>
    </w:p>
    <w:p>
      <w:pPr>
        <w:spacing w:after="0" w:line="360" w:lineRule="auto"/>
        <w:ind w:firstLine="420" w:firstLineChars="200"/>
        <w:rPr>
          <w:rFonts w:eastAsia="宋体"/>
          <w:color w:val="auto"/>
          <w:highlight w:val="none"/>
        </w:rPr>
      </w:pPr>
    </w:p>
    <w:p>
      <w:pPr>
        <w:spacing w:line="360" w:lineRule="auto"/>
        <w:ind w:right="752" w:rightChars="358"/>
        <w:jc w:val="right"/>
        <w:rPr>
          <w:color w:val="auto"/>
          <w:highlight w:val="none"/>
        </w:rPr>
      </w:pPr>
    </w:p>
    <w:p>
      <w:pPr>
        <w:spacing w:line="360" w:lineRule="auto"/>
        <w:ind w:right="752" w:rightChars="358"/>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广东政通招标有限公司</w:t>
      </w:r>
    </w:p>
    <w:p>
      <w:pPr>
        <w:spacing w:line="360" w:lineRule="auto"/>
        <w:ind w:right="752" w:rightChars="358"/>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p>
    <w:p>
      <w:pPr>
        <w:ind w:left="6205"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pPr>
        <w:pStyle w:val="5"/>
        <w:spacing w:before="0" w:after="0" w:line="240" w:lineRule="auto"/>
        <w:rPr>
          <w:color w:val="auto"/>
          <w:sz w:val="28"/>
          <w:szCs w:val="28"/>
          <w:highlight w:val="none"/>
        </w:rPr>
      </w:pPr>
      <w:bookmarkStart w:id="1" w:name="_Toc74645193"/>
      <w:r>
        <w:rPr>
          <w:rFonts w:hint="eastAsia"/>
          <w:color w:val="auto"/>
          <w:sz w:val="28"/>
          <w:szCs w:val="28"/>
          <w:highlight w:val="none"/>
        </w:rPr>
        <w:t>第二部分相关资料表格</w:t>
      </w:r>
      <w:bookmarkEnd w:id="1"/>
    </w:p>
    <w:p>
      <w:pPr>
        <w:pStyle w:val="6"/>
        <w:spacing w:before="0" w:after="0" w:line="240" w:lineRule="auto"/>
        <w:jc w:val="center"/>
        <w:rPr>
          <w:rFonts w:ascii="宋体" w:hAnsi="宋体" w:eastAsia="宋体" w:cs="宋体"/>
          <w:color w:val="auto"/>
          <w:sz w:val="24"/>
          <w:szCs w:val="24"/>
          <w:highlight w:val="none"/>
        </w:rPr>
      </w:pPr>
      <w:bookmarkStart w:id="2" w:name="_Toc74645194"/>
      <w:r>
        <w:rPr>
          <w:rFonts w:hint="eastAsia" w:ascii="宋体" w:hAnsi="宋体" w:eastAsia="宋体" w:cs="宋体"/>
          <w:color w:val="auto"/>
          <w:sz w:val="24"/>
          <w:szCs w:val="24"/>
          <w:highlight w:val="none"/>
        </w:rPr>
        <w:t>附表一：投标资料表</w:t>
      </w:r>
      <w:bookmarkEnd w:id="2"/>
    </w:p>
    <w:tbl>
      <w:tblPr>
        <w:tblStyle w:val="21"/>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1883"/>
        <w:gridCol w:w="725"/>
        <w:gridCol w:w="1158"/>
        <w:gridCol w:w="1883"/>
        <w:gridCol w:w="1883"/>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cantSplit/>
          <w:trHeight w:val="551" w:hRule="atLeast"/>
        </w:trPr>
        <w:tc>
          <w:tcPr>
            <w:tcW w:w="8410" w:type="dxa"/>
            <w:gridSpan w:val="6"/>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5"/>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7532" w:type="dxa"/>
            <w:gridSpan w:val="5"/>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rPr>
                <w:rFonts w:ascii="宋体" w:hAnsi="宋体" w:eastAsia="宋体"/>
                <w:b/>
                <w:bCs/>
                <w:color w:val="auto"/>
                <w:sz w:val="21"/>
                <w:szCs w:val="21"/>
                <w:highlight w:val="none"/>
              </w:rPr>
            </w:pPr>
            <w:r>
              <w:rPr>
                <w:rFonts w:hint="eastAsia" w:ascii="宋体" w:hAnsi="宋体" w:eastAsia="宋体"/>
                <w:color w:val="auto"/>
                <w:sz w:val="21"/>
                <w:szCs w:val="21"/>
                <w:highlight w:val="none"/>
              </w:rPr>
              <w:t>自有资金。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3</w:t>
            </w:r>
          </w:p>
        </w:tc>
        <w:tc>
          <w:tcPr>
            <w:tcW w:w="7532" w:type="dxa"/>
            <w:gridSpan w:val="5"/>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60"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4</w:t>
            </w:r>
          </w:p>
        </w:tc>
        <w:tc>
          <w:tcPr>
            <w:tcW w:w="7532"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1883"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lang w:eastAsia="zh-CN"/>
              </w:rPr>
              <w:t>政通招标网</w:t>
            </w:r>
          </w:p>
        </w:tc>
        <w:tc>
          <w:tcPr>
            <w:tcW w:w="1883" w:type="dxa"/>
            <w:gridSpan w:val="2"/>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rPr>
              <w:t>东实集团门户网站</w:t>
            </w:r>
          </w:p>
        </w:tc>
        <w:tc>
          <w:tcPr>
            <w:tcW w:w="1883"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lang w:val="zh-CN"/>
              </w:rPr>
              <w:t>东莞市公共资源交易网</w:t>
            </w:r>
          </w:p>
        </w:tc>
        <w:tc>
          <w:tcPr>
            <w:tcW w:w="1883"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中国招标投标公共服务平台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1883" w:type="dxa"/>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Cs/>
                <w:color w:val="auto"/>
                <w:sz w:val="21"/>
                <w:szCs w:val="21"/>
                <w:highlight w:val="none"/>
                <w:lang w:eastAsia="zh-CN"/>
              </w:rPr>
              <w:t>http://www.zttendering.com/</w:t>
            </w:r>
          </w:p>
        </w:tc>
        <w:tc>
          <w:tcPr>
            <w:tcW w:w="1883" w:type="dxa"/>
            <w:gridSpan w:val="2"/>
            <w:vAlign w:val="center"/>
          </w:tcPr>
          <w:p>
            <w:pPr>
              <w:spacing w:after="0"/>
              <w:jc w:val="center"/>
              <w:rPr>
                <w:rFonts w:hint="eastAsia" w:ascii="宋体" w:hAnsi="宋体" w:eastAsia="宋体"/>
                <w:bCs/>
                <w:color w:val="auto"/>
                <w:sz w:val="21"/>
                <w:szCs w:val="21"/>
                <w:highlight w:val="none"/>
                <w:lang w:eastAsia="zh-CN"/>
              </w:rPr>
            </w:pPr>
            <w:r>
              <w:rPr>
                <w:rFonts w:hint="eastAsia" w:ascii="宋体" w:hAnsi="宋体" w:eastAsia="宋体"/>
                <w:bCs/>
                <w:color w:val="auto"/>
                <w:sz w:val="21"/>
                <w:szCs w:val="21"/>
                <w:highlight w:val="none"/>
              </w:rPr>
              <w:t>http://www.dgsy.com.cn</w:t>
            </w:r>
          </w:p>
        </w:tc>
        <w:tc>
          <w:tcPr>
            <w:tcW w:w="1883" w:type="dxa"/>
            <w:vAlign w:val="center"/>
          </w:tcPr>
          <w:p>
            <w:pPr>
              <w:spacing w:after="0"/>
              <w:jc w:val="center"/>
              <w:rPr>
                <w:rFonts w:ascii="宋体" w:hAnsi="宋体" w:eastAsia="宋体"/>
                <w:b/>
                <w:color w:val="auto"/>
                <w:sz w:val="21"/>
                <w:szCs w:val="21"/>
                <w:highlight w:val="none"/>
              </w:rPr>
            </w:pPr>
            <w:r>
              <w:rPr>
                <w:rFonts w:hint="eastAsia" w:ascii="宋体" w:hAnsi="宋体" w:eastAsia="宋体"/>
                <w:bCs/>
                <w:color w:val="auto"/>
                <w:sz w:val="21"/>
                <w:szCs w:val="21"/>
                <w:highlight w:val="none"/>
              </w:rPr>
              <w:t>http://ggzy.dg.gov.cn</w:t>
            </w:r>
          </w:p>
        </w:tc>
        <w:tc>
          <w:tcPr>
            <w:tcW w:w="1883" w:type="dxa"/>
            <w:vAlign w:val="center"/>
          </w:tcPr>
          <w:p>
            <w:pPr>
              <w:spacing w:after="0"/>
              <w:jc w:val="center"/>
              <w:rPr>
                <w:rFonts w:ascii="宋体" w:hAnsi="宋体" w:eastAsia="宋体"/>
                <w:bCs/>
                <w:color w:val="auto"/>
                <w:sz w:val="21"/>
                <w:szCs w:val="21"/>
                <w:highlight w:val="none"/>
              </w:rPr>
            </w:pPr>
            <w:r>
              <w:rPr>
                <w:rFonts w:ascii="宋体" w:hAnsi="宋体" w:eastAsia="宋体"/>
                <w:bCs/>
                <w:color w:val="auto"/>
                <w:sz w:val="21"/>
                <w:szCs w:val="21"/>
                <w:highlight w:val="none"/>
              </w:rPr>
              <w:t>http://www.cebpubservice.com</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629" w:hRule="atLeast"/>
        </w:trPr>
        <w:tc>
          <w:tcPr>
            <w:tcW w:w="8410" w:type="dxa"/>
            <w:gridSpan w:val="6"/>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5</w:t>
            </w:r>
          </w:p>
        </w:tc>
        <w:tc>
          <w:tcPr>
            <w:tcW w:w="7532" w:type="dxa"/>
            <w:gridSpan w:val="5"/>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6</w:t>
            </w: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0"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7</w:t>
            </w: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（1）投标保证金金额：人民币</w:t>
            </w:r>
            <w:r>
              <w:rPr>
                <w:rFonts w:hint="eastAsia" w:ascii="宋体" w:hAnsi="宋体"/>
                <w:b/>
                <w:color w:val="auto"/>
                <w:sz w:val="21"/>
                <w:szCs w:val="21"/>
                <w:highlight w:val="none"/>
                <w:lang w:val="en-US" w:eastAsia="zh-CN"/>
              </w:rPr>
              <w:t>壹万肆仟</w:t>
            </w:r>
            <w:r>
              <w:rPr>
                <w:rFonts w:hint="eastAsia" w:ascii="宋体" w:hAnsi="宋体" w:eastAsia="宋体"/>
                <w:color w:val="auto"/>
                <w:sz w:val="21"/>
                <w:szCs w:val="21"/>
                <w:highlight w:val="none"/>
              </w:rPr>
              <w:t>元整（￥</w:t>
            </w:r>
            <w:r>
              <w:rPr>
                <w:rFonts w:hint="eastAsia" w:ascii="宋体" w:hAnsi="宋体"/>
                <w:b/>
                <w:color w:val="auto"/>
                <w:sz w:val="21"/>
                <w:szCs w:val="21"/>
                <w:highlight w:val="none"/>
                <w:lang w:val="en-US" w:eastAsia="zh-CN"/>
              </w:rPr>
              <w:t>14,000.00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2503"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tabs>
                <w:tab w:val="left" w:pos="567"/>
              </w:tabs>
              <w:spacing w:line="360" w:lineRule="auto"/>
              <w:jc w:val="both"/>
              <w:rPr>
                <w:rFonts w:hAnsi="宋体"/>
                <w:color w:val="auto"/>
                <w:kern w:val="2"/>
                <w:sz w:val="21"/>
                <w:szCs w:val="21"/>
                <w:highlight w:val="none"/>
                <w:lang w:val="zh-CN"/>
              </w:rPr>
            </w:pPr>
            <w:r>
              <w:rPr>
                <w:rFonts w:hint="eastAsia" w:ascii="宋体" w:hAnsi="宋体" w:eastAsia="宋体"/>
                <w:color w:val="auto"/>
                <w:sz w:val="21"/>
                <w:szCs w:val="21"/>
                <w:highlight w:val="none"/>
              </w:rPr>
              <w:t>（2）</w:t>
            </w:r>
            <w:r>
              <w:rPr>
                <w:rFonts w:hint="eastAsia" w:hAnsi="宋体"/>
                <w:color w:val="auto"/>
                <w:kern w:val="2"/>
                <w:sz w:val="21"/>
                <w:szCs w:val="21"/>
                <w:highlight w:val="none"/>
                <w:lang w:val="zh-CN"/>
              </w:rPr>
              <w:t>投标保证金采用转帐、电汇方式（本项目不接受保函）方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pPr>
              <w:tabs>
                <w:tab w:val="left" w:pos="567"/>
              </w:tabs>
              <w:spacing w:line="360" w:lineRule="auto"/>
              <w:ind w:left="567" w:hanging="567"/>
              <w:jc w:val="both"/>
              <w:rPr>
                <w:rFonts w:hint="eastAsia" w:hAnsi="宋体"/>
                <w:color w:val="auto"/>
                <w:kern w:val="2"/>
                <w:sz w:val="21"/>
                <w:szCs w:val="21"/>
                <w:highlight w:val="none"/>
                <w:lang w:val="zh-CN"/>
              </w:rPr>
            </w:pPr>
            <w:r>
              <w:rPr>
                <w:rFonts w:hint="eastAsia" w:hAnsi="宋体"/>
                <w:color w:val="auto"/>
                <w:kern w:val="2"/>
                <w:sz w:val="21"/>
                <w:szCs w:val="21"/>
                <w:highlight w:val="none"/>
                <w:lang w:val="zh-CN"/>
              </w:rPr>
              <w:t>投标保证金专用账户如下：</w:t>
            </w:r>
          </w:p>
          <w:p>
            <w:pPr>
              <w:tabs>
                <w:tab w:val="left" w:pos="567"/>
              </w:tabs>
              <w:spacing w:line="360" w:lineRule="auto"/>
              <w:ind w:firstLine="420" w:firstLineChars="200"/>
              <w:jc w:val="both"/>
              <w:rPr>
                <w:rFonts w:hint="eastAsia" w:hAnsi="宋体" w:cs="宋体"/>
                <w:color w:val="auto"/>
                <w:kern w:val="2"/>
                <w:sz w:val="21"/>
                <w:szCs w:val="21"/>
                <w:highlight w:val="none"/>
                <w:lang w:val="zh-CN"/>
              </w:rPr>
            </w:pPr>
            <w:r>
              <w:rPr>
                <w:rFonts w:hint="eastAsia" w:hAnsi="宋体" w:cs="宋体"/>
                <w:color w:val="auto"/>
                <w:kern w:val="2"/>
                <w:sz w:val="21"/>
                <w:szCs w:val="21"/>
                <w:highlight w:val="none"/>
                <w:lang w:val="zh-CN"/>
              </w:rPr>
              <w:t>帐户名称：东莞实业投资控股集团有限公司</w:t>
            </w:r>
          </w:p>
          <w:p>
            <w:pPr>
              <w:tabs>
                <w:tab w:val="left" w:pos="567"/>
              </w:tabs>
              <w:spacing w:line="360" w:lineRule="auto"/>
              <w:ind w:firstLine="420" w:firstLineChars="200"/>
              <w:jc w:val="both"/>
              <w:rPr>
                <w:rFonts w:hint="eastAsia" w:hAnsi="宋体" w:cs="宋体"/>
                <w:color w:val="auto"/>
                <w:kern w:val="2"/>
                <w:sz w:val="21"/>
                <w:szCs w:val="21"/>
                <w:highlight w:val="none"/>
                <w:lang w:val="zh-CN"/>
              </w:rPr>
            </w:pPr>
            <w:r>
              <w:rPr>
                <w:rFonts w:hint="eastAsia" w:hAnsi="宋体" w:cs="宋体"/>
                <w:color w:val="auto"/>
                <w:kern w:val="2"/>
                <w:sz w:val="21"/>
                <w:szCs w:val="21"/>
                <w:highlight w:val="none"/>
                <w:lang w:val="zh-CN"/>
              </w:rPr>
              <w:t>开户银行：中国邮政储蓄银行东莞市分行</w:t>
            </w:r>
          </w:p>
          <w:p>
            <w:pPr>
              <w:spacing w:after="0"/>
              <w:ind w:firstLine="420" w:firstLineChars="200"/>
              <w:jc w:val="both"/>
              <w:rPr>
                <w:rFonts w:ascii="宋体" w:hAnsi="宋体" w:eastAsia="宋体"/>
                <w:b/>
                <w:color w:val="auto"/>
                <w:sz w:val="21"/>
                <w:szCs w:val="21"/>
                <w:highlight w:val="none"/>
              </w:rPr>
            </w:pPr>
            <w:r>
              <w:rPr>
                <w:rFonts w:hint="eastAsia" w:ascii="宋体" w:eastAsia="宋体" w:cs="宋体"/>
                <w:color w:val="auto"/>
                <w:sz w:val="21"/>
                <w:szCs w:val="21"/>
                <w:highlight w:val="none"/>
                <w:lang w:val="zh-CN"/>
              </w:rPr>
              <w:t>银行帐号：100899920180018888</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p>
        </w:tc>
        <w:tc>
          <w:tcPr>
            <w:tcW w:w="7532" w:type="dxa"/>
            <w:gridSpan w:val="5"/>
            <w:vAlign w:val="center"/>
          </w:tcPr>
          <w:p>
            <w:pPr>
              <w:spacing w:after="0"/>
              <w:jc w:val="both"/>
              <w:rPr>
                <w:rFonts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）未中标的投标人的保证金应当在中标通知书发出后5个工作日内退还，中标</w:t>
            </w:r>
            <w:r>
              <w:rPr>
                <w:rFonts w:hint="eastAsia" w:ascii="宋体" w:hAnsi="宋体"/>
                <w:color w:val="auto"/>
                <w:sz w:val="21"/>
                <w:szCs w:val="21"/>
                <w:highlight w:val="none"/>
                <w:lang w:val="en-US" w:eastAsia="zh-CN"/>
              </w:rPr>
              <w:t>的</w:t>
            </w:r>
            <w:r>
              <w:rPr>
                <w:rFonts w:hint="eastAsia" w:ascii="宋体" w:hAnsi="宋体" w:eastAsia="宋体"/>
                <w:color w:val="auto"/>
                <w:sz w:val="21"/>
                <w:szCs w:val="21"/>
                <w:highlight w:val="none"/>
                <w:lang w:val="zh-CN"/>
              </w:rPr>
              <w:t>投标人的保证金应当在采购合同签订后5个工作日内退还。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w:t>
            </w:r>
            <w:r>
              <w:rPr>
                <w:rFonts w:hint="eastAsia" w:ascii="宋体" w:hAnsi="宋体"/>
                <w:color w:val="auto"/>
                <w:sz w:val="21"/>
                <w:szCs w:val="21"/>
                <w:highlight w:val="none"/>
                <w:lang w:val="zh-CN"/>
              </w:rPr>
              <w:t>投标人</w:t>
            </w:r>
            <w:r>
              <w:rPr>
                <w:rFonts w:hint="eastAsia" w:ascii="宋体" w:hAnsi="宋体" w:eastAsia="宋体"/>
                <w:color w:val="auto"/>
                <w:sz w:val="21"/>
                <w:szCs w:val="21"/>
                <w:highlight w:val="none"/>
                <w:lang w:val="zh-CN"/>
              </w:rPr>
              <w:t>的保证金，投标人应制作《投标保证金汇入情况说明》随开标文件一并递交。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）投标保证金退还联系电话：</w:t>
            </w:r>
            <w:r>
              <w:rPr>
                <w:rFonts w:hint="eastAsia" w:ascii="宋体" w:hAnsi="宋体" w:eastAsia="宋体"/>
                <w:color w:val="auto"/>
                <w:sz w:val="21"/>
                <w:szCs w:val="21"/>
                <w:highlight w:val="none"/>
              </w:rPr>
              <w:t>0769-</w:t>
            </w:r>
            <w:r>
              <w:rPr>
                <w:rFonts w:hint="eastAsia" w:ascii="宋体" w:hAnsi="宋体" w:eastAsia="宋体"/>
                <w:color w:val="auto"/>
                <w:sz w:val="21"/>
                <w:szCs w:val="21"/>
                <w:highlight w:val="none"/>
                <w:lang w:eastAsia="zh-CN"/>
              </w:rPr>
              <w:t>22881803</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9</w:t>
            </w: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94"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0</w:t>
            </w:r>
          </w:p>
        </w:tc>
        <w:tc>
          <w:tcPr>
            <w:tcW w:w="7532" w:type="dxa"/>
            <w:gridSpan w:val="5"/>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rPr>
              <w:t>投标人应提交以下投标文件</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投标文件由价格文件、商务技术文件两部部分组成；其中价格文件单独装订成册，商务技术文件单独装订成册</w:t>
            </w:r>
            <w:r>
              <w:rPr>
                <w:rFonts w:hint="eastAsia" w:ascii="宋体" w:hAnsi="宋体"/>
                <w:b/>
                <w:color w:val="auto"/>
                <w:sz w:val="21"/>
                <w:szCs w:val="21"/>
                <w:highlight w:val="none"/>
                <w:lang w:eastAsia="zh-CN"/>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开标文件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7"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val="en-US" w:eastAsia="zh-CN"/>
              </w:rPr>
              <w:t>7</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gridSpan w:val="2"/>
            <w:vMerge w:val="restart"/>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gridSpan w:val="2"/>
            <w:vMerge w:val="continue"/>
            <w:vAlign w:val="center"/>
          </w:tcPr>
          <w:p>
            <w:pPr>
              <w:spacing w:after="0"/>
              <w:jc w:val="center"/>
              <w:rPr>
                <w:rFonts w:ascii="宋体" w:hAnsi="宋体" w:eastAsia="宋体"/>
                <w:b/>
                <w:color w:val="auto"/>
                <w:sz w:val="21"/>
                <w:szCs w:val="21"/>
                <w:highlight w:val="none"/>
              </w:rPr>
            </w:pP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cs="Times New Roman"/>
                <w:b/>
                <w:color w:val="auto"/>
                <w:sz w:val="21"/>
                <w:szCs w:val="21"/>
                <w:highlight w:val="none"/>
              </w:rPr>
              <w:t>U盘，须含盖章版PDF投标文件和WORD版投标文件各一版，文字采用WORD文档，计算表格采用 EXCEL文档。</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6"/>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1</w:t>
            </w:r>
          </w:p>
        </w:tc>
        <w:tc>
          <w:tcPr>
            <w:tcW w:w="7532" w:type="dxa"/>
            <w:gridSpan w:val="5"/>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2</w:t>
            </w: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748" w:hRule="atLeast"/>
        </w:trPr>
        <w:tc>
          <w:tcPr>
            <w:tcW w:w="8410" w:type="dxa"/>
            <w:gridSpan w:val="6"/>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539"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3</w:t>
            </w:r>
          </w:p>
        </w:tc>
        <w:tc>
          <w:tcPr>
            <w:tcW w:w="7532" w:type="dxa"/>
            <w:gridSpan w:val="5"/>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shd w:val="clear" w:color="auto" w:fill="auto"/>
            <w:vAlign w:val="center"/>
          </w:tcPr>
          <w:p>
            <w:pPr>
              <w:spacing w:after="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履约保证金形式：采用银行转账或者以专业担保机构、金融机构出具的担保函的形式。</w:t>
            </w:r>
          </w:p>
          <w:p>
            <w:pPr>
              <w:spacing w:after="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履约保证金金额：人民币</w:t>
            </w:r>
            <w:r>
              <w:rPr>
                <w:rFonts w:hint="eastAsia" w:ascii="宋体" w:hAnsi="宋体" w:eastAsia="宋体"/>
                <w:color w:val="auto"/>
                <w:sz w:val="21"/>
                <w:szCs w:val="21"/>
                <w:highlight w:val="none"/>
                <w:lang w:val="en-US" w:eastAsia="zh-CN"/>
              </w:rPr>
              <w:t>叁万</w:t>
            </w:r>
            <w:r>
              <w:rPr>
                <w:rFonts w:hint="eastAsia" w:ascii="宋体" w:hAnsi="宋体" w:eastAsia="宋体"/>
                <w:color w:val="auto"/>
                <w:sz w:val="21"/>
                <w:szCs w:val="21"/>
                <w:highlight w:val="none"/>
              </w:rPr>
              <w:t>元整（¥</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0,000.00元）</w:t>
            </w:r>
          </w:p>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履约保证金账户：采购人指定账户(单位基本账户)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4</w:t>
            </w: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213"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本项目中标服务费由采购人支付。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6"/>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jc w:val="center"/>
        <w:rPr>
          <w:color w:val="auto"/>
          <w:highlight w:val="none"/>
        </w:rPr>
      </w:pPr>
      <w:r>
        <w:rPr>
          <w:rFonts w:hint="eastAsia"/>
          <w:color w:val="auto"/>
          <w:highlight w:val="none"/>
        </w:rPr>
        <w:br w:type="page"/>
      </w:r>
    </w:p>
    <w:p>
      <w:pPr>
        <w:pStyle w:val="6"/>
        <w:spacing w:before="0" w:after="0" w:line="240" w:lineRule="auto"/>
        <w:jc w:val="center"/>
        <w:rPr>
          <w:rFonts w:ascii="宋体" w:hAnsi="宋体" w:eastAsia="宋体" w:cs="宋体"/>
          <w:color w:val="auto"/>
          <w:sz w:val="24"/>
          <w:szCs w:val="24"/>
          <w:highlight w:val="none"/>
        </w:rPr>
      </w:pPr>
      <w:bookmarkStart w:id="3" w:name="_Toc74645195"/>
      <w:r>
        <w:rPr>
          <w:rFonts w:hint="eastAsia" w:ascii="宋体" w:hAnsi="宋体" w:eastAsia="宋体" w:cs="宋体"/>
          <w:color w:val="auto"/>
          <w:sz w:val="24"/>
          <w:szCs w:val="24"/>
          <w:highlight w:val="none"/>
        </w:rPr>
        <w:t>附表二：</w:t>
      </w:r>
      <w:bookmarkEnd w:id="3"/>
      <w:r>
        <w:rPr>
          <w:rFonts w:hint="eastAsia" w:ascii="宋体" w:hAnsi="宋体" w:eastAsia="宋体" w:cs="宋体"/>
          <w:color w:val="auto"/>
          <w:sz w:val="24"/>
          <w:szCs w:val="24"/>
          <w:highlight w:val="none"/>
        </w:rPr>
        <w:t>商务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技术评分权重表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满分100分</w:t>
      </w:r>
      <w:r>
        <w:rPr>
          <w:rFonts w:hint="eastAsia" w:ascii="宋体" w:hAnsi="宋体" w:cs="宋体"/>
          <w:color w:val="auto"/>
          <w:sz w:val="24"/>
          <w:szCs w:val="24"/>
          <w:highlight w:val="none"/>
          <w:lang w:eastAsia="zh-CN"/>
        </w:rPr>
        <w:t>）</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664"/>
        <w:gridCol w:w="872"/>
        <w:gridCol w:w="5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92" w:type="pct"/>
            <w:vAlign w:val="center"/>
          </w:tcPr>
          <w:p>
            <w:pPr>
              <w:pStyle w:val="34"/>
              <w:adjustRightInd w:val="0"/>
              <w:snapToGrid w:val="0"/>
              <w:spacing w:line="240" w:lineRule="auto"/>
              <w:ind w:firstLine="0" w:firstLineChars="0"/>
              <w:jc w:val="center"/>
              <w:rPr>
                <w:rFonts w:ascii="宋体" w:eastAsia="宋体"/>
                <w:b/>
                <w:color w:val="auto"/>
                <w:sz w:val="21"/>
                <w:szCs w:val="21"/>
                <w:highlight w:val="none"/>
              </w:rPr>
            </w:pPr>
            <w:bookmarkStart w:id="4" w:name="_Hlk75852588"/>
            <w:r>
              <w:rPr>
                <w:rFonts w:hint="eastAsia" w:ascii="宋体" w:eastAsia="宋体"/>
                <w:b/>
                <w:color w:val="auto"/>
                <w:sz w:val="21"/>
                <w:szCs w:val="21"/>
                <w:highlight w:val="none"/>
              </w:rPr>
              <w:t>序号</w:t>
            </w:r>
          </w:p>
        </w:tc>
        <w:tc>
          <w:tcPr>
            <w:tcW w:w="918" w:type="pct"/>
            <w:vAlign w:val="center"/>
          </w:tcPr>
          <w:p>
            <w:pPr>
              <w:pStyle w:val="34"/>
              <w:adjustRightInd w:val="0"/>
              <w:snapToGrid w:val="0"/>
              <w:spacing w:line="240" w:lineRule="auto"/>
              <w:ind w:firstLine="0" w:firstLineChars="0"/>
              <w:jc w:val="center"/>
              <w:rPr>
                <w:rFonts w:ascii="宋体" w:eastAsia="宋体"/>
                <w:b/>
                <w:color w:val="auto"/>
                <w:sz w:val="21"/>
                <w:szCs w:val="21"/>
                <w:highlight w:val="none"/>
              </w:rPr>
            </w:pPr>
            <w:r>
              <w:rPr>
                <w:rFonts w:hint="eastAsia" w:ascii="宋体" w:eastAsia="宋体"/>
                <w:b/>
                <w:color w:val="auto"/>
                <w:sz w:val="21"/>
                <w:szCs w:val="21"/>
                <w:highlight w:val="none"/>
              </w:rPr>
              <w:t>评分内容</w:t>
            </w:r>
          </w:p>
        </w:tc>
        <w:tc>
          <w:tcPr>
            <w:tcW w:w="481" w:type="pct"/>
            <w:vAlign w:val="center"/>
          </w:tcPr>
          <w:p>
            <w:pPr>
              <w:pStyle w:val="34"/>
              <w:adjustRightInd w:val="0"/>
              <w:snapToGrid w:val="0"/>
              <w:spacing w:line="240" w:lineRule="auto"/>
              <w:ind w:firstLine="0" w:firstLineChars="0"/>
              <w:jc w:val="center"/>
              <w:rPr>
                <w:rFonts w:ascii="宋体" w:eastAsia="宋体"/>
                <w:b/>
                <w:color w:val="auto"/>
                <w:sz w:val="21"/>
                <w:szCs w:val="21"/>
                <w:highlight w:val="none"/>
              </w:rPr>
            </w:pPr>
            <w:r>
              <w:rPr>
                <w:rFonts w:hint="eastAsia" w:ascii="宋体" w:eastAsia="宋体"/>
                <w:b/>
                <w:color w:val="auto"/>
                <w:sz w:val="21"/>
                <w:szCs w:val="21"/>
                <w:highlight w:val="none"/>
              </w:rPr>
              <w:t>分值</w:t>
            </w:r>
          </w:p>
        </w:tc>
        <w:tc>
          <w:tcPr>
            <w:tcW w:w="3208" w:type="pct"/>
            <w:vAlign w:val="center"/>
          </w:tcPr>
          <w:p>
            <w:pPr>
              <w:pStyle w:val="34"/>
              <w:adjustRightInd w:val="0"/>
              <w:snapToGrid w:val="0"/>
              <w:spacing w:line="240" w:lineRule="auto"/>
              <w:ind w:firstLine="0" w:firstLineChars="0"/>
              <w:jc w:val="center"/>
              <w:rPr>
                <w:rFonts w:ascii="宋体" w:eastAsia="宋体"/>
                <w:b/>
                <w:color w:val="auto"/>
                <w:sz w:val="21"/>
                <w:szCs w:val="21"/>
                <w:highlight w:val="none"/>
              </w:rPr>
            </w:pPr>
            <w:r>
              <w:rPr>
                <w:rFonts w:hint="eastAsia" w:ascii="宋体" w:eastAsia="宋体"/>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92" w:type="pct"/>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918" w:type="pct"/>
            <w:vAlign w:val="center"/>
          </w:tcPr>
          <w:p>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企业资质管理认证</w:t>
            </w:r>
          </w:p>
        </w:tc>
        <w:tc>
          <w:tcPr>
            <w:tcW w:w="481" w:type="pct"/>
            <w:vAlign w:val="center"/>
          </w:tcPr>
          <w:p>
            <w:pPr>
              <w:spacing w:after="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208" w:type="pct"/>
            <w:vAlign w:val="center"/>
          </w:tcPr>
          <w:p>
            <w:pPr>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w:t>
            </w:r>
            <w:r>
              <w:rPr>
                <w:rFonts w:hint="eastAsia" w:ascii="宋体" w:hAnsi="宋体" w:eastAsia="宋体" w:cs="宋体"/>
                <w:color w:val="auto"/>
                <w:szCs w:val="21"/>
                <w:highlight w:val="none"/>
                <w:lang w:val="en-US" w:eastAsia="zh-CN"/>
              </w:rPr>
              <w:t>有</w:t>
            </w:r>
            <w:r>
              <w:rPr>
                <w:rFonts w:hint="eastAsia" w:ascii="宋体" w:hAnsi="宋体" w:eastAsia="宋体" w:cs="宋体"/>
                <w:color w:val="auto"/>
                <w:szCs w:val="21"/>
                <w:highlight w:val="none"/>
              </w:rPr>
              <w:t>国家认证认可的监督管理部门批准设立的认证机构颁发并在有效期内</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质量管理体系认证、环境管理体系认证、职业健康安全管理体系认证证书，每个得1分，</w:t>
            </w:r>
            <w:r>
              <w:rPr>
                <w:rFonts w:hint="eastAsia" w:ascii="宋体" w:hAnsi="宋体" w:eastAsia="宋体" w:cs="宋体"/>
                <w:color w:val="auto"/>
                <w:sz w:val="21"/>
                <w:szCs w:val="21"/>
                <w:highlight w:val="none"/>
                <w:lang w:val="en-US" w:eastAsia="zh-CN"/>
              </w:rPr>
              <w:t>本项最高得</w:t>
            </w:r>
            <w:r>
              <w:rPr>
                <w:rFonts w:hint="eastAsia" w:ascii="宋体" w:hAnsi="宋体" w:eastAsia="宋体" w:cs="宋体"/>
                <w:color w:val="auto"/>
                <w:szCs w:val="21"/>
                <w:highlight w:val="none"/>
              </w:rPr>
              <w:t>3分。</w:t>
            </w:r>
          </w:p>
          <w:p>
            <w:pPr>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
                <w:color w:val="auto"/>
                <w:sz w:val="21"/>
                <w:szCs w:val="21"/>
                <w:highlight w:val="none"/>
                <w:u w:val="single"/>
              </w:rPr>
            </w:pPr>
            <w:r>
              <w:rPr>
                <w:rFonts w:hint="eastAsia" w:ascii="宋体" w:hAnsi="宋体" w:eastAsia="宋体" w:cs="宋体"/>
                <w:bCs/>
                <w:color w:val="auto"/>
                <w:sz w:val="21"/>
                <w:szCs w:val="21"/>
                <w:highlight w:val="none"/>
                <w:lang w:val="zh-CN"/>
              </w:rPr>
              <w:t>注：须提供有效证书复印件并加盖投标人公章，不符合以上要求的不得分。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392" w:type="pct"/>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2</w:t>
            </w:r>
          </w:p>
        </w:tc>
        <w:tc>
          <w:tcPr>
            <w:tcW w:w="918" w:type="pct"/>
            <w:vAlign w:val="center"/>
          </w:tcPr>
          <w:p>
            <w:pPr>
              <w:spacing w:after="0"/>
              <w:jc w:val="center"/>
              <w:rPr>
                <w:rFonts w:ascii="宋体" w:hAnsi="宋体" w:eastAsia="宋体" w:cs="宋体"/>
                <w:color w:val="auto"/>
                <w:sz w:val="21"/>
                <w:szCs w:val="21"/>
                <w:highlight w:val="none"/>
              </w:rPr>
            </w:pPr>
            <w:r>
              <w:rPr>
                <w:rFonts w:hint="eastAsia" w:hAnsi="宋体" w:cs="宋体"/>
                <w:bCs/>
                <w:color w:val="auto"/>
                <w:sz w:val="21"/>
                <w:szCs w:val="21"/>
                <w:highlight w:val="none"/>
              </w:rPr>
              <w:t>财务状况</w:t>
            </w:r>
          </w:p>
        </w:tc>
        <w:tc>
          <w:tcPr>
            <w:tcW w:w="481" w:type="pct"/>
            <w:vAlign w:val="center"/>
          </w:tcPr>
          <w:p>
            <w:pPr>
              <w:spacing w:after="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208" w:type="pct"/>
            <w:vAlign w:val="center"/>
          </w:tcPr>
          <w:p>
            <w:pPr>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根据投标人2018-2020年的财务状况进行评审，连续三年盈利的得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分，连续两年盈利的得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分，只有一年盈利的得0.5分，其他不得分。</w:t>
            </w:r>
          </w:p>
          <w:p>
            <w:pPr>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注：以经会计师事务所审计的财务报告复印件加盖投标人公章为准，因提供的证明材料不清晰等无法反映相关数据的，不得分。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392" w:type="pct"/>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918" w:type="pct"/>
            <w:vMerge w:val="restart"/>
            <w:vAlign w:val="center"/>
          </w:tcPr>
          <w:p>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企业信誉</w:t>
            </w:r>
          </w:p>
        </w:tc>
        <w:tc>
          <w:tcPr>
            <w:tcW w:w="481" w:type="pct"/>
            <w:vAlign w:val="center"/>
          </w:tcPr>
          <w:p>
            <w:pPr>
              <w:spacing w:after="0"/>
              <w:jc w:val="center"/>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p>
        </w:tc>
        <w:tc>
          <w:tcPr>
            <w:tcW w:w="3208" w:type="pct"/>
            <w:vAlign w:val="center"/>
          </w:tcPr>
          <w:p>
            <w:pPr>
              <w:keepLines w:val="0"/>
              <w:pageBreakBefore w:val="0"/>
              <w:widowControl/>
              <w:kinsoku/>
              <w:wordWrap/>
              <w:overflowPunct/>
              <w:topLinePunct w:val="0"/>
              <w:autoSpaceDE/>
              <w:autoSpaceDN/>
              <w:bidi w:val="0"/>
              <w:adjustRightInd w:val="0"/>
              <w:snapToGrid w:val="0"/>
              <w:spacing w:line="276"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201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年以来连续3年获得工商部门颁发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重合同守信用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 w:val="21"/>
                <w:szCs w:val="21"/>
                <w:highlight w:val="none"/>
              </w:rPr>
              <w:t>“守合同重信用”</w:t>
            </w:r>
            <w:r>
              <w:rPr>
                <w:rFonts w:hint="eastAsia" w:ascii="宋体" w:hAnsi="宋体" w:eastAsia="宋体" w:cs="宋体"/>
                <w:color w:val="auto"/>
                <w:szCs w:val="21"/>
                <w:highlight w:val="none"/>
              </w:rPr>
              <w:t>证书得3分，连续2年得2分，仅1年得1分，没有不得分。</w:t>
            </w:r>
          </w:p>
          <w:p>
            <w:pPr>
              <w:keepLines w:val="0"/>
              <w:pageBreakBefore w:val="0"/>
              <w:widowControl/>
              <w:kinsoku/>
              <w:wordWrap/>
              <w:overflowPunct/>
              <w:topLinePunct w:val="0"/>
              <w:autoSpaceDE/>
              <w:autoSpaceDN/>
              <w:bidi w:val="0"/>
              <w:adjustRightInd w:val="0"/>
              <w:snapToGrid w:val="0"/>
              <w:spacing w:line="27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 w:val="21"/>
                <w:szCs w:val="21"/>
                <w:highlight w:val="none"/>
              </w:rPr>
              <w:t>以工商（市场）监管部门颁发的或由工商（市场）监管部门主管的行业协会颁发的为准，须提供有效的证书复印件加盖</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392" w:type="pct"/>
            <w:vMerge w:val="continue"/>
            <w:vAlign w:val="center"/>
          </w:tcPr>
          <w:p>
            <w:pPr>
              <w:spacing w:after="0"/>
              <w:jc w:val="center"/>
              <w:rPr>
                <w:rFonts w:hint="eastAsia" w:ascii="宋体" w:hAnsi="宋体" w:eastAsia="宋体"/>
                <w:color w:val="auto"/>
                <w:sz w:val="21"/>
                <w:szCs w:val="21"/>
                <w:highlight w:val="none"/>
              </w:rPr>
            </w:pPr>
          </w:p>
        </w:tc>
        <w:tc>
          <w:tcPr>
            <w:tcW w:w="918" w:type="pct"/>
            <w:vMerge w:val="continue"/>
            <w:vAlign w:val="center"/>
          </w:tcPr>
          <w:p>
            <w:pPr>
              <w:spacing w:after="0"/>
              <w:jc w:val="center"/>
              <w:rPr>
                <w:rFonts w:hint="eastAsia" w:ascii="宋体" w:hAnsi="宋体" w:eastAsia="宋体" w:cs="宋体"/>
                <w:color w:val="auto"/>
                <w:sz w:val="21"/>
                <w:szCs w:val="21"/>
                <w:highlight w:val="none"/>
              </w:rPr>
            </w:pPr>
          </w:p>
        </w:tc>
        <w:tc>
          <w:tcPr>
            <w:tcW w:w="481" w:type="pct"/>
            <w:vAlign w:val="center"/>
          </w:tcPr>
          <w:p>
            <w:pPr>
              <w:spacing w:after="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3208" w:type="pct"/>
            <w:vAlign w:val="center"/>
          </w:tcPr>
          <w:p>
            <w:pPr>
              <w:keepNext/>
              <w:keepLines w:val="0"/>
              <w:pageBreakBefore w:val="0"/>
              <w:widowControl/>
              <w:numPr>
                <w:ilvl w:val="0"/>
                <w:numId w:val="0"/>
              </w:numPr>
              <w:tabs>
                <w:tab w:val="left" w:pos="585"/>
                <w:tab w:val="left" w:pos="680"/>
              </w:tabs>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根据参与投标的公司在东莞建设网企业信息查询系统中的信用</w:t>
            </w:r>
            <w:r>
              <w:rPr>
                <w:rFonts w:hint="eastAsia" w:ascii="宋体" w:hAnsi="宋体" w:cs="宋体"/>
                <w:color w:val="auto"/>
                <w:sz w:val="21"/>
                <w:szCs w:val="21"/>
                <w:highlight w:val="none"/>
                <w:lang w:val="en-US" w:eastAsia="zh-CN"/>
              </w:rPr>
              <w:t>总</w:t>
            </w:r>
            <w:r>
              <w:rPr>
                <w:rFonts w:hint="eastAsia" w:ascii="宋体" w:hAnsi="宋体" w:eastAsia="宋体" w:cs="宋体"/>
                <w:color w:val="auto"/>
                <w:sz w:val="21"/>
                <w:szCs w:val="21"/>
                <w:highlight w:val="none"/>
                <w:lang w:val="en-US" w:eastAsia="zh-CN"/>
              </w:rPr>
              <w:t>分值情况, 从高到低进行排名，在参与投标的公司中排名第1名为5分，第2名为4分，第3名为3分，第4名为2分，第5名为1分，其余不得分。</w:t>
            </w:r>
          </w:p>
          <w:p>
            <w:pPr>
              <w:keepLines w:val="0"/>
              <w:pageBreakBefore w:val="0"/>
              <w:widowControl/>
              <w:kinsoku/>
              <w:wordWrap/>
              <w:overflowPunct/>
              <w:topLinePunct w:val="0"/>
              <w:autoSpaceDE/>
              <w:autoSpaceDN/>
              <w:bidi w:val="0"/>
              <w:adjustRightInd w:val="0"/>
              <w:snapToGrid w:val="0"/>
              <w:spacing w:line="276"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须提供投标截止日前一天在东莞建设网站查询获取的</w:t>
            </w:r>
            <w:r>
              <w:rPr>
                <w:rFonts w:hint="eastAsia" w:ascii="宋体" w:hAnsi="宋体" w:cs="宋体"/>
                <w:color w:val="auto"/>
                <w:sz w:val="21"/>
                <w:szCs w:val="21"/>
                <w:highlight w:val="none"/>
                <w:lang w:val="en-US" w:eastAsia="zh-CN"/>
              </w:rPr>
              <w:t>工程质量检测</w:t>
            </w:r>
            <w:r>
              <w:rPr>
                <w:rFonts w:hint="eastAsia" w:ascii="宋体" w:hAnsi="宋体" w:eastAsia="宋体" w:cs="宋体"/>
                <w:color w:val="auto"/>
                <w:sz w:val="21"/>
                <w:szCs w:val="21"/>
                <w:highlight w:val="none"/>
                <w:lang w:val="en-US" w:eastAsia="zh-CN"/>
              </w:rPr>
              <w:t>企业信用分值截屏图片，并加盖投标人公章</w:t>
            </w:r>
            <w:r>
              <w:rPr>
                <w:rFonts w:hint="eastAsia" w:ascii="宋体" w:hAnsi="宋体" w:cs="宋体"/>
                <w:color w:val="auto"/>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92" w:type="pc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4</w:t>
            </w:r>
          </w:p>
        </w:tc>
        <w:tc>
          <w:tcPr>
            <w:tcW w:w="918" w:type="pct"/>
            <w:vAlign w:val="center"/>
          </w:tcPr>
          <w:p>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项目业绩</w:t>
            </w:r>
          </w:p>
        </w:tc>
        <w:tc>
          <w:tcPr>
            <w:tcW w:w="481" w:type="pct"/>
            <w:vAlign w:val="center"/>
          </w:tcPr>
          <w:p>
            <w:pPr>
              <w:spacing w:after="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3208" w:type="pct"/>
            <w:vAlign w:val="center"/>
          </w:tcPr>
          <w:p>
            <w:pPr>
              <w:keepLines w:val="0"/>
              <w:pageBreakBefore w:val="0"/>
              <w:widowControl/>
              <w:kinsoku/>
              <w:wordWrap/>
              <w:overflowPunct/>
              <w:topLinePunct w:val="0"/>
              <w:autoSpaceDE/>
              <w:autoSpaceDN/>
              <w:bidi w:val="0"/>
              <w:adjustRightInd w:val="0"/>
              <w:snapToGrid w:val="0"/>
              <w:spacing w:line="27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1、投标人201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年以来承接的房建工程</w:t>
            </w:r>
            <w:r>
              <w:rPr>
                <w:rFonts w:hint="eastAsia" w:ascii="宋体" w:hAnsi="宋体" w:cs="宋体"/>
                <w:color w:val="auto"/>
                <w:szCs w:val="21"/>
                <w:highlight w:val="none"/>
                <w:lang w:eastAsia="zh-CN"/>
              </w:rPr>
              <w:t>检测</w:t>
            </w:r>
            <w:r>
              <w:rPr>
                <w:rFonts w:hint="eastAsia" w:ascii="宋体" w:hAnsi="宋体" w:eastAsia="宋体" w:cs="宋体"/>
                <w:color w:val="auto"/>
                <w:szCs w:val="21"/>
                <w:highlight w:val="none"/>
              </w:rPr>
              <w:t>项目业绩，</w:t>
            </w:r>
            <w:r>
              <w:rPr>
                <w:rFonts w:hint="eastAsia" w:ascii="宋体" w:hAnsi="宋体" w:cs="Arial"/>
                <w:color w:val="auto"/>
                <w:szCs w:val="21"/>
                <w:highlight w:val="none"/>
              </w:rPr>
              <w:t>承接</w:t>
            </w:r>
            <w:r>
              <w:rPr>
                <w:rFonts w:hint="eastAsia" w:ascii="宋体" w:hAnsi="宋体"/>
                <w:color w:val="auto"/>
                <w:szCs w:val="21"/>
                <w:highlight w:val="none"/>
              </w:rPr>
              <w:t>单项合同金额在 100 万元或以上的，每份得 1 分；</w:t>
            </w:r>
            <w:r>
              <w:rPr>
                <w:rFonts w:hint="eastAsia" w:ascii="宋体" w:hAnsi="宋体" w:cs="Arial"/>
                <w:color w:val="auto"/>
                <w:szCs w:val="21"/>
                <w:highlight w:val="none"/>
              </w:rPr>
              <w:t>承接</w:t>
            </w:r>
            <w:r>
              <w:rPr>
                <w:rFonts w:hint="eastAsia" w:ascii="宋体" w:hAnsi="宋体"/>
                <w:color w:val="auto"/>
                <w:szCs w:val="21"/>
                <w:highlight w:val="none"/>
              </w:rPr>
              <w:t>单项合同金额在 50 万~100万的，每份得0.5分；满分20分。</w:t>
            </w:r>
          </w:p>
          <w:p>
            <w:pPr>
              <w:keepLines w:val="0"/>
              <w:pageBreakBefore w:val="0"/>
              <w:widowControl/>
              <w:kinsoku/>
              <w:wordWrap/>
              <w:overflowPunct/>
              <w:topLinePunct w:val="0"/>
              <w:autoSpaceDE/>
              <w:autoSpaceDN/>
              <w:bidi w:val="0"/>
              <w:adjustRightInd w:val="0"/>
              <w:snapToGrid w:val="0"/>
              <w:spacing w:line="27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2、投标人201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年以来承接的市政工程</w:t>
            </w:r>
            <w:r>
              <w:rPr>
                <w:rFonts w:hint="eastAsia" w:ascii="宋体" w:hAnsi="宋体" w:cs="宋体"/>
                <w:color w:val="auto"/>
                <w:szCs w:val="21"/>
                <w:highlight w:val="none"/>
                <w:lang w:eastAsia="zh-CN"/>
              </w:rPr>
              <w:t>检测</w:t>
            </w:r>
            <w:r>
              <w:rPr>
                <w:rFonts w:hint="eastAsia" w:ascii="宋体" w:hAnsi="宋体" w:eastAsia="宋体" w:cs="宋体"/>
                <w:color w:val="auto"/>
                <w:szCs w:val="21"/>
                <w:highlight w:val="none"/>
              </w:rPr>
              <w:t>项目业绩，</w:t>
            </w:r>
            <w:r>
              <w:rPr>
                <w:rFonts w:hint="eastAsia" w:ascii="宋体" w:hAnsi="宋体" w:cs="Arial"/>
                <w:color w:val="auto"/>
                <w:szCs w:val="21"/>
                <w:highlight w:val="none"/>
              </w:rPr>
              <w:t>承接</w:t>
            </w:r>
            <w:r>
              <w:rPr>
                <w:rFonts w:hint="eastAsia" w:ascii="宋体" w:hAnsi="宋体"/>
                <w:color w:val="auto"/>
                <w:szCs w:val="21"/>
                <w:highlight w:val="none"/>
              </w:rPr>
              <w:t>单项合同金额在 100万元或以上的，每份得 1 分；</w:t>
            </w:r>
            <w:r>
              <w:rPr>
                <w:rFonts w:hint="eastAsia" w:ascii="宋体" w:hAnsi="宋体" w:cs="Arial"/>
                <w:color w:val="auto"/>
                <w:szCs w:val="21"/>
                <w:highlight w:val="none"/>
              </w:rPr>
              <w:t>承接</w:t>
            </w:r>
            <w:r>
              <w:rPr>
                <w:rFonts w:hint="eastAsia" w:ascii="宋体" w:hAnsi="宋体"/>
                <w:color w:val="auto"/>
                <w:szCs w:val="21"/>
                <w:highlight w:val="none"/>
              </w:rPr>
              <w:t>单项合同金额在 50 万~100万的，每份得0.5分；满分10分。</w:t>
            </w:r>
          </w:p>
          <w:p>
            <w:pPr>
              <w:keepLines w:val="0"/>
              <w:pageBreakBefore w:val="0"/>
              <w:widowControl/>
              <w:kinsoku/>
              <w:wordWrap/>
              <w:overflowPunct/>
              <w:topLinePunct w:val="0"/>
              <w:autoSpaceDE/>
              <w:autoSpaceDN/>
              <w:bidi w:val="0"/>
              <w:adjustRightInd w:val="0"/>
              <w:snapToGrid w:val="0"/>
              <w:spacing w:line="276"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注：须提供业绩合同复印件并加盖投标人公章，否则不得分。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2" w:type="pc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5</w:t>
            </w:r>
          </w:p>
        </w:tc>
        <w:tc>
          <w:tcPr>
            <w:tcW w:w="918" w:type="pct"/>
            <w:vAlign w:val="center"/>
          </w:tcPr>
          <w:p>
            <w:pPr>
              <w:pStyle w:val="34"/>
              <w:adjustRightInd w:val="0"/>
              <w:snapToGrid w:val="0"/>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技术人员配置</w:t>
            </w:r>
          </w:p>
        </w:tc>
        <w:tc>
          <w:tcPr>
            <w:tcW w:w="481" w:type="pct"/>
            <w:vAlign w:val="center"/>
          </w:tcPr>
          <w:p>
            <w:pPr>
              <w:pStyle w:val="34"/>
              <w:adjustRightInd w:val="0"/>
              <w:snapToGrid w:val="0"/>
              <w:spacing w:line="24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20</w:t>
            </w:r>
          </w:p>
        </w:tc>
        <w:tc>
          <w:tcPr>
            <w:tcW w:w="3208" w:type="pct"/>
          </w:tcPr>
          <w:p>
            <w:pPr>
              <w:keepLines w:val="0"/>
              <w:pageBreakBefore w:val="0"/>
              <w:widowControl/>
              <w:kinsoku/>
              <w:wordWrap/>
              <w:overflowPunct/>
              <w:topLinePunct w:val="0"/>
              <w:autoSpaceDE/>
              <w:autoSpaceDN/>
              <w:bidi w:val="0"/>
              <w:adjustRightInd w:val="0"/>
              <w:snapToGrid w:val="0"/>
              <w:spacing w:line="276"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根据投标人拟投入本项目的</w:t>
            </w: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lang w:val="en-US" w:eastAsia="zh-CN"/>
              </w:rPr>
              <w:t>人员进行评审：</w:t>
            </w:r>
          </w:p>
          <w:p>
            <w:pPr>
              <w:keepLines w:val="0"/>
              <w:pageBreakBefore w:val="0"/>
              <w:widowControl/>
              <w:kinsoku/>
              <w:wordWrap/>
              <w:overflowPunct/>
              <w:topLinePunct w:val="0"/>
              <w:autoSpaceDE/>
              <w:autoSpaceDN/>
              <w:bidi w:val="0"/>
              <w:adjustRightInd w:val="0"/>
              <w:snapToGrid w:val="0"/>
              <w:spacing w:line="276"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rPr>
              <w:t>检测技术人员具</w:t>
            </w:r>
            <w:r>
              <w:rPr>
                <w:rFonts w:hint="eastAsia" w:ascii="宋体" w:hAnsi="宋体"/>
                <w:color w:val="auto"/>
                <w:szCs w:val="21"/>
                <w:highlight w:val="none"/>
                <w:lang w:val="en-US" w:eastAsia="zh-CN"/>
              </w:rPr>
              <w:t>有</w:t>
            </w:r>
            <w:r>
              <w:rPr>
                <w:rFonts w:hint="eastAsia" w:ascii="宋体" w:hAnsi="宋体"/>
                <w:color w:val="auto"/>
                <w:szCs w:val="21"/>
                <w:highlight w:val="none"/>
              </w:rPr>
              <w:t>高级工程师或以上职称的，</w:t>
            </w:r>
            <w:r>
              <w:rPr>
                <w:rFonts w:hint="eastAsia" w:ascii="宋体" w:hAnsi="宋体" w:eastAsia="宋体" w:cs="宋体"/>
                <w:color w:val="auto"/>
                <w:sz w:val="21"/>
                <w:szCs w:val="21"/>
                <w:highlight w:val="none"/>
                <w:lang w:val="en-US" w:eastAsia="zh-CN"/>
              </w:rPr>
              <w:t>每提供一人得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val="en-US" w:eastAsia="zh-CN"/>
              </w:rPr>
              <w:t>具有</w:t>
            </w:r>
            <w:r>
              <w:rPr>
                <w:rFonts w:hint="eastAsia" w:ascii="宋体" w:hAnsi="宋体" w:cs="宋体"/>
                <w:color w:val="auto"/>
                <w:sz w:val="21"/>
                <w:szCs w:val="21"/>
                <w:highlight w:val="none"/>
                <w:lang w:val="en-US" w:eastAsia="zh-CN"/>
              </w:rPr>
              <w:t>中级</w:t>
            </w:r>
            <w:r>
              <w:rPr>
                <w:rFonts w:hint="eastAsia" w:ascii="宋体" w:hAnsi="宋体"/>
                <w:color w:val="auto"/>
                <w:szCs w:val="21"/>
                <w:highlight w:val="none"/>
              </w:rPr>
              <w:t>工程师职称的</w:t>
            </w:r>
            <w:r>
              <w:rPr>
                <w:rFonts w:hint="eastAsia" w:ascii="宋体" w:hAnsi="宋体" w:eastAsia="宋体" w:cs="宋体"/>
                <w:color w:val="auto"/>
                <w:sz w:val="21"/>
                <w:szCs w:val="21"/>
                <w:highlight w:val="none"/>
                <w:lang w:val="en-US" w:eastAsia="zh-CN"/>
              </w:rPr>
              <w:t>，每提供一人得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分，（同时具有中高级</w:t>
            </w:r>
            <w:r>
              <w:rPr>
                <w:rFonts w:hint="eastAsia" w:ascii="宋体" w:hAnsi="宋体" w:cs="宋体"/>
                <w:color w:val="auto"/>
                <w:sz w:val="21"/>
                <w:szCs w:val="21"/>
                <w:highlight w:val="none"/>
                <w:lang w:val="en-US" w:eastAsia="zh-CN"/>
              </w:rPr>
              <w:t>或以上</w:t>
            </w:r>
            <w:r>
              <w:rPr>
                <w:rFonts w:hint="eastAsia" w:ascii="宋体" w:hAnsi="宋体" w:eastAsia="宋体" w:cs="宋体"/>
                <w:color w:val="auto"/>
                <w:sz w:val="21"/>
                <w:szCs w:val="21"/>
                <w:highlight w:val="none"/>
                <w:lang w:val="en-US" w:eastAsia="zh-CN"/>
              </w:rPr>
              <w:t>职称的，按高级别职称计分，不重计分），本项最高得</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分。</w:t>
            </w:r>
          </w:p>
          <w:p>
            <w:pPr>
              <w:spacing w:after="0"/>
              <w:ind w:firstLine="420" w:firstLineChars="200"/>
              <w:rPr>
                <w:rFonts w:ascii="宋体" w:hAnsi="宋体" w:eastAsia="宋体" w:cs="宋体"/>
                <w:color w:val="auto"/>
                <w:sz w:val="21"/>
                <w:szCs w:val="21"/>
                <w:highlight w:val="none"/>
              </w:rPr>
            </w:pPr>
            <w:r>
              <w:rPr>
                <w:rFonts w:hint="eastAsia" w:ascii="宋体" w:eastAsia="宋体" w:cs="宋体"/>
                <w:bCs/>
                <w:color w:val="auto"/>
                <w:sz w:val="21"/>
                <w:szCs w:val="21"/>
                <w:highlight w:val="none"/>
              </w:rPr>
              <w:t>注：</w:t>
            </w:r>
            <w:r>
              <w:rPr>
                <w:rFonts w:hint="eastAsia" w:ascii="宋体" w:eastAsia="宋体" w:cs="宋体"/>
                <w:bCs/>
                <w:color w:val="auto"/>
                <w:sz w:val="21"/>
                <w:szCs w:val="21"/>
                <w:highlight w:val="none"/>
                <w:lang w:val="zh-CN"/>
              </w:rPr>
              <w:t>（1）以</w:t>
            </w:r>
            <w:r>
              <w:rPr>
                <w:rFonts w:hint="eastAsia" w:ascii="宋体" w:eastAsia="宋体" w:cs="宋体"/>
                <w:bCs/>
                <w:color w:val="auto"/>
                <w:sz w:val="21"/>
                <w:szCs w:val="21"/>
                <w:highlight w:val="none"/>
                <w:lang w:val="en-US" w:eastAsia="zh-CN"/>
              </w:rPr>
              <w:t>上</w:t>
            </w:r>
            <w:r>
              <w:rPr>
                <w:rFonts w:hint="eastAsia" w:ascii="宋体" w:eastAsia="宋体" w:cs="宋体"/>
                <w:bCs/>
                <w:color w:val="auto"/>
                <w:sz w:val="21"/>
                <w:szCs w:val="21"/>
                <w:highlight w:val="none"/>
                <w:lang w:val="zh-CN"/>
              </w:rPr>
              <w:t>技术人员的名单不得重复。（2）须提供以上人员有效证书及</w:t>
            </w:r>
            <w:r>
              <w:rPr>
                <w:rFonts w:hint="eastAsia" w:ascii="宋体" w:eastAsia="宋体" w:cs="宋体"/>
                <w:bCs/>
                <w:color w:val="auto"/>
                <w:sz w:val="21"/>
                <w:szCs w:val="21"/>
                <w:highlight w:val="none"/>
              </w:rPr>
              <w:t>投标人</w:t>
            </w:r>
            <w:r>
              <w:rPr>
                <w:rFonts w:hint="eastAsia" w:ascii="宋体" w:eastAsia="宋体" w:cs="宋体"/>
                <w:bCs/>
                <w:color w:val="auto"/>
                <w:sz w:val="21"/>
                <w:szCs w:val="21"/>
                <w:highlight w:val="none"/>
                <w:lang w:val="zh-CN"/>
              </w:rPr>
              <w:t>为其缴纳的距开标时间（不含当月）近</w:t>
            </w:r>
            <w:r>
              <w:rPr>
                <w:rFonts w:hint="eastAsia" w:ascii="宋体" w:eastAsia="宋体" w:cs="宋体"/>
                <w:bCs/>
                <w:color w:val="auto"/>
                <w:sz w:val="21"/>
                <w:szCs w:val="21"/>
                <w:highlight w:val="none"/>
                <w:lang w:val="en-US" w:eastAsia="zh-CN"/>
              </w:rPr>
              <w:t>6</w:t>
            </w:r>
            <w:r>
              <w:rPr>
                <w:rFonts w:hint="eastAsia" w:ascii="宋体" w:eastAsia="宋体" w:cs="宋体"/>
                <w:bCs/>
                <w:color w:val="auto"/>
                <w:sz w:val="21"/>
                <w:szCs w:val="21"/>
                <w:highlight w:val="none"/>
                <w:lang w:val="zh-CN"/>
              </w:rPr>
              <w:t>个月的社保证明复印件加盖</w:t>
            </w:r>
            <w:r>
              <w:rPr>
                <w:rFonts w:hint="eastAsia" w:ascii="宋体" w:eastAsia="宋体" w:cs="宋体"/>
                <w:bCs/>
                <w:color w:val="auto"/>
                <w:sz w:val="21"/>
                <w:szCs w:val="21"/>
                <w:highlight w:val="none"/>
              </w:rPr>
              <w:t>投标人</w:t>
            </w:r>
            <w:r>
              <w:rPr>
                <w:rFonts w:hint="eastAsia" w:ascii="宋体" w:eastAsia="宋体" w:cs="宋体"/>
                <w:bCs/>
                <w:color w:val="auto"/>
                <w:sz w:val="21"/>
                <w:szCs w:val="21"/>
                <w:highlight w:val="none"/>
                <w:lang w:val="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2" w:type="pct"/>
            <w:vAlign w:val="center"/>
          </w:tcPr>
          <w:p>
            <w:pPr>
              <w:spacing w:after="0"/>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6</w:t>
            </w:r>
          </w:p>
        </w:tc>
        <w:tc>
          <w:tcPr>
            <w:tcW w:w="918" w:type="pct"/>
            <w:vAlign w:val="center"/>
          </w:tcPr>
          <w:p>
            <w:pPr>
              <w:spacing w:after="0"/>
              <w:jc w:val="center"/>
              <w:rPr>
                <w:rFonts w:hint="eastAsia" w:asci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检测能力</w:t>
            </w:r>
          </w:p>
        </w:tc>
        <w:tc>
          <w:tcPr>
            <w:tcW w:w="481" w:type="pct"/>
            <w:vAlign w:val="center"/>
          </w:tcPr>
          <w:p>
            <w:pPr>
              <w:spacing w:after="0"/>
              <w:jc w:val="center"/>
              <w:rPr>
                <w:rFonts w:hint="eastAsia" w:asci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3208" w:type="pct"/>
            <w:vAlign w:val="center"/>
          </w:tcPr>
          <w:p>
            <w:pPr>
              <w:keepLines w:val="0"/>
              <w:pageBreakBefore w:val="0"/>
              <w:widowControl/>
              <w:kinsoku/>
              <w:wordWrap/>
              <w:overflowPunct/>
              <w:topLinePunct w:val="0"/>
              <w:autoSpaceDE/>
              <w:autoSpaceDN/>
              <w:bidi w:val="0"/>
              <w:adjustRightInd w:val="0"/>
              <w:snapToGrid w:val="0"/>
              <w:spacing w:line="276"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静载试验检测能力达到20000kN或以上的得5分，达到8000kN</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20000kN的得3分，8000kN以下的得1分。</w:t>
            </w:r>
          </w:p>
          <w:p>
            <w:pPr>
              <w:keepLines w:val="0"/>
              <w:pageBreakBefore w:val="0"/>
              <w:widowControl/>
              <w:kinsoku/>
              <w:wordWrap/>
              <w:overflowPunct/>
              <w:topLinePunct w:val="0"/>
              <w:autoSpaceDE/>
              <w:autoSpaceDN/>
              <w:bidi w:val="0"/>
              <w:adjustRightInd w:val="0"/>
              <w:snapToGrid w:val="0"/>
              <w:spacing w:line="276"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检测参数达到200个</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以上的得3分，达到100个</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200个的得2分，100个以下的得1分</w:t>
            </w:r>
            <w:r>
              <w:rPr>
                <w:rFonts w:hint="eastAsia" w:ascii="宋体" w:hAnsi="宋体" w:cs="宋体"/>
                <w:color w:val="auto"/>
                <w:sz w:val="21"/>
                <w:szCs w:val="21"/>
                <w:highlight w:val="none"/>
                <w:lang w:val="en-US" w:eastAsia="zh-CN"/>
              </w:rPr>
              <w:t>。</w:t>
            </w:r>
          </w:p>
          <w:p>
            <w:pPr>
              <w:keepLines w:val="0"/>
              <w:pageBreakBefore w:val="0"/>
              <w:widowControl/>
              <w:kinsoku/>
              <w:wordWrap/>
              <w:overflowPunct/>
              <w:topLinePunct w:val="0"/>
              <w:autoSpaceDE/>
              <w:autoSpaceDN/>
              <w:bidi w:val="0"/>
              <w:adjustRightInd w:val="0"/>
              <w:snapToGrid w:val="0"/>
              <w:spacing w:line="27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注：须</w:t>
            </w:r>
            <w:r>
              <w:rPr>
                <w:rFonts w:hint="eastAsia" w:ascii="宋体" w:hAnsi="宋体" w:eastAsia="宋体" w:cs="宋体"/>
                <w:color w:val="auto"/>
                <w:sz w:val="21"/>
                <w:szCs w:val="21"/>
                <w:highlight w:val="none"/>
                <w:lang w:val="en-US" w:eastAsia="zh-CN"/>
              </w:rPr>
              <w:t>提供有效证明文件复印件加盖投标人公章</w:t>
            </w:r>
            <w:r>
              <w:rPr>
                <w:rFonts w:hint="eastAsia" w:ascii="宋体" w:hAnsi="宋体" w:cs="宋体"/>
                <w:color w:val="auto"/>
                <w:sz w:val="21"/>
                <w:szCs w:val="21"/>
                <w:highlight w:val="none"/>
                <w:lang w:val="en-US" w:eastAsia="zh-CN"/>
              </w:rPr>
              <w:t>，</w:t>
            </w:r>
            <w:r>
              <w:rPr>
                <w:rFonts w:hint="eastAsia" w:ascii="宋体" w:hAnsi="宋体" w:eastAsia="宋体" w:cs="宋体"/>
                <w:bCs/>
                <w:color w:val="auto"/>
                <w:kern w:val="2"/>
                <w:sz w:val="21"/>
                <w:szCs w:val="21"/>
                <w:highlight w:val="none"/>
              </w:rPr>
              <w:t>未提供或不清晰无法判断的不得分。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2" w:type="pc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7</w:t>
            </w:r>
          </w:p>
        </w:tc>
        <w:tc>
          <w:tcPr>
            <w:tcW w:w="918" w:type="pct"/>
            <w:vAlign w:val="center"/>
          </w:tcPr>
          <w:p>
            <w:pPr>
              <w:keepLines w:val="0"/>
              <w:pageBreakBefore w:val="0"/>
              <w:kinsoku/>
              <w:wordWrap/>
              <w:overflowPunct/>
              <w:topLinePunct w:val="0"/>
              <w:bidi w:val="0"/>
              <w:adjustRightInd/>
              <w:snapToGrid/>
              <w:spacing w:after="0" w:line="240" w:lineRule="auto"/>
              <w:jc w:val="center"/>
              <w:textAlignment w:val="auto"/>
              <w:rPr>
                <w:rFonts w:hint="default" w:ascii="宋体" w:eastAsia="宋体" w:cs="宋体"/>
                <w:color w:val="auto"/>
                <w:sz w:val="21"/>
                <w:szCs w:val="21"/>
                <w:highlight w:val="none"/>
                <w:lang w:val="en-US"/>
              </w:rPr>
            </w:pPr>
            <w:r>
              <w:rPr>
                <w:rFonts w:hint="default" w:ascii="宋体" w:eastAsia="宋体" w:cs="宋体"/>
                <w:color w:val="auto"/>
                <w:sz w:val="21"/>
                <w:szCs w:val="21"/>
                <w:highlight w:val="none"/>
                <w:lang w:val="en-US" w:eastAsia="zh-CN"/>
              </w:rPr>
              <w:t>服务质量保证和承诺</w:t>
            </w:r>
          </w:p>
        </w:tc>
        <w:tc>
          <w:tcPr>
            <w:tcW w:w="481" w:type="pct"/>
            <w:vAlign w:val="center"/>
          </w:tcPr>
          <w:p>
            <w:pPr>
              <w:keepLines w:val="0"/>
              <w:pageBreakBefore w:val="0"/>
              <w:kinsoku/>
              <w:wordWrap/>
              <w:overflowPunct/>
              <w:topLinePunct w:val="0"/>
              <w:bidi w:val="0"/>
              <w:adjustRightInd/>
              <w:snapToGrid/>
              <w:spacing w:after="0" w:line="240" w:lineRule="auto"/>
              <w:jc w:val="center"/>
              <w:textAlignment w:val="auto"/>
              <w:rPr>
                <w:rFonts w:hint="default" w:ascii="宋体" w:eastAsia="宋体" w:cs="宋体"/>
                <w:color w:val="auto"/>
                <w:sz w:val="21"/>
                <w:szCs w:val="21"/>
                <w:highlight w:val="none"/>
                <w:lang w:val="en-US" w:eastAsia="zh-CN"/>
              </w:rPr>
            </w:pPr>
            <w:r>
              <w:rPr>
                <w:rFonts w:hint="eastAsia" w:ascii="宋体" w:hAnsi="宋体" w:cs="宋体"/>
                <w:bCs/>
                <w:color w:val="auto"/>
                <w:sz w:val="21"/>
                <w:szCs w:val="21"/>
                <w:highlight w:val="none"/>
                <w:lang w:val="en-US" w:eastAsia="zh-CN"/>
              </w:rPr>
              <w:t>2</w:t>
            </w:r>
          </w:p>
        </w:tc>
        <w:tc>
          <w:tcPr>
            <w:tcW w:w="3208" w:type="pct"/>
            <w:vAlign w:val="center"/>
          </w:tcPr>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ascii="宋体" w:hAnsi="宋体" w:eastAsia="宋体" w:cs="宋体"/>
                <w:color w:val="auto"/>
                <w:sz w:val="21"/>
                <w:szCs w:val="21"/>
                <w:highlight w:val="none"/>
              </w:rPr>
            </w:pPr>
            <w:r>
              <w:rPr>
                <w:rFonts w:hint="eastAsia" w:ascii="宋体" w:hAnsi="宋体"/>
                <w:color w:val="auto"/>
                <w:szCs w:val="21"/>
                <w:highlight w:val="none"/>
              </w:rPr>
              <w:t>能够承诺保证有足够的人力、物力等资源保证按时按质按量完成委托的</w:t>
            </w:r>
            <w:r>
              <w:rPr>
                <w:rFonts w:hint="eastAsia" w:ascii="宋体" w:hAnsi="宋体"/>
                <w:color w:val="auto"/>
                <w:szCs w:val="21"/>
                <w:highlight w:val="none"/>
                <w:lang w:eastAsia="zh-CN"/>
              </w:rPr>
              <w:t>检测</w:t>
            </w:r>
            <w:r>
              <w:rPr>
                <w:rFonts w:hint="eastAsia" w:ascii="宋体" w:hAnsi="宋体"/>
                <w:color w:val="auto"/>
                <w:szCs w:val="21"/>
                <w:highlight w:val="none"/>
              </w:rPr>
              <w:t>业务，提供优质服务。建立健全工程</w:t>
            </w:r>
            <w:r>
              <w:rPr>
                <w:rFonts w:hint="eastAsia" w:ascii="宋体" w:hAnsi="宋体"/>
                <w:color w:val="auto"/>
                <w:szCs w:val="21"/>
                <w:highlight w:val="none"/>
                <w:lang w:eastAsia="zh-CN"/>
              </w:rPr>
              <w:t>检测</w:t>
            </w:r>
            <w:r>
              <w:rPr>
                <w:rFonts w:hint="eastAsia" w:ascii="宋体" w:hAnsi="宋体"/>
                <w:color w:val="auto"/>
                <w:szCs w:val="21"/>
                <w:highlight w:val="none"/>
              </w:rPr>
              <w:t>质量保证体系，加强工程</w:t>
            </w:r>
            <w:r>
              <w:rPr>
                <w:rFonts w:hint="eastAsia" w:ascii="宋体" w:hAnsi="宋体"/>
                <w:color w:val="auto"/>
                <w:szCs w:val="21"/>
                <w:highlight w:val="none"/>
                <w:lang w:eastAsia="zh-CN"/>
              </w:rPr>
              <w:t>检测</w:t>
            </w:r>
            <w:r>
              <w:rPr>
                <w:rFonts w:hint="eastAsia" w:ascii="宋体" w:hAnsi="宋体"/>
                <w:color w:val="auto"/>
                <w:szCs w:val="21"/>
                <w:highlight w:val="none"/>
              </w:rPr>
              <w:t>全过程的工作质量控制，并制订管理质量控制措施，作出违约责任、以及经济赔偿大小承诺</w:t>
            </w:r>
            <w:r>
              <w:rPr>
                <w:rFonts w:hint="eastAsia" w:ascii="宋体" w:hAnsi="宋体"/>
                <w:color w:val="auto"/>
                <w:szCs w:val="21"/>
                <w:highlight w:val="none"/>
                <w:lang w:val="en-US" w:eastAsia="zh-CN"/>
              </w:rPr>
              <w:t>的，得2分，本项最高得2分</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p>
        </w:tc>
        <w:tc>
          <w:tcPr>
            <w:tcW w:w="918" w:type="pct"/>
            <w:vAlign w:val="center"/>
          </w:tcPr>
          <w:p>
            <w:pPr>
              <w:pStyle w:val="34"/>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服务便利性</w:t>
            </w:r>
          </w:p>
        </w:tc>
        <w:tc>
          <w:tcPr>
            <w:tcW w:w="481" w:type="pct"/>
            <w:vAlign w:val="center"/>
          </w:tcPr>
          <w:p>
            <w:pPr>
              <w:pStyle w:val="34"/>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bCs/>
                <w:color w:val="auto"/>
                <w:sz w:val="21"/>
                <w:szCs w:val="21"/>
                <w:highlight w:val="none"/>
                <w:lang w:val="en-US" w:eastAsia="zh-CN"/>
              </w:rPr>
              <w:t>6</w:t>
            </w:r>
          </w:p>
        </w:tc>
        <w:tc>
          <w:tcPr>
            <w:tcW w:w="3208" w:type="pct"/>
            <w:vAlign w:val="center"/>
          </w:tcPr>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投标人在东莞市有服务机构的，得6分；在广东省内（东莞市除外）有服务机构的，得3分；其他不得分。</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注：需提供工商注册登记的营业执照作为证明文件。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2" w:type="pct"/>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10</w:t>
            </w:r>
          </w:p>
        </w:tc>
        <w:tc>
          <w:tcPr>
            <w:tcW w:w="918" w:type="pct"/>
            <w:vMerge w:val="restart"/>
            <w:vAlign w:val="center"/>
          </w:tcPr>
          <w:p>
            <w:pPr>
              <w:pStyle w:val="34"/>
              <w:adjustRightInd w:val="0"/>
              <w:snapToGrid w:val="0"/>
              <w:spacing w:line="240" w:lineRule="auto"/>
              <w:ind w:firstLine="0" w:firstLineChars="0"/>
              <w:jc w:val="center"/>
              <w:rPr>
                <w:rFonts w:hint="eastAsia" w:ascii="宋体" w:hAnsi="宋体"/>
                <w:color w:val="auto"/>
                <w:szCs w:val="21"/>
                <w:highlight w:val="none"/>
              </w:rPr>
            </w:pPr>
            <w:r>
              <w:rPr>
                <w:rFonts w:hint="default" w:ascii="宋体" w:eastAsia="宋体" w:cs="宋体"/>
                <w:color w:val="auto"/>
                <w:sz w:val="21"/>
                <w:szCs w:val="21"/>
                <w:highlight w:val="none"/>
                <w:lang w:val="en-US"/>
              </w:rPr>
              <w:t>服务实施方案</w:t>
            </w:r>
          </w:p>
        </w:tc>
        <w:tc>
          <w:tcPr>
            <w:tcW w:w="481" w:type="pct"/>
            <w:vAlign w:val="center"/>
          </w:tcPr>
          <w:p>
            <w:pPr>
              <w:pStyle w:val="34"/>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eastAsia="宋体" w:cs="宋体"/>
                <w:color w:val="auto"/>
                <w:sz w:val="21"/>
                <w:szCs w:val="21"/>
                <w:highlight w:val="none"/>
                <w:lang w:val="en-US" w:eastAsia="zh-CN"/>
              </w:rPr>
              <w:t>8</w:t>
            </w:r>
          </w:p>
        </w:tc>
        <w:tc>
          <w:tcPr>
            <w:tcW w:w="3208" w:type="pct"/>
            <w:vAlign w:val="top"/>
          </w:tcPr>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w:t>
            </w:r>
            <w:r>
              <w:rPr>
                <w:rFonts w:hint="eastAsia" w:ascii="宋体" w:hAnsi="宋体" w:eastAsia="宋体" w:cs="宋体"/>
                <w:color w:val="auto"/>
                <w:sz w:val="21"/>
                <w:szCs w:val="21"/>
                <w:highlight w:val="none"/>
              </w:rPr>
              <w:t>协议服务实施方案的组织结构完善程度</w:t>
            </w:r>
            <w:r>
              <w:rPr>
                <w:rFonts w:hint="eastAsia" w:ascii="宋体" w:hAnsi="宋体" w:eastAsia="宋体" w:cs="宋体"/>
                <w:color w:val="auto"/>
                <w:sz w:val="21"/>
                <w:szCs w:val="21"/>
                <w:highlight w:val="none"/>
                <w:lang w:val="en-US" w:eastAsia="zh-CN"/>
              </w:rPr>
              <w:t>进行综合评审：</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协议服务实施方案的组织结构</w:t>
            </w:r>
            <w:r>
              <w:rPr>
                <w:rFonts w:hint="eastAsia" w:ascii="宋体" w:hAnsi="宋体" w:eastAsia="宋体" w:cs="宋体"/>
                <w:color w:val="auto"/>
                <w:sz w:val="21"/>
                <w:szCs w:val="21"/>
                <w:highlight w:val="none"/>
                <w:lang w:val="en-US" w:eastAsia="zh-CN"/>
              </w:rPr>
              <w:t>非常完善的，得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协议服务实施方案的组织结构</w:t>
            </w:r>
            <w:r>
              <w:rPr>
                <w:rFonts w:hint="eastAsia" w:ascii="宋体" w:hAnsi="宋体" w:eastAsia="宋体" w:cs="宋体"/>
                <w:color w:val="auto"/>
                <w:sz w:val="21"/>
                <w:szCs w:val="21"/>
                <w:highlight w:val="none"/>
                <w:lang w:val="en-US" w:eastAsia="zh-CN"/>
              </w:rPr>
              <w:t>完善的，得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协议服务实施方案的组织结构</w:t>
            </w:r>
            <w:r>
              <w:rPr>
                <w:rFonts w:hint="eastAsia" w:ascii="宋体" w:hAnsi="宋体" w:eastAsia="宋体" w:cs="宋体"/>
                <w:color w:val="auto"/>
                <w:sz w:val="21"/>
                <w:szCs w:val="21"/>
                <w:highlight w:val="none"/>
                <w:lang w:val="en-US" w:eastAsia="zh-CN"/>
              </w:rPr>
              <w:t>完善性一般的，得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未提供及其他情况不得分。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2" w:type="pct"/>
            <w:vMerge w:val="continue"/>
            <w:vAlign w:val="center"/>
          </w:tcPr>
          <w:p>
            <w:pPr>
              <w:spacing w:after="0"/>
              <w:jc w:val="center"/>
              <w:rPr>
                <w:rFonts w:hint="eastAsia" w:ascii="宋体" w:hAnsi="宋体" w:eastAsia="宋体"/>
                <w:color w:val="auto"/>
                <w:sz w:val="21"/>
                <w:szCs w:val="21"/>
                <w:highlight w:val="none"/>
                <w:lang w:val="en-US" w:eastAsia="zh-CN"/>
              </w:rPr>
            </w:pPr>
          </w:p>
        </w:tc>
        <w:tc>
          <w:tcPr>
            <w:tcW w:w="918" w:type="pct"/>
            <w:vMerge w:val="continue"/>
            <w:vAlign w:val="center"/>
          </w:tcPr>
          <w:p>
            <w:pPr>
              <w:adjustRightInd/>
              <w:snapToGrid/>
              <w:spacing w:after="0"/>
              <w:jc w:val="center"/>
              <w:rPr>
                <w:rFonts w:hint="eastAsia" w:ascii="宋体" w:hAnsi="宋体" w:eastAsia="宋体" w:cs="宋体"/>
                <w:color w:val="auto"/>
                <w:sz w:val="21"/>
                <w:szCs w:val="21"/>
                <w:highlight w:val="none"/>
              </w:rPr>
            </w:pPr>
          </w:p>
        </w:tc>
        <w:tc>
          <w:tcPr>
            <w:tcW w:w="481" w:type="pct"/>
            <w:vAlign w:val="center"/>
          </w:tcPr>
          <w:p>
            <w:pPr>
              <w:pStyle w:val="34"/>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3208" w:type="pct"/>
            <w:vAlign w:val="top"/>
          </w:tcPr>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根据投标人提供协议服务实施方案的资源支持系统完善程度进行综合评审：</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协议服务实施方案的资源支持系统非常完善的，得6分；</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协议服务实施方案的资源支持系统完善的，得3分；</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协议服务实施方案的资源支持系统完善性一般的，得1分；</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未提供及其他情况不得分。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2" w:type="pct"/>
            <w:vMerge w:val="continue"/>
            <w:vAlign w:val="center"/>
          </w:tcPr>
          <w:p>
            <w:pPr>
              <w:spacing w:after="0"/>
              <w:jc w:val="center"/>
              <w:rPr>
                <w:rFonts w:hint="eastAsia" w:ascii="宋体" w:hAnsi="宋体"/>
                <w:color w:val="auto"/>
                <w:sz w:val="21"/>
                <w:szCs w:val="21"/>
                <w:highlight w:val="none"/>
                <w:lang w:val="en-US" w:eastAsia="zh-CN"/>
              </w:rPr>
            </w:pPr>
          </w:p>
        </w:tc>
        <w:tc>
          <w:tcPr>
            <w:tcW w:w="918" w:type="pct"/>
            <w:vMerge w:val="continue"/>
            <w:vAlign w:val="center"/>
          </w:tcPr>
          <w:p>
            <w:pPr>
              <w:adjustRightInd/>
              <w:snapToGrid/>
              <w:spacing w:after="0"/>
              <w:jc w:val="center"/>
              <w:rPr>
                <w:rFonts w:hint="eastAsia" w:ascii="宋体" w:hAnsi="宋体" w:eastAsia="宋体" w:cs="宋体"/>
                <w:color w:val="auto"/>
                <w:sz w:val="21"/>
                <w:szCs w:val="21"/>
                <w:highlight w:val="none"/>
              </w:rPr>
            </w:pPr>
          </w:p>
        </w:tc>
        <w:tc>
          <w:tcPr>
            <w:tcW w:w="481" w:type="pct"/>
            <w:vAlign w:val="center"/>
          </w:tcPr>
          <w:p>
            <w:pPr>
              <w:pStyle w:val="34"/>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3208" w:type="pct"/>
            <w:vAlign w:val="top"/>
          </w:tcPr>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根据投标人提供协议服务实施方案的质量和进度保证措施合理性进行综合评审：</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协议服务实施方案的质量和进度保证措施非常合理的，得6分；</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协议服务实施方案的质量和进度保证措施合理的，得3分；</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协议服务实施方案的质量和进度保证措施合理性一般的，得1分；</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未提供及其他情况不得分。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2" w:type="pct"/>
            <w:vAlign w:val="center"/>
          </w:tcPr>
          <w:p>
            <w:pPr>
              <w:spacing w:after="0"/>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11</w:t>
            </w:r>
          </w:p>
        </w:tc>
        <w:tc>
          <w:tcPr>
            <w:tcW w:w="918" w:type="pct"/>
            <w:vAlign w:val="center"/>
          </w:tcPr>
          <w:p>
            <w:pPr>
              <w:keepLines w:val="0"/>
              <w:pageBreakBefore w:val="0"/>
              <w:kinsoku/>
              <w:wordWrap/>
              <w:overflowPunct/>
              <w:topLinePunct w:val="0"/>
              <w:bidi w:val="0"/>
              <w:adjustRightInd/>
              <w:snapToGrid/>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服务评价</w:t>
            </w:r>
          </w:p>
        </w:tc>
        <w:tc>
          <w:tcPr>
            <w:tcW w:w="481" w:type="pct"/>
            <w:vAlign w:val="center"/>
          </w:tcPr>
          <w:p>
            <w:pPr>
              <w:keepLines w:val="0"/>
              <w:pageBreakBefore w:val="0"/>
              <w:kinsoku/>
              <w:wordWrap/>
              <w:overflowPunct/>
              <w:topLinePunct w:val="0"/>
              <w:bidi w:val="0"/>
              <w:adjustRightInd/>
              <w:snapToGrid/>
              <w:spacing w:after="0"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-10</w:t>
            </w:r>
          </w:p>
        </w:tc>
        <w:tc>
          <w:tcPr>
            <w:tcW w:w="3208" w:type="pct"/>
            <w:vAlign w:val="center"/>
          </w:tcPr>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横向比较各投标人的以往服务项目进行评价，包括业务水平、完成质量、工作效率、规范服务、职业道德、完善措施、服务态度等，进行扣分，最高扣10分。</w:t>
            </w:r>
          </w:p>
        </w:tc>
      </w:tr>
      <w:bookmarkEnd w:id="4"/>
    </w:tbl>
    <w:p>
      <w:pPr>
        <w:widowControl/>
        <w:tabs>
          <w:tab w:val="left" w:pos="907"/>
        </w:tabs>
        <w:snapToGrid w:val="0"/>
        <w:spacing w:line="360" w:lineRule="auto"/>
        <w:rPr>
          <w:rFonts w:hint="eastAsia" w:hAnsi="宋体" w:cs="宋体"/>
          <w:b/>
          <w:color w:val="auto"/>
          <w:sz w:val="21"/>
          <w:szCs w:val="21"/>
          <w:highlight w:val="none"/>
        </w:rPr>
      </w:pPr>
    </w:p>
    <w:p>
      <w:pPr>
        <w:widowControl/>
        <w:tabs>
          <w:tab w:val="left" w:pos="907"/>
        </w:tabs>
        <w:snapToGrid w:val="0"/>
        <w:spacing w:line="360" w:lineRule="auto"/>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注：根据所有评标委员会成员的打分，按照推荐综合得分与扣分评审合计后按顺序得分高低依次推荐</w:t>
      </w:r>
      <w:r>
        <w:rPr>
          <w:rFonts w:hint="eastAsia" w:hAnsi="宋体" w:cs="宋体"/>
          <w:b/>
          <w:color w:val="auto"/>
          <w:sz w:val="21"/>
          <w:szCs w:val="21"/>
          <w:highlight w:val="none"/>
          <w:lang w:val="en-US" w:eastAsia="zh-CN"/>
        </w:rPr>
        <w:t>总</w:t>
      </w:r>
      <w:r>
        <w:rPr>
          <w:rFonts w:hint="eastAsia" w:hAnsi="宋体" w:cs="宋体"/>
          <w:b/>
          <w:color w:val="auto"/>
          <w:sz w:val="21"/>
          <w:szCs w:val="21"/>
          <w:highlight w:val="none"/>
        </w:rPr>
        <w:t>得分≥</w:t>
      </w:r>
      <w:r>
        <w:rPr>
          <w:rFonts w:hint="eastAsia" w:hAnsi="宋体" w:cs="宋体"/>
          <w:b/>
          <w:color w:val="auto"/>
          <w:sz w:val="21"/>
          <w:szCs w:val="21"/>
          <w:highlight w:val="none"/>
          <w:lang w:val="en-US" w:eastAsia="zh-CN"/>
        </w:rPr>
        <w:t>80</w:t>
      </w:r>
      <w:r>
        <w:rPr>
          <w:rFonts w:hint="eastAsia" w:hAnsi="宋体" w:cs="宋体"/>
          <w:b/>
          <w:color w:val="auto"/>
          <w:sz w:val="21"/>
          <w:szCs w:val="21"/>
          <w:highlight w:val="none"/>
        </w:rPr>
        <w:t>分</w:t>
      </w:r>
      <w:r>
        <w:rPr>
          <w:rFonts w:hint="eastAsia" w:hAnsi="宋体" w:cs="宋体"/>
          <w:b/>
          <w:color w:val="auto"/>
          <w:sz w:val="21"/>
          <w:szCs w:val="21"/>
          <w:highlight w:val="none"/>
          <w:lang w:val="en-US" w:eastAsia="zh-CN"/>
        </w:rPr>
        <w:t>的</w:t>
      </w:r>
      <w:r>
        <w:rPr>
          <w:rFonts w:hint="eastAsia" w:hAnsi="宋体" w:cs="宋体"/>
          <w:b/>
          <w:color w:val="auto"/>
          <w:sz w:val="21"/>
          <w:szCs w:val="21"/>
          <w:highlight w:val="none"/>
        </w:rPr>
        <w:t>中标候选人</w:t>
      </w:r>
      <w:r>
        <w:rPr>
          <w:rFonts w:hint="eastAsia" w:hAnsi="宋体" w:cs="宋体"/>
          <w:b/>
          <w:color w:val="auto"/>
          <w:sz w:val="21"/>
          <w:szCs w:val="21"/>
          <w:highlight w:val="none"/>
          <w:lang w:val="en-US" w:eastAsia="zh-CN"/>
        </w:rPr>
        <w:t>10家</w:t>
      </w:r>
      <w:r>
        <w:rPr>
          <w:rFonts w:hint="eastAsia" w:hAnsi="宋体" w:cs="宋体"/>
          <w:b/>
          <w:color w:val="auto"/>
          <w:sz w:val="21"/>
          <w:szCs w:val="21"/>
          <w:highlight w:val="none"/>
        </w:rPr>
        <w:t>，合格投标人不足</w:t>
      </w:r>
      <w:r>
        <w:rPr>
          <w:rFonts w:hint="eastAsia" w:hAnsi="宋体" w:cs="宋体"/>
          <w:b/>
          <w:color w:val="auto"/>
          <w:sz w:val="21"/>
          <w:szCs w:val="21"/>
          <w:highlight w:val="none"/>
          <w:lang w:val="en-US" w:eastAsia="zh-CN"/>
        </w:rPr>
        <w:t>10家</w:t>
      </w:r>
      <w:r>
        <w:rPr>
          <w:rFonts w:hint="eastAsia" w:hAnsi="宋体" w:cs="宋体"/>
          <w:b/>
          <w:color w:val="auto"/>
          <w:sz w:val="21"/>
          <w:szCs w:val="21"/>
          <w:highlight w:val="none"/>
        </w:rPr>
        <w:t>，按实际数量推荐。</w:t>
      </w:r>
    </w:p>
    <w:p>
      <w:pPr>
        <w:widowControl/>
        <w:tabs>
          <w:tab w:val="left" w:pos="907"/>
        </w:tabs>
        <w:snapToGrid w:val="0"/>
        <w:spacing w:line="360" w:lineRule="auto"/>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按综合得分高低次序排出名次。得分相同的，按技术指标优劣顺序排列。评标委员会写出本次招标的评审报告，按照排列顺序向采购人推荐中标候选人。</w:t>
      </w:r>
    </w:p>
    <w:p>
      <w:pPr>
        <w:bidi w:val="0"/>
        <w:rPr>
          <w:color w:val="auto"/>
          <w:highlight w:val="none"/>
        </w:rPr>
      </w:pPr>
      <w:r>
        <w:rPr>
          <w:rFonts w:hint="eastAsia"/>
          <w:color w:val="auto"/>
          <w:highlight w:val="none"/>
        </w:rPr>
        <w:br w:type="page"/>
      </w:r>
    </w:p>
    <w:p>
      <w:pPr>
        <w:pStyle w:val="5"/>
        <w:spacing w:before="0" w:after="0" w:line="240" w:lineRule="auto"/>
        <w:rPr>
          <w:color w:val="auto"/>
          <w:sz w:val="36"/>
          <w:szCs w:val="36"/>
          <w:highlight w:val="none"/>
        </w:rPr>
      </w:pPr>
      <w:bookmarkStart w:id="5" w:name="_Toc74645196"/>
      <w:r>
        <w:rPr>
          <w:rFonts w:hint="eastAsia"/>
          <w:color w:val="auto"/>
          <w:sz w:val="28"/>
          <w:szCs w:val="28"/>
          <w:highlight w:val="none"/>
        </w:rPr>
        <w:t>第三部分用户需求书</w:t>
      </w:r>
      <w:bookmarkEnd w:id="5"/>
    </w:p>
    <w:p>
      <w:pPr>
        <w:pStyle w:val="6"/>
        <w:spacing w:before="0" w:after="0" w:line="360" w:lineRule="auto"/>
        <w:jc w:val="center"/>
        <w:rPr>
          <w:rFonts w:ascii="宋体" w:hAnsi="宋体" w:eastAsia="宋体" w:cs="宋体"/>
          <w:color w:val="auto"/>
          <w:sz w:val="24"/>
          <w:szCs w:val="24"/>
          <w:highlight w:val="none"/>
        </w:rPr>
      </w:pPr>
      <w:bookmarkStart w:id="6" w:name="_Toc74645197"/>
      <w:r>
        <w:rPr>
          <w:rFonts w:hint="eastAsia" w:ascii="宋体" w:hAnsi="宋体" w:eastAsia="宋体" w:cs="宋体"/>
          <w:color w:val="auto"/>
          <w:sz w:val="24"/>
          <w:szCs w:val="24"/>
          <w:highlight w:val="none"/>
        </w:rPr>
        <w:t>用户需求明细</w:t>
      </w:r>
      <w:bookmarkEnd w:id="6"/>
    </w:p>
    <w:p>
      <w:pPr>
        <w:pStyle w:val="7"/>
        <w:bidi w:val="0"/>
        <w:spacing w:line="360" w:lineRule="auto"/>
        <w:rPr>
          <w:rFonts w:hint="eastAsia"/>
          <w:color w:val="auto"/>
          <w:highlight w:val="none"/>
        </w:rPr>
      </w:pPr>
      <w:bookmarkStart w:id="7" w:name="_Toc24679"/>
      <w:bookmarkStart w:id="8" w:name="_Toc14462"/>
      <w:bookmarkStart w:id="9" w:name="_Toc13112"/>
      <w:bookmarkStart w:id="10" w:name="_Toc31278"/>
      <w:r>
        <w:rPr>
          <w:rFonts w:hint="eastAsia"/>
          <w:color w:val="auto"/>
          <w:highlight w:val="none"/>
        </w:rPr>
        <w:t>一、项目概述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为使</w:t>
      </w:r>
      <w:r>
        <w:rPr>
          <w:rFonts w:hint="eastAsia" w:ascii="宋体" w:hAnsi="宋体" w:eastAsia="宋体" w:cs="宋体"/>
          <w:color w:val="auto"/>
          <w:sz w:val="21"/>
          <w:szCs w:val="21"/>
          <w:highlight w:val="none"/>
        </w:rPr>
        <w:t>东实集团及下属公司相关建设项目获得足够的技术服务支持，保障项目的顺利进行，现通过公开招标的采购方式甄选服务单位负责合同期间采购人相关建设项目的</w:t>
      </w:r>
      <w:r>
        <w:rPr>
          <w:rFonts w:hint="eastAsia" w:ascii="宋体" w:hAnsi="宋体" w:eastAsia="宋体" w:cs="宋体"/>
          <w:color w:val="auto"/>
          <w:kern w:val="28"/>
          <w:sz w:val="21"/>
          <w:szCs w:val="21"/>
          <w:highlight w:val="none"/>
        </w:rPr>
        <w:t>工程检测</w:t>
      </w:r>
      <w:r>
        <w:rPr>
          <w:rFonts w:hint="eastAsia" w:ascii="宋体" w:hAnsi="宋体" w:eastAsia="宋体" w:cs="宋体"/>
          <w:color w:val="auto"/>
          <w:sz w:val="21"/>
          <w:szCs w:val="21"/>
          <w:highlight w:val="none"/>
        </w:rPr>
        <w:t>服务工作</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为提高公司的工作效率，建立工程建设项目服务单位名录库。</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本项目招标范围如下：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0"/>
        <w:gridCol w:w="1568"/>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700" w:type="dxa"/>
            <w:noWrap w:val="0"/>
            <w:vAlign w:val="center"/>
          </w:tcPr>
          <w:p>
            <w:pPr>
              <w:spacing w:line="360" w:lineRule="auto"/>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项目采购内容</w:t>
            </w:r>
          </w:p>
        </w:tc>
        <w:tc>
          <w:tcPr>
            <w:tcW w:w="1568" w:type="dxa"/>
            <w:noWrap w:val="0"/>
            <w:vAlign w:val="center"/>
          </w:tcPr>
          <w:p>
            <w:pPr>
              <w:spacing w:line="360" w:lineRule="auto"/>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入围家数</w:t>
            </w:r>
          </w:p>
        </w:tc>
        <w:tc>
          <w:tcPr>
            <w:tcW w:w="2868" w:type="dxa"/>
            <w:noWrap w:val="0"/>
            <w:vAlign w:val="center"/>
          </w:tcPr>
          <w:p>
            <w:pPr>
              <w:spacing w:line="360" w:lineRule="auto"/>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70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建设工程检测单位协议供应商</w:t>
            </w:r>
          </w:p>
        </w:tc>
        <w:tc>
          <w:tcPr>
            <w:tcW w:w="1568"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十家</w:t>
            </w:r>
          </w:p>
        </w:tc>
        <w:tc>
          <w:tcPr>
            <w:tcW w:w="2868" w:type="dxa"/>
            <w:noWrap w:val="0"/>
            <w:vAlign w:val="center"/>
          </w:tcPr>
          <w:p>
            <w:pPr>
              <w:pStyle w:val="5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确定服务资格之日起三年</w:t>
            </w:r>
          </w:p>
        </w:tc>
      </w:tr>
    </w:tbl>
    <w:p>
      <w:pPr>
        <w:pageBreakBefore w:val="0"/>
        <w:numPr>
          <w:ilvl w:val="1"/>
          <w:numId w:val="0"/>
          <w:ins w:id="0" w:author="admin" w:date=""/>
        </w:numPr>
        <w:tabs>
          <w:tab w:val="left" w:pos="420"/>
        </w:tabs>
        <w:kinsoku/>
        <w:wordWrap/>
        <w:overflowPunct/>
        <w:topLinePunct w:val="0"/>
        <w:bidi w:val="0"/>
        <w:adjustRightInd w:val="0"/>
        <w:snapToGrid w:val="0"/>
        <w:spacing w:after="0" w:line="360" w:lineRule="auto"/>
        <w:ind w:firstLine="315" w:firstLineChars="15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28"/>
          <w:sz w:val="21"/>
          <w:szCs w:val="21"/>
          <w:highlight w:val="none"/>
        </w:rPr>
        <w:t xml:space="preserve"> </w:t>
      </w:r>
      <w:r>
        <w:rPr>
          <w:rFonts w:hint="eastAsia" w:ascii="宋体" w:hAnsi="宋体" w:eastAsia="宋体" w:cs="宋体"/>
          <w:b/>
          <w:color w:val="auto"/>
          <w:sz w:val="21"/>
          <w:szCs w:val="21"/>
          <w:highlight w:val="none"/>
        </w:rPr>
        <w:t>★</w:t>
      </w:r>
      <w:r>
        <w:rPr>
          <w:rFonts w:hint="eastAsia" w:ascii="宋体" w:hAnsi="宋体" w:eastAsia="宋体" w:cs="宋体"/>
          <w:b/>
          <w:color w:val="auto"/>
          <w:kern w:val="28"/>
          <w:sz w:val="21"/>
          <w:szCs w:val="21"/>
          <w:highlight w:val="none"/>
        </w:rPr>
        <w:t>注：</w:t>
      </w:r>
      <w:r>
        <w:rPr>
          <w:rFonts w:hint="eastAsia" w:ascii="宋体" w:hAnsi="宋体" w:cs="宋体"/>
          <w:b/>
          <w:color w:val="auto"/>
          <w:kern w:val="28"/>
          <w:sz w:val="21"/>
          <w:szCs w:val="21"/>
          <w:highlight w:val="none"/>
          <w:lang w:val="en-US" w:eastAsia="zh-CN"/>
        </w:rPr>
        <w:t>参加投标的家数未达到入围家数时，作流标处理</w:t>
      </w:r>
      <w:r>
        <w:rPr>
          <w:rFonts w:hint="eastAsia" w:ascii="宋体" w:hAnsi="宋体" w:eastAsia="宋体" w:cs="宋体"/>
          <w:b/>
          <w:color w:val="auto"/>
          <w:sz w:val="21"/>
          <w:szCs w:val="21"/>
          <w:highlight w:val="none"/>
        </w:rPr>
        <w:t>。</w:t>
      </w:r>
    </w:p>
    <w:p>
      <w:pPr>
        <w:bidi w:val="0"/>
        <w:spacing w:line="360" w:lineRule="auto"/>
        <w:rPr>
          <w:rFonts w:hint="eastAsia"/>
          <w:color w:val="auto"/>
          <w:highlight w:val="none"/>
        </w:rPr>
      </w:pPr>
    </w:p>
    <w:p>
      <w:pPr>
        <w:pStyle w:val="7"/>
        <w:bidi w:val="0"/>
        <w:spacing w:line="360" w:lineRule="auto"/>
        <w:rPr>
          <w:rFonts w:hint="eastAsia"/>
          <w:color w:val="auto"/>
          <w:highlight w:val="none"/>
        </w:rPr>
      </w:pPr>
      <w:r>
        <w:rPr>
          <w:rFonts w:hint="eastAsia"/>
          <w:color w:val="auto"/>
          <w:highlight w:val="none"/>
        </w:rPr>
        <w:t>二、服务范围</w:t>
      </w:r>
    </w:p>
    <w:p>
      <w:pPr>
        <w:tabs>
          <w:tab w:val="left" w:pos="21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根据建设单位的工程需要，委托服务单位进行的工程检测服务项目。</w:t>
      </w:r>
    </w:p>
    <w:p>
      <w:pPr>
        <w:spacing w:line="360" w:lineRule="auto"/>
        <w:rPr>
          <w:rFonts w:hint="eastAsia" w:ascii="宋体" w:hAnsi="宋体" w:eastAsia="宋体" w:cs="宋体"/>
          <w:color w:val="auto"/>
          <w:kern w:val="28"/>
          <w:sz w:val="21"/>
          <w:szCs w:val="21"/>
          <w:highlight w:val="none"/>
          <w:lang w:val="zh-CN"/>
        </w:rPr>
      </w:pPr>
    </w:p>
    <w:p>
      <w:pPr>
        <w:pStyle w:val="7"/>
        <w:bidi w:val="0"/>
        <w:spacing w:line="360" w:lineRule="auto"/>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、收费标准</w:t>
      </w:r>
    </w:p>
    <w:p>
      <w:pPr>
        <w:spacing w:line="360" w:lineRule="auto"/>
        <w:ind w:firstLine="420" w:firstLineChars="200"/>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1</w:t>
      </w:r>
      <w:r>
        <w:rPr>
          <w:rFonts w:hint="eastAsia" w:ascii="宋体" w:hAnsi="宋体" w:cs="宋体"/>
          <w:color w:val="auto"/>
          <w:kern w:val="28"/>
          <w:sz w:val="21"/>
          <w:szCs w:val="21"/>
          <w:highlight w:val="none"/>
          <w:lang w:eastAsia="zh-CN"/>
        </w:rPr>
        <w:t>、</w:t>
      </w:r>
      <w:r>
        <w:rPr>
          <w:rFonts w:hint="eastAsia" w:ascii="宋体" w:hAnsi="宋体" w:eastAsia="宋体" w:cs="宋体"/>
          <w:color w:val="auto"/>
          <w:kern w:val="28"/>
          <w:sz w:val="21"/>
          <w:szCs w:val="21"/>
          <w:highlight w:val="none"/>
        </w:rPr>
        <w:t>收费标准参照东莞市建设工程检测行业协会发布的《东莞市建设工程检测行业参考收费标准》（2020版），未函盖的部分参照《广东省房屋建筑和市政工程质量安全检测收费指导价》（粤建检协[2015]8号）。</w:t>
      </w:r>
    </w:p>
    <w:p>
      <w:pPr>
        <w:spacing w:line="360" w:lineRule="auto"/>
        <w:ind w:firstLine="420" w:firstLineChars="200"/>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2</w:t>
      </w:r>
      <w:r>
        <w:rPr>
          <w:rFonts w:hint="eastAsia" w:ascii="宋体" w:hAnsi="宋体" w:cs="宋体"/>
          <w:color w:val="auto"/>
          <w:kern w:val="28"/>
          <w:sz w:val="21"/>
          <w:szCs w:val="21"/>
          <w:highlight w:val="none"/>
          <w:lang w:eastAsia="zh-CN"/>
        </w:rPr>
        <w:t>、</w:t>
      </w:r>
      <w:r>
        <w:rPr>
          <w:rFonts w:hint="eastAsia" w:ascii="宋体" w:hAnsi="宋体" w:eastAsia="宋体" w:cs="宋体"/>
          <w:color w:val="auto"/>
          <w:kern w:val="28"/>
          <w:sz w:val="21"/>
          <w:szCs w:val="21"/>
          <w:highlight w:val="none"/>
        </w:rPr>
        <w:t>按照收费标准固定下浮30%。</w:t>
      </w:r>
    </w:p>
    <w:p>
      <w:pPr>
        <w:spacing w:line="360" w:lineRule="auto"/>
        <w:rPr>
          <w:rFonts w:hint="eastAsia" w:ascii="宋体" w:hAnsi="宋体" w:eastAsia="宋体" w:cs="宋体"/>
          <w:b/>
          <w:color w:val="auto"/>
          <w:sz w:val="21"/>
          <w:szCs w:val="21"/>
          <w:highlight w:val="none"/>
        </w:rPr>
      </w:pPr>
    </w:p>
    <w:p>
      <w:pPr>
        <w:pStyle w:val="7"/>
        <w:bidi w:val="0"/>
        <w:spacing w:line="360" w:lineRule="auto"/>
        <w:rPr>
          <w:rFonts w:hint="eastAsia"/>
          <w:color w:val="auto"/>
          <w:highlight w:val="none"/>
        </w:rPr>
      </w:pPr>
      <w:r>
        <w:rPr>
          <w:rFonts w:hint="eastAsia"/>
          <w:color w:val="auto"/>
          <w:highlight w:val="none"/>
          <w:lang w:val="en-US" w:eastAsia="zh-CN"/>
        </w:rPr>
        <w:t>四</w:t>
      </w:r>
      <w:r>
        <w:rPr>
          <w:rFonts w:hint="eastAsia"/>
          <w:color w:val="auto"/>
          <w:highlight w:val="none"/>
        </w:rPr>
        <w:t>、项目委派方式</w:t>
      </w:r>
    </w:p>
    <w:p>
      <w:pPr>
        <w:spacing w:line="360" w:lineRule="auto"/>
        <w:ind w:firstLine="420" w:firstLineChars="200"/>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检测单位协议供应商库建成后，实行在库单位以抽签轮单轮排的方式承接任务。</w:t>
      </w:r>
    </w:p>
    <w:p>
      <w:pPr>
        <w:spacing w:line="360" w:lineRule="auto"/>
        <w:ind w:firstLine="420" w:firstLineChars="200"/>
        <w:rPr>
          <w:rFonts w:hint="eastAsia" w:ascii="宋体" w:hAnsi="宋体" w:eastAsia="宋体" w:cs="宋体"/>
          <w:color w:val="auto"/>
          <w:kern w:val="28"/>
          <w:sz w:val="21"/>
          <w:szCs w:val="21"/>
          <w:highlight w:val="none"/>
        </w:rPr>
      </w:pPr>
    </w:p>
    <w:p>
      <w:pPr>
        <w:pStyle w:val="7"/>
        <w:bidi w:val="0"/>
        <w:spacing w:line="360" w:lineRule="auto"/>
        <w:rPr>
          <w:rFonts w:hint="eastAsia"/>
          <w:color w:val="auto"/>
          <w:highlight w:val="none"/>
        </w:rPr>
      </w:pPr>
      <w:r>
        <w:rPr>
          <w:rFonts w:hint="eastAsia"/>
          <w:color w:val="auto"/>
          <w:highlight w:val="none"/>
        </w:rPr>
        <w:t>★</w:t>
      </w:r>
      <w:r>
        <w:rPr>
          <w:rFonts w:hint="eastAsia"/>
          <w:color w:val="auto"/>
          <w:highlight w:val="none"/>
          <w:lang w:val="en-US" w:eastAsia="zh-CN"/>
        </w:rPr>
        <w:t>五</w:t>
      </w:r>
      <w:r>
        <w:rPr>
          <w:rFonts w:hint="eastAsia"/>
          <w:color w:val="auto"/>
          <w:highlight w:val="none"/>
        </w:rPr>
        <w:t>、工作开展时限</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建设单位委托项目给服务单位之后，服务单位在接到进场通知后，必须在24小时内到达指定地点开展检测及相关服务工作，不得以任何理由拒绝建设单位的委托。</w:t>
      </w:r>
    </w:p>
    <w:p>
      <w:pPr>
        <w:spacing w:line="360" w:lineRule="auto"/>
        <w:rPr>
          <w:rFonts w:hint="eastAsia" w:ascii="宋体" w:hAnsi="宋体" w:eastAsia="宋体" w:cs="宋体"/>
          <w:b/>
          <w:color w:val="auto"/>
          <w:sz w:val="21"/>
          <w:szCs w:val="21"/>
          <w:highlight w:val="none"/>
        </w:rPr>
      </w:pPr>
    </w:p>
    <w:p>
      <w:pPr>
        <w:pStyle w:val="7"/>
        <w:bidi w:val="0"/>
        <w:spacing w:line="360" w:lineRule="auto"/>
        <w:rPr>
          <w:rFonts w:hint="eastAsia"/>
          <w:color w:val="auto"/>
          <w:highlight w:val="none"/>
          <w:lang w:val="zh-CN"/>
        </w:rPr>
      </w:pPr>
      <w:r>
        <w:rPr>
          <w:rFonts w:hint="eastAsia"/>
          <w:color w:val="auto"/>
          <w:highlight w:val="none"/>
          <w:lang w:val="en-US" w:eastAsia="zh-CN"/>
        </w:rPr>
        <w:t>六</w:t>
      </w:r>
      <w:r>
        <w:rPr>
          <w:rFonts w:hint="eastAsia"/>
          <w:color w:val="auto"/>
          <w:highlight w:val="none"/>
        </w:rPr>
        <w:t>、服务条款</w:t>
      </w:r>
    </w:p>
    <w:p>
      <w:pPr>
        <w:numPr>
          <w:ilvl w:val="0"/>
          <w:numId w:val="1"/>
        </w:numPr>
        <w:spacing w:line="360" w:lineRule="auto"/>
        <w:ind w:left="420" w:left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服务单位须无条件接受建设单位的工作安排，不得将项目转包和分包。</w:t>
      </w:r>
    </w:p>
    <w:p>
      <w:pPr>
        <w:numPr>
          <w:ilvl w:val="0"/>
          <w:numId w:val="1"/>
        </w:numPr>
        <w:spacing w:line="360" w:lineRule="auto"/>
        <w:ind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单位须指定项目负责人作为与建设单位的联系人，该联系人必须是服务单位的正式员工；服务单位负责项目工作的负责人与主要专业人员必须专职投入项目，若因特殊原因需更换负责人，需经采购人或建设单位书面同意。</w:t>
      </w:r>
    </w:p>
    <w:p>
      <w:pPr>
        <w:numPr>
          <w:ilvl w:val="0"/>
          <w:numId w:val="1"/>
        </w:numPr>
        <w:spacing w:line="360" w:lineRule="auto"/>
        <w:ind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服务单位需按建设单位具体要求提交所要求数量的项目技术文件。</w:t>
      </w:r>
    </w:p>
    <w:p>
      <w:pPr>
        <w:numPr>
          <w:ilvl w:val="0"/>
          <w:numId w:val="1"/>
        </w:numPr>
        <w:spacing w:line="360" w:lineRule="auto"/>
        <w:ind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服务单位应承担由自身过错导致的任何责任。</w:t>
      </w:r>
    </w:p>
    <w:p>
      <w:pPr>
        <w:numPr>
          <w:ilvl w:val="0"/>
          <w:numId w:val="1"/>
        </w:numPr>
        <w:spacing w:line="360" w:lineRule="auto"/>
        <w:ind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服务单位应对建设单位委托各项目的内容予以严格保密。</w:t>
      </w:r>
    </w:p>
    <w:p>
      <w:pPr>
        <w:numPr>
          <w:ilvl w:val="0"/>
          <w:numId w:val="1"/>
        </w:numPr>
        <w:spacing w:line="360" w:lineRule="auto"/>
        <w:ind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将对服务单位实行动态管理，对服务单位的服务承诺、服务态度等进行定期和不定期的考核，一旦发现服务单位违反招标文件要求及其承诺，将要求其限期整改，整改期间暂停其服务资格，整改完成后达到要求则恢复其资格，否则取消其资格。</w:t>
      </w:r>
    </w:p>
    <w:p>
      <w:pPr>
        <w:numPr>
          <w:ilvl w:val="0"/>
          <w:numId w:val="1"/>
        </w:numPr>
        <w:spacing w:line="360" w:lineRule="auto"/>
        <w:ind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服务单位获得服务资格后，不保证具体承担的工程检测数量</w:t>
      </w:r>
    </w:p>
    <w:p>
      <w:pPr>
        <w:numPr>
          <w:ilvl w:val="0"/>
          <w:numId w:val="1"/>
        </w:numPr>
        <w:spacing w:line="360" w:lineRule="auto"/>
        <w:ind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单位不得以任何理由拒绝建设单位分配的任务。对第一次拒绝接受任务的服务单位，取消本轮承担任务资格,并暂停两次抽签承接任务资格。第二次拒绝接受任务的，暂停四次抽签承接任务资格；第三次拒绝接受分配的，建设单位予以解除服务合同，并没收履约保证金。</w:t>
      </w:r>
    </w:p>
    <w:p>
      <w:pPr>
        <w:numPr>
          <w:ilvl w:val="0"/>
          <w:numId w:val="1"/>
        </w:numPr>
        <w:spacing w:line="360" w:lineRule="auto"/>
        <w:ind w:firstLine="369" w:firstLineChars="175"/>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服务单位须提供真实的检测数据，如有弄虚作假，委托人有权解除服务合同，并报相关行政主管部门予以处罚。</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hint="eastAsia" w:ascii="宋体" w:hAnsi="宋体" w:eastAsia="宋体"/>
          <w:b/>
          <w:bCs/>
          <w:color w:val="auto"/>
          <w:sz w:val="21"/>
          <w:szCs w:val="21"/>
          <w:highlight w:val="none"/>
          <w:lang w:val="en-US" w:eastAsia="zh-CN"/>
        </w:rPr>
      </w:pPr>
      <w:r>
        <w:rPr>
          <w:rFonts w:hint="eastAsia"/>
          <w:b/>
          <w:bCs/>
          <w:color w:val="auto"/>
          <w:highlight w:val="none"/>
        </w:rPr>
        <w:t>★</w:t>
      </w:r>
      <w:r>
        <w:rPr>
          <w:rFonts w:hint="eastAsia" w:ascii="宋体" w:hAnsi="宋体"/>
          <w:b/>
          <w:bCs/>
          <w:color w:val="auto"/>
          <w:sz w:val="21"/>
          <w:szCs w:val="21"/>
          <w:highlight w:val="none"/>
          <w:lang w:val="en-US" w:eastAsia="zh-CN"/>
        </w:rPr>
        <w:t>10、服务单位须在东莞市住房和城乡建设局建立对应的企业类型信用档案，企业信用档案显示为“可用状态”，且其建设工程质量检测管理信息系统已经办理连接检测监管系统的手续。（须提供投标截止日前一天在东莞建设网站查询获取的工程质量检测企业显示为“可用状态”的信用档案截图，并加盖投标人公章）</w:t>
      </w:r>
    </w:p>
    <w:p>
      <w:pPr>
        <w:spacing w:line="360" w:lineRule="auto"/>
        <w:rPr>
          <w:rFonts w:hint="eastAsia" w:ascii="宋体" w:hAnsi="宋体" w:eastAsia="宋体" w:cs="宋体"/>
          <w:color w:val="auto"/>
          <w:sz w:val="21"/>
          <w:szCs w:val="21"/>
          <w:highlight w:val="none"/>
        </w:rPr>
      </w:pPr>
    </w:p>
    <w:p>
      <w:pPr>
        <w:pStyle w:val="7"/>
        <w:bidi w:val="0"/>
        <w:spacing w:line="360" w:lineRule="auto"/>
        <w:rPr>
          <w:rFonts w:hint="eastAsia"/>
          <w:color w:val="auto"/>
          <w:highlight w:val="none"/>
          <w:lang w:val="zh-CN"/>
        </w:rPr>
      </w:pPr>
      <w:r>
        <w:rPr>
          <w:rFonts w:hint="eastAsia"/>
          <w:color w:val="auto"/>
          <w:highlight w:val="none"/>
          <w:lang w:val="en-US" w:eastAsia="zh-CN"/>
        </w:rPr>
        <w:t>七</w:t>
      </w:r>
      <w:r>
        <w:rPr>
          <w:rFonts w:hint="eastAsia"/>
          <w:color w:val="auto"/>
          <w:highlight w:val="none"/>
        </w:rPr>
        <w:t>、其他要求</w:t>
      </w:r>
    </w:p>
    <w:p>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1、服务单位在</w:t>
      </w:r>
      <w:r>
        <w:rPr>
          <w:rFonts w:hint="eastAsia" w:ascii="宋体" w:hAnsi="宋体" w:eastAsia="宋体" w:cs="宋体"/>
          <w:color w:val="auto"/>
          <w:sz w:val="21"/>
          <w:szCs w:val="21"/>
          <w:highlight w:val="none"/>
          <w:lang w:val="en-US" w:eastAsia="zh-CN"/>
        </w:rPr>
        <w:t>服务范围</w:t>
      </w:r>
      <w:r>
        <w:rPr>
          <w:rFonts w:hint="eastAsia" w:ascii="宋体" w:hAnsi="宋体" w:eastAsia="宋体" w:cs="宋体"/>
          <w:color w:val="auto"/>
          <w:sz w:val="21"/>
          <w:szCs w:val="21"/>
          <w:highlight w:val="none"/>
        </w:rPr>
        <w:t>有固定的服务场所，且办公环境、硬件设施符合国家相关规定。</w:t>
      </w:r>
    </w:p>
    <w:p>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2、有健全的组织机构的内部管理制度，有完善的质量保证体系和技术经济档案管理制度，有良好的服务态度和较好的社会信誉。</w:t>
      </w:r>
    </w:p>
    <w:p>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3、服务单位应当配合建设单位，完成其他与委托业务相关的工作。</w:t>
      </w:r>
    </w:p>
    <w:p>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4、服务单位应当坚持公正、科学、诚信的工作原则，遵守职业道德，讲求专业信誉，对社会责任负责，对建设单位负责，不得违反国家法律、法规、政策及有关管理要求。</w:t>
      </w:r>
    </w:p>
    <w:p>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5、服务单位在服务过程中应积极主动与建设单位进行沟通。本着诚实信用的原则，高效率的提供本需求规定的各项服务。</w:t>
      </w:r>
    </w:p>
    <w:p>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6、本项目执行过程中将遵循国家、省、市有关法律、法规、标准、技术规范和规范性文件的最新规定。</w:t>
      </w:r>
    </w:p>
    <w:p>
      <w:pPr>
        <w:spacing w:after="0" w:line="360" w:lineRule="auto"/>
        <w:ind w:firstLine="422" w:firstLineChars="200"/>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注：不满足招标文件中 “★”条款的投标文件将作无效投标处理。</w:t>
      </w:r>
      <w:bookmarkEnd w:id="7"/>
      <w:bookmarkEnd w:id="8"/>
      <w:bookmarkEnd w:id="9"/>
      <w:bookmarkEnd w:id="10"/>
    </w:p>
    <w:p>
      <w:pPr>
        <w:pStyle w:val="5"/>
        <w:spacing w:before="0" w:after="0" w:line="240" w:lineRule="auto"/>
        <w:rPr>
          <w:color w:val="auto"/>
          <w:sz w:val="24"/>
          <w:szCs w:val="24"/>
          <w:highlight w:val="none"/>
        </w:rPr>
      </w:pPr>
      <w:bookmarkStart w:id="11" w:name="_Toc74645198"/>
      <w:r>
        <w:rPr>
          <w:rFonts w:hint="eastAsia"/>
          <w:color w:val="auto"/>
          <w:sz w:val="28"/>
          <w:szCs w:val="28"/>
          <w:highlight w:val="none"/>
        </w:rPr>
        <w:t>第四部分投标人须知</w:t>
      </w:r>
      <w:bookmarkEnd w:id="11"/>
    </w:p>
    <w:p>
      <w:pPr>
        <w:pStyle w:val="6"/>
        <w:numPr>
          <w:ilvl w:val="0"/>
          <w:numId w:val="2"/>
        </w:numPr>
        <w:spacing w:before="0" w:after="0" w:line="480" w:lineRule="auto"/>
        <w:jc w:val="center"/>
        <w:rPr>
          <w:rFonts w:ascii="宋体" w:hAnsi="宋体" w:eastAsia="宋体"/>
          <w:color w:val="auto"/>
          <w:highlight w:val="none"/>
        </w:rPr>
      </w:pPr>
      <w:bookmarkStart w:id="12" w:name="_Toc74645199"/>
      <w:r>
        <w:rPr>
          <w:rFonts w:hint="eastAsia" w:ascii="宋体" w:hAnsi="宋体" w:eastAsia="宋体"/>
          <w:color w:val="auto"/>
          <w:highlight w:val="none"/>
        </w:rPr>
        <w:t>说明</w:t>
      </w:r>
      <w:bookmarkEnd w:id="12"/>
    </w:p>
    <w:p>
      <w:pPr>
        <w:pStyle w:val="7"/>
        <w:widowControl w:val="0"/>
        <w:overflowPunct w:val="0"/>
        <w:spacing w:before="0" w:after="0" w:line="240" w:lineRule="auto"/>
        <w:rPr>
          <w:rFonts w:ascii="宋体" w:hAnsi="宋体" w:eastAsia="宋体"/>
          <w:color w:val="auto"/>
          <w:sz w:val="21"/>
          <w:szCs w:val="21"/>
          <w:highlight w:val="none"/>
        </w:rPr>
      </w:pPr>
      <w:bookmarkStart w:id="13" w:name="_Toc74645200"/>
      <w:r>
        <w:rPr>
          <w:rFonts w:hint="eastAsia" w:ascii="宋体" w:hAnsi="宋体" w:eastAsia="宋体"/>
          <w:color w:val="auto"/>
          <w:sz w:val="21"/>
          <w:szCs w:val="21"/>
          <w:highlight w:val="none"/>
        </w:rPr>
        <w:t>1.适用范围</w:t>
      </w:r>
      <w:bookmarkEnd w:id="13"/>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4" w:name="_Toc74645201"/>
      <w:r>
        <w:rPr>
          <w:rFonts w:hint="eastAsia" w:ascii="宋体" w:hAnsi="宋体" w:eastAsia="宋体"/>
          <w:color w:val="auto"/>
          <w:sz w:val="21"/>
          <w:szCs w:val="21"/>
          <w:highlight w:val="none"/>
        </w:rPr>
        <w:t>2.</w:t>
      </w:r>
      <w:bookmarkStart w:id="15" w:name="_Toc298847174"/>
      <w:bookmarkStart w:id="16" w:name="_Toc1530"/>
      <w:bookmarkStart w:id="17" w:name="_Toc303084246"/>
      <w:bookmarkStart w:id="18" w:name="_Toc382049092"/>
      <w:r>
        <w:rPr>
          <w:rFonts w:hint="eastAsia" w:ascii="宋体" w:hAnsi="宋体" w:eastAsia="宋体"/>
          <w:color w:val="auto"/>
          <w:sz w:val="21"/>
          <w:szCs w:val="21"/>
          <w:highlight w:val="none"/>
        </w:rPr>
        <w:t>定义</w:t>
      </w:r>
      <w:bookmarkEnd w:id="14"/>
      <w:bookmarkEnd w:id="15"/>
      <w:bookmarkEnd w:id="16"/>
      <w:bookmarkEnd w:id="17"/>
      <w:bookmarkEnd w:id="18"/>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w:t>
      </w:r>
      <w:r>
        <w:rPr>
          <w:rFonts w:hint="eastAsia" w:ascii="宋体" w:hAnsi="宋体" w:eastAsia="宋体"/>
          <w:color w:val="auto"/>
          <w:sz w:val="21"/>
          <w:szCs w:val="21"/>
          <w:highlight w:val="none"/>
          <w:lang w:eastAsia="zh-CN"/>
        </w:rPr>
        <w:t>东莞实业投资控股集团有限公司</w:t>
      </w:r>
      <w:r>
        <w:rPr>
          <w:rFonts w:hint="eastAsia" w:ascii="宋体" w:hAnsi="宋体" w:eastAsia="宋体"/>
          <w:color w:val="auto"/>
          <w:sz w:val="21"/>
          <w:szCs w:val="21"/>
          <w:highlight w:val="none"/>
        </w:rPr>
        <w:t>。</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评标委员会：评标委员会是依据相关规定组建的专门负责本次招标其评标工作的临时性机构。</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9" w:name="_Toc74645202"/>
      <w:r>
        <w:rPr>
          <w:rFonts w:hint="eastAsia" w:ascii="宋体" w:hAnsi="宋体" w:eastAsia="宋体"/>
          <w:color w:val="auto"/>
          <w:sz w:val="21"/>
          <w:szCs w:val="21"/>
          <w:highlight w:val="none"/>
        </w:rPr>
        <w:t>3.货物和服务</w:t>
      </w:r>
      <w:bookmarkEnd w:id="19"/>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除货物和工程以外的其他采购对象</w:t>
      </w:r>
      <w:r>
        <w:rPr>
          <w:rFonts w:hint="eastAsia" w:ascii="宋体" w:hAnsi="宋体" w:eastAsia="宋体"/>
          <w:color w:val="auto"/>
          <w:sz w:val="21"/>
          <w:szCs w:val="21"/>
          <w:highlight w:val="none"/>
        </w:rPr>
        <w:t>。</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20" w:name="_Toc74645203"/>
      <w:r>
        <w:rPr>
          <w:rFonts w:hint="eastAsia" w:ascii="宋体" w:hAnsi="宋体" w:eastAsia="宋体"/>
          <w:color w:val="auto"/>
          <w:sz w:val="21"/>
          <w:szCs w:val="21"/>
          <w:highlight w:val="none"/>
        </w:rPr>
        <w:t>4.投标费用</w:t>
      </w:r>
      <w:bookmarkEnd w:id="20"/>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21" w:name="_Toc74645204"/>
      <w:r>
        <w:rPr>
          <w:rFonts w:hint="eastAsia" w:ascii="宋体" w:hAnsi="宋体" w:eastAsia="宋体"/>
          <w:color w:val="auto"/>
          <w:sz w:val="21"/>
          <w:szCs w:val="21"/>
          <w:highlight w:val="none"/>
        </w:rPr>
        <w:t>5.知识产权</w:t>
      </w:r>
      <w:bookmarkEnd w:id="21"/>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w:t>
      </w:r>
      <w:r>
        <w:rPr>
          <w:rFonts w:ascii="宋体" w:hAnsi="宋体" w:eastAsia="宋体"/>
          <w:color w:val="auto"/>
          <w:sz w:val="21"/>
          <w:szCs w:val="21"/>
          <w:highlight w:val="none"/>
        </w:rPr>
        <w:t>计算机办公设备时，</w:t>
      </w:r>
      <w:r>
        <w:rPr>
          <w:rFonts w:hint="eastAsia" w:ascii="宋体" w:hAnsi="宋体" w:eastAsia="宋体"/>
          <w:color w:val="auto"/>
          <w:sz w:val="21"/>
          <w:szCs w:val="21"/>
          <w:highlight w:val="none"/>
        </w:rPr>
        <w:t>投标人提供的产品必须是</w:t>
      </w:r>
      <w:r>
        <w:rPr>
          <w:rFonts w:ascii="宋体" w:hAnsi="宋体" w:eastAsia="宋体"/>
          <w:color w:val="auto"/>
          <w:sz w:val="21"/>
          <w:szCs w:val="21"/>
          <w:highlight w:val="none"/>
        </w:rPr>
        <w:t>预装正版操作系统软件的计算机产品</w:t>
      </w:r>
      <w:r>
        <w:rPr>
          <w:rFonts w:hint="eastAsia"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22" w:name="_Toc74645205"/>
      <w:r>
        <w:rPr>
          <w:rFonts w:hint="eastAsia" w:ascii="宋体" w:hAnsi="宋体" w:eastAsia="宋体"/>
          <w:color w:val="auto"/>
          <w:sz w:val="21"/>
          <w:szCs w:val="21"/>
          <w:highlight w:val="none"/>
        </w:rPr>
        <w:t>6.关于联合体投标</w:t>
      </w:r>
      <w:bookmarkEnd w:id="22"/>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对接受联合体投标的项目：两个以上的自然人、法人或者其他组织可以组成一个联合体，以一个投标人的身份共同参加采购活动。</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以联合体形式参与项目的供应商在领购招标文件时，应提供所有联合体组成成员的营业执照复印件，并加盖各联合体组成成员的公章。</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联合体各方均应具有独立承担民事责任能力的法人或其他组织。</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以联合体形式参加采购活动，联合体各方均为中小企业的，联合体视同中小企业。其中，联合体各方均为小微企业的，联合体视同小微企业。双方均应提供《中小企业声明函》。</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23" w:name="_Toc74645206"/>
      <w:r>
        <w:rPr>
          <w:rFonts w:hint="eastAsia" w:ascii="宋体" w:hAnsi="宋体" w:eastAsia="宋体"/>
          <w:color w:val="auto"/>
          <w:sz w:val="21"/>
          <w:szCs w:val="21"/>
          <w:highlight w:val="none"/>
        </w:rPr>
        <w:t>7.关于分支机构投标</w:t>
      </w:r>
      <w:bookmarkEnd w:id="23"/>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bookmarkStart w:id="24" w:name="EB389f116341dd4693875bc7987e7327f3"/>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4"/>
    </w:p>
    <w:p>
      <w:pPr>
        <w:rPr>
          <w:color w:val="auto"/>
          <w:highlight w:val="none"/>
        </w:rPr>
      </w:pPr>
    </w:p>
    <w:p>
      <w:pPr>
        <w:pStyle w:val="6"/>
        <w:numPr>
          <w:ilvl w:val="0"/>
          <w:numId w:val="2"/>
        </w:numPr>
        <w:spacing w:before="0" w:after="0" w:line="480" w:lineRule="auto"/>
        <w:jc w:val="center"/>
        <w:rPr>
          <w:rFonts w:ascii="宋体" w:hAnsi="宋体" w:eastAsia="宋体"/>
          <w:color w:val="auto"/>
          <w:highlight w:val="none"/>
        </w:rPr>
      </w:pPr>
      <w:bookmarkStart w:id="25" w:name="_Toc74645207"/>
      <w:r>
        <w:rPr>
          <w:rFonts w:hint="eastAsia" w:ascii="宋体" w:hAnsi="宋体" w:eastAsia="宋体"/>
          <w:color w:val="auto"/>
          <w:highlight w:val="none"/>
        </w:rPr>
        <w:t>招标文件</w:t>
      </w:r>
      <w:bookmarkEnd w:id="25"/>
    </w:p>
    <w:p>
      <w:pPr>
        <w:pStyle w:val="7"/>
        <w:widowControl w:val="0"/>
        <w:overflowPunct w:val="0"/>
        <w:spacing w:before="0" w:after="0" w:line="240" w:lineRule="auto"/>
        <w:rPr>
          <w:rFonts w:ascii="宋体" w:hAnsi="宋体" w:eastAsia="宋体"/>
          <w:color w:val="auto"/>
          <w:sz w:val="21"/>
          <w:szCs w:val="21"/>
          <w:highlight w:val="none"/>
        </w:rPr>
      </w:pPr>
      <w:bookmarkStart w:id="26" w:name="_Toc74645208"/>
      <w:r>
        <w:rPr>
          <w:rFonts w:hint="eastAsia" w:ascii="宋体" w:hAnsi="宋体" w:eastAsia="宋体"/>
          <w:color w:val="auto"/>
          <w:sz w:val="21"/>
          <w:szCs w:val="21"/>
          <w:highlight w:val="none"/>
        </w:rPr>
        <w:t>8.招标文件的组成</w:t>
      </w:r>
      <w:bookmarkEnd w:id="26"/>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招标文件包括：</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（1）投标邀请书；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（2）投标资料表；</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（3）用户需求书；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（4）投标人须知；</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（5）拟签订的合同文本；</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（6）投标文件格式；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（7）在招标过程中由采购代理机构发出的澄清更正文件等。</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27" w:name="_Toc74645209"/>
      <w:r>
        <w:rPr>
          <w:rFonts w:hint="eastAsia" w:ascii="宋体" w:hAnsi="宋体" w:eastAsia="宋体"/>
          <w:color w:val="auto"/>
          <w:sz w:val="21"/>
          <w:szCs w:val="21"/>
          <w:highlight w:val="none"/>
        </w:rPr>
        <w:t>9.招标文件的澄清或修改</w:t>
      </w:r>
      <w:bookmarkEnd w:id="27"/>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widowControl w:val="0"/>
        <w:numPr>
          <w:ilvl w:val="1"/>
          <w:numId w:val="3"/>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numPr>
          <w:ilvl w:val="0"/>
          <w:numId w:val="2"/>
        </w:numPr>
        <w:spacing w:before="0" w:after="0" w:line="480" w:lineRule="auto"/>
        <w:jc w:val="center"/>
        <w:rPr>
          <w:rFonts w:ascii="宋体" w:hAnsi="宋体" w:eastAsia="宋体"/>
          <w:color w:val="auto"/>
          <w:highlight w:val="none"/>
        </w:rPr>
      </w:pPr>
      <w:bookmarkStart w:id="28" w:name="_Toc74645210"/>
      <w:r>
        <w:rPr>
          <w:rFonts w:hint="eastAsia" w:ascii="宋体" w:hAnsi="宋体" w:eastAsia="宋体"/>
          <w:color w:val="auto"/>
          <w:highlight w:val="none"/>
        </w:rPr>
        <w:t>投标文件的编制</w:t>
      </w:r>
      <w:bookmarkEnd w:id="28"/>
    </w:p>
    <w:p>
      <w:pPr>
        <w:pStyle w:val="7"/>
        <w:widowControl w:val="0"/>
        <w:overflowPunct w:val="0"/>
        <w:spacing w:before="0" w:after="0" w:line="240" w:lineRule="auto"/>
        <w:rPr>
          <w:rFonts w:ascii="宋体" w:hAnsi="宋体" w:eastAsia="宋体"/>
          <w:color w:val="auto"/>
          <w:sz w:val="21"/>
          <w:szCs w:val="21"/>
          <w:highlight w:val="none"/>
        </w:rPr>
      </w:pPr>
      <w:bookmarkStart w:id="29" w:name="_Toc74645211"/>
      <w:r>
        <w:rPr>
          <w:rFonts w:hint="eastAsia" w:ascii="宋体" w:hAnsi="宋体" w:eastAsia="宋体"/>
          <w:color w:val="auto"/>
          <w:sz w:val="21"/>
          <w:szCs w:val="21"/>
          <w:highlight w:val="none"/>
        </w:rPr>
        <w:t>10.投标文件的语言及度量衡单位</w:t>
      </w:r>
      <w:bookmarkEnd w:id="29"/>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30" w:name="_Toc74645212"/>
      <w:bookmarkStart w:id="31" w:name="_Toc382049103"/>
      <w:bookmarkStart w:id="32" w:name="_Toc303084256"/>
      <w:bookmarkStart w:id="33" w:name="_Toc28866"/>
      <w:bookmarkStart w:id="34" w:name="_Toc307934854"/>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30"/>
      <w:bookmarkEnd w:id="31"/>
      <w:bookmarkEnd w:id="32"/>
      <w:bookmarkEnd w:id="33"/>
      <w:bookmarkEnd w:id="34"/>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widowControl w:val="0"/>
        <w:numPr>
          <w:ilvl w:val="1"/>
          <w:numId w:val="3"/>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35" w:name="_Toc74645213"/>
      <w:r>
        <w:rPr>
          <w:rFonts w:hint="eastAsia" w:ascii="宋体" w:hAnsi="宋体" w:eastAsia="宋体"/>
          <w:color w:val="auto"/>
          <w:sz w:val="21"/>
          <w:szCs w:val="21"/>
          <w:highlight w:val="none"/>
        </w:rPr>
        <w:t>12.投标文件编制</w:t>
      </w:r>
      <w:bookmarkEnd w:id="35"/>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bookmarkStart w:id="36" w:name="_Toc303084258"/>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和提供资料，投标人必须对投标文件所提供的全部材料的真实性承担法律责任，并无条件接受采购人或采购代理机构对其中任何资料进行核实的要求。</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投标人须客观撰写投标人简介（格式自理，并提供相关证明）以及所投的产品或服务说明。</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投标文件若出现以下内容，经评标委员会认定有可能间接影响评审秩序，作废标处理。</w:t>
      </w:r>
    </w:p>
    <w:p>
      <w:pPr>
        <w:pStyle w:val="31"/>
        <w:widowControl w:val="0"/>
        <w:numPr>
          <w:ilvl w:val="0"/>
          <w:numId w:val="4"/>
        </w:numPr>
        <w:adjustRightInd/>
        <w:snapToGrid/>
        <w:spacing w:after="0" w:line="360" w:lineRule="exact"/>
        <w:ind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31"/>
        <w:widowControl w:val="0"/>
        <w:numPr>
          <w:ilvl w:val="0"/>
          <w:numId w:val="4"/>
        </w:numPr>
        <w:adjustRightInd/>
        <w:snapToGrid/>
        <w:spacing w:after="0" w:line="360" w:lineRule="exact"/>
        <w:ind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有下列情形之一的，视为投标人串通投标，其投标无效：</w:t>
      </w:r>
    </w:p>
    <w:p>
      <w:pPr>
        <w:widowControl w:val="0"/>
        <w:adjustRightInd/>
        <w:snapToGrid/>
        <w:spacing w:after="0" w:line="360" w:lineRule="exact"/>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（1）不同投标人的投标文件由同一单位或者个人编制；</w:t>
      </w:r>
    </w:p>
    <w:p>
      <w:pPr>
        <w:widowControl w:val="0"/>
        <w:adjustRightInd/>
        <w:snapToGrid/>
        <w:spacing w:after="0" w:line="360" w:lineRule="exact"/>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（2）不同投标人委托同一单位或者个人办理投标事宜；</w:t>
      </w:r>
    </w:p>
    <w:p>
      <w:pPr>
        <w:widowControl w:val="0"/>
        <w:adjustRightInd/>
        <w:snapToGrid/>
        <w:spacing w:after="0" w:line="360" w:lineRule="exact"/>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（3）不同投标人的投标文件载明的项目管理成员或者联系人员为同一人；</w:t>
      </w:r>
    </w:p>
    <w:p>
      <w:pPr>
        <w:widowControl w:val="0"/>
        <w:adjustRightInd/>
        <w:snapToGrid/>
        <w:spacing w:after="0" w:line="360" w:lineRule="exact"/>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（4）不同投标人的投标文件异常一致或者投标报价呈规律性差异；</w:t>
      </w:r>
    </w:p>
    <w:p>
      <w:pPr>
        <w:widowControl w:val="0"/>
        <w:adjustRightInd/>
        <w:snapToGrid/>
        <w:spacing w:after="0" w:line="360" w:lineRule="exact"/>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（5）不同投标人的投标文件相互混装；</w:t>
      </w:r>
    </w:p>
    <w:p>
      <w:pPr>
        <w:widowControl w:val="0"/>
        <w:adjustRightInd/>
        <w:snapToGrid/>
        <w:spacing w:after="0" w:line="360" w:lineRule="exact"/>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（6）不同投标人的投标保证金从同一单位或者个人的账户转出。</w:t>
      </w:r>
    </w:p>
    <w:bookmarkEnd w:id="36"/>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37" w:name="_Toc74645214"/>
      <w:r>
        <w:rPr>
          <w:rFonts w:hint="eastAsia" w:ascii="宋体" w:hAnsi="宋体" w:eastAsia="宋体"/>
          <w:color w:val="auto"/>
          <w:sz w:val="21"/>
          <w:szCs w:val="21"/>
          <w:highlight w:val="none"/>
        </w:rPr>
        <w:t>13.投标报价说明</w:t>
      </w:r>
      <w:bookmarkEnd w:id="37"/>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投标人所提供的货物或服务均以人民币（或相关费率）报价。</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38" w:name="_Toc74645215"/>
      <w:r>
        <w:rPr>
          <w:rFonts w:hint="eastAsia" w:ascii="宋体" w:hAnsi="宋体" w:eastAsia="宋体"/>
          <w:color w:val="auto"/>
          <w:sz w:val="21"/>
          <w:szCs w:val="21"/>
          <w:highlight w:val="none"/>
        </w:rPr>
        <w:t>14.投标人所提供的服务或货物的证明文件</w:t>
      </w:r>
      <w:bookmarkEnd w:id="38"/>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bookmarkStart w:id="39" w:name="_Hlt107925668"/>
      <w:bookmarkEnd w:id="39"/>
      <w:bookmarkStart w:id="40" w:name="_Hlt107925638"/>
      <w:bookmarkEnd w:id="40"/>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31"/>
        <w:widowControl w:val="0"/>
        <w:adjustRightInd/>
        <w:snapToGrid/>
        <w:spacing w:after="0" w:line="360" w:lineRule="exact"/>
        <w:ind w:left="425" w:firstLine="0" w:firstLineChars="0"/>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41" w:name="_Toc74645216"/>
      <w:r>
        <w:rPr>
          <w:rFonts w:hint="eastAsia" w:ascii="宋体" w:hAnsi="宋体" w:eastAsia="宋体"/>
          <w:color w:val="auto"/>
          <w:sz w:val="21"/>
          <w:szCs w:val="21"/>
          <w:highlight w:val="none"/>
        </w:rPr>
        <w:t>15.★投标有效期</w:t>
      </w:r>
      <w:bookmarkEnd w:id="41"/>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widowControl w:val="0"/>
        <w:adjustRightInd/>
        <w:snapToGrid/>
        <w:spacing w:after="0" w:line="360" w:lineRule="exact"/>
        <w:ind w:left="567"/>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42" w:name="_Toc74645217"/>
      <w:r>
        <w:rPr>
          <w:rFonts w:hint="eastAsia" w:ascii="宋体" w:hAnsi="宋体" w:eastAsia="宋体"/>
          <w:color w:val="auto"/>
          <w:sz w:val="21"/>
          <w:szCs w:val="21"/>
          <w:highlight w:val="none"/>
        </w:rPr>
        <w:t>16.★投标保证金</w:t>
      </w:r>
      <w:bookmarkEnd w:id="42"/>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bookmarkStart w:id="43" w:name="_Ref179619405"/>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投标人应在投标文件递交截止前提交相应的投标保证金，并作为其投标的一部分。</w:t>
      </w:r>
      <w:bookmarkEnd w:id="43"/>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投标保证金是为了保护招标代理机构和采购人免遭因投标人的行为而蒙受的损失。招标代理机构和采购人在因投标人的行为受到损害时可根据本须知（16.7）的规定没收投标人的投标保证金。</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采用转账、电汇方式或银行保函方式提交，应符合以下要求：采用银行转账、电汇方式提交的，保证金汇入以下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凡没有根据本须知（16.1和16.3）的规定随附有效的投标保证金的投标，将被视为非响应性投标予以拒绝。</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投标保证金有效期应当与投标有效期一致。采购人如果按照招标文件另外规定延长了投标文件有效期，则投标担保的有效期也相应延长。</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中标投标人在签订采购合同并按招标文件第（32）条规定提交履约担保金后，携带退保证金声明函、投标保证金汇款单复印件（加盖公章）和合同正本到采购人处办理投标保证金（无息）退回手续。</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下列任何情况发生时，投标保证金将不予退还：</w:t>
      </w:r>
    </w:p>
    <w:p>
      <w:pPr>
        <w:widowControl w:val="0"/>
        <w:adjustRightInd/>
        <w:snapToGrid/>
        <w:spacing w:after="0" w:line="360" w:lineRule="exact"/>
        <w:ind w:left="540" w:leftChars="25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（1）投标人在招标文件中规定的投标有效期内撤回其投标；</w:t>
      </w:r>
    </w:p>
    <w:p>
      <w:pPr>
        <w:widowControl w:val="0"/>
        <w:adjustRightInd/>
        <w:snapToGrid/>
        <w:spacing w:after="0" w:line="360" w:lineRule="exact"/>
        <w:ind w:left="540" w:leftChars="25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（2）中标人无正当理由不与采购人订立合同，在签订合同时向采购人提出附加条件，或者不按照招标文件要求提交履约保证金的；</w:t>
      </w:r>
    </w:p>
    <w:p>
      <w:pPr>
        <w:widowControl w:val="0"/>
        <w:adjustRightInd/>
        <w:snapToGrid/>
        <w:spacing w:after="0" w:line="360" w:lineRule="exact"/>
        <w:ind w:left="540" w:leftChars="25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（3）中标人将本项目转让给他人，或者在投标文件中未说明，且未经采购人同意，将中标项目分包给他人的；</w:t>
      </w:r>
    </w:p>
    <w:p>
      <w:pPr>
        <w:widowControl w:val="0"/>
        <w:adjustRightInd/>
        <w:snapToGrid/>
        <w:spacing w:after="0" w:line="360" w:lineRule="exact"/>
        <w:ind w:left="540" w:leftChars="257"/>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（4）投标人提供虚假投标文件或虚假补充文件的。</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在中标通知书发出后，未中标投标人的投标保证金，由采购人自行返还至投标人的原转出账户。</w:t>
      </w:r>
    </w:p>
    <w:p>
      <w:pPr>
        <w:rPr>
          <w:color w:val="auto"/>
          <w:highlight w:val="none"/>
        </w:rPr>
      </w:pPr>
    </w:p>
    <w:p>
      <w:pPr>
        <w:pStyle w:val="6"/>
        <w:numPr>
          <w:ilvl w:val="0"/>
          <w:numId w:val="2"/>
        </w:numPr>
        <w:spacing w:before="0" w:after="0" w:line="480" w:lineRule="auto"/>
        <w:jc w:val="center"/>
        <w:rPr>
          <w:rFonts w:ascii="宋体" w:hAnsi="宋体" w:eastAsia="宋体"/>
          <w:color w:val="auto"/>
          <w:highlight w:val="none"/>
        </w:rPr>
      </w:pPr>
      <w:bookmarkStart w:id="44" w:name="_Toc74645218"/>
      <w:r>
        <w:rPr>
          <w:rFonts w:hint="eastAsia" w:ascii="宋体" w:hAnsi="宋体" w:eastAsia="宋体"/>
          <w:color w:val="auto"/>
          <w:highlight w:val="none"/>
        </w:rPr>
        <w:t>投标文件的递交</w:t>
      </w:r>
      <w:bookmarkEnd w:id="44"/>
    </w:p>
    <w:p>
      <w:pPr>
        <w:pStyle w:val="7"/>
        <w:widowControl w:val="0"/>
        <w:overflowPunct w:val="0"/>
        <w:spacing w:before="0" w:after="0" w:line="240" w:lineRule="auto"/>
        <w:rPr>
          <w:rFonts w:ascii="宋体" w:hAnsi="宋体" w:eastAsia="宋体"/>
          <w:color w:val="auto"/>
          <w:sz w:val="21"/>
          <w:szCs w:val="21"/>
          <w:highlight w:val="none"/>
        </w:rPr>
      </w:pPr>
      <w:bookmarkStart w:id="45" w:name="_Toc382049111"/>
      <w:bookmarkStart w:id="46" w:name="_Toc303084264"/>
      <w:bookmarkStart w:id="47" w:name="_Toc74645219"/>
      <w:bookmarkStart w:id="48" w:name="_Toc24997"/>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45"/>
      <w:bookmarkEnd w:id="46"/>
      <w:bookmarkEnd w:id="47"/>
      <w:bookmarkEnd w:id="48"/>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投标人应当对投标文件进行装订</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其中价格文件单独装订</w:t>
      </w:r>
      <w:r>
        <w:rPr>
          <w:rFonts w:hint="eastAsia" w:ascii="宋体" w:hAnsi="宋体" w:eastAsia="宋体"/>
          <w:color w:val="auto"/>
          <w:sz w:val="21"/>
          <w:szCs w:val="21"/>
          <w:highlight w:val="none"/>
        </w:rPr>
        <w:t>成册</w:t>
      </w:r>
      <w:r>
        <w:rPr>
          <w:rFonts w:hint="eastAsia" w:ascii="宋体" w:hAnsi="宋体"/>
          <w:color w:val="auto"/>
          <w:sz w:val="21"/>
          <w:szCs w:val="21"/>
          <w:highlight w:val="none"/>
          <w:lang w:val="en-US" w:eastAsia="zh-CN"/>
        </w:rPr>
        <w:t>，商务技术文件单独装订</w:t>
      </w:r>
      <w:r>
        <w:rPr>
          <w:rFonts w:hint="eastAsia" w:ascii="宋体" w:hAnsi="宋体" w:eastAsia="宋体"/>
          <w:color w:val="auto"/>
          <w:sz w:val="21"/>
          <w:szCs w:val="21"/>
          <w:highlight w:val="none"/>
        </w:rPr>
        <w:t>成册</w:t>
      </w:r>
      <w:r>
        <w:rPr>
          <w:rFonts w:hint="eastAsia" w:ascii="宋体" w:hAnsi="宋体"/>
          <w:color w:val="auto"/>
          <w:sz w:val="21"/>
          <w:szCs w:val="21"/>
          <w:highlight w:val="none"/>
          <w:lang w:eastAsia="zh-CN"/>
        </w:rPr>
        <w:t>）</w:t>
      </w:r>
      <w:r>
        <w:rPr>
          <w:rFonts w:ascii="宋体" w:hAnsi="宋体" w:eastAsia="宋体"/>
          <w:color w:val="auto"/>
          <w:sz w:val="21"/>
          <w:szCs w:val="21"/>
          <w:highlight w:val="none"/>
        </w:rPr>
        <w:t>，对未经装订的投标文件可能发生的文件缺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，由此产生的后果由投标人承担</w:t>
      </w:r>
      <w:r>
        <w:rPr>
          <w:rFonts w:hint="eastAsia" w:ascii="宋体" w:hAnsi="宋体" w:eastAsia="宋体"/>
          <w:color w:val="auto"/>
          <w:sz w:val="21"/>
          <w:szCs w:val="21"/>
          <w:highlight w:val="none"/>
        </w:rPr>
        <w:t>；投标文件未装订成册，投标文件无效</w:t>
      </w:r>
      <w:r>
        <w:rPr>
          <w:rFonts w:ascii="宋体" w:hAnsi="宋体" w:eastAsia="宋体"/>
          <w:color w:val="auto"/>
          <w:sz w:val="21"/>
          <w:szCs w:val="21"/>
          <w:highlight w:val="none"/>
        </w:rPr>
        <w:t>。</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，并注明投标人名称及项目名称、采购项目编号，随投标文件一同密封提交。</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投标人应将投标文件进行非透明的封装，以防止投标文件内容的泄露。采购代理机构将拒绝接收采用透明包装进行密封的投标文件。</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密封破损导致投标文件内容直接或间接泄露的投标文件，采购代理机构将拒绝接收。</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3"/>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未单独提交开标文件的投标人投标文件不进行唱标，投标文件作无效处理。</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w:t>
      </w:r>
      <w:r>
        <w:rPr>
          <w:rFonts w:hint="eastAsia" w:ascii="宋体" w:hAnsi="宋体" w:eastAsia="宋体"/>
          <w:color w:val="auto"/>
          <w:sz w:val="21"/>
          <w:szCs w:val="21"/>
          <w:highlight w:val="none"/>
          <w:lang w:eastAsia="zh-CN"/>
        </w:rPr>
        <w:t>广东政通招标有限公司</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项目采购项目编号：</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密封信封上的项目编号错误或项目名称出现严重歧义的（包括采购内容不符），采购代理机构将拒绝接收。</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传真、电传的投标文件将被拒绝。</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49" w:name="_Toc74645220"/>
      <w:r>
        <w:rPr>
          <w:rFonts w:hint="eastAsia" w:ascii="宋体" w:hAnsi="宋体" w:eastAsia="宋体"/>
          <w:color w:val="auto"/>
          <w:sz w:val="21"/>
          <w:szCs w:val="21"/>
          <w:highlight w:val="none"/>
        </w:rPr>
        <w:t>18.迟交的投标文件</w:t>
      </w:r>
      <w:bookmarkEnd w:id="49"/>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50" w:name="_Toc74645221"/>
      <w:r>
        <w:rPr>
          <w:rFonts w:hint="eastAsia" w:ascii="宋体" w:hAnsi="宋体" w:eastAsia="宋体"/>
          <w:color w:val="auto"/>
          <w:sz w:val="21"/>
          <w:szCs w:val="21"/>
          <w:highlight w:val="none"/>
        </w:rPr>
        <w:t>19.投标样品（如需提交）</w:t>
      </w:r>
      <w:bookmarkEnd w:id="50"/>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为方便评标，投标人在提供样品时，应在所提供的样品表面显著位置标注投标人的名称、包号、样品名称、招标文件规定的服务或货物编号。</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51" w:name="_Toc303084265"/>
      <w:bookmarkStart w:id="52" w:name="_Toc74645222"/>
      <w:bookmarkStart w:id="53" w:name="_Toc9777"/>
      <w:bookmarkStart w:id="54" w:name="_Toc382049112"/>
      <w:r>
        <w:rPr>
          <w:rFonts w:hint="eastAsia" w:ascii="宋体" w:hAnsi="宋体" w:eastAsia="宋体"/>
          <w:color w:val="auto"/>
          <w:sz w:val="21"/>
          <w:szCs w:val="21"/>
          <w:highlight w:val="none"/>
        </w:rPr>
        <w:t>20.投标截止期</w:t>
      </w:r>
      <w:bookmarkEnd w:id="51"/>
      <w:bookmarkEnd w:id="52"/>
      <w:bookmarkEnd w:id="53"/>
      <w:bookmarkEnd w:id="54"/>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投标人应在招标文件规定的截止日期和时间内，将投标文件送达到指定地点。</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55" w:name="_Toc74645223"/>
      <w:r>
        <w:rPr>
          <w:rFonts w:hint="eastAsia" w:ascii="宋体" w:hAnsi="宋体" w:eastAsia="宋体"/>
          <w:color w:val="auto"/>
          <w:sz w:val="21"/>
          <w:szCs w:val="21"/>
          <w:highlight w:val="none"/>
        </w:rPr>
        <w:t>21.投标文件的补充、修改与撤回</w:t>
      </w:r>
      <w:bookmarkEnd w:id="55"/>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2"/>
        <w:rPr>
          <w:color w:val="auto"/>
          <w:highlight w:val="none"/>
        </w:rPr>
      </w:pPr>
    </w:p>
    <w:p>
      <w:pPr>
        <w:pStyle w:val="6"/>
        <w:numPr>
          <w:ilvl w:val="0"/>
          <w:numId w:val="2"/>
        </w:numPr>
        <w:spacing w:before="0" w:after="0" w:line="480" w:lineRule="auto"/>
        <w:jc w:val="center"/>
        <w:rPr>
          <w:rFonts w:ascii="宋体" w:hAnsi="宋体" w:eastAsia="宋体"/>
          <w:color w:val="auto"/>
          <w:highlight w:val="none"/>
        </w:rPr>
      </w:pPr>
      <w:bookmarkStart w:id="56" w:name="_Toc74645224"/>
      <w:r>
        <w:rPr>
          <w:rFonts w:hint="eastAsia" w:ascii="宋体" w:hAnsi="宋体" w:eastAsia="宋体"/>
          <w:color w:val="auto"/>
          <w:highlight w:val="none"/>
        </w:rPr>
        <w:t>开标与评标</w:t>
      </w:r>
      <w:bookmarkEnd w:id="56"/>
    </w:p>
    <w:p>
      <w:pPr>
        <w:pStyle w:val="7"/>
        <w:widowControl w:val="0"/>
        <w:overflowPunct w:val="0"/>
        <w:spacing w:before="0" w:after="0" w:line="240" w:lineRule="auto"/>
        <w:rPr>
          <w:rFonts w:ascii="宋体" w:hAnsi="宋体" w:eastAsia="宋体"/>
          <w:color w:val="auto"/>
          <w:sz w:val="21"/>
          <w:szCs w:val="21"/>
          <w:highlight w:val="none"/>
        </w:rPr>
      </w:pPr>
      <w:bookmarkStart w:id="57" w:name="_Toc74645225"/>
      <w:r>
        <w:rPr>
          <w:rFonts w:hint="eastAsia" w:ascii="宋体" w:hAnsi="宋体" w:eastAsia="宋体"/>
          <w:color w:val="auto"/>
          <w:sz w:val="21"/>
          <w:szCs w:val="21"/>
          <w:highlight w:val="none"/>
        </w:rPr>
        <w:t>22.开标</w:t>
      </w:r>
      <w:bookmarkEnd w:id="57"/>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合格投标人不足3家的，不得开标；</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58" w:name="_Toc74645226"/>
      <w:r>
        <w:rPr>
          <w:rFonts w:hint="eastAsia" w:ascii="宋体" w:hAnsi="宋体" w:eastAsia="宋体"/>
          <w:color w:val="auto"/>
          <w:sz w:val="21"/>
          <w:szCs w:val="21"/>
          <w:highlight w:val="none"/>
        </w:rPr>
        <w:t>23.评标委员会及评标方法</w:t>
      </w:r>
      <w:bookmarkEnd w:id="58"/>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评标委员会和采购人在评审过程中有权核对投标文件中相关材料的原件，投标人在接到通知后应在评标委员会规定的时间内提交原件核查。</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59" w:name="_Toc74645227"/>
      <w:r>
        <w:rPr>
          <w:rFonts w:hint="eastAsia" w:ascii="宋体" w:hAnsi="宋体" w:eastAsia="宋体"/>
          <w:color w:val="auto"/>
          <w:sz w:val="21"/>
          <w:szCs w:val="21"/>
          <w:highlight w:val="none"/>
        </w:rPr>
        <w:t>24.评审原则及评标过程的保密</w:t>
      </w:r>
      <w:bookmarkEnd w:id="59"/>
    </w:p>
    <w:p>
      <w:pPr>
        <w:pStyle w:val="31"/>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评审的基本原则：评标委员会将依据招标文件的规定，遵循“公开、公平、公正、择优、信用”的原则进行评审工作。</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60" w:name="_Toc74645228"/>
      <w:r>
        <w:rPr>
          <w:rFonts w:hint="eastAsia" w:ascii="宋体" w:hAnsi="宋体" w:eastAsia="宋体"/>
          <w:color w:val="auto"/>
          <w:sz w:val="21"/>
          <w:szCs w:val="21"/>
          <w:highlight w:val="none"/>
        </w:rPr>
        <w:t>25.投标文件的初审</w:t>
      </w:r>
      <w:bookmarkEnd w:id="60"/>
    </w:p>
    <w:p>
      <w:pPr>
        <w:pStyle w:val="31"/>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开招标采购项目开标结束后，采购人或者采购代理机构将依法对投标人的资格进行审查。资格审查时，投标人存在不符合资格性检查所要求事项情况的，投标无效。未通过资格审查的投标人不进入评标阶段的评审；评标委员会将对符合资格的投标人的投标文件进行符合性审查，以确定其是否满足招标文件的实质性要求。</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投标文件中开标一览表（报价表）内容与投标文件中相应内容不一致的，以开标一览表（报价表）为准；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未响应招标文件的实质要求的投标文件作废标处理。投标人不得通过修正或撤消不合要求的偏离或保留从而使其投标成为实质上响应的投标。评标委员会评审中，</w:t>
      </w:r>
      <w:r>
        <w:rPr>
          <w:rFonts w:hint="eastAsia" w:ascii="宋体" w:hAnsi="宋体" w:eastAsia="宋体"/>
          <w:b/>
          <w:color w:val="auto"/>
          <w:sz w:val="21"/>
          <w:szCs w:val="21"/>
          <w:highlight w:val="none"/>
        </w:rPr>
        <w:t>发现下列情况之一的，其投标将作废标处理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（一）资格性检查</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bookmarkStart w:id="61" w:name="_Ref179621189"/>
    </w:p>
    <w:bookmarkEnd w:id="61"/>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（二）符合性检查</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包括但不限于投标文件内容与采购内容不符，投标文件项目采购项目编号错误，投标文件项目名称错误导致无法分表所投项目为本项目的，投标文件散落，未提供单独的开标文件等）；②投标文件中要求签字的内容无法定代表人或其授权代表签字，或签字人无法定代表人有效授权的；③签字盖章不符合招标文件要求的；④投标有效期不符合文件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w:t>
      </w:r>
      <w:r>
        <w:rPr>
          <w:rFonts w:hint="eastAsia" w:ascii="宋体" w:hAnsi="宋体" w:eastAsia="宋体"/>
          <w:color w:val="auto"/>
          <w:sz w:val="21"/>
          <w:szCs w:val="21"/>
          <w:highlight w:val="none"/>
          <w:lang w:val="en-US" w:eastAsia="zh-CN"/>
        </w:rPr>
        <w:t>投标人对同一货物或服务投标时，同时提供两套或两套以上的投标方案的；</w:t>
      </w:r>
      <w:r>
        <w:rPr>
          <w:rFonts w:hint="eastAsia" w:ascii="宋体" w:hAnsi="宋体" w:eastAsia="宋体"/>
          <w:color w:val="auto"/>
          <w:sz w:val="21"/>
          <w:szCs w:val="21"/>
          <w:highlight w:val="none"/>
        </w:rPr>
        <w:t>③其他未实质性响应招标文件技术要求的。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附有采购人不能接受的条件的；④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①投标报价超过本招标文件明确的项目预算或文件明确的最高限价；②投标报价格式与文件要求不符；③开标一览表格式或内容与招标文件要求不符。</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62" w:name="_Toc74645229"/>
      <w:r>
        <w:rPr>
          <w:rFonts w:hint="eastAsia" w:ascii="宋体" w:hAnsi="宋体" w:eastAsia="宋体"/>
          <w:color w:val="auto"/>
          <w:sz w:val="21"/>
          <w:szCs w:val="21"/>
          <w:highlight w:val="none"/>
        </w:rPr>
        <w:t>26.商务、技术、价格评审（具体评审项目详见投标资料表）</w:t>
      </w:r>
      <w:bookmarkEnd w:id="62"/>
    </w:p>
    <w:p>
      <w:pPr>
        <w:pStyle w:val="31"/>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w:t>
      </w:r>
      <w:r>
        <w:rPr>
          <w:rFonts w:hint="eastAsia" w:ascii="宋体" w:hAnsi="宋体" w:eastAsia="宋体"/>
          <w:color w:val="auto"/>
          <w:sz w:val="21"/>
          <w:szCs w:val="21"/>
          <w:highlight w:val="none"/>
        </w:rPr>
        <w:t xml:space="preserve">通过资格性和符合性审查的有效供应商方有资格提交最终报价及进入综合评审。招标文件中要求投标人提供的相关资质证书证明材料因国家政策变动导致新旧证书名称不一致，旧证书未取消且新旧证书具有同等效力的，投标人提供新证书与提供在有效期内的旧证书给予同等认可。 </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63" w:name="_Toc316375620"/>
      <w:bookmarkStart w:id="64" w:name="_Toc20328"/>
      <w:bookmarkStart w:id="65" w:name="_Toc382049120"/>
      <w:bookmarkStart w:id="66" w:name="_Toc74645230"/>
      <w:r>
        <w:rPr>
          <w:rFonts w:hint="eastAsia" w:ascii="宋体" w:hAnsi="宋体" w:eastAsia="宋体"/>
          <w:color w:val="auto"/>
          <w:sz w:val="21"/>
          <w:szCs w:val="21"/>
          <w:highlight w:val="none"/>
        </w:rPr>
        <w:t>27.纪律和</w:t>
      </w:r>
      <w:r>
        <w:rPr>
          <w:rFonts w:ascii="宋体" w:hAnsi="宋体" w:eastAsia="宋体"/>
          <w:color w:val="auto"/>
          <w:sz w:val="21"/>
          <w:szCs w:val="21"/>
          <w:highlight w:val="none"/>
        </w:rPr>
        <w:t>保密</w:t>
      </w:r>
      <w:bookmarkEnd w:id="63"/>
      <w:r>
        <w:rPr>
          <w:rFonts w:hint="eastAsia" w:ascii="宋体" w:hAnsi="宋体" w:eastAsia="宋体"/>
          <w:color w:val="auto"/>
          <w:sz w:val="21"/>
          <w:szCs w:val="21"/>
          <w:highlight w:val="none"/>
        </w:rPr>
        <w:t>事项</w:t>
      </w:r>
      <w:bookmarkEnd w:id="64"/>
      <w:bookmarkEnd w:id="65"/>
      <w:bookmarkEnd w:id="66"/>
    </w:p>
    <w:p>
      <w:pPr>
        <w:pStyle w:val="31"/>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6"/>
        <w:numPr>
          <w:ilvl w:val="0"/>
          <w:numId w:val="2"/>
        </w:numPr>
        <w:spacing w:before="0" w:after="0" w:line="480" w:lineRule="auto"/>
        <w:jc w:val="center"/>
        <w:rPr>
          <w:rFonts w:ascii="宋体" w:hAnsi="宋体" w:eastAsia="宋体"/>
          <w:color w:val="auto"/>
          <w:highlight w:val="none"/>
        </w:rPr>
      </w:pPr>
      <w:bookmarkStart w:id="67" w:name="_Toc74645231"/>
      <w:r>
        <w:rPr>
          <w:rFonts w:hint="eastAsia" w:ascii="宋体" w:hAnsi="宋体" w:eastAsia="宋体"/>
          <w:color w:val="auto"/>
          <w:highlight w:val="none"/>
        </w:rPr>
        <w:t>授予合同</w:t>
      </w:r>
      <w:bookmarkEnd w:id="67"/>
    </w:p>
    <w:p>
      <w:pPr>
        <w:pStyle w:val="7"/>
        <w:widowControl w:val="0"/>
        <w:overflowPunct w:val="0"/>
        <w:spacing w:before="0" w:after="0" w:line="240" w:lineRule="auto"/>
        <w:rPr>
          <w:rFonts w:ascii="宋体" w:hAnsi="宋体" w:eastAsia="宋体"/>
          <w:color w:val="auto"/>
          <w:sz w:val="21"/>
          <w:szCs w:val="21"/>
          <w:highlight w:val="none"/>
        </w:rPr>
      </w:pPr>
      <w:bookmarkStart w:id="68" w:name="_Toc508284011"/>
      <w:bookmarkStart w:id="69" w:name="_Toc74645232"/>
      <w:r>
        <w:rPr>
          <w:rFonts w:hint="eastAsia" w:ascii="宋体" w:hAnsi="宋体" w:eastAsia="宋体"/>
          <w:color w:val="auto"/>
          <w:sz w:val="21"/>
          <w:szCs w:val="21"/>
          <w:highlight w:val="none"/>
        </w:rPr>
        <w:t>28.</w:t>
      </w:r>
      <w:r>
        <w:rPr>
          <w:rFonts w:ascii="宋体" w:hAnsi="宋体" w:eastAsia="宋体"/>
          <w:color w:val="auto"/>
          <w:sz w:val="21"/>
          <w:szCs w:val="21"/>
          <w:highlight w:val="none"/>
        </w:rPr>
        <w:t>合同授予标准</w:t>
      </w:r>
      <w:bookmarkEnd w:id="68"/>
      <w:bookmarkEnd w:id="69"/>
    </w:p>
    <w:p>
      <w:pPr>
        <w:pStyle w:val="31"/>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70" w:name="_Toc74645233"/>
      <w:bookmarkStart w:id="71" w:name="_Toc508284013"/>
      <w:r>
        <w:rPr>
          <w:rFonts w:hint="eastAsia" w:ascii="宋体" w:hAnsi="宋体" w:eastAsia="宋体"/>
          <w:color w:val="auto"/>
          <w:sz w:val="21"/>
          <w:szCs w:val="21"/>
          <w:highlight w:val="none"/>
        </w:rPr>
        <w:t>29.发布中标结果</w:t>
      </w:r>
      <w:bookmarkEnd w:id="70"/>
      <w:bookmarkEnd w:id="71"/>
    </w:p>
    <w:p>
      <w:pPr>
        <w:pStyle w:val="31"/>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《中标通知书》是合同的一个组成部分，《中标通知书》对采购人和中标人均具有同等法律效力。</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widowControl w:val="0"/>
        <w:tabs>
          <w:tab w:val="left" w:pos="907"/>
        </w:tabs>
        <w:adjustRightInd/>
        <w:snapToGrid/>
        <w:spacing w:after="0" w:line="360" w:lineRule="exact"/>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72" w:name="_Toc74645234"/>
      <w:r>
        <w:rPr>
          <w:rFonts w:hint="eastAsia" w:ascii="宋体" w:hAnsi="宋体" w:eastAsia="宋体"/>
          <w:color w:val="auto"/>
          <w:sz w:val="21"/>
          <w:szCs w:val="21"/>
          <w:highlight w:val="none"/>
        </w:rPr>
        <w:t>30资格后审</w:t>
      </w:r>
      <w:bookmarkEnd w:id="72"/>
    </w:p>
    <w:p>
      <w:pPr>
        <w:pStyle w:val="31"/>
        <w:widowControl w:val="0"/>
        <w:numPr>
          <w:ilvl w:val="0"/>
          <w:numId w:val="3"/>
        </w:numPr>
        <w:tabs>
          <w:tab w:val="left" w:pos="567"/>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采购人将根据本文件中的要求，对评委会推荐的中标候选人进行资格后审。</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中标候选人须无条件配合资格后审，否则采购人有权取消其中标资格，且投标保证金可不予退还。</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资格后审须提供包括但不限于营业执照、税务登记证和在投标文件中提供的资质证明文件、业绩等重要证明文件的原件进行核对，综合考察中标投标人的履约能力。如采购人要求还须提供业绩证明的其他材料,中标候选人须配合提供。如授权其分支机构进行项目实施或提供售后服务的，亦应提供其与分支机构关系的法律证明材料。</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如发现中标候选人以他人名义投标或者以其他方式弄虚作假，骗取中标的，采购人有权取消其中标资格，且投标保证金可不予退还；给采购人造成损失的，应依法承担赔偿责任。</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73" w:name="_Toc74645235"/>
      <w:r>
        <w:rPr>
          <w:rFonts w:hint="eastAsia" w:ascii="宋体" w:hAnsi="宋体" w:eastAsia="宋体"/>
          <w:color w:val="auto"/>
          <w:sz w:val="21"/>
          <w:szCs w:val="21"/>
          <w:highlight w:val="none"/>
        </w:rPr>
        <w:t>31.合同的签订与履行</w:t>
      </w:r>
      <w:bookmarkEnd w:id="73"/>
    </w:p>
    <w:p>
      <w:pPr>
        <w:pStyle w:val="31"/>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采购人应当自中标通知书发出之日起30日内，按照招标文件和中标人投标文件的规定，与中标人签订书面合同。所签订的合同不得对招标文件确定的事项和中标人投标文件作实质性修改。</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采购合同的履行、违约责任和解决争议的方法等适用《中华人民共和国民法典》。</w:t>
      </w:r>
    </w:p>
    <w:p>
      <w:pPr>
        <w:widowControl w:val="0"/>
        <w:numPr>
          <w:ilvl w:val="1"/>
          <w:numId w:val="3"/>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合同签订之日起2个工作日内，中标人应将所签订的合同副本（加盖公章）交至</w:t>
      </w:r>
      <w:r>
        <w:rPr>
          <w:rFonts w:hint="eastAsia" w:ascii="宋体" w:hAnsi="宋体" w:eastAsia="宋体"/>
          <w:b/>
          <w:color w:val="auto"/>
          <w:sz w:val="21"/>
          <w:szCs w:val="21"/>
          <w:highlight w:val="none"/>
          <w:lang w:eastAsia="zh-CN"/>
        </w:rPr>
        <w:t>广东政通招标有限公司</w:t>
      </w:r>
      <w:r>
        <w:rPr>
          <w:rFonts w:hint="eastAsia" w:ascii="宋体" w:hAnsi="宋体" w:eastAsia="宋体"/>
          <w:b/>
          <w:color w:val="auto"/>
          <w:sz w:val="21"/>
          <w:szCs w:val="21"/>
          <w:highlight w:val="none"/>
        </w:rPr>
        <w:t>归档。</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tabs>
          <w:tab w:val="left" w:pos="907"/>
        </w:tabs>
        <w:adjustRightInd/>
        <w:snapToGrid/>
        <w:spacing w:after="0" w:line="360" w:lineRule="exact"/>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74" w:name="_Toc29009"/>
      <w:bookmarkStart w:id="75" w:name="_Toc303084277"/>
      <w:bookmarkStart w:id="76" w:name="_Toc382049124"/>
      <w:bookmarkStart w:id="77" w:name="_Toc74645236"/>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bookmarkEnd w:id="74"/>
      <w:bookmarkEnd w:id="75"/>
      <w:bookmarkEnd w:id="76"/>
      <w:r>
        <w:rPr>
          <w:rFonts w:hint="eastAsia" w:ascii="宋体" w:hAnsi="宋体" w:eastAsia="宋体"/>
          <w:color w:val="auto"/>
          <w:sz w:val="21"/>
          <w:szCs w:val="21"/>
          <w:highlight w:val="none"/>
        </w:rPr>
        <w:t>担保</w:t>
      </w:r>
      <w:bookmarkEnd w:id="77"/>
    </w:p>
    <w:p>
      <w:pPr>
        <w:pStyle w:val="31"/>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在采购（合同签署）时提交履约担保，履约担保金额不超过中标合同金额的10%，如果中标人提交的履约保函的有效期先于合同要求的履约保函有效期到达，中标人应在原提交的履约保函有效期满前15天，无条件办理保函延期手续。否则，视中标人违约，采购人可在保函到期前将保函金额转为现金存入履约保证金账户。</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履约担保期限从合同签订之日起至项目</w:t>
      </w:r>
      <w:r>
        <w:rPr>
          <w:rFonts w:hint="eastAsia" w:ascii="Tahoma" w:hAnsi="Tahoma"/>
          <w:color w:val="auto"/>
          <w:sz w:val="21"/>
          <w:szCs w:val="22"/>
          <w:highlight w:val="none"/>
          <w:lang w:val="en-US" w:eastAsia="zh-CN"/>
        </w:rPr>
        <w:t>服务期结束</w:t>
      </w:r>
      <w:r>
        <w:rPr>
          <w:rFonts w:hint="eastAsia" w:ascii="Tahoma" w:hAnsi="Tahoma"/>
          <w:color w:val="auto"/>
          <w:sz w:val="21"/>
          <w:szCs w:val="22"/>
          <w:highlight w:val="none"/>
        </w:rPr>
        <w:t>验收合格</w:t>
      </w:r>
      <w:r>
        <w:rPr>
          <w:rFonts w:hint="eastAsia" w:ascii="宋体" w:hAnsi="宋体" w:eastAsia="宋体"/>
          <w:color w:val="auto"/>
          <w:sz w:val="21"/>
          <w:szCs w:val="21"/>
          <w:highlight w:val="none"/>
        </w:rPr>
        <w:t>并结算完毕后，经双方签字7天内保持有效。</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履约担保可以采用下列任何一种形式：</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（1）履约保函。如果投标人的履约担保是以银行保函形式提供的，则该银行保函应：</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①保函应由银行支行或以上银行机构开具，非东莞市行政区内的银行开具的保函要由银行所在地公证部门出具的公证书。</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②保函的格式参考报价文件附件中提供的无条件不可撤销履约保函格式，保函担保期内若项目未能按期竣工，保函必须延期，办理延期手续时在银行方面所产生费用由报价人负责。</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③履约保函必须打印，手写、涂改无效。</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（2）履约保证金。可采用电汇、银行汇票等银行转账方式提交，但不可以采用现金方式提交。履约保证金金额为中标价的</w:t>
      </w:r>
      <w:r>
        <w:rPr>
          <w:rFonts w:ascii="宋体" w:hAnsi="宋体" w:eastAsia="宋体"/>
          <w:color w:val="auto"/>
          <w:sz w:val="21"/>
          <w:szCs w:val="21"/>
          <w:highlight w:val="none"/>
        </w:rPr>
        <w:t>10%</w:t>
      </w:r>
      <w:r>
        <w:rPr>
          <w:rFonts w:hint="eastAsia" w:ascii="宋体" w:hAnsi="宋体" w:eastAsia="宋体"/>
          <w:color w:val="auto"/>
          <w:sz w:val="21"/>
          <w:szCs w:val="21"/>
          <w:highlight w:val="none"/>
        </w:rPr>
        <w:t>。投标人必须保证履约保证金以报价人的名称在（合同约定的日期）前提交至采购人指定账户。</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中标人不能按本招标文件（32.1至32.3）的规定提交履约保证金的，采购人将有权取消中标人的中标资格（采购人可以按照评标委员会提出的中标候选人名单排序依次确定其他中标候选人为中标人，也可以重新招标），投标保证金不予退还，给采购人造成的损失如果超过投标保证金数额的，还应当对超过部分予以赔偿。</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为取得履约担保所需的费用，由中标人承担；若工期延误，履约担保时间延长，延长费用由中标人承担。</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下列任何情况发生时，采购人有权行使享有的担保权利：</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（1）中标人将本项目转让给他人，或者在报价文件中未说明，且未经采购人同意，将中标项目分包给他人的；</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（2）中标人在履行采购合同期间，违反有关法律法规的规定及合同约定的条款，损害了采购人的利益。</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在整个项目验收合格后，中标人向采购人提交退回履约担保的申请，采购人办理履约担保退还手续。</w:t>
      </w:r>
    </w:p>
    <w:p>
      <w:pPr>
        <w:widowControl w:val="0"/>
        <w:tabs>
          <w:tab w:val="left" w:pos="907"/>
        </w:tabs>
        <w:adjustRightInd/>
        <w:snapToGrid/>
        <w:spacing w:after="0" w:line="360" w:lineRule="exact"/>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78" w:name="_Toc74645237"/>
      <w:r>
        <w:rPr>
          <w:rFonts w:hint="eastAsia" w:ascii="宋体" w:hAnsi="宋体" w:eastAsia="宋体"/>
          <w:color w:val="auto"/>
          <w:sz w:val="21"/>
          <w:szCs w:val="21"/>
          <w:highlight w:val="none"/>
        </w:rPr>
        <w:t>33.预付款保函</w:t>
      </w:r>
      <w:bookmarkEnd w:id="78"/>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适用于预付款支付</w:t>
      </w:r>
      <w:r>
        <w:rPr>
          <w:rFonts w:hint="eastAsia" w:ascii="宋体" w:hAnsi="宋体"/>
          <w:color w:val="auto"/>
          <w:sz w:val="21"/>
          <w:szCs w:val="21"/>
          <w:highlight w:val="none"/>
          <w:lang w:eastAsia="zh-CN"/>
        </w:rPr>
        <w:t>）</w:t>
      </w:r>
    </w:p>
    <w:p>
      <w:pPr>
        <w:pStyle w:val="31"/>
        <w:widowControl w:val="0"/>
        <w:numPr>
          <w:ilvl w:val="0"/>
          <w:numId w:val="3"/>
        </w:numPr>
        <w:tabs>
          <w:tab w:val="left" w:pos="567"/>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签订合同时，中标人应按本须知规定向采购人提交一份有效的预付款保函。预付款保函有效期从保函开立之日起至采购人向中标人抵扣完所有预付款之日止。如果中标人提交的预付款保函的有效期先于招标文件要求的预付款保函有效期到达，中标人应在原提交的预付款保函有效期前</w:t>
      </w:r>
      <w:r>
        <w:rPr>
          <w:rFonts w:ascii="宋体" w:hAnsi="宋体" w:eastAsia="宋体"/>
          <w:color w:val="auto"/>
          <w:sz w:val="21"/>
          <w:szCs w:val="21"/>
          <w:highlight w:val="none"/>
        </w:rPr>
        <w:t>15</w:t>
      </w:r>
      <w:r>
        <w:rPr>
          <w:rFonts w:hint="eastAsia" w:ascii="宋体" w:hAnsi="宋体" w:eastAsia="宋体"/>
          <w:color w:val="auto"/>
          <w:sz w:val="21"/>
          <w:szCs w:val="21"/>
          <w:highlight w:val="none"/>
        </w:rPr>
        <w:t>日内，无条件办理预付款保函延期手续。否则视为中标人违约，采购人可在预付款保函到期前将未抵扣的预付款转为现金存入采购人账户</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预付款保函应：</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（1）由东莞市行政区域内的银行支行及以上银行机构开具。非东莞市行政区内的银行开具的保函要由银行所在地公证部门出具的公证书。</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（2）须使用招标文件中提供的预付款保函的格式。</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（3）必须打印，手写、涂改无效</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若中标人不能按本须知（33.1至33.2）的规定执行，采购人将不予支付预付款。</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如果中标人提交的预付款保函的有效期先于招标文件要求的预付款保函有效期到达，中标人应在原提交的预付款保函有效期满前</w:t>
      </w:r>
      <w:r>
        <w:rPr>
          <w:rFonts w:ascii="宋体" w:hAnsi="宋体" w:eastAsia="宋体"/>
          <w:color w:val="auto"/>
          <w:sz w:val="21"/>
          <w:szCs w:val="21"/>
          <w:highlight w:val="none"/>
        </w:rPr>
        <w:t>15</w:t>
      </w:r>
      <w:r>
        <w:rPr>
          <w:rFonts w:hint="eastAsia" w:ascii="宋体" w:hAnsi="宋体" w:eastAsia="宋体"/>
          <w:color w:val="auto"/>
          <w:sz w:val="21"/>
          <w:szCs w:val="21"/>
          <w:highlight w:val="none"/>
        </w:rPr>
        <w:t>天内，无条件办理预付款保函延期手续。否则视为中标人违约，采购人可在预付款保函到期前将未抵扣的预付款金额转为现金存入采购人账户。</w:t>
      </w:r>
    </w:p>
    <w:p>
      <w:pPr>
        <w:rPr>
          <w:color w:val="auto"/>
          <w:highlight w:val="none"/>
        </w:rPr>
      </w:pPr>
    </w:p>
    <w:p>
      <w:pPr>
        <w:pStyle w:val="6"/>
        <w:numPr>
          <w:ilvl w:val="0"/>
          <w:numId w:val="2"/>
        </w:numPr>
        <w:spacing w:before="0" w:after="0" w:line="480" w:lineRule="auto"/>
        <w:jc w:val="center"/>
        <w:rPr>
          <w:rFonts w:ascii="宋体" w:hAnsi="宋体" w:eastAsia="宋体"/>
          <w:color w:val="auto"/>
          <w:highlight w:val="none"/>
        </w:rPr>
      </w:pPr>
      <w:bookmarkStart w:id="79" w:name="_Toc74645238"/>
      <w:r>
        <w:rPr>
          <w:rFonts w:hint="eastAsia" w:ascii="宋体" w:hAnsi="宋体" w:eastAsia="宋体"/>
          <w:color w:val="auto"/>
          <w:highlight w:val="none"/>
        </w:rPr>
        <w:t>询问或质疑</w:t>
      </w:r>
      <w:bookmarkEnd w:id="79"/>
    </w:p>
    <w:p>
      <w:pPr>
        <w:pStyle w:val="7"/>
        <w:widowControl w:val="0"/>
        <w:overflowPunct w:val="0"/>
        <w:spacing w:before="0" w:after="0" w:line="240" w:lineRule="auto"/>
        <w:rPr>
          <w:rFonts w:ascii="宋体" w:hAnsi="宋体" w:eastAsia="宋体"/>
          <w:color w:val="auto"/>
          <w:sz w:val="21"/>
          <w:szCs w:val="21"/>
          <w:highlight w:val="none"/>
        </w:rPr>
      </w:pPr>
      <w:bookmarkStart w:id="80" w:name="_Toc74645239"/>
      <w:r>
        <w:rPr>
          <w:rFonts w:hint="eastAsia" w:ascii="宋体" w:hAnsi="宋体" w:eastAsia="宋体"/>
          <w:color w:val="auto"/>
          <w:sz w:val="21"/>
          <w:szCs w:val="21"/>
          <w:highlight w:val="none"/>
        </w:rPr>
        <w:t>3</w:t>
      </w:r>
      <w:r>
        <w:rPr>
          <w:rFonts w:hint="eastAsia" w:ascii="宋体" w:hAnsi="宋体"/>
          <w:color w:val="auto"/>
          <w:sz w:val="21"/>
          <w:szCs w:val="21"/>
          <w:highlight w:val="none"/>
          <w:lang w:val="en-US" w:eastAsia="zh-CN"/>
        </w:rPr>
        <w:t>4</w:t>
      </w:r>
      <w:r>
        <w:rPr>
          <w:rFonts w:hint="eastAsia" w:ascii="宋体" w:hAnsi="宋体" w:eastAsia="宋体"/>
          <w:color w:val="auto"/>
          <w:sz w:val="21"/>
          <w:szCs w:val="21"/>
          <w:highlight w:val="none"/>
        </w:rPr>
        <w:t>.询问</w:t>
      </w:r>
      <w:bookmarkEnd w:id="80"/>
    </w:p>
    <w:p>
      <w:pPr>
        <w:pStyle w:val="31"/>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81" w:name="_Toc74645240"/>
      <w:r>
        <w:rPr>
          <w:rFonts w:hint="eastAsia" w:ascii="宋体" w:hAnsi="宋体" w:eastAsia="宋体"/>
          <w:color w:val="auto"/>
          <w:sz w:val="21"/>
          <w:szCs w:val="21"/>
          <w:highlight w:val="none"/>
        </w:rPr>
        <w:t>3</w:t>
      </w: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.质疑</w:t>
      </w:r>
      <w:bookmarkEnd w:id="81"/>
    </w:p>
    <w:p>
      <w:pPr>
        <w:pStyle w:val="31"/>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提出质疑的投标人应当是参与所质疑项目采购活动的供应商或是在规定的时间内已依法获取其可质疑的招标文件的潜在供应商。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投标人以电话、传真或电邮形式提交的质疑属于无效质疑。</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以联合体形式参加采购活动的，其质疑应当由组成联合体的所有投标人共同提出。</w:t>
      </w:r>
    </w:p>
    <w:p>
      <w:pPr>
        <w:rPr>
          <w:color w:val="auto"/>
          <w:highlight w:val="none"/>
        </w:rPr>
      </w:pPr>
    </w:p>
    <w:p>
      <w:pPr>
        <w:pStyle w:val="6"/>
        <w:numPr>
          <w:ilvl w:val="0"/>
          <w:numId w:val="2"/>
        </w:numPr>
        <w:spacing w:before="0" w:after="0" w:line="480" w:lineRule="auto"/>
        <w:jc w:val="center"/>
        <w:rPr>
          <w:rFonts w:ascii="宋体" w:hAnsi="宋体" w:eastAsia="宋体"/>
          <w:color w:val="auto"/>
          <w:highlight w:val="none"/>
        </w:rPr>
      </w:pPr>
      <w:bookmarkStart w:id="82" w:name="_Toc74645241"/>
      <w:r>
        <w:rPr>
          <w:rFonts w:hint="eastAsia" w:ascii="宋体" w:hAnsi="宋体" w:eastAsia="宋体"/>
          <w:color w:val="auto"/>
          <w:highlight w:val="none"/>
        </w:rPr>
        <w:t>其他</w:t>
      </w:r>
      <w:bookmarkEnd w:id="82"/>
    </w:p>
    <w:p>
      <w:pPr>
        <w:pStyle w:val="7"/>
        <w:widowControl w:val="0"/>
        <w:overflowPunct w:val="0"/>
        <w:spacing w:before="0" w:after="0" w:line="240" w:lineRule="auto"/>
        <w:rPr>
          <w:rFonts w:ascii="宋体" w:hAnsi="宋体" w:eastAsia="宋体"/>
          <w:color w:val="auto"/>
          <w:sz w:val="21"/>
          <w:szCs w:val="21"/>
          <w:highlight w:val="none"/>
        </w:rPr>
      </w:pPr>
      <w:bookmarkStart w:id="83" w:name="_Toc74645242"/>
      <w:r>
        <w:rPr>
          <w:rFonts w:hint="eastAsia" w:ascii="宋体" w:hAnsi="宋体" w:eastAsia="宋体"/>
          <w:color w:val="auto"/>
          <w:sz w:val="21"/>
          <w:szCs w:val="21"/>
          <w:highlight w:val="none"/>
        </w:rPr>
        <w:t>3</w:t>
      </w: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.招标文件的解释权</w:t>
      </w:r>
      <w:bookmarkEnd w:id="83"/>
    </w:p>
    <w:p>
      <w:pPr>
        <w:pStyle w:val="31"/>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本招标文件是根据国家有关法律、法规以及采购管理有关规定和参照国际惯例编制，解释权属本采购代理机构。</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spacing w:before="0" w:after="0" w:line="240" w:lineRule="auto"/>
        <w:rPr>
          <w:rFonts w:ascii="黑体" w:hAnsi="黑体" w:eastAsia="黑体"/>
          <w:bCs/>
          <w:color w:val="auto"/>
          <w:szCs w:val="21"/>
          <w:highlight w:val="none"/>
        </w:rPr>
      </w:pPr>
      <w:bookmarkStart w:id="84" w:name="_Toc74645243"/>
      <w:r>
        <w:rPr>
          <w:rFonts w:hint="eastAsia"/>
          <w:color w:val="auto"/>
          <w:sz w:val="28"/>
          <w:szCs w:val="28"/>
          <w:highlight w:val="none"/>
        </w:rPr>
        <w:t>第五部分</w:t>
      </w:r>
      <w:r>
        <w:rPr>
          <w:rFonts w:hint="eastAsia"/>
          <w:color w:val="auto"/>
          <w:sz w:val="28"/>
          <w:szCs w:val="28"/>
          <w:highlight w:val="none"/>
          <w:lang w:val="en-US" w:eastAsia="zh-CN"/>
        </w:rPr>
        <w:t>协议条款</w:t>
      </w:r>
      <w:r>
        <w:rPr>
          <w:rFonts w:hint="eastAsia"/>
          <w:color w:val="auto"/>
          <w:sz w:val="28"/>
          <w:szCs w:val="28"/>
          <w:highlight w:val="none"/>
        </w:rPr>
        <w:t>（仅供参考）</w:t>
      </w:r>
      <w:bookmarkEnd w:id="84"/>
    </w:p>
    <w:p>
      <w:pPr>
        <w:spacing w:line="500" w:lineRule="exact"/>
        <w:jc w:val="center"/>
        <w:rPr>
          <w:rFonts w:hint="eastAsia" w:ascii="仿宋_GB2312" w:eastAsia="仿宋_GB2312"/>
          <w:b/>
          <w:bCs/>
          <w:color w:val="auto"/>
          <w:sz w:val="28"/>
          <w:szCs w:val="28"/>
          <w:highlight w:val="none"/>
        </w:rPr>
      </w:pPr>
      <w:r>
        <w:rPr>
          <w:rFonts w:hint="eastAsia" w:ascii="仿宋_GB2312" w:eastAsia="仿宋_GB2312"/>
          <w:b/>
          <w:bCs/>
          <w:color w:val="auto"/>
          <w:sz w:val="28"/>
          <w:szCs w:val="28"/>
          <w:highlight w:val="none"/>
        </w:rPr>
        <w:t>协议样式</w:t>
      </w:r>
    </w:p>
    <w:p>
      <w:pPr>
        <w:spacing w:line="500" w:lineRule="exact"/>
        <w:jc w:val="center"/>
        <w:rPr>
          <w:rFonts w:ascii="仿宋_GB2312" w:eastAsia="仿宋_GB2312"/>
          <w:b/>
          <w:bCs/>
          <w:color w:val="auto"/>
          <w:sz w:val="28"/>
          <w:szCs w:val="28"/>
          <w:highlight w:val="none"/>
        </w:rPr>
      </w:pP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东实集团及下属公司检测服务协议书</w:t>
      </w:r>
    </w:p>
    <w:p>
      <w:pPr>
        <w:spacing w:line="360" w:lineRule="auto"/>
        <w:ind w:firstLine="476" w:firstLineChars="170"/>
        <w:rPr>
          <w:rFonts w:ascii="仿宋_GB2312" w:eastAsia="仿宋_GB2312"/>
          <w:color w:val="auto"/>
          <w:sz w:val="28"/>
          <w:szCs w:val="28"/>
          <w:highlight w:val="none"/>
        </w:rPr>
      </w:pP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委托人：</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受托人： </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依照《</w:t>
      </w:r>
      <w:r>
        <w:rPr>
          <w:rFonts w:hint="eastAsia" w:ascii="宋体" w:hAnsi="宋体" w:cs="宋体"/>
          <w:color w:val="auto"/>
          <w:sz w:val="22"/>
          <w:szCs w:val="22"/>
          <w:highlight w:val="none"/>
          <w:lang w:eastAsia="zh-CN"/>
        </w:rPr>
        <w:t>中华人民共和国民法典</w:t>
      </w:r>
      <w:r>
        <w:rPr>
          <w:rFonts w:hint="eastAsia" w:ascii="宋体" w:hAnsi="宋体" w:cs="宋体"/>
          <w:color w:val="auto"/>
          <w:sz w:val="22"/>
          <w:szCs w:val="22"/>
          <w:highlight w:val="none"/>
        </w:rPr>
        <w:t>》、 工程检测行业规范以及国家的有关法律、行政法规，遵循平等、 自愿、公平和诚实信用的原则，双方就年度采购检测机构从事检测服务事项协商一致，订立本协议。</w:t>
      </w:r>
    </w:p>
    <w:p>
      <w:pPr>
        <w:spacing w:line="360" w:lineRule="auto"/>
        <w:ind w:firstLine="418" w:firstLineChars="190"/>
        <w:rPr>
          <w:rFonts w:hint="eastAsia" w:ascii="宋体" w:hAnsi="宋体" w:cs="宋体"/>
          <w:color w:val="auto"/>
          <w:sz w:val="22"/>
          <w:szCs w:val="22"/>
          <w:highlight w:val="none"/>
        </w:rPr>
      </w:pPr>
      <w:r>
        <w:rPr>
          <w:rFonts w:hint="eastAsia" w:ascii="宋体" w:hAnsi="宋体" w:cs="宋体"/>
          <w:color w:val="auto"/>
          <w:sz w:val="22"/>
          <w:szCs w:val="22"/>
          <w:highlight w:val="none"/>
        </w:rPr>
        <w:t>一、委托人委托受托人从事检测服务工作，通过抽签轮单轮排的方式确定检测机构，承担本年度工程的检测工作。</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二、本协议不可分割的组成部分</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1.招标文件及附件；</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2.投标文件及附件；</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3.中标通知书；</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4.附件一：工程检测项目分配办法及考核办法；</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5.附件二：建设工程检测合同；</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6.附件三：阳光合作协议；</w:t>
      </w:r>
    </w:p>
    <w:p>
      <w:pPr>
        <w:spacing w:line="360" w:lineRule="auto"/>
        <w:ind w:firstLine="418" w:firstLineChars="190"/>
        <w:rPr>
          <w:rFonts w:hint="eastAsia" w:ascii="宋体" w:hAnsi="宋体" w:cs="宋体"/>
          <w:color w:val="auto"/>
          <w:sz w:val="22"/>
          <w:szCs w:val="22"/>
          <w:highlight w:val="none"/>
        </w:rPr>
      </w:pPr>
      <w:r>
        <w:rPr>
          <w:rFonts w:hint="eastAsia" w:ascii="宋体" w:hAnsi="宋体" w:cs="宋体"/>
          <w:color w:val="auto"/>
          <w:sz w:val="22"/>
          <w:szCs w:val="22"/>
          <w:highlight w:val="none"/>
        </w:rPr>
        <w:t>三、对第一次拒绝接受任务的中标单位，取消本轮承担任务资格，并支付给甲方违约金壹万元,并暂停下一轮抽签承接任务资格。第二次拒绝接受任务的，处罚违约金3万元，暂停二轮抽签承接任务资格；第三次拒绝接受分配的，集团予以解除服务合同，并没收履约保证金（中标单位每家提交3万元的履约保证金）。</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四、协议价款</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1</w:t>
      </w:r>
      <w:r>
        <w:rPr>
          <w:rFonts w:hint="eastAsia" w:ascii="宋体" w:hAnsi="宋体" w:cs="宋体"/>
          <w:color w:val="auto"/>
          <w:kern w:val="28"/>
          <w:sz w:val="21"/>
          <w:szCs w:val="21"/>
          <w:highlight w:val="none"/>
          <w:lang w:eastAsia="zh-CN"/>
        </w:rPr>
        <w:t>、</w:t>
      </w:r>
      <w:r>
        <w:rPr>
          <w:rFonts w:hint="eastAsia" w:ascii="宋体" w:hAnsi="宋体" w:eastAsia="宋体" w:cs="宋体"/>
          <w:color w:val="auto"/>
          <w:kern w:val="28"/>
          <w:sz w:val="21"/>
          <w:szCs w:val="21"/>
          <w:highlight w:val="none"/>
        </w:rPr>
        <w:t>收费标准参照东莞市建设工程检测行业协会发布的《东莞市建设工程检测行业参考收费标准》（2020版），未函盖的部分参照《广东省房屋建筑和市政工程质量安全检测收费指导价》（粤建检协[2015]8号）。</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2</w:t>
      </w:r>
      <w:r>
        <w:rPr>
          <w:rFonts w:hint="eastAsia" w:ascii="宋体" w:hAnsi="宋体" w:cs="宋体"/>
          <w:color w:val="auto"/>
          <w:kern w:val="28"/>
          <w:sz w:val="21"/>
          <w:szCs w:val="21"/>
          <w:highlight w:val="none"/>
          <w:lang w:eastAsia="zh-CN"/>
        </w:rPr>
        <w:t>、</w:t>
      </w:r>
      <w:r>
        <w:rPr>
          <w:rFonts w:hint="eastAsia" w:ascii="宋体" w:hAnsi="宋体" w:eastAsia="宋体" w:cs="宋体"/>
          <w:color w:val="auto"/>
          <w:kern w:val="28"/>
          <w:sz w:val="21"/>
          <w:szCs w:val="21"/>
          <w:highlight w:val="none"/>
        </w:rPr>
        <w:t>按照收费标准固定下浮30%。</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五、东莞实业投资控股集团有限公司授予受托方检测服务协议资格。受托方保证按照检测合同的规定要求提供合格的服务。受托方应根据国家和省、市有关工程检测的法规、政策、文件规定，科学、客观、公正地开展工程检测工作，按委托人的要求，按时按质按量检测服务。</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六、合同的履行</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合同签订后，受托方依照合同约定的事项提供相关服务，委托人也依照合同约定履行相关义务，彼此间不应提出合同约定以外的其他要求。</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七、受托人向委托人承诺，按照本协议的约定，承担合同专用条款中约定范围内的检测业务。</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八、委托人向受托人承诺，按照合同的约定，确保检测报酬的支付。</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九、协议期限</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（一）本协议有效期为叁年，自20</w:t>
      </w:r>
      <w:r>
        <w:rPr>
          <w:rFonts w:hint="eastAsia" w:ascii="宋体" w:hAnsi="宋体" w:cs="宋体"/>
          <w:color w:val="auto"/>
          <w:sz w:val="22"/>
          <w:szCs w:val="22"/>
          <w:highlight w:val="none"/>
          <w:lang w:val="en-US" w:eastAsia="zh-CN"/>
        </w:rPr>
        <w:t>22</w:t>
      </w:r>
      <w:r>
        <w:rPr>
          <w:rFonts w:hint="eastAsia" w:ascii="宋体" w:hAnsi="宋体" w:cs="宋体"/>
          <w:color w:val="auto"/>
          <w:sz w:val="22"/>
          <w:szCs w:val="22"/>
          <w:highlight w:val="none"/>
        </w:rPr>
        <w:t xml:space="preserve">年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月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日起至202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 xml:space="preserve">年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日止。</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（二）在协议执行期内，如因乙方违规经营或违约并被受查处时，本协议将自动提前终止执行，并将其相应的履约保证金没收。</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（三）本协议未尽之事宜，可以经双方协商以补充协议的形式加以补充。补充协议与本协议具有同样的法律效力。</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十、协议订立</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协议订立时间：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协议订立地点： </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十一</w:t>
      </w:r>
      <w:r>
        <w:rPr>
          <w:rFonts w:hint="eastAsia" w:ascii="宋体" w:hAnsi="宋体" w:cs="宋体"/>
          <w:color w:val="auto"/>
          <w:sz w:val="22"/>
          <w:szCs w:val="22"/>
          <w:highlight w:val="none"/>
        </w:rPr>
        <w:t>、合同生效</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本合同双方约定签字或盖章后生效。一式四份，甲方三份，乙方一份。 </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委托人（盖章）：                      受托人（盖章）：</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法定代表人（签字或盖章）：            法定代表人（签字或盖章）：</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授权代理人（签字或盖章）：            授权代理人（签字或盖章）：</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单位地址：                            单位地址：</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邮政编码：                            邮政编码：</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联系电话：                            联系电话：</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传    真：                            传    真：</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电子信箱：                            电子信箱：</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开户银行：                            开户银行：</w:t>
      </w:r>
    </w:p>
    <w:p>
      <w:pPr>
        <w:pStyle w:val="58"/>
        <w:spacing w:line="440" w:lineRule="exact"/>
        <w:ind w:firstLine="440" w:firstLineChars="200"/>
        <w:jc w:val="left"/>
        <w:rPr>
          <w:b/>
          <w:color w:val="auto"/>
          <w:sz w:val="36"/>
          <w:szCs w:val="36"/>
          <w:highlight w:val="none"/>
        </w:rPr>
      </w:pPr>
      <w:r>
        <w:rPr>
          <w:rFonts w:hint="eastAsia" w:ascii="宋体" w:hAnsi="宋体" w:cs="宋体"/>
          <w:color w:val="auto"/>
          <w:sz w:val="22"/>
          <w:szCs w:val="22"/>
          <w:highlight w:val="none"/>
        </w:rPr>
        <w:t>帐    号：                            帐    号：</w:t>
      </w:r>
      <w:r>
        <w:rPr>
          <w:rFonts w:hint="eastAsia" w:ascii="宋体" w:hAnsi="宋体" w:cs="宋体"/>
          <w:color w:val="auto"/>
          <w:sz w:val="22"/>
          <w:szCs w:val="22"/>
          <w:highlight w:val="none"/>
        </w:rPr>
        <w:br w:type="page"/>
      </w:r>
    </w:p>
    <w:p>
      <w:pPr>
        <w:spacing w:line="360" w:lineRule="auto"/>
        <w:ind w:firstLine="478" w:firstLineChars="170"/>
        <w:rPr>
          <w:rFonts w:ascii="宋体" w:hAnsi="宋体"/>
          <w:b/>
          <w:bCs/>
          <w:color w:val="auto"/>
          <w:sz w:val="28"/>
          <w:szCs w:val="28"/>
          <w:highlight w:val="none"/>
        </w:rPr>
      </w:pPr>
      <w:r>
        <w:rPr>
          <w:rFonts w:hint="eastAsia" w:ascii="宋体" w:hAnsi="宋体"/>
          <w:b/>
          <w:bCs/>
          <w:color w:val="auto"/>
          <w:sz w:val="28"/>
          <w:szCs w:val="28"/>
          <w:highlight w:val="none"/>
        </w:rPr>
        <w:t>附件一：工程检测项目分配办法及考核办法</w:t>
      </w:r>
    </w:p>
    <w:p>
      <w:pPr>
        <w:spacing w:line="360" w:lineRule="auto"/>
        <w:ind w:firstLine="374" w:firstLineChars="170"/>
        <w:rPr>
          <w:rFonts w:ascii="宋体" w:hAnsi="宋体"/>
          <w:color w:val="auto"/>
          <w:sz w:val="22"/>
          <w:szCs w:val="22"/>
          <w:highlight w:val="none"/>
        </w:rPr>
      </w:pPr>
      <w:r>
        <w:rPr>
          <w:rFonts w:hint="eastAsia" w:ascii="宋体" w:hAnsi="宋体"/>
          <w:color w:val="auto"/>
          <w:sz w:val="22"/>
          <w:szCs w:val="22"/>
          <w:highlight w:val="none"/>
        </w:rPr>
        <w:t>1、分配办法</w:t>
      </w:r>
    </w:p>
    <w:p>
      <w:pPr>
        <w:spacing w:line="360" w:lineRule="auto"/>
        <w:ind w:firstLine="440" w:firstLineChars="200"/>
        <w:rPr>
          <w:rFonts w:ascii="宋体" w:hAnsi="宋体" w:cs="Tahoma"/>
          <w:color w:val="auto"/>
          <w:kern w:val="28"/>
          <w:sz w:val="22"/>
          <w:szCs w:val="22"/>
          <w:highlight w:val="none"/>
        </w:rPr>
      </w:pPr>
      <w:r>
        <w:rPr>
          <w:rFonts w:hint="eastAsia" w:ascii="宋体" w:hAnsi="宋体" w:cs="Tahoma"/>
          <w:color w:val="auto"/>
          <w:kern w:val="28"/>
          <w:sz w:val="22"/>
          <w:szCs w:val="22"/>
          <w:highlight w:val="none"/>
        </w:rPr>
        <w:t>（1）检测单位协议供应商库建成后，在协议采购服务期限内实行在库单位以抽签轮单轮排的方式承接任务。</w:t>
      </w:r>
    </w:p>
    <w:p>
      <w:pPr>
        <w:spacing w:line="360" w:lineRule="auto"/>
        <w:ind w:firstLine="382" w:firstLineChars="174"/>
        <w:rPr>
          <w:rFonts w:ascii="宋体" w:hAnsi="宋体"/>
          <w:color w:val="auto"/>
          <w:sz w:val="22"/>
          <w:szCs w:val="22"/>
          <w:highlight w:val="none"/>
        </w:rPr>
      </w:pPr>
      <w:r>
        <w:rPr>
          <w:rFonts w:hint="eastAsia" w:ascii="宋体" w:hAnsi="宋体"/>
          <w:color w:val="auto"/>
          <w:sz w:val="22"/>
          <w:szCs w:val="22"/>
          <w:highlight w:val="none"/>
        </w:rPr>
        <w:t>（2）</w:t>
      </w:r>
      <w:r>
        <w:rPr>
          <w:rFonts w:hint="eastAsia" w:ascii="宋体" w:hAnsi="宋体" w:cs="宋体"/>
          <w:color w:val="auto"/>
          <w:sz w:val="22"/>
          <w:szCs w:val="22"/>
          <w:highlight w:val="none"/>
        </w:rPr>
        <w:t>中标单位不得以任何理由拒绝建设单位分配的检测任务</w:t>
      </w:r>
      <w:r>
        <w:rPr>
          <w:rFonts w:hint="eastAsia" w:ascii="宋体" w:hAnsi="宋体"/>
          <w:color w:val="auto"/>
          <w:sz w:val="22"/>
          <w:szCs w:val="22"/>
          <w:highlight w:val="none"/>
        </w:rPr>
        <w:t>。对第一次拒绝接受任务的中标单位，取消本轮承担任务资格,并暂停两次抽签承接任务资格。第二次拒绝接受任务的，暂停四次抽签承接任务资格；第三次拒绝接受分配的，集团予以解除服务合同，并没收履约保证金（中标单位每家提交3万元的履约保证金）。</w:t>
      </w:r>
    </w:p>
    <w:p>
      <w:pPr>
        <w:spacing w:line="360" w:lineRule="auto"/>
        <w:ind w:firstLine="382" w:firstLineChars="174"/>
        <w:rPr>
          <w:rFonts w:ascii="宋体" w:hAnsi="宋体"/>
          <w:color w:val="auto"/>
          <w:sz w:val="22"/>
          <w:szCs w:val="22"/>
          <w:highlight w:val="none"/>
        </w:rPr>
      </w:pPr>
      <w:r>
        <w:rPr>
          <w:rFonts w:hint="eastAsia" w:ascii="宋体" w:hAnsi="宋体"/>
          <w:color w:val="auto"/>
          <w:sz w:val="22"/>
          <w:szCs w:val="22"/>
          <w:highlight w:val="none"/>
        </w:rPr>
        <w:t>2．对工程检测服务机构的考核：</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工程检测服务机构资格服务期限为三年。服务期内，由集团</w:t>
      </w:r>
      <w:r>
        <w:rPr>
          <w:rFonts w:hint="eastAsia" w:ascii="宋体" w:hAnsi="宋体"/>
          <w:color w:val="auto"/>
          <w:sz w:val="22"/>
          <w:szCs w:val="22"/>
          <w:highlight w:val="none"/>
          <w:lang w:eastAsia="zh-CN"/>
        </w:rPr>
        <w:t>招标成本部</w:t>
      </w:r>
      <w:r>
        <w:rPr>
          <w:rFonts w:hint="eastAsia" w:ascii="宋体" w:hAnsi="宋体"/>
          <w:color w:val="auto"/>
          <w:sz w:val="22"/>
          <w:szCs w:val="22"/>
          <w:highlight w:val="none"/>
        </w:rPr>
        <w:t>及集团及下属单位的工程管理部门对完成检测项目的质量、效率、服务等情况进行综合评价。考核分为建设单位检测项目评价及工程检测机构年度考核。具体考核的内容有：</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（1）检测服务机构资质条件现状；</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（2）协议期间工程检测服务机构工程检测工作业绩和合同执行情况；</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（3）工程检测服务机构工程检测的业务水平；</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（4）工程检测服务机构和从业检测人员遵守职业道德情况；</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（5）执行国家法律、法规和市场管理的有关规定；违反相关法律和损害用户单位利益的情况；</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（6）企业内部制度建设、技术档案管理和质量保证体系执行情况；</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（7）工程检测服务质量。</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（8）工程检测单位社会信誉。</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附表一：建设单位检测项目评价意见表</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附表二：工程检测机构年度考核表</w:t>
      </w:r>
    </w:p>
    <w:p>
      <w:pPr>
        <w:spacing w:line="600" w:lineRule="exact"/>
        <w:rPr>
          <w:rFonts w:hint="eastAsia" w:ascii="仿宋_GB2312" w:hAnsi="ˎ̥" w:eastAsia="仿宋_GB2312"/>
          <w:color w:val="auto"/>
          <w:sz w:val="28"/>
          <w:szCs w:val="28"/>
          <w:highlight w:val="none"/>
        </w:rPr>
      </w:pPr>
      <w:r>
        <w:rPr>
          <w:rFonts w:hint="eastAsia" w:ascii="仿宋_GB2312" w:hAnsi="ˎ̥" w:eastAsia="仿宋_GB2312"/>
          <w:color w:val="auto"/>
          <w:sz w:val="28"/>
          <w:szCs w:val="28"/>
          <w:highlight w:val="none"/>
        </w:rPr>
        <w:br w:type="page"/>
      </w:r>
      <w:r>
        <w:rPr>
          <w:rFonts w:hint="eastAsia" w:ascii="仿宋_GB2312" w:hAnsi="ˎ̥" w:eastAsia="仿宋_GB2312"/>
          <w:color w:val="auto"/>
          <w:sz w:val="28"/>
          <w:szCs w:val="28"/>
          <w:highlight w:val="none"/>
        </w:rPr>
        <w:t>附表一：</w:t>
      </w:r>
    </w:p>
    <w:p>
      <w:pPr>
        <w:jc w:val="center"/>
        <w:rPr>
          <w:rFonts w:hint="eastAsia" w:ascii="华康简标题宋" w:hAnsi="ˎ̥" w:eastAsia="华康简标题宋"/>
          <w:b/>
          <w:color w:val="auto"/>
          <w:sz w:val="28"/>
          <w:szCs w:val="28"/>
          <w:highlight w:val="none"/>
        </w:rPr>
      </w:pPr>
      <w:r>
        <w:rPr>
          <w:rFonts w:hint="eastAsia" w:ascii="华康简标题宋" w:hAnsi="ˎ̥" w:eastAsia="华康简标题宋"/>
          <w:b/>
          <w:color w:val="auto"/>
          <w:sz w:val="28"/>
          <w:szCs w:val="28"/>
          <w:highlight w:val="none"/>
        </w:rPr>
        <w:t>建设单位检测项目评价意见表</w:t>
      </w:r>
    </w:p>
    <w:p>
      <w:pPr>
        <w:jc w:val="center"/>
        <w:rPr>
          <w:rFonts w:hint="eastAsia" w:ascii="华康简标题宋" w:hAnsi="ˎ̥" w:eastAsia="华康简标题宋"/>
          <w:b/>
          <w:color w:val="auto"/>
          <w:sz w:val="28"/>
          <w:szCs w:val="28"/>
          <w:highlight w:val="none"/>
        </w:rPr>
      </w:pPr>
    </w:p>
    <w:p>
      <w:pPr>
        <w:rPr>
          <w:rFonts w:ascii="宋体" w:hAnsi="宋体"/>
          <w:color w:val="auto"/>
          <w:szCs w:val="21"/>
          <w:highlight w:val="none"/>
        </w:rPr>
      </w:pPr>
      <w:r>
        <w:rPr>
          <w:rFonts w:hint="eastAsia" w:ascii="宋体" w:hAnsi="宋体"/>
          <w:color w:val="auto"/>
          <w:szCs w:val="21"/>
          <w:highlight w:val="none"/>
        </w:rPr>
        <w:t>评价部门（盖章）：                                                      索引号：</w:t>
      </w:r>
    </w:p>
    <w:tbl>
      <w:tblPr>
        <w:tblStyle w:val="21"/>
        <w:tblW w:w="0" w:type="auto"/>
        <w:jc w:val="center"/>
        <w:tblLayout w:type="autofit"/>
        <w:tblCellMar>
          <w:top w:w="0" w:type="dxa"/>
          <w:left w:w="108" w:type="dxa"/>
          <w:bottom w:w="0" w:type="dxa"/>
          <w:right w:w="108" w:type="dxa"/>
        </w:tblCellMar>
      </w:tblPr>
      <w:tblGrid>
        <w:gridCol w:w="1211"/>
        <w:gridCol w:w="702"/>
        <w:gridCol w:w="2364"/>
        <w:gridCol w:w="1887"/>
        <w:gridCol w:w="2194"/>
        <w:gridCol w:w="703"/>
      </w:tblGrid>
      <w:tr>
        <w:tblPrEx>
          <w:tblCellMar>
            <w:top w:w="0" w:type="dxa"/>
            <w:left w:w="108" w:type="dxa"/>
            <w:bottom w:w="0" w:type="dxa"/>
            <w:right w:w="108" w:type="dxa"/>
          </w:tblCellMar>
        </w:tblPrEx>
        <w:trPr>
          <w:trHeight w:val="420" w:hRule="atLeast"/>
          <w:jc w:val="center"/>
        </w:trPr>
        <w:tc>
          <w:tcPr>
            <w:tcW w:w="0" w:type="auto"/>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0" w:type="auto"/>
            <w:gridSpan w:val="2"/>
            <w:tcBorders>
              <w:top w:val="single" w:color="auto" w:sz="4" w:space="0"/>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0" w:type="auto"/>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工程检测单位</w:t>
            </w:r>
          </w:p>
        </w:tc>
        <w:tc>
          <w:tcPr>
            <w:tcW w:w="0" w:type="auto"/>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2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项目计划完成时间</w:t>
            </w:r>
          </w:p>
        </w:tc>
        <w:tc>
          <w:tcPr>
            <w:tcW w:w="0" w:type="auto"/>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0" w:type="auto"/>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项目实际完成时间</w:t>
            </w:r>
          </w:p>
        </w:tc>
        <w:tc>
          <w:tcPr>
            <w:tcW w:w="0" w:type="auto"/>
            <w:tcBorders>
              <w:top w:val="single" w:color="auto" w:sz="4" w:space="0"/>
              <w:left w:val="single" w:color="auto" w:sz="4" w:space="0"/>
              <w:bottom w:val="single" w:color="auto" w:sz="4" w:space="0"/>
              <w:right w:val="nil"/>
            </w:tcBorders>
            <w:noWrap w:val="0"/>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0" w:type="auto"/>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□按时完成     □延期完成</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评价内容</w:t>
            </w:r>
          </w:p>
        </w:tc>
        <w:tc>
          <w:tcPr>
            <w:tcW w:w="0" w:type="auto"/>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各项分值</w:t>
            </w:r>
          </w:p>
        </w:tc>
        <w:tc>
          <w:tcPr>
            <w:tcW w:w="0" w:type="auto"/>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具</w:t>
            </w:r>
            <w:r>
              <w:rPr>
                <w:color w:val="auto"/>
                <w:kern w:val="0"/>
                <w:sz w:val="18"/>
                <w:szCs w:val="18"/>
                <w:highlight w:val="none"/>
              </w:rPr>
              <w:t xml:space="preserve">  </w:t>
            </w:r>
            <w:r>
              <w:rPr>
                <w:rFonts w:hint="eastAsia" w:ascii="宋体" w:hAnsi="宋体" w:cs="宋体"/>
                <w:color w:val="auto"/>
                <w:kern w:val="0"/>
                <w:sz w:val="18"/>
                <w:szCs w:val="18"/>
                <w:highlight w:val="none"/>
              </w:rPr>
              <w:t>体</w:t>
            </w:r>
            <w:r>
              <w:rPr>
                <w:color w:val="auto"/>
                <w:kern w:val="0"/>
                <w:sz w:val="18"/>
                <w:szCs w:val="18"/>
                <w:highlight w:val="none"/>
              </w:rPr>
              <w:t xml:space="preserve">  </w:t>
            </w:r>
            <w:r>
              <w:rPr>
                <w:rFonts w:hint="eastAsia" w:ascii="宋体" w:hAnsi="宋体" w:cs="宋体"/>
                <w:color w:val="auto"/>
                <w:kern w:val="0"/>
                <w:sz w:val="18"/>
                <w:szCs w:val="18"/>
                <w:highlight w:val="none"/>
              </w:rPr>
              <w:t>内</w:t>
            </w:r>
            <w:r>
              <w:rPr>
                <w:color w:val="auto"/>
                <w:kern w:val="0"/>
                <w:sz w:val="18"/>
                <w:szCs w:val="18"/>
                <w:highlight w:val="none"/>
              </w:rPr>
              <w:t xml:space="preserve">  </w:t>
            </w:r>
            <w:r>
              <w:rPr>
                <w:rFonts w:hint="eastAsia" w:ascii="宋体" w:hAnsi="宋体" w:cs="宋体"/>
                <w:color w:val="auto"/>
                <w:kern w:val="0"/>
                <w:sz w:val="18"/>
                <w:szCs w:val="18"/>
                <w:highlight w:val="none"/>
              </w:rPr>
              <w:t>容</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评分</w:t>
            </w:r>
          </w:p>
        </w:tc>
      </w:tr>
      <w:tr>
        <w:tblPrEx>
          <w:tblCellMar>
            <w:top w:w="0" w:type="dxa"/>
            <w:left w:w="108" w:type="dxa"/>
            <w:bottom w:w="0" w:type="dxa"/>
            <w:right w:w="108" w:type="dxa"/>
          </w:tblCellMar>
        </w:tblPrEx>
        <w:trPr>
          <w:trHeight w:val="439" w:hRule="atLeast"/>
          <w:jc w:val="center"/>
        </w:trPr>
        <w:tc>
          <w:tcPr>
            <w:tcW w:w="0" w:type="auto"/>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业务水平</w:t>
            </w:r>
          </w:p>
        </w:tc>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项目配置的相应专业人员业务能力较强，熟练掌握行业规范的最高得4分；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rPr>
          <w:trHeight w:val="28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积极主动与委托人一起解决检测问题的最高得3分；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严格遵守技术标准、法规及规范，检测数据真实准确的最高得4分；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提升硬件水平，实现检测设备更新换代，确保检测业务质量的最高得4分；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39" w:hRule="atLeast"/>
          <w:jc w:val="center"/>
        </w:trPr>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完成质量</w:t>
            </w:r>
          </w:p>
        </w:tc>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项目小组对项目需求有较好的理解，满足招标文件、合同文件的服务响应要求的最高得</w:t>
            </w:r>
            <w:r>
              <w:rPr>
                <w:rFonts w:hint="eastAsia"/>
                <w:color w:val="auto"/>
                <w:kern w:val="0"/>
                <w:sz w:val="18"/>
                <w:szCs w:val="18"/>
                <w:highlight w:val="none"/>
              </w:rPr>
              <w:t>8</w:t>
            </w:r>
            <w:r>
              <w:rPr>
                <w:rFonts w:hint="eastAsia" w:ascii="宋体" w:hAnsi="宋体" w:cs="宋体"/>
                <w:color w:val="auto"/>
                <w:kern w:val="0"/>
                <w:sz w:val="18"/>
                <w:szCs w:val="18"/>
                <w:highlight w:val="none"/>
              </w:rPr>
              <w:t>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在检测工作中遇有不清晰的内容，能要求相关人员澄清，不存在主观臆断的最高得</w:t>
            </w:r>
            <w:r>
              <w:rPr>
                <w:rFonts w:hint="eastAsia"/>
                <w:color w:val="auto"/>
                <w:kern w:val="0"/>
                <w:sz w:val="18"/>
                <w:szCs w:val="18"/>
                <w:highlight w:val="none"/>
              </w:rPr>
              <w:t>7</w:t>
            </w:r>
            <w:r>
              <w:rPr>
                <w:rFonts w:hint="eastAsia" w:ascii="宋体" w:hAnsi="宋体" w:cs="宋体"/>
                <w:color w:val="auto"/>
                <w:kern w:val="0"/>
                <w:sz w:val="18"/>
                <w:szCs w:val="18"/>
                <w:highlight w:val="none"/>
              </w:rPr>
              <w:t>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工程检测资料、报告等文件齐全，满足国家有关法规及技术标准和合同规定的要求的最高得</w:t>
            </w:r>
            <w:r>
              <w:rPr>
                <w:rFonts w:hint="eastAsia"/>
                <w:color w:val="auto"/>
                <w:kern w:val="0"/>
                <w:sz w:val="18"/>
                <w:szCs w:val="18"/>
                <w:highlight w:val="none"/>
              </w:rPr>
              <w:t>8</w:t>
            </w:r>
            <w:r>
              <w:rPr>
                <w:rFonts w:hint="eastAsia" w:ascii="宋体" w:hAnsi="宋体" w:cs="宋体"/>
                <w:color w:val="auto"/>
                <w:kern w:val="0"/>
                <w:sz w:val="18"/>
                <w:szCs w:val="18"/>
                <w:highlight w:val="none"/>
              </w:rPr>
              <w:t>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工作质量良好，无重大的主观差错率的最高得</w:t>
            </w:r>
            <w:r>
              <w:rPr>
                <w:rFonts w:hint="eastAsia"/>
                <w:color w:val="auto"/>
                <w:kern w:val="0"/>
                <w:sz w:val="18"/>
                <w:szCs w:val="18"/>
                <w:highlight w:val="none"/>
              </w:rPr>
              <w:t>7</w:t>
            </w:r>
            <w:r>
              <w:rPr>
                <w:rFonts w:hint="eastAsia" w:ascii="宋体" w:hAnsi="宋体" w:cs="宋体"/>
                <w:color w:val="auto"/>
                <w:kern w:val="0"/>
                <w:sz w:val="18"/>
                <w:szCs w:val="18"/>
                <w:highlight w:val="none"/>
              </w:rPr>
              <w:t>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工作效率</w:t>
            </w:r>
          </w:p>
        </w:tc>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及时领取委托人的资料开展检测活动的最高得4分；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rPr>
          <w:trHeight w:val="284"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w:t>
            </w:r>
            <w:r>
              <w:rPr>
                <w:rFonts w:hint="eastAsia" w:ascii="宋体" w:hAnsi="宋体" w:cs="宋体"/>
                <w:color w:val="auto"/>
                <w:kern w:val="0"/>
                <w:sz w:val="18"/>
                <w:szCs w:val="18"/>
                <w:highlight w:val="none"/>
                <w:lang w:val="en-US" w:eastAsia="zh-CN"/>
              </w:rPr>
              <w:t>相关</w:t>
            </w:r>
            <w:r>
              <w:rPr>
                <w:rFonts w:hint="eastAsia" w:ascii="宋体" w:hAnsi="宋体" w:cs="宋体"/>
                <w:color w:val="auto"/>
                <w:kern w:val="0"/>
                <w:sz w:val="18"/>
                <w:szCs w:val="18"/>
                <w:highlight w:val="none"/>
              </w:rPr>
              <w:t>技术标准、法规及规范进行</w:t>
            </w:r>
            <w:r>
              <w:rPr>
                <w:rFonts w:hint="eastAsia" w:ascii="宋体" w:hAnsi="宋体" w:cs="宋体"/>
                <w:color w:val="auto"/>
                <w:kern w:val="0"/>
                <w:sz w:val="18"/>
                <w:szCs w:val="18"/>
                <w:highlight w:val="none"/>
                <w:lang w:val="en-US" w:eastAsia="zh-CN"/>
              </w:rPr>
              <w:t>检测</w:t>
            </w:r>
            <w:r>
              <w:rPr>
                <w:rFonts w:hint="eastAsia" w:ascii="宋体" w:hAnsi="宋体" w:cs="宋体"/>
                <w:color w:val="auto"/>
                <w:kern w:val="0"/>
                <w:sz w:val="18"/>
                <w:szCs w:val="18"/>
                <w:highlight w:val="none"/>
              </w:rPr>
              <w:t>的最高得</w:t>
            </w:r>
            <w:r>
              <w:rPr>
                <w:color w:val="auto"/>
                <w:kern w:val="0"/>
                <w:sz w:val="18"/>
                <w:szCs w:val="18"/>
                <w:highlight w:val="none"/>
              </w:rPr>
              <w:t>3</w:t>
            </w:r>
            <w:r>
              <w:rPr>
                <w:rFonts w:hint="eastAsia" w:ascii="宋体" w:hAnsi="宋体" w:cs="宋体"/>
                <w:color w:val="auto"/>
                <w:kern w:val="0"/>
                <w:sz w:val="18"/>
                <w:szCs w:val="18"/>
                <w:highlight w:val="none"/>
              </w:rPr>
              <w:t>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检测后成果文件</w:t>
            </w:r>
            <w:r>
              <w:rPr>
                <w:rFonts w:hint="eastAsia" w:ascii="宋体" w:hAnsi="宋体" w:cs="宋体"/>
                <w:color w:val="auto"/>
                <w:kern w:val="0"/>
                <w:sz w:val="18"/>
                <w:szCs w:val="18"/>
                <w:highlight w:val="none"/>
              </w:rPr>
              <w:t>做到及时修改，对反馈意见及时核实的最高得5分；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及时通知委托人补充相关资料，澄清有关疑问的最高得5分；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能严格按委托人的计划时间完成检测任务的最高得8分。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规范服务</w:t>
            </w:r>
          </w:p>
        </w:tc>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严格按有关行业规范、工作规程和检测合同要求开展检测活动的最高得4分；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认真执行</w:t>
            </w:r>
            <w:r>
              <w:rPr>
                <w:rFonts w:hint="eastAsia" w:ascii="宋体" w:hAnsi="宋体" w:cs="宋体"/>
                <w:color w:val="auto"/>
                <w:kern w:val="0"/>
                <w:sz w:val="18"/>
                <w:szCs w:val="18"/>
                <w:highlight w:val="none"/>
                <w:lang w:val="en-US" w:eastAsia="zh-CN"/>
              </w:rPr>
              <w:t>检测相关</w:t>
            </w:r>
            <w:r>
              <w:rPr>
                <w:rFonts w:hint="eastAsia" w:ascii="宋体" w:hAnsi="宋体" w:cs="宋体"/>
                <w:color w:val="auto"/>
                <w:kern w:val="0"/>
                <w:sz w:val="18"/>
                <w:szCs w:val="18"/>
                <w:highlight w:val="none"/>
              </w:rPr>
              <w:t>操作规程的最高得3分；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39"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检测过程中应认真记录检测工作内容，保存原始记录资料与数据，以供委托人检查、分析和验收的最高得5分；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能实行三级复核制度的最高得</w:t>
            </w:r>
            <w:r>
              <w:rPr>
                <w:color w:val="auto"/>
                <w:kern w:val="0"/>
                <w:sz w:val="18"/>
                <w:szCs w:val="18"/>
                <w:highlight w:val="none"/>
              </w:rPr>
              <w:t>3</w:t>
            </w:r>
            <w:r>
              <w:rPr>
                <w:rFonts w:hint="eastAsia" w:ascii="宋体" w:hAnsi="宋体" w:cs="宋体"/>
                <w:color w:val="auto"/>
                <w:kern w:val="0"/>
                <w:sz w:val="18"/>
                <w:szCs w:val="18"/>
                <w:highlight w:val="none"/>
              </w:rPr>
              <w:t>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39" w:hRule="atLeast"/>
          <w:jc w:val="center"/>
        </w:trPr>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职业道德评价</w:t>
            </w:r>
          </w:p>
        </w:tc>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严格遵守有关廉政建设规定，与委托人和其利益相对人有利害关系的能主动回避；满足要求得</w:t>
            </w:r>
            <w:r>
              <w:rPr>
                <w:color w:val="auto"/>
                <w:kern w:val="0"/>
                <w:sz w:val="18"/>
                <w:szCs w:val="18"/>
                <w:highlight w:val="none"/>
              </w:rPr>
              <w:t>5</w:t>
            </w:r>
            <w:r>
              <w:rPr>
                <w:rFonts w:hint="eastAsia" w:ascii="宋体" w:hAnsi="宋体" w:cs="宋体"/>
                <w:color w:val="auto"/>
                <w:kern w:val="0"/>
                <w:sz w:val="18"/>
                <w:szCs w:val="18"/>
                <w:highlight w:val="none"/>
              </w:rPr>
              <w:t>分，有不符合规定行为的不得分；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39"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自觉维护国家利益，做到诚信、客观、公平、公正；满足要求得</w:t>
            </w:r>
            <w:r>
              <w:rPr>
                <w:color w:val="auto"/>
                <w:kern w:val="0"/>
                <w:sz w:val="18"/>
                <w:szCs w:val="18"/>
                <w:highlight w:val="none"/>
              </w:rPr>
              <w:t>4</w:t>
            </w:r>
            <w:r>
              <w:rPr>
                <w:rFonts w:hint="eastAsia" w:ascii="宋体" w:hAnsi="宋体" w:cs="宋体"/>
                <w:color w:val="auto"/>
                <w:kern w:val="0"/>
                <w:sz w:val="18"/>
                <w:szCs w:val="18"/>
                <w:highlight w:val="none"/>
              </w:rPr>
              <w:t>分，有不符合规定行为的不得分；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没有未经委托人允许擅自与委托人的利益相对人联系工作事宜的得</w:t>
            </w:r>
            <w:r>
              <w:rPr>
                <w:color w:val="auto"/>
                <w:kern w:val="0"/>
                <w:sz w:val="18"/>
                <w:szCs w:val="18"/>
                <w:highlight w:val="none"/>
              </w:rPr>
              <w:t>3</w:t>
            </w:r>
            <w:r>
              <w:rPr>
                <w:rFonts w:hint="eastAsia" w:ascii="宋体" w:hAnsi="宋体" w:cs="宋体"/>
                <w:color w:val="auto"/>
                <w:kern w:val="0"/>
                <w:sz w:val="18"/>
                <w:szCs w:val="18"/>
                <w:highlight w:val="none"/>
              </w:rPr>
              <w:t>分，有此行为的不得分；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39"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独立完成检测任务，没有未经委托人允许擅自委托第三方从事检测活动的得</w:t>
            </w:r>
            <w:r>
              <w:rPr>
                <w:color w:val="auto"/>
                <w:kern w:val="0"/>
                <w:sz w:val="18"/>
                <w:szCs w:val="18"/>
                <w:highlight w:val="none"/>
              </w:rPr>
              <w:t>3</w:t>
            </w:r>
            <w:r>
              <w:rPr>
                <w:rFonts w:hint="eastAsia" w:ascii="宋体" w:hAnsi="宋体" w:cs="宋体"/>
                <w:color w:val="auto"/>
                <w:kern w:val="0"/>
                <w:sz w:val="18"/>
                <w:szCs w:val="18"/>
                <w:highlight w:val="none"/>
              </w:rPr>
              <w:t>分，有此行为的不得分。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20" w:hRule="atLeast"/>
          <w:jc w:val="center"/>
        </w:trPr>
        <w:tc>
          <w:tcPr>
            <w:tcW w:w="0" w:type="auto"/>
            <w:gridSpan w:val="5"/>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619" w:hRule="atLeast"/>
          <w:jc w:val="center"/>
        </w:trPr>
        <w:tc>
          <w:tcPr>
            <w:tcW w:w="0" w:type="auto"/>
            <w:tcBorders>
              <w:top w:val="nil"/>
              <w:left w:val="single" w:color="auto" w:sz="4" w:space="0"/>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进度与质量处理建议</w:t>
            </w:r>
          </w:p>
        </w:tc>
        <w:tc>
          <w:tcPr>
            <w:tcW w:w="0" w:type="auto"/>
            <w:gridSpan w:val="5"/>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3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评价人员签名                </w:t>
            </w:r>
          </w:p>
        </w:tc>
        <w:tc>
          <w:tcPr>
            <w:tcW w:w="0" w:type="auto"/>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审批人员</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评价日期</w:t>
            </w:r>
          </w:p>
        </w:tc>
        <w:tc>
          <w:tcPr>
            <w:tcW w:w="0" w:type="auto"/>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bl>
    <w:p>
      <w:pPr>
        <w:widowControl/>
        <w:jc w:val="left"/>
        <w:rPr>
          <w:rFonts w:hint="eastAsia" w:ascii="仿宋_GB2312" w:hAnsi="ˎ̥" w:eastAsia="仿宋_GB2312"/>
          <w:b/>
          <w:color w:val="auto"/>
          <w:sz w:val="31"/>
          <w:szCs w:val="31"/>
          <w:highlight w:val="none"/>
        </w:rPr>
        <w:sectPr>
          <w:pgSz w:w="11907" w:h="16840"/>
          <w:pgMar w:top="1869" w:right="1531" w:bottom="1869" w:left="1531" w:header="1701" w:footer="1474" w:gutter="0"/>
          <w:cols w:space="720" w:num="1"/>
        </w:sectPr>
      </w:pPr>
    </w:p>
    <w:p>
      <w:pPr>
        <w:rPr>
          <w:rFonts w:hint="eastAsia" w:ascii="仿宋_GB2312" w:hAnsi="ˎ̥" w:eastAsia="仿宋_GB2312"/>
          <w:color w:val="auto"/>
          <w:sz w:val="28"/>
          <w:szCs w:val="28"/>
          <w:highlight w:val="none"/>
        </w:rPr>
      </w:pPr>
      <w:r>
        <w:rPr>
          <w:rFonts w:hint="eastAsia" w:ascii="仿宋_GB2312" w:hAnsi="ˎ̥" w:eastAsia="仿宋_GB2312"/>
          <w:color w:val="auto"/>
          <w:sz w:val="28"/>
          <w:szCs w:val="28"/>
          <w:highlight w:val="none"/>
        </w:rPr>
        <w:t>附表二：</w:t>
      </w:r>
    </w:p>
    <w:p>
      <w:pPr>
        <w:spacing w:line="360" w:lineRule="auto"/>
        <w:jc w:val="center"/>
        <w:rPr>
          <w:rFonts w:hint="eastAsia" w:ascii="仿宋_GB2312" w:hAnsi="ˎ̥" w:eastAsia="仿宋_GB2312"/>
          <w:b/>
          <w:color w:val="auto"/>
          <w:sz w:val="31"/>
          <w:szCs w:val="31"/>
          <w:highlight w:val="none"/>
        </w:rPr>
      </w:pPr>
      <w:r>
        <w:rPr>
          <w:rFonts w:hint="eastAsia" w:ascii="华康简标题宋" w:hAnsi="ˎ̥" w:eastAsia="华康简标题宋"/>
          <w:b/>
          <w:color w:val="auto"/>
          <w:sz w:val="28"/>
          <w:szCs w:val="28"/>
          <w:highlight w:val="none"/>
        </w:rPr>
        <w:t>工程检测机构年度考核表</w:t>
      </w:r>
    </w:p>
    <w:p>
      <w:pPr>
        <w:spacing w:line="360" w:lineRule="auto"/>
        <w:ind w:left="-2" w:leftChars="-1" w:firstLine="27" w:firstLineChars="13"/>
        <w:jc w:val="left"/>
        <w:rPr>
          <w:rFonts w:ascii="宋体" w:hAnsi="宋体"/>
          <w:color w:val="auto"/>
          <w:szCs w:val="21"/>
          <w:highlight w:val="none"/>
        </w:rPr>
      </w:pPr>
      <w:r>
        <w:rPr>
          <w:rFonts w:hint="eastAsia" w:ascii="宋体" w:hAnsi="宋体"/>
          <w:color w:val="auto"/>
          <w:szCs w:val="21"/>
          <w:highlight w:val="none"/>
        </w:rPr>
        <w:t>考核单位（部室）名称：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524"/>
        <w:gridCol w:w="6824"/>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0" w:type="auto"/>
            <w:gridSpan w:val="2"/>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被考核的供应商名称</w:t>
            </w:r>
          </w:p>
        </w:tc>
        <w:tc>
          <w:tcPr>
            <w:tcW w:w="0" w:type="auto"/>
            <w:gridSpan w:val="2"/>
            <w:noWrap w:val="0"/>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0" w:type="auto"/>
            <w:gridSpan w:val="2"/>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考核的期间</w:t>
            </w:r>
          </w:p>
        </w:tc>
        <w:tc>
          <w:tcPr>
            <w:tcW w:w="0" w:type="auto"/>
            <w:gridSpan w:val="2"/>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从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评价内容</w:t>
            </w:r>
          </w:p>
        </w:tc>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各项分值</w:t>
            </w:r>
          </w:p>
        </w:tc>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具体内容</w:t>
            </w:r>
          </w:p>
        </w:tc>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接受任务分配</w:t>
            </w:r>
          </w:p>
        </w:tc>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10</w:t>
            </w:r>
          </w:p>
        </w:tc>
        <w:tc>
          <w:tcPr>
            <w:tcW w:w="0" w:type="auto"/>
            <w:tcBorders>
              <w:top w:val="nil"/>
            </w:tcBorders>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1年内没有拒绝接受任务的，得10分；1年内拒绝接受任务1次的，得5分；1年内拒绝接受任务2次或以上的，得0分。</w:t>
            </w:r>
          </w:p>
        </w:tc>
        <w:tc>
          <w:tcPr>
            <w:tcW w:w="0" w:type="auto"/>
            <w:tcBorders>
              <w:top w:val="nil"/>
            </w:tcBorders>
            <w:noWrap w:val="0"/>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内部管理</w:t>
            </w:r>
          </w:p>
        </w:tc>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企业规章、内部管理制度健全和完善的，已建立执业质量管理制度、业务档案管理制度、人事管理制度、财务制度的得15分，每缺一项扣减2分。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0" w:type="auto"/>
            <w:vMerge w:val="restart"/>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服务情况</w:t>
            </w:r>
          </w:p>
        </w:tc>
        <w:tc>
          <w:tcPr>
            <w:tcW w:w="0" w:type="auto"/>
            <w:vMerge w:val="restart"/>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1）收到通知后及时与采购人签订委托合同的最高得2分；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0" w:type="auto"/>
            <w:vMerge w:val="continue"/>
            <w:noWrap w:val="0"/>
            <w:vAlign w:val="center"/>
          </w:tcPr>
          <w:p>
            <w:pPr>
              <w:jc w:val="center"/>
              <w:rPr>
                <w:rFonts w:ascii="宋体" w:hAnsi="宋体"/>
                <w:color w:val="auto"/>
                <w:sz w:val="18"/>
                <w:szCs w:val="18"/>
                <w:highlight w:val="none"/>
              </w:rPr>
            </w:pPr>
          </w:p>
        </w:tc>
        <w:tc>
          <w:tcPr>
            <w:tcW w:w="0" w:type="auto"/>
            <w:vMerge w:val="continue"/>
            <w:noWrap w:val="0"/>
            <w:vAlign w:val="center"/>
          </w:tcPr>
          <w:p>
            <w:pPr>
              <w:jc w:val="center"/>
              <w:rPr>
                <w:rFonts w:ascii="宋体" w:hAnsi="宋体"/>
                <w:color w:val="auto"/>
                <w:sz w:val="18"/>
                <w:szCs w:val="18"/>
                <w:highlight w:val="none"/>
              </w:rPr>
            </w:pP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2）能针对项目的情况与采购人充分沟通的最高得5分；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0" w:type="auto"/>
            <w:vMerge w:val="continue"/>
            <w:noWrap w:val="0"/>
            <w:vAlign w:val="center"/>
          </w:tcPr>
          <w:p>
            <w:pPr>
              <w:jc w:val="center"/>
              <w:rPr>
                <w:rFonts w:ascii="宋体" w:hAnsi="宋体"/>
                <w:color w:val="auto"/>
                <w:sz w:val="18"/>
                <w:szCs w:val="18"/>
                <w:highlight w:val="none"/>
              </w:rPr>
            </w:pPr>
          </w:p>
        </w:tc>
        <w:tc>
          <w:tcPr>
            <w:tcW w:w="0" w:type="auto"/>
            <w:vMerge w:val="continue"/>
            <w:noWrap w:val="0"/>
            <w:vAlign w:val="center"/>
          </w:tcPr>
          <w:p>
            <w:pPr>
              <w:jc w:val="center"/>
              <w:rPr>
                <w:rFonts w:ascii="宋体" w:hAnsi="宋体"/>
                <w:color w:val="auto"/>
                <w:sz w:val="18"/>
                <w:szCs w:val="18"/>
                <w:highlight w:val="none"/>
              </w:rPr>
            </w:pP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3）工作质量良好，无重大的主观差错率的，最高得5分；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vMerge w:val="continue"/>
            <w:noWrap w:val="0"/>
            <w:vAlign w:val="center"/>
          </w:tcPr>
          <w:p>
            <w:pPr>
              <w:jc w:val="center"/>
              <w:rPr>
                <w:rFonts w:ascii="宋体" w:hAnsi="宋体"/>
                <w:color w:val="auto"/>
                <w:sz w:val="18"/>
                <w:szCs w:val="18"/>
                <w:highlight w:val="none"/>
              </w:rPr>
            </w:pPr>
          </w:p>
        </w:tc>
        <w:tc>
          <w:tcPr>
            <w:tcW w:w="0" w:type="auto"/>
            <w:vMerge w:val="continue"/>
            <w:noWrap w:val="0"/>
            <w:vAlign w:val="center"/>
          </w:tcPr>
          <w:p>
            <w:pPr>
              <w:jc w:val="center"/>
              <w:rPr>
                <w:rFonts w:ascii="宋体" w:hAnsi="宋体"/>
                <w:color w:val="auto"/>
                <w:sz w:val="18"/>
                <w:szCs w:val="18"/>
                <w:highlight w:val="none"/>
              </w:rPr>
            </w:pP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4）完成检测任务后，能做好跟踪服务的最高得3分。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0" w:type="auto"/>
            <w:vMerge w:val="restart"/>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项目质量</w:t>
            </w:r>
          </w:p>
        </w:tc>
        <w:tc>
          <w:tcPr>
            <w:tcW w:w="0" w:type="auto"/>
            <w:vMerge w:val="restart"/>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30</w:t>
            </w: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1）派出的人员对相应法规、政策熟悉和理解程度，最高得5分；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0" w:type="auto"/>
            <w:vMerge w:val="continue"/>
            <w:noWrap w:val="0"/>
            <w:vAlign w:val="center"/>
          </w:tcPr>
          <w:p>
            <w:pPr>
              <w:jc w:val="center"/>
              <w:rPr>
                <w:rFonts w:ascii="宋体" w:hAnsi="宋体"/>
                <w:color w:val="auto"/>
                <w:sz w:val="18"/>
                <w:szCs w:val="18"/>
                <w:highlight w:val="none"/>
              </w:rPr>
            </w:pPr>
          </w:p>
        </w:tc>
        <w:tc>
          <w:tcPr>
            <w:tcW w:w="0" w:type="auto"/>
            <w:vMerge w:val="continue"/>
            <w:noWrap w:val="0"/>
            <w:vAlign w:val="center"/>
          </w:tcPr>
          <w:p>
            <w:pPr>
              <w:jc w:val="center"/>
              <w:rPr>
                <w:rFonts w:ascii="宋体" w:hAnsi="宋体"/>
                <w:color w:val="auto"/>
                <w:sz w:val="18"/>
                <w:szCs w:val="18"/>
                <w:highlight w:val="none"/>
              </w:rPr>
            </w:pP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2）抽查检测工作原始记录资料情况，最高得5分；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vMerge w:val="continue"/>
            <w:noWrap w:val="0"/>
            <w:vAlign w:val="center"/>
          </w:tcPr>
          <w:p>
            <w:pPr>
              <w:jc w:val="center"/>
              <w:rPr>
                <w:rFonts w:ascii="宋体" w:hAnsi="宋体"/>
                <w:color w:val="auto"/>
                <w:sz w:val="18"/>
                <w:szCs w:val="18"/>
                <w:highlight w:val="none"/>
              </w:rPr>
            </w:pPr>
          </w:p>
        </w:tc>
        <w:tc>
          <w:tcPr>
            <w:tcW w:w="0" w:type="auto"/>
            <w:vMerge w:val="continue"/>
            <w:noWrap w:val="0"/>
            <w:vAlign w:val="center"/>
          </w:tcPr>
          <w:p>
            <w:pPr>
              <w:jc w:val="center"/>
              <w:rPr>
                <w:rFonts w:ascii="宋体" w:hAnsi="宋体"/>
                <w:color w:val="auto"/>
                <w:sz w:val="18"/>
                <w:szCs w:val="18"/>
                <w:highlight w:val="none"/>
              </w:rPr>
            </w:pP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3）按质按量完成检测工作，</w:t>
            </w:r>
            <w:r>
              <w:rPr>
                <w:rFonts w:hint="eastAsia" w:ascii="宋体" w:hAnsi="宋体" w:cs="宋体"/>
                <w:color w:val="auto"/>
                <w:kern w:val="0"/>
                <w:sz w:val="18"/>
                <w:szCs w:val="18"/>
                <w:highlight w:val="none"/>
              </w:rPr>
              <w:t>圆满完成检测工作目标</w:t>
            </w:r>
            <w:r>
              <w:rPr>
                <w:rFonts w:hint="eastAsia" w:ascii="宋体" w:hAnsi="宋体"/>
                <w:color w:val="auto"/>
                <w:sz w:val="18"/>
                <w:szCs w:val="18"/>
                <w:highlight w:val="none"/>
              </w:rPr>
              <w:t>的，最高得10分；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Merge w:val="continue"/>
            <w:noWrap w:val="0"/>
            <w:vAlign w:val="center"/>
          </w:tcPr>
          <w:p>
            <w:pPr>
              <w:jc w:val="center"/>
              <w:rPr>
                <w:rFonts w:ascii="宋体" w:hAnsi="宋体"/>
                <w:color w:val="auto"/>
                <w:sz w:val="18"/>
                <w:szCs w:val="18"/>
                <w:highlight w:val="none"/>
              </w:rPr>
            </w:pPr>
          </w:p>
        </w:tc>
        <w:tc>
          <w:tcPr>
            <w:tcW w:w="0" w:type="auto"/>
            <w:vMerge w:val="continue"/>
            <w:noWrap w:val="0"/>
            <w:vAlign w:val="center"/>
          </w:tcPr>
          <w:p>
            <w:pPr>
              <w:jc w:val="center"/>
              <w:rPr>
                <w:rFonts w:ascii="宋体" w:hAnsi="宋体"/>
                <w:color w:val="auto"/>
                <w:sz w:val="18"/>
                <w:szCs w:val="18"/>
                <w:highlight w:val="none"/>
              </w:rPr>
            </w:pP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4）1年内无受到差错处罚的，得10分；受处罚1次的，得5分；受处罚2次或以上不得分。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工作效率</w:t>
            </w:r>
          </w:p>
        </w:tc>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 xml:space="preserve">15 </w:t>
            </w: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1）按合同规定时间完成的，得15分；2）由于客观原因，未能按合同规定时间完成，但经双方协商后仍能按时完成合同的，得12-13分；3）由于供应商主观原因，未能按合同规定时间完成，但经双方协商后仍能按时完成的，得9-10分；4）由于供应商主观原因，未能按合同规定时间完成，经双方协商后仍未能及时完成的，最高得5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vMerge w:val="restart"/>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职业道德</w:t>
            </w:r>
          </w:p>
        </w:tc>
        <w:tc>
          <w:tcPr>
            <w:tcW w:w="0" w:type="auto"/>
            <w:vMerge w:val="restart"/>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1）派出人员没有接受采购人或其他供应商宴请、旅游、娱乐等行为的得2分，有此行为不得分；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0" w:type="auto"/>
            <w:vMerge w:val="continue"/>
            <w:noWrap w:val="0"/>
            <w:vAlign w:val="center"/>
          </w:tcPr>
          <w:p>
            <w:pPr>
              <w:jc w:val="center"/>
              <w:rPr>
                <w:rFonts w:ascii="宋体" w:hAnsi="宋体"/>
                <w:color w:val="auto"/>
                <w:sz w:val="18"/>
                <w:szCs w:val="18"/>
                <w:highlight w:val="none"/>
              </w:rPr>
            </w:pPr>
          </w:p>
        </w:tc>
        <w:tc>
          <w:tcPr>
            <w:tcW w:w="0" w:type="auto"/>
            <w:vMerge w:val="continue"/>
            <w:noWrap w:val="0"/>
            <w:vAlign w:val="center"/>
          </w:tcPr>
          <w:p>
            <w:pPr>
              <w:jc w:val="center"/>
              <w:rPr>
                <w:rFonts w:ascii="宋体" w:hAnsi="宋体"/>
                <w:color w:val="auto"/>
                <w:sz w:val="18"/>
                <w:szCs w:val="18"/>
                <w:highlight w:val="none"/>
              </w:rPr>
            </w:pP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2）派出人员没有要求采购人或其他供应商提供礼品、回扣、有价证卷等行为的得2分，有此行为不得分；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vMerge w:val="continue"/>
            <w:noWrap w:val="0"/>
            <w:vAlign w:val="center"/>
          </w:tcPr>
          <w:p>
            <w:pPr>
              <w:jc w:val="center"/>
              <w:rPr>
                <w:rFonts w:ascii="宋体" w:hAnsi="宋体"/>
                <w:color w:val="auto"/>
                <w:sz w:val="18"/>
                <w:szCs w:val="18"/>
                <w:highlight w:val="none"/>
              </w:rPr>
            </w:pPr>
          </w:p>
        </w:tc>
        <w:tc>
          <w:tcPr>
            <w:tcW w:w="0" w:type="auto"/>
            <w:vMerge w:val="continue"/>
            <w:noWrap w:val="0"/>
            <w:vAlign w:val="center"/>
          </w:tcPr>
          <w:p>
            <w:pPr>
              <w:jc w:val="center"/>
              <w:rPr>
                <w:rFonts w:ascii="宋体" w:hAnsi="宋体"/>
                <w:color w:val="auto"/>
                <w:sz w:val="18"/>
                <w:szCs w:val="18"/>
                <w:highlight w:val="none"/>
              </w:rPr>
            </w:pP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3）派出人员没有在采购人或其他供应商处报销应该由人负担的费用的，得2分，有此行为不得分；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0" w:type="auto"/>
            <w:vMerge w:val="continue"/>
            <w:noWrap w:val="0"/>
            <w:vAlign w:val="center"/>
          </w:tcPr>
          <w:p>
            <w:pPr>
              <w:jc w:val="center"/>
              <w:rPr>
                <w:rFonts w:ascii="宋体" w:hAnsi="宋体"/>
                <w:color w:val="auto"/>
                <w:sz w:val="18"/>
                <w:szCs w:val="18"/>
                <w:highlight w:val="none"/>
              </w:rPr>
            </w:pPr>
          </w:p>
        </w:tc>
        <w:tc>
          <w:tcPr>
            <w:tcW w:w="0" w:type="auto"/>
            <w:vMerge w:val="continue"/>
            <w:noWrap w:val="0"/>
            <w:vAlign w:val="center"/>
          </w:tcPr>
          <w:p>
            <w:pPr>
              <w:jc w:val="center"/>
              <w:rPr>
                <w:rFonts w:ascii="宋体" w:hAnsi="宋体"/>
                <w:color w:val="auto"/>
                <w:sz w:val="18"/>
                <w:szCs w:val="18"/>
                <w:highlight w:val="none"/>
              </w:rPr>
            </w:pP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4）派出的人员没有被有关部门进行行政处分的得3分，被行政处分过的不得分；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0" w:type="auto"/>
            <w:vMerge w:val="continue"/>
            <w:noWrap w:val="0"/>
            <w:vAlign w:val="center"/>
          </w:tcPr>
          <w:p>
            <w:pPr>
              <w:jc w:val="center"/>
              <w:rPr>
                <w:rFonts w:ascii="宋体" w:hAnsi="宋体"/>
                <w:color w:val="auto"/>
                <w:sz w:val="18"/>
                <w:szCs w:val="18"/>
                <w:highlight w:val="none"/>
              </w:rPr>
            </w:pPr>
          </w:p>
        </w:tc>
        <w:tc>
          <w:tcPr>
            <w:tcW w:w="0" w:type="auto"/>
            <w:vMerge w:val="continue"/>
            <w:noWrap w:val="0"/>
            <w:vAlign w:val="center"/>
          </w:tcPr>
          <w:p>
            <w:pPr>
              <w:jc w:val="center"/>
              <w:rPr>
                <w:rFonts w:ascii="宋体" w:hAnsi="宋体"/>
                <w:color w:val="auto"/>
                <w:sz w:val="18"/>
                <w:szCs w:val="18"/>
                <w:highlight w:val="none"/>
              </w:rPr>
            </w:pP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5）没有其他不廉洁行为的得3分，有此行为不得分。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0" w:type="auto"/>
            <w:vMerge w:val="continue"/>
            <w:noWrap w:val="0"/>
            <w:vAlign w:val="center"/>
          </w:tcPr>
          <w:p>
            <w:pPr>
              <w:jc w:val="center"/>
              <w:rPr>
                <w:rFonts w:ascii="宋体" w:hAnsi="宋体"/>
                <w:color w:val="auto"/>
                <w:sz w:val="18"/>
                <w:szCs w:val="18"/>
                <w:highlight w:val="none"/>
              </w:rPr>
            </w:pPr>
          </w:p>
        </w:tc>
        <w:tc>
          <w:tcPr>
            <w:tcW w:w="0" w:type="auto"/>
            <w:vMerge w:val="continue"/>
            <w:noWrap w:val="0"/>
            <w:vAlign w:val="center"/>
          </w:tcPr>
          <w:p>
            <w:pPr>
              <w:jc w:val="center"/>
              <w:rPr>
                <w:rFonts w:ascii="宋体" w:hAnsi="宋体"/>
                <w:color w:val="auto"/>
                <w:sz w:val="18"/>
                <w:szCs w:val="18"/>
                <w:highlight w:val="none"/>
              </w:rPr>
            </w:pP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6）考核的期间内，供应商没有违法违规情况的得3分，有此行为，不得分。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0" w:type="auto"/>
            <w:gridSpan w:val="3"/>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合计</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评价人</w:t>
            </w:r>
          </w:p>
        </w:tc>
        <w:tc>
          <w:tcPr>
            <w:tcW w:w="0" w:type="auto"/>
            <w:noWrap w:val="0"/>
            <w:vAlign w:val="center"/>
          </w:tcPr>
          <w:p>
            <w:pPr>
              <w:jc w:val="center"/>
              <w:rPr>
                <w:rFonts w:ascii="宋体" w:hAnsi="宋体"/>
                <w:color w:val="auto"/>
                <w:sz w:val="18"/>
                <w:szCs w:val="18"/>
                <w:highlight w:val="none"/>
              </w:rPr>
            </w:pPr>
          </w:p>
        </w:tc>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评价日期</w:t>
            </w:r>
          </w:p>
        </w:tc>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年  月  日</w:t>
            </w:r>
          </w:p>
        </w:tc>
      </w:tr>
    </w:tbl>
    <w:p>
      <w:pPr>
        <w:spacing w:line="600" w:lineRule="exact"/>
        <w:rPr>
          <w:color w:val="auto"/>
          <w:highlight w:val="none"/>
        </w:rPr>
      </w:pPr>
      <w:r>
        <w:rPr>
          <w:rFonts w:hint="eastAsia" w:ascii="仿宋_GB2312" w:hAnsi="ˎ̥" w:eastAsia="仿宋_GB2312"/>
          <w:color w:val="auto"/>
          <w:sz w:val="24"/>
          <w:highlight w:val="none"/>
        </w:rPr>
        <w:t xml:space="preserve">                                           </w:t>
      </w: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p>
    <w:p>
      <w:pPr>
        <w:pStyle w:val="58"/>
        <w:spacing w:line="440" w:lineRule="exact"/>
        <w:jc w:val="left"/>
        <w:rPr>
          <w:rFonts w:hint="eastAsia" w:ascii="宋体" w:hAnsi="宋体" w:cs="宋体"/>
          <w:b/>
          <w:color w:val="auto"/>
          <w:sz w:val="24"/>
          <w:szCs w:val="24"/>
          <w:highlight w:val="none"/>
        </w:rPr>
      </w:pPr>
      <w:r>
        <w:rPr>
          <w:rFonts w:hint="eastAsia" w:ascii="宋体" w:hAnsi="宋体" w:cs="宋体"/>
          <w:b/>
          <w:color w:val="auto"/>
          <w:sz w:val="28"/>
          <w:szCs w:val="28"/>
          <w:highlight w:val="none"/>
        </w:rPr>
        <w:t>附件二</w:t>
      </w:r>
    </w:p>
    <w:p>
      <w:pPr>
        <w:pStyle w:val="58"/>
        <w:spacing w:line="440" w:lineRule="exact"/>
        <w:jc w:val="center"/>
        <w:rPr>
          <w:rFonts w:ascii="宋体" w:hAnsi="宋体"/>
          <w:b/>
          <w:bCs/>
          <w:color w:val="auto"/>
          <w:sz w:val="32"/>
          <w:szCs w:val="32"/>
          <w:highlight w:val="none"/>
        </w:rPr>
      </w:pPr>
      <w:r>
        <w:rPr>
          <w:rFonts w:hint="eastAsia" w:ascii="宋体" w:hAnsi="宋体" w:cs="宋体"/>
          <w:b/>
          <w:color w:val="auto"/>
          <w:sz w:val="32"/>
          <w:szCs w:val="32"/>
          <w:highlight w:val="none"/>
        </w:rPr>
        <w:t>工程检测合同</w:t>
      </w:r>
    </w:p>
    <w:p>
      <w:pPr>
        <w:adjustRightInd w:val="0"/>
        <w:snapToGrid w:val="0"/>
        <w:spacing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(参考样本)</w:t>
      </w:r>
    </w:p>
    <w:p>
      <w:pPr>
        <w:rPr>
          <w:rFonts w:hint="eastAsia" w:ascii="宋体" w:hAnsi="宋体" w:eastAsia="宋体" w:cs="宋体"/>
          <w:color w:val="auto"/>
          <w:sz w:val="22"/>
          <w:szCs w:val="22"/>
          <w:highlight w:val="none"/>
          <w:u w:val="single"/>
          <w:lang w:eastAsia="zh-CN"/>
        </w:rPr>
      </w:pPr>
      <w:r>
        <w:rPr>
          <w:rFonts w:hint="eastAsia" w:ascii="宋体" w:hAnsi="宋体" w:cs="宋体"/>
          <w:color w:val="auto"/>
          <w:sz w:val="22"/>
          <w:szCs w:val="22"/>
          <w:highlight w:val="none"/>
        </w:rPr>
        <w:t>甲方（委托单位）</w:t>
      </w:r>
      <w:r>
        <w:rPr>
          <w:rFonts w:hint="eastAsia" w:ascii="宋体" w:hAnsi="宋体" w:cs="宋体"/>
          <w:color w:val="auto"/>
          <w:sz w:val="22"/>
          <w:szCs w:val="22"/>
          <w:highlight w:val="none"/>
          <w:u w:val="single"/>
        </w:rPr>
        <w:t>              </w:t>
      </w:r>
    </w:p>
    <w:p>
      <w:pPr>
        <w:rPr>
          <w:rFonts w:hint="eastAsia" w:ascii="宋体" w:hAnsi="宋体" w:eastAsia="宋体" w:cs="宋体"/>
          <w:color w:val="auto"/>
          <w:sz w:val="22"/>
          <w:szCs w:val="22"/>
          <w:highlight w:val="none"/>
          <w:u w:val="single"/>
          <w:lang w:eastAsia="zh-CN"/>
        </w:rPr>
      </w:pPr>
      <w:r>
        <w:rPr>
          <w:rFonts w:hint="eastAsia" w:ascii="宋体" w:hAnsi="宋体" w:cs="宋体"/>
          <w:color w:val="auto"/>
          <w:sz w:val="22"/>
          <w:szCs w:val="22"/>
          <w:highlight w:val="none"/>
        </w:rPr>
        <w:t>乙方（检测机构）</w:t>
      </w:r>
      <w:r>
        <w:rPr>
          <w:rFonts w:hint="eastAsia" w:ascii="宋体" w:hAnsi="宋体" w:cs="宋体"/>
          <w:color w:val="auto"/>
          <w:sz w:val="22"/>
          <w:szCs w:val="22"/>
          <w:highlight w:val="none"/>
          <w:u w:val="single"/>
        </w:rPr>
        <w:t>              </w:t>
      </w:r>
    </w:p>
    <w:p>
      <w:pPr>
        <w:pStyle w:val="2"/>
        <w:rPr>
          <w:rFonts w:hint="eastAsia"/>
          <w:lang w:eastAsia="zh-CN"/>
        </w:rPr>
      </w:pPr>
    </w:p>
    <w:p>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    根据《</w:t>
      </w:r>
      <w:r>
        <w:rPr>
          <w:rFonts w:hint="eastAsia" w:ascii="宋体" w:hAnsi="宋体" w:cs="宋体"/>
          <w:color w:val="auto"/>
          <w:sz w:val="22"/>
          <w:szCs w:val="22"/>
          <w:highlight w:val="none"/>
          <w:lang w:eastAsia="zh-CN"/>
        </w:rPr>
        <w:t>中华人民共和国民法典</w:t>
      </w:r>
      <w:r>
        <w:rPr>
          <w:rFonts w:hint="eastAsia" w:ascii="宋体" w:hAnsi="宋体" w:cs="宋体"/>
          <w:color w:val="auto"/>
          <w:sz w:val="22"/>
          <w:szCs w:val="22"/>
          <w:highlight w:val="none"/>
        </w:rPr>
        <w:t>》以及其他有关法律法规的规定，遵循平等、自愿、公平和诚实信用的原则，甲乙双方就本建设工程检测事项协商一致，签订本合同。</w:t>
      </w:r>
    </w:p>
    <w:p>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w:t>
      </w:r>
    </w:p>
    <w:p>
      <w:pP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 xml:space="preserve">第一条 </w:t>
      </w:r>
      <w:r>
        <w:rPr>
          <w:rFonts w:hint="eastAsia" w:ascii="宋体" w:hAnsi="宋体" w:cs="宋体"/>
          <w:b/>
          <w:bCs/>
          <w:color w:val="auto"/>
          <w:sz w:val="22"/>
          <w:szCs w:val="22"/>
          <w:highlight w:val="none"/>
        </w:rPr>
        <w:t>工程概况</w:t>
      </w:r>
    </w:p>
    <w:p>
      <w:pPr>
        <w:rPr>
          <w:rFonts w:hint="eastAsia" w:ascii="宋体" w:hAnsi="宋体" w:eastAsia="宋体" w:cs="宋体"/>
          <w:color w:val="auto"/>
          <w:sz w:val="22"/>
          <w:szCs w:val="22"/>
          <w:highlight w:val="none"/>
          <w:u w:val="single"/>
          <w:lang w:eastAsia="zh-CN"/>
        </w:rPr>
      </w:pPr>
      <w:r>
        <w:rPr>
          <w:rFonts w:hint="eastAsia" w:ascii="宋体" w:hAnsi="宋体" w:cs="宋体"/>
          <w:color w:val="auto"/>
          <w:spacing w:val="50"/>
          <w:sz w:val="22"/>
          <w:szCs w:val="22"/>
          <w:highlight w:val="none"/>
        </w:rPr>
        <w:t>工程名</w:t>
      </w:r>
      <w:r>
        <w:rPr>
          <w:rFonts w:hint="eastAsia" w:ascii="宋体" w:hAnsi="宋体" w:cs="宋体"/>
          <w:color w:val="auto"/>
          <w:sz w:val="22"/>
          <w:szCs w:val="22"/>
          <w:highlight w:val="none"/>
        </w:rPr>
        <w:t>称：</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 标段</w:t>
      </w:r>
      <w:r>
        <w:rPr>
          <w:rFonts w:hint="eastAsia" w:ascii="宋体" w:hAnsi="宋体" w:cs="宋体"/>
          <w:color w:val="auto"/>
          <w:sz w:val="22"/>
          <w:szCs w:val="22"/>
          <w:highlight w:val="none"/>
          <w:u w:val="single"/>
        </w:rPr>
        <w:t>         </w:t>
      </w:r>
    </w:p>
    <w:p>
      <w:pPr>
        <w:rPr>
          <w:rFonts w:hint="eastAsia" w:ascii="宋体" w:hAnsi="宋体" w:eastAsia="宋体" w:cs="宋体"/>
          <w:color w:val="auto"/>
          <w:sz w:val="22"/>
          <w:szCs w:val="22"/>
          <w:highlight w:val="none"/>
          <w:u w:val="single"/>
          <w:lang w:eastAsia="zh-CN"/>
        </w:rPr>
      </w:pPr>
      <w:r>
        <w:rPr>
          <w:rFonts w:hint="eastAsia" w:ascii="宋体" w:hAnsi="宋体" w:cs="宋体"/>
          <w:color w:val="auto"/>
          <w:spacing w:val="50"/>
          <w:sz w:val="22"/>
          <w:szCs w:val="22"/>
          <w:highlight w:val="none"/>
        </w:rPr>
        <w:t>工程地</w:t>
      </w:r>
      <w:r>
        <w:rPr>
          <w:rFonts w:hint="eastAsia" w:ascii="宋体" w:hAnsi="宋体" w:cs="宋体"/>
          <w:color w:val="auto"/>
          <w:sz w:val="22"/>
          <w:szCs w:val="22"/>
          <w:highlight w:val="none"/>
        </w:rPr>
        <w:t>址：</w:t>
      </w:r>
      <w:r>
        <w:rPr>
          <w:rFonts w:hint="eastAsia" w:ascii="宋体" w:hAnsi="宋体" w:cs="宋体"/>
          <w:color w:val="auto"/>
          <w:sz w:val="22"/>
          <w:szCs w:val="22"/>
          <w:highlight w:val="none"/>
          <w:u w:val="single"/>
        </w:rPr>
        <w:t>                            </w:t>
      </w:r>
    </w:p>
    <w:p>
      <w:pPr>
        <w:rPr>
          <w:rFonts w:hint="eastAsia" w:ascii="宋体" w:hAnsi="宋体" w:eastAsia="宋体" w:cs="宋体"/>
          <w:color w:val="auto"/>
          <w:sz w:val="22"/>
          <w:szCs w:val="22"/>
          <w:highlight w:val="none"/>
          <w:u w:val="single"/>
          <w:lang w:eastAsia="zh-CN"/>
        </w:rPr>
      </w:pPr>
      <w:r>
        <w:rPr>
          <w:rFonts w:hint="eastAsia" w:ascii="宋体" w:hAnsi="宋体" w:cs="宋体"/>
          <w:color w:val="auto"/>
          <w:spacing w:val="50"/>
          <w:sz w:val="22"/>
          <w:szCs w:val="22"/>
          <w:highlight w:val="none"/>
        </w:rPr>
        <w:t>检测类</w:t>
      </w:r>
      <w:r>
        <w:rPr>
          <w:rFonts w:hint="eastAsia" w:ascii="宋体" w:hAnsi="宋体" w:cs="宋体"/>
          <w:color w:val="auto"/>
          <w:sz w:val="22"/>
          <w:szCs w:val="22"/>
          <w:highlight w:val="none"/>
        </w:rPr>
        <w:t>别：□ 验收检测   □ 平行检测   □ 其他</w:t>
      </w:r>
      <w:r>
        <w:rPr>
          <w:rFonts w:hint="eastAsia" w:ascii="宋体" w:hAnsi="宋体" w:cs="宋体"/>
          <w:color w:val="auto"/>
          <w:sz w:val="22"/>
          <w:szCs w:val="22"/>
          <w:highlight w:val="none"/>
          <w:u w:val="single"/>
        </w:rPr>
        <w:t>    </w:t>
      </w:r>
    </w:p>
    <w:p>
      <w:pPr>
        <w:rPr>
          <w:rFonts w:hint="eastAsia" w:ascii="宋体" w:hAnsi="宋体" w:eastAsia="宋体" w:cs="宋体"/>
          <w:color w:val="auto"/>
          <w:sz w:val="22"/>
          <w:szCs w:val="22"/>
          <w:highlight w:val="none"/>
          <w:lang w:eastAsia="zh-CN"/>
        </w:rPr>
      </w:pPr>
      <w:r>
        <w:rPr>
          <w:rFonts w:hint="eastAsia" w:ascii="宋体" w:hAnsi="宋体" w:cs="宋体"/>
          <w:color w:val="auto"/>
          <w:spacing w:val="50"/>
          <w:sz w:val="22"/>
          <w:szCs w:val="22"/>
          <w:highlight w:val="none"/>
        </w:rPr>
        <w:t>工程类</w:t>
      </w:r>
      <w:r>
        <w:rPr>
          <w:rFonts w:hint="eastAsia" w:ascii="宋体" w:hAnsi="宋体" w:cs="宋体"/>
          <w:color w:val="auto"/>
          <w:sz w:val="22"/>
          <w:szCs w:val="22"/>
          <w:highlight w:val="none"/>
        </w:rPr>
        <w:t>别：□ 房建 □ 市政基础设施  □ 公路  □ 水运</w:t>
      </w:r>
    </w:p>
    <w:p>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水利  □ 绿化  □ 民防   □ 房屋修缮 </w:t>
      </w:r>
    </w:p>
    <w:p>
      <w:pPr>
        <w:rPr>
          <w:rFonts w:hint="eastAsia" w:ascii="宋体" w:hAnsi="宋体" w:eastAsia="宋体" w:cs="宋体"/>
          <w:color w:val="auto"/>
          <w:sz w:val="22"/>
          <w:szCs w:val="22"/>
          <w:highlight w:val="none"/>
          <w:u w:val="single"/>
          <w:lang w:eastAsia="zh-CN"/>
        </w:rPr>
      </w:pPr>
      <w:r>
        <w:rPr>
          <w:rFonts w:hint="eastAsia" w:ascii="宋体" w:hAnsi="宋体" w:cs="宋体"/>
          <w:color w:val="auto"/>
          <w:sz w:val="22"/>
          <w:szCs w:val="22"/>
          <w:highlight w:val="none"/>
        </w:rPr>
        <w:t>□ 轨道交通       □其他</w:t>
      </w:r>
      <w:r>
        <w:rPr>
          <w:rFonts w:hint="eastAsia" w:ascii="宋体" w:hAnsi="宋体" w:cs="宋体"/>
          <w:color w:val="auto"/>
          <w:sz w:val="22"/>
          <w:szCs w:val="22"/>
          <w:highlight w:val="none"/>
          <w:u w:val="single"/>
        </w:rPr>
        <w:t>           </w:t>
      </w:r>
    </w:p>
    <w:p>
      <w:pPr>
        <w:rPr>
          <w:rFonts w:hint="eastAsia" w:ascii="宋体" w:hAnsi="宋体" w:eastAsia="宋体" w:cs="宋体"/>
          <w:color w:val="auto"/>
          <w:sz w:val="22"/>
          <w:szCs w:val="22"/>
          <w:highlight w:val="none"/>
          <w:lang w:eastAsia="zh-CN"/>
        </w:rPr>
      </w:pPr>
      <w:r>
        <w:rPr>
          <w:rFonts w:hint="eastAsia" w:ascii="宋体" w:hAnsi="宋体" w:cs="宋体"/>
          <w:color w:val="auto"/>
          <w:spacing w:val="50"/>
          <w:sz w:val="22"/>
          <w:szCs w:val="22"/>
          <w:highlight w:val="none"/>
        </w:rPr>
        <w:t>工程性</w:t>
      </w:r>
      <w:r>
        <w:rPr>
          <w:rFonts w:hint="eastAsia" w:ascii="宋体" w:hAnsi="宋体" w:cs="宋体"/>
          <w:color w:val="auto"/>
          <w:sz w:val="22"/>
          <w:szCs w:val="22"/>
          <w:highlight w:val="none"/>
        </w:rPr>
        <w:t>质：□ 政府投资工程   □ 非政府投资工程</w:t>
      </w:r>
    </w:p>
    <w:p>
      <w:pPr>
        <w:rPr>
          <w:rFonts w:hint="eastAsia" w:ascii="宋体" w:hAnsi="宋体" w:eastAsia="宋体" w:cs="宋体"/>
          <w:color w:val="auto"/>
          <w:sz w:val="22"/>
          <w:szCs w:val="22"/>
          <w:highlight w:val="none"/>
          <w:u w:val="single"/>
          <w:lang w:eastAsia="zh-CN"/>
        </w:rPr>
      </w:pPr>
      <w:r>
        <w:rPr>
          <w:rFonts w:hint="eastAsia" w:ascii="宋体" w:hAnsi="宋体" w:cs="宋体"/>
          <w:color w:val="auto"/>
          <w:spacing w:val="50"/>
          <w:sz w:val="22"/>
          <w:szCs w:val="22"/>
          <w:highlight w:val="none"/>
        </w:rPr>
        <w:t>建设单</w:t>
      </w:r>
      <w:r>
        <w:rPr>
          <w:rFonts w:hint="eastAsia" w:ascii="宋体" w:hAnsi="宋体" w:cs="宋体"/>
          <w:color w:val="auto"/>
          <w:sz w:val="22"/>
          <w:szCs w:val="22"/>
          <w:highlight w:val="none"/>
        </w:rPr>
        <w:t>位：</w:t>
      </w:r>
      <w:r>
        <w:rPr>
          <w:rFonts w:hint="eastAsia" w:ascii="宋体" w:hAnsi="宋体" w:cs="宋体"/>
          <w:color w:val="auto"/>
          <w:sz w:val="22"/>
          <w:szCs w:val="22"/>
          <w:highlight w:val="none"/>
          <w:u w:val="single"/>
        </w:rPr>
        <w:t>                           </w:t>
      </w:r>
    </w:p>
    <w:p>
      <w:pPr>
        <w:rPr>
          <w:rFonts w:hint="eastAsia" w:ascii="宋体" w:hAnsi="宋体" w:eastAsia="宋体" w:cs="宋体"/>
          <w:color w:val="auto"/>
          <w:sz w:val="22"/>
          <w:szCs w:val="22"/>
          <w:highlight w:val="none"/>
          <w:u w:val="single"/>
          <w:lang w:eastAsia="zh-CN"/>
        </w:rPr>
      </w:pPr>
      <w:r>
        <w:rPr>
          <w:rFonts w:hint="eastAsia" w:ascii="宋体" w:hAnsi="宋体" w:cs="宋体"/>
          <w:color w:val="auto"/>
          <w:spacing w:val="50"/>
          <w:sz w:val="22"/>
          <w:szCs w:val="22"/>
          <w:highlight w:val="none"/>
        </w:rPr>
        <w:t>设计单</w:t>
      </w:r>
      <w:r>
        <w:rPr>
          <w:rFonts w:hint="eastAsia" w:ascii="宋体" w:hAnsi="宋体" w:cs="宋体"/>
          <w:color w:val="auto"/>
          <w:sz w:val="22"/>
          <w:szCs w:val="22"/>
          <w:highlight w:val="none"/>
        </w:rPr>
        <w:t>位：</w:t>
      </w:r>
      <w:r>
        <w:rPr>
          <w:rFonts w:hint="eastAsia" w:ascii="宋体" w:hAnsi="宋体" w:cs="宋体"/>
          <w:color w:val="auto"/>
          <w:sz w:val="22"/>
          <w:szCs w:val="22"/>
          <w:highlight w:val="none"/>
          <w:u w:val="single"/>
        </w:rPr>
        <w:t>                           </w:t>
      </w:r>
    </w:p>
    <w:p>
      <w:pPr>
        <w:rPr>
          <w:rFonts w:hint="eastAsia" w:ascii="宋体" w:hAnsi="宋体" w:eastAsia="宋体" w:cs="宋体"/>
          <w:color w:val="auto"/>
          <w:sz w:val="22"/>
          <w:szCs w:val="22"/>
          <w:highlight w:val="none"/>
          <w:u w:val="single"/>
          <w:lang w:eastAsia="zh-CN"/>
        </w:rPr>
      </w:pPr>
      <w:r>
        <w:rPr>
          <w:rFonts w:hint="eastAsia" w:ascii="宋体" w:hAnsi="宋体" w:cs="宋体"/>
          <w:color w:val="auto"/>
          <w:spacing w:val="50"/>
          <w:sz w:val="22"/>
          <w:szCs w:val="22"/>
          <w:highlight w:val="none"/>
        </w:rPr>
        <w:t>见证单</w:t>
      </w:r>
      <w:r>
        <w:rPr>
          <w:rFonts w:hint="eastAsia" w:ascii="宋体" w:hAnsi="宋体" w:cs="宋体"/>
          <w:color w:val="auto"/>
          <w:sz w:val="22"/>
          <w:szCs w:val="22"/>
          <w:highlight w:val="none"/>
        </w:rPr>
        <w:t>位：</w:t>
      </w:r>
      <w:r>
        <w:rPr>
          <w:rFonts w:hint="eastAsia" w:ascii="宋体" w:hAnsi="宋体" w:cs="宋体"/>
          <w:color w:val="auto"/>
          <w:sz w:val="22"/>
          <w:szCs w:val="22"/>
          <w:highlight w:val="none"/>
          <w:u w:val="single"/>
        </w:rPr>
        <w:t>                           </w:t>
      </w:r>
    </w:p>
    <w:p>
      <w:pPr>
        <w:rPr>
          <w:rFonts w:hint="eastAsia" w:ascii="宋体" w:hAnsi="宋体" w:eastAsia="宋体" w:cs="宋体"/>
          <w:color w:val="auto"/>
          <w:sz w:val="22"/>
          <w:szCs w:val="22"/>
          <w:highlight w:val="none"/>
          <w:u w:val="single"/>
          <w:lang w:eastAsia="zh-CN"/>
        </w:rPr>
      </w:pPr>
      <w:r>
        <w:rPr>
          <w:rFonts w:hint="eastAsia" w:ascii="宋体" w:hAnsi="宋体" w:cs="宋体"/>
          <w:color w:val="auto"/>
          <w:sz w:val="22"/>
          <w:szCs w:val="22"/>
          <w:highlight w:val="none"/>
        </w:rPr>
        <w:t>总承包单位：</w:t>
      </w:r>
      <w:r>
        <w:rPr>
          <w:rFonts w:hint="eastAsia" w:ascii="宋体" w:hAnsi="宋体" w:cs="宋体"/>
          <w:color w:val="auto"/>
          <w:sz w:val="22"/>
          <w:szCs w:val="22"/>
          <w:highlight w:val="none"/>
          <w:u w:val="single"/>
        </w:rPr>
        <w:t>                            </w:t>
      </w:r>
    </w:p>
    <w:p>
      <w:pPr>
        <w:rPr>
          <w:rFonts w:hint="eastAsia" w:ascii="宋体" w:hAnsi="宋体" w:eastAsia="宋体" w:cs="宋体"/>
          <w:color w:val="auto"/>
          <w:sz w:val="22"/>
          <w:szCs w:val="22"/>
          <w:highlight w:val="none"/>
          <w:u w:val="single"/>
          <w:lang w:eastAsia="zh-CN"/>
        </w:rPr>
      </w:pPr>
      <w:r>
        <w:rPr>
          <w:rFonts w:hint="eastAsia" w:ascii="宋体" w:hAnsi="宋体" w:cs="宋体"/>
          <w:color w:val="auto"/>
          <w:spacing w:val="50"/>
          <w:sz w:val="22"/>
          <w:szCs w:val="22"/>
          <w:highlight w:val="none"/>
        </w:rPr>
        <w:t>施工单</w:t>
      </w:r>
      <w:r>
        <w:rPr>
          <w:rFonts w:hint="eastAsia" w:ascii="宋体" w:hAnsi="宋体" w:cs="宋体"/>
          <w:color w:val="auto"/>
          <w:sz w:val="22"/>
          <w:szCs w:val="22"/>
          <w:highlight w:val="none"/>
        </w:rPr>
        <w:t>位：</w:t>
      </w:r>
      <w:r>
        <w:rPr>
          <w:rFonts w:hint="eastAsia" w:ascii="宋体" w:hAnsi="宋体" w:cs="宋体"/>
          <w:color w:val="auto"/>
          <w:sz w:val="22"/>
          <w:szCs w:val="22"/>
          <w:highlight w:val="none"/>
          <w:u w:val="single"/>
        </w:rPr>
        <w:t>                           </w:t>
      </w:r>
    </w:p>
    <w:p>
      <w:pPr>
        <w:rPr>
          <w:rFonts w:hint="eastAsia" w:ascii="宋体" w:hAnsi="宋体" w:eastAsia="宋体" w:cs="宋体"/>
          <w:color w:val="auto"/>
          <w:sz w:val="22"/>
          <w:szCs w:val="22"/>
          <w:highlight w:val="none"/>
          <w:u w:val="single"/>
          <w:lang w:eastAsia="zh-CN"/>
        </w:rPr>
      </w:pPr>
      <w:r>
        <w:rPr>
          <w:rFonts w:hint="eastAsia" w:ascii="宋体" w:hAnsi="宋体" w:cs="宋体"/>
          <w:color w:val="auto"/>
          <w:sz w:val="22"/>
          <w:szCs w:val="22"/>
          <w:highlight w:val="none"/>
        </w:rPr>
        <w:t>工程报建编号：</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 工程所属区县：</w:t>
      </w:r>
      <w:r>
        <w:rPr>
          <w:rFonts w:hint="eastAsia" w:ascii="宋体" w:hAnsi="宋体" w:cs="宋体"/>
          <w:color w:val="auto"/>
          <w:sz w:val="22"/>
          <w:szCs w:val="22"/>
          <w:highlight w:val="none"/>
          <w:u w:val="single"/>
        </w:rPr>
        <w:t>      </w:t>
      </w:r>
    </w:p>
    <w:p>
      <w:pPr>
        <w:rPr>
          <w:rFonts w:hint="eastAsia" w:ascii="宋体" w:hAnsi="宋体" w:eastAsia="宋体" w:cs="宋体"/>
          <w:color w:val="auto"/>
          <w:sz w:val="22"/>
          <w:szCs w:val="22"/>
          <w:highlight w:val="none"/>
          <w:u w:val="single"/>
          <w:lang w:eastAsia="zh-CN"/>
        </w:rPr>
      </w:pPr>
      <w:r>
        <w:rPr>
          <w:rFonts w:hint="eastAsia" w:ascii="宋体" w:hAnsi="宋体" w:cs="宋体"/>
          <w:color w:val="auto"/>
          <w:sz w:val="22"/>
          <w:szCs w:val="22"/>
          <w:highlight w:val="none"/>
        </w:rPr>
        <w:t>工程投资额：</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 工程建安费：</w:t>
      </w:r>
      <w:r>
        <w:rPr>
          <w:rFonts w:hint="eastAsia" w:ascii="宋体" w:hAnsi="宋体" w:cs="宋体"/>
          <w:color w:val="auto"/>
          <w:sz w:val="22"/>
          <w:szCs w:val="22"/>
          <w:highlight w:val="none"/>
          <w:u w:val="single"/>
        </w:rPr>
        <w:t>       </w:t>
      </w:r>
    </w:p>
    <w:p>
      <w:pPr>
        <w:rPr>
          <w:rFonts w:hint="eastAsia" w:ascii="宋体" w:hAnsi="宋体" w:eastAsia="宋体" w:cs="宋体"/>
          <w:color w:val="auto"/>
          <w:sz w:val="22"/>
          <w:szCs w:val="22"/>
          <w:highlight w:val="none"/>
          <w:u w:val="single"/>
          <w:lang w:eastAsia="zh-CN"/>
        </w:rPr>
      </w:pPr>
      <w:r>
        <w:rPr>
          <w:rFonts w:hint="eastAsia" w:ascii="宋体" w:hAnsi="宋体" w:cs="宋体"/>
          <w:color w:val="auto"/>
          <w:sz w:val="22"/>
          <w:szCs w:val="22"/>
          <w:highlight w:val="none"/>
        </w:rPr>
        <w:t>质　监　站：</w:t>
      </w:r>
      <w:r>
        <w:rPr>
          <w:rFonts w:hint="eastAsia" w:ascii="宋体" w:hAnsi="宋体" w:cs="宋体"/>
          <w:color w:val="auto"/>
          <w:sz w:val="22"/>
          <w:szCs w:val="22"/>
          <w:highlight w:val="none"/>
          <w:u w:val="single"/>
        </w:rPr>
        <w:t>                            </w:t>
      </w:r>
    </w:p>
    <w:p>
      <w:pP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第</w:t>
      </w:r>
      <w:r>
        <w:rPr>
          <w:rFonts w:hint="eastAsia" w:ascii="宋体" w:hAnsi="宋体" w:cs="宋体"/>
          <w:b/>
          <w:bCs/>
          <w:color w:val="auto"/>
          <w:sz w:val="22"/>
          <w:szCs w:val="22"/>
          <w:highlight w:val="none"/>
          <w:lang w:val="en-US" w:eastAsia="zh-CN"/>
        </w:rPr>
        <w:t>二</w:t>
      </w:r>
      <w:r>
        <w:rPr>
          <w:rFonts w:hint="eastAsia" w:ascii="宋体" w:hAnsi="宋体" w:cs="宋体"/>
          <w:b/>
          <w:bCs/>
          <w:color w:val="auto"/>
          <w:sz w:val="22"/>
          <w:szCs w:val="22"/>
          <w:highlight w:val="none"/>
        </w:rPr>
        <w:t>条　检测项目</w:t>
      </w:r>
    </w:p>
    <w:p>
      <w:pPr>
        <w:keepNext w:val="0"/>
        <w:keepLines w:val="0"/>
        <w:pageBreakBefore w:val="0"/>
        <w:widowControl/>
        <w:kinsoku/>
        <w:wordWrap/>
        <w:overflowPunct/>
        <w:topLinePunct w:val="0"/>
        <w:autoSpaceDE/>
        <w:autoSpaceDN/>
        <w:bidi w:val="0"/>
        <w:adjustRightInd/>
        <w:snapToGrid w:val="0"/>
        <w:ind w:firstLine="424" w:firstLineChars="200"/>
        <w:textAlignment w:val="auto"/>
        <w:rPr>
          <w:rFonts w:hint="eastAsia" w:ascii="宋体" w:hAnsi="宋体" w:eastAsia="宋体" w:cs="宋体"/>
          <w:color w:val="auto"/>
          <w:spacing w:val="-4"/>
          <w:sz w:val="22"/>
          <w:szCs w:val="22"/>
          <w:highlight w:val="none"/>
          <w:lang w:eastAsia="zh-CN"/>
        </w:rPr>
      </w:pPr>
      <w:r>
        <w:rPr>
          <w:rFonts w:hint="eastAsia" w:ascii="宋体" w:hAnsi="宋体" w:cs="宋体"/>
          <w:color w:val="auto"/>
          <w:spacing w:val="-4"/>
          <w:sz w:val="22"/>
          <w:szCs w:val="22"/>
          <w:highlight w:val="none"/>
        </w:rPr>
        <w:t>甲方委托乙方检测的检测项目包括：</w:t>
      </w:r>
    </w:p>
    <w:p>
      <w:pPr>
        <w:keepNext w:val="0"/>
        <w:keepLines w:val="0"/>
        <w:pageBreakBefore w:val="0"/>
        <w:widowControl/>
        <w:kinsoku/>
        <w:wordWrap/>
        <w:overflowPunct/>
        <w:topLinePunct w:val="0"/>
        <w:autoSpaceDE/>
        <w:autoSpaceDN/>
        <w:bidi w:val="0"/>
        <w:adjustRightInd/>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w:t>
      </w:r>
    </w:p>
    <w:p>
      <w:pP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第</w:t>
      </w:r>
      <w:r>
        <w:rPr>
          <w:rFonts w:hint="eastAsia" w:ascii="宋体" w:hAnsi="宋体" w:cs="宋体"/>
          <w:b/>
          <w:bCs/>
          <w:color w:val="auto"/>
          <w:sz w:val="22"/>
          <w:szCs w:val="22"/>
          <w:highlight w:val="none"/>
          <w:lang w:val="en-US" w:eastAsia="zh-CN"/>
        </w:rPr>
        <w:t>三</w:t>
      </w:r>
      <w:r>
        <w:rPr>
          <w:rFonts w:hint="eastAsia" w:ascii="宋体" w:hAnsi="宋体" w:cs="宋体"/>
          <w:b/>
          <w:bCs/>
          <w:color w:val="auto"/>
          <w:sz w:val="22"/>
          <w:szCs w:val="22"/>
          <w:highlight w:val="none"/>
        </w:rPr>
        <w:t>条　检测标准</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双方约定的检测标准：</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w:t>
      </w:r>
    </w:p>
    <w:p>
      <w:pP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第</w:t>
      </w:r>
      <w:r>
        <w:rPr>
          <w:rFonts w:hint="eastAsia" w:ascii="宋体" w:hAnsi="宋体" w:cs="宋体"/>
          <w:b/>
          <w:bCs/>
          <w:color w:val="auto"/>
          <w:sz w:val="22"/>
          <w:szCs w:val="22"/>
          <w:highlight w:val="none"/>
          <w:lang w:val="en-US" w:eastAsia="zh-CN"/>
        </w:rPr>
        <w:t>四</w:t>
      </w:r>
      <w:r>
        <w:rPr>
          <w:rFonts w:hint="eastAsia" w:ascii="宋体" w:hAnsi="宋体" w:cs="宋体"/>
          <w:b/>
          <w:bCs/>
          <w:color w:val="auto"/>
          <w:sz w:val="22"/>
          <w:szCs w:val="22"/>
          <w:highlight w:val="none"/>
        </w:rPr>
        <w:t>条　检测费用的核算与支付</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（一）双方同意按照下列第</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种计算方式核算检测费用。</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1．乙方按照《</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检测收费标准》中的检测单价收费，乙方根据实际检测工作量收取检测费。</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2．本合同各检测项目单价见附件</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，乙方根据实际检测工作量收取检测费。</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3．</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（二）双方同意按照下列第</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种支付方式支付检测费用。</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1．自本合同签订之日起每</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日，甲方按乙方实际完成的检测工作量和建设工程检测信息系统生成的结算凭证支付检测费用。</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（三）甲方对检测项目费用有异议的，应及时与乙方进行协商，但不得拖延其他无异议项目检测费用的支付。</w:t>
      </w:r>
    </w:p>
    <w:p>
      <w:pP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第</w:t>
      </w:r>
      <w:r>
        <w:rPr>
          <w:rFonts w:hint="eastAsia" w:ascii="宋体" w:hAnsi="宋体" w:cs="宋体"/>
          <w:b/>
          <w:bCs/>
          <w:color w:val="auto"/>
          <w:sz w:val="22"/>
          <w:szCs w:val="22"/>
          <w:highlight w:val="none"/>
          <w:lang w:val="en-US" w:eastAsia="zh-CN"/>
        </w:rPr>
        <w:t>五</w:t>
      </w:r>
      <w:r>
        <w:rPr>
          <w:rFonts w:hint="eastAsia" w:ascii="宋体" w:hAnsi="宋体" w:cs="宋体"/>
          <w:b/>
          <w:bCs/>
          <w:color w:val="auto"/>
          <w:sz w:val="22"/>
          <w:szCs w:val="22"/>
          <w:highlight w:val="none"/>
        </w:rPr>
        <w:t>条　检测报告的交付</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（一）乙方交付检测报告时间的约定为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。乙方交付检测报告一式</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份，当甲方对部分检测项目的检测报告份数有特殊需要时，可另行约定。</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（二）双方约定按照下列第</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种方式交付检测报告：</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1．甲方上门提取检测报告。</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2．乙方送检测报告给甲方。</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w:t>
      </w:r>
    </w:p>
    <w:p>
      <w:pP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第</w:t>
      </w:r>
      <w:r>
        <w:rPr>
          <w:rFonts w:hint="eastAsia" w:ascii="宋体" w:hAnsi="宋体" w:cs="宋体"/>
          <w:b/>
          <w:bCs/>
          <w:color w:val="auto"/>
          <w:sz w:val="22"/>
          <w:szCs w:val="22"/>
          <w:highlight w:val="none"/>
          <w:lang w:val="en-US" w:eastAsia="zh-CN"/>
        </w:rPr>
        <w:t>六</w:t>
      </w:r>
      <w:r>
        <w:rPr>
          <w:rFonts w:hint="eastAsia" w:ascii="宋体" w:hAnsi="宋体" w:cs="宋体"/>
          <w:b/>
          <w:bCs/>
          <w:color w:val="auto"/>
          <w:sz w:val="22"/>
          <w:szCs w:val="22"/>
          <w:highlight w:val="none"/>
        </w:rPr>
        <w:t>条　检测样品的运输</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双方约定按以下第</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种方式运输检测样品。乙方按有关规定对检测后的样品进行留样。</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1．甲方负责将检测样品送至乙方检测场所，并承担相应运输费用。</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2．乙方到工程现场抽取检测样品，甲方承担相应抽样及运输费用。</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3．</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w:t>
      </w:r>
    </w:p>
    <w:p>
      <w:pPr>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 xml:space="preserve">第七条 </w:t>
      </w:r>
      <w:r>
        <w:rPr>
          <w:rFonts w:hint="eastAsia" w:ascii="宋体" w:hAnsi="宋体" w:cs="宋体"/>
          <w:b/>
          <w:bCs/>
          <w:color w:val="auto"/>
          <w:sz w:val="22"/>
          <w:szCs w:val="22"/>
          <w:highlight w:val="none"/>
        </w:rPr>
        <w:t>合同文件的优先次序</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构成本合同的文件可视为是能互相说明的，如果合同文件存在歧义或不一致，则根据如下优先次序来判断：</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合同书</w:t>
      </w:r>
    </w:p>
    <w:p>
      <w:pPr>
        <w:tabs>
          <w:tab w:val="left" w:pos="2160"/>
        </w:tabs>
        <w:spacing w:line="360" w:lineRule="auto"/>
        <w:ind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本合同履行过程中双方以书面形式签署的补充和修正文件</w:t>
      </w:r>
      <w:r>
        <w:rPr>
          <w:rFonts w:hint="eastAsia" w:ascii="宋体" w:hAnsi="宋体" w:cs="宋体"/>
          <w:color w:val="auto"/>
          <w:sz w:val="22"/>
          <w:szCs w:val="22"/>
          <w:highlight w:val="none"/>
          <w:lang w:eastAsia="zh-CN"/>
        </w:rPr>
        <w:t>。</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3.东实集团及下属公司检测服务协议书</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中标函(文件)</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5.检测</w:t>
      </w:r>
      <w:r>
        <w:rPr>
          <w:rFonts w:hint="eastAsia" w:ascii="宋体" w:hAnsi="宋体" w:cs="宋体"/>
          <w:color w:val="auto"/>
          <w:sz w:val="22"/>
          <w:szCs w:val="22"/>
          <w:highlight w:val="none"/>
        </w:rPr>
        <w:t>招标文件</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发包人要求及委托书</w:t>
      </w:r>
    </w:p>
    <w:p>
      <w:pPr>
        <w:tabs>
          <w:tab w:val="left" w:pos="2160"/>
        </w:tabs>
        <w:spacing w:line="360" w:lineRule="auto"/>
        <w:ind w:firstLine="440" w:firstLineChars="20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7.投标文件</w:t>
      </w:r>
    </w:p>
    <w:p>
      <w:pP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第</w:t>
      </w:r>
      <w:r>
        <w:rPr>
          <w:rFonts w:hint="eastAsia" w:ascii="宋体" w:hAnsi="宋体" w:cs="宋体"/>
          <w:b/>
          <w:bCs/>
          <w:color w:val="auto"/>
          <w:sz w:val="22"/>
          <w:szCs w:val="22"/>
          <w:highlight w:val="none"/>
          <w:lang w:val="en-US" w:eastAsia="zh-CN"/>
        </w:rPr>
        <w:t>八</w:t>
      </w:r>
      <w:r>
        <w:rPr>
          <w:rFonts w:hint="eastAsia" w:ascii="宋体" w:hAnsi="宋体" w:cs="宋体"/>
          <w:b/>
          <w:bCs/>
          <w:color w:val="auto"/>
          <w:sz w:val="22"/>
          <w:szCs w:val="22"/>
          <w:highlight w:val="none"/>
        </w:rPr>
        <w:t>条　甲方的权利义务</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（一）甲方不得将同一单位工程中的同一类型检测项目委托其他检测机构进行检测。</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（二）甲方应当按照规定，在建设工程项目专户中单独列支检测费用。</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（三）甲方授权</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为代表，负责与乙方联系。如甲方代表发生变更，甲方应书面告知乙方。</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（四）甲方应于检测活动开始前</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日内向乙方提供与本检测业务有关的资料及文件，并对资料的可靠性负责。</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（五）委托检测前，甲方应将见证单位和见证人员以书面形式通知乙方。见证人员发生变更的，甲方应及时书面告知乙方。</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六）检测试样抽取、制作时，甲方应确保由见证人员对检测试样张贴或者嵌入唯一性识别标识，并现场将检测试样信息录入检测信息系统。委托时应填写检测委托单，委托单应采用本市统一样式，并经见证人员和取样人员当场签字确认。</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（七）检测项目属于工程实体检测的，甲方应提前</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日将现场检测日期通知乙方。见证人员应对工程现场检测进行见证，并在现场检测原始记录上签字确认。</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（八）甲方应当负责与本工程检测业务有关的第三人的协调，为乙方提供必要的外部工作条件。</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（九）甲方不得以任何方式要求乙方出具虚假检测报告。</w:t>
      </w:r>
    </w:p>
    <w:p>
      <w:pP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第</w:t>
      </w:r>
      <w:r>
        <w:rPr>
          <w:rFonts w:hint="eastAsia" w:ascii="宋体" w:hAnsi="宋体" w:cs="宋体"/>
          <w:b/>
          <w:bCs/>
          <w:color w:val="auto"/>
          <w:sz w:val="22"/>
          <w:szCs w:val="22"/>
          <w:highlight w:val="none"/>
          <w:lang w:val="en-US" w:eastAsia="zh-CN"/>
        </w:rPr>
        <w:t>九</w:t>
      </w:r>
      <w:r>
        <w:rPr>
          <w:rFonts w:hint="eastAsia" w:ascii="宋体" w:hAnsi="宋体" w:cs="宋体"/>
          <w:b/>
          <w:bCs/>
          <w:color w:val="auto"/>
          <w:sz w:val="22"/>
          <w:szCs w:val="22"/>
          <w:highlight w:val="none"/>
        </w:rPr>
        <w:t>条　乙方的权利义务</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（一）乙方应向甲方提供与本工程检测业务有关的资料，包括建设工程检测资质证书、检测机构评估证书及其附表等复印件。</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（二）乙方承诺与行政机关、法律法规授权的具有管理公共事务职能的组织以及本工程相关的建设单位、设计单位、施工单位、监理单位无隶属关系或者其他利害关系。</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（三）乙方在同一建设工程项目或标段中，不得同时接受建设、施工或者监理单位等两方以上的检测委托。</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（四）乙方应当按照合同约定的标准进行检测，并对检测数据和检测报告的真实性和准确性负责。</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（五）检测项目属于工程实体检测的，乙方应事先编制检测方案报送甲方。</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（六）检测项目属于工程实体检测的，乙方应在甲方通知的日期进场开展检测活动。</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（七）乙方现场检测时应遵守工程安全管理及其他工程现场管理制度。</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（八）对依据相关法律、法规、规章和技术标准实施的建设工程法定检测项目，乙方应使用检测信息系统实施检测，并出具带有防伪标记和校验码的检测报告。</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（九）检测结果不合格的，乙方应在获得检测结果后</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日内通知甲方。</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（十）在基桩、地基基础、主体结构、建筑节能及单位工程验收前，乙方应向甲方提供《建设工程检测报告确认证明》，对工程检测内容、数量和不合格项等情况作出说明。</w:t>
      </w:r>
    </w:p>
    <w:p>
      <w:pP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第</w:t>
      </w:r>
      <w:r>
        <w:rPr>
          <w:rFonts w:hint="eastAsia" w:ascii="宋体" w:hAnsi="宋体" w:cs="宋体"/>
          <w:b/>
          <w:bCs/>
          <w:color w:val="auto"/>
          <w:sz w:val="22"/>
          <w:szCs w:val="22"/>
          <w:highlight w:val="none"/>
          <w:lang w:val="en-US" w:eastAsia="zh-CN"/>
        </w:rPr>
        <w:t>十</w:t>
      </w:r>
      <w:r>
        <w:rPr>
          <w:rFonts w:hint="eastAsia" w:ascii="宋体" w:hAnsi="宋体" w:cs="宋体"/>
          <w:b/>
          <w:bCs/>
          <w:color w:val="auto"/>
          <w:sz w:val="22"/>
          <w:szCs w:val="22"/>
          <w:highlight w:val="none"/>
        </w:rPr>
        <w:t>条　对检测结论异议的处理</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甲方对检测结论有异议的，可由双方共同认可的检测机构复检。复检结论与原检测结论相同，由甲方支付复检费用；反之，则由乙方承担复检费用。复检结果由提出复检方报建设行政管理部门或者其他有关部门备案。</w:t>
      </w:r>
    </w:p>
    <w:p>
      <w:pP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第</w:t>
      </w:r>
      <w:r>
        <w:rPr>
          <w:rFonts w:hint="eastAsia" w:ascii="宋体" w:hAnsi="宋体" w:cs="宋体"/>
          <w:b/>
          <w:bCs/>
          <w:color w:val="auto"/>
          <w:sz w:val="22"/>
          <w:szCs w:val="22"/>
          <w:highlight w:val="none"/>
          <w:lang w:val="en-US" w:eastAsia="zh-CN"/>
        </w:rPr>
        <w:t>十一</w:t>
      </w:r>
      <w:r>
        <w:rPr>
          <w:rFonts w:hint="eastAsia" w:ascii="宋体" w:hAnsi="宋体" w:cs="宋体"/>
          <w:b/>
          <w:bCs/>
          <w:color w:val="auto"/>
          <w:sz w:val="22"/>
          <w:szCs w:val="22"/>
          <w:highlight w:val="none"/>
        </w:rPr>
        <w:t>条　违约责任</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（一）甲方逾期支付检测费用的，每逾期一日应按未支付费用的</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％向乙方支付违约金。</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（二）因甲方未履行义务而造成乙方无法按时保质地完成检测业务的，甲方应当承担相应的经济损失，并赔偿由此给乙方造成的损失。完成检测业务的时限由双方另行约定。</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（三）乙方未按照合同约定时间提交检测报告，每逾期一日应按相关检测项目检测费用的</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％向甲方支付违约金。</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（四）检测报告信息错误、未按照约定检测依据进行检测或者检测结论判断错误的，乙方应进行更正或免费重新进行检测，给甲方造成损失的应予以赔偿，由甲方原因造成上述错误的除外。</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（五）其他违约责</w:t>
      </w:r>
      <w:r>
        <w:rPr>
          <w:rFonts w:hint="eastAsia" w:ascii="宋体" w:hAnsi="宋体" w:cs="宋体"/>
          <w:color w:val="auto"/>
          <w:sz w:val="22"/>
          <w:szCs w:val="22"/>
          <w:highlight w:val="none"/>
          <w:lang w:val="en-US" w:eastAsia="zh-CN"/>
        </w:rPr>
        <w:t>任</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w:t>
      </w:r>
    </w:p>
    <w:p>
      <w:pP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第十</w:t>
      </w:r>
      <w:r>
        <w:rPr>
          <w:rFonts w:hint="eastAsia" w:ascii="宋体" w:hAnsi="宋体" w:cs="宋体"/>
          <w:b/>
          <w:bCs/>
          <w:color w:val="auto"/>
          <w:sz w:val="22"/>
          <w:szCs w:val="22"/>
          <w:highlight w:val="none"/>
          <w:lang w:val="en-US" w:eastAsia="zh-CN"/>
        </w:rPr>
        <w:t>二</w:t>
      </w:r>
      <w:r>
        <w:rPr>
          <w:rFonts w:hint="eastAsia" w:ascii="宋体" w:hAnsi="宋体" w:cs="宋体"/>
          <w:b/>
          <w:bCs/>
          <w:color w:val="auto"/>
          <w:sz w:val="22"/>
          <w:szCs w:val="22"/>
          <w:highlight w:val="none"/>
        </w:rPr>
        <w:t>条　其他约定事项</w:t>
      </w:r>
    </w:p>
    <w:p>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w:t>
      </w:r>
    </w:p>
    <w:p>
      <w:pP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第十</w:t>
      </w:r>
      <w:r>
        <w:rPr>
          <w:rFonts w:hint="eastAsia" w:ascii="宋体" w:hAnsi="宋体" w:cs="宋体"/>
          <w:b/>
          <w:bCs/>
          <w:color w:val="auto"/>
          <w:sz w:val="22"/>
          <w:szCs w:val="22"/>
          <w:highlight w:val="none"/>
          <w:lang w:val="en-US" w:eastAsia="zh-CN"/>
        </w:rPr>
        <w:t>三</w:t>
      </w:r>
      <w:r>
        <w:rPr>
          <w:rFonts w:hint="eastAsia" w:ascii="宋体" w:hAnsi="宋体" w:cs="宋体"/>
          <w:b/>
          <w:bCs/>
          <w:color w:val="auto"/>
          <w:sz w:val="22"/>
          <w:szCs w:val="22"/>
          <w:highlight w:val="none"/>
        </w:rPr>
        <w:t>条　争议的解决方式</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双方发生争议的，可协商解决，或向有关部门申请调解；也可提请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仲裁委员会仲裁</w:t>
      </w:r>
      <w:r>
        <w:rPr>
          <w:rFonts w:hint="eastAsia" w:ascii="宋体" w:hAnsi="宋体" w:cs="宋体"/>
          <w:b/>
          <w:color w:val="auto"/>
          <w:sz w:val="22"/>
          <w:szCs w:val="22"/>
          <w:highlight w:val="none"/>
        </w:rPr>
        <w:t>（不愿意仲裁而选择向法院提起诉讼的，请双方在签署合同时将此仲裁条款划去）</w:t>
      </w:r>
      <w:r>
        <w:rPr>
          <w:rFonts w:hint="eastAsia" w:ascii="宋体" w:hAnsi="宋体" w:cs="宋体"/>
          <w:color w:val="auto"/>
          <w:sz w:val="22"/>
          <w:szCs w:val="22"/>
          <w:highlight w:val="none"/>
        </w:rPr>
        <w:t>。</w:t>
      </w:r>
    </w:p>
    <w:p>
      <w:pP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第十</w:t>
      </w:r>
      <w:r>
        <w:rPr>
          <w:rFonts w:hint="eastAsia" w:ascii="宋体" w:hAnsi="宋体" w:cs="宋体"/>
          <w:b/>
          <w:bCs/>
          <w:color w:val="auto"/>
          <w:sz w:val="22"/>
          <w:szCs w:val="22"/>
          <w:highlight w:val="none"/>
          <w:lang w:val="en-US" w:eastAsia="zh-CN"/>
        </w:rPr>
        <w:t>四</w:t>
      </w:r>
      <w:r>
        <w:rPr>
          <w:rFonts w:hint="eastAsia" w:ascii="宋体" w:hAnsi="宋体" w:cs="宋体"/>
          <w:b/>
          <w:bCs/>
          <w:color w:val="auto"/>
          <w:sz w:val="22"/>
          <w:szCs w:val="22"/>
          <w:highlight w:val="none"/>
        </w:rPr>
        <w:t>条　附则</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乙方应当在检测合同签订后的20日内，将合同报建设行政管理部门或者其他有关部门备案。检测合同主要内容发生变更的，应当在合同变更后的20日内，向原合同备案部门办理变更备案。</w:t>
      </w:r>
    </w:p>
    <w:p>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本合同自双方签字或者盖章之日起生效。本合同一式</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份，双方各</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份。</w:t>
      </w:r>
    </w:p>
    <w:p>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w:t>
      </w:r>
    </w:p>
    <w:p>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w:t>
      </w:r>
    </w:p>
    <w:p>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甲方：（盖章）               乙方：（盖章）</w:t>
      </w:r>
    </w:p>
    <w:p>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住   所：                住   所： </w:t>
      </w:r>
    </w:p>
    <w:p>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法定代表人：                法定代表人：</w:t>
      </w:r>
    </w:p>
    <w:p>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委托代理人：                委托代理人：</w:t>
      </w:r>
    </w:p>
    <w:p>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开户银行：                 开户银行：</w:t>
      </w:r>
    </w:p>
    <w:p>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账  号：                  账  号：</w:t>
      </w:r>
    </w:p>
    <w:p>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邮政编码：                 邮政编码：</w:t>
      </w:r>
    </w:p>
    <w:p>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单位电话：                 单位电话：</w:t>
      </w:r>
    </w:p>
    <w:p>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传   真：                传    真：</w:t>
      </w:r>
    </w:p>
    <w:p>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 系 人：                联 系 人：</w:t>
      </w:r>
    </w:p>
    <w:p>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联系人手机：                联系人手机：</w:t>
      </w:r>
    </w:p>
    <w:p>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合同订立时间：</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日</w:t>
      </w:r>
    </w:p>
    <w:p>
      <w:pPr>
        <w:rPr>
          <w:rFonts w:hint="eastAsia" w:ascii="宋体" w:hAnsi="宋体" w:cs="宋体"/>
          <w:color w:val="auto"/>
          <w:sz w:val="22"/>
          <w:szCs w:val="22"/>
          <w:highlight w:val="none"/>
        </w:rPr>
      </w:pPr>
      <w:r>
        <w:rPr>
          <w:rFonts w:hint="eastAsia" w:ascii="宋体" w:hAnsi="宋体" w:cs="宋体"/>
          <w:color w:val="auto"/>
          <w:sz w:val="22"/>
          <w:szCs w:val="22"/>
          <w:highlight w:val="none"/>
        </w:rPr>
        <w:t>合同订立地点：</w:t>
      </w:r>
      <w:r>
        <w:rPr>
          <w:rFonts w:hint="eastAsia" w:ascii="宋体" w:hAnsi="宋体" w:cs="宋体"/>
          <w:color w:val="auto"/>
          <w:sz w:val="22"/>
          <w:szCs w:val="22"/>
          <w:highlight w:val="none"/>
          <w:u w:val="single"/>
        </w:rPr>
        <w:t xml:space="preserve">               </w:t>
      </w:r>
    </w:p>
    <w:p>
      <w:pPr>
        <w:adjustRightInd w:val="0"/>
        <w:snapToGrid w:val="0"/>
        <w:spacing w:line="360" w:lineRule="auto"/>
        <w:jc w:val="center"/>
        <w:rPr>
          <w:rFonts w:hint="eastAsia" w:ascii="宋体" w:hAnsi="宋体"/>
          <w:b/>
          <w:bCs/>
          <w:color w:val="auto"/>
          <w:sz w:val="28"/>
          <w:szCs w:val="28"/>
          <w:highlight w:val="none"/>
        </w:rPr>
      </w:pPr>
    </w:p>
    <w:p>
      <w:pPr>
        <w:spacing w:line="500" w:lineRule="exact"/>
        <w:jc w:val="center"/>
        <w:rPr>
          <w:rFonts w:ascii="仿宋_GB2312" w:eastAsia="仿宋_GB2312"/>
          <w:b/>
          <w:bCs/>
          <w:color w:val="auto"/>
          <w:sz w:val="28"/>
          <w:szCs w:val="28"/>
          <w:highlight w:val="none"/>
        </w:rPr>
      </w:pPr>
    </w:p>
    <w:p>
      <w:pPr>
        <w:spacing w:line="480" w:lineRule="exact"/>
        <w:rPr>
          <w:rFonts w:hint="eastAsia" w:ascii="宋体" w:hAnsi="宋体"/>
          <w:b/>
          <w:color w:val="auto"/>
          <w:sz w:val="28"/>
          <w:szCs w:val="28"/>
          <w:highlight w:val="none"/>
        </w:rPr>
      </w:pPr>
    </w:p>
    <w:p>
      <w:pPr>
        <w:spacing w:line="480" w:lineRule="exact"/>
        <w:rPr>
          <w:rFonts w:hint="eastAsia" w:ascii="宋体" w:hAnsi="宋体"/>
          <w:b/>
          <w:color w:val="auto"/>
          <w:sz w:val="28"/>
          <w:szCs w:val="28"/>
          <w:highlight w:val="none"/>
        </w:rPr>
      </w:pPr>
    </w:p>
    <w:p>
      <w:pPr>
        <w:bidi w:val="0"/>
        <w:rPr>
          <w:rFonts w:hint="eastAsia"/>
          <w:color w:val="auto"/>
          <w:highlight w:val="none"/>
        </w:rPr>
      </w:pPr>
    </w:p>
    <w:p>
      <w:pPr>
        <w:pStyle w:val="2"/>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spacing w:line="480" w:lineRule="exac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三</w:t>
      </w:r>
    </w:p>
    <w:p>
      <w:pPr>
        <w:spacing w:line="480" w:lineRule="exact"/>
        <w:jc w:val="center"/>
        <w:rPr>
          <w:rFonts w:ascii="宋体" w:hAnsi="宋体"/>
          <w:b/>
          <w:color w:val="auto"/>
          <w:sz w:val="44"/>
          <w:szCs w:val="44"/>
          <w:highlight w:val="none"/>
        </w:rPr>
      </w:pPr>
      <w:r>
        <w:rPr>
          <w:rFonts w:hint="eastAsia" w:ascii="宋体" w:hAnsi="宋体"/>
          <w:b/>
          <w:color w:val="auto"/>
          <w:sz w:val="44"/>
          <w:szCs w:val="44"/>
          <w:highlight w:val="none"/>
        </w:rPr>
        <w:t>阳光合作协议</w:t>
      </w:r>
    </w:p>
    <w:p>
      <w:pPr>
        <w:spacing w:line="480" w:lineRule="exact"/>
        <w:jc w:val="center"/>
        <w:rPr>
          <w:rFonts w:ascii="宋体"/>
          <w:b/>
          <w:color w:val="auto"/>
          <w:sz w:val="28"/>
          <w:szCs w:val="28"/>
          <w:highlight w:val="none"/>
        </w:rPr>
      </w:pPr>
    </w:p>
    <w:p>
      <w:pPr>
        <w:spacing w:before="156" w:beforeLines="50" w:after="156" w:afterLines="50"/>
        <w:ind w:firstLine="420" w:firstLineChars="200"/>
        <w:contextualSpacing/>
        <w:rPr>
          <w:rFonts w:ascii="宋体" w:hAnsi="宋体"/>
          <w:szCs w:val="21"/>
        </w:rPr>
      </w:pPr>
      <w:r>
        <w:rPr>
          <w:rFonts w:hint="eastAsia" w:ascii="宋体" w:hAnsi="宋体"/>
          <w:szCs w:val="21"/>
        </w:rPr>
        <w:t>甲方：</w:t>
      </w:r>
      <w:r>
        <w:rPr>
          <w:rFonts w:ascii="宋体" w:hAnsi="宋体"/>
          <w:szCs w:val="21"/>
        </w:rPr>
        <w:t xml:space="preserve"> </w:t>
      </w:r>
    </w:p>
    <w:p>
      <w:pPr>
        <w:spacing w:before="156" w:beforeLines="50" w:after="156" w:afterLines="50"/>
        <w:ind w:firstLine="420" w:firstLineChars="200"/>
        <w:contextualSpacing/>
        <w:rPr>
          <w:rFonts w:ascii="宋体" w:hAnsi="宋体"/>
          <w:szCs w:val="21"/>
        </w:rPr>
      </w:pPr>
      <w:r>
        <w:rPr>
          <w:rFonts w:hint="eastAsia" w:ascii="宋体" w:hAnsi="宋体"/>
          <w:szCs w:val="21"/>
        </w:rPr>
        <w:t>乙方：</w:t>
      </w:r>
      <w:r>
        <w:rPr>
          <w:rFonts w:ascii="宋体" w:hAnsi="宋体"/>
          <w:szCs w:val="21"/>
        </w:rPr>
        <w:t xml:space="preserve"> </w:t>
      </w:r>
    </w:p>
    <w:p>
      <w:pPr>
        <w:spacing w:before="156" w:beforeLines="50" w:after="156" w:afterLines="50"/>
        <w:ind w:firstLine="420" w:firstLineChars="200"/>
        <w:contextualSpacing/>
        <w:rPr>
          <w:rFonts w:ascii="宋体"/>
        </w:rPr>
      </w:pPr>
      <w:r>
        <w:rPr>
          <w:rFonts w:hint="eastAsia" w:ascii="宋体" w:hAnsi="宋体"/>
        </w:rPr>
        <w:t xml:space="preserve">    甲乙双方于 20</w:t>
      </w:r>
      <w:r>
        <w:rPr>
          <w:rFonts w:hint="eastAsia" w:ascii="宋体" w:hAnsi="宋体"/>
          <w:lang w:val="en-US" w:eastAsia="zh-CN"/>
        </w:rPr>
        <w:t>22</w:t>
      </w:r>
      <w:r>
        <w:rPr>
          <w:rFonts w:hint="eastAsia" w:ascii="宋体" w:hAnsi="宋体"/>
        </w:rPr>
        <w:t>年     月     日签署了《……》（以下简称原合同），为加强双方阳光合作，保证职员职业安全，甲乙双方经协商签订本协议并作为双方共同遵守的阳光合作行为准则。</w:t>
      </w:r>
    </w:p>
    <w:p>
      <w:pPr>
        <w:widowControl/>
        <w:numPr>
          <w:ilvl w:val="0"/>
          <w:numId w:val="6"/>
        </w:numPr>
        <w:spacing w:before="156" w:beforeLines="50" w:after="156" w:afterLines="50"/>
        <w:ind w:left="0" w:firstLine="422" w:firstLineChars="200"/>
        <w:contextualSpacing/>
        <w:jc w:val="left"/>
        <w:rPr>
          <w:rFonts w:ascii="宋体" w:hAnsi="宋体"/>
          <w:b/>
        </w:rPr>
      </w:pPr>
      <w:r>
        <w:rPr>
          <w:rFonts w:hint="eastAsia" w:ascii="宋体" w:hAnsi="宋体"/>
          <w:b/>
        </w:rPr>
        <w:t>甲方责任</w:t>
      </w:r>
    </w:p>
    <w:p>
      <w:pPr>
        <w:spacing w:before="156" w:beforeLines="50" w:after="156" w:afterLines="50"/>
        <w:ind w:left="105" w:leftChars="50" w:firstLine="420" w:firstLineChars="200"/>
        <w:contextualSpacing/>
        <w:rPr>
          <w:rFonts w:ascii="宋体" w:hAnsi="宋体"/>
        </w:rPr>
      </w:pPr>
      <w:r>
        <w:rPr>
          <w:rFonts w:hint="eastAsia" w:ascii="宋体" w:hAnsi="宋体"/>
        </w:rPr>
        <w:t>1.甲方有责任向乙方介绍本单位有关采购管理通用原则和本协议的规定。</w:t>
      </w:r>
    </w:p>
    <w:p>
      <w:pPr>
        <w:spacing w:before="156" w:beforeLines="50" w:after="156" w:afterLines="50"/>
        <w:ind w:left="105" w:leftChars="50" w:firstLine="420" w:firstLineChars="200"/>
        <w:contextualSpacing/>
        <w:rPr>
          <w:rFonts w:ascii="宋体" w:hAnsi="宋体"/>
        </w:rPr>
      </w:pPr>
      <w:r>
        <w:rPr>
          <w:rFonts w:hint="eastAsia" w:ascii="宋体" w:hAnsi="宋体"/>
        </w:rPr>
        <w:t>2.甲方有责任对本单位相关人员进行阳光合作教育。</w:t>
      </w:r>
    </w:p>
    <w:p>
      <w:pPr>
        <w:spacing w:before="156" w:beforeLines="50" w:after="156" w:afterLines="50"/>
        <w:ind w:left="105" w:leftChars="50" w:firstLine="420" w:firstLineChars="200"/>
        <w:contextualSpacing/>
        <w:rPr>
          <w:rFonts w:ascii="宋体" w:hAnsi="宋体"/>
        </w:rPr>
      </w:pPr>
      <w:r>
        <w:rPr>
          <w:rFonts w:hint="eastAsia" w:ascii="宋体" w:hAnsi="宋体"/>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spacing w:before="156" w:beforeLines="50" w:after="156" w:afterLines="50"/>
        <w:ind w:left="105" w:leftChars="50" w:firstLine="420" w:firstLineChars="200"/>
        <w:contextualSpacing/>
        <w:rPr>
          <w:rFonts w:ascii="宋体" w:hAnsi="宋体"/>
        </w:rPr>
      </w:pPr>
      <w:r>
        <w:rPr>
          <w:rFonts w:hint="eastAsia" w:ascii="宋体" w:hAnsi="宋体"/>
        </w:rPr>
        <w:t>4.甲方人员如违反阳光合作管理制度及本协议规定，甲方视情节轻重、影响大小给予行政及经济处罚。</w:t>
      </w:r>
    </w:p>
    <w:p>
      <w:pPr>
        <w:spacing w:before="156" w:beforeLines="50" w:after="156" w:afterLines="50"/>
        <w:ind w:left="105" w:leftChars="50" w:firstLine="420" w:firstLineChars="200"/>
        <w:contextualSpacing/>
        <w:rPr>
          <w:rFonts w:ascii="宋体" w:hAnsi="宋体"/>
        </w:rPr>
      </w:pPr>
      <w:r>
        <w:rPr>
          <w:rFonts w:hint="eastAsia" w:ascii="宋体" w:hAnsi="宋体"/>
        </w:rPr>
        <w:t>5．对于乙方举报甲方人员违反阳光合作规定的情况，甲方应及时进行调查，根据调查情况进行处理，并将调查结果向乙方反馈。</w:t>
      </w:r>
    </w:p>
    <w:p>
      <w:pPr>
        <w:spacing w:before="156" w:beforeLines="50" w:after="156" w:afterLines="50"/>
        <w:ind w:left="105" w:leftChars="50" w:firstLine="420" w:firstLineChars="200"/>
        <w:contextualSpacing/>
        <w:rPr>
          <w:rFonts w:ascii="宋体" w:hAnsi="宋体"/>
        </w:rPr>
      </w:pPr>
      <w:r>
        <w:rPr>
          <w:rFonts w:hint="eastAsia" w:ascii="宋体" w:hAnsi="宋体"/>
        </w:rPr>
        <w:t>6.接受举报的一方应为举报方保密，不得对举报方进行报复，对举报属实和严格遵守《阳光合作协议》的合作方，在同等条件下给予后续合作的优先权。</w:t>
      </w:r>
    </w:p>
    <w:p>
      <w:pPr>
        <w:widowControl/>
        <w:numPr>
          <w:ilvl w:val="0"/>
          <w:numId w:val="6"/>
        </w:numPr>
        <w:spacing w:before="156" w:beforeLines="50" w:after="156" w:afterLines="50"/>
        <w:ind w:left="0" w:firstLine="422" w:firstLineChars="200"/>
        <w:contextualSpacing/>
        <w:jc w:val="left"/>
        <w:rPr>
          <w:rFonts w:ascii="宋体" w:hAnsi="宋体"/>
          <w:b/>
        </w:rPr>
      </w:pPr>
      <w:r>
        <w:rPr>
          <w:rFonts w:hint="eastAsia" w:ascii="宋体" w:hAnsi="宋体"/>
          <w:b/>
        </w:rPr>
        <w:t>乙方责任</w:t>
      </w:r>
    </w:p>
    <w:p>
      <w:pPr>
        <w:spacing w:before="156" w:beforeLines="50" w:after="156" w:afterLines="50"/>
        <w:ind w:left="105" w:leftChars="50" w:firstLine="420" w:firstLineChars="200"/>
        <w:contextualSpacing/>
        <w:rPr>
          <w:rFonts w:ascii="宋体" w:hAnsi="宋体"/>
        </w:rPr>
      </w:pPr>
      <w:r>
        <w:rPr>
          <w:rFonts w:hint="eastAsia" w:ascii="宋体" w:hAnsi="宋体"/>
        </w:rPr>
        <w:t>1.乙方应保证乙方人员了解甲方有关采购管理通用原则和及本协议的规定，并遵照执行。</w:t>
      </w:r>
    </w:p>
    <w:p>
      <w:pPr>
        <w:spacing w:before="156" w:beforeLines="50" w:after="156" w:afterLines="50"/>
        <w:ind w:left="105" w:leftChars="50" w:firstLine="420" w:firstLineChars="200"/>
        <w:contextualSpacing/>
        <w:rPr>
          <w:rFonts w:ascii="宋体" w:hAnsi="宋体"/>
        </w:rPr>
      </w:pPr>
      <w:r>
        <w:rPr>
          <w:rFonts w:hint="eastAsia" w:ascii="宋体" w:hAnsi="宋体"/>
        </w:rPr>
        <w:t>2.乙方不得以任何形式给予甲方人员回扣、赠送实物、现金、有价证券、礼券等有价物品或提供旅游等其他可能影响职务行为公正履行的活动（以下统称“财物”）。</w:t>
      </w:r>
    </w:p>
    <w:p>
      <w:pPr>
        <w:spacing w:before="156" w:beforeLines="50" w:after="156" w:afterLines="50"/>
        <w:ind w:left="105" w:leftChars="50" w:firstLine="420" w:firstLineChars="200"/>
        <w:contextualSpacing/>
        <w:rPr>
          <w:rFonts w:ascii="宋体" w:hAnsi="宋体"/>
        </w:rPr>
      </w:pPr>
      <w:r>
        <w:rPr>
          <w:rFonts w:hint="eastAsia" w:ascii="宋体" w:hAnsi="宋体"/>
        </w:rPr>
        <w:t>3.乙方有责任接受甲方对乙方在合作期间阳光合作管理执行情况的监督，并对甲方相关调查工作主动配合。</w:t>
      </w:r>
    </w:p>
    <w:p>
      <w:pPr>
        <w:spacing w:before="156" w:beforeLines="50" w:after="156" w:afterLines="50"/>
        <w:ind w:left="105" w:leftChars="50" w:firstLine="420" w:firstLineChars="200"/>
        <w:contextualSpacing/>
        <w:rPr>
          <w:rFonts w:ascii="宋体" w:hAnsi="宋体"/>
        </w:rPr>
      </w:pPr>
      <w:r>
        <w:rPr>
          <w:rFonts w:hint="eastAsia" w:ascii="宋体" w:hAnsi="宋体"/>
        </w:rPr>
        <w:t>4.乙方有义务就甲方人员任何形式的索取或收受财物行为及时向甲方（直接联系人为东莞实业投资控股集团有限公司纪检监察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spacing w:before="156" w:beforeLines="50" w:after="156" w:afterLines="50"/>
        <w:ind w:left="105" w:leftChars="50" w:firstLine="420" w:firstLineChars="200"/>
        <w:contextualSpacing/>
        <w:rPr>
          <w:rFonts w:ascii="宋体" w:hAnsi="宋体"/>
        </w:rPr>
      </w:pPr>
      <w:r>
        <w:rPr>
          <w:rFonts w:hint="eastAsia" w:ascii="宋体" w:hAnsi="宋体"/>
        </w:rPr>
        <w:t xml:space="preserve">5．甲方接受乙方实名或匿名举报，保证为举报者的信息保密，常设举报部门及电话： </w:t>
      </w:r>
    </w:p>
    <w:p>
      <w:pPr>
        <w:spacing w:before="156" w:beforeLines="50" w:after="156" w:afterLines="50"/>
        <w:ind w:left="105" w:leftChars="50" w:firstLine="420" w:firstLineChars="200"/>
        <w:contextualSpacing/>
        <w:rPr>
          <w:rFonts w:ascii="宋体" w:hAnsi="宋体"/>
        </w:rPr>
      </w:pPr>
      <w:r>
        <w:rPr>
          <w:rFonts w:hint="eastAsia" w:ascii="宋体" w:hAnsi="宋体"/>
        </w:rPr>
        <w:t>举报受理部门：东莞实业投资控股集团有限公司纪检监察部</w:t>
      </w:r>
    </w:p>
    <w:p>
      <w:pPr>
        <w:spacing w:before="156" w:beforeLines="50" w:after="156" w:afterLines="50"/>
        <w:ind w:left="105" w:leftChars="50" w:firstLine="420" w:firstLineChars="200"/>
        <w:contextualSpacing/>
        <w:rPr>
          <w:rFonts w:ascii="宋体" w:hAnsi="宋体"/>
        </w:rPr>
      </w:pPr>
      <w:r>
        <w:rPr>
          <w:rFonts w:hint="eastAsia" w:ascii="宋体" w:hAnsi="宋体"/>
        </w:rPr>
        <w:t>东实集团举报邮箱：dgsyjjjc@163.com</w:t>
      </w:r>
    </w:p>
    <w:p>
      <w:pPr>
        <w:spacing w:before="156" w:beforeLines="50" w:after="156" w:afterLines="50"/>
        <w:ind w:left="105" w:leftChars="50" w:firstLine="420" w:firstLineChars="200"/>
        <w:contextualSpacing/>
        <w:rPr>
          <w:rFonts w:ascii="宋体" w:hAnsi="宋体"/>
        </w:rPr>
      </w:pPr>
      <w:r>
        <w:rPr>
          <w:rFonts w:hint="eastAsia" w:ascii="宋体" w:hAnsi="宋体"/>
        </w:rPr>
        <w:t>东实集团举报电话：0769-28822331（周一至周五9:00-12:00和14:00-18:00）</w:t>
      </w:r>
    </w:p>
    <w:p>
      <w:pPr>
        <w:spacing w:before="156" w:beforeLines="50" w:after="156" w:afterLines="50"/>
        <w:ind w:left="105" w:leftChars="50" w:firstLine="420" w:firstLineChars="200"/>
        <w:contextualSpacing/>
        <w:rPr>
          <w:rFonts w:ascii="宋体" w:hAnsi="宋体"/>
        </w:rPr>
      </w:pPr>
      <w:r>
        <w:rPr>
          <w:rFonts w:hint="eastAsia" w:ascii="宋体" w:hAnsi="宋体"/>
        </w:rPr>
        <w:t>邮寄地址：东莞市东城区八一路1号机关二号大院9号楼204室，东莞实业投资控股集团有限公司纪检监察部收，邮编523000。</w:t>
      </w:r>
    </w:p>
    <w:p>
      <w:pPr>
        <w:widowControl/>
        <w:numPr>
          <w:ilvl w:val="0"/>
          <w:numId w:val="6"/>
        </w:numPr>
        <w:spacing w:before="156" w:beforeLines="50" w:after="156" w:afterLines="50"/>
        <w:ind w:left="0" w:firstLine="422" w:firstLineChars="200"/>
        <w:contextualSpacing/>
        <w:jc w:val="left"/>
        <w:rPr>
          <w:rFonts w:ascii="宋体" w:hAnsi="宋体"/>
          <w:b/>
        </w:rPr>
      </w:pPr>
      <w:r>
        <w:rPr>
          <w:rFonts w:hint="eastAsia" w:ascii="宋体" w:hAnsi="宋体"/>
          <w:b/>
        </w:rPr>
        <w:t>其他</w:t>
      </w:r>
    </w:p>
    <w:p>
      <w:pPr>
        <w:spacing w:before="156" w:beforeLines="50" w:after="156" w:afterLines="50"/>
        <w:ind w:left="105" w:leftChars="50" w:firstLine="420" w:firstLineChars="200"/>
        <w:contextualSpacing/>
        <w:rPr>
          <w:rFonts w:ascii="宋体" w:hAnsi="宋体"/>
        </w:rPr>
      </w:pPr>
      <w:r>
        <w:rPr>
          <w:rFonts w:hint="eastAsia" w:ascii="宋体" w:hAnsi="宋体"/>
        </w:rPr>
        <w:t>1.本协议是原合同的补充协议，与原合同有同等法律效力。</w:t>
      </w:r>
    </w:p>
    <w:p>
      <w:pPr>
        <w:spacing w:before="156" w:beforeLines="50" w:after="156" w:afterLines="50"/>
        <w:ind w:left="105" w:leftChars="50" w:firstLine="420" w:firstLineChars="200"/>
        <w:contextualSpacing/>
        <w:rPr>
          <w:rFonts w:ascii="宋体" w:hAnsi="宋体"/>
        </w:rPr>
      </w:pPr>
      <w:r>
        <w:rPr>
          <w:rFonts w:hint="eastAsia" w:ascii="宋体" w:hAnsi="宋体"/>
        </w:rPr>
        <w:t>2.</w:t>
      </w:r>
      <w:r>
        <w:rPr>
          <w:rFonts w:ascii="宋体" w:hAnsi="宋体"/>
        </w:rPr>
        <w:t>本</w:t>
      </w:r>
      <w:r>
        <w:rPr>
          <w:rFonts w:hint="eastAsia" w:ascii="宋体" w:hAnsi="宋体"/>
        </w:rPr>
        <w:t>协议</w:t>
      </w:r>
      <w:r>
        <w:rPr>
          <w:rFonts w:ascii="宋体" w:hAnsi="宋体"/>
        </w:rPr>
        <w:t>一式</w:t>
      </w:r>
      <w:r>
        <w:rPr>
          <w:rFonts w:hint="eastAsia" w:ascii="宋体" w:hAnsi="宋体"/>
        </w:rPr>
        <w:t>四</w:t>
      </w:r>
      <w:r>
        <w:rPr>
          <w:rFonts w:ascii="宋体" w:hAnsi="宋体"/>
        </w:rPr>
        <w:t>份，甲方执</w:t>
      </w:r>
      <w:r>
        <w:rPr>
          <w:rFonts w:hint="eastAsia" w:ascii="宋体" w:hAnsi="宋体"/>
        </w:rPr>
        <w:t>贰</w:t>
      </w:r>
      <w:r>
        <w:rPr>
          <w:rFonts w:ascii="宋体" w:hAnsi="宋体"/>
        </w:rPr>
        <w:t>份，乙方执</w:t>
      </w:r>
      <w:r>
        <w:rPr>
          <w:rFonts w:hint="eastAsia" w:ascii="宋体" w:hAnsi="宋体"/>
        </w:rPr>
        <w:t>贰</w:t>
      </w:r>
      <w:r>
        <w:rPr>
          <w:rFonts w:ascii="宋体" w:hAnsi="宋体"/>
        </w:rPr>
        <w:t>份</w:t>
      </w:r>
      <w:r>
        <w:rPr>
          <w:rFonts w:hint="eastAsia" w:ascii="宋体" w:hAnsi="宋体"/>
        </w:rPr>
        <w:t>,具有同等法律效力。</w:t>
      </w:r>
    </w:p>
    <w:p>
      <w:pPr>
        <w:spacing w:before="156" w:beforeLines="50" w:after="156" w:afterLines="50"/>
        <w:ind w:left="105" w:leftChars="50" w:firstLine="420" w:firstLineChars="200"/>
        <w:contextualSpacing/>
        <w:rPr>
          <w:rFonts w:ascii="宋体" w:hAnsi="宋体"/>
        </w:rPr>
      </w:pPr>
      <w:r>
        <w:rPr>
          <w:rFonts w:hint="eastAsia" w:ascii="宋体" w:hAnsi="宋体"/>
        </w:rPr>
        <w:t>3.本协议经双方签署后生效。</w:t>
      </w:r>
    </w:p>
    <w:p>
      <w:pPr>
        <w:spacing w:before="156" w:beforeLines="50" w:after="156" w:afterLines="50"/>
        <w:ind w:firstLine="420" w:firstLineChars="200"/>
        <w:contextualSpacing/>
        <w:rPr>
          <w:rFonts w:ascii="宋体" w:hAnsi="宋体"/>
        </w:rPr>
      </w:pPr>
    </w:p>
    <w:p>
      <w:pPr>
        <w:spacing w:before="156" w:beforeLines="50" w:after="156" w:afterLines="50"/>
        <w:ind w:firstLine="420" w:firstLineChars="200"/>
        <w:contextualSpacing/>
        <w:rPr>
          <w:rFonts w:ascii="宋体"/>
        </w:rPr>
      </w:pPr>
      <w:r>
        <w:rPr>
          <w:rFonts w:hint="eastAsia" w:ascii="宋体" w:hAnsi="宋体"/>
        </w:rPr>
        <w:t>甲方（盖章）：                      乙方（盖章）：</w:t>
      </w:r>
      <w:r>
        <w:rPr>
          <w:rFonts w:ascii="宋体"/>
        </w:rPr>
        <w:t xml:space="preserve"> </w:t>
      </w:r>
    </w:p>
    <w:p>
      <w:pPr>
        <w:spacing w:before="156" w:beforeLines="50" w:after="156" w:afterLines="50"/>
        <w:ind w:firstLine="420" w:firstLineChars="200"/>
        <w:contextualSpacing/>
        <w:rPr>
          <w:rFonts w:ascii="宋体" w:hAnsi="宋体"/>
        </w:rPr>
      </w:pPr>
    </w:p>
    <w:p>
      <w:pPr>
        <w:spacing w:before="156" w:beforeLines="50" w:after="156" w:afterLines="50"/>
        <w:ind w:firstLine="420" w:firstLineChars="200"/>
        <w:contextualSpacing/>
        <w:rPr>
          <w:rFonts w:ascii="宋体"/>
        </w:rPr>
      </w:pPr>
      <w:r>
        <w:rPr>
          <w:rFonts w:hint="eastAsia" w:ascii="宋体" w:hAnsi="宋体"/>
        </w:rPr>
        <w:t>法定代表人（授权代表）：</w:t>
      </w:r>
      <w:r>
        <w:rPr>
          <w:rFonts w:hint="eastAsia" w:ascii="宋体"/>
        </w:rPr>
        <w:tab/>
      </w:r>
      <w:r>
        <w:rPr>
          <w:rFonts w:hint="eastAsia" w:ascii="宋体"/>
        </w:rPr>
        <w:tab/>
      </w:r>
      <w:r>
        <w:rPr>
          <w:rFonts w:hint="eastAsia" w:ascii="宋体"/>
        </w:rPr>
        <w:t xml:space="preserve">  </w:t>
      </w:r>
      <w:r>
        <w:rPr>
          <w:rFonts w:hint="eastAsia" w:ascii="宋体"/>
        </w:rPr>
        <w:tab/>
      </w:r>
      <w:r>
        <w:rPr>
          <w:rFonts w:hint="eastAsia" w:ascii="宋体"/>
        </w:rPr>
        <w:t xml:space="preserve">   </w:t>
      </w:r>
      <w:r>
        <w:rPr>
          <w:rFonts w:hint="eastAsia" w:ascii="宋体" w:hAnsi="宋体"/>
        </w:rPr>
        <w:t>法定代表人（授权代表）：</w:t>
      </w:r>
    </w:p>
    <w:p>
      <w:pPr>
        <w:spacing w:before="156" w:beforeLines="50" w:after="156" w:afterLines="50"/>
        <w:ind w:firstLine="420" w:firstLineChars="200"/>
        <w:contextualSpacing/>
        <w:rPr>
          <w:rFonts w:ascii="宋体" w:hAnsi="宋体"/>
        </w:rPr>
      </w:pPr>
    </w:p>
    <w:p>
      <w:pPr>
        <w:spacing w:before="156" w:beforeLines="50" w:after="156" w:afterLines="50"/>
        <w:ind w:firstLine="420" w:firstLineChars="200"/>
        <w:contextualSpacing/>
      </w:pPr>
      <w:r>
        <w:rPr>
          <w:rFonts w:hint="eastAsia" w:ascii="宋体" w:hAnsi="宋体"/>
        </w:rPr>
        <w:t>签约日期：   年   月   日</w:t>
      </w:r>
      <w:bookmarkStart w:id="85" w:name="设计变更通知单"/>
      <w:bookmarkEnd w:id="85"/>
      <w:bookmarkStart w:id="86" w:name="现场签证通知单"/>
      <w:bookmarkEnd w:id="86"/>
      <w:r>
        <w:tab/>
      </w:r>
      <w:r>
        <w:t xml:space="preserve">    </w:t>
      </w:r>
      <w:r>
        <w:rPr>
          <w:rFonts w:hint="eastAsia"/>
        </w:rPr>
        <w:t xml:space="preserve">   </w:t>
      </w:r>
      <w:r>
        <w:rPr>
          <w:rFonts w:hint="eastAsia" w:ascii="宋体" w:hAnsi="宋体"/>
        </w:rPr>
        <w:t>签约日期：   年   月   日</w:t>
      </w:r>
    </w:p>
    <w:p>
      <w:pPr>
        <w:spacing w:after="0" w:line="360" w:lineRule="auto"/>
        <w:rPr>
          <w:color w:val="auto"/>
          <w:highlight w:val="none"/>
        </w:rPr>
      </w:pPr>
    </w:p>
    <w:p>
      <w:pPr>
        <w:rPr>
          <w:rFonts w:ascii="宋体" w:hAnsi="宋体" w:eastAsia="宋体"/>
          <w:b/>
          <w:color w:val="auto"/>
          <w:sz w:val="21"/>
          <w:szCs w:val="21"/>
          <w:highlight w:val="none"/>
        </w:rPr>
      </w:pPr>
    </w:p>
    <w:p>
      <w:pPr>
        <w:rPr>
          <w:rFonts w:ascii="宋体" w:hAnsi="宋体" w:eastAsia="宋体"/>
          <w:b/>
          <w:color w:val="auto"/>
          <w:sz w:val="21"/>
          <w:szCs w:val="21"/>
          <w:highlight w:val="none"/>
        </w:rPr>
      </w:pP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5"/>
        <w:spacing w:before="0" w:after="0" w:line="240" w:lineRule="auto"/>
        <w:rPr>
          <w:color w:val="auto"/>
          <w:sz w:val="28"/>
          <w:szCs w:val="28"/>
          <w:highlight w:val="none"/>
        </w:rPr>
      </w:pPr>
      <w:bookmarkStart w:id="87" w:name="_Toc74645245"/>
      <w:r>
        <w:rPr>
          <w:rFonts w:hint="eastAsia"/>
          <w:color w:val="auto"/>
          <w:sz w:val="28"/>
          <w:szCs w:val="28"/>
          <w:highlight w:val="none"/>
        </w:rPr>
        <w:t>第六部分附件－投标文件格式</w:t>
      </w:r>
      <w:bookmarkEnd w:id="87"/>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88" w:name="_Toc74645246"/>
      <w:r>
        <w:rPr>
          <w:rFonts w:hint="eastAsia" w:ascii="宋体" w:hAnsi="宋体" w:eastAsia="宋体"/>
          <w:color w:val="auto"/>
          <w:sz w:val="21"/>
          <w:szCs w:val="21"/>
          <w:highlight w:val="none"/>
        </w:rPr>
        <w:t>附件1.投标文件目录</w:t>
      </w:r>
      <w:bookmarkEnd w:id="88"/>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89" w:name="_Toc74645247"/>
      <w:r>
        <w:rPr>
          <w:rFonts w:hint="eastAsia" w:ascii="宋体" w:hAnsi="宋体" w:eastAsia="宋体"/>
          <w:color w:val="auto"/>
          <w:sz w:val="21"/>
          <w:szCs w:val="21"/>
          <w:highlight w:val="none"/>
        </w:rPr>
        <w:t>附件1-1 评分标准索引表</w:t>
      </w:r>
      <w:bookmarkEnd w:id="89"/>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trPr>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7"/>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2"/>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jc w:val="center"/>
        <w:rPr>
          <w:color w:val="auto"/>
          <w:sz w:val="44"/>
          <w:szCs w:val="44"/>
          <w:highlight w:val="none"/>
        </w:rPr>
      </w:pPr>
      <w:bookmarkStart w:id="90" w:name="_Toc18450"/>
      <w:bookmarkStart w:id="91" w:name="_Toc30918"/>
      <w:bookmarkStart w:id="92" w:name="_Toc21746"/>
      <w:bookmarkStart w:id="93" w:name="_Toc20335"/>
      <w:bookmarkStart w:id="94" w:name="_Toc28154"/>
      <w:r>
        <w:rPr>
          <w:rFonts w:hint="eastAsia" w:ascii="黑体" w:eastAsia="黑体"/>
          <w:color w:val="auto"/>
          <w:sz w:val="44"/>
          <w:szCs w:val="44"/>
          <w:highlight w:val="none"/>
        </w:rPr>
        <w:t>价格文件</w:t>
      </w:r>
      <w:bookmarkEnd w:id="90"/>
      <w:bookmarkEnd w:id="91"/>
      <w:bookmarkStart w:id="95" w:name="_Hlt10519799"/>
      <w:bookmarkEnd w:id="95"/>
      <w:bookmarkStart w:id="96" w:name="_Hlt10456397"/>
      <w:bookmarkEnd w:id="96"/>
      <w:r>
        <w:rPr>
          <w:rFonts w:hint="eastAsia" w:ascii="黑体" w:eastAsia="黑体"/>
          <w:color w:val="auto"/>
          <w:sz w:val="44"/>
          <w:szCs w:val="44"/>
          <w:highlight w:val="none"/>
        </w:rPr>
        <w:t>（单独装订成册）</w:t>
      </w:r>
      <w:bookmarkEnd w:id="92"/>
      <w:bookmarkEnd w:id="93"/>
      <w:bookmarkEnd w:id="94"/>
    </w:p>
    <w:p>
      <w:pPr>
        <w:pStyle w:val="7"/>
        <w:widowControl w:val="0"/>
        <w:overflowPunct w:val="0"/>
        <w:spacing w:before="0" w:after="0" w:line="240" w:lineRule="auto"/>
        <w:rPr>
          <w:rFonts w:ascii="宋体" w:hAnsi="宋体" w:eastAsia="宋体"/>
          <w:color w:val="auto"/>
          <w:sz w:val="21"/>
          <w:szCs w:val="21"/>
          <w:highlight w:val="none"/>
        </w:rPr>
      </w:pPr>
      <w:bookmarkStart w:id="97" w:name="_Toc74645248"/>
      <w:r>
        <w:rPr>
          <w:rFonts w:hint="eastAsia" w:ascii="宋体" w:hAnsi="宋体" w:eastAsia="宋体"/>
          <w:color w:val="auto"/>
          <w:sz w:val="21"/>
          <w:szCs w:val="21"/>
          <w:highlight w:val="none"/>
        </w:rPr>
        <w:t>附件2.</w:t>
      </w:r>
      <w:bookmarkEnd w:id="97"/>
      <w:r>
        <w:rPr>
          <w:rFonts w:hint="eastAsia" w:ascii="宋体" w:hAnsi="宋体" w:eastAsia="宋体"/>
          <w:color w:val="auto"/>
          <w:sz w:val="21"/>
          <w:szCs w:val="21"/>
          <w:highlight w:val="none"/>
        </w:rPr>
        <w:t>开标一览表格式</w:t>
      </w:r>
    </w:p>
    <w:p>
      <w:pPr>
        <w:jc w:val="center"/>
        <w:rPr>
          <w:rFonts w:ascii="黑体" w:eastAsia="黑体"/>
          <w:color w:val="auto"/>
          <w:sz w:val="32"/>
          <w:szCs w:val="32"/>
          <w:highlight w:val="none"/>
        </w:rPr>
      </w:pPr>
      <w:bookmarkStart w:id="98" w:name="_Toc74645249"/>
      <w:r>
        <w:rPr>
          <w:rFonts w:hint="eastAsia" w:ascii="黑体" w:eastAsia="黑体"/>
          <w:color w:val="auto"/>
          <w:sz w:val="32"/>
          <w:szCs w:val="32"/>
          <w:highlight w:val="none"/>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tbl>
      <w:tblPr>
        <w:tblStyle w:val="21"/>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917"/>
        <w:gridCol w:w="175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9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项目名称/包号</w:t>
            </w:r>
          </w:p>
        </w:tc>
        <w:tc>
          <w:tcPr>
            <w:tcW w:w="2917"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投标</w:t>
            </w:r>
            <w:r>
              <w:rPr>
                <w:rFonts w:hint="eastAsia" w:ascii="宋体" w:hAnsi="宋体"/>
                <w:color w:val="auto"/>
                <w:sz w:val="21"/>
                <w:szCs w:val="21"/>
                <w:highlight w:val="none"/>
                <w:lang w:val="en-US" w:eastAsia="zh-CN"/>
              </w:rPr>
              <w:t>报价</w:t>
            </w:r>
          </w:p>
        </w:tc>
        <w:tc>
          <w:tcPr>
            <w:tcW w:w="175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服务期限</w:t>
            </w:r>
          </w:p>
        </w:tc>
        <w:tc>
          <w:tcPr>
            <w:tcW w:w="1706"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962"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hint="eastAsia" w:ascii="宋体" w:hAnsi="宋体" w:eastAsia="宋体"/>
                <w:color w:val="auto"/>
                <w:sz w:val="21"/>
                <w:szCs w:val="21"/>
                <w:highlight w:val="none"/>
                <w:lang w:eastAsia="zh-CN"/>
              </w:rPr>
            </w:pPr>
            <w:r>
              <w:rPr>
                <w:rFonts w:hint="eastAsia" w:ascii="宋体" w:hAnsi="宋体" w:cs="Tahoma"/>
                <w:color w:val="auto"/>
                <w:kern w:val="28"/>
                <w:sz w:val="22"/>
                <w:szCs w:val="22"/>
                <w:highlight w:val="none"/>
                <w:lang w:eastAsia="zh-CN"/>
              </w:rPr>
              <w:t>东实集团及下属公司检测服务资格采购</w:t>
            </w:r>
          </w:p>
        </w:tc>
        <w:tc>
          <w:tcPr>
            <w:tcW w:w="2917" w:type="dxa"/>
          </w:tcPr>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olor w:val="auto"/>
                <w:sz w:val="21"/>
                <w:szCs w:val="21"/>
                <w:highlight w:val="none"/>
                <w:lang w:eastAsia="zh-CN"/>
              </w:rPr>
            </w:pPr>
            <w:r>
              <w:rPr>
                <w:rFonts w:hint="eastAsia" w:ascii="宋体" w:hAnsi="宋体" w:cs="Tahoma"/>
                <w:color w:val="auto"/>
                <w:kern w:val="28"/>
                <w:sz w:val="22"/>
                <w:szCs w:val="22"/>
                <w:highlight w:val="none"/>
              </w:rPr>
              <w:t>响应招标文件报价要</w:t>
            </w:r>
            <w:r>
              <w:rPr>
                <w:rFonts w:hint="eastAsia" w:ascii="宋体" w:hAnsi="宋体" w:cs="Tahoma"/>
                <w:color w:val="auto"/>
                <w:kern w:val="28"/>
                <w:sz w:val="22"/>
                <w:szCs w:val="22"/>
                <w:highlight w:val="none"/>
                <w:lang w:val="en-US" w:eastAsia="zh-CN"/>
              </w:rPr>
              <w:t>求，</w:t>
            </w:r>
            <w:r>
              <w:rPr>
                <w:rFonts w:hint="eastAsia" w:ascii="宋体" w:hAnsi="宋体" w:eastAsia="宋体" w:cs="宋体"/>
                <w:color w:val="auto"/>
                <w:kern w:val="28"/>
                <w:sz w:val="21"/>
                <w:szCs w:val="21"/>
                <w:highlight w:val="none"/>
              </w:rPr>
              <w:t>收费标准参照东莞市建设工程检测行业协会发布的《东莞市建设工程检测行业参考收费标准》（2020版），未函盖的部分参照《广东省房屋建筑和市政工程质量安全检测收费指导价》（粤建检协[2015]8号）</w:t>
            </w:r>
            <w:r>
              <w:rPr>
                <w:rFonts w:hint="eastAsia" w:ascii="宋体" w:hAnsi="宋体" w:cs="宋体"/>
                <w:color w:val="auto"/>
                <w:kern w:val="28"/>
                <w:sz w:val="21"/>
                <w:szCs w:val="21"/>
                <w:highlight w:val="none"/>
                <w:lang w:eastAsia="zh-CN"/>
              </w:rPr>
              <w:t>，</w:t>
            </w:r>
            <w:r>
              <w:rPr>
                <w:rFonts w:hint="eastAsia" w:ascii="宋体" w:hAnsi="宋体" w:cs="宋体"/>
                <w:color w:val="auto"/>
                <w:kern w:val="28"/>
                <w:sz w:val="21"/>
                <w:szCs w:val="21"/>
                <w:highlight w:val="none"/>
                <w:lang w:val="en-US" w:eastAsia="zh-CN"/>
              </w:rPr>
              <w:t>且</w:t>
            </w:r>
            <w:r>
              <w:rPr>
                <w:rFonts w:hint="eastAsia" w:ascii="宋体" w:hAnsi="宋体" w:eastAsia="宋体" w:cs="宋体"/>
                <w:color w:val="auto"/>
                <w:kern w:val="28"/>
                <w:sz w:val="21"/>
                <w:szCs w:val="21"/>
                <w:highlight w:val="none"/>
              </w:rPr>
              <w:t>按照收费标准固定下浮30%。</w:t>
            </w:r>
          </w:p>
        </w:tc>
        <w:tc>
          <w:tcPr>
            <w:tcW w:w="1755"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color w:val="auto"/>
                <w:sz w:val="21"/>
                <w:szCs w:val="21"/>
                <w:highlight w:val="none"/>
              </w:rPr>
            </w:pPr>
            <w:r>
              <w:rPr>
                <w:rFonts w:hint="eastAsia" w:ascii="宋体" w:hAnsi="宋体" w:eastAsia="宋体" w:cs="宋体"/>
                <w:color w:val="auto"/>
                <w:sz w:val="21"/>
                <w:szCs w:val="21"/>
                <w:highlight w:val="none"/>
              </w:rPr>
              <w:t>确认服务资格之日起三年</w:t>
            </w:r>
          </w:p>
        </w:tc>
        <w:tc>
          <w:tcPr>
            <w:tcW w:w="1706"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hint="eastAsia" w:ascii="宋体" w:hAnsi="宋体" w:eastAsia="宋体" w:cs="宋体"/>
                <w:color w:val="auto"/>
                <w:sz w:val="21"/>
                <w:szCs w:val="21"/>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57" w:leftChars="170" w:firstLine="359" w:firstLineChars="171"/>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、温馨提示：未按招标文件要求报价、填写开标一览表是导致投标人废标的常见问题，请投标人仔细填写，认真核对。</w:t>
      </w:r>
    </w:p>
    <w:p>
      <w:pPr>
        <w:pStyle w:val="28"/>
        <w:rPr>
          <w:rFonts w:hint="eastAsia" w:ascii="宋体" w:hAnsi="宋体" w:eastAsia="宋体"/>
          <w:color w:val="auto"/>
          <w:sz w:val="21"/>
          <w:szCs w:val="21"/>
          <w:highlight w:val="none"/>
        </w:rPr>
      </w:pPr>
    </w:p>
    <w:p>
      <w:pPr>
        <w:pStyle w:val="28"/>
        <w:rPr>
          <w:rFonts w:hint="eastAsia" w:ascii="宋体" w:hAnsi="宋体" w:eastAsia="宋体"/>
          <w:color w:val="auto"/>
          <w:sz w:val="21"/>
          <w:szCs w:val="21"/>
          <w:highlight w:val="none"/>
        </w:rPr>
      </w:pPr>
    </w:p>
    <w:p>
      <w:pPr>
        <w:pStyle w:val="28"/>
        <w:rPr>
          <w:rFonts w:hint="eastAsia" w:ascii="宋体" w:hAnsi="宋体" w:eastAsia="宋体"/>
          <w:color w:val="auto"/>
          <w:sz w:val="21"/>
          <w:szCs w:val="21"/>
          <w:highlight w:val="none"/>
        </w:rPr>
      </w:pPr>
    </w:p>
    <w:p>
      <w:pPr>
        <w:pStyle w:val="28"/>
        <w:ind w:left="0" w:leftChars="0" w:firstLine="0" w:firstLineChars="0"/>
        <w:rPr>
          <w:rFonts w:hint="eastAsia" w:ascii="宋体" w:hAnsi="宋体" w:eastAsia="宋体"/>
          <w:color w:val="auto"/>
          <w:sz w:val="21"/>
          <w:szCs w:val="21"/>
          <w:highlight w:val="none"/>
        </w:rPr>
      </w:pPr>
    </w:p>
    <w:p>
      <w:pPr>
        <w:jc w:val="center"/>
        <w:rPr>
          <w:rFonts w:hint="eastAsia" w:ascii="宋体" w:hAnsi="宋体" w:eastAsia="宋体"/>
          <w:color w:val="auto"/>
          <w:sz w:val="21"/>
          <w:szCs w:val="21"/>
          <w:highlight w:val="none"/>
        </w:rPr>
      </w:pPr>
      <w:r>
        <w:rPr>
          <w:rFonts w:hint="eastAsia" w:ascii="黑体" w:eastAsia="黑体"/>
          <w:color w:val="auto"/>
          <w:sz w:val="44"/>
          <w:szCs w:val="44"/>
          <w:highlight w:val="none"/>
          <w:lang w:val="en-US" w:eastAsia="zh-CN"/>
        </w:rPr>
        <w:t>商务技术</w:t>
      </w:r>
      <w:r>
        <w:rPr>
          <w:rFonts w:hint="eastAsia" w:ascii="黑体" w:eastAsia="黑体"/>
          <w:color w:val="auto"/>
          <w:sz w:val="44"/>
          <w:szCs w:val="44"/>
          <w:highlight w:val="none"/>
        </w:rPr>
        <w:t>文件（单独装订成册）</w:t>
      </w:r>
    </w:p>
    <w:p>
      <w:pPr>
        <w:pStyle w:val="7"/>
        <w:widowControl w:val="0"/>
        <w:overflowPunct w:val="0"/>
        <w:spacing w:before="0" w:after="0" w:line="240" w:lineRule="auto"/>
        <w:rPr>
          <w:color w:val="auto"/>
          <w:highlight w:val="none"/>
        </w:rPr>
      </w:pPr>
      <w:r>
        <w:rPr>
          <w:rFonts w:hint="eastAsia" w:ascii="宋体" w:hAnsi="宋体" w:eastAsia="宋体"/>
          <w:color w:val="auto"/>
          <w:sz w:val="21"/>
          <w:szCs w:val="21"/>
          <w:highlight w:val="none"/>
        </w:rPr>
        <w:t>附件3.</w:t>
      </w:r>
      <w:bookmarkEnd w:id="98"/>
      <w:r>
        <w:rPr>
          <w:rFonts w:hint="eastAsia" w:ascii="宋体" w:hAnsi="宋体"/>
          <w:color w:val="auto"/>
          <w:sz w:val="21"/>
          <w:szCs w:val="21"/>
          <w:highlight w:val="none"/>
          <w:lang w:val="en-US" w:eastAsia="zh-CN"/>
        </w:rPr>
        <w:t>投标书格式</w:t>
      </w:r>
    </w:p>
    <w:p>
      <w:pPr>
        <w:jc w:val="center"/>
        <w:rPr>
          <w:rFonts w:ascii="宋体" w:hAnsi="宋体" w:eastAsia="宋体"/>
          <w:color w:val="auto"/>
          <w:sz w:val="21"/>
          <w:szCs w:val="21"/>
          <w:highlight w:val="none"/>
        </w:rPr>
      </w:pPr>
      <w:r>
        <w:rPr>
          <w:rFonts w:hint="eastAsia" w:ascii="黑体" w:eastAsia="黑体"/>
          <w:color w:val="auto"/>
          <w:sz w:val="32"/>
          <w:szCs w:val="32"/>
          <w:highlight w:val="none"/>
        </w:rPr>
        <w:t>投标书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360" w:lineRule="auto"/>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本投标有效期为自开标日起个日历日。 </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投标人邀请中所要求的资格条件，已清楚招标文件所有要求及有关规定；并承诺参加本次采购活动中，如有违法、违规、弄虚作假行为，所造成的损失、不良后果及法律责任，一律由我方承担；</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投标人名称（全称）：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投标人银行帐号：</w:t>
      </w:r>
    </w:p>
    <w:p>
      <w:pPr>
        <w:spacing w:after="0" w:line="360" w:lineRule="auto"/>
        <w:rPr>
          <w:color w:val="auto"/>
          <w:highlight w:val="none"/>
        </w:rPr>
      </w:pPr>
      <w:r>
        <w:rPr>
          <w:rFonts w:hint="eastAsia" w:ascii="宋体" w:hAnsi="宋体" w:eastAsia="宋体"/>
          <w:color w:val="auto"/>
          <w:sz w:val="21"/>
          <w:szCs w:val="21"/>
          <w:highlight w:val="none"/>
        </w:rPr>
        <w:t>日期：</w:t>
      </w:r>
      <w:r>
        <w:rPr>
          <w:color w:val="auto"/>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99" w:name="_Toc74645251"/>
      <w:r>
        <w:rPr>
          <w:rFonts w:hint="eastAsia" w:ascii="宋体" w:hAnsi="宋体" w:eastAsia="宋体"/>
          <w:color w:val="auto"/>
          <w:sz w:val="21"/>
          <w:szCs w:val="21"/>
          <w:highlight w:val="none"/>
        </w:rPr>
        <w:t>附件</w:t>
      </w:r>
      <w:r>
        <w:rPr>
          <w:rFonts w:hint="eastAsia" w:ascii="宋体" w:hAnsi="宋体"/>
          <w:color w:val="auto"/>
          <w:sz w:val="21"/>
          <w:szCs w:val="21"/>
          <w:highlight w:val="none"/>
          <w:lang w:val="en-US" w:eastAsia="zh-CN"/>
        </w:rPr>
        <w:t>4</w:t>
      </w:r>
      <w:r>
        <w:rPr>
          <w:rFonts w:hint="eastAsia" w:ascii="宋体" w:hAnsi="宋体" w:eastAsia="宋体"/>
          <w:color w:val="auto"/>
          <w:sz w:val="21"/>
          <w:szCs w:val="21"/>
          <w:highlight w:val="none"/>
        </w:rPr>
        <w:t>. 法定代表人证明书格式</w:t>
      </w:r>
      <w:bookmarkEnd w:id="99"/>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34"/>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4"/>
        <w:spacing w:line="420" w:lineRule="atLeast"/>
        <w:ind w:firstLine="433"/>
        <w:rPr>
          <w:rFonts w:ascii="宋体" w:eastAsia="宋体"/>
          <w:color w:val="auto"/>
          <w:sz w:val="21"/>
          <w:szCs w:val="21"/>
          <w:highlight w:val="none"/>
        </w:rPr>
      </w:pPr>
    </w:p>
    <w:p>
      <w:pPr>
        <w:pStyle w:val="34"/>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34"/>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34"/>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34"/>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pPr>
        <w:pStyle w:val="34"/>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pPr>
        <w:pStyle w:val="34"/>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pPr>
        <w:pStyle w:val="34"/>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34"/>
        <w:spacing w:line="500" w:lineRule="atLeast"/>
        <w:ind w:firstLine="3517" w:firstLineChars="1675"/>
        <w:rPr>
          <w:rFonts w:ascii="宋体" w:eastAsia="宋体"/>
          <w:color w:val="auto"/>
          <w:sz w:val="21"/>
          <w:szCs w:val="21"/>
          <w:highlight w:val="none"/>
        </w:rPr>
      </w:pP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34"/>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pPr>
        <w:pStyle w:val="34"/>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21"/>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34"/>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34"/>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7"/>
        <w:widowControl w:val="0"/>
        <w:overflowPunct w:val="0"/>
        <w:spacing w:before="0" w:after="0" w:line="240" w:lineRule="auto"/>
        <w:rPr>
          <w:color w:val="auto"/>
          <w:highlight w:val="none"/>
        </w:rPr>
      </w:pPr>
      <w:bookmarkStart w:id="100" w:name="_Toc74645252"/>
      <w:r>
        <w:rPr>
          <w:rFonts w:hint="eastAsia" w:ascii="宋体" w:hAnsi="宋体" w:eastAsia="宋体"/>
          <w:color w:val="auto"/>
          <w:sz w:val="21"/>
          <w:szCs w:val="21"/>
          <w:highlight w:val="none"/>
        </w:rPr>
        <w:t>附件</w:t>
      </w: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.法定代表人授权书格式</w:t>
      </w:r>
      <w:bookmarkEnd w:id="100"/>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34"/>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4"/>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34"/>
        <w:spacing w:line="500" w:lineRule="atLeast"/>
        <w:ind w:firstLine="3517" w:firstLineChars="1675"/>
        <w:rPr>
          <w:rFonts w:ascii="宋体" w:eastAsia="宋体"/>
          <w:color w:val="auto"/>
          <w:sz w:val="21"/>
          <w:szCs w:val="21"/>
          <w:highlight w:val="none"/>
        </w:rPr>
      </w:pP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4"/>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34"/>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34"/>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4"/>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21"/>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34"/>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34"/>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101" w:name="_Toc22486"/>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02" w:name="_Toc74645253"/>
      <w:r>
        <w:rPr>
          <w:rFonts w:hint="eastAsia" w:ascii="宋体" w:hAnsi="宋体" w:eastAsia="宋体"/>
          <w:color w:val="auto"/>
          <w:sz w:val="21"/>
          <w:szCs w:val="21"/>
          <w:highlight w:val="none"/>
        </w:rPr>
        <w:t>附件</w:t>
      </w: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.资格申明</w:t>
      </w:r>
      <w:bookmarkEnd w:id="102"/>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34"/>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lang w:eastAsia="zh-CN"/>
        </w:rPr>
        <w:t>广东政通招标有限公司</w:t>
      </w:r>
      <w:r>
        <w:rPr>
          <w:rFonts w:hint="eastAsia" w:ascii="宋体" w:eastAsia="宋体"/>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一、我方具备投标人邀请中所要求得资格条件，已清楚招标文件所有要求及有关规定；并承诺参加本次采购活动中，如有违法、违规、弄虚作假行为，所造成的损失、不良后果及法律责任，一律由我方承担；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34"/>
        <w:spacing w:line="500" w:lineRule="atLeast"/>
        <w:ind w:firstLine="3517" w:firstLineChars="1675"/>
        <w:rPr>
          <w:rFonts w:ascii="宋体" w:eastAsia="宋体"/>
          <w:color w:val="auto"/>
          <w:sz w:val="21"/>
          <w:szCs w:val="21"/>
          <w:highlight w:val="none"/>
        </w:rPr>
      </w:pPr>
    </w:p>
    <w:p>
      <w:pPr>
        <w:pStyle w:val="34"/>
        <w:spacing w:line="500" w:lineRule="atLeast"/>
        <w:ind w:firstLine="3517" w:firstLineChars="1675"/>
        <w:rPr>
          <w:rFonts w:ascii="宋体" w:eastAsia="宋体"/>
          <w:color w:val="auto"/>
          <w:sz w:val="21"/>
          <w:szCs w:val="21"/>
          <w:highlight w:val="none"/>
        </w:rPr>
      </w:pPr>
    </w:p>
    <w:p>
      <w:pPr>
        <w:pStyle w:val="34"/>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4"/>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pPr>
        <w:pStyle w:val="34"/>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4"/>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03" w:name="_Toc74645254"/>
      <w:r>
        <w:rPr>
          <w:rFonts w:hint="eastAsia" w:ascii="宋体" w:hAnsi="宋体" w:eastAsia="宋体"/>
          <w:color w:val="auto"/>
          <w:sz w:val="21"/>
          <w:szCs w:val="21"/>
          <w:highlight w:val="none"/>
        </w:rPr>
        <w:t>附件</w:t>
      </w:r>
      <w:r>
        <w:rPr>
          <w:rFonts w:hint="eastAsia" w:ascii="宋体" w:hAnsi="宋体"/>
          <w:color w:val="auto"/>
          <w:sz w:val="21"/>
          <w:szCs w:val="21"/>
          <w:highlight w:val="none"/>
          <w:lang w:val="en-US" w:eastAsia="zh-CN"/>
        </w:rPr>
        <w:t>7</w:t>
      </w:r>
      <w:r>
        <w:rPr>
          <w:rFonts w:hint="eastAsia" w:ascii="宋体" w:hAnsi="宋体" w:eastAsia="宋体"/>
          <w:color w:val="auto"/>
          <w:sz w:val="21"/>
          <w:szCs w:val="21"/>
          <w:highlight w:val="none"/>
        </w:rPr>
        <w:t>.营业执照</w:t>
      </w:r>
      <w:bookmarkEnd w:id="103"/>
    </w:p>
    <w:p>
      <w:pPr>
        <w:jc w:val="center"/>
        <w:rPr>
          <w:rFonts w:ascii="黑体" w:eastAsia="黑体"/>
          <w:color w:val="auto"/>
          <w:sz w:val="28"/>
          <w:szCs w:val="28"/>
          <w:highlight w:val="none"/>
        </w:rPr>
      </w:pPr>
      <w:bookmarkStart w:id="104" w:name="_Toc4926"/>
      <w:bookmarkStart w:id="105" w:name="_Toc1511"/>
      <w:bookmarkStart w:id="106" w:name="_Toc17470"/>
      <w:bookmarkStart w:id="107" w:name="_Toc5919"/>
      <w:bookmarkStart w:id="108" w:name="_Toc24210"/>
      <w:r>
        <w:rPr>
          <w:rFonts w:hint="eastAsia" w:ascii="黑体" w:eastAsia="黑体"/>
          <w:color w:val="auto"/>
          <w:sz w:val="28"/>
          <w:szCs w:val="28"/>
          <w:highlight w:val="none"/>
        </w:rPr>
        <w:t>营业执照</w:t>
      </w:r>
      <w:bookmarkEnd w:id="104"/>
      <w:bookmarkEnd w:id="105"/>
      <w:bookmarkEnd w:id="106"/>
      <w:bookmarkEnd w:id="107"/>
      <w:bookmarkEnd w:id="108"/>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09" w:name="_Toc74645255"/>
      <w:r>
        <w:rPr>
          <w:rFonts w:hint="eastAsia" w:ascii="宋体" w:hAnsi="宋体" w:eastAsia="宋体"/>
          <w:color w:val="auto"/>
          <w:sz w:val="21"/>
          <w:szCs w:val="21"/>
          <w:highlight w:val="none"/>
        </w:rPr>
        <w:t>附件</w:t>
      </w:r>
      <w:r>
        <w:rPr>
          <w:rFonts w:hint="eastAsia" w:ascii="宋体" w:hAnsi="宋体"/>
          <w:color w:val="auto"/>
          <w:sz w:val="21"/>
          <w:szCs w:val="21"/>
          <w:highlight w:val="none"/>
          <w:lang w:val="en-US" w:eastAsia="zh-CN"/>
        </w:rPr>
        <w:t>8</w:t>
      </w:r>
      <w:r>
        <w:rPr>
          <w:rFonts w:hint="eastAsia" w:ascii="宋体" w:hAnsi="宋体" w:eastAsia="宋体"/>
          <w:color w:val="auto"/>
          <w:sz w:val="21"/>
          <w:szCs w:val="21"/>
          <w:highlight w:val="none"/>
        </w:rPr>
        <w:t>.相关资质证明文件</w:t>
      </w:r>
      <w:bookmarkEnd w:id="109"/>
    </w:p>
    <w:p>
      <w:pPr>
        <w:rPr>
          <w:color w:val="auto"/>
          <w:highlight w:val="none"/>
        </w:rPr>
      </w:pPr>
    </w:p>
    <w:p>
      <w:pPr>
        <w:jc w:val="center"/>
        <w:rPr>
          <w:rFonts w:ascii="黑体" w:eastAsia="黑体"/>
          <w:color w:val="auto"/>
          <w:sz w:val="28"/>
          <w:szCs w:val="28"/>
          <w:highlight w:val="none"/>
        </w:rPr>
      </w:pPr>
      <w:bookmarkStart w:id="110" w:name="_Toc16233"/>
      <w:bookmarkStart w:id="111" w:name="_Toc16698"/>
      <w:bookmarkStart w:id="112" w:name="_Toc30307"/>
      <w:bookmarkStart w:id="113" w:name="_Toc13458"/>
      <w:bookmarkStart w:id="114" w:name="_Toc9592"/>
      <w:r>
        <w:rPr>
          <w:rFonts w:hint="eastAsia" w:ascii="黑体" w:eastAsia="黑体"/>
          <w:color w:val="auto"/>
          <w:sz w:val="28"/>
          <w:szCs w:val="28"/>
          <w:highlight w:val="none"/>
        </w:rPr>
        <w:t>相关资质证明文件</w:t>
      </w:r>
      <w:bookmarkEnd w:id="101"/>
      <w:bookmarkEnd w:id="110"/>
      <w:bookmarkEnd w:id="111"/>
      <w:bookmarkEnd w:id="112"/>
      <w:bookmarkEnd w:id="113"/>
      <w:bookmarkEnd w:id="114"/>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15" w:name="_Toc74645256"/>
      <w:r>
        <w:rPr>
          <w:rFonts w:hint="eastAsia" w:ascii="宋体" w:hAnsi="宋体" w:eastAsia="宋体"/>
          <w:color w:val="auto"/>
          <w:sz w:val="21"/>
          <w:szCs w:val="21"/>
          <w:highlight w:val="none"/>
        </w:rPr>
        <w:t>附件</w:t>
      </w:r>
      <w:r>
        <w:rPr>
          <w:rFonts w:hint="eastAsia" w:ascii="宋体" w:hAnsi="宋体"/>
          <w:color w:val="auto"/>
          <w:sz w:val="21"/>
          <w:szCs w:val="21"/>
          <w:highlight w:val="none"/>
          <w:lang w:val="en-US" w:eastAsia="zh-CN"/>
        </w:rPr>
        <w:t>9</w:t>
      </w:r>
      <w:r>
        <w:rPr>
          <w:rFonts w:hint="eastAsia" w:ascii="宋体" w:hAnsi="宋体" w:eastAsia="宋体"/>
          <w:color w:val="auto"/>
          <w:sz w:val="21"/>
          <w:szCs w:val="21"/>
          <w:highlight w:val="none"/>
        </w:rPr>
        <w:t>. 商务条款偏离表格式</w:t>
      </w:r>
      <w:bookmarkEnd w:id="115"/>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21"/>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2、商务条款包括但不限于合格投标人资格、付款方式、履约保证金、完工期、售后服务、检验及验收、保险、争端的解决等要求。</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3、投标人若未填写完整则视为完全响应招标文件的商务要求，因此对投标人投标产生负面影响的，投标人自行承担后果。</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16" w:name="_Toc74645257"/>
      <w:r>
        <w:rPr>
          <w:rFonts w:hint="eastAsia" w:ascii="宋体" w:hAnsi="宋体" w:eastAsia="宋体"/>
          <w:color w:val="auto"/>
          <w:sz w:val="21"/>
          <w:szCs w:val="21"/>
          <w:highlight w:val="none"/>
        </w:rPr>
        <w:t>附件1</w:t>
      </w:r>
      <w:r>
        <w:rPr>
          <w:rFonts w:hint="eastAsia" w:ascii="宋体" w:hAnsi="宋体"/>
          <w:color w:val="auto"/>
          <w:sz w:val="21"/>
          <w:szCs w:val="21"/>
          <w:highlight w:val="none"/>
          <w:lang w:val="en-US" w:eastAsia="zh-CN"/>
        </w:rPr>
        <w:t>0</w:t>
      </w:r>
      <w:r>
        <w:rPr>
          <w:rFonts w:hint="eastAsia" w:ascii="宋体" w:hAnsi="宋体" w:eastAsia="宋体"/>
          <w:color w:val="auto"/>
          <w:sz w:val="21"/>
          <w:szCs w:val="21"/>
          <w:highlight w:val="none"/>
        </w:rPr>
        <w:t>. 技术规格偏离表格式</w:t>
      </w:r>
      <w:bookmarkEnd w:id="116"/>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90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7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投标人应对照招标文件技术规格，说明所提供服务已对招标文件的技术规格做出了实质性的响应，并申明与技术规格条文的偏差和例外。特别对有具体参数要求的指标，投标人必须提供所投设备的具体参数值。</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3、投标人若未填写完整则视为完全响应招标文件的技术要求，因此对投标人投标产生负面影响的，投标人自行承担后果。</w:t>
      </w: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117" w:name="_Toc17691"/>
      <w:r>
        <w:rPr>
          <w:rFonts w:hint="eastAsia" w:ascii="宋体" w:hAnsi="宋体" w:eastAsia="宋体"/>
          <w:color w:val="auto"/>
          <w:sz w:val="21"/>
          <w:szCs w:val="21"/>
          <w:highlight w:val="none"/>
        </w:rPr>
        <w:br w:type="page"/>
      </w:r>
    </w:p>
    <w:bookmarkEnd w:id="117"/>
    <w:p>
      <w:pPr>
        <w:pStyle w:val="7"/>
        <w:widowControl w:val="0"/>
        <w:overflowPunct w:val="0"/>
        <w:spacing w:before="0" w:after="0" w:line="240" w:lineRule="auto"/>
        <w:rPr>
          <w:rFonts w:ascii="宋体" w:hAnsi="宋体" w:eastAsia="宋体"/>
          <w:color w:val="auto"/>
          <w:sz w:val="30"/>
          <w:szCs w:val="30"/>
          <w:highlight w:val="none"/>
        </w:rPr>
      </w:pPr>
      <w:bookmarkStart w:id="118" w:name="_Toc74645262"/>
      <w:r>
        <w:rPr>
          <w:rFonts w:hint="eastAsia" w:ascii="宋体" w:hAnsi="宋体" w:eastAsia="宋体"/>
          <w:color w:val="auto"/>
          <w:sz w:val="21"/>
          <w:szCs w:val="21"/>
          <w:highlight w:val="none"/>
        </w:rPr>
        <w:t>附件1</w:t>
      </w: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.业绩表</w:t>
      </w:r>
      <w:bookmarkEnd w:id="118"/>
    </w:p>
    <w:p>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22"/>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697"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706"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697" w:type="dxa"/>
            <w:vAlign w:val="center"/>
          </w:tcPr>
          <w:p>
            <w:pPr>
              <w:adjustRightInd/>
              <w:snapToGrid/>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bl>
    <w:p>
      <w:pPr>
        <w:pStyle w:val="31"/>
        <w:spacing w:after="0"/>
        <w:rPr>
          <w:rFonts w:ascii="宋体" w:hAnsi="宋体" w:eastAsia="宋体"/>
          <w:color w:val="auto"/>
          <w:sz w:val="21"/>
          <w:szCs w:val="21"/>
          <w:highlight w:val="none"/>
        </w:rPr>
      </w:pPr>
    </w:p>
    <w:p>
      <w:pPr>
        <w:pStyle w:val="31"/>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1"/>
        <w:numPr>
          <w:ilvl w:val="0"/>
          <w:numId w:val="9"/>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31"/>
        <w:numPr>
          <w:ilvl w:val="0"/>
          <w:numId w:val="9"/>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31"/>
        <w:numPr>
          <w:ilvl w:val="0"/>
          <w:numId w:val="9"/>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19" w:name="_Toc74645263"/>
      <w:r>
        <w:rPr>
          <w:rFonts w:hint="eastAsia" w:ascii="宋体" w:hAnsi="宋体" w:eastAsia="宋体"/>
          <w:color w:val="auto"/>
          <w:sz w:val="21"/>
          <w:szCs w:val="21"/>
          <w:highlight w:val="none"/>
        </w:rPr>
        <w:t>附件1</w:t>
      </w: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 项目实施方案格式</w:t>
      </w:r>
      <w:bookmarkEnd w:id="119"/>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1、为完成本项目投标人临时投入的设备</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2、为完成本项目投标人投入的人员以及具体工作安排</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3、投标人为本项目制定的具体项目实施方案与项目实施流程</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after="0" w:line="360" w:lineRule="auto"/>
        <w:ind w:left="71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自行编写。</w:t>
      </w: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20" w:name="_Toc74645264"/>
      <w:r>
        <w:rPr>
          <w:rFonts w:hint="eastAsia" w:ascii="宋体" w:hAnsi="宋体" w:eastAsia="宋体"/>
          <w:color w:val="auto"/>
          <w:sz w:val="21"/>
          <w:szCs w:val="21"/>
          <w:highlight w:val="none"/>
        </w:rPr>
        <w:t>附件1</w:t>
      </w: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 实施本项目的有关人员资料表格式</w:t>
      </w:r>
      <w:bookmarkEnd w:id="120"/>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21"/>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22"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392"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763"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708"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851"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850"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788"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1090" w:type="dxa"/>
            <w:tcBorders>
              <w:right w:val="single" w:color="auto" w:sz="6" w:space="0"/>
            </w:tcBorders>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1"/>
        <w:numPr>
          <w:ilvl w:val="0"/>
          <w:numId w:val="10"/>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投标人可按项目的实际需要提供本表格。</w:t>
      </w:r>
    </w:p>
    <w:p>
      <w:pPr>
        <w:pStyle w:val="31"/>
        <w:numPr>
          <w:ilvl w:val="0"/>
          <w:numId w:val="10"/>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spacing w:after="0" w:line="360" w:lineRule="auto"/>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3、投标人若未提供或未填写完整则视为完全响应招标文件的人员要求，因此对投标人投标产生负面影响的，投标人自行承担后果。</w:t>
      </w:r>
    </w:p>
    <w:p>
      <w:pPr>
        <w:pStyle w:val="31"/>
        <w:numPr>
          <w:ilvl w:val="0"/>
          <w:numId w:val="10"/>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楷体_GB2312" w:eastAsia="楷体_GB2312"/>
          <w:color w:val="auto"/>
          <w:sz w:val="24"/>
          <w:highlight w:val="none"/>
        </w:rPr>
      </w:pPr>
      <w:bookmarkStart w:id="121" w:name="_Toc74645266"/>
      <w:r>
        <w:rPr>
          <w:rFonts w:hint="eastAsia" w:ascii="宋体" w:hAnsi="宋体" w:eastAsia="宋体"/>
          <w:color w:val="auto"/>
          <w:sz w:val="21"/>
          <w:szCs w:val="21"/>
          <w:highlight w:val="none"/>
        </w:rPr>
        <w:t>附件1</w:t>
      </w:r>
      <w:r>
        <w:rPr>
          <w:rFonts w:hint="eastAsia" w:ascii="宋体" w:hAnsi="宋体"/>
          <w:color w:val="auto"/>
          <w:sz w:val="21"/>
          <w:szCs w:val="21"/>
          <w:highlight w:val="none"/>
          <w:lang w:val="en-US" w:eastAsia="zh-CN"/>
        </w:rPr>
        <w:t>4</w:t>
      </w:r>
      <w:r>
        <w:rPr>
          <w:rFonts w:hint="eastAsia" w:ascii="宋体" w:hAnsi="宋体" w:eastAsia="宋体"/>
          <w:color w:val="auto"/>
          <w:sz w:val="21"/>
          <w:szCs w:val="21"/>
          <w:highlight w:val="none"/>
        </w:rPr>
        <w:t>.在经营活动中没有重大违法记录的书面声明格式</w:t>
      </w:r>
      <w:bookmarkEnd w:id="121"/>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投标人在经营活动中前三年内未有重大违法记录、没有不良信用记录的声明函</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广东政通招标有限公司</w:t>
      </w:r>
      <w:r>
        <w:rPr>
          <w:rFonts w:hint="eastAsia" w:ascii="宋体" w:hAnsi="宋体" w:eastAsia="宋体" w:cs="宋体"/>
          <w:color w:val="auto"/>
          <w:sz w:val="21"/>
          <w:szCs w:val="21"/>
          <w:highlight w:val="none"/>
        </w:rPr>
        <w:t>：</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rFonts w:ascii="楷体_GB2312" w:eastAsia="楷体_GB2312" w:hAnsiTheme="majorHAnsi" w:cstheme="majorBidi"/>
          <w:b/>
          <w:bCs/>
          <w:color w:val="auto"/>
          <w:sz w:val="24"/>
          <w:szCs w:val="28"/>
          <w:highlight w:val="none"/>
        </w:rPr>
      </w:pPr>
      <w:bookmarkStart w:id="122" w:name="_Toc417907703"/>
      <w:r>
        <w:rPr>
          <w:rFonts w:ascii="楷体_GB2312" w:eastAsia="楷体_GB2312"/>
          <w:color w:val="auto"/>
          <w:sz w:val="24"/>
          <w:highlight w:val="none"/>
        </w:rPr>
        <w:br w:type="page"/>
      </w:r>
    </w:p>
    <w:bookmarkEnd w:id="122"/>
    <w:p>
      <w:pPr>
        <w:pStyle w:val="7"/>
        <w:widowControl w:val="0"/>
        <w:overflowPunct w:val="0"/>
        <w:spacing w:before="0" w:after="0" w:line="240" w:lineRule="auto"/>
        <w:rPr>
          <w:color w:val="auto"/>
          <w:highlight w:val="none"/>
        </w:rPr>
      </w:pPr>
      <w:bookmarkStart w:id="123" w:name="_Toc74645267"/>
      <w:r>
        <w:rPr>
          <w:rFonts w:hint="eastAsia" w:ascii="宋体" w:hAnsi="宋体" w:eastAsia="宋体"/>
          <w:color w:val="auto"/>
          <w:sz w:val="21"/>
          <w:szCs w:val="21"/>
          <w:highlight w:val="none"/>
        </w:rPr>
        <w:t>附件1</w:t>
      </w: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 投标保证金汇入情况说明格式</w:t>
      </w:r>
      <w:bookmarkEnd w:id="123"/>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本单位已按项目包（采购项目编号：）的招标文件要求，于年月日前以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方式汇入指定帐户（帐户名称：，帐号： ,开户银行：）。</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本单位投标保证金的汇款情况：（详见附件－投标保证金进帐单）</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汇出时间：年月日；</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汇款金额：（大写）人民币元（小写：￥元），</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（必须是投标时使用的帐户名）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（必须是投标时使用的帐号）     </w:t>
      </w:r>
    </w:p>
    <w:p>
      <w:pPr>
        <w:spacing w:after="0" w:line="48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投标保证金退回时，请按上述资料退回。</w:t>
      </w:r>
    </w:p>
    <w:p>
      <w:pPr>
        <w:spacing w:after="0" w:line="480" w:lineRule="auto"/>
        <w:ind w:right="84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28" w:rightChars="299"/>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 联系人手机：</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附：我方投标保证金汇款凭证</w:t>
      </w:r>
    </w:p>
    <w:tbl>
      <w:tblPr>
        <w:tblStyle w:val="2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复印件，并在骑缝上加盖投标人公章，或是直接把转账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pStyle w:val="7"/>
        <w:numPr>
          <w:ilvl w:val="-1"/>
          <w:numId w:val="0"/>
        </w:numPr>
        <w:tabs>
          <w:tab w:val="left" w:pos="720"/>
          <w:tab w:val="left" w:pos="3840"/>
        </w:tabs>
        <w:snapToGrid w:val="0"/>
        <w:spacing w:before="0" w:after="0" w:line="360" w:lineRule="auto"/>
        <w:ind w:left="283" w:firstLine="0"/>
        <w:jc w:val="both"/>
        <w:outlineLvl w:val="3"/>
        <w:rPr>
          <w:rFonts w:hint="eastAsia" w:ascii="宋体" w:hAnsi="宋体" w:cstheme="majorBidi"/>
          <w:color w:val="auto"/>
          <w:sz w:val="21"/>
          <w:szCs w:val="21"/>
          <w:highlight w:val="none"/>
        </w:rPr>
      </w:pPr>
      <w:bookmarkStart w:id="124" w:name="_Toc28623"/>
      <w:bookmarkStart w:id="125" w:name="_Toc19947"/>
      <w:bookmarkStart w:id="126" w:name="_Toc25861"/>
      <w:bookmarkStart w:id="127" w:name="_Toc2144"/>
      <w:bookmarkStart w:id="128" w:name="_Toc18296"/>
      <w:bookmarkStart w:id="129" w:name="_Toc17028"/>
      <w:bookmarkStart w:id="130" w:name="_Toc29855"/>
      <w:bookmarkStart w:id="131" w:name="_Toc14605"/>
      <w:bookmarkStart w:id="132" w:name="_Toc4866"/>
      <w:bookmarkStart w:id="133" w:name="_Toc1562"/>
      <w:r>
        <w:rPr>
          <w:rFonts w:hint="eastAsia" w:ascii="宋体" w:hAnsi="宋体" w:cstheme="majorBidi"/>
          <w:color w:val="auto"/>
          <w:sz w:val="21"/>
          <w:szCs w:val="21"/>
          <w:highlight w:val="none"/>
          <w:lang w:val="en-US" w:eastAsia="zh-CN"/>
        </w:rPr>
        <w:t>附件16.</w:t>
      </w:r>
      <w:r>
        <w:rPr>
          <w:rFonts w:hint="eastAsia" w:ascii="宋体" w:hAnsi="宋体" w:cstheme="majorBidi"/>
          <w:color w:val="auto"/>
          <w:sz w:val="21"/>
          <w:szCs w:val="21"/>
          <w:highlight w:val="none"/>
        </w:rPr>
        <w:t>不可撤销履约保函</w:t>
      </w:r>
      <w:bookmarkEnd w:id="124"/>
      <w:bookmarkEnd w:id="125"/>
      <w:bookmarkEnd w:id="126"/>
      <w:bookmarkEnd w:id="127"/>
      <w:bookmarkEnd w:id="128"/>
      <w:bookmarkEnd w:id="129"/>
      <w:bookmarkEnd w:id="130"/>
      <w:bookmarkEnd w:id="131"/>
      <w:bookmarkEnd w:id="132"/>
      <w:bookmarkEnd w:id="133"/>
    </w:p>
    <w:p>
      <w:pPr>
        <w:spacing w:line="360" w:lineRule="auto"/>
        <w:jc w:val="center"/>
        <w:rPr>
          <w:rFonts w:hint="eastAsia" w:ascii="宋体" w:hAnsi="宋体"/>
          <w:color w:val="auto"/>
          <w:highlight w:val="none"/>
        </w:rPr>
      </w:pPr>
      <w:r>
        <w:rPr>
          <w:rFonts w:hint="eastAsia" w:ascii="宋体" w:hAnsi="宋体"/>
          <w:color w:val="auto"/>
          <w:highlight w:val="none"/>
        </w:rPr>
        <w:t>银行编号：</w:t>
      </w:r>
    </w:p>
    <w:p>
      <w:pPr>
        <w:spacing w:line="360" w:lineRule="auto"/>
        <w:rPr>
          <w:rFonts w:hint="eastAsia" w:ascii="宋体" w:hAnsi="宋体"/>
          <w:color w:val="auto"/>
          <w:highlight w:val="none"/>
        </w:rPr>
      </w:pPr>
      <w:r>
        <w:rPr>
          <w:rFonts w:ascii="宋体" w:hAnsi="宋体"/>
          <w:color w:val="auto"/>
          <w:highlight w:val="none"/>
        </w:rPr>
        <w:t>致：</w:t>
      </w:r>
      <w:r>
        <w:rPr>
          <w:rFonts w:hint="eastAsia" w:ascii="宋体" w:hAnsi="宋体"/>
          <w:color w:val="auto"/>
          <w:highlight w:val="none"/>
          <w:u w:val="single"/>
        </w:rPr>
        <w:t xml:space="preserve">                        </w:t>
      </w:r>
      <w:r>
        <w:rPr>
          <w:rFonts w:hint="eastAsia" w:ascii="宋体" w:hAnsi="宋体"/>
          <w:color w:val="auto"/>
          <w:highlight w:val="none"/>
        </w:rPr>
        <w:t>（</w:t>
      </w:r>
      <w:r>
        <w:rPr>
          <w:rFonts w:hint="eastAsia"/>
          <w:color w:val="auto"/>
          <w:highlight w:val="none"/>
        </w:rPr>
        <w:t>采购人</w:t>
      </w:r>
      <w:r>
        <w:rPr>
          <w:rFonts w:hint="eastAsia" w:ascii="宋体" w:hAnsi="宋体"/>
          <w:color w:val="auto"/>
          <w:highlight w:val="none"/>
        </w:rPr>
        <w:t>）</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鉴于</w:t>
      </w:r>
      <w:r>
        <w:rPr>
          <w:rFonts w:hint="eastAsia" w:ascii="宋体" w:hAnsi="宋体"/>
          <w:color w:val="auto"/>
          <w:highlight w:val="none"/>
          <w:u w:val="single"/>
        </w:rPr>
        <w:t xml:space="preserve">         （地址：          ，下称 “中标人” ）</w:t>
      </w:r>
      <w:r>
        <w:rPr>
          <w:rFonts w:hint="eastAsia" w:ascii="宋体" w:hAnsi="宋体"/>
          <w:color w:val="auto"/>
          <w:highlight w:val="none"/>
        </w:rPr>
        <w:t>已保证按</w:t>
      </w:r>
      <w:r>
        <w:rPr>
          <w:rFonts w:hint="eastAsia" w:ascii="宋体" w:hAnsi="宋体"/>
          <w:color w:val="auto"/>
          <w:highlight w:val="none"/>
          <w:u w:val="single"/>
          <w:lang w:val="en-US" w:eastAsia="zh-CN"/>
        </w:rPr>
        <w:t xml:space="preserve">        承</w:t>
      </w:r>
      <w:r>
        <w:rPr>
          <w:rFonts w:hint="eastAsia" w:ascii="宋体" w:hAnsi="宋体"/>
          <w:color w:val="auto"/>
          <w:highlight w:val="none"/>
          <w:u w:val="single"/>
        </w:rPr>
        <w:t>包合同书（合同编号：    ）</w:t>
      </w:r>
      <w:r>
        <w:rPr>
          <w:rFonts w:hint="eastAsia" w:ascii="宋体" w:hAnsi="宋体"/>
          <w:color w:val="auto"/>
          <w:highlight w:val="none"/>
        </w:rPr>
        <w:t>中规定的义务履行合同。</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根据上述合同约定，中标人应向</w:t>
      </w:r>
      <w:r>
        <w:rPr>
          <w:rFonts w:hint="eastAsia"/>
          <w:color w:val="auto"/>
          <w:highlight w:val="none"/>
        </w:rPr>
        <w:t>采购人</w:t>
      </w:r>
      <w:r>
        <w:rPr>
          <w:rFonts w:hint="eastAsia" w:ascii="宋体" w:hAnsi="宋体"/>
          <w:color w:val="auto"/>
          <w:highlight w:val="none"/>
        </w:rPr>
        <w:t>提供一份金额为合同总价的10%即</w:t>
      </w:r>
      <w:r>
        <w:rPr>
          <w:rFonts w:hint="eastAsia" w:ascii="宋体" w:hAnsi="宋体"/>
          <w:color w:val="auto"/>
          <w:highlight w:val="none"/>
          <w:u w:val="single"/>
        </w:rPr>
        <w:t>人民币      （RMB    元）</w:t>
      </w:r>
      <w:r>
        <w:rPr>
          <w:rFonts w:hint="eastAsia" w:ascii="宋体" w:hAnsi="宋体"/>
          <w:color w:val="auto"/>
          <w:highlight w:val="none"/>
        </w:rPr>
        <w:t>的</w:t>
      </w:r>
      <w:r>
        <w:rPr>
          <w:rFonts w:hint="eastAsia" w:ascii="宋体" w:hAnsi="宋体"/>
          <w:bCs/>
          <w:color w:val="auto"/>
          <w:highlight w:val="none"/>
        </w:rPr>
        <w:t>不可撤销</w:t>
      </w:r>
      <w:r>
        <w:rPr>
          <w:rFonts w:hint="eastAsia" w:ascii="宋体" w:hAnsi="宋体"/>
          <w:color w:val="auto"/>
          <w:highlight w:val="none"/>
        </w:rPr>
        <w:t>银行履约保函，作为中标人履行上述合同的担保。</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我方</w:t>
      </w:r>
      <w:r>
        <w:rPr>
          <w:rFonts w:hint="eastAsia" w:ascii="宋体" w:hAnsi="宋体"/>
          <w:color w:val="auto"/>
          <w:highlight w:val="none"/>
          <w:u w:val="single"/>
        </w:rPr>
        <w:t xml:space="preserve">            （银行名称）</w:t>
      </w:r>
      <w:r>
        <w:rPr>
          <w:rFonts w:hint="eastAsia" w:ascii="宋体" w:hAnsi="宋体"/>
          <w:color w:val="auto"/>
          <w:highlight w:val="none"/>
        </w:rPr>
        <w:t>，受中标人的委托，不仅作为连带责任保证人而且作为主要的责任人，无条件和不可撤销地同意在</w:t>
      </w:r>
      <w:r>
        <w:rPr>
          <w:rFonts w:hint="eastAsia"/>
          <w:color w:val="auto"/>
          <w:highlight w:val="none"/>
        </w:rPr>
        <w:t>采购人</w:t>
      </w:r>
      <w:r>
        <w:rPr>
          <w:rFonts w:hint="eastAsia" w:ascii="宋体" w:hAnsi="宋体"/>
          <w:color w:val="auto"/>
          <w:highlight w:val="none"/>
        </w:rPr>
        <w:t>提出因中标人没有履行上述合同规定，而要求扣划保证金的书面要求后，7个工作日内为</w:t>
      </w:r>
      <w:r>
        <w:rPr>
          <w:rFonts w:hint="eastAsia"/>
          <w:color w:val="auto"/>
          <w:highlight w:val="none"/>
        </w:rPr>
        <w:t>采购人</w:t>
      </w:r>
      <w:r>
        <w:rPr>
          <w:rFonts w:hint="eastAsia" w:ascii="宋体" w:hAnsi="宋体"/>
          <w:color w:val="auto"/>
          <w:highlight w:val="none"/>
        </w:rPr>
        <w:t>扣划金额不超过</w:t>
      </w:r>
      <w:r>
        <w:rPr>
          <w:rFonts w:hint="eastAsia" w:ascii="宋体" w:hAnsi="宋体"/>
          <w:color w:val="auto"/>
          <w:highlight w:val="none"/>
          <w:u w:val="single"/>
        </w:rPr>
        <w:t>人民币          （RMB       元）</w:t>
      </w:r>
      <w:r>
        <w:rPr>
          <w:rFonts w:hint="eastAsia" w:ascii="宋体" w:hAnsi="宋体"/>
          <w:color w:val="auto"/>
          <w:highlight w:val="none"/>
        </w:rPr>
        <w:t>的保证金。</w:t>
      </w:r>
    </w:p>
    <w:p>
      <w:pPr>
        <w:spacing w:line="360" w:lineRule="auto"/>
        <w:ind w:firstLine="420" w:firstLineChars="200"/>
        <w:rPr>
          <w:rFonts w:hint="eastAsia" w:ascii="Tahoma" w:hAnsi="Tahoma"/>
          <w:color w:val="auto"/>
          <w:highlight w:val="none"/>
        </w:rPr>
      </w:pPr>
      <w:r>
        <w:rPr>
          <w:rFonts w:hint="eastAsia" w:ascii="宋体" w:hAnsi="宋体"/>
          <w:color w:val="auto"/>
          <w:highlight w:val="none"/>
        </w:rPr>
        <w:t>我</w:t>
      </w:r>
      <w:r>
        <w:rPr>
          <w:rFonts w:hint="eastAsia" w:ascii="Tahoma" w:hAnsi="Tahoma"/>
          <w:color w:val="auto"/>
          <w:highlight w:val="none"/>
        </w:rPr>
        <w:t>方还同意，任何</w:t>
      </w:r>
      <w:r>
        <w:rPr>
          <w:rFonts w:hint="eastAsia"/>
          <w:color w:val="auto"/>
          <w:highlight w:val="none"/>
        </w:rPr>
        <w:t>采购人</w:t>
      </w:r>
      <w:r>
        <w:rPr>
          <w:rFonts w:hint="eastAsia" w:ascii="Tahoma" w:hAnsi="Tahoma"/>
          <w:color w:val="auto"/>
          <w:highlight w:val="none"/>
        </w:rPr>
        <w:t>与中标人之间可能对合同条款的修改、规范或其他合同文件的变动补充，都不能免除我方按本保函所承担的责任。因此，有关上述变动、补充和修改无须通知我方。</w:t>
      </w:r>
    </w:p>
    <w:p>
      <w:pPr>
        <w:spacing w:line="360" w:lineRule="auto"/>
        <w:ind w:firstLine="420" w:firstLineChars="200"/>
        <w:rPr>
          <w:rFonts w:hint="eastAsia" w:ascii="Tahoma" w:hAnsi="Tahoma"/>
          <w:color w:val="auto"/>
          <w:highlight w:val="none"/>
        </w:rPr>
      </w:pPr>
      <w:r>
        <w:rPr>
          <w:rFonts w:hint="eastAsia" w:ascii="Tahoma" w:hAnsi="Tahoma"/>
          <w:color w:val="auto"/>
          <w:highlight w:val="none"/>
        </w:rPr>
        <w:t>本保函从上述</w:t>
      </w:r>
      <w:r>
        <w:rPr>
          <w:rFonts w:hint="eastAsia" w:ascii="Tahoma" w:hAnsi="Tahoma"/>
          <w:color w:val="auto"/>
          <w:sz w:val="21"/>
          <w:szCs w:val="22"/>
          <w:highlight w:val="none"/>
        </w:rPr>
        <w:t>合同签订之日起至项目</w:t>
      </w:r>
      <w:r>
        <w:rPr>
          <w:rFonts w:hint="eastAsia" w:ascii="Tahoma" w:hAnsi="Tahoma"/>
          <w:color w:val="auto"/>
          <w:sz w:val="21"/>
          <w:szCs w:val="22"/>
          <w:highlight w:val="none"/>
          <w:lang w:val="en-US" w:eastAsia="zh-CN"/>
        </w:rPr>
        <w:t>服务期结束</w:t>
      </w:r>
      <w:r>
        <w:rPr>
          <w:rFonts w:hint="eastAsia" w:ascii="Tahoma" w:hAnsi="Tahoma"/>
          <w:color w:val="auto"/>
          <w:sz w:val="21"/>
          <w:szCs w:val="22"/>
          <w:highlight w:val="none"/>
        </w:rPr>
        <w:t>验收合格并完成结算后，双方签字之日起7天内保持有效</w:t>
      </w:r>
      <w:r>
        <w:rPr>
          <w:rFonts w:hint="eastAsia" w:ascii="Tahoma" w:hAnsi="Tahoma"/>
          <w:color w:val="auto"/>
          <w:highlight w:val="none"/>
        </w:rPr>
        <w:t>。</w:t>
      </w:r>
    </w:p>
    <w:p>
      <w:pPr>
        <w:spacing w:line="360" w:lineRule="auto"/>
        <w:ind w:firstLine="2824" w:firstLineChars="1345"/>
        <w:rPr>
          <w:rFonts w:hint="eastAsia" w:ascii="宋体" w:hAnsi="宋体"/>
          <w:color w:val="auto"/>
          <w:highlight w:val="none"/>
        </w:rPr>
      </w:pPr>
    </w:p>
    <w:p>
      <w:pPr>
        <w:spacing w:line="360" w:lineRule="auto"/>
        <w:ind w:firstLine="5040" w:firstLineChars="2400"/>
        <w:rPr>
          <w:rFonts w:hint="eastAsia" w:ascii="宋体" w:hAnsi="宋体"/>
          <w:color w:val="auto"/>
          <w:highlight w:val="none"/>
        </w:rPr>
      </w:pPr>
      <w:r>
        <w:rPr>
          <w:rFonts w:hint="eastAsia" w:ascii="宋体" w:hAnsi="宋体"/>
          <w:color w:val="auto"/>
          <w:highlight w:val="none"/>
        </w:rPr>
        <w:t>保证人：（盖章）</w:t>
      </w:r>
      <w:r>
        <w:rPr>
          <w:rFonts w:hint="eastAsia" w:ascii="宋体" w:hAnsi="宋体"/>
          <w:color w:val="auto"/>
          <w:highlight w:val="none"/>
          <w:u w:val="single"/>
        </w:rPr>
        <w:t xml:space="preserve">                        </w:t>
      </w:r>
    </w:p>
    <w:p>
      <w:pPr>
        <w:spacing w:line="360" w:lineRule="auto"/>
        <w:ind w:firstLine="5040" w:firstLineChars="2400"/>
        <w:rPr>
          <w:rFonts w:hint="eastAsia" w:ascii="宋体" w:hAnsi="宋体"/>
          <w:color w:val="auto"/>
          <w:highlight w:val="none"/>
        </w:rPr>
      </w:pPr>
      <w:r>
        <w:rPr>
          <w:rFonts w:hint="eastAsia" w:ascii="宋体" w:hAnsi="宋体"/>
          <w:color w:val="auto"/>
          <w:highlight w:val="none"/>
        </w:rPr>
        <w:t>负责人：（签字）</w:t>
      </w:r>
      <w:r>
        <w:rPr>
          <w:rFonts w:hint="eastAsia" w:ascii="宋体" w:hAnsi="宋体"/>
          <w:color w:val="auto"/>
          <w:highlight w:val="none"/>
          <w:u w:val="single"/>
        </w:rPr>
        <w:t xml:space="preserve">                        </w:t>
      </w:r>
    </w:p>
    <w:p>
      <w:pPr>
        <w:spacing w:line="360" w:lineRule="auto"/>
        <w:ind w:firstLine="5040" w:firstLineChars="2400"/>
        <w:rPr>
          <w:rFonts w:hint="eastAsia" w:ascii="宋体" w:hAnsi="宋体"/>
          <w:color w:val="auto"/>
          <w:highlight w:val="none"/>
        </w:rPr>
      </w:pPr>
      <w:r>
        <w:rPr>
          <w:rFonts w:hint="eastAsia" w:ascii="宋体" w:hAnsi="宋体"/>
          <w:color w:val="auto"/>
          <w:highlight w:val="none"/>
        </w:rPr>
        <w:t>联系人：</w:t>
      </w:r>
      <w:r>
        <w:rPr>
          <w:rFonts w:hint="eastAsia" w:ascii="宋体" w:hAnsi="宋体"/>
          <w:color w:val="auto"/>
          <w:highlight w:val="none"/>
          <w:u w:val="single"/>
        </w:rPr>
        <w:t xml:space="preserve">                               </w:t>
      </w:r>
      <w:r>
        <w:rPr>
          <w:rFonts w:hint="eastAsia" w:ascii="宋体" w:hAnsi="宋体"/>
          <w:color w:val="auto"/>
          <w:highlight w:val="none"/>
        </w:rPr>
        <w:t xml:space="preserve">   </w:t>
      </w:r>
    </w:p>
    <w:p>
      <w:pPr>
        <w:spacing w:line="360" w:lineRule="auto"/>
        <w:ind w:firstLine="5040" w:firstLineChars="2400"/>
        <w:rPr>
          <w:rFonts w:hint="eastAsia"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xml:space="preserve">                             </w:t>
      </w:r>
    </w:p>
    <w:p>
      <w:pPr>
        <w:spacing w:line="360" w:lineRule="auto"/>
        <w:ind w:firstLine="5040" w:firstLineChars="24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p>
    <w:p>
      <w:pPr>
        <w:spacing w:line="360" w:lineRule="auto"/>
        <w:ind w:firstLine="422" w:firstLineChars="200"/>
        <w:rPr>
          <w:rFonts w:hint="eastAsia" w:ascii="宋体" w:hAnsi="宋体"/>
          <w:b/>
          <w:bCs/>
          <w:color w:val="auto"/>
          <w:highlight w:val="none"/>
        </w:rPr>
      </w:pPr>
      <w:r>
        <w:rPr>
          <w:rFonts w:ascii="宋体" w:hAnsi="宋体"/>
          <w:b/>
          <w:bCs/>
          <w:color w:val="auto"/>
          <w:highlight w:val="none"/>
        </w:rPr>
        <w:t>（本保函失效后，请将原件退回我行注销）</w:t>
      </w:r>
    </w:p>
    <w:p>
      <w:pPr>
        <w:pStyle w:val="9"/>
        <w:snapToGrid w:val="0"/>
        <w:spacing w:line="360" w:lineRule="auto"/>
        <w:rPr>
          <w:rFonts w:hint="eastAsia"/>
          <w:color w:val="auto"/>
          <w:szCs w:val="24"/>
          <w:highlight w:val="none"/>
        </w:rPr>
      </w:pPr>
      <w:r>
        <w:rPr>
          <w:rFonts w:hint="eastAsia"/>
          <w:color w:val="auto"/>
          <w:szCs w:val="24"/>
          <w:highlight w:val="none"/>
        </w:rPr>
        <w:t>说明：投标人在投标时不需提交正式保函，在投标文件中盖投标人公章确认保函格式即可，中标人</w:t>
      </w:r>
      <w:r>
        <w:rPr>
          <w:rFonts w:hint="eastAsia"/>
          <w:color w:val="auto"/>
          <w:highlight w:val="none"/>
        </w:rPr>
        <w:t>在签订合同时</w:t>
      </w:r>
      <w:r>
        <w:rPr>
          <w:rFonts w:hint="eastAsia"/>
          <w:color w:val="auto"/>
          <w:szCs w:val="24"/>
          <w:highlight w:val="none"/>
        </w:rPr>
        <w:t>提交正式保函。</w:t>
      </w: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color w:val="auto"/>
          <w:highlight w:val="none"/>
        </w:rPr>
      </w:pPr>
      <w:bookmarkStart w:id="134" w:name="_Toc1968"/>
      <w:r>
        <w:rPr>
          <w:rFonts w:hint="eastAsia" w:ascii="黑体" w:eastAsia="黑体"/>
          <w:color w:val="auto"/>
          <w:sz w:val="44"/>
          <w:szCs w:val="44"/>
          <w:highlight w:val="none"/>
          <w:lang w:val="en-US" w:eastAsia="zh-CN"/>
        </w:rPr>
        <w:t>开标文件</w:t>
      </w:r>
      <w:r>
        <w:rPr>
          <w:rFonts w:hint="eastAsia" w:ascii="黑体" w:eastAsia="黑体"/>
          <w:color w:val="auto"/>
          <w:sz w:val="44"/>
          <w:szCs w:val="44"/>
          <w:highlight w:val="none"/>
        </w:rPr>
        <w:t>（单独编制，单独封装）</w:t>
      </w:r>
      <w:bookmarkEnd w:id="134"/>
    </w:p>
    <w:p>
      <w:pPr>
        <w:pStyle w:val="7"/>
        <w:spacing w:before="0" w:after="0" w:line="240" w:lineRule="auto"/>
        <w:rPr>
          <w:rFonts w:hint="default" w:ascii="宋体" w:hAnsi="宋体" w:eastAsia="宋体" w:cs="宋体"/>
          <w:color w:val="auto"/>
          <w:sz w:val="21"/>
          <w:szCs w:val="21"/>
          <w:highlight w:val="none"/>
          <w:lang w:val="en-US" w:eastAsia="zh-CN"/>
        </w:rPr>
      </w:pPr>
      <w:bookmarkStart w:id="135" w:name="_Toc74645268"/>
      <w:r>
        <w:rPr>
          <w:rFonts w:hint="eastAsia" w:ascii="宋体" w:hAnsi="宋体" w:eastAsia="宋体" w:cs="宋体"/>
          <w:color w:val="auto"/>
          <w:sz w:val="21"/>
          <w:szCs w:val="21"/>
          <w:highlight w:val="none"/>
        </w:rPr>
        <w:t>附件</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rPr>
        <w:t>.</w:t>
      </w:r>
      <w:bookmarkEnd w:id="135"/>
      <w:r>
        <w:rPr>
          <w:rFonts w:hint="eastAsia" w:ascii="宋体" w:hAnsi="宋体" w:cs="宋体"/>
          <w:color w:val="auto"/>
          <w:sz w:val="21"/>
          <w:szCs w:val="21"/>
          <w:highlight w:val="none"/>
          <w:lang w:val="en-US" w:eastAsia="zh-CN"/>
        </w:rPr>
        <w:t>开标文件格式</w:t>
      </w:r>
    </w:p>
    <w:p>
      <w:pPr>
        <w:spacing w:line="360" w:lineRule="auto"/>
        <w:ind w:left="796" w:leftChars="178" w:hanging="422" w:hangingChars="201"/>
        <w:rPr>
          <w:rFonts w:hint="eastAsia" w:hAnsi="宋体"/>
          <w:color w:val="auto"/>
          <w:sz w:val="21"/>
          <w:szCs w:val="21"/>
          <w:highlight w:val="none"/>
          <w:lang w:val="en-US" w:eastAsia="zh-CN"/>
        </w:rPr>
      </w:pPr>
    </w:p>
    <w:p>
      <w:pPr>
        <w:spacing w:line="360" w:lineRule="auto"/>
        <w:ind w:left="796" w:leftChars="178" w:hanging="422" w:hangingChars="201"/>
        <w:rPr>
          <w:rFonts w:hint="eastAsia" w:hAnsi="宋体"/>
          <w:color w:val="auto"/>
          <w:sz w:val="21"/>
          <w:szCs w:val="21"/>
          <w:highlight w:val="none"/>
        </w:rPr>
      </w:pPr>
      <w:r>
        <w:rPr>
          <w:rFonts w:hint="eastAsia" w:hAnsi="宋体"/>
          <w:color w:val="auto"/>
          <w:sz w:val="21"/>
          <w:szCs w:val="21"/>
          <w:highlight w:val="none"/>
          <w:lang w:val="en-US" w:eastAsia="zh-CN"/>
        </w:rPr>
        <w:t>开标文件</w:t>
      </w:r>
      <w:r>
        <w:rPr>
          <w:rFonts w:hint="eastAsia" w:hAnsi="宋体"/>
          <w:color w:val="auto"/>
          <w:sz w:val="21"/>
          <w:szCs w:val="21"/>
          <w:highlight w:val="none"/>
        </w:rPr>
        <w:t>内装（内容务必与投标文件正本一致）：</w:t>
      </w:r>
    </w:p>
    <w:p>
      <w:pPr>
        <w:numPr>
          <w:ilvl w:val="0"/>
          <w:numId w:val="11"/>
        </w:numPr>
        <w:spacing w:line="360" w:lineRule="auto"/>
        <w:ind w:firstLineChars="200"/>
        <w:rPr>
          <w:rFonts w:hint="eastAsia" w:hAnsi="宋体"/>
          <w:color w:val="auto"/>
          <w:sz w:val="21"/>
          <w:szCs w:val="21"/>
          <w:highlight w:val="none"/>
        </w:rPr>
      </w:pPr>
      <w:r>
        <w:rPr>
          <w:rFonts w:hint="eastAsia" w:hAnsi="宋体"/>
          <w:color w:val="auto"/>
          <w:sz w:val="21"/>
          <w:szCs w:val="21"/>
          <w:highlight w:val="none"/>
        </w:rPr>
        <w:t>开标一览表加盖公章；</w:t>
      </w:r>
    </w:p>
    <w:p>
      <w:pPr>
        <w:numPr>
          <w:ilvl w:val="0"/>
          <w:numId w:val="11"/>
        </w:numPr>
        <w:spacing w:line="360" w:lineRule="auto"/>
        <w:ind w:firstLineChars="200"/>
        <w:rPr>
          <w:rFonts w:hint="eastAsia" w:hAnsi="宋体"/>
          <w:color w:val="auto"/>
          <w:sz w:val="21"/>
          <w:szCs w:val="21"/>
          <w:highlight w:val="none"/>
        </w:rPr>
      </w:pPr>
      <w:r>
        <w:rPr>
          <w:rFonts w:hint="eastAsia" w:hAnsi="宋体"/>
          <w:color w:val="auto"/>
          <w:sz w:val="21"/>
          <w:szCs w:val="21"/>
          <w:highlight w:val="none"/>
        </w:rPr>
        <w:t>法定代表人证明书加盖公章；</w:t>
      </w:r>
    </w:p>
    <w:p>
      <w:pPr>
        <w:numPr>
          <w:ilvl w:val="0"/>
          <w:numId w:val="11"/>
        </w:numPr>
        <w:spacing w:line="360" w:lineRule="auto"/>
        <w:ind w:firstLineChars="200"/>
        <w:rPr>
          <w:rFonts w:hint="eastAsia" w:hAnsi="宋体"/>
          <w:color w:val="auto"/>
          <w:sz w:val="21"/>
          <w:szCs w:val="21"/>
          <w:highlight w:val="none"/>
        </w:rPr>
      </w:pPr>
      <w:r>
        <w:rPr>
          <w:rFonts w:hint="eastAsia" w:hAnsi="宋体"/>
          <w:color w:val="auto"/>
          <w:sz w:val="21"/>
          <w:szCs w:val="21"/>
          <w:highlight w:val="none"/>
        </w:rPr>
        <w:t>法定代表人授权委托书加盖公章（法定代表人投标的除外）；</w:t>
      </w:r>
    </w:p>
    <w:p>
      <w:pPr>
        <w:numPr>
          <w:ilvl w:val="0"/>
          <w:numId w:val="11"/>
        </w:numPr>
        <w:spacing w:line="360" w:lineRule="auto"/>
        <w:ind w:firstLineChars="200"/>
        <w:rPr>
          <w:rFonts w:hint="eastAsia" w:hAnsi="宋体"/>
          <w:color w:val="auto"/>
          <w:sz w:val="21"/>
          <w:szCs w:val="21"/>
          <w:highlight w:val="none"/>
        </w:rPr>
      </w:pPr>
      <w:r>
        <w:rPr>
          <w:rFonts w:hint="eastAsia" w:hAnsi="宋体"/>
          <w:color w:val="auto"/>
          <w:sz w:val="21"/>
          <w:szCs w:val="21"/>
          <w:highlight w:val="none"/>
        </w:rPr>
        <w:t>投标保证金汇入情况说明（含银行汇款凭证）或采购投标保函加盖公章；</w:t>
      </w:r>
    </w:p>
    <w:p>
      <w:pPr>
        <w:numPr>
          <w:ilvl w:val="0"/>
          <w:numId w:val="11"/>
        </w:numPr>
        <w:spacing w:line="360" w:lineRule="auto"/>
        <w:ind w:firstLineChars="200"/>
        <w:rPr>
          <w:rFonts w:hint="eastAsia" w:hAnsi="宋体"/>
          <w:color w:val="auto"/>
          <w:sz w:val="21"/>
          <w:szCs w:val="21"/>
          <w:highlight w:val="none"/>
        </w:rPr>
      </w:pPr>
      <w:r>
        <w:rPr>
          <w:rFonts w:hint="eastAsia" w:hAnsi="宋体"/>
          <w:color w:val="auto"/>
          <w:sz w:val="21"/>
          <w:szCs w:val="21"/>
          <w:highlight w:val="none"/>
        </w:rPr>
        <w:t>投标文件电子文件（U盘，须含盖章版PDF投标文件和WORD版投标文件各一版，文字采用WORD文档，计算表格采用 EXCEL文档。）；</w:t>
      </w:r>
    </w:p>
    <w:p>
      <w:pPr>
        <w:rPr>
          <w:rFonts w:ascii="宋体" w:hAnsi="宋体" w:eastAsia="宋体" w:cs="宋体"/>
          <w:color w:val="auto"/>
          <w:sz w:val="21"/>
          <w:szCs w:val="21"/>
          <w:highlight w:val="none"/>
        </w:rPr>
      </w:pPr>
    </w:p>
    <w:p>
      <w:pPr>
        <w:pStyle w:val="2"/>
        <w:rPr>
          <w:color w:val="auto"/>
          <w:highlight w:val="none"/>
        </w:rPr>
      </w:pPr>
    </w:p>
    <w:sectPr>
      <w:headerReference r:id="rId8" w:type="first"/>
      <w:footerReference r:id="rId10" w:type="first"/>
      <w:headerReference r:id="rId7" w:type="default"/>
      <w:footerReference r:id="rId9" w:type="default"/>
      <w:pgSz w:w="11906" w:h="16838"/>
      <w:pgMar w:top="1440" w:right="1800" w:bottom="1440" w:left="1800" w:header="708" w:footer="708" w:gutter="0"/>
      <w:pgNumType w:fmt="decimal"/>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康简标题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839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088390" cy="1828800"/>
                      </a:xfrm>
                      <a:prstGeom prst="rect">
                        <a:avLst/>
                      </a:prstGeom>
                      <a:noFill/>
                      <a:ln>
                        <a:noFill/>
                      </a:ln>
                    </wps:spPr>
                    <wps:txbx>
                      <w:txbxContent>
                        <w:p>
                          <w:pPr>
                            <w:pStyle w:val="13"/>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页</w:t>
                          </w:r>
                        </w:p>
                      </w:txbxContent>
                    </wps:txbx>
                    <wps:bodyPr lIns="0" tIns="0" rIns="0" bIns="0" upright="1">
                      <a:spAutoFit/>
                    </wps:bodyPr>
                  </wps:wsp>
                </a:graphicData>
              </a:graphic>
            </wp:anchor>
          </w:drawing>
        </mc:Choice>
        <mc:Fallback>
          <w:pict>
            <v:shape id="文本框 1026" o:spid="_x0000_s1026" o:spt="202" type="#_x0000_t202" style="position:absolute;left:0pt;margin-top:0pt;height:144pt;width:85.7pt;mso-position-horizontal:center;mso-position-horizontal-relative:margin;z-index:251659264;mso-width-relative:page;mso-height-relative:page;" filled="f" stroked="f" coordsize="21600,21600" o:gfxdata="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xsfqk0wAAAAUBAAAPAAAAAAAAAAEAIAAAACIAAABkcnMvZG93bnJl&#10;di54bWxQSwECFAAUAAAACACHTuJARcufEMkBAACQAwAADgAAAAAAAAABACAAAAAiAQAAZHJzL2Uy&#10;b0RvYy54bWxQSwUGAAAAAAYABgBZAQAAXQUAAAAA&#10;">
              <v:fill on="f" focussize="0,0"/>
              <v:stroke on="f"/>
              <v:imagedata o:title=""/>
              <o:lock v:ext="edit" aspectratio="f"/>
              <v:textbox inset="0mm,0mm,0mm,0mm" style="mso-fit-shape-to-text:t;">
                <w:txbxContent>
                  <w:p>
                    <w:pPr>
                      <w:pStyle w:val="13"/>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wps:spPr>
                    <wps:txbx>
                      <w:txbxContent>
                        <w:p>
                          <w:pPr>
                            <w:pStyle w:val="13"/>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90.6pt;mso-position-horizontal:center;mso-position-horizontal-relative:margin;z-index:251660288;mso-width-relative:page;mso-height-relative:page;" filled="f" stroked="f" coordsize="21600,21600" o:gfxdata="UEsDBAoAAAAAAIdO4kAAAAAAAAAAAAAAAAAEAAAAZHJzL1BLAwQUAAAACACHTuJARggSLN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IEizSAAAABQEAAA8AAAAAAAAAAQAgAAAAIgAAAGRycy9kb3ducmV2&#10;LnhtbFBLAQIUABQAAAAIAIdO4kB4R5WwyQEAAJADAAAOAAAAAAAAAAEAIAAAACEBAABkcnMvZTJv&#10;RG9jLnhtbFBLBQYAAAAABgAGAFkBAABcBQAAAAA=&#10;">
              <v:fill on="f" focussize="0,0"/>
              <v:stroke on="f"/>
              <v:imagedata o:title=""/>
              <o:lock v:ext="edit" aspectratio="f"/>
              <v:textbox inset="0mm,0mm,0mm,0mm" style="mso-fit-shape-to-text:t;">
                <w:txbxContent>
                  <w:p>
                    <w:pPr>
                      <w:pStyle w:val="13"/>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174A5"/>
    <w:multiLevelType w:val="singleLevel"/>
    <w:tmpl w:val="CFF174A5"/>
    <w:lvl w:ilvl="0" w:tentative="0">
      <w:start w:val="1"/>
      <w:numFmt w:val="decimal"/>
      <w:suff w:val="nothing"/>
      <w:lvlText w:val="%1、"/>
      <w:lvlJc w:val="left"/>
    </w:lvl>
  </w:abstractNum>
  <w:abstractNum w:abstractNumId="1">
    <w:nsid w:val="D0047B7E"/>
    <w:multiLevelType w:val="singleLevel"/>
    <w:tmpl w:val="D0047B7E"/>
    <w:lvl w:ilvl="0" w:tentative="0">
      <w:start w:val="1"/>
      <w:numFmt w:val="decimal"/>
      <w:suff w:val="nothing"/>
      <w:lvlText w:val="%1、"/>
      <w:lvlJc w:val="left"/>
    </w:lvl>
  </w:abstractNum>
  <w:abstractNum w:abstractNumId="2">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A57500B"/>
    <w:multiLevelType w:val="multilevel"/>
    <w:tmpl w:val="0A57500B"/>
    <w:lvl w:ilvl="0" w:tentative="0">
      <w:start w:val="1"/>
      <w:numFmt w:val="japaneseCounting"/>
      <w:lvlText w:val="%1、"/>
      <w:lvlJc w:val="left"/>
      <w:pPr>
        <w:ind w:left="1110" w:hanging="51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3F88662E"/>
    <w:multiLevelType w:val="singleLevel"/>
    <w:tmpl w:val="3F88662E"/>
    <w:lvl w:ilvl="0" w:tentative="0">
      <w:start w:val="1"/>
      <w:numFmt w:val="decimal"/>
      <w:suff w:val="space"/>
      <w:lvlText w:val="%1)"/>
      <w:lvlJc w:val="left"/>
    </w:lvl>
  </w:abstractNum>
  <w:abstractNum w:abstractNumId="6">
    <w:nsid w:val="57A83E91"/>
    <w:multiLevelType w:val="singleLevel"/>
    <w:tmpl w:val="57A83E91"/>
    <w:lvl w:ilvl="0" w:tentative="0">
      <w:start w:val="1"/>
      <w:numFmt w:val="decimal"/>
      <w:suff w:val="nothing"/>
      <w:lvlText w:val="%1、"/>
      <w:lvlJc w:val="left"/>
      <w:rPr>
        <w:rFonts w:cs="Times New Roman"/>
      </w:rPr>
    </w:lvl>
  </w:abstractNum>
  <w:abstractNum w:abstractNumId="7">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9">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6"/>
  </w:num>
  <w:num w:numId="2">
    <w:abstractNumId w:val="7"/>
  </w:num>
  <w:num w:numId="3">
    <w:abstractNumId w:val="4"/>
  </w:num>
  <w:num w:numId="4">
    <w:abstractNumId w:val="10"/>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
  </w:num>
  <w:num w:numId="10">
    <w:abstractNumId w:val="9"/>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5A66"/>
    <w:rsid w:val="00006462"/>
    <w:rsid w:val="000300E4"/>
    <w:rsid w:val="0003307E"/>
    <w:rsid w:val="000336BA"/>
    <w:rsid w:val="000359A1"/>
    <w:rsid w:val="0005185D"/>
    <w:rsid w:val="0007500F"/>
    <w:rsid w:val="0008282E"/>
    <w:rsid w:val="00093A13"/>
    <w:rsid w:val="000A363F"/>
    <w:rsid w:val="000A42A8"/>
    <w:rsid w:val="000A5063"/>
    <w:rsid w:val="000A5DBD"/>
    <w:rsid w:val="000C4524"/>
    <w:rsid w:val="000D44A6"/>
    <w:rsid w:val="000E2CB7"/>
    <w:rsid w:val="000F0E98"/>
    <w:rsid w:val="001049A5"/>
    <w:rsid w:val="001120E0"/>
    <w:rsid w:val="001242F3"/>
    <w:rsid w:val="001332BB"/>
    <w:rsid w:val="00134CAD"/>
    <w:rsid w:val="0013730B"/>
    <w:rsid w:val="00137853"/>
    <w:rsid w:val="00137E1C"/>
    <w:rsid w:val="00147012"/>
    <w:rsid w:val="00173126"/>
    <w:rsid w:val="00173905"/>
    <w:rsid w:val="00173E04"/>
    <w:rsid w:val="00175D29"/>
    <w:rsid w:val="001844F4"/>
    <w:rsid w:val="00185039"/>
    <w:rsid w:val="001A06D8"/>
    <w:rsid w:val="001A2D42"/>
    <w:rsid w:val="001A2EF7"/>
    <w:rsid w:val="001B1F14"/>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7224"/>
    <w:rsid w:val="00247AE0"/>
    <w:rsid w:val="00260AC1"/>
    <w:rsid w:val="0026312D"/>
    <w:rsid w:val="0027078E"/>
    <w:rsid w:val="00284156"/>
    <w:rsid w:val="00285643"/>
    <w:rsid w:val="002867A1"/>
    <w:rsid w:val="002901F8"/>
    <w:rsid w:val="002920A4"/>
    <w:rsid w:val="002B4087"/>
    <w:rsid w:val="002B5F6C"/>
    <w:rsid w:val="002C6C78"/>
    <w:rsid w:val="002D1594"/>
    <w:rsid w:val="002D3F9C"/>
    <w:rsid w:val="002D503C"/>
    <w:rsid w:val="002D7E27"/>
    <w:rsid w:val="002E17E5"/>
    <w:rsid w:val="002E6B7E"/>
    <w:rsid w:val="0030669E"/>
    <w:rsid w:val="00320CEA"/>
    <w:rsid w:val="00323B43"/>
    <w:rsid w:val="00326831"/>
    <w:rsid w:val="003274CE"/>
    <w:rsid w:val="003361E9"/>
    <w:rsid w:val="003430F6"/>
    <w:rsid w:val="0035595E"/>
    <w:rsid w:val="0038564C"/>
    <w:rsid w:val="00387CE4"/>
    <w:rsid w:val="00393B1D"/>
    <w:rsid w:val="003A1D97"/>
    <w:rsid w:val="003C18EB"/>
    <w:rsid w:val="003C3B19"/>
    <w:rsid w:val="003C412B"/>
    <w:rsid w:val="003C415C"/>
    <w:rsid w:val="003D36FB"/>
    <w:rsid w:val="003D37D8"/>
    <w:rsid w:val="003E0802"/>
    <w:rsid w:val="003E2B8C"/>
    <w:rsid w:val="003F4822"/>
    <w:rsid w:val="00401CC0"/>
    <w:rsid w:val="00410AB5"/>
    <w:rsid w:val="00410F11"/>
    <w:rsid w:val="00411067"/>
    <w:rsid w:val="004203B9"/>
    <w:rsid w:val="004322A2"/>
    <w:rsid w:val="004358AB"/>
    <w:rsid w:val="00451EB4"/>
    <w:rsid w:val="00460B31"/>
    <w:rsid w:val="00462105"/>
    <w:rsid w:val="00475A80"/>
    <w:rsid w:val="00490B9E"/>
    <w:rsid w:val="00497577"/>
    <w:rsid w:val="004A05D7"/>
    <w:rsid w:val="004A2B28"/>
    <w:rsid w:val="004A69F1"/>
    <w:rsid w:val="004B3550"/>
    <w:rsid w:val="004C7FD6"/>
    <w:rsid w:val="004D08C0"/>
    <w:rsid w:val="004D1669"/>
    <w:rsid w:val="004D51A2"/>
    <w:rsid w:val="004D5AFB"/>
    <w:rsid w:val="004E04FD"/>
    <w:rsid w:val="004F1BB7"/>
    <w:rsid w:val="0050759C"/>
    <w:rsid w:val="00510827"/>
    <w:rsid w:val="005269A9"/>
    <w:rsid w:val="00545D9A"/>
    <w:rsid w:val="00546A42"/>
    <w:rsid w:val="0055408D"/>
    <w:rsid w:val="0057492D"/>
    <w:rsid w:val="00590819"/>
    <w:rsid w:val="00593D68"/>
    <w:rsid w:val="005A208B"/>
    <w:rsid w:val="005A555E"/>
    <w:rsid w:val="005A7612"/>
    <w:rsid w:val="005B58A6"/>
    <w:rsid w:val="005C702E"/>
    <w:rsid w:val="005D01B8"/>
    <w:rsid w:val="005D066B"/>
    <w:rsid w:val="005D2D85"/>
    <w:rsid w:val="005F4EAE"/>
    <w:rsid w:val="005F573A"/>
    <w:rsid w:val="005F660B"/>
    <w:rsid w:val="005F7EB1"/>
    <w:rsid w:val="00604B81"/>
    <w:rsid w:val="0061246F"/>
    <w:rsid w:val="00613417"/>
    <w:rsid w:val="00613B25"/>
    <w:rsid w:val="0061545F"/>
    <w:rsid w:val="006175DE"/>
    <w:rsid w:val="006215AC"/>
    <w:rsid w:val="00621821"/>
    <w:rsid w:val="00622362"/>
    <w:rsid w:val="00622497"/>
    <w:rsid w:val="006276AD"/>
    <w:rsid w:val="006378D4"/>
    <w:rsid w:val="0064416A"/>
    <w:rsid w:val="006476E3"/>
    <w:rsid w:val="00650DDC"/>
    <w:rsid w:val="00652983"/>
    <w:rsid w:val="0065365D"/>
    <w:rsid w:val="006576FD"/>
    <w:rsid w:val="00664F6B"/>
    <w:rsid w:val="006731D2"/>
    <w:rsid w:val="00680EB0"/>
    <w:rsid w:val="00682986"/>
    <w:rsid w:val="00691701"/>
    <w:rsid w:val="00691AE0"/>
    <w:rsid w:val="0069491E"/>
    <w:rsid w:val="006B3E6C"/>
    <w:rsid w:val="006B7878"/>
    <w:rsid w:val="006C14BD"/>
    <w:rsid w:val="006C28E5"/>
    <w:rsid w:val="006D393E"/>
    <w:rsid w:val="006D4AD8"/>
    <w:rsid w:val="006E0B58"/>
    <w:rsid w:val="006E0C4B"/>
    <w:rsid w:val="007110BA"/>
    <w:rsid w:val="00711465"/>
    <w:rsid w:val="00723B11"/>
    <w:rsid w:val="007343A7"/>
    <w:rsid w:val="00734BB2"/>
    <w:rsid w:val="0075028E"/>
    <w:rsid w:val="007608B9"/>
    <w:rsid w:val="007724B4"/>
    <w:rsid w:val="0077462B"/>
    <w:rsid w:val="007916E7"/>
    <w:rsid w:val="00797C5D"/>
    <w:rsid w:val="00797D2F"/>
    <w:rsid w:val="007A34B9"/>
    <w:rsid w:val="007A3EF1"/>
    <w:rsid w:val="007A4DB3"/>
    <w:rsid w:val="007A6F47"/>
    <w:rsid w:val="007C4F46"/>
    <w:rsid w:val="007C7297"/>
    <w:rsid w:val="007D1B4F"/>
    <w:rsid w:val="007D2F9E"/>
    <w:rsid w:val="007D3175"/>
    <w:rsid w:val="007D48BF"/>
    <w:rsid w:val="007D5C45"/>
    <w:rsid w:val="007E2543"/>
    <w:rsid w:val="007E4A26"/>
    <w:rsid w:val="007F01B0"/>
    <w:rsid w:val="007F2CD8"/>
    <w:rsid w:val="007F4DC5"/>
    <w:rsid w:val="00806380"/>
    <w:rsid w:val="0081104F"/>
    <w:rsid w:val="00822299"/>
    <w:rsid w:val="0083486A"/>
    <w:rsid w:val="00841378"/>
    <w:rsid w:val="00842B87"/>
    <w:rsid w:val="00845BEB"/>
    <w:rsid w:val="008472E6"/>
    <w:rsid w:val="00853463"/>
    <w:rsid w:val="008548BD"/>
    <w:rsid w:val="0086026F"/>
    <w:rsid w:val="008640F5"/>
    <w:rsid w:val="008907DA"/>
    <w:rsid w:val="008A0587"/>
    <w:rsid w:val="008A7273"/>
    <w:rsid w:val="008B7726"/>
    <w:rsid w:val="008D429E"/>
    <w:rsid w:val="008D5A10"/>
    <w:rsid w:val="008E319F"/>
    <w:rsid w:val="008E619C"/>
    <w:rsid w:val="008F6E0E"/>
    <w:rsid w:val="00906F49"/>
    <w:rsid w:val="00914604"/>
    <w:rsid w:val="0092092D"/>
    <w:rsid w:val="00923533"/>
    <w:rsid w:val="00930A38"/>
    <w:rsid w:val="00934170"/>
    <w:rsid w:val="00942948"/>
    <w:rsid w:val="009474B5"/>
    <w:rsid w:val="00960F22"/>
    <w:rsid w:val="00972D86"/>
    <w:rsid w:val="009736BF"/>
    <w:rsid w:val="0097392B"/>
    <w:rsid w:val="00976066"/>
    <w:rsid w:val="00980A66"/>
    <w:rsid w:val="009904F7"/>
    <w:rsid w:val="009910F6"/>
    <w:rsid w:val="009A07B1"/>
    <w:rsid w:val="009A7058"/>
    <w:rsid w:val="009C6AD9"/>
    <w:rsid w:val="009E398C"/>
    <w:rsid w:val="009E6F05"/>
    <w:rsid w:val="009F644E"/>
    <w:rsid w:val="00A01BE2"/>
    <w:rsid w:val="00A10906"/>
    <w:rsid w:val="00A13E78"/>
    <w:rsid w:val="00A14EEF"/>
    <w:rsid w:val="00A4190E"/>
    <w:rsid w:val="00A61230"/>
    <w:rsid w:val="00A668C8"/>
    <w:rsid w:val="00A813C5"/>
    <w:rsid w:val="00A824E6"/>
    <w:rsid w:val="00A858DC"/>
    <w:rsid w:val="00A94D14"/>
    <w:rsid w:val="00AA0EAD"/>
    <w:rsid w:val="00AB19CE"/>
    <w:rsid w:val="00AB3969"/>
    <w:rsid w:val="00AC0E7A"/>
    <w:rsid w:val="00AC187B"/>
    <w:rsid w:val="00AE310E"/>
    <w:rsid w:val="00AE4FC5"/>
    <w:rsid w:val="00AF1B1B"/>
    <w:rsid w:val="00AF5F1F"/>
    <w:rsid w:val="00B027A4"/>
    <w:rsid w:val="00B04202"/>
    <w:rsid w:val="00B236B3"/>
    <w:rsid w:val="00B26806"/>
    <w:rsid w:val="00B31B24"/>
    <w:rsid w:val="00B4287F"/>
    <w:rsid w:val="00B4315F"/>
    <w:rsid w:val="00B60DAB"/>
    <w:rsid w:val="00B67B5C"/>
    <w:rsid w:val="00B7194E"/>
    <w:rsid w:val="00B73575"/>
    <w:rsid w:val="00B7380A"/>
    <w:rsid w:val="00B763B0"/>
    <w:rsid w:val="00B91005"/>
    <w:rsid w:val="00B92951"/>
    <w:rsid w:val="00B93045"/>
    <w:rsid w:val="00BA4130"/>
    <w:rsid w:val="00BB2CAF"/>
    <w:rsid w:val="00BB79B5"/>
    <w:rsid w:val="00BC3E74"/>
    <w:rsid w:val="00BD630F"/>
    <w:rsid w:val="00BD7C1B"/>
    <w:rsid w:val="00BE0825"/>
    <w:rsid w:val="00BF17FD"/>
    <w:rsid w:val="00BF41D4"/>
    <w:rsid w:val="00BF5AFB"/>
    <w:rsid w:val="00C16734"/>
    <w:rsid w:val="00C17B47"/>
    <w:rsid w:val="00C25C77"/>
    <w:rsid w:val="00C303E7"/>
    <w:rsid w:val="00C319C2"/>
    <w:rsid w:val="00C612F8"/>
    <w:rsid w:val="00C62E44"/>
    <w:rsid w:val="00C63BD8"/>
    <w:rsid w:val="00C65954"/>
    <w:rsid w:val="00C7126B"/>
    <w:rsid w:val="00C72C24"/>
    <w:rsid w:val="00C73468"/>
    <w:rsid w:val="00C80EC4"/>
    <w:rsid w:val="00C8568E"/>
    <w:rsid w:val="00CC584A"/>
    <w:rsid w:val="00CC5E4E"/>
    <w:rsid w:val="00CD0EAB"/>
    <w:rsid w:val="00CE2AF3"/>
    <w:rsid w:val="00CE621D"/>
    <w:rsid w:val="00CE66E8"/>
    <w:rsid w:val="00D05388"/>
    <w:rsid w:val="00D114CD"/>
    <w:rsid w:val="00D14476"/>
    <w:rsid w:val="00D232FF"/>
    <w:rsid w:val="00D279AA"/>
    <w:rsid w:val="00D31215"/>
    <w:rsid w:val="00D34544"/>
    <w:rsid w:val="00D34841"/>
    <w:rsid w:val="00D44A97"/>
    <w:rsid w:val="00D45C0C"/>
    <w:rsid w:val="00D508A5"/>
    <w:rsid w:val="00D5104B"/>
    <w:rsid w:val="00D555D8"/>
    <w:rsid w:val="00D60778"/>
    <w:rsid w:val="00D63EB2"/>
    <w:rsid w:val="00D64D28"/>
    <w:rsid w:val="00D6604D"/>
    <w:rsid w:val="00D677F1"/>
    <w:rsid w:val="00D74601"/>
    <w:rsid w:val="00D83E46"/>
    <w:rsid w:val="00D847B6"/>
    <w:rsid w:val="00D93958"/>
    <w:rsid w:val="00D951D3"/>
    <w:rsid w:val="00DA6169"/>
    <w:rsid w:val="00DB5480"/>
    <w:rsid w:val="00DB6317"/>
    <w:rsid w:val="00DC5AD9"/>
    <w:rsid w:val="00DC691F"/>
    <w:rsid w:val="00DD02DE"/>
    <w:rsid w:val="00DD07B7"/>
    <w:rsid w:val="00DD113C"/>
    <w:rsid w:val="00DD324C"/>
    <w:rsid w:val="00DE0BEB"/>
    <w:rsid w:val="00DE4856"/>
    <w:rsid w:val="00DF485B"/>
    <w:rsid w:val="00E0295D"/>
    <w:rsid w:val="00E21B77"/>
    <w:rsid w:val="00E23352"/>
    <w:rsid w:val="00E40CAD"/>
    <w:rsid w:val="00E40DC7"/>
    <w:rsid w:val="00E4215F"/>
    <w:rsid w:val="00E61D2E"/>
    <w:rsid w:val="00E62B7F"/>
    <w:rsid w:val="00E726BC"/>
    <w:rsid w:val="00E72821"/>
    <w:rsid w:val="00E75C82"/>
    <w:rsid w:val="00E81DDC"/>
    <w:rsid w:val="00E81F67"/>
    <w:rsid w:val="00E83650"/>
    <w:rsid w:val="00E83A31"/>
    <w:rsid w:val="00E93BF5"/>
    <w:rsid w:val="00E97CC0"/>
    <w:rsid w:val="00EA2524"/>
    <w:rsid w:val="00EC092D"/>
    <w:rsid w:val="00EC0DF8"/>
    <w:rsid w:val="00ED378B"/>
    <w:rsid w:val="00EE08F9"/>
    <w:rsid w:val="00EF728A"/>
    <w:rsid w:val="00EF7D0D"/>
    <w:rsid w:val="00F00FF7"/>
    <w:rsid w:val="00F02093"/>
    <w:rsid w:val="00F068E3"/>
    <w:rsid w:val="00F10B5F"/>
    <w:rsid w:val="00F218C1"/>
    <w:rsid w:val="00F321EB"/>
    <w:rsid w:val="00F346CF"/>
    <w:rsid w:val="00F3610C"/>
    <w:rsid w:val="00F36839"/>
    <w:rsid w:val="00F52A5F"/>
    <w:rsid w:val="00F55954"/>
    <w:rsid w:val="00F61962"/>
    <w:rsid w:val="00F62865"/>
    <w:rsid w:val="00F64022"/>
    <w:rsid w:val="00F64660"/>
    <w:rsid w:val="00F74FF3"/>
    <w:rsid w:val="00F97062"/>
    <w:rsid w:val="00F9745D"/>
    <w:rsid w:val="00FA54B2"/>
    <w:rsid w:val="00FC529F"/>
    <w:rsid w:val="00FC7B53"/>
    <w:rsid w:val="00FD48CC"/>
    <w:rsid w:val="00FE62D1"/>
    <w:rsid w:val="00FF26BF"/>
    <w:rsid w:val="018023CE"/>
    <w:rsid w:val="01881AD6"/>
    <w:rsid w:val="02A741FD"/>
    <w:rsid w:val="02C16E5D"/>
    <w:rsid w:val="02D964CF"/>
    <w:rsid w:val="03707410"/>
    <w:rsid w:val="03A0770F"/>
    <w:rsid w:val="03A448B8"/>
    <w:rsid w:val="042F3419"/>
    <w:rsid w:val="047B4012"/>
    <w:rsid w:val="04822497"/>
    <w:rsid w:val="04DF1036"/>
    <w:rsid w:val="05A97DEC"/>
    <w:rsid w:val="05B23978"/>
    <w:rsid w:val="05C81981"/>
    <w:rsid w:val="060C3203"/>
    <w:rsid w:val="069B4E4A"/>
    <w:rsid w:val="06BC41F2"/>
    <w:rsid w:val="06F415CC"/>
    <w:rsid w:val="070E26CD"/>
    <w:rsid w:val="07197D08"/>
    <w:rsid w:val="071E5C55"/>
    <w:rsid w:val="075C1FE5"/>
    <w:rsid w:val="077005AB"/>
    <w:rsid w:val="078F4581"/>
    <w:rsid w:val="07BF027F"/>
    <w:rsid w:val="08031A31"/>
    <w:rsid w:val="09061A75"/>
    <w:rsid w:val="09182241"/>
    <w:rsid w:val="09855177"/>
    <w:rsid w:val="0A462748"/>
    <w:rsid w:val="0AA534D5"/>
    <w:rsid w:val="0AA650EB"/>
    <w:rsid w:val="0AF47339"/>
    <w:rsid w:val="0B22594B"/>
    <w:rsid w:val="0B27506F"/>
    <w:rsid w:val="0BDF26F7"/>
    <w:rsid w:val="0C027DB2"/>
    <w:rsid w:val="0C2B4952"/>
    <w:rsid w:val="0C516C55"/>
    <w:rsid w:val="0C7B2220"/>
    <w:rsid w:val="0D133046"/>
    <w:rsid w:val="0D6A4502"/>
    <w:rsid w:val="0D890E47"/>
    <w:rsid w:val="0DC64A00"/>
    <w:rsid w:val="0DFC60BA"/>
    <w:rsid w:val="0F7C5FF6"/>
    <w:rsid w:val="0FC63FBD"/>
    <w:rsid w:val="0FDD003F"/>
    <w:rsid w:val="10305890"/>
    <w:rsid w:val="106C564D"/>
    <w:rsid w:val="107B7B8F"/>
    <w:rsid w:val="107C67CE"/>
    <w:rsid w:val="109D68CB"/>
    <w:rsid w:val="10A949B8"/>
    <w:rsid w:val="11200D07"/>
    <w:rsid w:val="11DA73AF"/>
    <w:rsid w:val="12511265"/>
    <w:rsid w:val="12C60D80"/>
    <w:rsid w:val="131F7A3A"/>
    <w:rsid w:val="132645D0"/>
    <w:rsid w:val="13455ABC"/>
    <w:rsid w:val="1370322B"/>
    <w:rsid w:val="13BA0460"/>
    <w:rsid w:val="13BB41AE"/>
    <w:rsid w:val="13C24F9B"/>
    <w:rsid w:val="143B2E0B"/>
    <w:rsid w:val="14892735"/>
    <w:rsid w:val="14CC769D"/>
    <w:rsid w:val="15D359D7"/>
    <w:rsid w:val="163C77BE"/>
    <w:rsid w:val="1679588C"/>
    <w:rsid w:val="168C2855"/>
    <w:rsid w:val="16994962"/>
    <w:rsid w:val="16A233CF"/>
    <w:rsid w:val="16A71041"/>
    <w:rsid w:val="16AA24BF"/>
    <w:rsid w:val="17680CAB"/>
    <w:rsid w:val="176E4128"/>
    <w:rsid w:val="1783371F"/>
    <w:rsid w:val="17E62B67"/>
    <w:rsid w:val="180F4499"/>
    <w:rsid w:val="18221ECE"/>
    <w:rsid w:val="183C3D90"/>
    <w:rsid w:val="1859036F"/>
    <w:rsid w:val="18FC7745"/>
    <w:rsid w:val="1A460CF5"/>
    <w:rsid w:val="1A7F297D"/>
    <w:rsid w:val="1A9D6244"/>
    <w:rsid w:val="1AB16AC1"/>
    <w:rsid w:val="1B0320FB"/>
    <w:rsid w:val="1B034A52"/>
    <w:rsid w:val="1B45344E"/>
    <w:rsid w:val="1B8C0040"/>
    <w:rsid w:val="1C750ECE"/>
    <w:rsid w:val="1CA56AF4"/>
    <w:rsid w:val="1D196139"/>
    <w:rsid w:val="1DBE6816"/>
    <w:rsid w:val="1E010AF7"/>
    <w:rsid w:val="1E301173"/>
    <w:rsid w:val="1E884D18"/>
    <w:rsid w:val="1EDD3235"/>
    <w:rsid w:val="1F43381C"/>
    <w:rsid w:val="1FA4148D"/>
    <w:rsid w:val="1FD82385"/>
    <w:rsid w:val="20121621"/>
    <w:rsid w:val="204E554F"/>
    <w:rsid w:val="20590035"/>
    <w:rsid w:val="20FC799E"/>
    <w:rsid w:val="21286DA7"/>
    <w:rsid w:val="21DE0801"/>
    <w:rsid w:val="22154DDD"/>
    <w:rsid w:val="22336873"/>
    <w:rsid w:val="23BB4E7D"/>
    <w:rsid w:val="23C172D6"/>
    <w:rsid w:val="23D77537"/>
    <w:rsid w:val="23E6195D"/>
    <w:rsid w:val="23F04F64"/>
    <w:rsid w:val="24814CBE"/>
    <w:rsid w:val="24AC168B"/>
    <w:rsid w:val="254D0389"/>
    <w:rsid w:val="25884C5D"/>
    <w:rsid w:val="258C3BEC"/>
    <w:rsid w:val="25B2479F"/>
    <w:rsid w:val="25E5427A"/>
    <w:rsid w:val="26366F9D"/>
    <w:rsid w:val="263B1230"/>
    <w:rsid w:val="26A605D9"/>
    <w:rsid w:val="272E3097"/>
    <w:rsid w:val="27B36A67"/>
    <w:rsid w:val="2846581F"/>
    <w:rsid w:val="286602C8"/>
    <w:rsid w:val="28665C95"/>
    <w:rsid w:val="28736F5F"/>
    <w:rsid w:val="28F579BA"/>
    <w:rsid w:val="290B3EB9"/>
    <w:rsid w:val="2950768C"/>
    <w:rsid w:val="297A5FC4"/>
    <w:rsid w:val="2A8D4F8F"/>
    <w:rsid w:val="2A917B34"/>
    <w:rsid w:val="2AE3766F"/>
    <w:rsid w:val="2AEC612E"/>
    <w:rsid w:val="2B0E56AB"/>
    <w:rsid w:val="2B590601"/>
    <w:rsid w:val="2B7E4054"/>
    <w:rsid w:val="2C987C56"/>
    <w:rsid w:val="2CC15BAA"/>
    <w:rsid w:val="2CFF149A"/>
    <w:rsid w:val="2D201865"/>
    <w:rsid w:val="2D4B5CEA"/>
    <w:rsid w:val="2D652658"/>
    <w:rsid w:val="2DC16E0A"/>
    <w:rsid w:val="2DC80C49"/>
    <w:rsid w:val="2DCA6355"/>
    <w:rsid w:val="2E166748"/>
    <w:rsid w:val="2E556F01"/>
    <w:rsid w:val="2E8E20B4"/>
    <w:rsid w:val="2EC1207D"/>
    <w:rsid w:val="2ED06066"/>
    <w:rsid w:val="2ED1223D"/>
    <w:rsid w:val="2F000139"/>
    <w:rsid w:val="2F9F42DC"/>
    <w:rsid w:val="2FF37AB3"/>
    <w:rsid w:val="31170995"/>
    <w:rsid w:val="31264A30"/>
    <w:rsid w:val="31884E67"/>
    <w:rsid w:val="31A0275E"/>
    <w:rsid w:val="32AB70C5"/>
    <w:rsid w:val="335D0AF5"/>
    <w:rsid w:val="3370088C"/>
    <w:rsid w:val="33DC2F78"/>
    <w:rsid w:val="3428227C"/>
    <w:rsid w:val="347918A5"/>
    <w:rsid w:val="34A61BDE"/>
    <w:rsid w:val="3522586C"/>
    <w:rsid w:val="35572473"/>
    <w:rsid w:val="35602226"/>
    <w:rsid w:val="356B72E7"/>
    <w:rsid w:val="3572424F"/>
    <w:rsid w:val="367801A9"/>
    <w:rsid w:val="36AD519D"/>
    <w:rsid w:val="36B57705"/>
    <w:rsid w:val="37122320"/>
    <w:rsid w:val="37A103ED"/>
    <w:rsid w:val="37E345A6"/>
    <w:rsid w:val="37EA5E6E"/>
    <w:rsid w:val="37FF016F"/>
    <w:rsid w:val="387C5ABE"/>
    <w:rsid w:val="38EB6119"/>
    <w:rsid w:val="3A51228C"/>
    <w:rsid w:val="3A545E48"/>
    <w:rsid w:val="3A552E60"/>
    <w:rsid w:val="3A5D642F"/>
    <w:rsid w:val="3AB210FC"/>
    <w:rsid w:val="3B793A48"/>
    <w:rsid w:val="3B85393E"/>
    <w:rsid w:val="3BCA4B8A"/>
    <w:rsid w:val="3BCD72F7"/>
    <w:rsid w:val="3C37146A"/>
    <w:rsid w:val="3C3D3625"/>
    <w:rsid w:val="3C414142"/>
    <w:rsid w:val="3C88055A"/>
    <w:rsid w:val="3CF737A2"/>
    <w:rsid w:val="3D10295A"/>
    <w:rsid w:val="3D370C2A"/>
    <w:rsid w:val="3E0572FD"/>
    <w:rsid w:val="3E5A7FE7"/>
    <w:rsid w:val="3E955A6A"/>
    <w:rsid w:val="3EF66B2E"/>
    <w:rsid w:val="3F217914"/>
    <w:rsid w:val="3FD70BB0"/>
    <w:rsid w:val="3FFB55AC"/>
    <w:rsid w:val="401C5F9D"/>
    <w:rsid w:val="401C690C"/>
    <w:rsid w:val="401D7195"/>
    <w:rsid w:val="409928E7"/>
    <w:rsid w:val="40CE3DC0"/>
    <w:rsid w:val="40D7455A"/>
    <w:rsid w:val="40E743E5"/>
    <w:rsid w:val="412D5EA0"/>
    <w:rsid w:val="41734CBA"/>
    <w:rsid w:val="417F4E1A"/>
    <w:rsid w:val="41A82190"/>
    <w:rsid w:val="420F7A65"/>
    <w:rsid w:val="4216611A"/>
    <w:rsid w:val="423E300F"/>
    <w:rsid w:val="425656C8"/>
    <w:rsid w:val="4257273C"/>
    <w:rsid w:val="42687ACE"/>
    <w:rsid w:val="42FD694D"/>
    <w:rsid w:val="438351F5"/>
    <w:rsid w:val="43D23F8D"/>
    <w:rsid w:val="43FA5777"/>
    <w:rsid w:val="441C1611"/>
    <w:rsid w:val="443C440B"/>
    <w:rsid w:val="44514F52"/>
    <w:rsid w:val="44AE3FD4"/>
    <w:rsid w:val="44D0586F"/>
    <w:rsid w:val="44FA2D53"/>
    <w:rsid w:val="4571374F"/>
    <w:rsid w:val="458B1BB0"/>
    <w:rsid w:val="45B93426"/>
    <w:rsid w:val="467A0297"/>
    <w:rsid w:val="468B7125"/>
    <w:rsid w:val="46C4691F"/>
    <w:rsid w:val="47685427"/>
    <w:rsid w:val="479D1D34"/>
    <w:rsid w:val="47B609C0"/>
    <w:rsid w:val="47EC3B04"/>
    <w:rsid w:val="481A219B"/>
    <w:rsid w:val="482D31EA"/>
    <w:rsid w:val="485970A0"/>
    <w:rsid w:val="48823516"/>
    <w:rsid w:val="48877686"/>
    <w:rsid w:val="48B65C71"/>
    <w:rsid w:val="48FB1909"/>
    <w:rsid w:val="492E6A57"/>
    <w:rsid w:val="49771AFE"/>
    <w:rsid w:val="4A0030EE"/>
    <w:rsid w:val="4A0568D6"/>
    <w:rsid w:val="4A484D41"/>
    <w:rsid w:val="4AB542AE"/>
    <w:rsid w:val="4B243D9D"/>
    <w:rsid w:val="4B8C2DEB"/>
    <w:rsid w:val="4BFA3C9F"/>
    <w:rsid w:val="4C107F48"/>
    <w:rsid w:val="4C3277BC"/>
    <w:rsid w:val="4CC353EB"/>
    <w:rsid w:val="4CF36F3C"/>
    <w:rsid w:val="4D1470BD"/>
    <w:rsid w:val="4D603399"/>
    <w:rsid w:val="4D867EE1"/>
    <w:rsid w:val="4DBC4C65"/>
    <w:rsid w:val="4DE2009B"/>
    <w:rsid w:val="4E533FA5"/>
    <w:rsid w:val="4E550010"/>
    <w:rsid w:val="4E5F14CB"/>
    <w:rsid w:val="4E6808B0"/>
    <w:rsid w:val="4EFB1C45"/>
    <w:rsid w:val="4F3705F8"/>
    <w:rsid w:val="4FAC3540"/>
    <w:rsid w:val="4FCF1583"/>
    <w:rsid w:val="4FD44D1B"/>
    <w:rsid w:val="4FFA7625"/>
    <w:rsid w:val="507D2599"/>
    <w:rsid w:val="5096229D"/>
    <w:rsid w:val="50DC4184"/>
    <w:rsid w:val="50FB6146"/>
    <w:rsid w:val="512F4CA0"/>
    <w:rsid w:val="514C3EA7"/>
    <w:rsid w:val="51FF3C99"/>
    <w:rsid w:val="52521A20"/>
    <w:rsid w:val="52AC4ABC"/>
    <w:rsid w:val="52E57A12"/>
    <w:rsid w:val="539C1B81"/>
    <w:rsid w:val="53A447B1"/>
    <w:rsid w:val="53AE750F"/>
    <w:rsid w:val="549A6BFA"/>
    <w:rsid w:val="55244D7F"/>
    <w:rsid w:val="55FA2961"/>
    <w:rsid w:val="564220BA"/>
    <w:rsid w:val="565E7F4F"/>
    <w:rsid w:val="56914056"/>
    <w:rsid w:val="56C36589"/>
    <w:rsid w:val="57293C95"/>
    <w:rsid w:val="572A6381"/>
    <w:rsid w:val="57365868"/>
    <w:rsid w:val="57F65317"/>
    <w:rsid w:val="57FC2169"/>
    <w:rsid w:val="58096275"/>
    <w:rsid w:val="582E6EF7"/>
    <w:rsid w:val="584E30E6"/>
    <w:rsid w:val="5920012C"/>
    <w:rsid w:val="595578DE"/>
    <w:rsid w:val="597B384D"/>
    <w:rsid w:val="59996DA8"/>
    <w:rsid w:val="59C30F1B"/>
    <w:rsid w:val="5AC7121C"/>
    <w:rsid w:val="5AD90B8D"/>
    <w:rsid w:val="5AE12927"/>
    <w:rsid w:val="5AF87CC9"/>
    <w:rsid w:val="5B4E1A44"/>
    <w:rsid w:val="5B873201"/>
    <w:rsid w:val="5B967767"/>
    <w:rsid w:val="5C286807"/>
    <w:rsid w:val="5C370E72"/>
    <w:rsid w:val="5C446BC8"/>
    <w:rsid w:val="5C7146B1"/>
    <w:rsid w:val="5C7C2768"/>
    <w:rsid w:val="5CB23AE6"/>
    <w:rsid w:val="5CED5863"/>
    <w:rsid w:val="5D0D6DF5"/>
    <w:rsid w:val="5D893B14"/>
    <w:rsid w:val="5EA06921"/>
    <w:rsid w:val="5F085DDA"/>
    <w:rsid w:val="5FBE370A"/>
    <w:rsid w:val="5FC83407"/>
    <w:rsid w:val="5FF0558C"/>
    <w:rsid w:val="601A27F4"/>
    <w:rsid w:val="60292845"/>
    <w:rsid w:val="60B9251B"/>
    <w:rsid w:val="60E236C1"/>
    <w:rsid w:val="61260B6B"/>
    <w:rsid w:val="612E1A5D"/>
    <w:rsid w:val="61816046"/>
    <w:rsid w:val="62391564"/>
    <w:rsid w:val="62816669"/>
    <w:rsid w:val="62B36CD7"/>
    <w:rsid w:val="62BA0953"/>
    <w:rsid w:val="62D03A7C"/>
    <w:rsid w:val="62F42FAE"/>
    <w:rsid w:val="62F648FE"/>
    <w:rsid w:val="63167A4F"/>
    <w:rsid w:val="631D2BD6"/>
    <w:rsid w:val="637D5B70"/>
    <w:rsid w:val="63825E77"/>
    <w:rsid w:val="63A10995"/>
    <w:rsid w:val="63C23EFA"/>
    <w:rsid w:val="63D255DA"/>
    <w:rsid w:val="643A070A"/>
    <w:rsid w:val="644C573D"/>
    <w:rsid w:val="65032F85"/>
    <w:rsid w:val="65136B50"/>
    <w:rsid w:val="657E2A35"/>
    <w:rsid w:val="65A94E9D"/>
    <w:rsid w:val="65C60A92"/>
    <w:rsid w:val="660451CE"/>
    <w:rsid w:val="66A12460"/>
    <w:rsid w:val="66DD6702"/>
    <w:rsid w:val="675E528D"/>
    <w:rsid w:val="67A32389"/>
    <w:rsid w:val="682A2352"/>
    <w:rsid w:val="68707071"/>
    <w:rsid w:val="6884222C"/>
    <w:rsid w:val="68AD17BB"/>
    <w:rsid w:val="68D94D22"/>
    <w:rsid w:val="692B2E4A"/>
    <w:rsid w:val="696A0B34"/>
    <w:rsid w:val="698D6A17"/>
    <w:rsid w:val="69F954C1"/>
    <w:rsid w:val="6A2031B6"/>
    <w:rsid w:val="6A2F57D7"/>
    <w:rsid w:val="6AC61F6F"/>
    <w:rsid w:val="6ADE74F0"/>
    <w:rsid w:val="6B723594"/>
    <w:rsid w:val="6B805156"/>
    <w:rsid w:val="6BD50977"/>
    <w:rsid w:val="6BE60C84"/>
    <w:rsid w:val="6C6C32E1"/>
    <w:rsid w:val="6CAA3931"/>
    <w:rsid w:val="6D3933CA"/>
    <w:rsid w:val="6D7B61EC"/>
    <w:rsid w:val="6E09491E"/>
    <w:rsid w:val="6E0D3655"/>
    <w:rsid w:val="6E5F4465"/>
    <w:rsid w:val="6E8C54DA"/>
    <w:rsid w:val="6EF11E03"/>
    <w:rsid w:val="6EF82916"/>
    <w:rsid w:val="6F111C62"/>
    <w:rsid w:val="6F2176E5"/>
    <w:rsid w:val="6F592303"/>
    <w:rsid w:val="6F5F5B74"/>
    <w:rsid w:val="6F9B1C65"/>
    <w:rsid w:val="6FE82C9C"/>
    <w:rsid w:val="6FFB146E"/>
    <w:rsid w:val="706516C3"/>
    <w:rsid w:val="70896E68"/>
    <w:rsid w:val="71396ACC"/>
    <w:rsid w:val="715B60E9"/>
    <w:rsid w:val="71EA1FED"/>
    <w:rsid w:val="72165C6B"/>
    <w:rsid w:val="72E661B1"/>
    <w:rsid w:val="730313F6"/>
    <w:rsid w:val="73370D24"/>
    <w:rsid w:val="73472C84"/>
    <w:rsid w:val="7359268C"/>
    <w:rsid w:val="739503EB"/>
    <w:rsid w:val="73A05B28"/>
    <w:rsid w:val="73C07D69"/>
    <w:rsid w:val="74B42AE4"/>
    <w:rsid w:val="750A429D"/>
    <w:rsid w:val="75614792"/>
    <w:rsid w:val="75784473"/>
    <w:rsid w:val="75B161B3"/>
    <w:rsid w:val="76736B32"/>
    <w:rsid w:val="76C27A74"/>
    <w:rsid w:val="76E3765E"/>
    <w:rsid w:val="76FC2AFA"/>
    <w:rsid w:val="77527424"/>
    <w:rsid w:val="77653671"/>
    <w:rsid w:val="778546CC"/>
    <w:rsid w:val="778B6B46"/>
    <w:rsid w:val="77B56730"/>
    <w:rsid w:val="77C04A8B"/>
    <w:rsid w:val="77D85DB3"/>
    <w:rsid w:val="782A3EA3"/>
    <w:rsid w:val="78A50513"/>
    <w:rsid w:val="78EF7AB5"/>
    <w:rsid w:val="796518DD"/>
    <w:rsid w:val="79724BEF"/>
    <w:rsid w:val="79AA0532"/>
    <w:rsid w:val="79FE1DDD"/>
    <w:rsid w:val="7A075767"/>
    <w:rsid w:val="7A212062"/>
    <w:rsid w:val="7A282A11"/>
    <w:rsid w:val="7A3A59B8"/>
    <w:rsid w:val="7AC21562"/>
    <w:rsid w:val="7AD474A4"/>
    <w:rsid w:val="7B865D50"/>
    <w:rsid w:val="7B8D34C3"/>
    <w:rsid w:val="7B971D84"/>
    <w:rsid w:val="7BB4028F"/>
    <w:rsid w:val="7BF32F03"/>
    <w:rsid w:val="7C1724A5"/>
    <w:rsid w:val="7CA54112"/>
    <w:rsid w:val="7CAB27F5"/>
    <w:rsid w:val="7CD71EA3"/>
    <w:rsid w:val="7CE50CE4"/>
    <w:rsid w:val="7D134762"/>
    <w:rsid w:val="7D2E5ABF"/>
    <w:rsid w:val="7E2142A2"/>
    <w:rsid w:val="7E7B0BF2"/>
    <w:rsid w:val="7E8D75B6"/>
    <w:rsid w:val="7EF760EE"/>
    <w:rsid w:val="7F5A01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32"/>
    <w:unhideWhenUsed/>
    <w:qFormat/>
    <w:uiPriority w:val="9"/>
    <w:pPr>
      <w:keepNext/>
      <w:keepLines/>
      <w:spacing w:line="360" w:lineRule="auto"/>
      <w:outlineLvl w:val="3"/>
    </w:pPr>
    <w:rPr>
      <w:rFonts w:eastAsia="宋体" w:asciiTheme="majorAscii" w:hAnsiTheme="majorAscii" w:cstheme="majorBidi"/>
      <w:b/>
      <w:bCs/>
      <w:sz w:val="24"/>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4"/>
    <w:qFormat/>
    <w:uiPriority w:val="1"/>
    <w:pPr>
      <w:spacing w:before="161"/>
      <w:ind w:left="120"/>
    </w:pPr>
    <w:rPr>
      <w:rFonts w:ascii="宋体" w:hAnsi="宋体" w:eastAsia="宋体" w:cs="宋体"/>
      <w:sz w:val="24"/>
      <w:lang w:val="zh-CN" w:bidi="zh-CN"/>
    </w:rPr>
  </w:style>
  <w:style w:type="paragraph" w:styleId="3">
    <w:name w:val="Body Text First Indent"/>
    <w:basedOn w:val="2"/>
    <w:qFormat/>
    <w:uiPriority w:val="0"/>
    <w:pPr>
      <w:snapToGrid w:val="0"/>
      <w:spacing w:after="120" w:line="360" w:lineRule="auto"/>
      <w:ind w:firstLine="420" w:firstLineChars="100"/>
    </w:pPr>
    <w:rPr>
      <w:bCs/>
      <w:szCs w:val="21"/>
    </w:rPr>
  </w:style>
  <w:style w:type="paragraph" w:styleId="8">
    <w:name w:val="annotation text"/>
    <w:basedOn w:val="1"/>
    <w:link w:val="51"/>
    <w:semiHidden/>
    <w:unhideWhenUsed/>
    <w:qFormat/>
    <w:uiPriority w:val="99"/>
  </w:style>
  <w:style w:type="paragraph" w:styleId="9">
    <w:name w:val="Body Text Indent"/>
    <w:basedOn w:val="1"/>
    <w:qFormat/>
    <w:uiPriority w:val="0"/>
    <w:pPr>
      <w:ind w:left="359" w:leftChars="171" w:firstLine="179" w:firstLineChars="85"/>
    </w:pPr>
    <w:rPr>
      <w:rFonts w:ascii="宋体" w:hAnsi="宋体"/>
      <w:b/>
      <w:bCs/>
      <w:szCs w:val="26"/>
    </w:rPr>
  </w:style>
  <w:style w:type="paragraph" w:styleId="10">
    <w:name w:val="toc 3"/>
    <w:basedOn w:val="1"/>
    <w:next w:val="1"/>
    <w:unhideWhenUsed/>
    <w:qFormat/>
    <w:uiPriority w:val="39"/>
    <w:pPr>
      <w:tabs>
        <w:tab w:val="right" w:leader="dot" w:pos="8296"/>
      </w:tabs>
      <w:ind w:left="838" w:leftChars="381"/>
    </w:pPr>
    <w:rPr>
      <w:sz w:val="21"/>
      <w:szCs w:val="21"/>
    </w:rPr>
  </w:style>
  <w:style w:type="paragraph" w:styleId="11">
    <w:name w:val="Plain Text"/>
    <w:basedOn w:val="1"/>
    <w:link w:val="43"/>
    <w:qFormat/>
    <w:uiPriority w:val="0"/>
    <w:pPr>
      <w:widowControl w:val="0"/>
      <w:adjustRightInd/>
      <w:snapToGrid/>
      <w:spacing w:after="0"/>
      <w:jc w:val="both"/>
    </w:pPr>
    <w:rPr>
      <w:rFonts w:ascii="宋体" w:hAnsi="Courier New" w:eastAsia="宋体" w:cs="Times New Roman"/>
      <w:b/>
      <w:kern w:val="2"/>
      <w:sz w:val="21"/>
      <w:szCs w:val="20"/>
    </w:rPr>
  </w:style>
  <w:style w:type="paragraph" w:styleId="12">
    <w:name w:val="Balloon Text"/>
    <w:basedOn w:val="1"/>
    <w:link w:val="46"/>
    <w:semiHidden/>
    <w:unhideWhenUsed/>
    <w:qFormat/>
    <w:uiPriority w:val="99"/>
    <w:pPr>
      <w:spacing w:after="0"/>
    </w:pPr>
    <w:rPr>
      <w:sz w:val="18"/>
      <w:szCs w:val="18"/>
    </w:rPr>
  </w:style>
  <w:style w:type="paragraph" w:styleId="13">
    <w:name w:val="footer"/>
    <w:basedOn w:val="1"/>
    <w:link w:val="45"/>
    <w:unhideWhenUsed/>
    <w:qFormat/>
    <w:uiPriority w:val="99"/>
    <w:pPr>
      <w:tabs>
        <w:tab w:val="center" w:pos="4153"/>
        <w:tab w:val="right" w:pos="8306"/>
      </w:tabs>
    </w:pPr>
    <w:rPr>
      <w:sz w:val="18"/>
      <w:szCs w:val="18"/>
    </w:rPr>
  </w:style>
  <w:style w:type="paragraph" w:styleId="14">
    <w:name w:val="header"/>
    <w:basedOn w:val="1"/>
    <w:link w:val="44"/>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semiHidden/>
    <w:unhideWhenUsed/>
    <w:qFormat/>
    <w:uiPriority w:val="39"/>
  </w:style>
  <w:style w:type="paragraph" w:styleId="16">
    <w:name w:val="toc 4"/>
    <w:basedOn w:val="1"/>
    <w:next w:val="1"/>
    <w:unhideWhenUsed/>
    <w:qFormat/>
    <w:uiPriority w:val="39"/>
    <w:pPr>
      <w:tabs>
        <w:tab w:val="right" w:leader="dot" w:pos="8296"/>
      </w:tabs>
      <w:spacing w:after="120"/>
      <w:ind w:left="1320" w:leftChars="600"/>
    </w:pPr>
  </w:style>
  <w:style w:type="paragraph" w:styleId="17">
    <w:name w:val="footnote text"/>
    <w:basedOn w:val="1"/>
    <w:semiHidden/>
    <w:unhideWhenUsed/>
    <w:qFormat/>
    <w:uiPriority w:val="99"/>
    <w:rPr>
      <w:sz w:val="18"/>
    </w:rPr>
  </w:style>
  <w:style w:type="paragraph" w:styleId="18">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9">
    <w:name w:val="Normal (Web)"/>
    <w:basedOn w:val="1"/>
    <w:link w:val="48"/>
    <w:qFormat/>
    <w:uiPriority w:val="0"/>
    <w:pPr>
      <w:widowControl w:val="0"/>
      <w:adjustRightInd/>
      <w:snapToGrid/>
      <w:spacing w:after="0"/>
      <w:jc w:val="both"/>
    </w:pPr>
    <w:rPr>
      <w:rFonts w:eastAsia="宋体" w:asciiTheme="minorHAnsi" w:hAnsiTheme="minorHAnsi"/>
      <w:kern w:val="2"/>
      <w:sz w:val="24"/>
      <w:szCs w:val="24"/>
    </w:rPr>
  </w:style>
  <w:style w:type="paragraph" w:styleId="20">
    <w:name w:val="annotation subject"/>
    <w:basedOn w:val="8"/>
    <w:next w:val="8"/>
    <w:link w:val="52"/>
    <w:semiHidden/>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Emphasis"/>
    <w:basedOn w:val="23"/>
    <w:qFormat/>
    <w:uiPriority w:val="20"/>
    <w:rPr>
      <w:i/>
      <w:iCs/>
    </w:rPr>
  </w:style>
  <w:style w:type="character" w:styleId="25">
    <w:name w:val="Hyperlink"/>
    <w:qFormat/>
    <w:uiPriority w:val="99"/>
    <w:rPr>
      <w:rFonts w:hint="eastAsia" w:ascii="宋体" w:hAnsi="宋体" w:eastAsia="宋体" w:cs="宋体"/>
      <w:b/>
      <w:color w:val="0031C1"/>
      <w:kern w:val="0"/>
      <w:sz w:val="18"/>
      <w:szCs w:val="18"/>
      <w:u w:val="none"/>
      <w:lang w:eastAsia="en-US"/>
    </w:rPr>
  </w:style>
  <w:style w:type="character" w:styleId="26">
    <w:name w:val="annotation reference"/>
    <w:basedOn w:val="23"/>
    <w:semiHidden/>
    <w:unhideWhenUsed/>
    <w:qFormat/>
    <w:uiPriority w:val="99"/>
    <w:rPr>
      <w:sz w:val="21"/>
      <w:szCs w:val="21"/>
    </w:rPr>
  </w:style>
  <w:style w:type="character" w:styleId="27">
    <w:name w:val="footnote reference"/>
    <w:basedOn w:val="23"/>
    <w:semiHidden/>
    <w:unhideWhenUsed/>
    <w:qFormat/>
    <w:uiPriority w:val="99"/>
    <w:rPr>
      <w:vertAlign w:val="superscript"/>
    </w:rPr>
  </w:style>
  <w:style w:type="paragraph" w:customStyle="1" w:styleId="28">
    <w:name w:val="首行缩进"/>
    <w:basedOn w:val="1"/>
    <w:qFormat/>
    <w:uiPriority w:val="0"/>
    <w:pPr>
      <w:autoSpaceDE/>
      <w:autoSpaceDN/>
      <w:adjustRightInd/>
      <w:spacing w:line="300" w:lineRule="auto"/>
      <w:ind w:firstLine="420" w:firstLineChars="200"/>
      <w:jc w:val="both"/>
    </w:pPr>
    <w:rPr>
      <w:rFonts w:ascii="Calibri" w:hAnsi="Calibri" w:eastAsia="方正书宋简体" w:cs="Times New Roman"/>
      <w:sz w:val="20"/>
    </w:rPr>
  </w:style>
  <w:style w:type="character" w:customStyle="1" w:styleId="29">
    <w:name w:val="标题 2 Char"/>
    <w:basedOn w:val="23"/>
    <w:link w:val="5"/>
    <w:qFormat/>
    <w:uiPriority w:val="9"/>
    <w:rPr>
      <w:rFonts w:asciiTheme="majorHAnsi" w:hAnsiTheme="majorHAnsi" w:eastAsiaTheme="majorEastAsia" w:cstheme="majorBidi"/>
      <w:b/>
      <w:bCs/>
      <w:sz w:val="32"/>
      <w:szCs w:val="32"/>
    </w:rPr>
  </w:style>
  <w:style w:type="character" w:customStyle="1" w:styleId="30">
    <w:name w:val="标题 3 Char"/>
    <w:basedOn w:val="23"/>
    <w:link w:val="6"/>
    <w:qFormat/>
    <w:uiPriority w:val="9"/>
    <w:rPr>
      <w:rFonts w:ascii="Tahoma" w:hAnsi="Tahoma"/>
      <w:b/>
      <w:bCs/>
      <w:sz w:val="32"/>
      <w:szCs w:val="32"/>
    </w:rPr>
  </w:style>
  <w:style w:type="paragraph" w:styleId="31">
    <w:name w:val="List Paragraph"/>
    <w:basedOn w:val="1"/>
    <w:link w:val="53"/>
    <w:qFormat/>
    <w:uiPriority w:val="0"/>
    <w:pPr>
      <w:ind w:firstLine="420" w:firstLineChars="200"/>
    </w:pPr>
  </w:style>
  <w:style w:type="character" w:customStyle="1" w:styleId="32">
    <w:name w:val="标题 4 Char"/>
    <w:basedOn w:val="23"/>
    <w:link w:val="7"/>
    <w:qFormat/>
    <w:uiPriority w:val="9"/>
    <w:rPr>
      <w:rFonts w:eastAsia="宋体" w:asciiTheme="majorAscii" w:hAnsiTheme="majorAscii" w:cstheme="majorBidi"/>
      <w:b/>
      <w:bCs/>
      <w:sz w:val="24"/>
      <w:szCs w:val="28"/>
    </w:rPr>
  </w:style>
  <w:style w:type="character" w:customStyle="1" w:styleId="33">
    <w:name w:val="正文缩进2格 Char"/>
    <w:link w:val="34"/>
    <w:qFormat/>
    <w:uiPriority w:val="0"/>
    <w:rPr>
      <w:rFonts w:ascii="仿宋_GB2312" w:hAnsi="宋体" w:eastAsia="仿宋_GB2312"/>
      <w:kern w:val="2"/>
      <w:sz w:val="31"/>
    </w:rPr>
  </w:style>
  <w:style w:type="paragraph" w:customStyle="1" w:styleId="34">
    <w:name w:val="正文缩进2格"/>
    <w:basedOn w:val="1"/>
    <w:link w:val="33"/>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5">
    <w:name w:val="正文缩进4格"/>
    <w:basedOn w:val="34"/>
    <w:qFormat/>
    <w:uiPriority w:val="0"/>
    <w:pPr>
      <w:ind w:left="2" w:firstLine="538" w:firstLineChars="192"/>
    </w:pPr>
    <w:rPr>
      <w:color w:val="0000FF"/>
      <w:sz w:val="28"/>
    </w:rPr>
  </w:style>
  <w:style w:type="character" w:customStyle="1" w:styleId="36">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7">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8">
    <w:name w:val="标题1"/>
    <w:qFormat/>
    <w:uiPriority w:val="0"/>
    <w:rPr>
      <w:rFonts w:ascii="Times New Roman" w:hAnsi="Times New Roman" w:eastAsia="宋体" w:cs="Times New Roman"/>
      <w:b/>
      <w:kern w:val="0"/>
      <w:sz w:val="24"/>
      <w:szCs w:val="20"/>
      <w:lang w:eastAsia="en-US"/>
    </w:rPr>
  </w:style>
  <w:style w:type="character" w:customStyle="1" w:styleId="39">
    <w:name w:val="标题 3.1 Char"/>
    <w:link w:val="40"/>
    <w:qFormat/>
    <w:uiPriority w:val="0"/>
    <w:rPr>
      <w:rFonts w:ascii="宋体" w:hAnsi="宋体" w:eastAsia="宋体"/>
      <w:b/>
      <w:color w:val="FF0000"/>
      <w:kern w:val="2"/>
      <w:sz w:val="32"/>
    </w:rPr>
  </w:style>
  <w:style w:type="paragraph" w:customStyle="1" w:styleId="40">
    <w:name w:val="标题 3.1"/>
    <w:basedOn w:val="6"/>
    <w:link w:val="39"/>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41">
    <w:name w:val="样式 楷体_GB2312 小四"/>
    <w:qFormat/>
    <w:uiPriority w:val="0"/>
    <w:rPr>
      <w:rFonts w:ascii="楷体_GB2312" w:hAnsi="楷体_GB2312" w:eastAsia="仿宋_GB2312"/>
      <w:sz w:val="24"/>
    </w:rPr>
  </w:style>
  <w:style w:type="character" w:customStyle="1" w:styleId="42">
    <w:name w:val="纯文本 Char"/>
    <w:qFormat/>
    <w:uiPriority w:val="0"/>
    <w:rPr>
      <w:rFonts w:ascii="宋体" w:hAnsi="Courier New" w:eastAsia="宋体" w:cs="Times New Roman"/>
      <w:b/>
      <w:kern w:val="2"/>
      <w:sz w:val="21"/>
      <w:szCs w:val="20"/>
    </w:rPr>
  </w:style>
  <w:style w:type="character" w:customStyle="1" w:styleId="43">
    <w:name w:val="纯文本 Char1"/>
    <w:basedOn w:val="23"/>
    <w:link w:val="11"/>
    <w:semiHidden/>
    <w:qFormat/>
    <w:uiPriority w:val="99"/>
    <w:rPr>
      <w:rFonts w:ascii="宋体" w:hAnsi="Courier New" w:eastAsia="宋体" w:cs="Courier New"/>
      <w:sz w:val="21"/>
      <w:szCs w:val="21"/>
    </w:rPr>
  </w:style>
  <w:style w:type="character" w:customStyle="1" w:styleId="44">
    <w:name w:val="页眉 Char"/>
    <w:basedOn w:val="23"/>
    <w:link w:val="14"/>
    <w:qFormat/>
    <w:uiPriority w:val="99"/>
    <w:rPr>
      <w:rFonts w:ascii="Tahoma" w:hAnsi="Tahoma"/>
      <w:sz w:val="18"/>
      <w:szCs w:val="18"/>
    </w:rPr>
  </w:style>
  <w:style w:type="character" w:customStyle="1" w:styleId="45">
    <w:name w:val="页脚 Char"/>
    <w:basedOn w:val="23"/>
    <w:link w:val="13"/>
    <w:qFormat/>
    <w:uiPriority w:val="99"/>
    <w:rPr>
      <w:rFonts w:ascii="Tahoma" w:hAnsi="Tahoma"/>
      <w:sz w:val="18"/>
      <w:szCs w:val="18"/>
    </w:rPr>
  </w:style>
  <w:style w:type="character" w:customStyle="1" w:styleId="46">
    <w:name w:val="批注框文本 Char"/>
    <w:basedOn w:val="23"/>
    <w:link w:val="12"/>
    <w:semiHidden/>
    <w:qFormat/>
    <w:uiPriority w:val="99"/>
    <w:rPr>
      <w:rFonts w:ascii="Tahoma" w:hAnsi="Tahoma"/>
      <w:sz w:val="18"/>
      <w:szCs w:val="18"/>
    </w:rPr>
  </w:style>
  <w:style w:type="paragraph" w:customStyle="1" w:styleId="47">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8">
    <w:name w:val="普通(网站) Char"/>
    <w:link w:val="19"/>
    <w:qFormat/>
    <w:uiPriority w:val="0"/>
    <w:rPr>
      <w:rFonts w:eastAsia="宋体"/>
      <w:kern w:val="2"/>
      <w:sz w:val="24"/>
      <w:szCs w:val="24"/>
    </w:rPr>
  </w:style>
  <w:style w:type="paragraph" w:customStyle="1" w:styleId="49">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50">
    <w:name w:val="p141"/>
    <w:qFormat/>
    <w:uiPriority w:val="0"/>
    <w:rPr>
      <w:sz w:val="21"/>
      <w:szCs w:val="21"/>
    </w:rPr>
  </w:style>
  <w:style w:type="character" w:customStyle="1" w:styleId="51">
    <w:name w:val="批注文字 Char"/>
    <w:basedOn w:val="23"/>
    <w:link w:val="8"/>
    <w:semiHidden/>
    <w:qFormat/>
    <w:uiPriority w:val="99"/>
    <w:rPr>
      <w:rFonts w:ascii="Tahoma" w:hAnsi="Tahoma" w:eastAsia="微软雅黑" w:cstheme="minorBidi"/>
      <w:sz w:val="22"/>
      <w:szCs w:val="22"/>
    </w:rPr>
  </w:style>
  <w:style w:type="character" w:customStyle="1" w:styleId="52">
    <w:name w:val="批注主题 Char"/>
    <w:basedOn w:val="51"/>
    <w:link w:val="20"/>
    <w:semiHidden/>
    <w:qFormat/>
    <w:uiPriority w:val="99"/>
    <w:rPr>
      <w:rFonts w:ascii="Tahoma" w:hAnsi="Tahoma" w:eastAsia="微软雅黑" w:cstheme="minorBidi"/>
      <w:b/>
      <w:bCs/>
      <w:sz w:val="22"/>
      <w:szCs w:val="22"/>
    </w:rPr>
  </w:style>
  <w:style w:type="character" w:customStyle="1" w:styleId="53">
    <w:name w:val="列出段落 Char"/>
    <w:link w:val="31"/>
    <w:qFormat/>
    <w:uiPriority w:val="0"/>
    <w:rPr>
      <w:rFonts w:ascii="Tahoma" w:hAnsi="Tahoma" w:eastAsia="微软雅黑" w:cstheme="minorBidi"/>
      <w:sz w:val="22"/>
      <w:szCs w:val="22"/>
    </w:rPr>
  </w:style>
  <w:style w:type="character" w:customStyle="1" w:styleId="54">
    <w:name w:val="正文文本 Char"/>
    <w:basedOn w:val="23"/>
    <w:link w:val="2"/>
    <w:qFormat/>
    <w:uiPriority w:val="1"/>
    <w:rPr>
      <w:rFonts w:ascii="宋体" w:hAnsi="宋体" w:cs="宋体"/>
      <w:sz w:val="24"/>
      <w:szCs w:val="22"/>
      <w:lang w:val="zh-CN" w:bidi="zh-CN"/>
    </w:r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
    <w:name w:val="_Style 1"/>
    <w:basedOn w:val="1"/>
    <w:qFormat/>
    <w:uiPriority w:val="0"/>
    <w:pPr>
      <w:ind w:firstLine="420" w:firstLineChars="200"/>
    </w:pPr>
  </w:style>
  <w:style w:type="paragraph" w:customStyle="1" w:styleId="57">
    <w:name w:val="列出段落"/>
    <w:basedOn w:val="1"/>
    <w:qFormat/>
    <w:uiPriority w:val="0"/>
    <w:pPr>
      <w:ind w:firstLine="420" w:firstLineChars="200"/>
    </w:pPr>
  </w:style>
  <w:style w:type="paragraph" w:customStyle="1" w:styleId="58">
    <w:name w:val="p0"/>
    <w:basedOn w:val="1"/>
    <w:qFormat/>
    <w:uiPriority w:val="0"/>
    <w:pPr>
      <w:widowControl/>
    </w:pPr>
    <w:rPr>
      <w:kern w:val="0"/>
      <w:szCs w:val="21"/>
    </w:rPr>
  </w:style>
  <w:style w:type="paragraph" w:customStyle="1" w:styleId="59">
    <w:name w:val="正文文本缩进 21"/>
    <w:basedOn w:val="1"/>
    <w:qFormat/>
    <w:uiPriority w:val="0"/>
    <w:pPr>
      <w:adjustRightInd w:val="0"/>
      <w:spacing w:line="480" w:lineRule="auto"/>
      <w:ind w:firstLine="540"/>
    </w:pPr>
    <w:rPr>
      <w:rFonts w:ascii="Calibri" w:hAnsi="Calibri"/>
      <w:kern w:val="0"/>
      <w:sz w:val="20"/>
      <w:szCs w:val="20"/>
    </w:rPr>
  </w:style>
  <w:style w:type="paragraph" w:customStyle="1" w:styleId="60">
    <w:name w:val="_Style 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1FBAE-2CAE-44C6-AC91-4383CA6204F1}">
  <ds:schemaRefs/>
</ds:datastoreItem>
</file>

<file path=docProps/app.xml><?xml version="1.0" encoding="utf-8"?>
<Properties xmlns="http://schemas.openxmlformats.org/officeDocument/2006/extended-properties" xmlns:vt="http://schemas.openxmlformats.org/officeDocument/2006/docPropsVTypes">
  <Template>Normal</Template>
  <Pages>66</Pages>
  <Words>6908</Words>
  <Characters>39381</Characters>
  <Lines>328</Lines>
  <Paragraphs>92</Paragraphs>
  <TotalTime>0</TotalTime>
  <ScaleCrop>false</ScaleCrop>
  <LinksUpToDate>false</LinksUpToDate>
  <CharactersWithSpaces>46197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2018-03-23T02:07:00Z</dcterms:created>
  <dc:creator>MyPC</dc:creator>
  <cp:lastModifiedBy>Admain</cp:lastModifiedBy>
  <cp:lastPrinted>2019-04-01T01:49:00Z</cp:lastPrinted>
  <dcterms:modified xsi:type="dcterms:W3CDTF">2021-12-24T04:15:27Z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E7804F119CF74DE1B88559B96290AF51</vt:lpwstr>
  </property>
</Properties>
</file>