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东莞市政府采购</w:t>
      </w:r>
    </w:p>
    <w:p>
      <w:pPr>
        <w:pStyle w:val="2"/>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6"/>
                    <a:srcRect l="6233" t="18358" r="67326" b="19339"/>
                    <a:stretch>
                      <a:fillRect/>
                    </a:stretch>
                  </pic:blipFill>
                  <pic:spPr>
                    <a:xfrm>
                      <a:off x="0" y="0"/>
                      <a:ext cx="2129790" cy="2035175"/>
                    </a:xfrm>
                    <a:prstGeom prst="rect">
                      <a:avLst/>
                    </a:prstGeom>
                  </pic:spPr>
                </pic:pic>
              </a:graphicData>
            </a:graphic>
          </wp:inline>
        </w:drawing>
      </w:r>
    </w:p>
    <w:p>
      <w:pPr>
        <w:pStyle w:val="21"/>
        <w:ind w:firstLine="240"/>
        <w:rPr>
          <w:rFonts w:ascii="黑体" w:eastAsia="黑体"/>
          <w:color w:val="auto"/>
          <w:szCs w:val="21"/>
          <w:highlight w:val="none"/>
        </w:rPr>
      </w:pPr>
    </w:p>
    <w:p>
      <w:pPr>
        <w:pStyle w:val="21"/>
        <w:ind w:left="0" w:firstLine="0" w:firstLineChars="0"/>
        <w:rPr>
          <w:rFonts w:ascii="黑体" w:eastAsia="黑体"/>
          <w:color w:val="auto"/>
          <w:szCs w:val="21"/>
          <w:highlight w:val="none"/>
        </w:rPr>
      </w:pPr>
    </w:p>
    <w:p>
      <w:pPr>
        <w:pStyle w:val="21"/>
        <w:ind w:left="0" w:firstLine="0" w:firstLineChars="0"/>
        <w:rPr>
          <w:rFonts w:ascii="黑体" w:eastAsia="黑体"/>
          <w:color w:val="auto"/>
          <w:szCs w:val="21"/>
          <w:highlight w:val="none"/>
        </w:rPr>
      </w:pPr>
    </w:p>
    <w:tbl>
      <w:tblPr>
        <w:tblStyle w:val="23"/>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441900014-2021-00993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东莞市横沥医院外包洗衣服务项目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东莞市横沥医院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19"/>
        <w:ind w:left="420"/>
        <w:rPr>
          <w:color w:val="auto"/>
          <w:sz w:val="32"/>
          <w:szCs w:val="32"/>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凡参与本项目政府采购活动的供应商需访问并登录广东省政府采购网的广东政府采购智慧云平台（https://gdgpo.czt.gd.gov.cn/）进行注册建档入库，投标供应商在使用过程中遇到涉及系统使用的任何问题，可致电云平台技术支持热线400-183-2999进行咨询。</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4、请正确填写《唱标一览表》。多包项目请仔细检查包组号，包组号跟包组名称必须一致。</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5、投标文件应编制目录及按顺序编制页码。</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6、请仔细检查投标文件是否已按招标文件盖章、签名(或盖私章)、签署日期。</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7、加★号条款必须完全响应，不响应或负偏离将导致投标无效。</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8、为避免因迟到而无法按时递交投标文件，投标供应商应自行计算路途可能出现塞车的时间，建议在投标文件递交截止时间之前30分钟内到达开标地点，投标截止时间一到，本公司不接收任何投标文件。</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9、请各投标供应商缴纳投标保证金前务必核对正确的缴纳账户，由于错缴、误缴而导致未按项目缴纳投标保证金的情况将由投标供应商自行负责。</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10、投标保证金必须于投标文件递交截止时间前到达</w:t>
      </w:r>
      <w:r>
        <w:rPr>
          <w:rFonts w:hint="eastAsia" w:ascii="宋体" w:hAnsi="宋体" w:cs="宋体"/>
          <w:b/>
          <w:color w:val="auto"/>
          <w:szCs w:val="21"/>
          <w:highlight w:val="none"/>
          <w:lang w:val="zh-CN"/>
        </w:rPr>
        <w:t>广东政通招标有限公司</w:t>
      </w:r>
      <w:r>
        <w:rPr>
          <w:rFonts w:hint="eastAsia" w:ascii="宋体" w:hAnsi="宋体" w:cs="宋体"/>
          <w:b/>
          <w:color w:val="auto"/>
          <w:szCs w:val="21"/>
          <w:highlight w:val="none"/>
        </w:rPr>
        <w:t>账户，账户详见招标文件。由于转账当天不能确保实时到账，为避免因投标保证金未到账而导致投标被拒绝，建议提前2个工作日转账。</w:t>
      </w:r>
    </w:p>
    <w:p>
      <w:pPr>
        <w:pStyle w:val="32"/>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11、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32"/>
        <w:spacing w:line="480" w:lineRule="auto"/>
        <w:ind w:firstLine="0" w:firstLineChars="0"/>
        <w:rPr>
          <w:rFonts w:ascii="宋体" w:hAnsi="宋体" w:cs="宋体"/>
          <w:b/>
          <w:color w:val="auto"/>
          <w:szCs w:val="21"/>
          <w:highlight w:val="none"/>
        </w:rPr>
      </w:pPr>
    </w:p>
    <w:p>
      <w:pPr>
        <w:rPr>
          <w:b/>
          <w:bCs/>
          <w:color w:val="auto"/>
          <w:sz w:val="24"/>
          <w:szCs w:val="24"/>
          <w:highlight w:val="none"/>
        </w:rPr>
      </w:pPr>
      <w:r>
        <w:rPr>
          <w:rFonts w:hint="eastAsia"/>
          <w:b/>
          <w:bCs/>
          <w:color w:val="auto"/>
          <w:sz w:val="24"/>
          <w:szCs w:val="24"/>
          <w:highlight w:val="none"/>
        </w:rPr>
        <w:t>12、公司位置：</w:t>
      </w:r>
    </w:p>
    <w:p>
      <w:pPr>
        <w:pStyle w:val="19"/>
        <w:ind w:left="0" w:leftChars="0"/>
        <w:rPr>
          <w:color w:val="auto"/>
          <w:sz w:val="40"/>
          <w:szCs w:val="40"/>
          <w:highlight w:val="none"/>
        </w:rPr>
      </w:pPr>
      <w:r>
        <w:rPr>
          <w:rFonts w:hint="eastAsia"/>
          <w:color w:val="auto"/>
          <w:sz w:val="40"/>
          <w:szCs w:val="40"/>
          <w:highlight w:val="none"/>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7"/>
                    <a:stretch>
                      <a:fillRect/>
                    </a:stretch>
                  </pic:blipFill>
                  <pic:spPr>
                    <a:xfrm>
                      <a:off x="0" y="0"/>
                      <a:ext cx="5266690" cy="4297680"/>
                    </a:xfrm>
                    <a:prstGeom prst="rect">
                      <a:avLst/>
                    </a:prstGeom>
                  </pic:spPr>
                </pic:pic>
              </a:graphicData>
            </a:graphic>
          </wp:inline>
        </w:drawing>
      </w:r>
    </w:p>
    <w:p>
      <w:pPr>
        <w:pStyle w:val="19"/>
        <w:ind w:left="0" w:leftChars="0"/>
        <w:rPr>
          <w:color w:val="auto"/>
          <w:sz w:val="40"/>
          <w:szCs w:val="40"/>
          <w:highlight w:val="none"/>
        </w:rPr>
        <w:sectPr>
          <w:footerReference r:id="rId12" w:type="first"/>
          <w:footerReference r:id="rId11" w:type="default"/>
          <w:pgSz w:w="11906" w:h="16838"/>
          <w:pgMar w:top="1440" w:right="1800" w:bottom="1440" w:left="1800" w:header="708" w:footer="708" w:gutter="0"/>
          <w:cols w:space="708" w:num="1"/>
          <w:titlePg/>
          <w:docGrid w:type="lines" w:linePitch="360" w:charSpace="0"/>
        </w:sectPr>
      </w:pPr>
    </w:p>
    <w:p>
      <w:pPr>
        <w:pStyle w:val="19"/>
        <w:ind w:left="0" w:leftChars="0"/>
        <w:rPr>
          <w:color w:val="auto"/>
          <w:sz w:val="40"/>
          <w:szCs w:val="40"/>
          <w:highlight w:val="none"/>
        </w:rPr>
      </w:pPr>
      <w:r>
        <w:rPr>
          <w:rFonts w:hint="eastAsia"/>
          <w:color w:val="auto"/>
          <w:sz w:val="40"/>
          <w:szCs w:val="40"/>
          <w:highlight w:val="none"/>
        </w:rPr>
        <w:t>目录</w:t>
      </w:r>
    </w:p>
    <w:p>
      <w:pPr>
        <w:pStyle w:val="19"/>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10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9"/>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50</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"_Toc16710" </w:instrText>
      </w:r>
      <w:r>
        <w:rPr>
          <w:color w:val="auto"/>
          <w:highlight w:val="none"/>
        </w:rPr>
        <w:fldChar w:fldCharType="separate"/>
      </w:r>
      <w:r>
        <w:rPr>
          <w:rFonts w:hint="eastAsia" w:ascii="宋体" w:hAnsi="宋体" w:cs="宋体"/>
          <w:color w:val="auto"/>
          <w:highlight w:val="none"/>
        </w:rPr>
        <w:t>七、投标保证金汇入情况说明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_Toc16710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"_Toc26855" </w:instrText>
      </w:r>
      <w:r>
        <w:rPr>
          <w:color w:val="auto"/>
          <w:highlight w:val="none"/>
        </w:rPr>
        <w:fldChar w:fldCharType="separate"/>
      </w:r>
      <w:r>
        <w:rPr>
          <w:rFonts w:hint="eastAsia" w:ascii="宋体" w:hAnsi="宋体" w:cs="宋体"/>
          <w:color w:val="auto"/>
          <w:highlight w:val="none"/>
        </w:rPr>
        <w:t>八、政府采购投标担保函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_Toc26855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九、政府采购履约担保函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82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84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8"/>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85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5"/>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4"/>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pPr>
        <w:pStyle w:val="5"/>
        <w:jc w:val="center"/>
        <w:rPr>
          <w:rFonts w:ascii="宋体" w:hAnsi="宋体" w:cs="宋体"/>
          <w:color w:val="auto"/>
          <w:highlight w:val="none"/>
        </w:rPr>
      </w:pPr>
      <w:bookmarkStart w:id="2" w:name="_Toc7123"/>
      <w:bookmarkStart w:id="3" w:name="_Toc8850"/>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rPr>
        <w:t>东莞市横沥医院</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rPr>
        <w:t>东莞市横沥医院外包洗衣服务项目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项目编号：441900014-2021-00993；</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s="宋体"/>
          <w:color w:val="auto"/>
          <w:szCs w:val="21"/>
          <w:highlight w:val="none"/>
        </w:rPr>
        <w:t>东莞市横沥医院外包洗衣服务项目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2"/>
        <w:tblW w:w="43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71"/>
        <w:gridCol w:w="3904"/>
        <w:gridCol w:w="738"/>
        <w:gridCol w:w="1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59"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2671"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05"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36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59"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671"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东莞市横沥医院外包洗衣服务项目</w:t>
            </w:r>
          </w:p>
        </w:tc>
        <w:tc>
          <w:tcPr>
            <w:tcW w:w="505"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363" w:type="pct"/>
            <w:noWrap/>
            <w:tcMar>
              <w:top w:w="15" w:type="dxa"/>
              <w:left w:w="15" w:type="dxa"/>
              <w:right w:w="15" w:type="dxa"/>
            </w:tcMar>
            <w:vAlign w:val="center"/>
          </w:tcPr>
          <w:p>
            <w:pPr>
              <w:spacing w:line="240" w:lineRule="auto"/>
              <w:jc w:val="center"/>
              <w:textAlignment w:val="center"/>
              <w:rPr>
                <w:rFonts w:ascii="宋体" w:hAnsi="宋体"/>
                <w:color w:val="auto"/>
                <w:szCs w:val="21"/>
                <w:highlight w:val="none"/>
              </w:rPr>
            </w:pPr>
            <w:r>
              <w:rPr>
                <w:rFonts w:hint="eastAsia" w:ascii="宋体" w:hAnsi="宋体"/>
                <w:b/>
                <w:bCs/>
                <w:color w:val="auto"/>
                <w:szCs w:val="21"/>
                <w:highlight w:val="none"/>
                <w:u w:val="single"/>
              </w:rPr>
              <w:t>2,284,800.00</w:t>
            </w:r>
            <w:r>
              <w:rPr>
                <w:rFonts w:hint="eastAsia" w:ascii="宋体" w:hAnsi="宋体"/>
                <w:color w:val="auto"/>
                <w:szCs w:val="21"/>
                <w:highlight w:val="none"/>
              </w:rPr>
              <w:t>元</w:t>
            </w:r>
          </w:p>
        </w:tc>
      </w:tr>
    </w:tbl>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pPr>
        <w:rPr>
          <w:color w:val="auto"/>
          <w:highlight w:val="none"/>
        </w:rPr>
      </w:pP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ind w:firstLine="420" w:firstLineChars="200"/>
        <w:rPr>
          <w:rFonts w:ascii="宋体" w:hAnsi="宋体"/>
          <w:color w:val="auto"/>
          <w:szCs w:val="21"/>
          <w:highlight w:val="none"/>
        </w:rPr>
      </w:pPr>
      <w:r>
        <w:rPr>
          <w:rFonts w:hint="eastAsia" w:ascii="宋体" w:hAnsi="宋体"/>
          <w:color w:val="auto"/>
          <w:szCs w:val="21"/>
          <w:highlight w:val="none"/>
        </w:rPr>
        <w:t>本项目整体专门面向中小企业采购。投标人须符合本项目采购标的对应行业（本项目行业为：</w:t>
      </w:r>
      <w:r>
        <w:rPr>
          <w:rFonts w:hint="eastAsia" w:ascii="宋体" w:hAnsi="宋体"/>
          <w:bCs/>
          <w:color w:val="auto"/>
          <w:szCs w:val="21"/>
          <w:highlight w:val="none"/>
        </w:rPr>
        <w:t>其他未列明行业</w:t>
      </w:r>
      <w:r>
        <w:rPr>
          <w:rFonts w:hint="eastAsia" w:ascii="宋体" w:hAnsi="宋体"/>
          <w:color w:val="auto"/>
          <w:szCs w:val="21"/>
          <w:highlight w:val="none"/>
        </w:rPr>
        <w:t>）的政策划分标准。监狱企业、残疾人福利单位视同小型、微型企业。（注：中小企业以供应商填写的《中小企业声明函》（见投标格式）为判定标准，残疾人福利性单位以供应商填写的《残疾人福利性单位声明函》（见投标格式）为判定标准，监狱企业须供应商提供由省级以上监狱管理局、戒毒管理局（含新疆生产建设兵团）出具的属于监狱企业的证明文件，否则不予认定。）</w:t>
      </w:r>
    </w:p>
    <w:p>
      <w:pPr>
        <w:pStyle w:val="2"/>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1、项目公示时间：2021年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29</w:t>
      </w:r>
      <w:r>
        <w:rPr>
          <w:rFonts w:hint="eastAsia" w:ascii="宋体" w:hAnsi="宋体"/>
          <w:color w:val="auto"/>
          <w:szCs w:val="21"/>
          <w:highlight w:val="none"/>
        </w:rPr>
        <w:t>日起至2021年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rPr>
        <w:t>2021年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29</w:t>
      </w:r>
      <w:r>
        <w:rPr>
          <w:rFonts w:hint="eastAsia" w:ascii="宋体" w:hAnsi="宋体"/>
          <w:color w:val="auto"/>
          <w:szCs w:val="21"/>
          <w:highlight w:val="none"/>
        </w:rPr>
        <w:t>日起至2021年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6</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注：（1）投标人可自行打印招标文件最后1页中的“获取招标文件登记表”进行填写并带到现场进行领购，并现场领取发票。（招标文件领购价：人民币150元整）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（2）现场支持现金支付、微信支付、支付宝支付等支付方式，请将相应表格交予我司简小姐。</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（3）招标文件电子版可在广东省政府采购网（https://gdgpo.czt.gd.gov.cn/）相关招标信息公告下自行下载。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联系人：简海欣</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四、其他事项</w:t>
      </w:r>
    </w:p>
    <w:p>
      <w:pPr>
        <w:ind w:firstLine="420" w:firstLineChars="200"/>
        <w:rPr>
          <w:rFonts w:ascii="宋体" w:hAnsi="宋体"/>
          <w:color w:val="auto"/>
          <w:szCs w:val="21"/>
          <w:highlight w:val="none"/>
        </w:rPr>
      </w:pPr>
      <w:r>
        <w:rPr>
          <w:rFonts w:hint="eastAsia" w:ascii="宋体" w:hAnsi="宋体"/>
          <w:color w:val="auto"/>
          <w:szCs w:val="21"/>
          <w:highlight w:val="none"/>
        </w:rPr>
        <w:t>1、需要落实的政府采购政策：《政府采购促进中小企业发展管理办法》（财库〔2020〕46 号）、《关于政府采购支持监狱企业发展有关问题的通知》(财库〔2014〕68 号)、《关于促进残疾人就业政府采购政策的通知》（财库〔2017〕141 号)、《关于环境标志产品政府采购实施的意见》（财库〔2006〕90 号、《节能产品政府采购实施意见》的通知（财库〔2004〕185 号）、《关于调整优化节能产品、环境标志产品政府采购执行机制的通知》（粤财采购[2019]9 号）、《关于运用政府采购政策支持脱贫攻坚的通知》（财库[2019]27 号）、《关于印发&lt;商品包装政府采购需求标准（试行）&gt;、 &lt;快递包装政府采购需求标准（试行）&gt;的通知》（财办库〔2020〕123 号）等。</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五、投标截止时间、开标时间及地点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1、递交投标文件时间：2021年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21</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：00～</w:t>
      </w:r>
      <w:r>
        <w:rPr>
          <w:rFonts w:hint="eastAsia" w:ascii="宋体" w:hAnsi="宋体"/>
          <w:bCs/>
          <w:color w:val="auto"/>
          <w:szCs w:val="21"/>
          <w:highlight w:val="none"/>
          <w:lang w:val="en-US" w:eastAsia="zh-CN"/>
        </w:rPr>
        <w:t>14</w:t>
      </w:r>
      <w:r>
        <w:rPr>
          <w:rFonts w:hint="eastAsia" w:ascii="宋体" w:hAnsi="宋体"/>
          <w:bCs/>
          <w:color w:val="auto"/>
          <w:szCs w:val="21"/>
          <w:highlight w:val="none"/>
        </w:rPr>
        <w:t>：30。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及开标时间：2021年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21</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rPr>
        <w:t>六、采购人及采购代理机构的名称、地址和联系方法：</w:t>
      </w:r>
    </w:p>
    <w:p>
      <w:pPr>
        <w:ind w:firstLine="420" w:firstLineChars="200"/>
        <w:rPr>
          <w:rFonts w:ascii="宋体" w:hAnsi="宋体"/>
          <w:bCs/>
          <w:color w:val="auto"/>
          <w:szCs w:val="21"/>
          <w:highlight w:val="none"/>
        </w:rPr>
      </w:pPr>
      <w:r>
        <w:rPr>
          <w:rFonts w:hint="eastAsia" w:ascii="宋体" w:hAnsi="宋体"/>
          <w:bCs/>
          <w:color w:val="auto"/>
          <w:szCs w:val="21"/>
          <w:highlight w:val="none"/>
        </w:rPr>
        <w:t>采购人联系人：</w:t>
      </w:r>
      <w:r>
        <w:rPr>
          <w:rFonts w:hint="eastAsia" w:ascii="宋体" w:hAnsi="宋体"/>
          <w:bCs/>
          <w:color w:val="auto"/>
          <w:szCs w:val="21"/>
        </w:rPr>
        <w:t>黄先生</w:t>
      </w:r>
    </w:p>
    <w:p>
      <w:pPr>
        <w:ind w:firstLine="420" w:firstLineChars="200"/>
        <w:rPr>
          <w:rFonts w:ascii="宋体" w:hAnsi="宋体"/>
          <w:bCs/>
          <w:color w:val="auto"/>
          <w:szCs w:val="21"/>
          <w:highlight w:val="none"/>
        </w:rPr>
      </w:pPr>
      <w:r>
        <w:rPr>
          <w:rFonts w:hint="eastAsia" w:ascii="宋体" w:hAnsi="宋体"/>
          <w:bCs/>
          <w:color w:val="auto"/>
          <w:szCs w:val="21"/>
          <w:highlight w:val="none"/>
        </w:rPr>
        <w:t>地址：</w:t>
      </w:r>
      <w:bookmarkStart w:id="389" w:name="_GoBack"/>
      <w:r>
        <w:rPr>
          <w:rFonts w:hint="eastAsia" w:ascii="宋体" w:hAnsi="宋体"/>
          <w:bCs/>
          <w:color w:val="auto"/>
          <w:szCs w:val="21"/>
          <w:highlight w:val="none"/>
        </w:rPr>
        <w:t>东莞市横沥镇天桥路205号</w:t>
      </w:r>
      <w:bookmarkEnd w:id="389"/>
    </w:p>
    <w:p>
      <w:pPr>
        <w:ind w:firstLine="420" w:firstLineChars="200"/>
        <w:rPr>
          <w:rFonts w:ascii="宋体" w:hAnsi="宋体"/>
          <w:bCs/>
          <w:color w:val="auto"/>
          <w:szCs w:val="21"/>
          <w:highlight w:val="none"/>
        </w:rPr>
      </w:pPr>
      <w:r>
        <w:rPr>
          <w:rFonts w:hint="eastAsia" w:ascii="宋体" w:hAnsi="宋体"/>
          <w:bCs/>
          <w:color w:val="auto"/>
          <w:szCs w:val="21"/>
          <w:highlight w:val="none"/>
        </w:rPr>
        <w:t>联系电话：0769-82980308</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rPr>
        <w:t>2021年</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月</w:t>
      </w:r>
    </w:p>
    <w:p>
      <w:pPr>
        <w:pStyle w:val="2"/>
        <w:rPr>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4"/>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2"/>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Cs/>
                <w:color w:val="auto"/>
                <w:szCs w:val="21"/>
                <w:highlight w:val="none"/>
              </w:rPr>
            </w:pPr>
            <w:r>
              <w:rPr>
                <w:rFonts w:hint="eastAsia" w:ascii="宋体" w:hAnsi="宋体"/>
                <w:bCs/>
                <w:color w:val="auto"/>
                <w:szCs w:val="21"/>
                <w:highlight w:val="none"/>
              </w:rPr>
              <w:t>所属行业：其他未列明行业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自筹资金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广东省政府采购网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https://gdgpo.czt.gd.gov.cn/</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核心产品（本项目无核心产品）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（1）投标保证金金额：人民币</w:t>
            </w:r>
            <w:r>
              <w:rPr>
                <w:rFonts w:hint="eastAsia" w:ascii="宋体" w:hAnsi="宋体"/>
                <w:b/>
                <w:color w:val="auto"/>
                <w:szCs w:val="21"/>
                <w:highlight w:val="none"/>
              </w:rPr>
              <w:t>贰万叁仟</w:t>
            </w:r>
            <w:r>
              <w:rPr>
                <w:rFonts w:hint="eastAsia" w:ascii="宋体" w:hAnsi="宋体"/>
                <w:color w:val="auto"/>
                <w:szCs w:val="21"/>
                <w:highlight w:val="none"/>
              </w:rPr>
              <w:t>元整（￥</w:t>
            </w:r>
            <w:r>
              <w:rPr>
                <w:rFonts w:hint="eastAsia" w:ascii="宋体" w:hAnsi="宋体"/>
                <w:b/>
                <w:color w:val="auto"/>
                <w:szCs w:val="21"/>
                <w:highlight w:val="none"/>
              </w:rPr>
              <w:t>23,000.00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（2）</w:t>
            </w:r>
            <w:r>
              <w:rPr>
                <w:rFonts w:hint="eastAsia" w:ascii="宋体" w:hAnsi="宋体"/>
                <w:color w:val="auto"/>
                <w:szCs w:val="21"/>
                <w:highlight w:val="none"/>
                <w:lang w:val="zh-CN"/>
              </w:rPr>
              <w:t>投标保证金须严格按“招标文件第</w:t>
            </w:r>
            <w:r>
              <w:rPr>
                <w:rFonts w:hint="eastAsia" w:ascii="宋体" w:hAnsi="宋体"/>
                <w:color w:val="auto"/>
                <w:szCs w:val="21"/>
                <w:highlight w:val="none"/>
              </w:rPr>
              <w:t>四部分投</w:t>
            </w:r>
            <w:r>
              <w:rPr>
                <w:rFonts w:hint="eastAsia" w:ascii="宋体" w:hAnsi="宋体"/>
                <w:color w:val="auto"/>
                <w:szCs w:val="21"/>
                <w:highlight w:val="none"/>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60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lang w:val="zh-CN"/>
              </w:rPr>
            </w:pPr>
            <w:r>
              <w:rPr>
                <w:rFonts w:hint="eastAsia" w:ascii="宋体" w:hAnsi="宋体"/>
                <w:color w:val="auto"/>
                <w:szCs w:val="21"/>
                <w:highlight w:val="none"/>
                <w:lang w:val="zh-CN"/>
              </w:rPr>
              <w:t>（3）保证金递交账户：</w:t>
            </w:r>
          </w:p>
          <w:p>
            <w:pPr>
              <w:jc w:val="both"/>
              <w:rPr>
                <w:rFonts w:ascii="宋体" w:hAnsi="宋体"/>
                <w:color w:val="auto"/>
                <w:szCs w:val="21"/>
                <w:highlight w:val="none"/>
                <w:lang w:val="zh-CN"/>
              </w:rPr>
            </w:pPr>
            <w:r>
              <w:rPr>
                <w:rFonts w:hint="eastAsia" w:ascii="宋体" w:hAnsi="宋体"/>
                <w:color w:val="auto"/>
                <w:szCs w:val="21"/>
                <w:highlight w:val="none"/>
                <w:lang w:val="zh-CN"/>
              </w:rPr>
              <w:t>收款人：广东政通招标有限公司</w:t>
            </w:r>
          </w:p>
          <w:p>
            <w:pPr>
              <w:jc w:val="both"/>
              <w:rPr>
                <w:rFonts w:ascii="宋体" w:hAnsi="宋体"/>
                <w:color w:val="auto"/>
                <w:szCs w:val="21"/>
                <w:highlight w:val="none"/>
                <w:lang w:val="zh-CN"/>
              </w:rPr>
            </w:pPr>
            <w:r>
              <w:rPr>
                <w:rFonts w:hint="eastAsia" w:ascii="宋体" w:hAnsi="宋体"/>
                <w:color w:val="auto"/>
                <w:szCs w:val="21"/>
                <w:highlight w:val="none"/>
                <w:lang w:val="zh-CN"/>
              </w:rPr>
              <w:t>开户行：广发银行股份有限公司东莞新城支行</w:t>
            </w:r>
          </w:p>
          <w:p>
            <w:pPr>
              <w:jc w:val="both"/>
              <w:rPr>
                <w:rFonts w:ascii="宋体" w:hAnsi="宋体"/>
                <w:color w:val="auto"/>
                <w:szCs w:val="21"/>
                <w:highlight w:val="none"/>
                <w:lang w:val="zh-CN"/>
              </w:rPr>
            </w:pPr>
            <w:r>
              <w:rPr>
                <w:rFonts w:hint="eastAsia" w:ascii="宋体" w:hAnsi="宋体"/>
                <w:color w:val="auto"/>
                <w:szCs w:val="21"/>
                <w:highlight w:val="none"/>
                <w:lang w:val="zh-CN"/>
              </w:rPr>
              <w:t>帐  号：6232590699050041951</w:t>
            </w:r>
          </w:p>
          <w:p>
            <w:pPr>
              <w:jc w:val="both"/>
              <w:rPr>
                <w:color w:val="auto"/>
                <w:highlight w:val="none"/>
              </w:rPr>
            </w:pPr>
            <w:r>
              <w:rPr>
                <w:rFonts w:hint="eastAsia" w:ascii="宋体" w:hAnsi="宋体"/>
                <w:color w:val="auto"/>
                <w:szCs w:val="21"/>
                <w:highlight w:val="none"/>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2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bCs/>
                <w:color w:val="auto"/>
                <w:szCs w:val="21"/>
                <w:highlight w:val="none"/>
                <w:lang w:val="zh-CN"/>
              </w:rPr>
            </w:pPr>
            <w:r>
              <w:rPr>
                <w:rFonts w:hint="eastAsia" w:ascii="宋体" w:hAnsi="宋体"/>
                <w:b/>
                <w:bCs/>
                <w:color w:val="auto"/>
                <w:szCs w:val="21"/>
                <w:highlight w:val="none"/>
                <w:lang w:val="zh-CN"/>
              </w:rPr>
              <w:t>投标保证金退还</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535"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lang w:val="zh-CN"/>
              </w:rPr>
            </w:pPr>
            <w:r>
              <w:rPr>
                <w:rFonts w:hint="eastAsia" w:ascii="宋体" w:hAnsi="宋体"/>
                <w:color w:val="auto"/>
                <w:szCs w:val="21"/>
                <w:highlight w:val="none"/>
                <w:lang w:val="zh-CN"/>
              </w:rPr>
              <w:t>（</w:t>
            </w:r>
            <w:r>
              <w:rPr>
                <w:rFonts w:hint="eastAsia" w:ascii="宋体" w:hAnsi="宋体"/>
                <w:color w:val="auto"/>
                <w:szCs w:val="21"/>
                <w:highlight w:val="none"/>
              </w:rPr>
              <w:t>1</w:t>
            </w:r>
            <w:r>
              <w:rPr>
                <w:rFonts w:hint="eastAsia" w:ascii="宋体" w:hAnsi="宋体"/>
                <w:color w:val="auto"/>
                <w:szCs w:val="21"/>
                <w:highlight w:val="none"/>
                <w:lang w:val="zh-CN"/>
              </w:rPr>
              <w:t>）未中标的投标人的保证金在采购结果公示发出后5个工作日内退还，中标投标人的保证金在采购合同签订后5个工作日内退还。</w:t>
            </w:r>
          </w:p>
          <w:p>
            <w:pPr>
              <w:jc w:val="both"/>
              <w:rPr>
                <w:rFonts w:ascii="宋体" w:hAnsi="宋体"/>
                <w:color w:val="auto"/>
                <w:szCs w:val="21"/>
                <w:highlight w:val="none"/>
                <w:lang w:val="zh-CN"/>
              </w:rPr>
            </w:pPr>
            <w:r>
              <w:rPr>
                <w:rFonts w:hint="eastAsia" w:ascii="宋体" w:hAnsi="宋体"/>
                <w:color w:val="auto"/>
                <w:szCs w:val="21"/>
                <w:highlight w:val="none"/>
                <w:lang w:val="zh-CN"/>
              </w:rPr>
              <w:t>（</w:t>
            </w:r>
            <w:r>
              <w:rPr>
                <w:rFonts w:hint="eastAsia" w:ascii="宋体" w:hAnsi="宋体"/>
                <w:color w:val="auto"/>
                <w:szCs w:val="21"/>
                <w:highlight w:val="none"/>
              </w:rPr>
              <w:t>2</w:t>
            </w:r>
            <w:r>
              <w:rPr>
                <w:rFonts w:hint="eastAsia" w:ascii="宋体" w:hAnsi="宋体"/>
                <w:color w:val="auto"/>
                <w:szCs w:val="21"/>
                <w:highlight w:val="none"/>
                <w:lang w:val="zh-CN"/>
              </w:rPr>
              <w:t>）为方便退还未中标的投保人的保证金，投标人应制作《投标保证金汇入情况说明》随唱标文件一并递交。</w:t>
            </w:r>
          </w:p>
          <w:p>
            <w:pPr>
              <w:jc w:val="both"/>
              <w:rPr>
                <w:color w:val="auto"/>
                <w:highlight w:val="none"/>
              </w:rPr>
            </w:pPr>
            <w:r>
              <w:rPr>
                <w:rFonts w:hint="eastAsia" w:ascii="宋体" w:hAnsi="宋体"/>
                <w:color w:val="auto"/>
                <w:szCs w:val="21"/>
                <w:highlight w:val="none"/>
                <w:lang w:val="zh-CN"/>
              </w:rPr>
              <w:t>（</w:t>
            </w:r>
            <w:r>
              <w:rPr>
                <w:rFonts w:hint="eastAsia" w:ascii="宋体" w:hAnsi="宋体"/>
                <w:color w:val="auto"/>
                <w:szCs w:val="21"/>
                <w:highlight w:val="none"/>
              </w:rPr>
              <w:t>3</w:t>
            </w:r>
            <w:r>
              <w:rPr>
                <w:rFonts w:hint="eastAsia" w:ascii="宋体" w:hAnsi="宋体"/>
                <w:color w:val="auto"/>
                <w:szCs w:val="21"/>
                <w:highlight w:val="none"/>
                <w:lang w:val="zh-CN"/>
              </w:rPr>
              <w:t>）投标保证金退还联系电话：</w:t>
            </w:r>
            <w:r>
              <w:rPr>
                <w:rFonts w:hint="eastAsia" w:ascii="宋体" w:hAnsi="宋体"/>
                <w:color w:val="auto"/>
                <w:szCs w:val="21"/>
                <w:highlight w:val="none"/>
              </w:rPr>
              <w:t>0769-22881803。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shd w:val="clear" w:color="auto" w:fill="auto"/>
            <w:vAlign w:val="center"/>
          </w:tcPr>
          <w:p>
            <w:pPr>
              <w:widowControl w:val="0"/>
              <w:jc w:val="both"/>
              <w:rPr>
                <w:rFonts w:ascii="宋体" w:hAnsi="宋体"/>
                <w:b/>
                <w:color w:val="auto"/>
                <w:szCs w:val="21"/>
                <w:highlight w:val="none"/>
              </w:rPr>
            </w:pPr>
            <w:r>
              <w:rPr>
                <w:rFonts w:hint="eastAsia" w:ascii="宋体" w:hAnsi="宋体"/>
                <w:b/>
                <w:color w:val="auto"/>
                <w:szCs w:val="21"/>
                <w:highlight w:val="none"/>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widowControl w:val="0"/>
              <w:jc w:val="both"/>
              <w:rPr>
                <w:rFonts w:ascii="宋体" w:hAnsi="宋体"/>
                <w:b/>
                <w:color w:val="auto"/>
                <w:szCs w:val="21"/>
                <w:highlight w:val="none"/>
              </w:rPr>
            </w:pPr>
            <w:r>
              <w:rPr>
                <w:rFonts w:hint="eastAsia" w:ascii="宋体" w:hAnsi="宋体"/>
                <w:color w:val="auto"/>
                <w:szCs w:val="21"/>
                <w:highlight w:val="none"/>
              </w:rPr>
              <w:t>本项目无需履约保证金</w:t>
            </w:r>
            <w:r>
              <w:rPr>
                <w:rFonts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伍仟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firstLine="21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21"/>
        <w:ind w:left="0" w:firstLine="0" w:firstLineChars="0"/>
        <w:rPr>
          <w:rFonts w:ascii="宋体" w:hAnsi="宋体" w:cs="宋体"/>
          <w:color w:val="auto"/>
          <w:sz w:val="21"/>
          <w:szCs w:val="21"/>
          <w:highlight w:val="none"/>
        </w:rPr>
      </w:pPr>
    </w:p>
    <w:p>
      <w:pPr>
        <w:pStyle w:val="4"/>
        <w:spacing w:before="0" w:after="0" w:line="360" w:lineRule="auto"/>
        <w:rPr>
          <w:color w:val="auto"/>
          <w:highlight w:val="none"/>
        </w:rPr>
      </w:pPr>
      <w:bookmarkStart w:id="8" w:name="_Hlk55300595"/>
      <w:bookmarkStart w:id="9" w:name="_Toc13473"/>
      <w:bookmarkStart w:id="10" w:name="_Toc5749"/>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5"/>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lang w:val="zh-CN"/>
              </w:rPr>
            </w:pPr>
            <w:r>
              <w:rPr>
                <w:rFonts w:hint="eastAsia" w:ascii="宋体" w:eastAsia="宋体" w:cs="宋体"/>
                <w:color w:val="auto"/>
                <w:sz w:val="21"/>
                <w:szCs w:val="21"/>
                <w:highlight w:val="none"/>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7210" w:type="dxa"/>
            <w:gridSpan w:val="2"/>
            <w:tcBorders>
              <w:top w:val="single" w:color="auto" w:sz="4" w:space="0"/>
              <w:left w:val="single" w:color="auto" w:sz="4" w:space="0"/>
              <w:right w:val="single" w:color="auto" w:sz="4" w:space="0"/>
            </w:tcBorders>
            <w:vAlign w:val="center"/>
          </w:tcPr>
          <w:p>
            <w:pPr>
              <w:widowControl w:val="0"/>
              <w:tabs>
                <w:tab w:val="left" w:pos="907"/>
              </w:tabs>
              <w:adjustRightInd/>
              <w:snapToGrid/>
              <w:spacing w:line="240" w:lineRule="auto"/>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价格分计算方法：满足招标文件要求且投标价格最低的投标报价为评标基准价，其价格分为满分。其他投标人的价格分统一按照下列公式计算：</w:t>
            </w:r>
          </w:p>
          <w:p>
            <w:pPr>
              <w:pStyle w:val="35"/>
              <w:spacing w:line="240" w:lineRule="auto"/>
              <w:ind w:firstLine="420" w:firstLineChars="200"/>
              <w:rPr>
                <w:rFonts w:ascii="宋体" w:eastAsia="宋体" w:cs="宋体"/>
                <w:bCs/>
                <w:color w:val="auto"/>
                <w:sz w:val="21"/>
                <w:szCs w:val="21"/>
                <w:highlight w:val="none"/>
                <w:lang w:val="zh-CN"/>
              </w:rPr>
            </w:pPr>
            <w:r>
              <w:rPr>
                <w:rFonts w:hint="eastAsia" w:ascii="宋体" w:eastAsia="宋体" w:cs="宋体"/>
                <w:color w:val="auto"/>
                <w:sz w:val="21"/>
                <w:szCs w:val="21"/>
                <w:highlight w:val="none"/>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商务评分（30分）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651"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290" w:type="dxa"/>
            <w:tcBorders>
              <w:top w:val="single" w:color="auto" w:sz="4" w:space="0"/>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体系认证</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bCs/>
                <w:color w:val="auto"/>
                <w:sz w:val="21"/>
                <w:szCs w:val="21"/>
                <w:highlight w:val="none"/>
                <w:lang w:val="zh-CN"/>
              </w:rPr>
            </w:pPr>
            <w:r>
              <w:rPr>
                <w:rFonts w:hint="eastAsia" w:ascii="宋体" w:eastAsia="宋体" w:cs="宋体"/>
                <w:bCs/>
                <w:color w:val="auto"/>
                <w:sz w:val="21"/>
                <w:szCs w:val="21"/>
                <w:highlight w:val="none"/>
              </w:rPr>
              <w:t>投标人</w:t>
            </w:r>
            <w:r>
              <w:rPr>
                <w:rFonts w:hint="eastAsia" w:ascii="宋体" w:eastAsia="宋体" w:cs="宋体"/>
                <w:bCs/>
                <w:color w:val="auto"/>
                <w:sz w:val="21"/>
                <w:szCs w:val="21"/>
                <w:highlight w:val="none"/>
                <w:lang w:val="zh-CN"/>
              </w:rPr>
              <w:t>具有由国家认监委批准设立的认证机构颁发并在有效期内的质量管理体系认证、环境管理体系认证、职业健康安全管理体系认证，每具有一个得</w:t>
            </w:r>
            <w:r>
              <w:rPr>
                <w:rFonts w:hint="eastAsia" w:ascii="宋体" w:eastAsia="宋体" w:cs="宋体"/>
                <w:bCs/>
                <w:color w:val="auto"/>
                <w:sz w:val="21"/>
                <w:szCs w:val="21"/>
                <w:highlight w:val="none"/>
              </w:rPr>
              <w:t>3</w:t>
            </w:r>
            <w:r>
              <w:rPr>
                <w:rFonts w:hint="eastAsia" w:asci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rPr>
              <w:t>9</w:t>
            </w:r>
            <w:r>
              <w:rPr>
                <w:rFonts w:hint="eastAsia" w:ascii="宋体" w:eastAsia="宋体" w:cs="宋体"/>
                <w:bCs/>
                <w:color w:val="auto"/>
                <w:sz w:val="21"/>
                <w:szCs w:val="21"/>
                <w:highlight w:val="none"/>
                <w:lang w:val="zh-CN"/>
              </w:rPr>
              <w:t>分。</w:t>
            </w:r>
          </w:p>
          <w:p>
            <w:pPr>
              <w:pStyle w:val="35"/>
              <w:spacing w:line="240" w:lineRule="auto"/>
              <w:ind w:firstLine="420" w:firstLineChars="200"/>
              <w:rPr>
                <w:rFonts w:ascii="宋体" w:eastAsia="宋体" w:cs="宋体"/>
                <w:bCs/>
                <w:color w:val="auto"/>
                <w:sz w:val="21"/>
                <w:szCs w:val="21"/>
                <w:highlight w:val="none"/>
                <w:lang w:val="zh-CN"/>
              </w:rPr>
            </w:pPr>
            <w:r>
              <w:rPr>
                <w:rFonts w:hint="eastAsia" w:ascii="宋体" w:eastAsia="宋体" w:cs="宋体"/>
                <w:bCs/>
                <w:color w:val="auto"/>
                <w:sz w:val="21"/>
                <w:szCs w:val="21"/>
                <w:highlight w:val="none"/>
                <w:lang w:val="zh-CN"/>
              </w:rPr>
              <w:t>注：须提供有效证书复印件并加盖投标人公章，不符合以上要求的不得分。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color w:val="auto"/>
                <w:sz w:val="21"/>
                <w:szCs w:val="21"/>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290" w:type="dxa"/>
            <w:tcBorders>
              <w:left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项目业绩</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bCs/>
                <w:color w:val="auto"/>
                <w:sz w:val="21"/>
                <w:szCs w:val="21"/>
                <w:highlight w:val="none"/>
                <w:lang w:val="pt-BR"/>
              </w:rPr>
            </w:pPr>
            <w:r>
              <w:rPr>
                <w:rFonts w:hint="eastAsia" w:ascii="宋体" w:eastAsia="宋体" w:cs="宋体"/>
                <w:bCs/>
                <w:color w:val="auto"/>
                <w:sz w:val="21"/>
                <w:szCs w:val="21"/>
                <w:highlight w:val="none"/>
                <w:lang w:val="pt-BR"/>
              </w:rPr>
              <w:t>根据投标人已完成或正在服务的衣物清洗服务</w:t>
            </w:r>
            <w:r>
              <w:rPr>
                <w:rFonts w:hint="eastAsia" w:ascii="宋体" w:eastAsia="宋体" w:cs="宋体"/>
                <w:bCs/>
                <w:color w:val="auto"/>
                <w:sz w:val="21"/>
                <w:szCs w:val="21"/>
                <w:highlight w:val="none"/>
              </w:rPr>
              <w:t>类</w:t>
            </w:r>
            <w:r>
              <w:rPr>
                <w:rFonts w:hint="eastAsia" w:ascii="宋体" w:eastAsia="宋体" w:cs="宋体"/>
                <w:bCs/>
                <w:color w:val="auto"/>
                <w:sz w:val="21"/>
                <w:szCs w:val="21"/>
                <w:highlight w:val="none"/>
                <w:lang w:val="pt-BR"/>
              </w:rPr>
              <w:t>项目业绩进行评审，每提供一个业绩合同得</w:t>
            </w:r>
            <w:r>
              <w:rPr>
                <w:rFonts w:hint="eastAsia" w:ascii="宋体" w:eastAsia="宋体" w:cs="宋体"/>
                <w:bCs/>
                <w:color w:val="auto"/>
                <w:sz w:val="21"/>
                <w:szCs w:val="21"/>
                <w:highlight w:val="none"/>
              </w:rPr>
              <w:t>3</w:t>
            </w:r>
            <w:r>
              <w:rPr>
                <w:rFonts w:hint="eastAsia" w:ascii="宋体" w:eastAsia="宋体" w:cs="宋体"/>
                <w:bCs/>
                <w:color w:val="auto"/>
                <w:sz w:val="21"/>
                <w:szCs w:val="21"/>
                <w:highlight w:val="none"/>
                <w:lang w:val="pt-BR"/>
              </w:rPr>
              <w:t>分，最高得</w:t>
            </w:r>
            <w:r>
              <w:rPr>
                <w:rFonts w:hint="eastAsia" w:ascii="宋体" w:eastAsia="宋体" w:cs="宋体"/>
                <w:bCs/>
                <w:color w:val="auto"/>
                <w:sz w:val="21"/>
                <w:szCs w:val="21"/>
                <w:highlight w:val="none"/>
              </w:rPr>
              <w:t>18</w:t>
            </w:r>
            <w:r>
              <w:rPr>
                <w:rFonts w:hint="eastAsia" w:ascii="宋体" w:eastAsia="宋体" w:cs="宋体"/>
                <w:bCs/>
                <w:color w:val="auto"/>
                <w:sz w:val="21"/>
                <w:szCs w:val="21"/>
                <w:highlight w:val="none"/>
                <w:lang w:val="pt-BR"/>
              </w:rPr>
              <w:t xml:space="preserve">分。 </w:t>
            </w:r>
          </w:p>
          <w:p>
            <w:pPr>
              <w:pStyle w:val="35"/>
              <w:spacing w:line="240" w:lineRule="auto"/>
              <w:ind w:firstLine="420" w:firstLineChars="200"/>
              <w:rPr>
                <w:rFonts w:ascii="宋体" w:eastAsia="宋体" w:cs="宋体"/>
                <w:bCs/>
                <w:color w:val="auto"/>
                <w:sz w:val="21"/>
                <w:szCs w:val="21"/>
                <w:highlight w:val="none"/>
                <w:lang w:val="pt-BR"/>
              </w:rPr>
            </w:pPr>
            <w:r>
              <w:rPr>
                <w:rFonts w:hint="eastAsia" w:ascii="宋体" w:eastAsia="宋体" w:cs="宋体"/>
                <w:bCs/>
                <w:color w:val="auto"/>
                <w:sz w:val="21"/>
                <w:szCs w:val="21"/>
                <w:highlight w:val="none"/>
                <w:lang w:val="pt-BR"/>
              </w:rPr>
              <w:t>注：须提供合同复印件加盖投标人公章</w:t>
            </w:r>
            <w:r>
              <w:rPr>
                <w:rFonts w:hint="eastAsia" w:ascii="宋体" w:eastAsia="宋体" w:cs="宋体"/>
                <w:bCs/>
                <w:color w:val="auto"/>
                <w:sz w:val="21"/>
                <w:szCs w:val="21"/>
                <w:highlight w:val="none"/>
              </w:rPr>
              <w:t>，否则不得分</w:t>
            </w:r>
            <w:r>
              <w:rPr>
                <w:rFonts w:hint="eastAsia" w:ascii="宋体" w:eastAsia="宋体" w:cs="宋体"/>
                <w:bCs/>
                <w:color w:val="auto"/>
                <w:sz w:val="21"/>
                <w:szCs w:val="21"/>
                <w:highlight w:val="none"/>
                <w:lang w:val="pt-BR"/>
              </w:rPr>
              <w:t xml:space="preserve">。 </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color w:val="auto"/>
                <w:sz w:val="21"/>
                <w:szCs w:val="21"/>
                <w:highlight w:val="none"/>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bCs/>
                <w:color w:val="auto"/>
                <w:sz w:val="21"/>
                <w:szCs w:val="21"/>
                <w:highlight w:val="none"/>
              </w:rPr>
              <w:t>服务响应</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根据投标人提供的服务响应时间承诺进行评分：</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投标人承诺在接到采购人通知后1小时内到现场，得3分；</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投标人承诺在接到采购人通知后2小时内到现场，得2分；</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投标人承诺在接到采购人通知后3小时内到现场，得1分；</w:t>
            </w:r>
          </w:p>
          <w:p>
            <w:pPr>
              <w:spacing w:line="240" w:lineRule="auto"/>
              <w:ind w:firstLine="420" w:firstLineChars="200"/>
              <w:rPr>
                <w:rFonts w:ascii="宋体" w:hAnsi="宋体" w:cs="宋体"/>
                <w:bCs/>
                <w:color w:val="auto"/>
                <w:szCs w:val="21"/>
                <w:highlight w:val="none"/>
              </w:rPr>
            </w:pPr>
            <w:r>
              <w:rPr>
                <w:rFonts w:hint="eastAsia" w:ascii="宋体" w:hAnsi="宋体" w:cs="宋体"/>
                <w:bCs/>
                <w:color w:val="auto"/>
                <w:szCs w:val="21"/>
                <w:highlight w:val="none"/>
              </w:rPr>
              <w:t>投标人未承诺或承诺在接到采购人通知后超过3小时到现场，不得分。</w:t>
            </w:r>
          </w:p>
          <w:p>
            <w:pPr>
              <w:pStyle w:val="35"/>
              <w:spacing w:line="240" w:lineRule="auto"/>
              <w:ind w:firstLine="420" w:firstLineChars="200"/>
              <w:rPr>
                <w:rFonts w:ascii="宋体" w:eastAsia="宋体" w:cs="宋体"/>
                <w:bCs/>
                <w:color w:val="auto"/>
                <w:sz w:val="21"/>
                <w:szCs w:val="21"/>
                <w:highlight w:val="none"/>
                <w:lang w:val="zh-CN"/>
              </w:rPr>
            </w:pPr>
            <w:r>
              <w:rPr>
                <w:rFonts w:hint="eastAsia" w:ascii="宋体" w:eastAsia="宋体" w:cs="宋体"/>
                <w:bCs/>
                <w:color w:val="auto"/>
                <w:sz w:val="21"/>
                <w:szCs w:val="21"/>
                <w:highlight w:val="none"/>
              </w:rPr>
              <w:t>注：须提供服务承诺书并加盖投标人公章，否则不得分。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color w:val="auto"/>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cs="宋体"/>
                <w:bCs/>
                <w:color w:val="auto"/>
                <w:szCs w:val="21"/>
                <w:highlight w:val="none"/>
              </w:rPr>
            </w:pPr>
            <w:r>
              <w:rPr>
                <w:rFonts w:hint="eastAsia" w:ascii="宋体" w:hAnsi="宋体" w:cs="宋体"/>
                <w:bCs/>
                <w:color w:val="auto"/>
                <w:szCs w:val="21"/>
                <w:highlight w:val="none"/>
              </w:rPr>
              <w:t>技术评分（60分）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服务流程方案</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根据投标人从收取衣服至洁衣的整个流程方案综合评审：</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流程方案完整合理，方案清晰具体，可行性高得1</w:t>
            </w:r>
            <w:r>
              <w:rPr>
                <w:rFonts w:ascii="宋体" w:hAnsi="宋体" w:cs="宋体"/>
                <w:color w:val="auto"/>
                <w:szCs w:val="21"/>
                <w:highlight w:val="none"/>
              </w:rPr>
              <w:t>5</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流程方案合理，方案清晰，可行性较高得</w:t>
            </w:r>
            <w:r>
              <w:rPr>
                <w:rFonts w:ascii="宋体" w:hAnsi="宋体" w:cs="宋体"/>
                <w:color w:val="auto"/>
                <w:szCs w:val="21"/>
                <w:highlight w:val="none"/>
              </w:rPr>
              <w:t>10</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流程一般，方案欠详细，可行性一般得</w:t>
            </w:r>
            <w:r>
              <w:rPr>
                <w:rFonts w:ascii="宋体" w:hAnsi="宋体" w:cs="宋体"/>
                <w:color w:val="auto"/>
                <w:szCs w:val="21"/>
                <w:highlight w:val="none"/>
              </w:rPr>
              <w:t>5</w:t>
            </w:r>
            <w:r>
              <w:rPr>
                <w:rFonts w:hint="eastAsia" w:ascii="宋体" w:hAnsi="宋体" w:cs="宋体"/>
                <w:color w:val="auto"/>
                <w:szCs w:val="21"/>
                <w:highlight w:val="none"/>
              </w:rPr>
              <w:t>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流程比较模糊，方案不详细不具体，得1分；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无提供方案不得分。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w:t>
            </w:r>
            <w:r>
              <w:rPr>
                <w:rFonts w:ascii="宋体" w:eastAsia="宋体" w:cs="宋体"/>
                <w:bCs/>
                <w:color w:val="auto"/>
                <w:sz w:val="21"/>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2</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场地布局</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按照《医院医用织物洗涤消毒技术规范》(WS/T 508-2016) 要求规范布局服务场地，综合评价各投标人的服务场地与布局情况进行综合评审：</w:t>
            </w:r>
          </w:p>
          <w:p>
            <w:pPr>
              <w:spacing w:line="240" w:lineRule="auto"/>
              <w:ind w:left="-1" w:firstLine="420" w:firstLineChars="200"/>
              <w:rPr>
                <w:rFonts w:ascii="宋体" w:hAnsi="宋体" w:cs="宋体"/>
                <w:color w:val="auto"/>
                <w:szCs w:val="21"/>
                <w:highlight w:val="none"/>
              </w:rPr>
            </w:pPr>
            <w:r>
              <w:rPr>
                <w:rFonts w:hint="eastAsia" w:ascii="宋体" w:hAnsi="宋体" w:cs="宋体"/>
                <w:color w:val="auto"/>
                <w:szCs w:val="21"/>
                <w:highlight w:val="none"/>
              </w:rPr>
              <w:t>布局完全符合规范设置，由污到洁的区域布局合理，不逆流，分区之间有实物隔离屏障，得10分；</w:t>
            </w:r>
          </w:p>
          <w:p>
            <w:pPr>
              <w:spacing w:line="240" w:lineRule="auto"/>
              <w:ind w:left="-1"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布局较符合规范，由污到洁的区域布局较合理，不逆流，分区之间有隔离屏障，得6分； </w:t>
            </w:r>
          </w:p>
          <w:p>
            <w:pPr>
              <w:spacing w:line="240" w:lineRule="auto"/>
              <w:ind w:left="-1" w:firstLine="420" w:firstLineChars="200"/>
              <w:rPr>
                <w:rFonts w:ascii="宋体" w:hAnsi="宋体" w:cs="宋体"/>
                <w:color w:val="auto"/>
                <w:szCs w:val="21"/>
                <w:highlight w:val="none"/>
              </w:rPr>
            </w:pPr>
            <w:r>
              <w:rPr>
                <w:rFonts w:hint="eastAsia" w:ascii="宋体" w:hAnsi="宋体" w:cs="宋体"/>
                <w:color w:val="auto"/>
                <w:szCs w:val="21"/>
                <w:highlight w:val="none"/>
              </w:rPr>
              <w:t>布局基本符合规范，污到洁的区域不逆流，分区之间有隔离，得3分；</w:t>
            </w:r>
          </w:p>
          <w:p>
            <w:pPr>
              <w:spacing w:line="240" w:lineRule="auto"/>
              <w:ind w:left="-1" w:firstLine="420" w:firstLineChars="200"/>
              <w:rPr>
                <w:rFonts w:ascii="宋体" w:hAnsi="宋体" w:cs="宋体"/>
                <w:color w:val="auto"/>
                <w:szCs w:val="21"/>
                <w:highlight w:val="none"/>
              </w:rPr>
            </w:pPr>
            <w:r>
              <w:rPr>
                <w:rFonts w:hint="eastAsia" w:ascii="宋体" w:hAnsi="宋体" w:cs="宋体"/>
                <w:color w:val="auto"/>
                <w:szCs w:val="21"/>
                <w:highlight w:val="none"/>
              </w:rPr>
              <w:t>布局部分未符合规范，分区之间有实物屏障，得1分。</w:t>
            </w:r>
          </w:p>
          <w:p>
            <w:pPr>
              <w:pStyle w:val="35"/>
              <w:spacing w:line="240" w:lineRule="auto"/>
              <w:ind w:firstLine="420" w:firstLineChars="200"/>
              <w:rPr>
                <w:rFonts w:ascii="宋体" w:eastAsia="宋体" w:cs="宋体"/>
                <w:color w:val="auto"/>
                <w:sz w:val="21"/>
                <w:szCs w:val="21"/>
                <w:highlight w:val="none"/>
                <w:lang w:val="zh-CN"/>
              </w:rPr>
            </w:pPr>
            <w:r>
              <w:rPr>
                <w:rFonts w:hint="eastAsia" w:ascii="宋体" w:eastAsia="宋体" w:cs="宋体"/>
                <w:color w:val="auto"/>
                <w:sz w:val="21"/>
                <w:szCs w:val="21"/>
                <w:highlight w:val="none"/>
              </w:rPr>
              <w:t>注：</w:t>
            </w:r>
            <w:r>
              <w:rPr>
                <w:rFonts w:hint="eastAsia" w:ascii="宋体" w:eastAsia="宋体" w:cs="宋体"/>
                <w:bCs/>
                <w:color w:val="auto"/>
                <w:sz w:val="21"/>
                <w:szCs w:val="21"/>
                <w:highlight w:val="none"/>
              </w:rPr>
              <w:t>投标人须提供上述布局平面图和实景图片，内容应清晰可辨，无提供不得分。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3</w:t>
            </w:r>
          </w:p>
        </w:tc>
        <w:tc>
          <w:tcPr>
            <w:tcW w:w="129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人员管理方案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bCs/>
                <w:color w:val="auto"/>
                <w:sz w:val="21"/>
                <w:szCs w:val="21"/>
                <w:highlight w:val="none"/>
              </w:rPr>
            </w:pPr>
            <w:r>
              <w:rPr>
                <w:rFonts w:hint="eastAsia" w:ascii="宋体" w:eastAsia="宋体" w:cs="宋体"/>
                <w:bCs/>
                <w:color w:val="auto"/>
                <w:sz w:val="21"/>
                <w:szCs w:val="21"/>
                <w:highlight w:val="none"/>
              </w:rPr>
              <w:t>根据投标人提供的项目人员管理方案，拟投入本项目各岗位人员安排的合理性、可行性进行综合评审：</w:t>
            </w:r>
          </w:p>
          <w:p>
            <w:pPr>
              <w:pStyle w:val="35"/>
              <w:spacing w:line="240" w:lineRule="auto"/>
              <w:ind w:firstLine="420" w:firstLineChars="200"/>
              <w:rPr>
                <w:rFonts w:ascii="宋体" w:eastAsia="宋体" w:cs="宋体"/>
                <w:bCs/>
                <w:color w:val="auto"/>
                <w:sz w:val="21"/>
                <w:szCs w:val="21"/>
                <w:highlight w:val="none"/>
              </w:rPr>
            </w:pPr>
            <w:r>
              <w:rPr>
                <w:rFonts w:hint="eastAsia" w:ascii="宋体" w:eastAsia="宋体" w:cs="宋体"/>
                <w:color w:val="auto"/>
                <w:sz w:val="21"/>
                <w:szCs w:val="21"/>
                <w:highlight w:val="none"/>
              </w:rPr>
              <w:t>方案清晰完整</w:t>
            </w:r>
            <w:r>
              <w:rPr>
                <w:rFonts w:hint="eastAsia" w:ascii="宋体" w:eastAsia="宋体" w:cs="宋体"/>
                <w:bCs/>
                <w:color w:val="auto"/>
                <w:sz w:val="21"/>
                <w:szCs w:val="21"/>
                <w:highlight w:val="none"/>
              </w:rPr>
              <w:t>，拟投入本项目各岗位人员安排的合理、可行的，得12分；</w:t>
            </w:r>
          </w:p>
          <w:p>
            <w:pPr>
              <w:pStyle w:val="35"/>
              <w:spacing w:line="240" w:lineRule="auto"/>
              <w:ind w:firstLine="420" w:firstLineChars="200"/>
              <w:rPr>
                <w:rFonts w:ascii="宋体" w:eastAsia="宋体" w:cs="宋体"/>
                <w:bCs/>
                <w:color w:val="auto"/>
                <w:sz w:val="21"/>
                <w:szCs w:val="21"/>
                <w:highlight w:val="none"/>
              </w:rPr>
            </w:pPr>
            <w:r>
              <w:rPr>
                <w:rFonts w:hint="eastAsia" w:ascii="宋体" w:eastAsia="宋体" w:cs="宋体"/>
                <w:color w:val="auto"/>
                <w:sz w:val="21"/>
                <w:szCs w:val="21"/>
                <w:highlight w:val="none"/>
              </w:rPr>
              <w:t>方案基本完整</w:t>
            </w:r>
            <w:r>
              <w:rPr>
                <w:rFonts w:hint="eastAsia" w:ascii="宋体" w:eastAsia="宋体" w:cs="宋体"/>
                <w:bCs/>
                <w:color w:val="auto"/>
                <w:sz w:val="21"/>
                <w:szCs w:val="21"/>
                <w:highlight w:val="none"/>
              </w:rPr>
              <w:t>，拟投入本项目各岗位人员安排的较合理、较可行的，得8分；</w:t>
            </w:r>
          </w:p>
          <w:p>
            <w:pPr>
              <w:pStyle w:val="35"/>
              <w:spacing w:line="240" w:lineRule="auto"/>
              <w:ind w:firstLine="420" w:firstLineChars="200"/>
              <w:rPr>
                <w:rFonts w:ascii="宋体" w:eastAsia="宋体" w:cs="宋体"/>
                <w:bCs/>
                <w:color w:val="auto"/>
                <w:sz w:val="21"/>
                <w:szCs w:val="21"/>
                <w:highlight w:val="none"/>
              </w:rPr>
            </w:pPr>
            <w:r>
              <w:rPr>
                <w:rFonts w:hint="eastAsia" w:ascii="宋体" w:eastAsia="宋体" w:cs="宋体"/>
                <w:color w:val="auto"/>
                <w:sz w:val="21"/>
                <w:szCs w:val="21"/>
                <w:highlight w:val="none"/>
              </w:rPr>
              <w:t>方案完整性一般</w:t>
            </w:r>
            <w:r>
              <w:rPr>
                <w:rFonts w:hint="eastAsia" w:ascii="宋体" w:eastAsia="宋体" w:cs="宋体"/>
                <w:bCs/>
                <w:color w:val="auto"/>
                <w:sz w:val="21"/>
                <w:szCs w:val="21"/>
                <w:highlight w:val="none"/>
              </w:rPr>
              <w:t>，拟投入本项目各岗位人员安排的合理性、可行性一般，得4分；</w:t>
            </w:r>
          </w:p>
          <w:p>
            <w:pPr>
              <w:pStyle w:val="3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方案欠完整、合理性差、可行性差得1分。</w:t>
            </w:r>
          </w:p>
          <w:p>
            <w:pPr>
              <w:pStyle w:val="35"/>
              <w:spacing w:line="240" w:lineRule="auto"/>
              <w:ind w:firstLine="420" w:firstLineChars="200"/>
              <w:rPr>
                <w:rFonts w:ascii="宋体" w:eastAsia="宋体" w:cs="宋体"/>
                <w:color w:val="auto"/>
                <w:sz w:val="21"/>
                <w:szCs w:val="21"/>
                <w:highlight w:val="none"/>
                <w:lang w:val="zh-CN"/>
              </w:rPr>
            </w:pPr>
            <w:r>
              <w:rPr>
                <w:rFonts w:hint="eastAsia" w:ascii="宋体" w:eastAsia="宋体" w:cs="宋体"/>
                <w:color w:val="auto"/>
                <w:sz w:val="21"/>
                <w:szCs w:val="21"/>
                <w:highlight w:val="none"/>
              </w:rPr>
              <w:t>无提供方案不得分。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4</w:t>
            </w:r>
          </w:p>
        </w:tc>
        <w:tc>
          <w:tcPr>
            <w:tcW w:w="1290"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color w:val="auto"/>
                <w:szCs w:val="21"/>
                <w:highlight w:val="none"/>
              </w:rPr>
            </w:pPr>
            <w:r>
              <w:rPr>
                <w:rFonts w:hint="eastAsia" w:ascii="宋体" w:hAnsi="宋体" w:cs="宋体"/>
                <w:color w:val="auto"/>
                <w:szCs w:val="21"/>
                <w:highlight w:val="none"/>
              </w:rPr>
              <w:t>应急管理方案</w:t>
            </w:r>
          </w:p>
        </w:tc>
        <w:tc>
          <w:tcPr>
            <w:tcW w:w="5920"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根据各投标人应急管理方案进行综合评审：</w:t>
            </w:r>
          </w:p>
          <w:p>
            <w:pPr>
              <w:spacing w:line="240" w:lineRule="auto"/>
              <w:ind w:left="-2" w:firstLine="420" w:firstLineChars="200"/>
              <w:rPr>
                <w:rFonts w:ascii="宋体" w:hAnsi="宋体" w:cs="宋体"/>
                <w:color w:val="auto"/>
                <w:szCs w:val="21"/>
                <w:highlight w:val="none"/>
              </w:rPr>
            </w:pPr>
            <w:r>
              <w:rPr>
                <w:rFonts w:hint="eastAsia" w:ascii="宋体" w:hAnsi="宋体" w:cs="宋体"/>
                <w:color w:val="auto"/>
                <w:szCs w:val="21"/>
                <w:highlight w:val="none"/>
              </w:rPr>
              <w:t>应急洗衣服务方案清晰完整、科学化、严谨合理、可行性高，得13分；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应急洗衣服务方案完整、科学化、较严谨合理、可行性较高，得8分；</w:t>
            </w:r>
          </w:p>
          <w:p>
            <w:pPr>
              <w:spacing w:line="24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应急洗衣服务，方案基本完整、合理可行，得4分；</w:t>
            </w:r>
          </w:p>
          <w:p>
            <w:pPr>
              <w:pStyle w:val="35"/>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应急洗衣服务方案不够完整，得1分。</w:t>
            </w:r>
          </w:p>
          <w:p>
            <w:pPr>
              <w:pStyle w:val="35"/>
              <w:spacing w:line="240" w:lineRule="auto"/>
              <w:ind w:firstLine="420" w:firstLineChars="200"/>
              <w:rPr>
                <w:rFonts w:ascii="宋体" w:eastAsia="宋体" w:cs="宋体"/>
                <w:color w:val="auto"/>
                <w:sz w:val="21"/>
                <w:szCs w:val="21"/>
                <w:highlight w:val="none"/>
                <w:lang w:val="zh-CN"/>
              </w:rPr>
            </w:pPr>
            <w:r>
              <w:rPr>
                <w:rFonts w:hint="eastAsia" w:ascii="宋体" w:eastAsia="宋体" w:cs="宋体"/>
                <w:color w:val="auto"/>
                <w:sz w:val="21"/>
                <w:szCs w:val="21"/>
                <w:highlight w:val="none"/>
              </w:rPr>
              <w:t>无提供方案不得分。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color w:val="auto"/>
                <w:sz w:val="21"/>
                <w:szCs w:val="21"/>
                <w:highlight w:val="none"/>
              </w:rPr>
            </w:pPr>
            <w:r>
              <w:rPr>
                <w:rFonts w:hint="eastAsia" w:ascii="宋体" w:eastAsia="宋体" w:cs="宋体"/>
                <w:color w:val="auto"/>
                <w:sz w:val="21"/>
                <w:szCs w:val="21"/>
                <w:highlight w:val="none"/>
              </w:rPr>
              <w:t>5</w:t>
            </w:r>
          </w:p>
        </w:tc>
        <w:tc>
          <w:tcPr>
            <w:tcW w:w="1290" w:type="dxa"/>
            <w:tcBorders>
              <w:top w:val="single" w:color="auto" w:sz="4" w:space="0"/>
              <w:left w:val="single" w:color="auto" w:sz="4" w:space="0"/>
              <w:bottom w:val="single" w:color="auto" w:sz="4" w:space="0"/>
              <w:right w:val="single" w:color="auto" w:sz="4" w:space="0"/>
            </w:tcBorders>
            <w:vAlign w:val="center"/>
          </w:tcPr>
          <w:p>
            <w:pPr>
              <w:tabs>
                <w:tab w:val="left" w:pos="8610"/>
              </w:tabs>
              <w:spacing w:line="24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预防感染</w:t>
            </w:r>
            <w:r>
              <w:rPr>
                <w:rFonts w:hint="eastAsia" w:ascii="宋体" w:hAnsi="宋体" w:cs="宋体"/>
                <w:color w:val="auto"/>
                <w:szCs w:val="21"/>
                <w:highlight w:val="none"/>
              </w:rPr>
              <w:t>方案</w:t>
            </w:r>
          </w:p>
        </w:tc>
        <w:tc>
          <w:tcPr>
            <w:tcW w:w="5920"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420" w:firstLineChars="200"/>
              <w:rPr>
                <w:rFonts w:ascii="宋体" w:eastAsia="宋体" w:cs="宋体"/>
                <w:bCs/>
                <w:color w:val="auto"/>
                <w:sz w:val="21"/>
                <w:szCs w:val="21"/>
                <w:highlight w:val="none"/>
              </w:rPr>
            </w:pPr>
            <w:r>
              <w:rPr>
                <w:rFonts w:hint="eastAsia" w:ascii="宋体" w:eastAsia="宋体" w:cs="宋体"/>
                <w:bCs/>
                <w:color w:val="auto"/>
                <w:sz w:val="21"/>
                <w:szCs w:val="21"/>
                <w:highlight w:val="none"/>
              </w:rPr>
              <w:t>根据各投标人提供的预防</w:t>
            </w:r>
            <w:r>
              <w:rPr>
                <w:rFonts w:hint="eastAsia" w:ascii="宋体" w:eastAsia="宋体" w:cs="宋体"/>
                <w:color w:val="auto"/>
                <w:sz w:val="21"/>
                <w:szCs w:val="21"/>
                <w:highlight w:val="none"/>
              </w:rPr>
              <w:t>感染控制方案</w:t>
            </w:r>
            <w:r>
              <w:rPr>
                <w:rFonts w:hint="eastAsia" w:ascii="宋体" w:eastAsia="宋体" w:cs="宋体"/>
                <w:bCs/>
                <w:color w:val="auto"/>
                <w:sz w:val="21"/>
                <w:szCs w:val="21"/>
                <w:highlight w:val="none"/>
              </w:rPr>
              <w:t>进行综合评审：</w:t>
            </w:r>
          </w:p>
          <w:p>
            <w:pPr>
              <w:pStyle w:val="35"/>
              <w:spacing w:line="240" w:lineRule="auto"/>
              <w:ind w:firstLine="420" w:firstLineChars="200"/>
              <w:rPr>
                <w:rFonts w:ascii="宋体" w:eastAsia="宋体" w:cs="宋体"/>
                <w:bCs/>
                <w:color w:val="auto"/>
                <w:sz w:val="21"/>
                <w:szCs w:val="21"/>
                <w:highlight w:val="none"/>
              </w:rPr>
            </w:pPr>
            <w:r>
              <w:rPr>
                <w:rFonts w:hint="eastAsia" w:ascii="宋体" w:eastAsia="宋体" w:cs="宋体"/>
                <w:bCs/>
                <w:color w:val="auto"/>
                <w:sz w:val="21"/>
                <w:szCs w:val="21"/>
                <w:highlight w:val="none"/>
              </w:rPr>
              <w:t>预防感染方案流程和制度清晰、合理性高，方案详细具体，防感性强，得10分；</w:t>
            </w:r>
          </w:p>
          <w:p>
            <w:pPr>
              <w:pStyle w:val="35"/>
              <w:spacing w:line="240" w:lineRule="auto"/>
              <w:ind w:firstLine="420" w:firstLineChars="200"/>
              <w:rPr>
                <w:rFonts w:ascii="宋体" w:eastAsia="宋体" w:cs="宋体"/>
                <w:bCs/>
                <w:color w:val="auto"/>
                <w:sz w:val="21"/>
                <w:szCs w:val="21"/>
                <w:highlight w:val="none"/>
              </w:rPr>
            </w:pPr>
            <w:r>
              <w:rPr>
                <w:rFonts w:hint="eastAsia" w:ascii="宋体" w:eastAsia="宋体" w:cs="宋体"/>
                <w:bCs/>
                <w:color w:val="auto"/>
                <w:sz w:val="21"/>
                <w:szCs w:val="21"/>
                <w:highlight w:val="none"/>
              </w:rPr>
              <w:t>预防感染方案流程和制度基本完整，方案详细，防感性较强，得6分；</w:t>
            </w:r>
          </w:p>
          <w:p>
            <w:pPr>
              <w:pStyle w:val="35"/>
              <w:spacing w:line="240" w:lineRule="auto"/>
              <w:ind w:firstLine="420" w:firstLineChars="200"/>
              <w:rPr>
                <w:rFonts w:ascii="宋体" w:eastAsia="宋体" w:cs="宋体"/>
                <w:bCs/>
                <w:color w:val="auto"/>
                <w:sz w:val="21"/>
                <w:szCs w:val="21"/>
                <w:highlight w:val="none"/>
              </w:rPr>
            </w:pPr>
            <w:r>
              <w:rPr>
                <w:rFonts w:hint="eastAsia" w:ascii="宋体" w:eastAsia="宋体" w:cs="宋体"/>
                <w:bCs/>
                <w:color w:val="auto"/>
                <w:sz w:val="21"/>
                <w:szCs w:val="21"/>
                <w:highlight w:val="none"/>
              </w:rPr>
              <w:t>预防感染方案流程一般，方案、可操作性一般，得3分；</w:t>
            </w:r>
          </w:p>
          <w:p>
            <w:pPr>
              <w:pStyle w:val="35"/>
              <w:spacing w:line="240" w:lineRule="auto"/>
              <w:ind w:left="420" w:leftChars="200" w:firstLine="0" w:firstLineChars="0"/>
              <w:rPr>
                <w:rFonts w:ascii="宋体" w:eastAsia="宋体" w:cs="宋体"/>
                <w:bCs/>
                <w:color w:val="auto"/>
                <w:sz w:val="21"/>
                <w:szCs w:val="21"/>
                <w:highlight w:val="none"/>
                <w:lang w:val="zh-CN"/>
              </w:rPr>
            </w:pPr>
            <w:r>
              <w:rPr>
                <w:rFonts w:hint="eastAsia" w:ascii="宋体" w:eastAsia="宋体" w:cs="宋体"/>
                <w:bCs/>
                <w:color w:val="auto"/>
                <w:sz w:val="21"/>
                <w:szCs w:val="21"/>
                <w:highlight w:val="none"/>
              </w:rPr>
              <w:t>预防感染方案流程比较模糊，方案不详细具体，得1分；</w:t>
            </w:r>
            <w:r>
              <w:rPr>
                <w:rFonts w:hint="eastAsia" w:ascii="宋体" w:eastAsia="宋体" w:cs="宋体"/>
                <w:color w:val="auto"/>
                <w:sz w:val="21"/>
                <w:szCs w:val="21"/>
                <w:highlight w:val="none"/>
              </w:rPr>
              <w:t>无提供方案不得分。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5"/>
              <w:spacing w:line="240" w:lineRule="auto"/>
              <w:ind w:firstLine="0" w:firstLineChars="0"/>
              <w:jc w:val="center"/>
              <w:rPr>
                <w:rFonts w:ascii="宋体" w:eastAsia="宋体" w:cs="宋体"/>
                <w:bCs/>
                <w:color w:val="auto"/>
                <w:sz w:val="21"/>
                <w:szCs w:val="21"/>
                <w:highlight w:val="none"/>
              </w:rPr>
            </w:pPr>
            <w:r>
              <w:rPr>
                <w:rFonts w:hint="eastAsia" w:ascii="宋体" w:eastAsia="宋体" w:cs="宋体"/>
                <w:bCs/>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tabs>
                <w:tab w:val="left" w:pos="907"/>
              </w:tabs>
              <w:spacing w:line="24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注：</w:t>
            </w:r>
          </w:p>
          <w:p>
            <w:pPr>
              <w:tabs>
                <w:tab w:val="left" w:pos="907"/>
              </w:tabs>
              <w:spacing w:line="24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（1）除特殊说明外，以上评审项，同一证明文件不重复计分。</w:t>
            </w:r>
          </w:p>
          <w:p>
            <w:pPr>
              <w:tabs>
                <w:tab w:val="left" w:pos="907"/>
              </w:tabs>
              <w:spacing w:line="24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（2）投标人根据以上评分要求提供的投标材料因模糊不清导致评标委员会无法清晰辨认进行评审的，视为无效材料。</w:t>
            </w:r>
          </w:p>
          <w:p>
            <w:pPr>
              <w:pStyle w:val="35"/>
              <w:spacing w:line="240" w:lineRule="auto"/>
              <w:ind w:firstLine="0" w:firstLineChars="0"/>
              <w:jc w:val="left"/>
              <w:rPr>
                <w:rFonts w:ascii="宋体" w:eastAsia="宋体" w:cs="宋体"/>
                <w:bCs/>
                <w:color w:val="auto"/>
                <w:sz w:val="21"/>
                <w:szCs w:val="21"/>
                <w:highlight w:val="none"/>
              </w:rPr>
            </w:pPr>
            <w:r>
              <w:rPr>
                <w:rFonts w:hint="eastAsia" w:ascii="宋体" w:eastAsia="宋体" w:cs="宋体"/>
                <w:b/>
                <w:color w:val="auto"/>
                <w:sz w:val="21"/>
                <w:szCs w:val="21"/>
                <w:highlight w:val="none"/>
              </w:rPr>
              <w:t>（3）若因疫情原因暂缓统一托收或阶段性减免社会保险费而导致无法打印社保缴费证明的需提供书面说明并加盖投标人公章，否则不得分。</w:t>
            </w:r>
          </w:p>
        </w:tc>
      </w:tr>
    </w:tbl>
    <w:p>
      <w:pPr>
        <w:rPr>
          <w:color w:val="auto"/>
          <w:highlight w:val="none"/>
        </w:rPr>
      </w:pPr>
      <w:r>
        <w:rPr>
          <w:rFonts w:hint="eastAsia"/>
          <w:color w:val="auto"/>
          <w:highlight w:val="none"/>
        </w:rPr>
        <w:br w:type="page"/>
      </w:r>
    </w:p>
    <w:p>
      <w:pPr>
        <w:pStyle w:val="4"/>
        <w:spacing w:before="0" w:after="0" w:line="240" w:lineRule="auto"/>
        <w:rPr>
          <w:color w:val="auto"/>
          <w:sz w:val="24"/>
          <w:szCs w:val="24"/>
          <w:highlight w:val="none"/>
        </w:rPr>
      </w:pPr>
      <w:bookmarkStart w:id="17" w:name="_Toc2479"/>
      <w:bookmarkStart w:id="18" w:name="_Toc30638"/>
      <w:bookmarkStart w:id="19" w:name="_Toc29685"/>
      <w:bookmarkStart w:id="20" w:name="_Toc14146"/>
      <w:r>
        <w:rPr>
          <w:rFonts w:hint="eastAsia"/>
          <w:color w:val="auto"/>
          <w:sz w:val="28"/>
          <w:szCs w:val="28"/>
          <w:highlight w:val="none"/>
        </w:rPr>
        <w:t>第四部分 投标人须知</w:t>
      </w:r>
      <w:bookmarkEnd w:id="17"/>
      <w:bookmarkEnd w:id="18"/>
      <w:bookmarkEnd w:id="19"/>
    </w:p>
    <w:p>
      <w:pPr>
        <w:pStyle w:val="5"/>
        <w:spacing w:line="480" w:lineRule="auto"/>
        <w:jc w:val="center"/>
        <w:rPr>
          <w:rFonts w:ascii="宋体" w:hAnsi="宋体"/>
          <w:color w:val="auto"/>
          <w:highlight w:val="none"/>
        </w:rPr>
      </w:pPr>
      <w:bookmarkStart w:id="21" w:name="_Toc11105"/>
      <w:bookmarkStart w:id="22" w:name="_Toc19746"/>
      <w:bookmarkStart w:id="23" w:name="_Toc3095"/>
      <w:r>
        <w:rPr>
          <w:rFonts w:hint="eastAsia" w:ascii="宋体" w:hAnsi="宋体"/>
          <w:color w:val="auto"/>
          <w:highlight w:val="none"/>
        </w:rPr>
        <w:t>第一章说明</w:t>
      </w:r>
      <w:bookmarkEnd w:id="21"/>
      <w:bookmarkEnd w:id="22"/>
      <w:bookmarkEnd w:id="23"/>
    </w:p>
    <w:p>
      <w:pPr>
        <w:pStyle w:val="6"/>
        <w:widowControl w:val="0"/>
        <w:overflowPunct w:val="0"/>
        <w:spacing w:line="240" w:lineRule="auto"/>
        <w:rPr>
          <w:rFonts w:ascii="宋体" w:hAnsi="宋体"/>
          <w:color w:val="auto"/>
          <w:sz w:val="21"/>
          <w:szCs w:val="21"/>
          <w:highlight w:val="none"/>
        </w:rPr>
      </w:pPr>
      <w:bookmarkStart w:id="24" w:name="_Toc22847"/>
      <w:bookmarkStart w:id="25" w:name="_Toc22803"/>
      <w:bookmarkStart w:id="26" w:name="_Toc18488"/>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27" w:name="_Toc21002"/>
      <w:bookmarkStart w:id="28" w:name="_Toc13400"/>
      <w:bookmarkStart w:id="29" w:name="_Toc16848"/>
      <w:r>
        <w:rPr>
          <w:rFonts w:hint="eastAsia" w:ascii="宋体" w:hAnsi="宋体"/>
          <w:color w:val="auto"/>
          <w:sz w:val="21"/>
          <w:szCs w:val="21"/>
          <w:highlight w:val="none"/>
        </w:rPr>
        <w:t>2.</w:t>
      </w:r>
      <w:bookmarkStart w:id="30" w:name="_Toc298847174"/>
      <w:bookmarkStart w:id="31" w:name="_Toc382049092"/>
      <w:bookmarkStart w:id="32" w:name="_Toc1530"/>
      <w:bookmarkStart w:id="33" w:name="_Toc303084246"/>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4" w:name="_Toc2996"/>
      <w:bookmarkStart w:id="35" w:name="_Toc9710"/>
      <w:bookmarkStart w:id="36" w:name="_Toc3780"/>
      <w:r>
        <w:rPr>
          <w:rFonts w:hint="eastAsia" w:ascii="宋体" w:hAnsi="宋体"/>
          <w:color w:val="auto"/>
          <w:sz w:val="21"/>
          <w:szCs w:val="21"/>
          <w:highlight w:val="none"/>
        </w:rPr>
        <w:t>3.货物和服务</w:t>
      </w:r>
      <w:bookmarkEnd w:id="34"/>
      <w:bookmarkEnd w:id="35"/>
      <w:bookmarkEnd w:id="36"/>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6"/>
        <w:widowControl w:val="0"/>
        <w:overflowPunct w:val="0"/>
        <w:spacing w:line="240" w:lineRule="auto"/>
        <w:rPr>
          <w:rFonts w:ascii="宋体" w:hAnsi="宋体"/>
          <w:color w:val="auto"/>
          <w:sz w:val="21"/>
          <w:szCs w:val="21"/>
          <w:highlight w:val="none"/>
        </w:rPr>
      </w:pPr>
      <w:bookmarkStart w:id="37" w:name="_Toc13909"/>
      <w:bookmarkStart w:id="38" w:name="_Toc15945"/>
      <w:bookmarkStart w:id="39" w:name="_Toc12536"/>
      <w:r>
        <w:rPr>
          <w:rFonts w:hint="eastAsia" w:ascii="宋体" w:hAnsi="宋体"/>
          <w:color w:val="auto"/>
          <w:sz w:val="21"/>
          <w:szCs w:val="21"/>
          <w:highlight w:val="none"/>
        </w:rPr>
        <w:t>4.投标费用</w:t>
      </w:r>
      <w:bookmarkEnd w:id="37"/>
      <w:bookmarkEnd w:id="38"/>
      <w:bookmarkEnd w:id="39"/>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0" w:name="_Toc25040"/>
      <w:bookmarkStart w:id="41" w:name="_Toc19532"/>
      <w:bookmarkStart w:id="42" w:name="_Toc19094"/>
      <w:r>
        <w:rPr>
          <w:rFonts w:hint="eastAsia" w:ascii="宋体" w:hAnsi="宋体"/>
          <w:color w:val="auto"/>
          <w:sz w:val="21"/>
          <w:szCs w:val="21"/>
          <w:highlight w:val="none"/>
        </w:rPr>
        <w:t>5.知识产权</w:t>
      </w:r>
      <w:bookmarkEnd w:id="40"/>
      <w:bookmarkEnd w:id="41"/>
      <w:bookmarkEnd w:id="42"/>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3" w:name="_Toc21930"/>
      <w:bookmarkStart w:id="44" w:name="_Toc8432"/>
      <w:bookmarkStart w:id="45" w:name="_Toc31885"/>
      <w:r>
        <w:rPr>
          <w:rFonts w:hint="eastAsia" w:ascii="宋体" w:hAnsi="宋体"/>
          <w:color w:val="auto"/>
          <w:sz w:val="21"/>
          <w:szCs w:val="21"/>
          <w:highlight w:val="none"/>
        </w:rPr>
        <w:t>6.关于联合体投标</w:t>
      </w:r>
      <w:bookmarkEnd w:id="43"/>
      <w:bookmarkEnd w:id="44"/>
      <w:bookmarkEnd w:id="45"/>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6"/>
        <w:widowControl w:val="0"/>
        <w:overflowPunct w:val="0"/>
        <w:spacing w:line="240" w:lineRule="auto"/>
        <w:rPr>
          <w:rFonts w:ascii="宋体" w:hAnsi="宋体"/>
          <w:color w:val="auto"/>
          <w:sz w:val="21"/>
          <w:szCs w:val="21"/>
          <w:highlight w:val="none"/>
        </w:rPr>
      </w:pPr>
      <w:bookmarkStart w:id="46" w:name="_Toc13811"/>
      <w:bookmarkStart w:id="47" w:name="_Toc1657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5"/>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pPr>
        <w:pStyle w:val="6"/>
        <w:widowControl w:val="0"/>
        <w:overflowPunct w:val="0"/>
        <w:spacing w:line="240" w:lineRule="auto"/>
        <w:rPr>
          <w:rFonts w:ascii="宋体" w:hAnsi="宋体"/>
          <w:color w:val="auto"/>
          <w:sz w:val="21"/>
          <w:szCs w:val="21"/>
          <w:highlight w:val="none"/>
        </w:rPr>
      </w:pPr>
      <w:bookmarkStart w:id="53" w:name="_Toc1423"/>
      <w:bookmarkStart w:id="54" w:name="_Toc21771"/>
      <w:bookmarkStart w:id="55" w:name="_Toc13494"/>
      <w:r>
        <w:rPr>
          <w:rFonts w:hint="eastAsia" w:ascii="宋体" w:hAnsi="宋体"/>
          <w:color w:val="auto"/>
          <w:sz w:val="21"/>
          <w:szCs w:val="21"/>
          <w:highlight w:val="none"/>
        </w:rPr>
        <w:t>8.招标文件的组成</w:t>
      </w:r>
      <w:bookmarkEnd w:id="53"/>
      <w:bookmarkEnd w:id="54"/>
      <w:bookmarkEnd w:id="55"/>
    </w:p>
    <w:p>
      <w:pPr>
        <w:pStyle w:val="32"/>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6"/>
        <w:widowControl w:val="0"/>
        <w:overflowPunct w:val="0"/>
        <w:rPr>
          <w:rFonts w:ascii="宋体" w:hAnsi="宋体"/>
          <w:color w:val="auto"/>
          <w:sz w:val="21"/>
          <w:szCs w:val="21"/>
          <w:highlight w:val="none"/>
        </w:rPr>
      </w:pPr>
      <w:bookmarkStart w:id="56" w:name="_Toc17274"/>
      <w:bookmarkStart w:id="57" w:name="_Toc14217"/>
      <w:bookmarkStart w:id="58" w:name="_Toc7997"/>
      <w:r>
        <w:rPr>
          <w:rFonts w:hint="eastAsia" w:ascii="宋体" w:hAnsi="宋体"/>
          <w:color w:val="auto"/>
          <w:sz w:val="21"/>
          <w:szCs w:val="21"/>
          <w:highlight w:val="none"/>
        </w:rPr>
        <w:t>9.招标文件的澄清或修改</w:t>
      </w:r>
      <w:bookmarkEnd w:id="56"/>
      <w:bookmarkEnd w:id="57"/>
      <w:bookmarkEnd w:id="58"/>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5"/>
        <w:spacing w:line="480" w:lineRule="auto"/>
        <w:jc w:val="center"/>
        <w:rPr>
          <w:rFonts w:ascii="宋体" w:hAnsi="宋体"/>
          <w:color w:val="auto"/>
          <w:highlight w:val="none"/>
        </w:rPr>
      </w:pPr>
      <w:bookmarkStart w:id="59" w:name="_Toc16712"/>
      <w:bookmarkStart w:id="60" w:name="_Toc23726"/>
      <w:bookmarkStart w:id="61" w:name="_Toc4773"/>
      <w:r>
        <w:rPr>
          <w:rFonts w:hint="eastAsia" w:ascii="宋体" w:hAnsi="宋体"/>
          <w:color w:val="auto"/>
          <w:highlight w:val="none"/>
        </w:rPr>
        <w:t>第三章投标文件的编制</w:t>
      </w:r>
      <w:bookmarkEnd w:id="59"/>
      <w:bookmarkEnd w:id="60"/>
      <w:bookmarkEnd w:id="61"/>
    </w:p>
    <w:p>
      <w:pPr>
        <w:pStyle w:val="6"/>
        <w:widowControl w:val="0"/>
        <w:overflowPunct w:val="0"/>
        <w:rPr>
          <w:rFonts w:ascii="宋体" w:hAnsi="宋体"/>
          <w:color w:val="auto"/>
          <w:sz w:val="21"/>
          <w:szCs w:val="21"/>
          <w:highlight w:val="none"/>
        </w:rPr>
      </w:pPr>
      <w:bookmarkStart w:id="62" w:name="_Toc7434"/>
      <w:bookmarkStart w:id="63" w:name="_Toc20623"/>
      <w:bookmarkStart w:id="64" w:name="_Toc28092"/>
      <w:r>
        <w:rPr>
          <w:rFonts w:hint="eastAsia" w:ascii="宋体" w:hAnsi="宋体"/>
          <w:color w:val="auto"/>
          <w:sz w:val="21"/>
          <w:szCs w:val="21"/>
          <w:highlight w:val="none"/>
        </w:rPr>
        <w:t>10.投标文件的语言及度量衡单位</w:t>
      </w:r>
      <w:bookmarkEnd w:id="62"/>
      <w:bookmarkEnd w:id="63"/>
      <w:bookmarkEnd w:id="64"/>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65" w:name="_Toc7728"/>
      <w:bookmarkStart w:id="66" w:name="_Toc382049103"/>
      <w:bookmarkStart w:id="67" w:name="_Toc28866"/>
      <w:bookmarkStart w:id="68" w:name="_Toc12145"/>
      <w:bookmarkStart w:id="69" w:name="_Toc307934854"/>
      <w:bookmarkStart w:id="70" w:name="_Toc18999"/>
      <w:bookmarkStart w:id="71" w:name="_Toc303084256"/>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6"/>
        <w:widowControl w:val="0"/>
        <w:overflowPunct w:val="0"/>
        <w:rPr>
          <w:rFonts w:ascii="宋体" w:hAnsi="宋体"/>
          <w:color w:val="auto"/>
          <w:sz w:val="21"/>
          <w:szCs w:val="21"/>
          <w:highlight w:val="none"/>
        </w:rPr>
      </w:pPr>
      <w:bookmarkStart w:id="72" w:name="_Toc21747"/>
      <w:bookmarkStart w:id="73" w:name="_Toc30189"/>
      <w:bookmarkStart w:id="74" w:name="_Toc3882"/>
      <w:r>
        <w:rPr>
          <w:rFonts w:hint="eastAsia" w:ascii="宋体" w:hAnsi="宋体"/>
          <w:color w:val="auto"/>
          <w:sz w:val="21"/>
          <w:szCs w:val="21"/>
          <w:highlight w:val="none"/>
        </w:rPr>
        <w:t>12.投标文件编制</w:t>
      </w:r>
      <w:bookmarkEnd w:id="72"/>
      <w:bookmarkEnd w:id="73"/>
      <w:bookmarkEnd w:id="74"/>
    </w:p>
    <w:p>
      <w:pPr>
        <w:pStyle w:val="32"/>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32"/>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32"/>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6"/>
        <w:widowControl w:val="0"/>
        <w:overflowPunct w:val="0"/>
        <w:rPr>
          <w:rFonts w:ascii="宋体" w:hAnsi="宋体"/>
          <w:color w:val="auto"/>
          <w:sz w:val="21"/>
          <w:szCs w:val="21"/>
          <w:highlight w:val="none"/>
        </w:rPr>
      </w:pPr>
      <w:bookmarkStart w:id="76" w:name="_Toc17188"/>
      <w:bookmarkStart w:id="77" w:name="_Toc259"/>
      <w:bookmarkStart w:id="78" w:name="_Toc7847"/>
      <w:r>
        <w:rPr>
          <w:rFonts w:hint="eastAsia" w:ascii="宋体" w:hAnsi="宋体"/>
          <w:color w:val="auto"/>
          <w:sz w:val="21"/>
          <w:szCs w:val="21"/>
          <w:highlight w:val="none"/>
        </w:rPr>
        <w:t>13.投标报价说明</w:t>
      </w:r>
      <w:bookmarkEnd w:id="76"/>
      <w:bookmarkEnd w:id="77"/>
      <w:bookmarkEnd w:id="78"/>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6"/>
        <w:widowControl w:val="0"/>
        <w:overflowPunct w:val="0"/>
        <w:rPr>
          <w:rFonts w:ascii="宋体" w:hAnsi="宋体"/>
          <w:color w:val="auto"/>
          <w:sz w:val="21"/>
          <w:szCs w:val="21"/>
          <w:highlight w:val="none"/>
        </w:rPr>
      </w:pPr>
      <w:bookmarkStart w:id="79" w:name="_Toc16535"/>
      <w:bookmarkStart w:id="80" w:name="_Toc18911"/>
      <w:bookmarkStart w:id="81" w:name="_Toc27724"/>
      <w:r>
        <w:rPr>
          <w:rFonts w:hint="eastAsia" w:ascii="宋体" w:hAnsi="宋体"/>
          <w:color w:val="auto"/>
          <w:sz w:val="21"/>
          <w:szCs w:val="21"/>
          <w:highlight w:val="none"/>
        </w:rPr>
        <w:t>14.投标人所提供的服务或货物的证明文件</w:t>
      </w:r>
      <w:bookmarkEnd w:id="79"/>
      <w:bookmarkEnd w:id="80"/>
      <w:bookmarkEnd w:id="81"/>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2"/>
        <w:widowControl w:val="0"/>
        <w:adjustRightInd/>
        <w:snapToGrid/>
        <w:ind w:left="425" w:firstLine="0" w:firstLineChars="0"/>
        <w:jc w:val="both"/>
        <w:rPr>
          <w:color w:val="auto"/>
          <w:highlight w:val="none"/>
        </w:rPr>
      </w:pPr>
    </w:p>
    <w:p>
      <w:pPr>
        <w:pStyle w:val="6"/>
        <w:widowControl w:val="0"/>
        <w:overflowPunct w:val="0"/>
        <w:rPr>
          <w:rFonts w:ascii="宋体" w:hAnsi="宋体"/>
          <w:color w:val="auto"/>
          <w:sz w:val="21"/>
          <w:szCs w:val="21"/>
          <w:highlight w:val="none"/>
        </w:rPr>
      </w:pPr>
      <w:bookmarkStart w:id="84" w:name="_Toc30815"/>
      <w:bookmarkStart w:id="85" w:name="_Toc19520"/>
      <w:bookmarkStart w:id="86" w:name="_Toc22169"/>
      <w:r>
        <w:rPr>
          <w:rFonts w:hint="eastAsia" w:ascii="宋体" w:hAnsi="宋体"/>
          <w:color w:val="auto"/>
          <w:sz w:val="21"/>
          <w:szCs w:val="21"/>
          <w:highlight w:val="none"/>
        </w:rPr>
        <w:t>15.★投标有效期</w:t>
      </w:r>
      <w:bookmarkEnd w:id="84"/>
      <w:bookmarkEnd w:id="85"/>
      <w:bookmarkEnd w:id="86"/>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87" w:name="_Toc12456"/>
      <w:bookmarkStart w:id="88" w:name="_Toc30257"/>
      <w:bookmarkStart w:id="89" w:name="_Toc25817"/>
      <w:r>
        <w:rPr>
          <w:rFonts w:hint="eastAsia" w:ascii="宋体" w:hAnsi="宋体"/>
          <w:color w:val="auto"/>
          <w:sz w:val="21"/>
          <w:szCs w:val="21"/>
          <w:highlight w:val="none"/>
        </w:rPr>
        <w:t>16.★投标保证金</w:t>
      </w:r>
      <w:bookmarkEnd w:id="87"/>
      <w:bookmarkEnd w:id="88"/>
      <w:bookmarkEnd w:id="89"/>
    </w:p>
    <w:p>
      <w:pPr>
        <w:pStyle w:val="32"/>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5"/>
        <w:spacing w:line="480" w:lineRule="auto"/>
        <w:jc w:val="center"/>
        <w:rPr>
          <w:rFonts w:ascii="宋体" w:hAnsi="宋体"/>
          <w:color w:val="auto"/>
          <w:highlight w:val="none"/>
        </w:rPr>
      </w:pPr>
      <w:bookmarkStart w:id="91" w:name="_Toc24109"/>
      <w:bookmarkStart w:id="92" w:name="_Toc3200"/>
      <w:bookmarkStart w:id="93" w:name="_Toc31124"/>
      <w:r>
        <w:rPr>
          <w:rFonts w:hint="eastAsia" w:ascii="宋体" w:hAnsi="宋体"/>
          <w:color w:val="auto"/>
          <w:highlight w:val="none"/>
        </w:rPr>
        <w:t>第四章投标文件的递交</w:t>
      </w:r>
      <w:bookmarkEnd w:id="91"/>
      <w:bookmarkEnd w:id="92"/>
      <w:bookmarkEnd w:id="93"/>
    </w:p>
    <w:p>
      <w:pPr>
        <w:pStyle w:val="6"/>
        <w:widowControl w:val="0"/>
        <w:overflowPunct w:val="0"/>
        <w:rPr>
          <w:rFonts w:ascii="宋体" w:hAnsi="宋体"/>
          <w:color w:val="auto"/>
          <w:sz w:val="21"/>
          <w:szCs w:val="21"/>
          <w:highlight w:val="none"/>
        </w:rPr>
      </w:pPr>
      <w:bookmarkStart w:id="94" w:name="_Toc473"/>
      <w:bookmarkStart w:id="95" w:name="_Toc382049111"/>
      <w:bookmarkStart w:id="96" w:name="_Toc29590"/>
      <w:bookmarkStart w:id="97" w:name="_Toc24997"/>
      <w:bookmarkStart w:id="98" w:name="_Toc303084264"/>
      <w:bookmarkStart w:id="99" w:name="_Toc23678"/>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唱标文件内还须包括并不限于：投标保证金支付凭证银行汇款底单（复印件加盖公章，原件随身携带，以备查核）和投标保证金汇入情况说明（加盖公章）。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00" w:name="_Toc17417"/>
      <w:bookmarkStart w:id="101" w:name="_Toc7473"/>
      <w:bookmarkStart w:id="102" w:name="_Toc8628"/>
      <w:r>
        <w:rPr>
          <w:rFonts w:hint="eastAsia" w:ascii="宋体" w:hAnsi="宋体"/>
          <w:color w:val="auto"/>
          <w:sz w:val="21"/>
          <w:szCs w:val="21"/>
          <w:highlight w:val="none"/>
        </w:rPr>
        <w:t>18.迟交的投标文件</w:t>
      </w:r>
      <w:bookmarkEnd w:id="100"/>
      <w:bookmarkEnd w:id="101"/>
      <w:bookmarkEnd w:id="102"/>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6"/>
        <w:widowControl w:val="0"/>
        <w:overflowPunct w:val="0"/>
        <w:rPr>
          <w:rFonts w:ascii="宋体" w:hAnsi="宋体"/>
          <w:color w:val="auto"/>
          <w:sz w:val="21"/>
          <w:szCs w:val="21"/>
          <w:highlight w:val="none"/>
        </w:rPr>
      </w:pPr>
      <w:bookmarkStart w:id="103" w:name="_Toc13212"/>
      <w:bookmarkStart w:id="104" w:name="_Toc19649"/>
      <w:bookmarkStart w:id="105" w:name="_Toc8526"/>
      <w:r>
        <w:rPr>
          <w:rFonts w:hint="eastAsia" w:ascii="宋体" w:hAnsi="宋体"/>
          <w:color w:val="auto"/>
          <w:sz w:val="21"/>
          <w:szCs w:val="21"/>
          <w:highlight w:val="none"/>
        </w:rPr>
        <w:t>19.投标样品（如需提交）</w:t>
      </w:r>
      <w:bookmarkEnd w:id="103"/>
      <w:bookmarkEnd w:id="104"/>
      <w:bookmarkEnd w:id="105"/>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6"/>
        <w:widowControl w:val="0"/>
        <w:overflowPunct w:val="0"/>
        <w:rPr>
          <w:rFonts w:ascii="宋体" w:hAnsi="宋体"/>
          <w:color w:val="auto"/>
          <w:sz w:val="21"/>
          <w:szCs w:val="21"/>
          <w:highlight w:val="none"/>
        </w:rPr>
      </w:pPr>
      <w:bookmarkStart w:id="106" w:name="_Toc382049112"/>
      <w:bookmarkStart w:id="107" w:name="_Toc303084265"/>
      <w:bookmarkStart w:id="108" w:name="_Toc9777"/>
      <w:bookmarkStart w:id="109" w:name="_Toc7689"/>
      <w:bookmarkStart w:id="110" w:name="_Toc5900"/>
      <w:bookmarkStart w:id="111" w:name="_Toc23477"/>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6"/>
        <w:widowControl w:val="0"/>
        <w:overflowPunct w:val="0"/>
        <w:rPr>
          <w:rFonts w:ascii="宋体" w:hAnsi="宋体"/>
          <w:color w:val="auto"/>
          <w:sz w:val="21"/>
          <w:szCs w:val="21"/>
          <w:highlight w:val="none"/>
        </w:rPr>
      </w:pPr>
      <w:bookmarkStart w:id="112" w:name="_Toc11133"/>
      <w:bookmarkStart w:id="113" w:name="_Toc6003"/>
      <w:bookmarkStart w:id="114" w:name="_Toc15569"/>
      <w:r>
        <w:rPr>
          <w:rFonts w:hint="eastAsia" w:ascii="宋体" w:hAnsi="宋体"/>
          <w:color w:val="auto"/>
          <w:sz w:val="21"/>
          <w:szCs w:val="21"/>
          <w:highlight w:val="none"/>
        </w:rPr>
        <w:t>21.投标文件的补充、修改与撤回</w:t>
      </w:r>
      <w:bookmarkEnd w:id="112"/>
      <w:bookmarkEnd w:id="113"/>
      <w:bookmarkEnd w:id="114"/>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2"/>
        <w:rPr>
          <w:color w:val="auto"/>
          <w:highlight w:val="none"/>
        </w:rPr>
      </w:pPr>
    </w:p>
    <w:p>
      <w:pPr>
        <w:pStyle w:val="5"/>
        <w:spacing w:line="480" w:lineRule="auto"/>
        <w:jc w:val="center"/>
        <w:rPr>
          <w:rFonts w:ascii="宋体" w:hAnsi="宋体"/>
          <w:color w:val="auto"/>
          <w:highlight w:val="none"/>
        </w:rPr>
      </w:pPr>
      <w:bookmarkStart w:id="115" w:name="_Toc5049"/>
      <w:bookmarkStart w:id="116" w:name="_Toc23466"/>
      <w:bookmarkStart w:id="117" w:name="_Toc29574"/>
      <w:r>
        <w:rPr>
          <w:rFonts w:hint="eastAsia" w:ascii="宋体" w:hAnsi="宋体"/>
          <w:color w:val="auto"/>
          <w:highlight w:val="none"/>
        </w:rPr>
        <w:t>第五章开标与评标</w:t>
      </w:r>
      <w:bookmarkEnd w:id="115"/>
      <w:bookmarkEnd w:id="116"/>
      <w:bookmarkEnd w:id="117"/>
    </w:p>
    <w:p>
      <w:pPr>
        <w:pStyle w:val="6"/>
        <w:widowControl w:val="0"/>
        <w:overflowPunct w:val="0"/>
        <w:rPr>
          <w:rFonts w:ascii="宋体" w:hAnsi="宋体"/>
          <w:color w:val="auto"/>
          <w:sz w:val="21"/>
          <w:szCs w:val="21"/>
          <w:highlight w:val="none"/>
        </w:rPr>
      </w:pPr>
      <w:bookmarkStart w:id="118" w:name="_Toc28458"/>
      <w:bookmarkStart w:id="119" w:name="_Toc27700"/>
      <w:bookmarkStart w:id="120" w:name="_Toc24251"/>
      <w:r>
        <w:rPr>
          <w:rFonts w:hint="eastAsia" w:ascii="宋体" w:hAnsi="宋体"/>
          <w:color w:val="auto"/>
          <w:sz w:val="21"/>
          <w:szCs w:val="21"/>
          <w:highlight w:val="none"/>
        </w:rPr>
        <w:t>22.开标</w:t>
      </w:r>
      <w:bookmarkEnd w:id="118"/>
      <w:bookmarkEnd w:id="119"/>
      <w:bookmarkEnd w:id="120"/>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6"/>
        <w:widowControl w:val="0"/>
        <w:overflowPunct w:val="0"/>
        <w:rPr>
          <w:rFonts w:ascii="宋体" w:hAnsi="宋体"/>
          <w:color w:val="auto"/>
          <w:sz w:val="21"/>
          <w:szCs w:val="21"/>
          <w:highlight w:val="none"/>
        </w:rPr>
      </w:pPr>
      <w:bookmarkStart w:id="121" w:name="_Toc4921"/>
      <w:bookmarkStart w:id="122" w:name="_Toc5974"/>
      <w:bookmarkStart w:id="123" w:name="_Toc5524"/>
      <w:r>
        <w:rPr>
          <w:rFonts w:hint="eastAsia" w:ascii="宋体" w:hAnsi="宋体"/>
          <w:color w:val="auto"/>
          <w:sz w:val="21"/>
          <w:szCs w:val="21"/>
          <w:highlight w:val="none"/>
        </w:rPr>
        <w:t>23.评标委员会及评标方法</w:t>
      </w:r>
      <w:bookmarkEnd w:id="121"/>
      <w:bookmarkEnd w:id="122"/>
      <w:bookmarkEnd w:id="123"/>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6"/>
        <w:widowControl w:val="0"/>
        <w:overflowPunct w:val="0"/>
        <w:rPr>
          <w:rFonts w:ascii="宋体" w:hAnsi="宋体"/>
          <w:color w:val="auto"/>
          <w:sz w:val="21"/>
          <w:szCs w:val="21"/>
          <w:highlight w:val="none"/>
        </w:rPr>
      </w:pPr>
      <w:bookmarkStart w:id="124" w:name="_Toc26402"/>
      <w:bookmarkStart w:id="125" w:name="_Toc15231"/>
      <w:bookmarkStart w:id="126" w:name="_Toc32730"/>
      <w:r>
        <w:rPr>
          <w:rFonts w:hint="eastAsia" w:ascii="宋体" w:hAnsi="宋体"/>
          <w:color w:val="auto"/>
          <w:sz w:val="21"/>
          <w:szCs w:val="21"/>
          <w:highlight w:val="none"/>
        </w:rPr>
        <w:t>24.评审原则及评标过程的保密</w:t>
      </w:r>
      <w:bookmarkEnd w:id="124"/>
      <w:bookmarkEnd w:id="125"/>
      <w:bookmarkEnd w:id="126"/>
    </w:p>
    <w:p>
      <w:pPr>
        <w:pStyle w:val="32"/>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6"/>
        <w:widowControl w:val="0"/>
        <w:overflowPunct w:val="0"/>
        <w:rPr>
          <w:rFonts w:ascii="宋体" w:hAnsi="宋体"/>
          <w:color w:val="auto"/>
          <w:sz w:val="21"/>
          <w:szCs w:val="21"/>
          <w:highlight w:val="none"/>
        </w:rPr>
      </w:pPr>
      <w:bookmarkStart w:id="127" w:name="_Toc16745"/>
      <w:bookmarkStart w:id="128" w:name="_Toc3762"/>
      <w:bookmarkStart w:id="129" w:name="_Toc18436"/>
      <w:r>
        <w:rPr>
          <w:rFonts w:hint="eastAsia" w:ascii="宋体" w:hAnsi="宋体"/>
          <w:color w:val="auto"/>
          <w:sz w:val="21"/>
          <w:szCs w:val="21"/>
          <w:highlight w:val="none"/>
        </w:rPr>
        <w:t>25.投标文件的初审</w:t>
      </w:r>
      <w:bookmarkEnd w:id="127"/>
      <w:bookmarkEnd w:id="128"/>
      <w:bookmarkEnd w:id="129"/>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投标保证金瑕疵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包括但不限于：①投标人未按招标文件要求提交投标保证金；②提交方式、提交时间、提交金额不符合招标文件要求；③投标保证金有效期不符合招标文件要求。</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6"/>
        <w:widowControl w:val="0"/>
        <w:overflowPunct w:val="0"/>
        <w:rPr>
          <w:rFonts w:ascii="宋体" w:hAnsi="宋体"/>
          <w:color w:val="auto"/>
          <w:sz w:val="21"/>
          <w:szCs w:val="21"/>
          <w:highlight w:val="none"/>
        </w:rPr>
      </w:pPr>
      <w:bookmarkStart w:id="130" w:name="_Toc27673"/>
      <w:bookmarkStart w:id="131" w:name="_Toc29184"/>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3" w:name="_Toc22192"/>
      <w:bookmarkStart w:id="134" w:name="_Toc7593"/>
      <w:bookmarkStart w:id="135" w:name="_Toc17683"/>
      <w:r>
        <w:rPr>
          <w:rFonts w:hint="eastAsia" w:ascii="宋体" w:hAnsi="宋体"/>
          <w:color w:val="auto"/>
          <w:sz w:val="21"/>
          <w:szCs w:val="21"/>
          <w:highlight w:val="none"/>
        </w:rPr>
        <w:t>27.优惠政策</w:t>
      </w:r>
      <w:bookmarkEnd w:id="133"/>
      <w:bookmarkEnd w:id="134"/>
      <w:bookmarkEnd w:id="135"/>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6"/>
        <w:widowControl w:val="0"/>
        <w:overflowPunct w:val="0"/>
        <w:rPr>
          <w:rFonts w:ascii="宋体" w:hAnsi="宋体"/>
          <w:color w:val="auto"/>
          <w:sz w:val="21"/>
          <w:szCs w:val="21"/>
          <w:highlight w:val="none"/>
        </w:rPr>
      </w:pPr>
      <w:bookmarkStart w:id="136" w:name="_Toc316375620"/>
      <w:bookmarkStart w:id="137" w:name="_Toc31141"/>
      <w:bookmarkStart w:id="138" w:name="_Toc12115"/>
      <w:bookmarkStart w:id="139" w:name="_Toc22591"/>
      <w:bookmarkStart w:id="140" w:name="_Toc20328"/>
      <w:bookmarkStart w:id="141" w:name="_Toc382049120"/>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5"/>
        <w:spacing w:line="480" w:lineRule="auto"/>
        <w:jc w:val="center"/>
        <w:rPr>
          <w:rFonts w:ascii="宋体" w:hAnsi="宋体"/>
          <w:color w:val="auto"/>
          <w:highlight w:val="none"/>
        </w:rPr>
      </w:pPr>
      <w:bookmarkStart w:id="142" w:name="_Toc12251"/>
      <w:bookmarkStart w:id="143" w:name="_Toc29310"/>
      <w:bookmarkStart w:id="144" w:name="_Toc5528"/>
      <w:r>
        <w:rPr>
          <w:rFonts w:hint="eastAsia" w:ascii="宋体" w:hAnsi="宋体"/>
          <w:color w:val="auto"/>
          <w:highlight w:val="none"/>
        </w:rPr>
        <w:t>第六章授予合同</w:t>
      </w:r>
      <w:bookmarkEnd w:id="142"/>
      <w:bookmarkEnd w:id="143"/>
      <w:bookmarkEnd w:id="144"/>
    </w:p>
    <w:p>
      <w:pPr>
        <w:pStyle w:val="6"/>
        <w:widowControl w:val="0"/>
        <w:overflowPunct w:val="0"/>
        <w:rPr>
          <w:rFonts w:ascii="宋体" w:hAnsi="宋体"/>
          <w:color w:val="auto"/>
          <w:sz w:val="21"/>
          <w:szCs w:val="21"/>
          <w:highlight w:val="none"/>
        </w:rPr>
      </w:pPr>
      <w:bookmarkStart w:id="145" w:name="_Toc508284011"/>
      <w:bookmarkStart w:id="146" w:name="_Toc6696"/>
      <w:bookmarkStart w:id="147" w:name="_Toc27817"/>
      <w:bookmarkStart w:id="148" w:name="_Toc17778"/>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6"/>
        <w:widowControl w:val="0"/>
        <w:overflowPunct w:val="0"/>
        <w:rPr>
          <w:rFonts w:ascii="宋体" w:hAnsi="宋体"/>
          <w:color w:val="auto"/>
          <w:sz w:val="21"/>
          <w:szCs w:val="21"/>
          <w:highlight w:val="none"/>
        </w:rPr>
      </w:pPr>
      <w:bookmarkStart w:id="149" w:name="_Toc29283"/>
      <w:bookmarkStart w:id="150" w:name="_Toc12440"/>
      <w:bookmarkStart w:id="151" w:name="_Toc508284013"/>
      <w:bookmarkStart w:id="152" w:name="_Toc23136"/>
      <w:r>
        <w:rPr>
          <w:rFonts w:hint="eastAsia" w:ascii="宋体" w:hAnsi="宋体"/>
          <w:color w:val="auto"/>
          <w:sz w:val="21"/>
          <w:szCs w:val="21"/>
          <w:highlight w:val="none"/>
        </w:rPr>
        <w:t>30.发布采购结果</w:t>
      </w:r>
      <w:bookmarkEnd w:id="149"/>
      <w:bookmarkEnd w:id="150"/>
      <w:bookmarkEnd w:id="151"/>
      <w:bookmarkEnd w:id="152"/>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6"/>
        <w:widowControl w:val="0"/>
        <w:overflowPunct w:val="0"/>
        <w:rPr>
          <w:rFonts w:ascii="宋体" w:hAnsi="宋体"/>
          <w:color w:val="auto"/>
          <w:sz w:val="21"/>
          <w:szCs w:val="21"/>
          <w:highlight w:val="none"/>
        </w:rPr>
      </w:pPr>
      <w:bookmarkStart w:id="153" w:name="_Toc22451"/>
      <w:bookmarkStart w:id="154" w:name="_Toc27279"/>
      <w:bookmarkStart w:id="155" w:name="_Toc22262"/>
      <w:r>
        <w:rPr>
          <w:rFonts w:hint="eastAsia" w:ascii="宋体" w:hAnsi="宋体"/>
          <w:color w:val="auto"/>
          <w:sz w:val="21"/>
          <w:szCs w:val="21"/>
          <w:highlight w:val="none"/>
        </w:rPr>
        <w:t>31.合同的签订与履行</w:t>
      </w:r>
      <w:bookmarkEnd w:id="153"/>
      <w:bookmarkEnd w:id="154"/>
      <w:bookmarkEnd w:id="155"/>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6"/>
        <w:widowControl w:val="0"/>
        <w:overflowPunct w:val="0"/>
        <w:rPr>
          <w:rFonts w:ascii="宋体" w:hAnsi="宋体"/>
          <w:color w:val="auto"/>
          <w:sz w:val="21"/>
          <w:szCs w:val="21"/>
          <w:highlight w:val="none"/>
        </w:rPr>
      </w:pPr>
      <w:bookmarkStart w:id="156" w:name="_Toc7405"/>
      <w:bookmarkStart w:id="157" w:name="_Toc25756"/>
      <w:bookmarkStart w:id="158" w:name="_Toc382049124"/>
      <w:bookmarkStart w:id="159" w:name="_Toc29009"/>
      <w:bookmarkStart w:id="160" w:name="_Toc303084277"/>
      <w:bookmarkStart w:id="161" w:name="_Toc274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r>
        <w:rPr>
          <w:rFonts w:hint="eastAsia" w:ascii="宋体" w:hAnsi="宋体"/>
          <w:color w:val="auto"/>
          <w:sz w:val="21"/>
          <w:szCs w:val="21"/>
          <w:highlight w:val="none"/>
        </w:rPr>
        <w:t>（本项目无需</w:t>
      </w:r>
      <w:r>
        <w:rPr>
          <w:rFonts w:ascii="宋体" w:hAnsi="宋体"/>
          <w:color w:val="auto"/>
          <w:sz w:val="21"/>
          <w:szCs w:val="21"/>
          <w:highlight w:val="none"/>
        </w:rPr>
        <w:t>履约</w:t>
      </w:r>
      <w:r>
        <w:rPr>
          <w:rFonts w:hint="eastAsia" w:ascii="宋体" w:hAnsi="宋体"/>
          <w:color w:val="auto"/>
          <w:sz w:val="21"/>
          <w:szCs w:val="21"/>
          <w:highlight w:val="none"/>
        </w:rPr>
        <w:t>保证金）</w:t>
      </w:r>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5"/>
        <w:spacing w:line="480" w:lineRule="auto"/>
        <w:jc w:val="center"/>
        <w:rPr>
          <w:rFonts w:ascii="宋体" w:hAnsi="宋体"/>
          <w:color w:val="auto"/>
          <w:highlight w:val="none"/>
        </w:rPr>
      </w:pPr>
      <w:bookmarkStart w:id="162" w:name="_Toc7360"/>
      <w:bookmarkStart w:id="163" w:name="_Toc13694"/>
      <w:bookmarkStart w:id="164" w:name="_Toc20699"/>
      <w:r>
        <w:rPr>
          <w:rFonts w:hint="eastAsia" w:ascii="宋体" w:hAnsi="宋体"/>
          <w:color w:val="auto"/>
          <w:highlight w:val="none"/>
        </w:rPr>
        <w:t>第七章询问或质疑</w:t>
      </w:r>
      <w:bookmarkEnd w:id="162"/>
      <w:bookmarkEnd w:id="163"/>
      <w:bookmarkEnd w:id="164"/>
    </w:p>
    <w:p>
      <w:pPr>
        <w:pStyle w:val="6"/>
        <w:widowControl w:val="0"/>
        <w:overflowPunct w:val="0"/>
        <w:rPr>
          <w:rFonts w:ascii="宋体" w:hAnsi="宋体"/>
          <w:color w:val="auto"/>
          <w:sz w:val="21"/>
          <w:szCs w:val="21"/>
          <w:highlight w:val="none"/>
        </w:rPr>
      </w:pPr>
      <w:bookmarkStart w:id="165" w:name="_Toc25498"/>
      <w:bookmarkStart w:id="166" w:name="_Toc17974"/>
      <w:bookmarkStart w:id="167" w:name="_Toc22900"/>
      <w:r>
        <w:rPr>
          <w:rFonts w:hint="eastAsia" w:ascii="宋体" w:hAnsi="宋体"/>
          <w:color w:val="auto"/>
          <w:sz w:val="21"/>
          <w:szCs w:val="21"/>
          <w:highlight w:val="none"/>
        </w:rPr>
        <w:t>33.询问</w:t>
      </w:r>
      <w:bookmarkEnd w:id="165"/>
      <w:bookmarkEnd w:id="166"/>
      <w:bookmarkEnd w:id="167"/>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630" w:hanging="630" w:hangingChars="300"/>
        <w:jc w:val="both"/>
        <w:rPr>
          <w:rFonts w:ascii="宋体" w:hAnsi="宋体"/>
          <w:color w:val="auto"/>
          <w:szCs w:val="21"/>
          <w:highlight w:val="none"/>
        </w:rPr>
      </w:pPr>
      <w:r>
        <w:rPr>
          <w:rFonts w:hint="eastAsia" w:ascii="宋体" w:hAnsi="宋体"/>
          <w:color w:val="auto"/>
          <w:szCs w:val="21"/>
          <w:highlight w:val="none"/>
        </w:rPr>
        <w:t>33.2采购代理机构应当自收到投标人询问之日起3个工作日内作出答复，但答复的内容不得涉及商业秘密或者依法应当保密的内容。</w:t>
      </w:r>
    </w:p>
    <w:p>
      <w:pPr>
        <w:pStyle w:val="6"/>
        <w:widowControl w:val="0"/>
        <w:overflowPunct w:val="0"/>
        <w:rPr>
          <w:rFonts w:ascii="宋体" w:hAnsi="宋体"/>
          <w:color w:val="auto"/>
          <w:sz w:val="21"/>
          <w:szCs w:val="21"/>
          <w:highlight w:val="none"/>
        </w:rPr>
      </w:pPr>
      <w:bookmarkStart w:id="168" w:name="_Toc11264"/>
      <w:bookmarkStart w:id="169" w:name="_Toc8234"/>
      <w:bookmarkStart w:id="170" w:name="_Toc2767"/>
      <w:r>
        <w:rPr>
          <w:rFonts w:hint="eastAsia" w:ascii="宋体" w:hAnsi="宋体"/>
          <w:color w:val="auto"/>
          <w:sz w:val="21"/>
          <w:szCs w:val="21"/>
          <w:highlight w:val="none"/>
        </w:rPr>
        <w:t>34.质疑</w:t>
      </w:r>
      <w:bookmarkEnd w:id="168"/>
      <w:bookmarkEnd w:id="169"/>
      <w:bookmarkEnd w:id="170"/>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numPr>
          <w:ilvl w:val="1"/>
          <w:numId w:val="3"/>
        </w:numPr>
        <w:tabs>
          <w:tab w:val="left" w:pos="907"/>
        </w:tabs>
        <w:rPr>
          <w:color w:val="auto"/>
          <w:highlight w:val="none"/>
        </w:rPr>
      </w:pPr>
      <w:r>
        <w:rPr>
          <w:rFonts w:hint="eastAsia" w:ascii="宋体" w:hAnsi="宋体"/>
          <w:color w:val="auto"/>
          <w:szCs w:val="21"/>
          <w:highlight w:val="none"/>
        </w:rPr>
        <w:t>采购代理机构应当自受理投标人书面质疑之日起七个工作日内作出答复，并以书面形式通知提出质疑的投标人和其他有关投标人，但答复的内容不得涉及商业秘密或者依法应当保密的内容。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5"/>
        <w:spacing w:line="480" w:lineRule="auto"/>
        <w:jc w:val="center"/>
        <w:rPr>
          <w:rFonts w:ascii="宋体" w:hAnsi="宋体"/>
          <w:color w:val="auto"/>
          <w:highlight w:val="none"/>
        </w:rPr>
      </w:pPr>
      <w:bookmarkStart w:id="171" w:name="_Toc24383"/>
      <w:bookmarkStart w:id="172" w:name="_Toc8919"/>
      <w:bookmarkStart w:id="173" w:name="_Toc5690"/>
      <w:r>
        <w:rPr>
          <w:rFonts w:hint="eastAsia" w:ascii="宋体" w:hAnsi="宋体"/>
          <w:color w:val="auto"/>
          <w:highlight w:val="none"/>
        </w:rPr>
        <w:t>第八章其他</w:t>
      </w:r>
      <w:bookmarkEnd w:id="171"/>
      <w:bookmarkEnd w:id="172"/>
      <w:bookmarkEnd w:id="173"/>
    </w:p>
    <w:p>
      <w:pPr>
        <w:pStyle w:val="6"/>
        <w:widowControl w:val="0"/>
        <w:overflowPunct w:val="0"/>
        <w:rPr>
          <w:rFonts w:ascii="宋体" w:hAnsi="宋体"/>
          <w:color w:val="auto"/>
          <w:sz w:val="21"/>
          <w:szCs w:val="21"/>
          <w:highlight w:val="none"/>
        </w:rPr>
      </w:pPr>
      <w:bookmarkStart w:id="174" w:name="_Toc6548"/>
      <w:bookmarkStart w:id="175" w:name="_Toc21187"/>
      <w:bookmarkStart w:id="176" w:name="_Toc10082"/>
      <w:r>
        <w:rPr>
          <w:rFonts w:hint="eastAsia" w:ascii="宋体" w:hAnsi="宋体"/>
          <w:color w:val="auto"/>
          <w:sz w:val="21"/>
          <w:szCs w:val="21"/>
          <w:highlight w:val="none"/>
        </w:rPr>
        <w:t>35.招标文件的解释权</w:t>
      </w:r>
      <w:bookmarkEnd w:id="174"/>
      <w:bookmarkEnd w:id="175"/>
      <w:bookmarkEnd w:id="176"/>
    </w:p>
    <w:p>
      <w:pPr>
        <w:pStyle w:val="32"/>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4"/>
        <w:spacing w:before="0" w:after="0" w:line="240" w:lineRule="auto"/>
        <w:rPr>
          <w:color w:val="auto"/>
          <w:sz w:val="28"/>
          <w:szCs w:val="28"/>
          <w:highlight w:val="none"/>
        </w:rPr>
      </w:pPr>
      <w:bookmarkStart w:id="177" w:name="_Toc31854"/>
      <w:bookmarkStart w:id="178" w:name="_Toc382"/>
      <w:bookmarkStart w:id="179" w:name="_Toc7011"/>
      <w:r>
        <w:rPr>
          <w:rFonts w:hint="eastAsia"/>
          <w:color w:val="auto"/>
          <w:sz w:val="28"/>
          <w:szCs w:val="28"/>
          <w:highlight w:val="none"/>
        </w:rPr>
        <w:t>第五部分 用户需求书</w:t>
      </w:r>
      <w:bookmarkEnd w:id="177"/>
      <w:bookmarkEnd w:id="178"/>
      <w:bookmarkEnd w:id="179"/>
    </w:p>
    <w:p>
      <w:pPr>
        <w:pStyle w:val="5"/>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2"/>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pPr>
              <w:pStyle w:val="32"/>
              <w:ind w:left="210" w:hanging="210" w:hangingChars="100"/>
              <w:rPr>
                <w:rFonts w:ascii="宋体" w:hAnsi="宋体" w:cs="宋体"/>
                <w:bCs/>
                <w:color w:val="auto"/>
                <w:kern w:val="44"/>
                <w:szCs w:val="21"/>
                <w:highlight w:val="none"/>
              </w:rPr>
            </w:pPr>
            <w:r>
              <w:rPr>
                <w:rFonts w:hint="eastAsia" w:ascii="宋体" w:hAnsi="宋体" w:cs="宋体"/>
                <w:color w:val="auto"/>
                <w:szCs w:val="21"/>
                <w:highlight w:val="none"/>
              </w:rPr>
              <w:t>详见“第一部分 投标邀请”中“二、投标人资格要求”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服务期</w:t>
            </w:r>
          </w:p>
        </w:tc>
        <w:tc>
          <w:tcPr>
            <w:tcW w:w="6466" w:type="dxa"/>
            <w:vAlign w:val="center"/>
          </w:tcPr>
          <w:p>
            <w:pPr>
              <w:rPr>
                <w:rFonts w:ascii="宋体" w:hAnsi="宋体" w:cs="宋体"/>
                <w:color w:val="auto"/>
                <w:szCs w:val="21"/>
                <w:highlight w:val="none"/>
              </w:rPr>
            </w:pPr>
            <w:r>
              <w:rPr>
                <w:rFonts w:hint="eastAsia" w:ascii="宋体" w:hAnsi="宋体" w:cs="宋体"/>
                <w:bCs/>
                <w:color w:val="auto"/>
                <w:kern w:val="44"/>
                <w:szCs w:val="21"/>
                <w:highlight w:val="none"/>
              </w:rPr>
              <w:t>自合同签订之日起</w:t>
            </w:r>
            <w:r>
              <w:rPr>
                <w:rFonts w:hint="eastAsia" w:ascii="宋体" w:hAnsi="宋体" w:cs="Times New Roman"/>
                <w:color w:val="auto"/>
                <w:szCs w:val="21"/>
                <w:highlight w:val="none"/>
              </w:rPr>
              <w:t>贰年</w:t>
            </w:r>
            <w:r>
              <w:rPr>
                <w:rFonts w:hint="eastAsia" w:ascii="宋体" w:hAnsi="宋体" w:cs="宋体"/>
                <w:bCs/>
                <w:color w:val="auto"/>
                <w:kern w:val="44"/>
                <w:szCs w:val="21"/>
                <w:highlight w:val="none"/>
              </w:rPr>
              <w:t>。（具体以合同签订时间为准）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18"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付款方式</w:t>
            </w:r>
          </w:p>
        </w:tc>
        <w:tc>
          <w:tcPr>
            <w:tcW w:w="6466" w:type="dxa"/>
            <w:vAlign w:val="center"/>
          </w:tcPr>
          <w:p>
            <w:pPr>
              <w:rPr>
                <w:rFonts w:ascii="宋体" w:hAnsi="宋体" w:cs="宋体"/>
                <w:color w:val="auto"/>
                <w:szCs w:val="21"/>
                <w:highlight w:val="none"/>
              </w:rPr>
            </w:pPr>
            <w:r>
              <w:rPr>
                <w:rFonts w:hint="eastAsia" w:ascii="宋体" w:hAnsi="宋体" w:cs="宋体"/>
                <w:color w:val="auto"/>
                <w:szCs w:val="21"/>
                <w:highlight w:val="none"/>
              </w:rPr>
              <w:t>（1）以实际发生的各品目衣物洗涤数量与中标单价（中标单价在合同执行期内不予调整）的乘积为实际结算价，以每天双方签名的各科室洗衣洁净单为计数依据；</w:t>
            </w:r>
          </w:p>
          <w:p>
            <w:pPr>
              <w:rPr>
                <w:rFonts w:ascii="宋体" w:hAnsi="宋体" w:cs="宋体"/>
                <w:color w:val="auto"/>
                <w:szCs w:val="21"/>
                <w:highlight w:val="none"/>
              </w:rPr>
            </w:pPr>
            <w:r>
              <w:rPr>
                <w:rFonts w:hint="eastAsia" w:ascii="宋体" w:hAnsi="宋体" w:cs="宋体"/>
                <w:color w:val="auto"/>
                <w:szCs w:val="21"/>
                <w:highlight w:val="none"/>
              </w:rPr>
              <w:t>（2）中标人须在每月20日前向采购人提供上月洗涤服务书面月报表和上月考核情况表，采购人收到中标人的出洗衣物月报表和上月考核情况表后，由洗衣房及总务科负责人员认真核实数据。双方签名核实后，中标人根据上月考核情况核实的金额开具依法纳税的服务费发票；</w:t>
            </w:r>
          </w:p>
          <w:p>
            <w:pPr>
              <w:rPr>
                <w:rFonts w:ascii="宋体" w:hAnsi="宋体" w:cs="宋体"/>
                <w:color w:val="auto"/>
                <w:szCs w:val="21"/>
                <w:highlight w:val="none"/>
              </w:rPr>
            </w:pPr>
            <w:r>
              <w:rPr>
                <w:rFonts w:hint="eastAsia" w:ascii="宋体" w:hAnsi="宋体" w:cs="宋体"/>
                <w:color w:val="auto"/>
                <w:szCs w:val="21"/>
                <w:highlight w:val="none"/>
              </w:rPr>
              <w:t>（3）采购人在收到中标人的发票后，于月底前支付上月洗涤费。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服务地点</w:t>
            </w:r>
          </w:p>
        </w:tc>
        <w:tc>
          <w:tcPr>
            <w:tcW w:w="6466" w:type="dxa"/>
            <w:vAlign w:val="center"/>
          </w:tcPr>
          <w:p>
            <w:pPr>
              <w:rPr>
                <w:rFonts w:ascii="宋体" w:hAnsi="宋体" w:cs="宋体"/>
                <w:color w:val="auto"/>
                <w:szCs w:val="21"/>
                <w:highlight w:val="none"/>
              </w:rPr>
            </w:pPr>
            <w:r>
              <w:rPr>
                <w:rFonts w:hint="eastAsia" w:ascii="宋体" w:hAnsi="宋体" w:cs="宋体"/>
                <w:color w:val="auto"/>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报价要求</w:t>
            </w:r>
          </w:p>
        </w:tc>
        <w:tc>
          <w:tcPr>
            <w:tcW w:w="6466" w:type="dxa"/>
            <w:vAlign w:val="center"/>
          </w:tcPr>
          <w:p>
            <w:pPr>
              <w:rPr>
                <w:rFonts w:ascii="宋体" w:hAnsi="宋体" w:cs="宋体"/>
                <w:color w:val="auto"/>
                <w:szCs w:val="21"/>
                <w:highlight w:val="none"/>
              </w:rPr>
            </w:pPr>
            <w:r>
              <w:rPr>
                <w:rFonts w:hint="eastAsia" w:ascii="宋体" w:hAnsi="宋体" w:cs="宋体"/>
                <w:color w:val="auto"/>
                <w:szCs w:val="21"/>
                <w:highlight w:val="none"/>
              </w:rPr>
              <w:t>（1）衣物不论种类、大小，均统一单价，最高限价：1.7</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元/件。</w:t>
            </w:r>
          </w:p>
          <w:p>
            <w:pPr>
              <w:rPr>
                <w:rFonts w:ascii="宋体" w:hAnsi="宋体" w:cs="宋体"/>
                <w:color w:val="auto"/>
                <w:szCs w:val="21"/>
                <w:highlight w:val="none"/>
              </w:rPr>
            </w:pPr>
            <w:r>
              <w:rPr>
                <w:rFonts w:hint="eastAsia" w:ascii="宋体" w:hAnsi="宋体" w:cs="宋体"/>
                <w:color w:val="auto"/>
                <w:szCs w:val="21"/>
                <w:highlight w:val="none"/>
              </w:rPr>
              <w:t>（2）投标报价为拟提供的完成本项目全部服务工作的每件被服单价，包含衣被洗涤、收发、运输、包装、检验、完税服务中的人工、运输工具等及不可预见的一切与本项目相关的费用。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投标有效期</w:t>
            </w:r>
          </w:p>
        </w:tc>
        <w:tc>
          <w:tcPr>
            <w:tcW w:w="6466" w:type="dxa"/>
            <w:vAlign w:val="center"/>
          </w:tcPr>
          <w:p>
            <w:pPr>
              <w:rPr>
                <w:rFonts w:ascii="宋体" w:hAnsi="宋体" w:cs="宋体"/>
                <w:color w:val="auto"/>
                <w:szCs w:val="21"/>
                <w:highlight w:val="none"/>
              </w:rPr>
            </w:pPr>
            <w:r>
              <w:rPr>
                <w:rFonts w:hint="eastAsia" w:ascii="宋体" w:hAnsi="宋体" w:cs="宋体"/>
                <w:color w:val="auto"/>
                <w:szCs w:val="21"/>
                <w:highlight w:val="none"/>
              </w:rPr>
              <w:t>自开标之日起90天。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合同条款</w:t>
            </w:r>
          </w:p>
        </w:tc>
        <w:tc>
          <w:tcPr>
            <w:tcW w:w="6466" w:type="dxa"/>
            <w:vAlign w:val="center"/>
          </w:tcPr>
          <w:p>
            <w:pPr>
              <w:rPr>
                <w:rFonts w:ascii="宋体" w:hAnsi="宋体" w:cs="宋体"/>
                <w:color w:val="auto"/>
                <w:szCs w:val="21"/>
                <w:highlight w:val="none"/>
              </w:rPr>
            </w:pPr>
            <w:r>
              <w:rPr>
                <w:rFonts w:hint="eastAsia" w:ascii="宋体" w:hAnsi="宋体" w:cs="宋体"/>
                <w:color w:val="auto"/>
                <w:szCs w:val="21"/>
                <w:highlight w:val="none"/>
              </w:rPr>
              <w:t>投标人实质响应合同各条款。</w:t>
            </w:r>
          </w:p>
        </w:tc>
      </w:tr>
    </w:tbl>
    <w:p>
      <w:pPr>
        <w:rPr>
          <w:color w:val="auto"/>
          <w:highlight w:val="none"/>
        </w:rPr>
      </w:pPr>
    </w:p>
    <w:p>
      <w:pPr>
        <w:pStyle w:val="2"/>
        <w:rPr>
          <w:color w:val="auto"/>
          <w:highlight w:val="none"/>
          <w:lang w:val="en-US"/>
        </w:rPr>
      </w:pPr>
    </w:p>
    <w:p>
      <w:pPr>
        <w:rPr>
          <w:color w:val="auto"/>
          <w:highlight w:val="none"/>
        </w:rPr>
      </w:pPr>
    </w:p>
    <w:p>
      <w:pPr>
        <w:pStyle w:val="2"/>
        <w:rPr>
          <w:color w:val="auto"/>
          <w:highlight w:val="none"/>
          <w:lang w:val="en-US"/>
        </w:rPr>
      </w:pPr>
    </w:p>
    <w:p>
      <w:pPr>
        <w:rPr>
          <w:color w:val="auto"/>
          <w:highlight w:val="none"/>
        </w:rPr>
      </w:pPr>
    </w:p>
    <w:p>
      <w:pPr>
        <w:pStyle w:val="2"/>
        <w:rPr>
          <w:color w:val="auto"/>
          <w:highlight w:val="none"/>
          <w:lang w:val="en-US"/>
        </w:rPr>
      </w:pPr>
    </w:p>
    <w:p>
      <w:pPr>
        <w:pStyle w:val="5"/>
        <w:jc w:val="center"/>
        <w:rPr>
          <w:rFonts w:ascii="宋体" w:hAnsi="宋体"/>
          <w:color w:val="auto"/>
          <w:sz w:val="24"/>
          <w:highlight w:val="none"/>
        </w:rPr>
      </w:pPr>
      <w:bookmarkStart w:id="181" w:name="_Toc19316"/>
      <w:r>
        <w:rPr>
          <w:rFonts w:hint="eastAsia" w:ascii="宋体" w:hAnsi="宋体"/>
          <w:color w:val="auto"/>
          <w:highlight w:val="none"/>
        </w:rPr>
        <w:t>第二章 技术需求书</w:t>
      </w:r>
      <w:bookmarkEnd w:id="181"/>
    </w:p>
    <w:p>
      <w:pPr>
        <w:pStyle w:val="6"/>
        <w:rPr>
          <w:color w:val="auto"/>
          <w:highlight w:val="none"/>
        </w:rPr>
      </w:pPr>
      <w:bookmarkStart w:id="182" w:name="_Toc14462"/>
      <w:bookmarkStart w:id="183" w:name="_Toc24679"/>
      <w:bookmarkStart w:id="184" w:name="_Toc13112"/>
      <w:bookmarkStart w:id="185" w:name="_Toc31278"/>
      <w:r>
        <w:rPr>
          <w:rFonts w:hint="eastAsia"/>
          <w:color w:val="auto"/>
          <w:highlight w:val="none"/>
        </w:rPr>
        <w:t>一、项目范围和内容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本项目招标包括东莞市横沥医院（以下简称医院）所有工作人员工作服、工作人员值班被服、病人被服（包括传染病人被服）、手术室布类用品、供应室布类用品、被褥、毛毯、窗帘、隔帘等布草的洗涤和配送服务。</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（2）洗涤污垢包括人体污渍、血渍、食物油渍、尿垢、粪便、药渍等各种污渍，执行国家最新2016年《医院医用织物洗涤消毒技术规范》（WS/T 508-2016）标准和规定要求进行服务，并于24小内完成交付的任务。</w:t>
      </w:r>
    </w:p>
    <w:p>
      <w:pPr>
        <w:rPr>
          <w:color w:val="auto"/>
          <w:highlight w:val="none"/>
        </w:rPr>
      </w:pPr>
    </w:p>
    <w:p>
      <w:pPr>
        <w:pStyle w:val="6"/>
        <w:rPr>
          <w:color w:val="auto"/>
          <w:highlight w:val="none"/>
        </w:rPr>
      </w:pPr>
      <w:r>
        <w:rPr>
          <w:rFonts w:hint="eastAsia"/>
          <w:color w:val="auto"/>
          <w:highlight w:val="none"/>
        </w:rPr>
        <w:t>二、基本要求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（1）采购人只提供污衣和洁衣中转场地，不负责提供给中标人工作人员休息场所。中转场地的清洁和消毒由中标人负责。</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（2）中标服务单位在实施本项目经营管理时须符合国家相关的政策法规，无条件执行国家、地方政府、行业协会最新的标准和条例。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（3）中标服务单位围绕被服清洗服务制定的各种管理制度、操作规程及其他有关规定，须报院方审定备案后方可实施。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（4）中标方所提供场地条件、衣物收送和洗涤方法服务过程、洗涤后的医用织物效果应严格按国家《医院医用织物洗涤消毒技术规范》（WS/T 508-2016）标准执行。对洗涤的衣物中标人每季度向采购人提交服务期内由疾病预防控制中心或具有资质的第三方检测机构出具的相关检测报告。</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合同期内，采购人有权不定期组织人员按合同要求对洗衣公司的洗涤操作和服务进行抽查。若由于中标人工作质量问题或失误给采购人造成利益损害，中标人应当赔偿由此给采购人造成的损失。采购人有权随时解除合同，并且，中标人应当赔偿由此给采购人造成的损失，包括但不限于重新招标所产生的费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6）中标人不得以任何理由影响采购人衣物的供应，应考虑到停水（市政行为外）、停电、停气等设备因素影响，具有相应的应急措施，如因而使采购人的被服使用受影响，采购人有权送外单位洗涤，其费用由中标人支付。</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（6）中标人不得进行转包及分包。</w:t>
      </w:r>
    </w:p>
    <w:p>
      <w:pPr>
        <w:rPr>
          <w:color w:val="auto"/>
          <w:highlight w:val="none"/>
        </w:rPr>
      </w:pPr>
    </w:p>
    <w:p>
      <w:pPr>
        <w:pStyle w:val="6"/>
        <w:rPr>
          <w:color w:val="auto"/>
          <w:highlight w:val="none"/>
        </w:rPr>
      </w:pPr>
      <w:r>
        <w:rPr>
          <w:rFonts w:hint="eastAsia"/>
          <w:color w:val="auto"/>
          <w:highlight w:val="none"/>
        </w:rPr>
        <w:t>三、服务要求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（1）中标人负责每天（含所有节假日）到医院科室指定收送点收集污染织物、送达洁净织物。</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按时、按量、保证质量完成医院交给的洗涤和配送任务，若因中标人的缘故导致衣物布草洗涤质量达不到正常卫生标准，而影响采购人被服使用和供应，应在双方交接时提出并立即退回中标人免费回洗，填写回洗单，双方确认签名。次日送洁衣时一并送回。</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3）中标人负责将病人、工作人员、婴儿衣物、手术衣物、病房包布类等需清洁布类分开打包上车（盛装清洁布类的洁衣袋保证洁净，不可有破损霉烂）。打包污衣的污衣袋和打包洁衣的洁衣袋，由中标人免费提供使用。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中标人和医院被服负责相关工作人员共同完成出洗、回收衣物布草的清点工作，并以双方签名为确认；送洁衣的数量及品种依照前一天收污衣的数量及品种为准，科室或部门不接受欠条，回洗的第二天送回。（洁衣数不含污衣袋、洁衣袋的出洗数）。</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（5）中标人洗衣机数量充足，洗衣机卫生洁净，洗涤功能、程序合理安全，对衣物损伤小。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（6）病人被服和医务人员衣物（口罩、值班被服、工作服）必须分类和专机洗涤，不得混洗；婴儿衣被、手术室衣被应单独洗涤，不可与其它衣被混洗；采购单位的衣物不能和其他医院的衣物混合洗。</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7）根据衣被受污染程度可分别用专机洗涤，特别是传染病人（特殊传染性被服是指被炭疽、霍乱、鼠疫、朊病毒、新发不明原因传染病病原体等传染病病人衣被与其他传染病病人衣被应分批次洗涤）、烧伤病人的衣服应专机洗涤，脱洗机分机：传染病病人衣被专机、手术室病人衣被专机、婴儿衣被专机、普通病人衣被专机、手术医务人员衣被专机（包括手术室病人衣被和产房病人衣被）、传染病科医生衣被专机、普通科室医务人员衣被专机，根据实际出洗衣物数量设定每一类型专机数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8）采购人交洗涤的衣物布草必须整洁无异味、无污渍、无感染病菌，表面平整挺括叠放整齐美观，折叠后按型号分类捆扎10件/捆。中标人除洗干净、干燥、叠好、熨平外，还要对有破损或无钮扣、缺绑绳的衣物布草给予及时免费缝补及补钉钮扣。缝补针迹要求均匀、整齐；补丁和纽扣大小，颜色应与原来的布色和纽扣基本一致，不可过大、过小，或色差过大。需缝补的破损衣物，应在交接时，向采购人提交补衣单，标明名称及数量，缝补时间不超过2天。</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9）对于磨损率大于60%以上的衣物或无法缝补的衣物布草，填写衣物报废单随实物交采购人被服房负责人核实作报废处理，每月采购人报废率应不超当月洁衣数量的0.5%（含并包括手术室报废）超出部分按报废数量、品种，应向医院支付以采购原始进价50%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10）中标人在服务期内，每季度对丢失采购人的衣物（用别的衣物胡乱替代原送洗衣物的也算丢失）按原始价格（分品种、数量）的按新旧程度双方协议价向采购人赔偿，赔偿费用在当月洗涤费中扣除，若服务费不足扣除数额，超出部分由中标人转账支付补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11）科室书面投诉：不按合同时间收送、没做到一收一送、送洁衣数量不够（依据前一天污衣出洗数量）、错送（送回的不是原科室衣物，胡乱替代）、污衣袋/洁衣袋不够用、中标人服务态度差、和采购人工作人员发生争吵等，以上各种投诉情况每发生一次，经查属实的，中标人均需向采购人支付违约金，以50元（伍拾元）/次投诉计算。以上所有项目的罚款累计在当月服务费中一并扣除，若服务费不足扣除数额，超出部分由中标人转账支付补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12）中标人洗涤收送服务的负责人，每季度（3、6、9、12月各一次）对采购人各科室医护人员进行洗涤服务满意度调查（每次问卷不少于10份），结果报采购人总务股，总体满意度低于85%（不含）扣除单月洗涤费的5‰元，在下月洗涤费扣除。</w:t>
      </w:r>
    </w:p>
    <w:p>
      <w:pPr>
        <w:rPr>
          <w:color w:val="auto"/>
          <w:highlight w:val="none"/>
        </w:rPr>
      </w:pPr>
    </w:p>
    <w:p>
      <w:pPr>
        <w:pStyle w:val="6"/>
        <w:rPr>
          <w:color w:val="auto"/>
          <w:highlight w:val="none"/>
        </w:rPr>
      </w:pPr>
      <w:r>
        <w:rPr>
          <w:rFonts w:hint="eastAsia"/>
          <w:color w:val="auto"/>
          <w:highlight w:val="none"/>
        </w:rPr>
        <w:t>四、服务场所要求</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（1）内部布局合理，分污染区、半污染区、清洁区，区域划分清楚并有明显的标志，各区间有实际物理屏障相隔。布草洗涤的清洗、消毒、整理、存放均应在室内进行，房屋结构应易于保持清洁。</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2）污染区包括未洗涤布草的接收、分类、洗涤及所使用的受污染车辆的存放处。污染区分为病人污衣处理区和医务人员污衣处理区，病人污衣处理区为病人污衣物分检、清点、处理、清洗间；医务人员污衣处理区为医务人员污衣物（口罩、工作服、值班被服）分检、清点、处理及清洗间；清洁区为洗净衣物晾（烘）干、缝补、熨烫、摺叠、储存、发送间及运送清洁布草车存放处。</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（3）给排水系统应能适应生产需要，设施应合理有效，保持畅通，有防止污染水源通过排水管道进入洗涤场所的有效措施。</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（4）洗手设施应分别设置在洗涤场所进口处和洗涤场所内适当的位置，水龙头开关宜采用非手动式。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（5）设洁污人流、物流通道。人流由洁到污，物流由污到洁，顺行通过，不得交叉或逆行。污染区与清洁区内所使用的运送布草的推车应专区专用，不应混用。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（6）当洗涤场所地面有明显血液、体液等污物时，应用有效氯含量5000㎎/l～10000㎎/l的消毒液及时进行覆盖、收集，消毒60分钟；对被污染的物体表面用有效氯含量500㎎/l～700㎎/l的消毒液进行擦拭消毒。</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（7）污染区的清洁消毒：上班时打开窗户、保持良好通风，上、下午工作后用含500mg/L有效氯溶液拖地一次后，并做好相关登记记录。</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（8）清洁区的保洁：上班时开窗通风，用清水擦拭桌、椅、工作台面、拖地一次，保持清洁。下班时关闭门窗，减少灰尘和风沙，地面再用清水拖擦一次，每月大清扫一次。</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9）当发现疥疮患者使用过医用织物或医用织物上有螨、虱、蚤等体外寄生草时，除对其医用织物采用煮沸或蒸汽（100℃，时间≥15min）等方法杀灭外，应对污染环境及时选用拟除虫菊酯、氨基甲酸酯或有机磷杀虫剂，采取喷雾方法进行杀虫，具体方法应遵循产品的使用说明。（需提供服务承诺书并加盖投标人公章。）</w:t>
      </w:r>
    </w:p>
    <w:p>
      <w:pPr>
        <w:rPr>
          <w:color w:val="auto"/>
          <w:highlight w:val="none"/>
        </w:rPr>
      </w:pPr>
    </w:p>
    <w:p>
      <w:pPr>
        <w:pStyle w:val="6"/>
        <w:rPr>
          <w:color w:val="auto"/>
          <w:highlight w:val="none"/>
        </w:rPr>
      </w:pPr>
      <w:r>
        <w:rPr>
          <w:rFonts w:hint="eastAsia"/>
          <w:color w:val="auto"/>
          <w:highlight w:val="none"/>
        </w:rPr>
        <w:t>五、衣物洗涤消毒</w:t>
      </w:r>
    </w:p>
    <w:p>
      <w:pPr>
        <w:overflowPunct w:val="0"/>
        <w:ind w:firstLine="422" w:firstLineChars="200"/>
        <w:rPr>
          <w:rFonts w:ascii="宋体" w:hAnsi="宋体" w:cs="宋体"/>
          <w:b/>
          <w:color w:val="auto"/>
          <w:szCs w:val="21"/>
          <w:highlight w:val="none"/>
        </w:rPr>
      </w:pPr>
      <w:r>
        <w:rPr>
          <w:rFonts w:hint="eastAsia" w:ascii="宋体" w:hAnsi="宋体" w:cs="宋体"/>
          <w:b/>
          <w:color w:val="auto"/>
          <w:szCs w:val="21"/>
          <w:highlight w:val="none"/>
        </w:rPr>
        <w:t>1、分类</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（1）病人被服和医务人员衣物（口罩、值班被服、工作服）必须分类和专机洗涤</w:t>
      </w:r>
    </w:p>
    <w:p>
      <w:pPr>
        <w:overflowPunct w:val="0"/>
        <w:rPr>
          <w:rFonts w:ascii="宋体" w:hAnsi="宋体" w:cs="宋体"/>
          <w:color w:val="auto"/>
          <w:szCs w:val="21"/>
          <w:highlight w:val="none"/>
        </w:rPr>
      </w:pPr>
      <w:r>
        <w:rPr>
          <w:rFonts w:hint="eastAsia" w:ascii="宋体" w:hAnsi="宋体" w:cs="宋体"/>
          <w:color w:val="auto"/>
          <w:szCs w:val="21"/>
          <w:highlight w:val="none"/>
        </w:rPr>
        <w:t>不得混洗；新生儿、婴儿的医用织物、手术室医用织物（如手术衣、手术铺单等）被应单独洗涤，不应与其他医用织物混洗；</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2）采购单位的衣物不能和其他医院的衣物混合洗。根据衣被受污染程度可分别用专机洗涤，特别是传染病人（特殊传染性被服是指被炭疽、霍乱、鼠疫、朊病毒、新发不明原因传染病病原体等传染病病人衣被与其他传染病病人衣被应分批次洗涤）、烧伤病人的衣服应专机洗涤。</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3）洗烘设备专机分：传染病病人衣被专机、手术室病人衣被专机、婴儿衣被专机、普通病人衣被专机、手术医务人员衣被专机（包括手术室病人衣被、敷料和产房病人衣被）、传染病科医生衣被专机、普通科室医务人员衣被专机。</w:t>
      </w:r>
    </w:p>
    <w:p>
      <w:pPr>
        <w:overflowPunct w:val="0"/>
        <w:ind w:firstLine="422" w:firstLineChars="200"/>
        <w:rPr>
          <w:rFonts w:ascii="宋体" w:hAnsi="宋体" w:cs="宋体"/>
          <w:b/>
          <w:color w:val="auto"/>
          <w:szCs w:val="21"/>
          <w:highlight w:val="none"/>
        </w:rPr>
      </w:pPr>
      <w:r>
        <w:rPr>
          <w:rFonts w:hint="eastAsia" w:ascii="宋体" w:hAnsi="宋体" w:cs="宋体"/>
          <w:b/>
          <w:color w:val="auto"/>
          <w:szCs w:val="21"/>
          <w:highlight w:val="none"/>
        </w:rPr>
        <w:t>2、洗涤消毒方法</w:t>
      </w:r>
    </w:p>
    <w:p>
      <w:pPr>
        <w:overflowPunct w:val="0"/>
        <w:ind w:firstLine="422" w:firstLineChars="200"/>
        <w:rPr>
          <w:rFonts w:ascii="宋体" w:hAnsi="宋体" w:cs="宋体"/>
          <w:b/>
          <w:color w:val="auto"/>
          <w:szCs w:val="21"/>
          <w:highlight w:val="none"/>
        </w:rPr>
      </w:pPr>
      <w:r>
        <w:rPr>
          <w:rFonts w:hint="eastAsia" w:ascii="宋体" w:hAnsi="宋体" w:cs="宋体"/>
          <w:b/>
          <w:color w:val="auto"/>
          <w:szCs w:val="21"/>
          <w:highlight w:val="none"/>
        </w:rPr>
        <w:t>(1)医生、护士工作服，值班被服</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白色工作服：</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①分拣掏兜。医护人员白大衣口袋中经常装有圆珠笔、签字笔、口红、手纸等物品，这些物品一旦混入洗衣机中，将会造成整机衣物的污染。</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②为了增加白大衣洗涤摩擦力，衣物装机量不要太满，2／3装量较为合适。</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③预洗时加入强力医用洗衣粉，有助于固体污垢的脱离。</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④主洗采用低水位。</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⑤洗涤温度60～70℃，中、高温洗涤。</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⑥漂洗逐步降温以防死褶出现，影响后整理。</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⑦洗涤时间：</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a: 预洗：冷水预洗一次15分钟；</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b: 主洗：加医用洗衣粉（0.75KG/50KG机），双氧水0.75KG升温40℃——90℃（根据衣物布料）洗涤25分钟；</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c: 漂洗：60℃-70℃低水位漂洗3次，每次3分钟，每次漂洗间隔需脱水作处理；</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d: 中和：使用45℃-55℃中低水位，加入柔顺剂，漂洗5分钟将洗衣机调至自动电脑衡干适度系统进行自动化甩干处理。</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彩色工作服的洗涤：</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①彩色工作服要单独分色洗涤，以防脱色、搭色。</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②可以加入氧漂粉，以达到去色渍、增亮、增艳作用。</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③使用氧漂粉温度必须60℃以上。</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④洗涤溶液pH值8．5以上，这样才能更好地发挥效能。</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⑤洗涤时间：</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a: 预洗：冷水预洗一次15分钟；</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b: 主洗：加医用洗衣粉（0.75KG/50KG机），双氧水0.75KG升温40℃——90℃（根据衣物布料）洗涤25分钟；</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c: 漂洗：60℃-70℃低水位漂洗3次，每次3分钟，每次漂洗间隔需脱水作处理；</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d: 中和：使用45℃-55℃中低水位，加入柔顺剂，漂洗5分钟将洗衣机调至自动电脑衡干适度系统进行自动化甩干处理。</w:t>
      </w:r>
    </w:p>
    <w:p>
      <w:pPr>
        <w:overflowPunct w:val="0"/>
        <w:ind w:firstLine="422" w:firstLineChars="200"/>
        <w:rPr>
          <w:rFonts w:ascii="宋体" w:hAnsi="宋体" w:cs="宋体"/>
          <w:b/>
          <w:color w:val="auto"/>
          <w:szCs w:val="21"/>
          <w:highlight w:val="none"/>
        </w:rPr>
      </w:pPr>
      <w:r>
        <w:rPr>
          <w:rFonts w:hint="eastAsia" w:ascii="宋体" w:hAnsi="宋体" w:cs="宋体"/>
          <w:b/>
          <w:color w:val="auto"/>
          <w:szCs w:val="21"/>
          <w:highlight w:val="none"/>
        </w:rPr>
        <w:t>(2)婴儿衣物的洗涤程序（注：单独专机洗涤，禁止混合洗涤防止交叉感染）：</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①洗衣机装载量：80%</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②加冷水预洗一次5分钟。</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③主洗：加医用洗衣粉（0.75KG/50KG机），双氧水0.75KG加温40度—90度（根据衣物布料定）洗涤30分钟。</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④漂洗：60℃-70℃低水位漂洗3次，每次3分钟，每次漂洗间隔需脱水作处理。</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⑤中和：使用45℃-55℃中低水位，加入柔顺剂，漂洗5分钟将洗衣机调至自动电脑衡干适度系统进行自动化甩干处理。</w:t>
      </w:r>
    </w:p>
    <w:p>
      <w:pPr>
        <w:overflowPunct w:val="0"/>
        <w:ind w:firstLine="422" w:firstLineChars="200"/>
        <w:rPr>
          <w:rFonts w:ascii="宋体" w:hAnsi="宋体" w:cs="宋体"/>
          <w:b/>
          <w:color w:val="auto"/>
          <w:szCs w:val="21"/>
          <w:highlight w:val="none"/>
        </w:rPr>
      </w:pPr>
      <w:r>
        <w:rPr>
          <w:rFonts w:hint="eastAsia" w:ascii="宋体" w:hAnsi="宋体" w:cs="宋体"/>
          <w:b/>
          <w:color w:val="auto"/>
          <w:szCs w:val="21"/>
          <w:highlight w:val="none"/>
        </w:rPr>
        <w:t>(3)一般病人衣物</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①洗衣机装载量：80%</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②预洗：冷水预洗一次15分钟；</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③主洗：加医用洗衣粉（0.75KG/50KG机），双氧水0.75KG升温40℃——90℃（根据衣物布料）洗涤20-30分钟；</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注：主洗分为热洗涤和冷洗涤两种冼涤方法。根据被洗涤医用织物的污染情况可加入碱、清洁剂或乳化剂、消毒洗涤原料。洗涤、消毒方法和程序应按下列要求选择进行：</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A）热洗涤方法：应采用高温（70℃-90℃）低水位方式。对耐热的医用织物首选热洗涤方法。消毒温度75℃，时间≥30分钟或消毒温度80℃，时间≥10分钟A0值≥600，洗涤时间可在确保消毒时间基础上，根据医用织物脏污程度的需要而延长。</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B）冷洗涤方法：应采用中温（40℃-60℃）低水位方式。对不耐热的医用织物如受热易变形的特殊织物(化纤、毛类织物)，应选用水温应先用水温低于60℃的冷洗涤方法处理。若在该环节选择对感染性织物实施消毒(灭菌)处理的，具体方法应按相应消毒方法处理。</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④漂洗：60℃-70℃低水位漂洗3次，每次3分钟，每次漂洗间隔需脱水作处理。</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⑤中和：使用45℃-55℃中低水位，加入柔顺剂，漂洗5分钟将洗衣机调至自动电脑衡干适度系统进行自动化甩干处理。</w:t>
      </w:r>
    </w:p>
    <w:p>
      <w:pPr>
        <w:overflowPunct w:val="0"/>
        <w:ind w:firstLine="422" w:firstLineChars="200"/>
        <w:rPr>
          <w:rFonts w:ascii="宋体" w:hAnsi="宋体" w:cs="宋体"/>
          <w:b/>
          <w:color w:val="auto"/>
          <w:szCs w:val="21"/>
          <w:highlight w:val="none"/>
        </w:rPr>
      </w:pPr>
      <w:r>
        <w:rPr>
          <w:rFonts w:hint="eastAsia" w:ascii="宋体" w:hAnsi="宋体" w:cs="宋体"/>
          <w:b/>
          <w:color w:val="auto"/>
          <w:szCs w:val="21"/>
          <w:highlight w:val="none"/>
        </w:rPr>
        <w:t>(4)手术室衣物（医用洗衣粉及灭菌洗洁灵）</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手术服主要污渍就是血渍和药渍。血渍是一种蛋白质，洗涤时切忌高温，一旦高温血渍就会渗入织物纤维固化变性，从而很难用普通的洗涤方法洗掉。手术服的洗涤需注意以下几个方面。</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注：洗涤前，检查如有明显血块、脓、便污物的，应先用冷洗液及用清水冲走污物，倒入浸泡池投入灭菌消毒粉1000gm/L含氯量（按衣物量）浸泡30-60min以上；</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①预洗：低温洗涤，中水位，两次预洗，洗涤10min；</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②主洗：</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1）加入去蛋白洗衣粉不超过60°洗10—15分钟，不升温排水；</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2）加入消毒剂、用医用洗衣粉（0.75KG/50KG机）、灭菌洗洁灵0.5KG升温60℃ —90℃（需看衣物布料定），洗涤时间45分钟以上；</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3）一旦有血渍固化，采用氯漂、氧漂进行氧化脱色；</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去污渍：局部的污渍处理应遵循“先干后湿，先碱后酸”的原则。不能确定污渍种类时，其局部的污渍处理可采取下列程序：</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a）使用有机溶剂，如丙酮或酒精。</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b）使用洗涤剂。</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c）使用酸性溶液，如氟化氢钠、氟化氢氨，若为小块斑渍使用氢氯酸溶液。</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d）使用还原剂或脱色剂的温溶液（小于40℃）,如连二亚硫酸钠或亚硫酸氢钠。</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e）使用氧化剂，如次氯酸钠（液体漂白剂）或过氧化氢。</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f)洗涤程序应按顺序进行，每一步程序之间均应将被洗涤的织物充分过水。</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③漂洗：60℃-70℃低水位漂洗3次，每次3分钟，每次漂洗间隔需脱水作处理。</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④中和：使用45℃-55℃中低水位，加入柔顺剂，漂洗5分钟将洗衣机调至自动电脑衡干适度系统进行自动化甩干处理。</w:t>
      </w:r>
    </w:p>
    <w:p>
      <w:pPr>
        <w:overflowPunct w:val="0"/>
        <w:ind w:firstLine="422" w:firstLineChars="200"/>
        <w:rPr>
          <w:rFonts w:ascii="宋体" w:hAnsi="宋体" w:cs="宋体"/>
          <w:b/>
          <w:color w:val="auto"/>
          <w:szCs w:val="21"/>
          <w:highlight w:val="none"/>
        </w:rPr>
      </w:pPr>
      <w:r>
        <w:rPr>
          <w:rFonts w:hint="eastAsia" w:ascii="宋体" w:hAnsi="宋体" w:cs="宋体"/>
          <w:b/>
          <w:color w:val="auto"/>
          <w:szCs w:val="21"/>
          <w:highlight w:val="none"/>
        </w:rPr>
        <w:t>(5)感染织物（血液、体液、传染病人衣物）的洗涤：</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①预洗：</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1）洗衣机装载量：80%</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2）用温度不超过40℃的水进行行预洗；可根据冲洗污垢需要加人适量的洗涤剂，脏污织物的预洗:应采用低温、高水位方式，一般洗涤时间为3-5分钟。</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感染性织物的预洗与消毒:</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a)对不耐热感染性织物宜选择在预洗环节同时作消毒处理。</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b)对被朊病毒、气性坏疽、突发不明原因传染病的病原体污染或其他有明确规定的传染病病原体性织物，若需重复使用应遵循先消毒后洗涤的原则。</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c)应根据感染性织物使用对象和污渍性质、程度不同，参照WS/T 367规定，在密闭状态下选的消毒（灭菌）方法进行处理：</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a1）对于被细菌繁殖体污染的感染性织物，可使用500 mg/L的含氯消毒剂或250 mg/L的二氧化氯消毒剂或相当剂量的其他消毒剂，洗涤消毒应不少于10分钟；也可选用煮沸消毒（100℃，时间15分钟）和蒸汽消毒（100℃，时间15-30分钟）等湿热消毒方法。</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a2）对已明确被气性坏疽、经血传播病原体、新型冠状肺炎、突发不明原因传染病的病原体或分枝杆菌、细菌芽孢引起的传染病污染的感染性织物，可使用2000 mg/L -5000 mg/L的含氯消毒剂或500mg/L~1000mg/L的二氧化氯消毒剂或相当剂量的其他消毒剂，洗涤消毒应不少于30分钟。   </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a3）对已明确被朊病毒病原体感染性织物，应按WS/T 367规定的消毒方法进行处理</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a4）需灭菌的应按WS/T 367要求，首选压力蒸汽灭菌。</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a5）对外观有明显血液、体液、分泌物、排泄物等污渍的感染性织物，宜首选在该环节采用1）、2）规定的方法，并在密闭状态下进行洗涤消毒。</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a6)对采用机械感染性布巾、地巾（包括可拆地巾或拖把头），宜选择先洗涤后消毒毒方法参照WS/T 367规定，可使用500mg/L的含氯消毒剂或250mg/L的二氧氯消毒剂或相当剂量的其他消毒剂浸泡。</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②主洗：</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将浸泡后的衣物放入机内加冷水及医用洗衣粉（按衣物量），双氧水（医用洗衣粉等量），升温20℃——60℃洗涤45分钟；</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③漂洗：60℃-70℃低水位漂洗3次，每次3分钟，每次漂洗间隔需脱水作处理。</w:t>
      </w:r>
    </w:p>
    <w:p>
      <w:pPr>
        <w:overflowPunct w:val="0"/>
        <w:ind w:firstLine="420" w:firstLineChars="200"/>
        <w:rPr>
          <w:rFonts w:ascii="宋体" w:hAnsi="宋体" w:cs="宋体"/>
          <w:color w:val="auto"/>
          <w:szCs w:val="21"/>
          <w:highlight w:val="none"/>
        </w:rPr>
      </w:pPr>
      <w:r>
        <w:rPr>
          <w:rFonts w:hint="eastAsia" w:ascii="宋体" w:hAnsi="宋体" w:cs="宋体"/>
          <w:color w:val="auto"/>
          <w:szCs w:val="21"/>
          <w:highlight w:val="none"/>
        </w:rPr>
        <w:t>④中和：使用45℃-55℃中低水位，加入柔顺剂，漂洗5分钟将洗衣机调至自动电脑衡干适度系统进行自动化甩干处理。</w:t>
      </w:r>
    </w:p>
    <w:p>
      <w:pPr>
        <w:rPr>
          <w:color w:val="auto"/>
          <w:highlight w:val="none"/>
        </w:rPr>
      </w:pPr>
    </w:p>
    <w:p>
      <w:pPr>
        <w:pStyle w:val="6"/>
        <w:rPr>
          <w:color w:val="auto"/>
          <w:highlight w:val="none"/>
        </w:rPr>
      </w:pPr>
      <w:r>
        <w:rPr>
          <w:rFonts w:hint="eastAsia"/>
          <w:color w:val="auto"/>
          <w:highlight w:val="none"/>
        </w:rPr>
        <w:t>六、质量要求</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（1）洗涤消毒后的清洁衣物被服微生物检测指标应符合下表的要求。</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tcPr>
          <w:p>
            <w:pPr>
              <w:jc w:val="center"/>
              <w:rPr>
                <w:rFonts w:ascii="宋体" w:hAnsi="宋体" w:cs="宋体"/>
                <w:color w:val="auto"/>
                <w:szCs w:val="21"/>
                <w:highlight w:val="none"/>
              </w:rPr>
            </w:pPr>
            <w:r>
              <w:rPr>
                <w:rFonts w:hint="eastAsia" w:ascii="宋体" w:hAnsi="宋体" w:cs="宋体"/>
                <w:color w:val="auto"/>
                <w:szCs w:val="21"/>
                <w:highlight w:val="none"/>
              </w:rPr>
              <w:t>项目</w:t>
            </w:r>
          </w:p>
        </w:tc>
        <w:tc>
          <w:tcPr>
            <w:tcW w:w="4261" w:type="dxa"/>
            <w:noWrap/>
          </w:tcPr>
          <w:p>
            <w:pPr>
              <w:jc w:val="center"/>
              <w:rPr>
                <w:rFonts w:ascii="宋体" w:hAnsi="宋体" w:cs="宋体"/>
                <w:color w:val="auto"/>
                <w:szCs w:val="21"/>
                <w:highlight w:val="none"/>
              </w:rPr>
            </w:pPr>
            <w:r>
              <w:rPr>
                <w:rFonts w:hint="eastAsia" w:ascii="宋体" w:hAnsi="宋体" w:cs="宋体"/>
                <w:color w:val="auto"/>
                <w:szCs w:val="21"/>
                <w:highlight w:val="none"/>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tcPr>
          <w:p>
            <w:pPr>
              <w:jc w:val="center"/>
              <w:rPr>
                <w:rFonts w:ascii="宋体" w:hAnsi="宋体" w:cs="宋体"/>
                <w:color w:val="auto"/>
                <w:szCs w:val="21"/>
                <w:highlight w:val="none"/>
              </w:rPr>
            </w:pPr>
            <w:r>
              <w:rPr>
                <w:rFonts w:hint="eastAsia" w:ascii="宋体" w:hAnsi="宋体" w:cs="宋体"/>
                <w:color w:val="auto"/>
                <w:szCs w:val="21"/>
                <w:highlight w:val="none"/>
              </w:rPr>
              <w:t>细菌菌落总数（CFU/100cm2）</w:t>
            </w:r>
          </w:p>
        </w:tc>
        <w:tc>
          <w:tcPr>
            <w:tcW w:w="4261" w:type="dxa"/>
            <w:noWrap/>
          </w:tcPr>
          <w:p>
            <w:pPr>
              <w:jc w:val="center"/>
              <w:rPr>
                <w:rFonts w:ascii="宋体" w:hAnsi="宋体" w:cs="宋体"/>
                <w:color w:val="auto"/>
                <w:szCs w:val="21"/>
                <w:highlight w:val="none"/>
              </w:rPr>
            </w:pPr>
            <w:r>
              <w:rPr>
                <w:rFonts w:hint="eastAsia" w:ascii="宋体" w:hAnsi="宋体" w:cs="宋体"/>
                <w:color w:val="auto"/>
                <w:szCs w:val="21"/>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tcPr>
          <w:p>
            <w:pPr>
              <w:jc w:val="center"/>
              <w:rPr>
                <w:rFonts w:ascii="宋体" w:hAnsi="宋体" w:cs="宋体"/>
                <w:color w:val="auto"/>
                <w:szCs w:val="21"/>
                <w:highlight w:val="none"/>
              </w:rPr>
            </w:pPr>
            <w:r>
              <w:rPr>
                <w:rFonts w:hint="eastAsia" w:ascii="宋体" w:hAnsi="宋体" w:cs="宋体"/>
                <w:color w:val="auto"/>
                <w:szCs w:val="21"/>
                <w:highlight w:val="none"/>
              </w:rPr>
              <w:t>大肠杆菌</w:t>
            </w:r>
          </w:p>
        </w:tc>
        <w:tc>
          <w:tcPr>
            <w:tcW w:w="4261" w:type="dxa"/>
            <w:noWrap/>
          </w:tcPr>
          <w:p>
            <w:pPr>
              <w:jc w:val="center"/>
              <w:rPr>
                <w:rFonts w:ascii="宋体" w:hAnsi="宋体" w:cs="宋体"/>
                <w:color w:val="auto"/>
                <w:szCs w:val="21"/>
                <w:highlight w:val="none"/>
              </w:rPr>
            </w:pPr>
            <w:r>
              <w:rPr>
                <w:rFonts w:hint="eastAsia" w:ascii="宋体" w:hAnsi="宋体" w:cs="宋体"/>
                <w:color w:val="auto"/>
                <w:szCs w:val="21"/>
                <w:highlight w:val="none"/>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Borders>
              <w:bottom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金黄色葡萄球菌</w:t>
            </w:r>
          </w:p>
        </w:tc>
        <w:tc>
          <w:tcPr>
            <w:tcW w:w="4261" w:type="dxa"/>
            <w:tcBorders>
              <w:bottom w:val="single" w:color="auto" w:sz="4" w:space="0"/>
            </w:tcBorders>
            <w:noWrap/>
          </w:tcPr>
          <w:p>
            <w:pPr>
              <w:jc w:val="center"/>
              <w:rPr>
                <w:rFonts w:ascii="宋体" w:hAnsi="宋体" w:cs="宋体"/>
                <w:color w:val="auto"/>
                <w:szCs w:val="21"/>
                <w:highlight w:val="none"/>
              </w:rPr>
            </w:pPr>
            <w:r>
              <w:rPr>
                <w:rFonts w:hint="eastAsia" w:ascii="宋体" w:hAnsi="宋体" w:cs="宋体"/>
                <w:color w:val="auto"/>
                <w:szCs w:val="21"/>
                <w:highlight w:val="none"/>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Borders>
              <w:top w:val="single" w:color="auto" w:sz="4" w:space="0"/>
              <w:left w:val="single" w:color="auto" w:sz="4" w:space="0"/>
              <w:bottom w:val="single" w:color="auto" w:sz="4" w:space="0"/>
              <w:right w:val="single" w:color="auto" w:sz="4" w:space="0"/>
            </w:tcBorders>
            <w:noWrap/>
          </w:tcPr>
          <w:p>
            <w:pPr>
              <w:rPr>
                <w:rFonts w:ascii="宋体" w:hAnsi="宋体" w:cs="宋体"/>
                <w:color w:val="auto"/>
                <w:szCs w:val="21"/>
                <w:highlight w:val="none"/>
              </w:rPr>
            </w:pPr>
            <w:r>
              <w:rPr>
                <w:rFonts w:hint="eastAsia" w:ascii="宋体" w:hAnsi="宋体" w:cs="宋体"/>
                <w:color w:val="auto"/>
                <w:szCs w:val="21"/>
                <w:highlight w:val="none"/>
              </w:rPr>
              <w:t>注：化脓性致病菌包括乙型溶血性链球菌、金黄色葡萄球菌及铜绿假单胞菌；婴儿用医用织物还应进行沙门菌检测。</w:t>
            </w:r>
          </w:p>
        </w:tc>
      </w:tr>
    </w:tbl>
    <w:p>
      <w:pPr>
        <w:ind w:firstLine="420" w:firstLineChars="200"/>
        <w:rPr>
          <w:rFonts w:ascii="宋体" w:hAnsi="宋体" w:cs="宋体"/>
          <w:color w:val="auto"/>
          <w:szCs w:val="21"/>
          <w:highlight w:val="none"/>
        </w:rPr>
      </w:pPr>
      <w:r>
        <w:rPr>
          <w:rFonts w:hint="eastAsia" w:ascii="宋体" w:hAnsi="宋体" w:cs="宋体"/>
          <w:color w:val="auto"/>
          <w:szCs w:val="21"/>
          <w:highlight w:val="none"/>
        </w:rPr>
        <w:t>（2）洗涤织物有重污渍及签字笔渍、石蜡油、发胶、等化学药剂等非正常污迹的应及时告知院方具体情况，尽最大努力反复洗涤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（3）洗净被服要做到无异味、臭味、污渍、无血渍、无破损、平整无皱。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（4）符合医院布草洗涤行业标准，洗涤物洁净鲜亮，平整皱褶少。污物迹，工作服袖口、胸前要特别注意去污处理。对于沾染污垢或被染色的部位，应做到清洗还原后与布料原色基本保持一致。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（8）如为中标人清洗过程中导致的衣物污染并不能还原本色的，应由中标人按价适当赔偿给科室，不应由科室支出。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（6）免费对有破损、掉纽扣的衣物进行修补，实在不能修补的，以书面方式提请甲方办理衣物报废。</w:t>
      </w:r>
    </w:p>
    <w:p>
      <w:pPr>
        <w:rPr>
          <w:color w:val="auto"/>
          <w:highlight w:val="none"/>
        </w:rPr>
      </w:pPr>
    </w:p>
    <w:p>
      <w:pPr>
        <w:pStyle w:val="6"/>
        <w:rPr>
          <w:color w:val="auto"/>
          <w:highlight w:val="none"/>
        </w:rPr>
      </w:pPr>
      <w:r>
        <w:rPr>
          <w:rFonts w:hint="eastAsia"/>
          <w:color w:val="auto"/>
          <w:highlight w:val="none"/>
        </w:rPr>
        <w:t>七、验收</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（1）洗涤后的清洁布草交付委托方时，应由委托方验收。</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（2）采购人有权按照《中华人民共和国清洁生产促进法》和《广东省医疗卫生管理条例》及现行有关技术标准进行验收。</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（3）应符合外观要求及细菌指标要求，并应有记录。</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记录应包括布草的名称、数量、质地、外观、作业方式、洗涤时间、送取件时间、委托单位名称及联系方式、清洗机构名称及联系方式、监督单位名称及电话。记录应有专职质检员和业务员签字；应有清洗机构盖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（5）在交货数量上不符合合同规定及具体交接签收数量时， 采购人在收到产品一日内向投标人提出异议，投标人需在接到采购人通知之日起三日内处理并承担由此产生的后果。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6）当双方对产品质量问题存在分歧或与织物相关的医疗纠纷时，采购人可向东莞市卫生防疫检测等部门申请检验，当送检产品检验质量不符合合同规定时，采购人有权认为供应商所提供洗涤产品全部不符合合同约定质量要求，采购人有权按批次退货，并有权追究供应商经济和法律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（7）记录应一式三份，一份清洗机构存档，一份附在洗涤后的清洁布草的外包装上，一份交委托单位保存。</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（8）记录的可追朔期为6个月，记录的保存期为一年。</w:t>
      </w:r>
    </w:p>
    <w:p>
      <w:pPr>
        <w:spacing w:line="480" w:lineRule="auto"/>
        <w:jc w:val="center"/>
        <w:rPr>
          <w:color w:val="auto"/>
          <w:highlight w:val="none"/>
        </w:rPr>
      </w:pPr>
      <w:r>
        <w:rPr>
          <w:color w:val="auto"/>
          <w:highlight w:val="none"/>
        </w:rPr>
        <w:br w:type="page"/>
      </w:r>
    </w:p>
    <w:p>
      <w:pPr>
        <w:spacing w:line="480" w:lineRule="auto"/>
        <w:jc w:val="center"/>
        <w:rPr>
          <w:rFonts w:ascii="宋体" w:hAnsi="宋体" w:cs="宋体"/>
          <w:b/>
          <w:color w:val="auto"/>
          <w:sz w:val="28"/>
          <w:szCs w:val="28"/>
          <w:highlight w:val="none"/>
        </w:rPr>
      </w:pPr>
      <w:r>
        <w:rPr>
          <w:rFonts w:hint="eastAsia" w:ascii="宋体" w:hAnsi="宋体" w:cs="宋体"/>
          <w:b/>
          <w:color w:val="auto"/>
          <w:sz w:val="28"/>
          <w:szCs w:val="28"/>
          <w:highlight w:val="none"/>
        </w:rPr>
        <w:t>东莞市横沥医院洗衣工作满意度调查表</w:t>
      </w:r>
    </w:p>
    <w:p>
      <w:pPr>
        <w:rPr>
          <w:rFonts w:ascii="宋体" w:hAnsi="宋体"/>
          <w:color w:val="auto"/>
          <w:sz w:val="22"/>
          <w:highlight w:val="none"/>
        </w:rPr>
      </w:pPr>
      <w:r>
        <w:rPr>
          <w:rFonts w:hint="eastAsia" w:ascii="宋体" w:hAnsi="宋体" w:cs="宋体"/>
          <w:color w:val="auto"/>
          <w:sz w:val="22"/>
          <w:highlight w:val="none"/>
        </w:rPr>
        <w:t>科室：                          日期：</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1087"/>
        <w:gridCol w:w="874"/>
        <w:gridCol w:w="874"/>
        <w:gridCol w:w="874"/>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noWrap/>
            <w:vAlign w:val="center"/>
          </w:tcPr>
          <w:p>
            <w:pPr>
              <w:spacing w:line="360" w:lineRule="exact"/>
              <w:jc w:val="center"/>
              <w:rPr>
                <w:rFonts w:ascii="宋体" w:hAnsi="宋体"/>
                <w:color w:val="auto"/>
                <w:sz w:val="22"/>
                <w:highlight w:val="none"/>
              </w:rPr>
            </w:pPr>
            <w:r>
              <w:rPr>
                <w:rFonts w:hint="eastAsia" w:ascii="宋体" w:hAnsi="宋体"/>
                <w:color w:val="auto"/>
                <w:sz w:val="22"/>
                <w:highlight w:val="none"/>
              </w:rPr>
              <w:t>名称</w:t>
            </w:r>
          </w:p>
        </w:tc>
        <w:tc>
          <w:tcPr>
            <w:tcW w:w="1087" w:type="dxa"/>
            <w:noWrap/>
            <w:vAlign w:val="center"/>
          </w:tcPr>
          <w:p>
            <w:pPr>
              <w:spacing w:line="360" w:lineRule="exact"/>
              <w:jc w:val="center"/>
              <w:rPr>
                <w:rFonts w:ascii="宋体" w:hAnsi="宋体"/>
                <w:color w:val="auto"/>
                <w:sz w:val="22"/>
                <w:highlight w:val="none"/>
              </w:rPr>
            </w:pPr>
            <w:r>
              <w:rPr>
                <w:rFonts w:hint="eastAsia" w:ascii="宋体" w:hAnsi="宋体"/>
                <w:color w:val="auto"/>
                <w:sz w:val="22"/>
                <w:highlight w:val="none"/>
              </w:rPr>
              <w:t>优秀</w:t>
            </w:r>
          </w:p>
          <w:p>
            <w:pPr>
              <w:spacing w:line="360" w:lineRule="exact"/>
              <w:jc w:val="center"/>
              <w:rPr>
                <w:rFonts w:ascii="宋体" w:hAnsi="宋体"/>
                <w:color w:val="auto"/>
                <w:sz w:val="22"/>
                <w:highlight w:val="none"/>
              </w:rPr>
            </w:pPr>
            <w:r>
              <w:rPr>
                <w:rFonts w:hint="eastAsia" w:ascii="宋体" w:hAnsi="宋体"/>
                <w:color w:val="auto"/>
                <w:sz w:val="22"/>
                <w:highlight w:val="none"/>
              </w:rPr>
              <w:t>(10分)</w:t>
            </w:r>
          </w:p>
        </w:tc>
        <w:tc>
          <w:tcPr>
            <w:tcW w:w="874" w:type="dxa"/>
            <w:noWrap/>
            <w:vAlign w:val="center"/>
          </w:tcPr>
          <w:p>
            <w:pPr>
              <w:spacing w:line="360" w:lineRule="exact"/>
              <w:jc w:val="center"/>
              <w:rPr>
                <w:rFonts w:ascii="宋体" w:hAnsi="宋体"/>
                <w:color w:val="auto"/>
                <w:sz w:val="22"/>
                <w:highlight w:val="none"/>
              </w:rPr>
            </w:pPr>
            <w:r>
              <w:rPr>
                <w:rFonts w:hint="eastAsia" w:ascii="宋体" w:hAnsi="宋体"/>
                <w:color w:val="auto"/>
                <w:sz w:val="22"/>
                <w:highlight w:val="none"/>
              </w:rPr>
              <w:t>良好</w:t>
            </w:r>
          </w:p>
          <w:p>
            <w:pPr>
              <w:spacing w:line="360" w:lineRule="exact"/>
              <w:jc w:val="center"/>
              <w:rPr>
                <w:rFonts w:ascii="宋体" w:hAnsi="宋体"/>
                <w:color w:val="auto"/>
                <w:sz w:val="22"/>
                <w:highlight w:val="none"/>
              </w:rPr>
            </w:pPr>
            <w:r>
              <w:rPr>
                <w:rFonts w:hint="eastAsia" w:ascii="宋体" w:hAnsi="宋体"/>
                <w:color w:val="auto"/>
                <w:sz w:val="22"/>
                <w:highlight w:val="none"/>
              </w:rPr>
              <w:t>(8分)</w:t>
            </w:r>
          </w:p>
        </w:tc>
        <w:tc>
          <w:tcPr>
            <w:tcW w:w="874" w:type="dxa"/>
            <w:noWrap/>
            <w:vAlign w:val="center"/>
          </w:tcPr>
          <w:p>
            <w:pPr>
              <w:spacing w:line="360" w:lineRule="exact"/>
              <w:jc w:val="center"/>
              <w:rPr>
                <w:rFonts w:ascii="宋体" w:hAnsi="宋体"/>
                <w:color w:val="auto"/>
                <w:sz w:val="22"/>
                <w:highlight w:val="none"/>
              </w:rPr>
            </w:pPr>
            <w:r>
              <w:rPr>
                <w:rFonts w:hint="eastAsia" w:ascii="宋体" w:hAnsi="宋体"/>
                <w:color w:val="auto"/>
                <w:sz w:val="22"/>
                <w:highlight w:val="none"/>
              </w:rPr>
              <w:t>一般</w:t>
            </w:r>
          </w:p>
          <w:p>
            <w:pPr>
              <w:spacing w:line="360" w:lineRule="exact"/>
              <w:jc w:val="center"/>
              <w:rPr>
                <w:rFonts w:ascii="宋体" w:hAnsi="宋体"/>
                <w:color w:val="auto"/>
                <w:sz w:val="22"/>
                <w:highlight w:val="none"/>
              </w:rPr>
            </w:pPr>
            <w:r>
              <w:rPr>
                <w:rFonts w:hint="eastAsia" w:ascii="宋体" w:hAnsi="宋体"/>
                <w:color w:val="auto"/>
                <w:sz w:val="22"/>
                <w:highlight w:val="none"/>
              </w:rPr>
              <w:t>(7分)</w:t>
            </w:r>
          </w:p>
        </w:tc>
        <w:tc>
          <w:tcPr>
            <w:tcW w:w="874" w:type="dxa"/>
            <w:noWrap/>
            <w:vAlign w:val="center"/>
          </w:tcPr>
          <w:p>
            <w:pPr>
              <w:spacing w:line="360" w:lineRule="exact"/>
              <w:jc w:val="center"/>
              <w:rPr>
                <w:rFonts w:ascii="宋体" w:hAnsi="宋体"/>
                <w:color w:val="auto"/>
                <w:sz w:val="22"/>
                <w:highlight w:val="none"/>
              </w:rPr>
            </w:pPr>
            <w:r>
              <w:rPr>
                <w:rFonts w:hint="eastAsia" w:ascii="宋体" w:hAnsi="宋体"/>
                <w:color w:val="auto"/>
                <w:sz w:val="22"/>
                <w:highlight w:val="none"/>
              </w:rPr>
              <w:t>合格</w:t>
            </w:r>
          </w:p>
          <w:p>
            <w:pPr>
              <w:spacing w:line="360" w:lineRule="exact"/>
              <w:jc w:val="center"/>
              <w:rPr>
                <w:rFonts w:ascii="宋体" w:hAnsi="宋体"/>
                <w:color w:val="auto"/>
                <w:sz w:val="22"/>
                <w:highlight w:val="none"/>
              </w:rPr>
            </w:pPr>
            <w:r>
              <w:rPr>
                <w:rFonts w:hint="eastAsia" w:ascii="宋体" w:hAnsi="宋体"/>
                <w:color w:val="auto"/>
                <w:sz w:val="22"/>
                <w:highlight w:val="none"/>
              </w:rPr>
              <w:t>(6分)</w:t>
            </w:r>
          </w:p>
        </w:tc>
        <w:tc>
          <w:tcPr>
            <w:tcW w:w="877" w:type="dxa"/>
            <w:noWrap/>
            <w:vAlign w:val="center"/>
          </w:tcPr>
          <w:p>
            <w:pPr>
              <w:spacing w:line="360" w:lineRule="exact"/>
              <w:jc w:val="center"/>
              <w:rPr>
                <w:rFonts w:ascii="宋体" w:hAnsi="宋体"/>
                <w:color w:val="auto"/>
                <w:sz w:val="22"/>
                <w:highlight w:val="none"/>
              </w:rPr>
            </w:pPr>
            <w:r>
              <w:rPr>
                <w:rFonts w:hint="eastAsia" w:ascii="宋体" w:hAnsi="宋体"/>
                <w:color w:val="auto"/>
                <w:sz w:val="22"/>
                <w:highlight w:val="none"/>
              </w:rPr>
              <w:t>不合格</w:t>
            </w:r>
          </w:p>
          <w:p>
            <w:pPr>
              <w:spacing w:line="360" w:lineRule="exact"/>
              <w:jc w:val="center"/>
              <w:rPr>
                <w:rFonts w:ascii="宋体" w:hAnsi="宋体"/>
                <w:color w:val="auto"/>
                <w:sz w:val="22"/>
                <w:highlight w:val="none"/>
              </w:rPr>
            </w:pPr>
            <w:r>
              <w:rPr>
                <w:rFonts w:hint="eastAsia" w:ascii="宋体" w:hAnsi="宋体"/>
                <w:color w:val="auto"/>
                <w:sz w:val="22"/>
                <w:highlight w:val="none"/>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noWrap/>
            <w:vAlign w:val="center"/>
          </w:tcPr>
          <w:p>
            <w:pPr>
              <w:spacing w:line="360" w:lineRule="exact"/>
              <w:rPr>
                <w:rFonts w:ascii="宋体" w:hAnsi="宋体"/>
                <w:color w:val="auto"/>
                <w:sz w:val="22"/>
                <w:highlight w:val="none"/>
              </w:rPr>
            </w:pPr>
            <w:r>
              <w:rPr>
                <w:rFonts w:hint="eastAsia" w:ascii="宋体" w:hAnsi="宋体"/>
                <w:color w:val="auto"/>
                <w:sz w:val="22"/>
                <w:highlight w:val="none"/>
              </w:rPr>
              <w:t>1.按时、准确出洗工作服、值班被服。</w:t>
            </w:r>
          </w:p>
        </w:tc>
        <w:tc>
          <w:tcPr>
            <w:tcW w:w="1087"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7" w:type="dxa"/>
            <w:noWrap/>
            <w:vAlign w:val="center"/>
          </w:tcPr>
          <w:p>
            <w:pPr>
              <w:spacing w:line="360" w:lineRule="exact"/>
              <w:jc w:val="center"/>
              <w:rPr>
                <w:rFonts w:ascii="宋体" w:hAnsi="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noWrap/>
            <w:vAlign w:val="center"/>
          </w:tcPr>
          <w:p>
            <w:pPr>
              <w:spacing w:line="360" w:lineRule="exact"/>
              <w:rPr>
                <w:rFonts w:ascii="宋体" w:hAnsi="宋体"/>
                <w:color w:val="auto"/>
                <w:sz w:val="22"/>
                <w:highlight w:val="none"/>
              </w:rPr>
            </w:pPr>
            <w:r>
              <w:rPr>
                <w:rFonts w:hint="eastAsia" w:ascii="宋体" w:hAnsi="宋体"/>
                <w:color w:val="auto"/>
                <w:sz w:val="22"/>
                <w:highlight w:val="none"/>
              </w:rPr>
              <w:t>2.及时、准确收送病人衣被，数量准确。</w:t>
            </w:r>
          </w:p>
        </w:tc>
        <w:tc>
          <w:tcPr>
            <w:tcW w:w="1087"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7" w:type="dxa"/>
            <w:noWrap/>
            <w:vAlign w:val="center"/>
          </w:tcPr>
          <w:p>
            <w:pPr>
              <w:spacing w:line="360" w:lineRule="exact"/>
              <w:jc w:val="center"/>
              <w:rPr>
                <w:rFonts w:ascii="宋体" w:hAnsi="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noWrap/>
            <w:vAlign w:val="center"/>
          </w:tcPr>
          <w:p>
            <w:pPr>
              <w:spacing w:line="360" w:lineRule="exact"/>
              <w:rPr>
                <w:rFonts w:ascii="宋体" w:hAnsi="宋体"/>
                <w:color w:val="auto"/>
                <w:sz w:val="22"/>
                <w:highlight w:val="none"/>
              </w:rPr>
            </w:pPr>
            <w:r>
              <w:rPr>
                <w:rFonts w:hint="eastAsia" w:ascii="宋体" w:hAnsi="宋体"/>
                <w:color w:val="auto"/>
                <w:sz w:val="22"/>
                <w:highlight w:val="none"/>
              </w:rPr>
              <w:t>3.洗涤回来的布类须确保干净，无污迹、无毛絮残留、无着色不均情况。</w:t>
            </w:r>
          </w:p>
        </w:tc>
        <w:tc>
          <w:tcPr>
            <w:tcW w:w="1087"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7" w:type="dxa"/>
            <w:noWrap/>
            <w:vAlign w:val="center"/>
          </w:tcPr>
          <w:p>
            <w:pPr>
              <w:spacing w:line="360" w:lineRule="exact"/>
              <w:jc w:val="center"/>
              <w:rPr>
                <w:rFonts w:ascii="宋体" w:hAnsi="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noWrap/>
            <w:vAlign w:val="center"/>
          </w:tcPr>
          <w:p>
            <w:pPr>
              <w:spacing w:line="360" w:lineRule="exact"/>
              <w:rPr>
                <w:rFonts w:ascii="宋体" w:hAnsi="宋体"/>
                <w:color w:val="auto"/>
                <w:sz w:val="22"/>
                <w:highlight w:val="none"/>
              </w:rPr>
            </w:pPr>
            <w:r>
              <w:rPr>
                <w:rFonts w:hint="eastAsia" w:ascii="宋体" w:hAnsi="宋体"/>
                <w:color w:val="auto"/>
                <w:sz w:val="22"/>
                <w:highlight w:val="none"/>
              </w:rPr>
              <w:t>4.洗涤后的布类要烘干到位，熨烫平整被套、床单有裂开或有破洞应及时缝补，确保发放质量。</w:t>
            </w:r>
          </w:p>
        </w:tc>
        <w:tc>
          <w:tcPr>
            <w:tcW w:w="1087"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7" w:type="dxa"/>
            <w:noWrap/>
            <w:vAlign w:val="center"/>
          </w:tcPr>
          <w:p>
            <w:pPr>
              <w:spacing w:line="360" w:lineRule="exact"/>
              <w:jc w:val="center"/>
              <w:rPr>
                <w:rFonts w:ascii="宋体" w:hAnsi="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noWrap/>
            <w:vAlign w:val="center"/>
          </w:tcPr>
          <w:p>
            <w:pPr>
              <w:spacing w:line="360" w:lineRule="exact"/>
              <w:rPr>
                <w:rFonts w:ascii="宋体" w:hAnsi="宋体"/>
                <w:color w:val="auto"/>
                <w:sz w:val="22"/>
                <w:highlight w:val="none"/>
              </w:rPr>
            </w:pPr>
            <w:r>
              <w:rPr>
                <w:rFonts w:hint="eastAsia" w:ascii="宋体" w:hAnsi="宋体"/>
                <w:color w:val="auto"/>
                <w:sz w:val="22"/>
                <w:highlight w:val="none"/>
              </w:rPr>
              <w:t>5.工作服口袋裂开，护士裤裤头、裤裆裂开及纽扣掉了要及时缝补。</w:t>
            </w:r>
          </w:p>
        </w:tc>
        <w:tc>
          <w:tcPr>
            <w:tcW w:w="1087"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7" w:type="dxa"/>
            <w:noWrap/>
            <w:vAlign w:val="center"/>
          </w:tcPr>
          <w:p>
            <w:pPr>
              <w:spacing w:line="360" w:lineRule="exact"/>
              <w:jc w:val="center"/>
              <w:rPr>
                <w:rFonts w:ascii="宋体" w:hAnsi="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noWrap/>
            <w:vAlign w:val="center"/>
          </w:tcPr>
          <w:p>
            <w:pPr>
              <w:spacing w:line="360" w:lineRule="exact"/>
              <w:rPr>
                <w:rFonts w:ascii="宋体" w:hAnsi="宋体"/>
                <w:color w:val="auto"/>
                <w:sz w:val="22"/>
                <w:highlight w:val="none"/>
              </w:rPr>
            </w:pPr>
            <w:r>
              <w:rPr>
                <w:rFonts w:hint="eastAsia" w:ascii="宋体" w:hAnsi="宋体"/>
                <w:color w:val="auto"/>
                <w:sz w:val="22"/>
                <w:highlight w:val="none"/>
              </w:rPr>
              <w:t>6.洗衣工作人员着规定服装并保持整洁、美观、得体、佩戴工作卡。</w:t>
            </w:r>
          </w:p>
        </w:tc>
        <w:tc>
          <w:tcPr>
            <w:tcW w:w="1087"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7" w:type="dxa"/>
            <w:noWrap/>
            <w:vAlign w:val="center"/>
          </w:tcPr>
          <w:p>
            <w:pPr>
              <w:spacing w:line="360" w:lineRule="exact"/>
              <w:jc w:val="center"/>
              <w:rPr>
                <w:rFonts w:ascii="宋体" w:hAnsi="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noWrap/>
            <w:vAlign w:val="center"/>
          </w:tcPr>
          <w:p>
            <w:pPr>
              <w:spacing w:line="360" w:lineRule="exact"/>
              <w:rPr>
                <w:rFonts w:ascii="宋体" w:hAnsi="宋体"/>
                <w:color w:val="auto"/>
                <w:sz w:val="22"/>
                <w:highlight w:val="none"/>
              </w:rPr>
            </w:pPr>
            <w:r>
              <w:rPr>
                <w:rFonts w:hint="eastAsia" w:ascii="宋体" w:hAnsi="宋体"/>
                <w:color w:val="auto"/>
                <w:sz w:val="22"/>
                <w:highlight w:val="none"/>
              </w:rPr>
              <w:t>7.工作态度诚恳、积极主动、不推诿扯皮。</w:t>
            </w:r>
          </w:p>
        </w:tc>
        <w:tc>
          <w:tcPr>
            <w:tcW w:w="1087"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7" w:type="dxa"/>
            <w:noWrap/>
            <w:vAlign w:val="center"/>
          </w:tcPr>
          <w:p>
            <w:pPr>
              <w:spacing w:line="360" w:lineRule="exact"/>
              <w:jc w:val="center"/>
              <w:rPr>
                <w:rFonts w:ascii="宋体" w:hAnsi="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noWrap/>
            <w:vAlign w:val="center"/>
          </w:tcPr>
          <w:p>
            <w:pPr>
              <w:spacing w:line="360" w:lineRule="exact"/>
              <w:rPr>
                <w:rFonts w:ascii="宋体" w:hAnsi="宋体"/>
                <w:color w:val="auto"/>
                <w:sz w:val="22"/>
                <w:highlight w:val="none"/>
              </w:rPr>
            </w:pPr>
            <w:r>
              <w:rPr>
                <w:rFonts w:hint="eastAsia" w:ascii="宋体" w:hAnsi="宋体"/>
                <w:color w:val="auto"/>
                <w:sz w:val="22"/>
                <w:highlight w:val="none"/>
              </w:rPr>
              <w:t>8.形象大方，姿态端雅，服务中保持微笑，精神饱满，礼节礼貌，文明用语，精神风貌仪容符合职业规范。</w:t>
            </w:r>
          </w:p>
        </w:tc>
        <w:tc>
          <w:tcPr>
            <w:tcW w:w="1087"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7" w:type="dxa"/>
            <w:noWrap/>
            <w:vAlign w:val="center"/>
          </w:tcPr>
          <w:p>
            <w:pPr>
              <w:spacing w:line="360" w:lineRule="exact"/>
              <w:jc w:val="center"/>
              <w:rPr>
                <w:rFonts w:ascii="宋体" w:hAnsi="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noWrap/>
            <w:vAlign w:val="center"/>
          </w:tcPr>
          <w:p>
            <w:pPr>
              <w:spacing w:line="360" w:lineRule="exact"/>
              <w:rPr>
                <w:rFonts w:ascii="宋体" w:hAnsi="宋体"/>
                <w:color w:val="auto"/>
                <w:sz w:val="22"/>
                <w:highlight w:val="none"/>
              </w:rPr>
            </w:pPr>
            <w:r>
              <w:rPr>
                <w:rFonts w:hint="eastAsia" w:ascii="宋体" w:hAnsi="宋体"/>
                <w:color w:val="auto"/>
                <w:sz w:val="22"/>
                <w:highlight w:val="none"/>
              </w:rPr>
              <w:t>9.是否经常与科室联系沟通。</w:t>
            </w:r>
          </w:p>
        </w:tc>
        <w:tc>
          <w:tcPr>
            <w:tcW w:w="1087"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7" w:type="dxa"/>
            <w:noWrap/>
            <w:vAlign w:val="center"/>
          </w:tcPr>
          <w:p>
            <w:pPr>
              <w:spacing w:line="360" w:lineRule="exact"/>
              <w:jc w:val="center"/>
              <w:rPr>
                <w:rFonts w:ascii="宋体" w:hAnsi="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noWrap/>
            <w:vAlign w:val="center"/>
          </w:tcPr>
          <w:p>
            <w:pPr>
              <w:spacing w:line="360" w:lineRule="exact"/>
              <w:rPr>
                <w:rFonts w:ascii="宋体" w:hAnsi="宋体"/>
                <w:color w:val="auto"/>
                <w:sz w:val="22"/>
                <w:highlight w:val="none"/>
              </w:rPr>
            </w:pPr>
            <w:r>
              <w:rPr>
                <w:rFonts w:hint="eastAsia" w:ascii="宋体" w:hAnsi="宋体"/>
                <w:color w:val="auto"/>
                <w:sz w:val="22"/>
                <w:highlight w:val="none"/>
              </w:rPr>
              <w:t>10.是否能为科室及时解决实际问题。</w:t>
            </w:r>
          </w:p>
        </w:tc>
        <w:tc>
          <w:tcPr>
            <w:tcW w:w="1087"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7" w:type="dxa"/>
            <w:noWrap/>
            <w:vAlign w:val="center"/>
          </w:tcPr>
          <w:p>
            <w:pPr>
              <w:spacing w:line="360" w:lineRule="exact"/>
              <w:jc w:val="center"/>
              <w:rPr>
                <w:rFonts w:ascii="宋体" w:hAnsi="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36" w:type="dxa"/>
            <w:noWrap/>
            <w:vAlign w:val="center"/>
          </w:tcPr>
          <w:p>
            <w:pPr>
              <w:spacing w:line="360" w:lineRule="exact"/>
              <w:jc w:val="center"/>
              <w:rPr>
                <w:rFonts w:ascii="宋体" w:hAnsi="宋体"/>
                <w:color w:val="auto"/>
                <w:sz w:val="22"/>
                <w:highlight w:val="none"/>
              </w:rPr>
            </w:pPr>
            <w:r>
              <w:rPr>
                <w:rFonts w:hint="eastAsia" w:ascii="宋体" w:hAnsi="宋体"/>
                <w:color w:val="auto"/>
                <w:sz w:val="22"/>
                <w:highlight w:val="none"/>
              </w:rPr>
              <w:t>合计</w:t>
            </w:r>
          </w:p>
        </w:tc>
        <w:tc>
          <w:tcPr>
            <w:tcW w:w="1087"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4" w:type="dxa"/>
            <w:noWrap/>
            <w:vAlign w:val="center"/>
          </w:tcPr>
          <w:p>
            <w:pPr>
              <w:spacing w:line="360" w:lineRule="exact"/>
              <w:jc w:val="center"/>
              <w:rPr>
                <w:rFonts w:ascii="宋体" w:hAnsi="宋体"/>
                <w:color w:val="auto"/>
                <w:sz w:val="22"/>
                <w:highlight w:val="none"/>
              </w:rPr>
            </w:pPr>
          </w:p>
        </w:tc>
        <w:tc>
          <w:tcPr>
            <w:tcW w:w="877" w:type="dxa"/>
            <w:noWrap/>
            <w:vAlign w:val="center"/>
          </w:tcPr>
          <w:p>
            <w:pPr>
              <w:spacing w:line="360" w:lineRule="exact"/>
              <w:jc w:val="center"/>
              <w:rPr>
                <w:rFonts w:ascii="宋体" w:hAnsi="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trPr>
        <w:tc>
          <w:tcPr>
            <w:tcW w:w="3936" w:type="dxa"/>
            <w:noWrap/>
            <w:vAlign w:val="center"/>
          </w:tcPr>
          <w:p>
            <w:pPr>
              <w:spacing w:line="360" w:lineRule="exact"/>
              <w:jc w:val="center"/>
              <w:rPr>
                <w:rFonts w:ascii="宋体" w:hAnsi="宋体"/>
                <w:color w:val="auto"/>
                <w:sz w:val="22"/>
                <w:highlight w:val="none"/>
              </w:rPr>
            </w:pPr>
            <w:r>
              <w:rPr>
                <w:rFonts w:hint="eastAsia" w:ascii="宋体" w:hAnsi="宋体"/>
                <w:color w:val="auto"/>
                <w:sz w:val="22"/>
                <w:highlight w:val="none"/>
              </w:rPr>
              <w:t>意见及建议</w:t>
            </w:r>
          </w:p>
        </w:tc>
        <w:tc>
          <w:tcPr>
            <w:tcW w:w="4586" w:type="dxa"/>
            <w:gridSpan w:val="5"/>
            <w:noWrap/>
            <w:vAlign w:val="center"/>
          </w:tcPr>
          <w:p>
            <w:pPr>
              <w:spacing w:line="360" w:lineRule="exact"/>
              <w:jc w:val="center"/>
              <w:rPr>
                <w:rFonts w:ascii="宋体" w:hAnsi="宋体"/>
                <w:color w:val="auto"/>
                <w:sz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7" w:hRule="atLeast"/>
        </w:trPr>
        <w:tc>
          <w:tcPr>
            <w:tcW w:w="8522" w:type="dxa"/>
            <w:gridSpan w:val="6"/>
            <w:noWrap/>
            <w:vAlign w:val="center"/>
          </w:tcPr>
          <w:p>
            <w:pPr>
              <w:spacing w:line="360" w:lineRule="exact"/>
              <w:rPr>
                <w:rFonts w:ascii="宋体" w:hAnsi="宋体"/>
                <w:color w:val="auto"/>
                <w:sz w:val="22"/>
                <w:highlight w:val="none"/>
              </w:rPr>
            </w:pPr>
            <w:r>
              <w:rPr>
                <w:rFonts w:hint="eastAsia" w:ascii="宋体" w:hAnsi="宋体" w:cs="Times New Roman"/>
                <w:color w:val="auto"/>
                <w:szCs w:val="21"/>
                <w:highlight w:val="none"/>
              </w:rPr>
              <w:t>说明：本考核表为外包洗衣服务的每月考核内容，满分100分</w:t>
            </w:r>
            <w:r>
              <w:rPr>
                <w:rFonts w:hint="eastAsia" w:ascii="宋体" w:hAnsi="宋体" w:cs="Times New Roman"/>
                <w:color w:val="auto"/>
                <w:szCs w:val="21"/>
                <w:highlight w:val="none"/>
                <w:lang w:val="en-US" w:eastAsia="zh-CN"/>
              </w:rPr>
              <w:t>，最终考核评分是由各个岗位所在科室的考核平均分。</w:t>
            </w:r>
            <w:r>
              <w:rPr>
                <w:rFonts w:hint="eastAsia" w:ascii="宋体" w:hAnsi="宋体" w:cs="Times New Roman"/>
                <w:color w:val="auto"/>
                <w:szCs w:val="21"/>
                <w:highlight w:val="none"/>
              </w:rPr>
              <w:t>每月90分（含）以上属于合格；89分以下为不合格，质量评估分数在90分（含）以上可得当月全额服务费，质量评估分数在81—89分，该月仅付90％服务费。分数在70—80分，除限期整改外，该月仅付80％服务费。一年有两次少于70分的，医院有权与中标公司解除合同并追究相应责任。</w:t>
            </w:r>
          </w:p>
        </w:tc>
      </w:tr>
    </w:tbl>
    <w:p>
      <w:pPr>
        <w:overflowPunct w:val="0"/>
        <w:spacing w:line="360" w:lineRule="exact"/>
        <w:rPr>
          <w:rFonts w:ascii="宋体" w:hAnsi="宋体" w:cs="宋体"/>
          <w:color w:val="auto"/>
          <w:sz w:val="22"/>
          <w:highlight w:val="none"/>
          <w:u w:val="single"/>
        </w:rPr>
      </w:pPr>
      <w:r>
        <w:rPr>
          <w:rFonts w:hint="eastAsia" w:ascii="宋体" w:hAnsi="宋体" w:cs="宋体"/>
          <w:color w:val="auto"/>
          <w:sz w:val="22"/>
          <w:highlight w:val="none"/>
        </w:rPr>
        <w:t>签名：</w:t>
      </w:r>
    </w:p>
    <w:p>
      <w:pPr>
        <w:ind w:firstLine="422" w:firstLineChars="200"/>
        <w:rPr>
          <w:rFonts w:ascii="宋体" w:hAnsi="宋体" w:cs="Times New Roman"/>
          <w:b/>
          <w:bCs/>
          <w:color w:val="auto"/>
          <w:szCs w:val="21"/>
          <w:highlight w:val="none"/>
        </w:rPr>
      </w:pPr>
    </w:p>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12485"/>
      <w:bookmarkStart w:id="187" w:name="_Toc21448"/>
    </w:p>
    <w:p>
      <w:pPr>
        <w:rPr>
          <w:color w:val="auto"/>
          <w:highlight w:val="none"/>
        </w:rPr>
      </w:pPr>
    </w:p>
    <w:p>
      <w:pPr>
        <w:pStyle w:val="2"/>
        <w:rPr>
          <w:color w:val="auto"/>
          <w:highlight w:val="none"/>
        </w:rPr>
      </w:pPr>
    </w:p>
    <w:p>
      <w:pPr>
        <w:pStyle w:val="4"/>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21155"/>
      <w:bookmarkStart w:id="190" w:name="_Toc13430"/>
      <w:bookmarkStart w:id="191" w:name="_Toc1534"/>
    </w:p>
    <w:p>
      <w:pPr>
        <w:pStyle w:val="5"/>
        <w:spacing w:line="240" w:lineRule="auto"/>
        <w:jc w:val="center"/>
        <w:rPr>
          <w:rFonts w:ascii="宋体" w:hAnsi="宋体" w:cs="宋体"/>
          <w:color w:val="auto"/>
          <w:highlight w:val="none"/>
        </w:rPr>
      </w:pPr>
      <w:bookmarkStart w:id="192" w:name="_Toc19575"/>
      <w:bookmarkStart w:id="193" w:name="_Toc16730"/>
      <w:bookmarkStart w:id="194" w:name="_Toc888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0"/>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0"/>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0"/>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0"/>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0"/>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0"/>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0"/>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0"/>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1、凡与本合同有关而引起的一切争议，甲乙双方应首先通过友好协商解决，如经协商后仍不能达成协议时，任何一方可以向甲方所在地人民法院提出诉讼。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pStyle w:val="2"/>
        <w:rPr>
          <w:rFonts w:cstheme="minorBidi"/>
          <w:color w:val="auto"/>
          <w:sz w:val="21"/>
          <w:szCs w:val="21"/>
          <w:highlight w:val="none"/>
          <w:lang w:val="en-US" w:bidi="ar-SA"/>
        </w:rPr>
      </w:pPr>
      <w:r>
        <w:rPr>
          <w:rFonts w:hint="eastAsia" w:cstheme="minorBidi"/>
          <w:color w:val="auto"/>
          <w:sz w:val="21"/>
          <w:szCs w:val="21"/>
          <w:highlight w:val="none"/>
          <w:lang w:val="en-US" w:bidi="ar-SA"/>
        </w:rPr>
        <w:t>以下无正文</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4"/>
        <w:spacing w:before="0" w:after="0" w:line="240" w:lineRule="auto"/>
        <w:rPr>
          <w:color w:val="auto"/>
          <w:sz w:val="28"/>
          <w:szCs w:val="28"/>
          <w:highlight w:val="none"/>
        </w:rPr>
      </w:pPr>
      <w:bookmarkStart w:id="198" w:name="_Toc23749"/>
      <w:bookmarkStart w:id="199" w:name="_Toc31587"/>
      <w:bookmarkStart w:id="200" w:name="_Toc1478"/>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5"/>
        <w:rPr>
          <w:color w:val="auto"/>
          <w:highlight w:val="none"/>
        </w:rPr>
      </w:pPr>
      <w:bookmarkStart w:id="201" w:name="_Toc6790"/>
      <w:bookmarkStart w:id="202" w:name="_Toc26830"/>
      <w:bookmarkStart w:id="203" w:name="_Toc5794"/>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rPr>
          <w:color w:val="auto"/>
          <w:highlight w:val="none"/>
        </w:rPr>
      </w:pPr>
      <w:bookmarkStart w:id="204" w:name="_Toc25502"/>
      <w:bookmarkStart w:id="205" w:name="_Toc5670"/>
      <w:bookmarkStart w:id="206" w:name="_Toc18893"/>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2"/>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noWrap/>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noWrap/>
            <w:vAlign w:val="center"/>
          </w:tcPr>
          <w:p>
            <w:pPr>
              <w:pStyle w:val="52"/>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29"/>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ign w:val="center"/>
          </w:tcPr>
          <w:p>
            <w:pPr>
              <w:pStyle w:val="16"/>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ign w:val="center"/>
          </w:tcPr>
          <w:p>
            <w:pPr>
              <w:pStyle w:val="29"/>
              <w:jc w:val="both"/>
              <w:rPr>
                <w:rFonts w:ascii="宋体" w:hAnsi="宋体" w:cs="宋体"/>
                <w:color w:val="auto"/>
                <w:szCs w:val="21"/>
                <w:highlight w:val="none"/>
              </w:rPr>
            </w:pPr>
          </w:p>
        </w:tc>
        <w:tc>
          <w:tcPr>
            <w:tcW w:w="5028" w:type="dxa"/>
            <w:noWrap/>
            <w:vAlign w:val="center"/>
          </w:tcPr>
          <w:p>
            <w:pPr>
              <w:pStyle w:val="29"/>
              <w:jc w:val="both"/>
              <w:rPr>
                <w:rFonts w:ascii="宋体" w:hAnsi="宋体" w:cs="宋体"/>
                <w:color w:val="auto"/>
                <w:szCs w:val="21"/>
                <w:highlight w:val="none"/>
              </w:rPr>
            </w:pPr>
          </w:p>
        </w:tc>
        <w:tc>
          <w:tcPr>
            <w:tcW w:w="2126" w:type="dxa"/>
            <w:noWrap/>
            <w:vAlign w:val="center"/>
          </w:tcPr>
          <w:p>
            <w:pPr>
              <w:pStyle w:val="16"/>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2"/>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5"/>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pPr>
        <w:pStyle w:val="5"/>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pPr>
        <w:rPr>
          <w:color w:val="auto"/>
          <w:highlight w:val="none"/>
        </w:rPr>
      </w:pPr>
    </w:p>
    <w:tbl>
      <w:tblPr>
        <w:tblStyle w:val="22"/>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hint="eastAsia" w:ascii="宋体" w:hAnsi="宋体" w:eastAsia="宋体"/>
                <w:color w:val="auto"/>
                <w:szCs w:val="21"/>
                <w:highlight w:val="none"/>
                <w:lang w:eastAsia="zh-CN"/>
              </w:rPr>
            </w:pPr>
            <w:r>
              <w:rPr>
                <w:rFonts w:hint="eastAsia" w:ascii="宋体" w:hAnsi="宋体"/>
                <w:color w:val="auto"/>
                <w:szCs w:val="21"/>
                <w:highlight w:val="none"/>
              </w:rPr>
              <w:t>投标单价</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元/件</w:t>
            </w:r>
            <w:r>
              <w:rPr>
                <w:rFonts w:hint="eastAsia" w:ascii="宋体" w:hAnsi="宋体"/>
                <w:color w:val="auto"/>
                <w:szCs w:val="21"/>
                <w:highlight w:val="none"/>
                <w:lang w:eastAsia="zh-CN"/>
              </w:rPr>
              <w:t>）</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2、此表应按投标人须知的规定密封标记并与《授权委托书》、《投标保证金汇入情况说明》一同密封单独提交。</w:t>
      </w:r>
    </w:p>
    <w:p>
      <w:pPr>
        <w:rPr>
          <w:color w:val="auto"/>
          <w:highlight w:val="none"/>
        </w:rPr>
      </w:pPr>
    </w:p>
    <w:p>
      <w:pPr>
        <w:pStyle w:val="2"/>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5"/>
        <w:jc w:val="center"/>
        <w:rPr>
          <w:color w:val="auto"/>
          <w:highlight w:val="none"/>
        </w:rPr>
      </w:pPr>
      <w:bookmarkStart w:id="212" w:name="_Toc31172"/>
      <w:bookmarkStart w:id="213" w:name="_Toc31062"/>
      <w:r>
        <w:rPr>
          <w:rFonts w:hint="eastAsia"/>
          <w:color w:val="auto"/>
          <w:highlight w:val="none"/>
        </w:rPr>
        <w:t>二、报价明细表</w:t>
      </w:r>
      <w:bookmarkEnd w:id="212"/>
      <w:bookmarkEnd w:id="213"/>
    </w:p>
    <w:p>
      <w:pPr>
        <w:pStyle w:val="29"/>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29"/>
        <w:rPr>
          <w:rFonts w:ascii="黑体" w:eastAsia="黑体"/>
          <w:color w:val="auto"/>
          <w:sz w:val="32"/>
          <w:szCs w:val="32"/>
          <w:highlight w:val="none"/>
        </w:rPr>
      </w:pPr>
    </w:p>
    <w:p>
      <w:pPr>
        <w:pStyle w:val="29"/>
        <w:rPr>
          <w:rFonts w:ascii="黑体" w:eastAsia="黑体"/>
          <w:color w:val="auto"/>
          <w:sz w:val="32"/>
          <w:szCs w:val="32"/>
          <w:highlight w:val="none"/>
        </w:rPr>
      </w:pPr>
    </w:p>
    <w:p>
      <w:pPr>
        <w:pStyle w:val="5"/>
        <w:jc w:val="center"/>
        <w:rPr>
          <w:color w:val="auto"/>
          <w:highlight w:val="none"/>
        </w:rPr>
      </w:pPr>
      <w:bookmarkStart w:id="214" w:name="_Toc23355"/>
      <w:bookmarkStart w:id="215" w:name="_Toc20974"/>
      <w:r>
        <w:rPr>
          <w:rFonts w:hint="eastAsia"/>
          <w:color w:val="auto"/>
          <w:highlight w:val="none"/>
        </w:rPr>
        <w:t>三、小型或微型企业（货物/服务/承担的工程）明细表</w:t>
      </w:r>
      <w:bookmarkEnd w:id="214"/>
      <w:bookmarkEnd w:id="215"/>
    </w:p>
    <w:tbl>
      <w:tblPr>
        <w:tblStyle w:val="22"/>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32"/>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ind w:firstLine="422" w:firstLineChars="200"/>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2"/>
          <w:rFonts w:hint="eastAsia" w:ascii="宋体" w:hAnsi="宋体" w:eastAsia="宋体" w:cs="宋体"/>
          <w:b/>
          <w:color w:val="auto"/>
          <w:sz w:val="21"/>
          <w:szCs w:val="21"/>
          <w:highlight w:val="none"/>
        </w:rPr>
        <w:t>；</w:t>
      </w:r>
    </w:p>
    <w:p>
      <w:pPr>
        <w:pStyle w:val="32"/>
        <w:ind w:firstLine="422"/>
        <w:rPr>
          <w:rFonts w:ascii="黑体" w:eastAsia="黑体"/>
          <w:color w:val="auto"/>
          <w:sz w:val="32"/>
          <w:szCs w:val="32"/>
          <w:highlight w:val="none"/>
        </w:rPr>
      </w:pPr>
      <w:r>
        <w:rPr>
          <w:rStyle w:val="42"/>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5"/>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29"/>
        <w:rPr>
          <w:color w:val="auto"/>
          <w:highlight w:val="none"/>
        </w:rPr>
      </w:pPr>
    </w:p>
    <w:p>
      <w:pPr>
        <w:tabs>
          <w:tab w:val="left" w:pos="284"/>
        </w:tabs>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注：</w:t>
      </w:r>
    </w:p>
    <w:p>
      <w:pPr>
        <w:tabs>
          <w:tab w:val="left" w:pos="284"/>
        </w:tabs>
        <w:ind w:firstLine="422" w:firstLineChars="200"/>
        <w:rPr>
          <w:rStyle w:val="42"/>
          <w:rFonts w:ascii="宋体" w:hAnsi="宋体" w:eastAsia="宋体" w:cs="宋体"/>
          <w:b/>
          <w:color w:val="auto"/>
          <w:sz w:val="21"/>
          <w:szCs w:val="21"/>
          <w:highlight w:val="none"/>
        </w:rPr>
      </w:pPr>
      <w:r>
        <w:rPr>
          <w:rStyle w:val="42"/>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2"/>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5"/>
        <w:jc w:val="center"/>
        <w:rPr>
          <w:color w:val="auto"/>
          <w:highlight w:val="none"/>
        </w:rPr>
      </w:pPr>
      <w:bookmarkStart w:id="218" w:name="_Toc17482"/>
      <w:bookmarkStart w:id="219" w:name="_Toc10853"/>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wordWrap w:val="0"/>
        <w:ind w:left="0" w:firstLine="480"/>
        <w:jc w:val="right"/>
        <w:rPr>
          <w:rFonts w:asciiTheme="minorEastAsia" w:hAnsiTheme="minorEastAsia" w:eastAsiaTheme="minorEastAsia" w:cstheme="minorEastAsia"/>
          <w:color w:val="auto"/>
          <w:sz w:val="21"/>
          <w:szCs w:val="21"/>
          <w:highlight w:val="none"/>
          <w:lang w:val="en-US"/>
        </w:rPr>
      </w:pP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28"/>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2"/>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2"/>
        <w:ind w:left="0" w:firstLine="480"/>
        <w:rPr>
          <w:rFonts w:asciiTheme="minorEastAsia" w:hAnsiTheme="minorEastAsia" w:eastAsiaTheme="minorEastAsia" w:cstheme="minorEastAsia"/>
          <w:color w:val="auto"/>
          <w:sz w:val="21"/>
          <w:szCs w:val="21"/>
          <w:highlight w:val="none"/>
          <w:lang w:val="en-US"/>
        </w:rPr>
      </w:pPr>
    </w:p>
    <w:p>
      <w:pPr>
        <w:pStyle w:val="2"/>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2"/>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单位名称（盖章）：</w:t>
      </w:r>
      <w:bookmarkStart w:id="222" w:name="_Toc508898066"/>
      <w:bookmarkStart w:id="223" w:name="_Toc508958703"/>
      <w:bookmarkStart w:id="224" w:name="_Toc30277"/>
      <w:bookmarkStart w:id="225" w:name="_Toc509844825"/>
      <w:bookmarkStart w:id="226" w:name="_Toc17761"/>
      <w:bookmarkStart w:id="227" w:name="_Toc509927455"/>
      <w:bookmarkStart w:id="228" w:name="_Toc22970"/>
      <w:bookmarkStart w:id="229" w:name="_Toc30247"/>
      <w:bookmarkStart w:id="230" w:name="_Toc508960153"/>
      <w:bookmarkStart w:id="231" w:name="_Toc509479530"/>
      <w:bookmarkStart w:id="232" w:name="_Toc20910"/>
      <w:bookmarkStart w:id="233" w:name="_Toc510171693"/>
    </w:p>
    <w:p>
      <w:pPr>
        <w:jc w:val="center"/>
        <w:rPr>
          <w:rFonts w:ascii="宋体" w:hAnsi="宋体"/>
          <w:color w:val="auto"/>
          <w:szCs w:val="21"/>
          <w:highlight w:val="none"/>
        </w:rPr>
      </w:pPr>
      <w:r>
        <w:rPr>
          <w:rFonts w:hint="eastAsia" w:ascii="宋体" w:hAnsi="宋体"/>
          <w:color w:val="auto"/>
          <w:szCs w:val="21"/>
          <w:highlight w:val="none"/>
        </w:rPr>
        <w:t>日  期：</w:t>
      </w:r>
      <w:bookmarkEnd w:id="222"/>
      <w:bookmarkEnd w:id="223"/>
      <w:bookmarkEnd w:id="224"/>
      <w:bookmarkEnd w:id="225"/>
      <w:bookmarkEnd w:id="226"/>
      <w:bookmarkEnd w:id="227"/>
      <w:bookmarkEnd w:id="228"/>
      <w:bookmarkEnd w:id="229"/>
      <w:bookmarkEnd w:id="230"/>
      <w:bookmarkEnd w:id="231"/>
      <w:bookmarkEnd w:id="232"/>
      <w:bookmarkEnd w:id="233"/>
    </w:p>
    <w:p>
      <w:pPr>
        <w:pStyle w:val="2"/>
        <w:rPr>
          <w:color w:val="auto"/>
          <w:highlight w:val="none"/>
        </w:rPr>
      </w:pPr>
    </w:p>
    <w:p>
      <w:pPr>
        <w:ind w:firstLine="420" w:firstLineChars="200"/>
        <w:rPr>
          <w:rFonts w:ascii="宋体" w:hAnsi="宋体"/>
          <w:color w:val="auto"/>
          <w:szCs w:val="21"/>
          <w:highlight w:val="none"/>
        </w:rPr>
      </w:pPr>
      <w:bookmarkStart w:id="234" w:name="_Toc508960154"/>
      <w:bookmarkStart w:id="235" w:name="_Toc509479531"/>
      <w:bookmarkStart w:id="236" w:name="_Toc5447"/>
      <w:bookmarkStart w:id="237" w:name="_Toc31520"/>
      <w:bookmarkStart w:id="238" w:name="_Toc509927456"/>
      <w:bookmarkStart w:id="239" w:name="_Toc26216"/>
      <w:bookmarkStart w:id="240" w:name="_Toc508898067"/>
      <w:bookmarkStart w:id="241" w:name="_Toc508958704"/>
      <w:bookmarkStart w:id="242" w:name="_Toc28527"/>
      <w:bookmarkStart w:id="243" w:name="_Toc21053"/>
      <w:bookmarkStart w:id="244" w:name="_Toc510171694"/>
      <w:bookmarkStart w:id="245" w:name="_Toc509844826"/>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28126"/>
      <w:bookmarkStart w:id="247" w:name="_Toc14653"/>
      <w:bookmarkStart w:id="248" w:name="_Toc510171695"/>
      <w:bookmarkStart w:id="249" w:name="_Toc508960155"/>
      <w:bookmarkStart w:id="250" w:name="_Toc24848"/>
      <w:bookmarkStart w:id="251" w:name="_Toc509844827"/>
      <w:bookmarkStart w:id="252" w:name="_Toc28626"/>
      <w:bookmarkStart w:id="253" w:name="_Toc509927457"/>
      <w:bookmarkStart w:id="254" w:name="_Toc508958705"/>
      <w:bookmarkStart w:id="255" w:name="_Toc9148"/>
      <w:bookmarkStart w:id="256" w:name="_Toc509479532"/>
      <w:bookmarkStart w:id="257" w:name="_Toc508898068"/>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508958706"/>
      <w:bookmarkStart w:id="259" w:name="_Toc28686"/>
      <w:bookmarkStart w:id="260" w:name="_Toc509927458"/>
      <w:bookmarkStart w:id="261" w:name="_Toc9837"/>
      <w:bookmarkStart w:id="262" w:name="_Toc508960156"/>
      <w:bookmarkStart w:id="263" w:name="_Toc509844828"/>
      <w:bookmarkStart w:id="264" w:name="_Toc508898069"/>
      <w:bookmarkStart w:id="265" w:name="_Toc28044"/>
      <w:bookmarkStart w:id="266" w:name="_Toc510171696"/>
      <w:bookmarkStart w:id="267" w:name="_Toc22981"/>
      <w:bookmarkStart w:id="268" w:name="_Toc7858"/>
      <w:bookmarkStart w:id="269" w:name="_Toc509479533"/>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08898070"/>
      <w:bookmarkStart w:id="271" w:name="_Toc509479534"/>
      <w:bookmarkStart w:id="272" w:name="_Toc18843"/>
      <w:bookmarkStart w:id="273" w:name="_Toc509844829"/>
      <w:bookmarkStart w:id="274" w:name="_Toc5289"/>
      <w:bookmarkStart w:id="275" w:name="_Toc508958707"/>
      <w:bookmarkStart w:id="276" w:name="_Toc510171697"/>
      <w:bookmarkStart w:id="277" w:name="_Toc508960157"/>
      <w:bookmarkStart w:id="278" w:name="_Toc509927459"/>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5"/>
        <w:jc w:val="center"/>
        <w:rPr>
          <w:color w:val="auto"/>
          <w:highlight w:val="none"/>
        </w:rPr>
      </w:pPr>
      <w:bookmarkStart w:id="279" w:name="_Toc23948"/>
      <w:bookmarkStart w:id="280" w:name="_Toc6471"/>
      <w:r>
        <w:rPr>
          <w:rFonts w:hint="eastAsia"/>
          <w:color w:val="auto"/>
          <w:highlight w:val="none"/>
        </w:rPr>
        <w:t>第二章商务文件</w:t>
      </w:r>
      <w:bookmarkEnd w:id="279"/>
      <w:bookmarkEnd w:id="280"/>
    </w:p>
    <w:bookmarkEnd w:id="209"/>
    <w:p>
      <w:pPr>
        <w:pStyle w:val="5"/>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在此提交的投标文件，正本套，副本套，唱标信封及电子文件各1份。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我方保证遵守投标人须知中关于没收投标保证金的规定。</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5"/>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35"/>
        <w:spacing w:line="500" w:lineRule="atLeast"/>
        <w:ind w:firstLine="3517" w:firstLineChars="1675"/>
        <w:rPr>
          <w:rFonts w:ascii="宋体" w:eastAsia="宋体"/>
          <w:color w:val="auto"/>
          <w:sz w:val="21"/>
          <w:szCs w:val="21"/>
          <w:highlight w:val="none"/>
        </w:rPr>
      </w:pPr>
    </w:p>
    <w:p>
      <w:pPr>
        <w:pStyle w:val="35"/>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sz w:val="21"/>
          <w:szCs w:val="21"/>
          <w:highlight w:val="none"/>
        </w:rPr>
      </w:pPr>
    </w:p>
    <w:p>
      <w:pPr>
        <w:rPr>
          <w:rFonts w:ascii="宋体" w:hAnsi="宋体"/>
          <w:color w:val="auto"/>
          <w:szCs w:val="21"/>
          <w:highlight w:val="none"/>
        </w:rPr>
      </w:pPr>
    </w:p>
    <w:p>
      <w:pPr>
        <w:pStyle w:val="2"/>
        <w:rPr>
          <w:color w:val="auto"/>
          <w:highlight w:val="none"/>
        </w:rPr>
      </w:pPr>
    </w:p>
    <w:p>
      <w:pPr>
        <w:rPr>
          <w:color w:val="auto"/>
          <w:highlight w:val="none"/>
        </w:rPr>
      </w:pPr>
      <w:bookmarkStart w:id="285" w:name="_Toc16412"/>
    </w:p>
    <w:p>
      <w:pPr>
        <w:pStyle w:val="5"/>
        <w:jc w:val="center"/>
        <w:rPr>
          <w:color w:val="auto"/>
          <w:highlight w:val="none"/>
        </w:rPr>
      </w:pPr>
      <w:bookmarkStart w:id="286" w:name="_Toc21273"/>
      <w:bookmarkStart w:id="287" w:name="_Toc32742"/>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5"/>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5"/>
        <w:spacing w:line="420" w:lineRule="atLeast"/>
        <w:ind w:firstLine="433"/>
        <w:rPr>
          <w:rFonts w:ascii="宋体" w:eastAsia="宋体"/>
          <w:color w:val="auto"/>
          <w:sz w:val="21"/>
          <w:szCs w:val="21"/>
          <w:highlight w:val="none"/>
        </w:rPr>
      </w:pPr>
    </w:p>
    <w:p>
      <w:pPr>
        <w:pStyle w:val="35"/>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35"/>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5"/>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5"/>
        <w:jc w:val="center"/>
        <w:rPr>
          <w:color w:val="auto"/>
          <w:highlight w:val="none"/>
        </w:rPr>
      </w:pPr>
      <w:bookmarkStart w:id="290" w:name="_Toc5918"/>
      <w:bookmarkStart w:id="291" w:name="_Toc5626"/>
      <w:r>
        <w:rPr>
          <w:rFonts w:hint="eastAsia"/>
          <w:color w:val="auto"/>
          <w:highlight w:val="none"/>
        </w:rPr>
        <w:t>五、法定代表人授权书</w:t>
      </w:r>
      <w:bookmarkEnd w:id="290"/>
      <w:bookmarkEnd w:id="291"/>
    </w:p>
    <w:p>
      <w:pPr>
        <w:pStyle w:val="35"/>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35"/>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35"/>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35"/>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2"/>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5"/>
        <w:jc w:val="center"/>
        <w:rPr>
          <w:color w:val="auto"/>
          <w:highlight w:val="none"/>
        </w:rPr>
      </w:pPr>
      <w:bookmarkStart w:id="293" w:name="_Toc24013"/>
      <w:bookmarkStart w:id="294" w:name="_Toc18562"/>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2"/>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35"/>
        <w:spacing w:line="500" w:lineRule="atLeast"/>
        <w:ind w:firstLine="433"/>
        <w:rPr>
          <w:rFonts w:ascii="宋体" w:eastAsia="宋体"/>
          <w:color w:val="auto"/>
          <w:sz w:val="21"/>
          <w:szCs w:val="21"/>
          <w:highlight w:val="none"/>
        </w:rPr>
      </w:pPr>
    </w:p>
    <w:p>
      <w:pPr>
        <w:pStyle w:val="5"/>
        <w:jc w:val="center"/>
        <w:rPr>
          <w:color w:val="auto"/>
          <w:highlight w:val="none"/>
        </w:rPr>
      </w:pPr>
      <w:bookmarkStart w:id="295" w:name="_Toc17470"/>
      <w:bookmarkStart w:id="296" w:name="_Toc5919"/>
      <w:bookmarkStart w:id="297" w:name="_Toc29995"/>
      <w:bookmarkStart w:id="298" w:name="_Toc4926"/>
      <w:bookmarkStart w:id="299" w:name="_Toc1511"/>
      <w:bookmarkStart w:id="300" w:name="_Toc24210"/>
      <w:bookmarkStart w:id="301" w:name="_Toc28067"/>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5"/>
        <w:jc w:val="center"/>
        <w:rPr>
          <w:color w:val="auto"/>
          <w:highlight w:val="none"/>
        </w:rPr>
      </w:pPr>
      <w:bookmarkStart w:id="302" w:name="_Toc29439"/>
      <w:bookmarkStart w:id="303" w:name="_Toc21638"/>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pStyle w:val="5"/>
        <w:jc w:val="center"/>
        <w:rPr>
          <w:color w:val="auto"/>
          <w:highlight w:val="none"/>
        </w:rPr>
      </w:pPr>
      <w:bookmarkStart w:id="304" w:name="_Toc14263"/>
      <w:bookmarkStart w:id="305" w:name="_Toc23341"/>
      <w:r>
        <w:rPr>
          <w:rFonts w:hint="eastAsia"/>
          <w:color w:val="auto"/>
          <w:highlight w:val="none"/>
        </w:rPr>
        <w:t>九、承诺书</w:t>
      </w:r>
      <w:bookmarkEnd w:id="304"/>
      <w:bookmarkEnd w:id="305"/>
    </w:p>
    <w:p>
      <w:pPr>
        <w:pStyle w:val="35"/>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35"/>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（项目名称）</w:t>
      </w:r>
      <w:r>
        <w:rPr>
          <w:rFonts w:hint="eastAsia" w:ascii="宋体" w:eastAsia="宋体" w:cs="宋体"/>
          <w:color w:val="auto"/>
          <w:sz w:val="21"/>
          <w:szCs w:val="21"/>
          <w:highlight w:val="none"/>
        </w:rPr>
        <w:t>项目（项目编号：）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35"/>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5"/>
        <w:jc w:val="center"/>
        <w:rPr>
          <w:color w:val="auto"/>
          <w:highlight w:val="none"/>
        </w:rPr>
      </w:pPr>
      <w:bookmarkStart w:id="307" w:name="_Toc13955"/>
      <w:bookmarkStart w:id="308" w:name="_Toc13653"/>
      <w:r>
        <w:rPr>
          <w:rFonts w:hint="eastAsia"/>
          <w:color w:val="auto"/>
          <w:highlight w:val="none"/>
        </w:rPr>
        <w:t>十、招标代理服务费承诺书</w:t>
      </w:r>
      <w:bookmarkEnd w:id="307"/>
      <w:bookmarkEnd w:id="308"/>
    </w:p>
    <w:p>
      <w:pPr>
        <w:pStyle w:val="35"/>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9"/>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5"/>
        <w:jc w:val="center"/>
        <w:rPr>
          <w:color w:val="auto"/>
          <w:highlight w:val="none"/>
        </w:rPr>
      </w:pPr>
      <w:bookmarkStart w:id="309" w:name="_Toc12598"/>
      <w:bookmarkStart w:id="310" w:name="_Toc1975"/>
      <w:r>
        <w:rPr>
          <w:rFonts w:hint="eastAsia"/>
          <w:color w:val="auto"/>
          <w:highlight w:val="none"/>
        </w:rPr>
        <w:t>十一、商务条款偏离表</w:t>
      </w:r>
      <w:bookmarkEnd w:id="309"/>
      <w:bookmarkEnd w:id="310"/>
    </w:p>
    <w:tbl>
      <w:tblPr>
        <w:tblStyle w:val="22"/>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5"/>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2"/>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noWrap/>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ign w:val="center"/>
          </w:tcPr>
          <w:p>
            <w:pPr>
              <w:jc w:val="center"/>
              <w:rPr>
                <w:rFonts w:ascii="宋体" w:hAnsi="宋体" w:cs="宋体"/>
                <w:bCs/>
                <w:color w:val="auto"/>
                <w:szCs w:val="21"/>
                <w:highlight w:val="none"/>
              </w:rPr>
            </w:pPr>
          </w:p>
        </w:tc>
        <w:tc>
          <w:tcPr>
            <w:tcW w:w="1140" w:type="dxa"/>
            <w:tcBorders>
              <w:tl2br w:val="nil"/>
              <w:tr2bl w:val="nil"/>
            </w:tcBorders>
            <w:noWrap/>
            <w:vAlign w:val="center"/>
          </w:tcPr>
          <w:p>
            <w:pPr>
              <w:rPr>
                <w:rFonts w:ascii="宋体" w:hAnsi="宋体" w:cs="宋体"/>
                <w:bCs/>
                <w:color w:val="auto"/>
                <w:szCs w:val="21"/>
                <w:highlight w:val="none"/>
              </w:rPr>
            </w:pPr>
          </w:p>
        </w:tc>
        <w:tc>
          <w:tcPr>
            <w:tcW w:w="1178" w:type="dxa"/>
            <w:tcBorders>
              <w:tl2br w:val="nil"/>
              <w:tr2bl w:val="nil"/>
            </w:tcBorders>
            <w:noWrap/>
            <w:vAlign w:val="center"/>
          </w:tcPr>
          <w:p>
            <w:pPr>
              <w:rPr>
                <w:rFonts w:ascii="宋体" w:hAnsi="宋体" w:cs="宋体"/>
                <w:bCs/>
                <w:color w:val="auto"/>
                <w:szCs w:val="21"/>
                <w:highlight w:val="none"/>
              </w:rPr>
            </w:pPr>
          </w:p>
        </w:tc>
        <w:tc>
          <w:tcPr>
            <w:tcW w:w="1365" w:type="dxa"/>
            <w:tcBorders>
              <w:tl2br w:val="nil"/>
              <w:tr2bl w:val="nil"/>
            </w:tcBorders>
            <w:noWrap/>
            <w:vAlign w:val="center"/>
          </w:tcPr>
          <w:p>
            <w:pPr>
              <w:rPr>
                <w:rFonts w:ascii="宋体" w:hAnsi="宋体" w:cs="宋体"/>
                <w:bCs/>
                <w:color w:val="auto"/>
                <w:szCs w:val="21"/>
                <w:highlight w:val="none"/>
              </w:rPr>
            </w:pPr>
          </w:p>
        </w:tc>
        <w:tc>
          <w:tcPr>
            <w:tcW w:w="1815" w:type="dxa"/>
            <w:tcBorders>
              <w:tl2br w:val="nil"/>
              <w:tr2bl w:val="nil"/>
            </w:tcBorders>
            <w:noWrap/>
            <w:vAlign w:val="center"/>
          </w:tcPr>
          <w:p>
            <w:pPr>
              <w:rPr>
                <w:rFonts w:ascii="宋体" w:hAnsi="宋体" w:cs="宋体"/>
                <w:bCs/>
                <w:color w:val="auto"/>
                <w:szCs w:val="21"/>
                <w:highlight w:val="none"/>
              </w:rPr>
            </w:pPr>
          </w:p>
        </w:tc>
        <w:tc>
          <w:tcPr>
            <w:tcW w:w="1207" w:type="dxa"/>
            <w:tcBorders>
              <w:tl2br w:val="nil"/>
              <w:tr2bl w:val="nil"/>
            </w:tcBorders>
            <w:noWrap/>
            <w:vAlign w:val="center"/>
          </w:tcPr>
          <w:p>
            <w:pPr>
              <w:rPr>
                <w:rFonts w:ascii="宋体" w:hAnsi="宋体" w:cs="宋体"/>
                <w:bCs/>
                <w:color w:val="auto"/>
                <w:szCs w:val="21"/>
                <w:highlight w:val="none"/>
              </w:rPr>
            </w:pPr>
          </w:p>
        </w:tc>
        <w:tc>
          <w:tcPr>
            <w:tcW w:w="765" w:type="dxa"/>
            <w:tcBorders>
              <w:tl2br w:val="nil"/>
              <w:tr2bl w:val="nil"/>
            </w:tcBorders>
            <w:noWrap/>
            <w:vAlign w:val="center"/>
          </w:tcPr>
          <w:p>
            <w:pPr>
              <w:rPr>
                <w:rFonts w:ascii="宋体" w:hAnsi="宋体" w:cs="宋体"/>
                <w:bCs/>
                <w:color w:val="auto"/>
                <w:szCs w:val="21"/>
                <w:highlight w:val="none"/>
              </w:rPr>
            </w:pPr>
          </w:p>
        </w:tc>
      </w:tr>
    </w:tbl>
    <w:p>
      <w:pPr>
        <w:pStyle w:val="32"/>
        <w:rPr>
          <w:rFonts w:ascii="宋体" w:hAnsi="宋体"/>
          <w:color w:val="auto"/>
          <w:szCs w:val="21"/>
          <w:highlight w:val="none"/>
        </w:rPr>
      </w:pPr>
    </w:p>
    <w:p>
      <w:pPr>
        <w:pStyle w:val="32"/>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pStyle w:val="2"/>
        <w:ind w:left="0"/>
        <w:rPr>
          <w:color w:val="auto"/>
          <w:highlight w:val="none"/>
        </w:rPr>
      </w:pPr>
    </w:p>
    <w:p>
      <w:pPr>
        <w:pStyle w:val="5"/>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pPr>
        <w:pStyle w:val="5"/>
        <w:jc w:val="center"/>
        <w:rPr>
          <w:color w:val="auto"/>
          <w:highlight w:val="none"/>
        </w:rPr>
      </w:pPr>
      <w:bookmarkStart w:id="316" w:name="_Toc7092"/>
      <w:bookmarkStart w:id="317" w:name="_Toc13097"/>
      <w:r>
        <w:rPr>
          <w:rFonts w:hint="eastAsia"/>
          <w:color w:val="auto"/>
          <w:highlight w:val="none"/>
        </w:rPr>
        <w:t>一、技术规格偏离表</w:t>
      </w:r>
      <w:bookmarkEnd w:id="316"/>
      <w:bookmarkEnd w:id="317"/>
    </w:p>
    <w:tbl>
      <w:tblPr>
        <w:tblStyle w:val="22"/>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4464"/>
      <w:bookmarkStart w:id="320" w:name="_Toc4827"/>
      <w:bookmarkStart w:id="321" w:name="_Toc1274"/>
      <w:bookmarkStart w:id="322" w:name="_Toc18668"/>
      <w:bookmarkStart w:id="323" w:name="_Toc6080"/>
      <w:bookmarkStart w:id="324" w:name="_Toc26078"/>
    </w:p>
    <w:p>
      <w:pPr>
        <w:pStyle w:val="5"/>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27" w:name="_Toc27079"/>
            <w:bookmarkStart w:id="328" w:name="_Toc29560"/>
            <w:bookmarkStart w:id="329" w:name="_Toc29642"/>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30" w:name="_Toc12049"/>
            <w:bookmarkStart w:id="331" w:name="_Toc22448"/>
            <w:bookmarkStart w:id="332" w:name="_Toc14815"/>
            <w:bookmarkStart w:id="333" w:name="_Toc4304"/>
            <w:bookmarkStart w:id="334" w:name="_Toc16872"/>
            <w:bookmarkStart w:id="335" w:name="_Toc15903"/>
            <w:bookmarkStart w:id="336" w:name="_Toc10045"/>
            <w:bookmarkStart w:id="337" w:name="_Toc21739"/>
            <w:bookmarkStart w:id="338" w:name="_Toc27090"/>
            <w:bookmarkStart w:id="339" w:name="_Toc15368"/>
            <w:bookmarkStart w:id="340" w:name="_Toc1016"/>
            <w:bookmarkStart w:id="341" w:name="_Toc2700"/>
            <w:bookmarkStart w:id="342" w:name="_Toc26124"/>
            <w:bookmarkStart w:id="343" w:name="_Toc32531"/>
            <w:bookmarkStart w:id="344" w:name="_Toc8312"/>
            <w:bookmarkStart w:id="345" w:name="_Toc21809"/>
            <w:bookmarkStart w:id="346" w:name="_Toc22879"/>
            <w:bookmarkStart w:id="347" w:name="_Toc19251"/>
            <w:bookmarkStart w:id="348" w:name="_Toc7333"/>
            <w:bookmarkStart w:id="349" w:name="_Toc8490"/>
            <w:bookmarkStart w:id="350" w:name="_Toc24662"/>
            <w:bookmarkStart w:id="351" w:name="_Toc27442"/>
            <w:bookmarkStart w:id="352" w:name="_Toc22917"/>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3" w:name="_Toc2408"/>
            <w:bookmarkStart w:id="354" w:name="_Toc22153"/>
            <w:bookmarkStart w:id="355" w:name="_Toc10122"/>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56" w:name="_Toc29838"/>
            <w:bookmarkStart w:id="357" w:name="_Toc27285"/>
            <w:bookmarkStart w:id="358" w:name="_Toc16003"/>
            <w:bookmarkStart w:id="359" w:name="_Toc5563"/>
            <w:bookmarkStart w:id="360" w:name="_Toc20820"/>
            <w:bookmarkStart w:id="361" w:name="_Toc17642"/>
            <w:bookmarkStart w:id="362" w:name="_Toc17296"/>
            <w:bookmarkStart w:id="363" w:name="_Toc27185"/>
            <w:bookmarkStart w:id="364" w:name="_Toc20139"/>
            <w:bookmarkStart w:id="365" w:name="_Toc5992"/>
            <w:bookmarkStart w:id="366" w:name="_Toc1330"/>
            <w:bookmarkStart w:id="367" w:name="_Toc1912"/>
            <w:bookmarkStart w:id="368" w:name="_Toc3701"/>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bookmarkStart w:id="369" w:name="_Toc19105"/>
            <w:bookmarkStart w:id="370" w:name="_Toc857"/>
            <w:bookmarkStart w:id="371" w:name="_Toc3520"/>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6"/>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32"/>
        <w:rPr>
          <w:rFonts w:ascii="宋体" w:hAnsi="宋体"/>
          <w:color w:val="auto"/>
          <w:szCs w:val="21"/>
          <w:highlight w:val="none"/>
        </w:rPr>
      </w:pPr>
    </w:p>
    <w:p>
      <w:pPr>
        <w:pStyle w:val="32"/>
        <w:rPr>
          <w:rFonts w:ascii="宋体" w:hAnsi="宋体"/>
          <w:color w:val="auto"/>
          <w:szCs w:val="21"/>
          <w:highlight w:val="none"/>
        </w:rPr>
      </w:pPr>
      <w:r>
        <w:rPr>
          <w:rFonts w:hint="eastAsia" w:ascii="宋体" w:hAnsi="宋体"/>
          <w:color w:val="auto"/>
          <w:szCs w:val="21"/>
          <w:highlight w:val="none"/>
        </w:rPr>
        <w:t>注：</w:t>
      </w:r>
    </w:p>
    <w:p>
      <w:pPr>
        <w:pStyle w:val="32"/>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32"/>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32"/>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32"/>
        <w:rPr>
          <w:rFonts w:ascii="宋体" w:hAnsi="宋体"/>
          <w:color w:val="auto"/>
          <w:szCs w:val="21"/>
          <w:highlight w:val="none"/>
        </w:rPr>
      </w:pPr>
    </w:p>
    <w:p>
      <w:pPr>
        <w:pStyle w:val="32"/>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pPr>
        <w:pStyle w:val="5"/>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393"/>
        <w:gridCol w:w="2394"/>
        <w:gridCol w:w="1178"/>
        <w:gridCol w:w="1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ign w:val="center"/>
          </w:tcPr>
          <w:p>
            <w:pPr>
              <w:jc w:val="center"/>
              <w:rPr>
                <w:rFonts w:ascii="宋体" w:hAnsi="宋体" w:cs="宋体"/>
                <w:color w:val="auto"/>
                <w:sz w:val="24"/>
                <w:szCs w:val="24"/>
                <w:highlight w:val="none"/>
              </w:rPr>
            </w:pPr>
          </w:p>
        </w:tc>
        <w:tc>
          <w:tcPr>
            <w:tcW w:w="2398" w:type="dxa"/>
            <w:tcBorders>
              <w:tl2br w:val="nil"/>
              <w:tr2bl w:val="nil"/>
            </w:tcBorders>
            <w:noWrap/>
            <w:vAlign w:val="center"/>
          </w:tcPr>
          <w:p>
            <w:pPr>
              <w:jc w:val="center"/>
              <w:rPr>
                <w:rFonts w:ascii="宋体" w:hAnsi="宋体" w:cs="宋体"/>
                <w:color w:val="auto"/>
                <w:sz w:val="24"/>
                <w:szCs w:val="24"/>
                <w:highlight w:val="none"/>
              </w:rPr>
            </w:pPr>
          </w:p>
        </w:tc>
        <w:tc>
          <w:tcPr>
            <w:tcW w:w="2399" w:type="dxa"/>
            <w:tcBorders>
              <w:tl2br w:val="nil"/>
              <w:tr2bl w:val="nil"/>
            </w:tcBorders>
            <w:noWrap/>
            <w:vAlign w:val="center"/>
          </w:tcPr>
          <w:p>
            <w:pPr>
              <w:jc w:val="center"/>
              <w:rPr>
                <w:rFonts w:ascii="宋体" w:hAnsi="宋体" w:cs="宋体"/>
                <w:color w:val="auto"/>
                <w:sz w:val="24"/>
                <w:szCs w:val="24"/>
                <w:highlight w:val="none"/>
              </w:rPr>
            </w:pPr>
          </w:p>
        </w:tc>
        <w:tc>
          <w:tcPr>
            <w:tcW w:w="1180" w:type="dxa"/>
            <w:tcBorders>
              <w:tl2br w:val="nil"/>
              <w:tr2bl w:val="nil"/>
            </w:tcBorders>
            <w:noWrap/>
            <w:vAlign w:val="center"/>
          </w:tcPr>
          <w:p>
            <w:pPr>
              <w:jc w:val="center"/>
              <w:rPr>
                <w:rFonts w:ascii="宋体" w:hAnsi="宋体"/>
                <w:color w:val="auto"/>
                <w:sz w:val="24"/>
                <w:highlight w:val="none"/>
              </w:rPr>
            </w:pPr>
          </w:p>
        </w:tc>
        <w:tc>
          <w:tcPr>
            <w:tcW w:w="1867" w:type="dxa"/>
            <w:tcBorders>
              <w:tl2br w:val="nil"/>
              <w:tr2bl w:val="nil"/>
            </w:tcBorders>
            <w:noWrap/>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5"/>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5"/>
        <w:jc w:val="center"/>
        <w:rPr>
          <w:color w:val="auto"/>
          <w:highlight w:val="none"/>
        </w:rPr>
      </w:pPr>
      <w:bookmarkStart w:id="375" w:name="_Toc16328"/>
      <w:bookmarkStart w:id="376" w:name="_Toc26880"/>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2"/>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2"/>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9"/>
              <w:spacing w:line="300" w:lineRule="auto"/>
              <w:jc w:val="center"/>
              <w:rPr>
                <w:rFonts w:hAnsi="宋体" w:cs="宋体"/>
                <w:b w:val="0"/>
                <w:bCs/>
                <w:color w:val="auto"/>
                <w:szCs w:val="21"/>
                <w:highlight w:val="none"/>
              </w:rPr>
            </w:pPr>
          </w:p>
        </w:tc>
        <w:tc>
          <w:tcPr>
            <w:tcW w:w="738" w:type="dxa"/>
            <w:tcBorders>
              <w:tl2br w:val="nil"/>
              <w:tr2bl w:val="nil"/>
            </w:tcBorders>
          </w:tcPr>
          <w:p>
            <w:pPr>
              <w:pStyle w:val="9"/>
              <w:spacing w:line="300" w:lineRule="auto"/>
              <w:jc w:val="center"/>
              <w:rPr>
                <w:rFonts w:hAnsi="宋体" w:cs="宋体"/>
                <w:b w:val="0"/>
                <w:bCs/>
                <w:color w:val="auto"/>
                <w:szCs w:val="21"/>
                <w:highlight w:val="none"/>
              </w:rPr>
            </w:pPr>
          </w:p>
        </w:tc>
        <w:tc>
          <w:tcPr>
            <w:tcW w:w="1616" w:type="dxa"/>
            <w:tcBorders>
              <w:tl2br w:val="nil"/>
              <w:tr2bl w:val="nil"/>
            </w:tcBorders>
          </w:tcPr>
          <w:p>
            <w:pPr>
              <w:pStyle w:val="9"/>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9"/>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宋体" w:hAnsi="宋体"/>
          <w:color w:val="auto"/>
          <w:szCs w:val="21"/>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5"/>
        <w:jc w:val="center"/>
        <w:rPr>
          <w:color w:val="auto"/>
          <w:highlight w:val="none"/>
        </w:rPr>
      </w:pPr>
      <w:bookmarkStart w:id="379" w:name="_Toc16710"/>
      <w:bookmarkStart w:id="380" w:name="_Toc21541"/>
      <w:r>
        <w:rPr>
          <w:rFonts w:hint="eastAsia"/>
          <w:color w:val="auto"/>
          <w:highlight w:val="none"/>
        </w:rPr>
        <w:t>七、投标保证金汇入情况说明</w:t>
      </w:r>
      <w:bookmarkEnd w:id="379"/>
      <w:bookmarkEnd w:id="380"/>
    </w:p>
    <w:p>
      <w:pPr>
        <w:spacing w:line="480" w:lineRule="auto"/>
        <w:rPr>
          <w:rFonts w:ascii="宋体" w:hAnsi="宋体"/>
          <w:color w:val="auto"/>
          <w:szCs w:val="21"/>
          <w:highlight w:val="none"/>
        </w:rPr>
      </w:pPr>
      <w:r>
        <w:rPr>
          <w:rFonts w:hint="eastAsia" w:ascii="宋体" w:hAnsi="宋体"/>
          <w:color w:val="auto"/>
          <w:szCs w:val="21"/>
          <w:highlight w:val="none"/>
        </w:rPr>
        <w:t>致：广东政通招标有限公司：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本单位已按（项目名称）包（采购项目编号：）的招标文件要求，于年月日前以</w:t>
      </w:r>
      <w:r>
        <w:rPr>
          <w:rFonts w:hint="eastAsia" w:ascii="宋体" w:hAnsi="宋体"/>
          <w:color w:val="auto"/>
          <w:szCs w:val="21"/>
          <w:highlight w:val="none"/>
          <w:u w:val="single"/>
        </w:rPr>
        <w:t xml:space="preserve">           （付款形式）</w:t>
      </w:r>
      <w:r>
        <w:rPr>
          <w:rFonts w:hint="eastAsia" w:ascii="宋体" w:hAnsi="宋体"/>
          <w:color w:val="auto"/>
          <w:szCs w:val="21"/>
          <w:highlight w:val="none"/>
        </w:rPr>
        <w:t>方式汇入指定帐户（帐户名称：，帐号：,开户银行：）。</w:t>
      </w:r>
    </w:p>
    <w:p>
      <w:pPr>
        <w:ind w:firstLine="420" w:firstLineChars="200"/>
        <w:rPr>
          <w:rFonts w:ascii="宋体" w:hAnsi="宋体"/>
          <w:color w:val="auto"/>
          <w:szCs w:val="21"/>
          <w:highlight w:val="none"/>
        </w:rPr>
      </w:pPr>
      <w:r>
        <w:rPr>
          <w:rFonts w:hint="eastAsia" w:ascii="宋体" w:hAnsi="宋体"/>
          <w:color w:val="auto"/>
          <w:szCs w:val="21"/>
          <w:highlight w:val="none"/>
        </w:rPr>
        <w:t>本单位投标保证金的汇款情况：（详见附件－投标保证金进帐单）</w:t>
      </w:r>
    </w:p>
    <w:p>
      <w:pPr>
        <w:ind w:firstLine="420" w:firstLineChars="200"/>
        <w:rPr>
          <w:rFonts w:ascii="宋体" w:hAnsi="宋体"/>
          <w:color w:val="auto"/>
          <w:szCs w:val="21"/>
          <w:highlight w:val="none"/>
        </w:rPr>
      </w:pPr>
      <w:r>
        <w:rPr>
          <w:rFonts w:hint="eastAsia" w:ascii="宋体" w:hAnsi="宋体"/>
          <w:color w:val="auto"/>
          <w:szCs w:val="21"/>
          <w:highlight w:val="none"/>
        </w:rPr>
        <w:t>汇出时间：年月日；</w:t>
      </w:r>
    </w:p>
    <w:p>
      <w:pPr>
        <w:ind w:firstLine="420" w:firstLineChars="200"/>
        <w:rPr>
          <w:rFonts w:ascii="宋体" w:hAnsi="宋体"/>
          <w:color w:val="auto"/>
          <w:szCs w:val="21"/>
          <w:highlight w:val="none"/>
        </w:rPr>
      </w:pPr>
      <w:r>
        <w:rPr>
          <w:rFonts w:hint="eastAsia" w:ascii="宋体" w:hAnsi="宋体"/>
          <w:color w:val="auto"/>
          <w:szCs w:val="21"/>
          <w:highlight w:val="none"/>
        </w:rPr>
        <w:t>汇款金额：（大写）人民币（小写：￥元），</w:t>
      </w:r>
    </w:p>
    <w:p>
      <w:pPr>
        <w:ind w:firstLine="420" w:firstLineChars="200"/>
        <w:rPr>
          <w:rFonts w:ascii="宋体" w:hAnsi="宋体"/>
          <w:color w:val="auto"/>
          <w:szCs w:val="21"/>
          <w:highlight w:val="none"/>
        </w:rPr>
      </w:pPr>
      <w:r>
        <w:rPr>
          <w:rFonts w:hint="eastAsia" w:ascii="宋体" w:hAnsi="宋体"/>
          <w:color w:val="auto"/>
          <w:szCs w:val="21"/>
          <w:highlight w:val="none"/>
        </w:rPr>
        <w:t>汇款帐户名称：</w:t>
      </w:r>
      <w:r>
        <w:rPr>
          <w:rFonts w:hint="eastAsia" w:ascii="宋体" w:hAnsi="宋体"/>
          <w:color w:val="auto"/>
          <w:szCs w:val="21"/>
          <w:highlight w:val="none"/>
          <w:u w:val="single"/>
        </w:rPr>
        <w:t xml:space="preserve">  （必须是投标时使用的帐户名）   </w:t>
      </w:r>
    </w:p>
    <w:p>
      <w:pPr>
        <w:ind w:firstLine="420" w:firstLineChars="200"/>
        <w:rPr>
          <w:rFonts w:ascii="宋体" w:hAnsi="宋体"/>
          <w:color w:val="auto"/>
          <w:szCs w:val="21"/>
          <w:highlight w:val="none"/>
        </w:rPr>
      </w:pPr>
      <w:r>
        <w:rPr>
          <w:rFonts w:hint="eastAsia" w:ascii="宋体" w:hAnsi="宋体"/>
          <w:color w:val="auto"/>
          <w:szCs w:val="21"/>
          <w:highlight w:val="none"/>
        </w:rPr>
        <w:t>帐        号：</w:t>
      </w:r>
      <w:r>
        <w:rPr>
          <w:rFonts w:hint="eastAsia" w:ascii="宋体" w:hAnsi="宋体"/>
          <w:color w:val="auto"/>
          <w:szCs w:val="21"/>
          <w:highlight w:val="none"/>
          <w:u w:val="single"/>
        </w:rPr>
        <w:t xml:space="preserve">  （必须是投标时使用的帐号）     </w:t>
      </w:r>
    </w:p>
    <w:p>
      <w:pPr>
        <w:ind w:firstLine="420" w:firstLineChars="200"/>
        <w:rPr>
          <w:rFonts w:ascii="宋体" w:hAnsi="宋体"/>
          <w:color w:val="auto"/>
          <w:szCs w:val="21"/>
          <w:highlight w:val="none"/>
          <w:u w:val="single"/>
        </w:rPr>
      </w:pPr>
      <w:r>
        <w:rPr>
          <w:rFonts w:hint="eastAsia" w:ascii="宋体" w:hAnsi="宋体"/>
          <w:color w:val="auto"/>
          <w:szCs w:val="21"/>
          <w:highlight w:val="none"/>
        </w:rPr>
        <w:t>开 户  银 行：</w:t>
      </w:r>
      <w:r>
        <w:rPr>
          <w:rFonts w:hint="eastAsia" w:ascii="宋体" w:hAnsi="宋体"/>
          <w:color w:val="auto"/>
          <w:szCs w:val="21"/>
          <w:highlight w:val="none"/>
          <w:u w:val="single"/>
        </w:rPr>
        <w:t xml:space="preserve">  （      银行   分行  支行    ）</w:t>
      </w:r>
    </w:p>
    <w:p>
      <w:pPr>
        <w:ind w:firstLine="420" w:firstLineChars="200"/>
        <w:rPr>
          <w:rFonts w:ascii="宋体" w:hAnsi="宋体"/>
          <w:color w:val="auto"/>
          <w:szCs w:val="21"/>
          <w:highlight w:val="none"/>
        </w:rPr>
      </w:pPr>
      <w:r>
        <w:rPr>
          <w:rFonts w:hint="eastAsia" w:ascii="宋体" w:hAnsi="宋体"/>
          <w:color w:val="auto"/>
          <w:szCs w:val="21"/>
          <w:highlight w:val="none"/>
        </w:rPr>
        <w:t>本单位谨承诺上述资料是正确、真实的，如因上述证明与事实不符导致的一切损失，本单位保证承担赔偿等一切法律责任。</w:t>
      </w:r>
    </w:p>
    <w:p>
      <w:pPr>
        <w:ind w:firstLine="420" w:firstLineChars="200"/>
        <w:rPr>
          <w:rFonts w:ascii="宋体" w:hAnsi="宋体"/>
          <w:color w:val="auto"/>
          <w:szCs w:val="21"/>
          <w:highlight w:val="none"/>
        </w:rPr>
      </w:pPr>
      <w:r>
        <w:rPr>
          <w:rFonts w:hint="eastAsia" w:ascii="宋体" w:hAnsi="宋体"/>
          <w:color w:val="auto"/>
          <w:szCs w:val="21"/>
          <w:highlight w:val="none"/>
        </w:rPr>
        <w:t>投标保证金退回时，请按上述资料退回。</w:t>
      </w:r>
    </w:p>
    <w:p>
      <w:pPr>
        <w:spacing w:line="480" w:lineRule="auto"/>
        <w:ind w:right="844" w:rightChars="402"/>
        <w:jc w:val="right"/>
        <w:rPr>
          <w:rFonts w:ascii="宋体" w:hAnsi="宋体"/>
          <w:color w:val="auto"/>
          <w:szCs w:val="21"/>
          <w:highlight w:val="none"/>
        </w:rPr>
      </w:pPr>
      <w:r>
        <w:rPr>
          <w:rFonts w:hint="eastAsia" w:ascii="宋体" w:hAnsi="宋体"/>
          <w:color w:val="auto"/>
          <w:szCs w:val="21"/>
          <w:highlight w:val="none"/>
        </w:rPr>
        <w:t>（单位公章）</w:t>
      </w:r>
    </w:p>
    <w:p>
      <w:pPr>
        <w:spacing w:line="480" w:lineRule="auto"/>
        <w:ind w:right="628" w:rightChars="299"/>
        <w:jc w:val="center"/>
        <w:rPr>
          <w:rFonts w:ascii="宋体" w:hAnsi="宋体"/>
          <w:color w:val="auto"/>
          <w:szCs w:val="21"/>
          <w:highlight w:val="none"/>
        </w:rPr>
      </w:pPr>
      <w:r>
        <w:rPr>
          <w:rFonts w:hint="eastAsia" w:ascii="宋体" w:hAnsi="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单位名称：</w:t>
      </w:r>
    </w:p>
    <w:p>
      <w:pPr>
        <w:rPr>
          <w:rFonts w:ascii="宋体" w:hAnsi="宋体"/>
          <w:color w:val="auto"/>
          <w:szCs w:val="21"/>
          <w:highlight w:val="none"/>
        </w:rPr>
      </w:pPr>
      <w:r>
        <w:rPr>
          <w:rFonts w:hint="eastAsia" w:ascii="宋体" w:hAnsi="宋体"/>
          <w:color w:val="auto"/>
          <w:szCs w:val="21"/>
          <w:highlight w:val="none"/>
        </w:rPr>
        <w:t>单位地址：</w:t>
      </w:r>
    </w:p>
    <w:p>
      <w:pPr>
        <w:rPr>
          <w:rFonts w:ascii="宋体" w:hAnsi="宋体"/>
          <w:color w:val="auto"/>
          <w:szCs w:val="21"/>
          <w:highlight w:val="none"/>
        </w:rPr>
      </w:pPr>
      <w:r>
        <w:rPr>
          <w:rFonts w:hint="eastAsia" w:ascii="宋体" w:hAnsi="宋体"/>
          <w:color w:val="auto"/>
          <w:szCs w:val="21"/>
          <w:highlight w:val="none"/>
        </w:rPr>
        <w:t>联系人：</w:t>
      </w:r>
    </w:p>
    <w:p>
      <w:pPr>
        <w:rPr>
          <w:rFonts w:ascii="宋体" w:hAnsi="宋体"/>
          <w:color w:val="auto"/>
          <w:szCs w:val="21"/>
          <w:highlight w:val="none"/>
        </w:rPr>
      </w:pPr>
      <w:r>
        <w:rPr>
          <w:rFonts w:hint="eastAsia" w:ascii="宋体" w:hAnsi="宋体"/>
          <w:color w:val="auto"/>
          <w:szCs w:val="21"/>
          <w:highlight w:val="none"/>
        </w:rPr>
        <w:t xml:space="preserve">单位电话： </w:t>
      </w:r>
    </w:p>
    <w:p>
      <w:pPr>
        <w:rPr>
          <w:rFonts w:ascii="宋体" w:hAnsi="宋体"/>
          <w:color w:val="auto"/>
          <w:szCs w:val="21"/>
          <w:highlight w:val="none"/>
        </w:rPr>
      </w:pPr>
      <w:r>
        <w:rPr>
          <w:rFonts w:hint="eastAsia" w:ascii="宋体" w:hAnsi="宋体"/>
          <w:color w:val="auto"/>
          <w:szCs w:val="21"/>
          <w:highlight w:val="none"/>
        </w:rPr>
        <w:t>联系人手机：</w:t>
      </w:r>
    </w:p>
    <w:p>
      <w:pPr>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br w:type="page"/>
      </w:r>
    </w:p>
    <w:p>
      <w:pPr>
        <w:spacing w:line="380" w:lineRule="exact"/>
        <w:ind w:firstLine="420" w:firstLineChars="200"/>
        <w:rPr>
          <w:rFonts w:ascii="宋体" w:hAnsi="宋体"/>
          <w:color w:val="auto"/>
          <w:szCs w:val="21"/>
          <w:highlight w:val="none"/>
        </w:rPr>
      </w:pPr>
      <w:r>
        <w:rPr>
          <w:rFonts w:hint="eastAsia" w:ascii="宋体" w:hAnsi="宋体"/>
          <w:color w:val="auto"/>
          <w:szCs w:val="21"/>
          <w:highlight w:val="none"/>
        </w:rPr>
        <w:t>附：我方投标保证金汇款凭证</w:t>
      </w:r>
    </w:p>
    <w:tbl>
      <w:tblPr>
        <w:tblStyle w:val="22"/>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jc w:val="center"/>
              <w:rPr>
                <w:rFonts w:ascii="宋体" w:hAnsi="宋体"/>
                <w:color w:val="auto"/>
                <w:szCs w:val="21"/>
                <w:highlight w:val="none"/>
              </w:rPr>
            </w:pPr>
            <w:r>
              <w:rPr>
                <w:rFonts w:hint="eastAsia" w:ascii="宋体" w:hAnsi="宋体"/>
                <w:color w:val="auto"/>
                <w:szCs w:val="21"/>
                <w:highlight w:val="none"/>
              </w:rPr>
              <w:t>（粘贴汇款单或转账</w:t>
            </w:r>
            <w:r>
              <w:rPr>
                <w:rFonts w:ascii="宋体" w:hAnsi="宋体"/>
                <w:color w:val="auto"/>
                <w:szCs w:val="21"/>
                <w:highlight w:val="none"/>
              </w:rPr>
              <w:t>凭证</w:t>
            </w:r>
            <w:r>
              <w:rPr>
                <w:rFonts w:hint="eastAsia" w:ascii="宋体" w:hAnsi="宋体"/>
                <w:color w:val="auto"/>
                <w:szCs w:val="21"/>
                <w:highlight w:val="none"/>
              </w:rPr>
              <w:t>复印件，并在骑缝上加盖投标人公章，或是直接把转账</w:t>
            </w:r>
            <w:r>
              <w:rPr>
                <w:rFonts w:ascii="宋体" w:hAnsi="宋体"/>
                <w:color w:val="auto"/>
                <w:szCs w:val="21"/>
                <w:highlight w:val="none"/>
              </w:rPr>
              <w:t>凭证</w:t>
            </w:r>
            <w:r>
              <w:rPr>
                <w:rFonts w:hint="eastAsia" w:ascii="宋体" w:hAnsi="宋体"/>
                <w:color w:val="auto"/>
                <w:szCs w:val="21"/>
                <w:highlight w:val="none"/>
              </w:rPr>
              <w:t>复印到此张纸上）</w:t>
            </w:r>
          </w:p>
        </w:tc>
      </w:tr>
    </w:tbl>
    <w:p>
      <w:pPr>
        <w:ind w:firstLine="422" w:firstLineChars="200"/>
        <w:rPr>
          <w:rFonts w:ascii="宋体" w:hAnsi="宋体"/>
          <w:b/>
          <w:bCs/>
          <w:color w:val="auto"/>
          <w:szCs w:val="21"/>
          <w:highlight w:val="none"/>
        </w:rPr>
      </w:pPr>
      <w:r>
        <w:rPr>
          <w:rFonts w:hint="eastAsia" w:ascii="宋体" w:hAnsi="宋体"/>
          <w:b/>
          <w:bCs/>
          <w:color w:val="auto"/>
          <w:szCs w:val="21"/>
          <w:highlight w:val="none"/>
        </w:rPr>
        <w:t>注：（1）此表既要装订在投标文件中，又要按投标人须知的规定与唱标一览表、投标保证金汇款底单复印件及授权委托书一同密封装入唱标文件，唱标文件单独提交。</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（2）若投标人以投标担保函形式提交投标保证金，则无需在投标文件中提供此格式。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color w:val="auto"/>
          <w:szCs w:val="21"/>
          <w:highlight w:val="none"/>
        </w:rPr>
        <w:br w:type="page"/>
      </w:r>
    </w:p>
    <w:p>
      <w:pPr>
        <w:pStyle w:val="5"/>
        <w:jc w:val="center"/>
        <w:rPr>
          <w:color w:val="auto"/>
          <w:highlight w:val="none"/>
        </w:rPr>
      </w:pPr>
      <w:bookmarkStart w:id="381" w:name="_Toc26855"/>
      <w:bookmarkStart w:id="382" w:name="_Toc24545"/>
      <w:r>
        <w:rPr>
          <w:rFonts w:hint="eastAsia"/>
          <w:color w:val="auto"/>
          <w:highlight w:val="none"/>
        </w:rPr>
        <w:t>八、政府采购投标担保函</w:t>
      </w:r>
      <w:bookmarkEnd w:id="381"/>
      <w:bookmarkEnd w:id="382"/>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（采购人或采购代理机构）：</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鉴于（以下简称“投标人”）拟参加编号为</w:t>
      </w:r>
      <w:r>
        <w:rPr>
          <w:rFonts w:hint="eastAsia" w:ascii="宋体" w:hAnsi="宋体" w:cs="宋体"/>
          <w:color w:val="auto"/>
          <w:szCs w:val="21"/>
          <w:highlight w:val="none"/>
          <w:u w:val="single"/>
        </w:rPr>
        <w:t xml:space="preserve">            的</w:t>
      </w:r>
    </w:p>
    <w:p>
      <w:pPr>
        <w:spacing w:line="480" w:lineRule="auto"/>
        <w:rPr>
          <w:rFonts w:ascii="宋体" w:hAnsi="宋体" w:cs="宋体"/>
          <w:color w:val="auto"/>
          <w:szCs w:val="21"/>
          <w:highlight w:val="none"/>
        </w:rPr>
      </w:pPr>
      <w:r>
        <w:rPr>
          <w:rFonts w:hint="eastAsia" w:ascii="宋体" w:hAnsi="宋体" w:cs="宋体"/>
          <w:color w:val="auto"/>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（一）在投标人出现下列情形之一时，我方承担保证责任：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1．中标后投标人无正当理由不与采购人或者采购代理机构签订《政府采购合同》；</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2．招标文件规定的投标人应当缴纳保证金的其他情形。</w:t>
      </w:r>
    </w:p>
    <w:p>
      <w:pPr>
        <w:spacing w:line="48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（二）我方承担保证责任的最高金额为人民币元（大写），即本项目的投标保证金金额。</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我方的保证期间为：自本保函生效之日起个月止。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2．我方在收到索赔通知及相关证明材料后，在</w:t>
      </w:r>
      <w:r>
        <w:rPr>
          <w:rFonts w:hint="eastAsia" w:ascii="宋体" w:hAnsi="宋体" w:cs="宋体"/>
          <w:color w:val="auto"/>
          <w:szCs w:val="21"/>
          <w:highlight w:val="none"/>
          <w:u w:val="single"/>
        </w:rPr>
        <w:t>　　　</w:t>
      </w:r>
      <w:r>
        <w:rPr>
          <w:rFonts w:hint="eastAsia" w:ascii="宋体" w:hAnsi="宋体" w:cs="宋体"/>
          <w:color w:val="auto"/>
          <w:szCs w:val="21"/>
          <w:highlight w:val="none"/>
        </w:rPr>
        <w:t>个工作日内进行审查，符合应承担保证责任情形的，我方应按照你方的要求代投标人向你方支付投标保证金。</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2．我方按照本保函向你贵方履行了保证责任后，自我方向你贵方支付款项（支付款项从我方账户划出）之日起，保证责任终止。</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3．按照法律法规的规定或出现我方保证责任终止的其它情形的，我方在本保函项下的保证责任亦终止。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1．依照法律规定或你方与投标人的另行约定，全部或者部分免除投标人投标保证金义务时，我方亦免除相应的保证责任。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2．因你方原因致使投标人发生本保函第一条第（一）款约定情形的，我方不承担保证责任。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3．因不可抗力造成投标人发生本保函第一条约定情形的，我方不承担保证责任。</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4．你方或其他有权机关对招标文件进行任何澄清或修改，加重我方保证责任的，我方对加重部分不承担保证责任，但该澄清或修改经我方事先书面同意的除外。</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spacing w:line="48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spacing w:line="480" w:lineRule="auto"/>
        <w:jc w:val="right"/>
        <w:rPr>
          <w:rFonts w:ascii="宋体" w:hAnsi="宋体" w:cs="宋体"/>
          <w:color w:val="auto"/>
          <w:szCs w:val="21"/>
          <w:highlight w:val="none"/>
        </w:rPr>
      </w:pP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保证人：（公章）</w:t>
      </w:r>
    </w:p>
    <w:p>
      <w:pPr>
        <w:spacing w:line="480" w:lineRule="auto"/>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p>
    <w:p>
      <w:pPr>
        <w:rPr>
          <w:rFonts w:ascii="宋体" w:hAnsi="宋体"/>
          <w:b/>
          <w:bCs/>
          <w:color w:val="auto"/>
          <w:szCs w:val="21"/>
          <w:highlight w:val="none"/>
        </w:rPr>
      </w:pPr>
      <w:r>
        <w:rPr>
          <w:rFonts w:hint="eastAsia" w:ascii="宋体" w:hAnsi="宋体"/>
          <w:b/>
          <w:bCs/>
          <w:color w:val="auto"/>
          <w:szCs w:val="21"/>
          <w:highlight w:val="none"/>
        </w:rPr>
        <w:t>注：</w:t>
      </w:r>
    </w:p>
    <w:p>
      <w:pPr>
        <w:ind w:firstLine="422" w:firstLineChars="200"/>
        <w:rPr>
          <w:rFonts w:ascii="宋体" w:hAnsi="宋体"/>
          <w:b/>
          <w:bCs/>
          <w:color w:val="auto"/>
          <w:szCs w:val="21"/>
          <w:highlight w:val="none"/>
        </w:rPr>
      </w:pPr>
      <w:r>
        <w:rPr>
          <w:rFonts w:hint="eastAsia" w:ascii="宋体" w:hAnsi="宋体"/>
          <w:b/>
          <w:bCs/>
          <w:color w:val="auto"/>
          <w:szCs w:val="21"/>
          <w:highlight w:val="none"/>
        </w:rPr>
        <w:t>（1）若投标人不以投标担保函形式提交投标保证金，则无需在投标文件中提供此格式。</w:t>
      </w:r>
    </w:p>
    <w:p>
      <w:pPr>
        <w:ind w:firstLine="422" w:firstLineChars="200"/>
        <w:rPr>
          <w:color w:val="auto"/>
          <w:highlight w:val="none"/>
        </w:rPr>
      </w:pPr>
      <w:r>
        <w:rPr>
          <w:rFonts w:hint="eastAsia" w:ascii="宋体" w:hAnsi="宋体"/>
          <w:b/>
          <w:bCs/>
          <w:color w:val="auto"/>
          <w:szCs w:val="21"/>
          <w:highlight w:val="none"/>
        </w:rPr>
        <w:t>（2）若投标人以投标担保函形式提交投标保证金，则应将投标担保函原件交予采购代理机构。</w:t>
      </w:r>
    </w:p>
    <w:p>
      <w:pPr>
        <w:rPr>
          <w:rFonts w:ascii="黑体" w:eastAsia="黑体"/>
          <w:color w:val="auto"/>
          <w:sz w:val="30"/>
          <w:szCs w:val="30"/>
          <w:highlight w:val="none"/>
        </w:rPr>
      </w:pPr>
      <w:r>
        <w:rPr>
          <w:rFonts w:hint="eastAsia" w:ascii="宋体" w:hAnsi="宋体"/>
          <w:color w:val="auto"/>
          <w:szCs w:val="21"/>
          <w:highlight w:val="none"/>
        </w:rPr>
        <w:br w:type="page"/>
      </w:r>
    </w:p>
    <w:p>
      <w:pPr>
        <w:pStyle w:val="5"/>
        <w:jc w:val="center"/>
        <w:rPr>
          <w:color w:val="auto"/>
          <w:highlight w:val="none"/>
        </w:rPr>
      </w:pPr>
      <w:bookmarkStart w:id="383" w:name="_Toc6961"/>
      <w:r>
        <w:rPr>
          <w:rFonts w:hint="eastAsia"/>
          <w:color w:val="auto"/>
          <w:highlight w:val="none"/>
        </w:rPr>
        <w:t>九、政府采购履约担保函</w:t>
      </w:r>
      <w:bookmarkEnd w:id="383"/>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2"/>
        <w:rPr>
          <w:color w:val="auto"/>
          <w:highlight w:val="none"/>
        </w:rPr>
      </w:pPr>
    </w:p>
    <w:p>
      <w:pPr>
        <w:rPr>
          <w:color w:val="auto"/>
          <w:highlight w:val="none"/>
        </w:rPr>
      </w:pPr>
      <w:r>
        <w:rPr>
          <w:color w:val="auto"/>
          <w:highlight w:val="none"/>
        </w:rPr>
        <w:br w:type="page"/>
      </w:r>
    </w:p>
    <w:p>
      <w:pPr>
        <w:pStyle w:val="5"/>
        <w:jc w:val="center"/>
        <w:rPr>
          <w:color w:val="auto"/>
          <w:highlight w:val="none"/>
        </w:rPr>
      </w:pPr>
      <w:bookmarkStart w:id="384" w:name="_Toc26782"/>
      <w:bookmarkStart w:id="385" w:name="_Toc26772"/>
      <w:r>
        <w:rPr>
          <w:rFonts w:hint="eastAsia"/>
          <w:color w:val="auto"/>
          <w:highlight w:val="none"/>
        </w:rPr>
        <w:t>第四章唱标信封（单独封装）</w:t>
      </w:r>
      <w:bookmarkEnd w:id="384"/>
      <w:bookmarkEnd w:id="385"/>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ind w:firstLine="420" w:firstLineChars="200"/>
        <w:rPr>
          <w:color w:val="auto"/>
          <w:highlight w:val="none"/>
        </w:rPr>
      </w:pPr>
      <w:r>
        <w:rPr>
          <w:rFonts w:hint="eastAsia"/>
          <w:color w:val="auto"/>
          <w:highlight w:val="none"/>
        </w:rPr>
        <w:t>（3）投标保证金汇入情况说明及投标保证金汇款底单（复印件加盖公章），或《政府采购投标担保函》复印件。</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6"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5"/>
        <w:jc w:val="center"/>
        <w:rPr>
          <w:color w:val="auto"/>
          <w:highlight w:val="none"/>
        </w:rPr>
      </w:pPr>
      <w:bookmarkStart w:id="387" w:name="_Toc22736"/>
      <w:bookmarkStart w:id="388" w:name="_Toc2710"/>
      <w:r>
        <w:rPr>
          <w:rFonts w:hint="eastAsia"/>
          <w:color w:val="auto"/>
          <w:highlight w:val="none"/>
        </w:rPr>
        <w:t>第五章联合体共同投标协议书（如有需要）</w:t>
      </w:r>
      <w:bookmarkEnd w:id="387"/>
      <w:bookmarkEnd w:id="388"/>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六、本协议书一式份，随响应文件装订份，联合体成员各份。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6"/>
    <w:p>
      <w:pPr>
        <w:pStyle w:val="2"/>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p>
    <w:p>
      <w:pPr>
        <w:rPr>
          <w:rFonts w:ascii="宋体" w:hAnsi="宋体" w:cs="宋体"/>
          <w:color w:val="auto"/>
          <w:szCs w:val="21"/>
          <w:highlight w:val="none"/>
        </w:rPr>
      </w:pPr>
      <w:r>
        <w:rPr>
          <w:rFonts w:hint="eastAsia" w:ascii="宋体" w:hAnsi="宋体" w:cs="宋体"/>
          <w:color w:val="auto"/>
          <w:szCs w:val="21"/>
          <w:highlight w:val="none"/>
        </w:rPr>
        <w:t>地址：邮编：</w:t>
      </w:r>
    </w:p>
    <w:p>
      <w:pPr>
        <w:rPr>
          <w:rFonts w:ascii="宋体" w:hAnsi="宋体" w:cs="宋体"/>
          <w:color w:val="auto"/>
          <w:szCs w:val="21"/>
          <w:highlight w:val="none"/>
        </w:rPr>
      </w:pPr>
      <w:r>
        <w:rPr>
          <w:rFonts w:hint="eastAsia" w:ascii="宋体" w:hAnsi="宋体" w:cs="宋体"/>
          <w:color w:val="auto"/>
          <w:szCs w:val="21"/>
          <w:highlight w:val="none"/>
        </w:rPr>
        <w:t>联系人：联系电话：</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p>
    <w:p>
      <w:pPr>
        <w:rPr>
          <w:rFonts w:ascii="宋体" w:hAnsi="宋体" w:cs="宋体"/>
          <w:color w:val="auto"/>
          <w:szCs w:val="21"/>
          <w:highlight w:val="none"/>
        </w:rPr>
      </w:pPr>
      <w:r>
        <w:rPr>
          <w:rFonts w:hint="eastAsia" w:ascii="宋体" w:hAnsi="宋体" w:cs="宋体"/>
          <w:color w:val="auto"/>
          <w:szCs w:val="21"/>
          <w:highlight w:val="none"/>
        </w:rPr>
        <w:t>联系电话：</w:t>
      </w:r>
    </w:p>
    <w:p>
      <w:pPr>
        <w:rPr>
          <w:rFonts w:ascii="宋体" w:hAnsi="宋体" w:cs="宋体"/>
          <w:color w:val="auto"/>
          <w:szCs w:val="21"/>
          <w:highlight w:val="none"/>
        </w:rPr>
      </w:pPr>
      <w:r>
        <w:rPr>
          <w:rFonts w:hint="eastAsia" w:ascii="宋体" w:hAnsi="宋体" w:cs="宋体"/>
          <w:color w:val="auto"/>
          <w:szCs w:val="21"/>
          <w:highlight w:val="none"/>
        </w:rPr>
        <w:t>地址： 邮编：</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p>
    <w:p>
      <w:pPr>
        <w:rPr>
          <w:rFonts w:ascii="宋体" w:hAnsi="宋体" w:cs="宋体"/>
          <w:color w:val="auto"/>
          <w:szCs w:val="21"/>
          <w:highlight w:val="none"/>
        </w:rPr>
      </w:pPr>
      <w:r>
        <w:rPr>
          <w:rFonts w:hint="eastAsia" w:ascii="宋体" w:hAnsi="宋体" w:cs="宋体"/>
          <w:color w:val="auto"/>
          <w:szCs w:val="21"/>
          <w:highlight w:val="none"/>
        </w:rPr>
        <w:t>质疑项目的编号：包号：</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p>
    <w:p>
      <w:pPr>
        <w:rPr>
          <w:rFonts w:ascii="宋体" w:hAnsi="宋体" w:cs="宋体"/>
          <w:color w:val="auto"/>
          <w:szCs w:val="21"/>
          <w:highlight w:val="none"/>
        </w:rPr>
      </w:pPr>
      <w:r>
        <w:rPr>
          <w:rFonts w:hint="eastAsia" w:ascii="宋体" w:hAnsi="宋体" w:cs="宋体"/>
          <w:color w:val="auto"/>
          <w:szCs w:val="21"/>
          <w:highlight w:val="none"/>
        </w:rPr>
        <w:t>采购文件获取日期：</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p>
    <w:p>
      <w:pPr>
        <w:rPr>
          <w:rFonts w:ascii="宋体" w:hAnsi="宋体" w:cs="宋体"/>
          <w:color w:val="auto"/>
          <w:szCs w:val="21"/>
          <w:highlight w:val="none"/>
        </w:rPr>
      </w:pPr>
    </w:p>
    <w:p>
      <w:pPr>
        <w:rPr>
          <w:rFonts w:ascii="宋体" w:hAnsi="宋体" w:cs="宋体"/>
          <w:color w:val="auto"/>
          <w:szCs w:val="21"/>
          <w:highlight w:val="none"/>
          <w:u w:val="dotted"/>
        </w:rPr>
      </w:pPr>
      <w:r>
        <w:rPr>
          <w:rFonts w:hint="eastAsia" w:ascii="宋体" w:hAnsi="宋体" w:cs="宋体"/>
          <w:color w:val="auto"/>
          <w:szCs w:val="21"/>
          <w:highlight w:val="none"/>
        </w:rPr>
        <w:t>法律依据：</w:t>
      </w:r>
    </w:p>
    <w:p>
      <w:pPr>
        <w:rPr>
          <w:rFonts w:ascii="宋体" w:hAnsi="宋体" w:cs="宋体"/>
          <w:color w:val="auto"/>
          <w:szCs w:val="21"/>
          <w:highlight w:val="none"/>
          <w:u w:val="dotted"/>
        </w:rPr>
      </w:pP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p>
    <w:p>
      <w:pPr>
        <w:pStyle w:val="2"/>
        <w:rPr>
          <w:color w:val="auto"/>
          <w:sz w:val="21"/>
          <w:szCs w:val="21"/>
          <w:highlight w:val="none"/>
        </w:rPr>
      </w:pPr>
    </w:p>
    <w:p>
      <w:pPr>
        <w:rPr>
          <w:rFonts w:ascii="宋体" w:hAnsi="宋体" w:cs="宋体"/>
          <w:color w:val="auto"/>
          <w:szCs w:val="21"/>
          <w:highlight w:val="none"/>
        </w:rPr>
      </w:pPr>
    </w:p>
    <w:p>
      <w:pPr>
        <w:pStyle w:val="2"/>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2"/>
        <w:rPr>
          <w:color w:val="auto"/>
          <w:highlight w:val="none"/>
        </w:rPr>
      </w:pPr>
    </w:p>
    <w:p>
      <w:pPr>
        <w:rPr>
          <w:color w:val="auto"/>
          <w:highlight w:val="none"/>
        </w:rPr>
      </w:pPr>
    </w:p>
    <w:p>
      <w:pPr>
        <w:pStyle w:val="2"/>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pStyle w:val="21"/>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2"/>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承诺:</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本公司对招标文件的内容已经了解，并自愿购买该招标文件。</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本公司对提供的所有资料的真实性、有效性承担责任。</w:t>
            </w:r>
          </w:p>
          <w:p>
            <w:pPr>
              <w:numPr>
                <w:ilvl w:val="0"/>
                <w:numId w:val="12"/>
              </w:numPr>
              <w:ind w:firstLine="560" w:firstLineChars="200"/>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招标文件售后不退。</w:t>
            </w:r>
          </w:p>
          <w:p>
            <w:pPr>
              <w:ind w:firstLine="3738" w:firstLineChars="1335"/>
              <w:jc w:val="both"/>
              <w:textAlignment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招标文件领取人签名: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rPr>
              <w:t>人民币150元/份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b/>
                <w:bCs/>
                <w:color w:val="auto"/>
                <w:sz w:val="32"/>
                <w:szCs w:val="32"/>
                <w:highlight w:val="none"/>
              </w:rPr>
              <w:t>注：开完发票后请把报名表格交还至前台</w:t>
            </w:r>
          </w:p>
        </w:tc>
      </w:tr>
    </w:tbl>
    <w:p>
      <w:pPr>
        <w:pStyle w:val="21"/>
        <w:ind w:left="0" w:firstLine="0" w:firstLineChars="0"/>
        <w:rPr>
          <w:color w:val="auto"/>
          <w:highlight w:val="none"/>
        </w:rPr>
      </w:pPr>
    </w:p>
    <w:sectPr>
      <w:footerReference r:id="rId14" w:type="first"/>
      <w:footerReference r:id="rId13"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rBCXA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R+vqQ9U9&#10;wBxaFrZ6Z3lME6XydnUMkDYpHgXqVEGn4gGTmHrWb00c9T/PKerx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awQlwNwIAAHEEAAAOAAAAAAAAAAEAIAAAAB8BAABkcnMvZTJvRG9jLnht&#10;bFBLBQYAAAAABgAGAFkBAADIBQ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rPr>
                        <w:rFonts w:hint="eastAsia"/>
                      </w:rPr>
                      <w:t>0</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80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3</w:t>
                    </w:r>
                    <w:r>
                      <w:fldChar w:fldCharType="end"/>
                    </w:r>
                    <w:r>
                      <w:rPr>
                        <w:rFonts w:hint="eastAsia"/>
                      </w:rPr>
                      <w:t xml:space="preserve"> 页 共 </w:t>
                    </w:r>
                    <w:r>
                      <w:fldChar w:fldCharType="begin"/>
                    </w:r>
                    <w:r>
                      <w:instrText xml:space="preserve"> NUMPAGES  \* MERGEFORMAT </w:instrText>
                    </w:r>
                    <w:r>
                      <w:fldChar w:fldCharType="separate"/>
                    </w:r>
                    <w:r>
                      <w:t>18</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12</w:t>
                    </w:r>
                    <w:r>
                      <w:fldChar w:fldCharType="end"/>
                    </w:r>
                    <w:r>
                      <w:rPr>
                        <w:rFonts w:hint="eastAsia"/>
                      </w:rPr>
                      <w:t xml:space="preserve"> 页 共 </w:t>
                    </w:r>
                    <w:r>
                      <w:fldChar w:fldCharType="begin"/>
                    </w:r>
                    <w:r>
                      <w:instrText xml:space="preserve"> NUMPAGES  \* MERGEFORMAT </w:instrText>
                    </w:r>
                    <w:r>
                      <w:fldChar w:fldCharType="separate"/>
                    </w:r>
                    <w:r>
                      <w:t>89</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8PUr4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e2ta3Z1&#10;/wBzaFnY6HvLY5oolbfLfYC0SfEoUK8KOhUPmMTUs/PWxFH/85yiHv8p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J8PUr45AgAAcQQAAA4AAAAAAAAAAQAgAAAAHwEAAGRycy9lMm9Eb2Mu&#10;eG1sUEsFBgAAAAAGAAYAWQEAAMoFAAAAAA==&#10;">
              <v:fill on="f" focussize="0,0"/>
              <v:stroke on="f" weight="0.5pt"/>
              <v:imagedata o:title=""/>
              <o:lock v:ext="edit" aspectratio="f"/>
              <v:textbox inset="0mm,0mm,0mm,0mm" style="mso-fit-shape-to-text:t;">
                <w:txbxContent>
                  <w:p>
                    <w:pPr>
                      <w:pStyle w:val="12"/>
                    </w:pPr>
                    <w:r>
                      <w:rPr>
                        <w:rFonts w:hint="eastAsia"/>
                      </w:rPr>
                      <w:t xml:space="preserve">第 </w:t>
                    </w:r>
                    <w:r>
                      <w:fldChar w:fldCharType="begin"/>
                    </w:r>
                    <w:r>
                      <w:instrText xml:space="preserve"> PAGE  \* MERGEFORMAT </w:instrText>
                    </w:r>
                    <w:r>
                      <w:fldChar w:fldCharType="separate"/>
                    </w:r>
                    <w:r>
                      <w:t>4</w:t>
                    </w:r>
                    <w:r>
                      <w:fldChar w:fldCharType="end"/>
                    </w:r>
                    <w:r>
                      <w:rPr>
                        <w:rFonts w:hint="eastAsia"/>
                      </w:rPr>
                      <w:t xml:space="preserve"> 页 共 </w:t>
                    </w:r>
                    <w:r>
                      <w:fldChar w:fldCharType="begin"/>
                    </w:r>
                    <w:r>
                      <w:instrText xml:space="preserve"> NUMPAGES  \* MERGEFORMAT </w:instrText>
                    </w:r>
                    <w:r>
                      <w:fldChar w:fldCharType="separate"/>
                    </w:r>
                    <w:r>
                      <w:t>42</w:t>
                    </w:r>
                    <w: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18"/>
        <w:rPr>
          <w:rFonts w:eastAsia="微软雅黑"/>
        </w:rPr>
      </w:pPr>
      <w:r>
        <w:rPr>
          <w:rStyle w:val="28"/>
        </w:rPr>
        <w:footnoteRef/>
      </w:r>
      <w:r>
        <w:rPr>
          <w:rFonts w:hint="eastAsia"/>
        </w:rPr>
        <w:t>从业人员、营业人员、资产总额填报上一年度数据，无上一年度数据的新成立企业可不填报。</w:t>
      </w:r>
    </w:p>
  </w:footnote>
  <w:footnote w:id="1">
    <w:p>
      <w:pPr>
        <w:pStyle w:val="18"/>
      </w:pPr>
      <w:r>
        <w:rPr>
          <w:rStyle w:val="28"/>
        </w:rPr>
        <w:footnoteRef/>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
    </o:shapelayout>
  </w:hdrShapeDefault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6B"/>
    <w:rsid w:val="00006462"/>
    <w:rsid w:val="000300E4"/>
    <w:rsid w:val="0003307E"/>
    <w:rsid w:val="000336BA"/>
    <w:rsid w:val="000359A1"/>
    <w:rsid w:val="0007500F"/>
    <w:rsid w:val="0008282E"/>
    <w:rsid w:val="000A363F"/>
    <w:rsid w:val="000A42A8"/>
    <w:rsid w:val="000A5063"/>
    <w:rsid w:val="000A5DBD"/>
    <w:rsid w:val="000B6DDD"/>
    <w:rsid w:val="000C4524"/>
    <w:rsid w:val="000D44A6"/>
    <w:rsid w:val="000D5273"/>
    <w:rsid w:val="000F09D9"/>
    <w:rsid w:val="000F0E98"/>
    <w:rsid w:val="001049A5"/>
    <w:rsid w:val="00111107"/>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670CC"/>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B468B"/>
    <w:rsid w:val="004D51A2"/>
    <w:rsid w:val="004D5AFB"/>
    <w:rsid w:val="004E04FD"/>
    <w:rsid w:val="004F1BB7"/>
    <w:rsid w:val="004F2238"/>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3721A"/>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0017"/>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2F05"/>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4432"/>
    <w:rsid w:val="00AC5C21"/>
    <w:rsid w:val="00AE310E"/>
    <w:rsid w:val="00AE4FC5"/>
    <w:rsid w:val="00AE7D81"/>
    <w:rsid w:val="00AF5796"/>
    <w:rsid w:val="00AF5F1F"/>
    <w:rsid w:val="00B027A4"/>
    <w:rsid w:val="00B13255"/>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47E4E"/>
    <w:rsid w:val="00C531F8"/>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340C"/>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031B"/>
    <w:rsid w:val="00F52A5F"/>
    <w:rsid w:val="00F55954"/>
    <w:rsid w:val="00F61962"/>
    <w:rsid w:val="00F62865"/>
    <w:rsid w:val="00F64022"/>
    <w:rsid w:val="00F64660"/>
    <w:rsid w:val="00F85E59"/>
    <w:rsid w:val="00F97062"/>
    <w:rsid w:val="00F9745D"/>
    <w:rsid w:val="00FC7B53"/>
    <w:rsid w:val="00FD48CC"/>
    <w:rsid w:val="00FE62D1"/>
    <w:rsid w:val="00FF26BF"/>
    <w:rsid w:val="018023CE"/>
    <w:rsid w:val="01881AD6"/>
    <w:rsid w:val="01917A48"/>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B67E12"/>
    <w:rsid w:val="03D10969"/>
    <w:rsid w:val="04DF1036"/>
    <w:rsid w:val="050F6021"/>
    <w:rsid w:val="055214B8"/>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F4581"/>
    <w:rsid w:val="07995C5E"/>
    <w:rsid w:val="07B34F45"/>
    <w:rsid w:val="07BE179A"/>
    <w:rsid w:val="07BF027F"/>
    <w:rsid w:val="08031A31"/>
    <w:rsid w:val="081A5CC7"/>
    <w:rsid w:val="087400C9"/>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B22594B"/>
    <w:rsid w:val="0B797387"/>
    <w:rsid w:val="0B8B2381"/>
    <w:rsid w:val="0BC044BE"/>
    <w:rsid w:val="0BD25EAF"/>
    <w:rsid w:val="0BDF26F7"/>
    <w:rsid w:val="0BE31BA4"/>
    <w:rsid w:val="0C264099"/>
    <w:rsid w:val="0C2B4952"/>
    <w:rsid w:val="0C7B2220"/>
    <w:rsid w:val="0D890E47"/>
    <w:rsid w:val="0DC64A00"/>
    <w:rsid w:val="0DFC60BA"/>
    <w:rsid w:val="0E4249F1"/>
    <w:rsid w:val="0F6C5A53"/>
    <w:rsid w:val="0F7C5FF6"/>
    <w:rsid w:val="0FC63FBD"/>
    <w:rsid w:val="106C564D"/>
    <w:rsid w:val="107B7B8F"/>
    <w:rsid w:val="107C67CE"/>
    <w:rsid w:val="1080523F"/>
    <w:rsid w:val="108F06C9"/>
    <w:rsid w:val="109D68CB"/>
    <w:rsid w:val="10A949B8"/>
    <w:rsid w:val="10C54639"/>
    <w:rsid w:val="11200D07"/>
    <w:rsid w:val="11DA73AF"/>
    <w:rsid w:val="12C60D80"/>
    <w:rsid w:val="131867D4"/>
    <w:rsid w:val="131F7A3A"/>
    <w:rsid w:val="132645D0"/>
    <w:rsid w:val="13455ABC"/>
    <w:rsid w:val="1370322B"/>
    <w:rsid w:val="13B27845"/>
    <w:rsid w:val="13BE469F"/>
    <w:rsid w:val="13F87121"/>
    <w:rsid w:val="141A03E1"/>
    <w:rsid w:val="143B2E0B"/>
    <w:rsid w:val="14672B11"/>
    <w:rsid w:val="14892735"/>
    <w:rsid w:val="14CC769D"/>
    <w:rsid w:val="157D38E3"/>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84A6EA2"/>
    <w:rsid w:val="18DD0A66"/>
    <w:rsid w:val="190B7894"/>
    <w:rsid w:val="19A2789F"/>
    <w:rsid w:val="19B7100D"/>
    <w:rsid w:val="1A460CF5"/>
    <w:rsid w:val="1A7F297D"/>
    <w:rsid w:val="1AB16AC1"/>
    <w:rsid w:val="1B034A52"/>
    <w:rsid w:val="1B1F34AD"/>
    <w:rsid w:val="1B5A51FC"/>
    <w:rsid w:val="1B8D5DC6"/>
    <w:rsid w:val="1BFE1D3B"/>
    <w:rsid w:val="1C2775EC"/>
    <w:rsid w:val="1C750ECE"/>
    <w:rsid w:val="1CA22168"/>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1072664"/>
    <w:rsid w:val="22154DDD"/>
    <w:rsid w:val="22213E42"/>
    <w:rsid w:val="22336873"/>
    <w:rsid w:val="23175889"/>
    <w:rsid w:val="232C5C75"/>
    <w:rsid w:val="238C2182"/>
    <w:rsid w:val="239015D1"/>
    <w:rsid w:val="23BB4E7D"/>
    <w:rsid w:val="23C172D6"/>
    <w:rsid w:val="23F04F64"/>
    <w:rsid w:val="24814CBE"/>
    <w:rsid w:val="24AC168B"/>
    <w:rsid w:val="25857F75"/>
    <w:rsid w:val="258C3BEC"/>
    <w:rsid w:val="25E576CC"/>
    <w:rsid w:val="260E3862"/>
    <w:rsid w:val="262569FC"/>
    <w:rsid w:val="26344C98"/>
    <w:rsid w:val="26F56CE2"/>
    <w:rsid w:val="27435D49"/>
    <w:rsid w:val="27A34F71"/>
    <w:rsid w:val="27B36A67"/>
    <w:rsid w:val="27EB0D9B"/>
    <w:rsid w:val="286602C8"/>
    <w:rsid w:val="28665C95"/>
    <w:rsid w:val="28A64522"/>
    <w:rsid w:val="28CC5B40"/>
    <w:rsid w:val="28F525D1"/>
    <w:rsid w:val="290B3EB9"/>
    <w:rsid w:val="291418C2"/>
    <w:rsid w:val="2950768C"/>
    <w:rsid w:val="29794227"/>
    <w:rsid w:val="297A5FC4"/>
    <w:rsid w:val="2A1113BC"/>
    <w:rsid w:val="2A8D4F8F"/>
    <w:rsid w:val="2A911082"/>
    <w:rsid w:val="2A917B34"/>
    <w:rsid w:val="2AA33C87"/>
    <w:rsid w:val="2AE3766F"/>
    <w:rsid w:val="2B4B680F"/>
    <w:rsid w:val="2B7E4054"/>
    <w:rsid w:val="2BC92502"/>
    <w:rsid w:val="2BF22742"/>
    <w:rsid w:val="2C987C56"/>
    <w:rsid w:val="2CBD45CF"/>
    <w:rsid w:val="2CFF149A"/>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7350B9"/>
    <w:rsid w:val="308C7755"/>
    <w:rsid w:val="30FF27D2"/>
    <w:rsid w:val="31170995"/>
    <w:rsid w:val="31264A30"/>
    <w:rsid w:val="31884E67"/>
    <w:rsid w:val="31A0275E"/>
    <w:rsid w:val="31B060CA"/>
    <w:rsid w:val="31B7357A"/>
    <w:rsid w:val="31ED6B08"/>
    <w:rsid w:val="31F915C9"/>
    <w:rsid w:val="32610CE6"/>
    <w:rsid w:val="32631A32"/>
    <w:rsid w:val="328464CE"/>
    <w:rsid w:val="32AB70C5"/>
    <w:rsid w:val="32DC33E0"/>
    <w:rsid w:val="335D0AF5"/>
    <w:rsid w:val="3370088C"/>
    <w:rsid w:val="33A3154A"/>
    <w:rsid w:val="33DC2F78"/>
    <w:rsid w:val="3428227C"/>
    <w:rsid w:val="350D6342"/>
    <w:rsid w:val="35260F83"/>
    <w:rsid w:val="35602226"/>
    <w:rsid w:val="356B72E7"/>
    <w:rsid w:val="3572424F"/>
    <w:rsid w:val="35FC3844"/>
    <w:rsid w:val="366061FD"/>
    <w:rsid w:val="36794DEF"/>
    <w:rsid w:val="36AD519D"/>
    <w:rsid w:val="36B57705"/>
    <w:rsid w:val="374F1A0B"/>
    <w:rsid w:val="37A103ED"/>
    <w:rsid w:val="37EA5E6E"/>
    <w:rsid w:val="37FF016F"/>
    <w:rsid w:val="38427C0B"/>
    <w:rsid w:val="387C5ABE"/>
    <w:rsid w:val="389B3A1E"/>
    <w:rsid w:val="38EB6119"/>
    <w:rsid w:val="39DE33DA"/>
    <w:rsid w:val="39FA5B4A"/>
    <w:rsid w:val="39FE0BE9"/>
    <w:rsid w:val="3A3C1AAF"/>
    <w:rsid w:val="3A424C25"/>
    <w:rsid w:val="3A4B7CC1"/>
    <w:rsid w:val="3A51228C"/>
    <w:rsid w:val="3A552E60"/>
    <w:rsid w:val="3A5D642F"/>
    <w:rsid w:val="3AB210FC"/>
    <w:rsid w:val="3ACE216B"/>
    <w:rsid w:val="3AD95C13"/>
    <w:rsid w:val="3B0E42D3"/>
    <w:rsid w:val="3B261E51"/>
    <w:rsid w:val="3B973F88"/>
    <w:rsid w:val="3BCD72F7"/>
    <w:rsid w:val="3C414142"/>
    <w:rsid w:val="3CE114D9"/>
    <w:rsid w:val="3CF737A2"/>
    <w:rsid w:val="3CF7509A"/>
    <w:rsid w:val="3D10295A"/>
    <w:rsid w:val="3E0572FD"/>
    <w:rsid w:val="3E1A5292"/>
    <w:rsid w:val="3E5A7FE7"/>
    <w:rsid w:val="3EC8179E"/>
    <w:rsid w:val="3EF66B2E"/>
    <w:rsid w:val="3F217914"/>
    <w:rsid w:val="3F942B76"/>
    <w:rsid w:val="3FD70BB0"/>
    <w:rsid w:val="3FFB55AC"/>
    <w:rsid w:val="401C5F9D"/>
    <w:rsid w:val="401C690C"/>
    <w:rsid w:val="401D7195"/>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F303D7"/>
    <w:rsid w:val="492837FF"/>
    <w:rsid w:val="492E6A57"/>
    <w:rsid w:val="49B86103"/>
    <w:rsid w:val="4A0030EE"/>
    <w:rsid w:val="4AC36065"/>
    <w:rsid w:val="4B560086"/>
    <w:rsid w:val="4B7501F5"/>
    <w:rsid w:val="4B8C2DEB"/>
    <w:rsid w:val="4BFA3C9F"/>
    <w:rsid w:val="4C0E3379"/>
    <w:rsid w:val="4C107F48"/>
    <w:rsid w:val="4C3277BC"/>
    <w:rsid w:val="4C686851"/>
    <w:rsid w:val="4CB25875"/>
    <w:rsid w:val="4CC353EB"/>
    <w:rsid w:val="4CF36F3C"/>
    <w:rsid w:val="4D3739CE"/>
    <w:rsid w:val="4D4F67BA"/>
    <w:rsid w:val="4D603399"/>
    <w:rsid w:val="4D867EE1"/>
    <w:rsid w:val="4DBC4C65"/>
    <w:rsid w:val="4DF6568D"/>
    <w:rsid w:val="4E2E1A80"/>
    <w:rsid w:val="4E550010"/>
    <w:rsid w:val="4E5F14CB"/>
    <w:rsid w:val="4F3705F8"/>
    <w:rsid w:val="4F651D09"/>
    <w:rsid w:val="4FAC3540"/>
    <w:rsid w:val="4FBB12F4"/>
    <w:rsid w:val="4FCF1583"/>
    <w:rsid w:val="4FFA7625"/>
    <w:rsid w:val="501B0BF9"/>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693932"/>
    <w:rsid w:val="549A6BFA"/>
    <w:rsid w:val="54C61423"/>
    <w:rsid w:val="54E72921"/>
    <w:rsid w:val="55806F07"/>
    <w:rsid w:val="558F3CE2"/>
    <w:rsid w:val="55F3454C"/>
    <w:rsid w:val="55FA2961"/>
    <w:rsid w:val="565E3E0E"/>
    <w:rsid w:val="565E7F4F"/>
    <w:rsid w:val="56775789"/>
    <w:rsid w:val="56857D06"/>
    <w:rsid w:val="56914056"/>
    <w:rsid w:val="569F0E63"/>
    <w:rsid w:val="56DB613D"/>
    <w:rsid w:val="573810DA"/>
    <w:rsid w:val="57FC2169"/>
    <w:rsid w:val="58096275"/>
    <w:rsid w:val="580E4560"/>
    <w:rsid w:val="581C04F1"/>
    <w:rsid w:val="582E6EF7"/>
    <w:rsid w:val="58434392"/>
    <w:rsid w:val="584E30E6"/>
    <w:rsid w:val="59014D02"/>
    <w:rsid w:val="597B384D"/>
    <w:rsid w:val="59903AA4"/>
    <w:rsid w:val="59996DA8"/>
    <w:rsid w:val="59AC3CE9"/>
    <w:rsid w:val="59C30F1B"/>
    <w:rsid w:val="5A0D5854"/>
    <w:rsid w:val="5A20156F"/>
    <w:rsid w:val="5A250E62"/>
    <w:rsid w:val="5A8E5D27"/>
    <w:rsid w:val="5A9847F3"/>
    <w:rsid w:val="5AC7121C"/>
    <w:rsid w:val="5AD90B8D"/>
    <w:rsid w:val="5AE12927"/>
    <w:rsid w:val="5B2243E9"/>
    <w:rsid w:val="5B4E1A44"/>
    <w:rsid w:val="5B666742"/>
    <w:rsid w:val="5B6919B0"/>
    <w:rsid w:val="5B873201"/>
    <w:rsid w:val="5B89551D"/>
    <w:rsid w:val="5B967767"/>
    <w:rsid w:val="5B9E55DE"/>
    <w:rsid w:val="5C1D18D2"/>
    <w:rsid w:val="5C286807"/>
    <w:rsid w:val="5C446BC8"/>
    <w:rsid w:val="5C4C687B"/>
    <w:rsid w:val="5C7C2768"/>
    <w:rsid w:val="5CB23AE6"/>
    <w:rsid w:val="5CB843E0"/>
    <w:rsid w:val="5CF55792"/>
    <w:rsid w:val="5CFD533A"/>
    <w:rsid w:val="5D893B14"/>
    <w:rsid w:val="5D9F3D30"/>
    <w:rsid w:val="5E2810D5"/>
    <w:rsid w:val="5E2B7D62"/>
    <w:rsid w:val="5E2F31A6"/>
    <w:rsid w:val="5E71411E"/>
    <w:rsid w:val="5EA06921"/>
    <w:rsid w:val="5ED5006A"/>
    <w:rsid w:val="5F576E4B"/>
    <w:rsid w:val="5F5D4EDE"/>
    <w:rsid w:val="5F7A2C30"/>
    <w:rsid w:val="5FBE370A"/>
    <w:rsid w:val="60292845"/>
    <w:rsid w:val="61027308"/>
    <w:rsid w:val="612E1A5D"/>
    <w:rsid w:val="61816046"/>
    <w:rsid w:val="61881DE7"/>
    <w:rsid w:val="62182687"/>
    <w:rsid w:val="62391564"/>
    <w:rsid w:val="62816669"/>
    <w:rsid w:val="62BA0953"/>
    <w:rsid w:val="62D03A7C"/>
    <w:rsid w:val="62F16BCB"/>
    <w:rsid w:val="62F648FE"/>
    <w:rsid w:val="630A30D8"/>
    <w:rsid w:val="63341DB1"/>
    <w:rsid w:val="63447612"/>
    <w:rsid w:val="63907004"/>
    <w:rsid w:val="63A10995"/>
    <w:rsid w:val="63C23EFA"/>
    <w:rsid w:val="643A070A"/>
    <w:rsid w:val="644C573D"/>
    <w:rsid w:val="648667A7"/>
    <w:rsid w:val="64DB383A"/>
    <w:rsid w:val="65032F85"/>
    <w:rsid w:val="65136B50"/>
    <w:rsid w:val="653B0C50"/>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2031B6"/>
    <w:rsid w:val="6A440C53"/>
    <w:rsid w:val="6A507D0C"/>
    <w:rsid w:val="6AC61F6F"/>
    <w:rsid w:val="6ADE74F0"/>
    <w:rsid w:val="6B1002C0"/>
    <w:rsid w:val="6B1F5CFA"/>
    <w:rsid w:val="6B723594"/>
    <w:rsid w:val="6B805156"/>
    <w:rsid w:val="6BD50977"/>
    <w:rsid w:val="6BEA2A9B"/>
    <w:rsid w:val="6C9C0875"/>
    <w:rsid w:val="6C9D1F03"/>
    <w:rsid w:val="6CAA3931"/>
    <w:rsid w:val="6D3933CA"/>
    <w:rsid w:val="6D7B61EC"/>
    <w:rsid w:val="6DC3266E"/>
    <w:rsid w:val="6DD049FF"/>
    <w:rsid w:val="6E09491E"/>
    <w:rsid w:val="6E0D3655"/>
    <w:rsid w:val="6E5F4465"/>
    <w:rsid w:val="6E8C54DA"/>
    <w:rsid w:val="6EF11E03"/>
    <w:rsid w:val="6F111C62"/>
    <w:rsid w:val="6F2176E5"/>
    <w:rsid w:val="6F3053CA"/>
    <w:rsid w:val="6F592303"/>
    <w:rsid w:val="6F5F5B74"/>
    <w:rsid w:val="6F9B1C65"/>
    <w:rsid w:val="6FD47A25"/>
    <w:rsid w:val="6FF44026"/>
    <w:rsid w:val="6FFB146E"/>
    <w:rsid w:val="701A5C74"/>
    <w:rsid w:val="706516C3"/>
    <w:rsid w:val="70864A71"/>
    <w:rsid w:val="70896E68"/>
    <w:rsid w:val="71322C59"/>
    <w:rsid w:val="714556B4"/>
    <w:rsid w:val="715B60E9"/>
    <w:rsid w:val="71860FA0"/>
    <w:rsid w:val="71E96309"/>
    <w:rsid w:val="71EA1FED"/>
    <w:rsid w:val="72284A0C"/>
    <w:rsid w:val="72C16204"/>
    <w:rsid w:val="730313F6"/>
    <w:rsid w:val="731E1007"/>
    <w:rsid w:val="73370D24"/>
    <w:rsid w:val="7359268C"/>
    <w:rsid w:val="739503EB"/>
    <w:rsid w:val="73A05B28"/>
    <w:rsid w:val="73C07D69"/>
    <w:rsid w:val="749E2255"/>
    <w:rsid w:val="74B42AE4"/>
    <w:rsid w:val="750A429D"/>
    <w:rsid w:val="75167F59"/>
    <w:rsid w:val="754D77D2"/>
    <w:rsid w:val="755D38A7"/>
    <w:rsid w:val="755F5A0F"/>
    <w:rsid w:val="75614792"/>
    <w:rsid w:val="756672DA"/>
    <w:rsid w:val="756E5849"/>
    <w:rsid w:val="75784473"/>
    <w:rsid w:val="757E044C"/>
    <w:rsid w:val="75977BC3"/>
    <w:rsid w:val="75B161B3"/>
    <w:rsid w:val="75E470E3"/>
    <w:rsid w:val="76736B32"/>
    <w:rsid w:val="76E3765E"/>
    <w:rsid w:val="76FC2AFA"/>
    <w:rsid w:val="773F0836"/>
    <w:rsid w:val="77653671"/>
    <w:rsid w:val="778546CC"/>
    <w:rsid w:val="77B56730"/>
    <w:rsid w:val="77C04A8B"/>
    <w:rsid w:val="77D85DB3"/>
    <w:rsid w:val="780252A0"/>
    <w:rsid w:val="78027772"/>
    <w:rsid w:val="78A50513"/>
    <w:rsid w:val="78B92B9D"/>
    <w:rsid w:val="793B7339"/>
    <w:rsid w:val="796518DD"/>
    <w:rsid w:val="796E0C55"/>
    <w:rsid w:val="79AA0532"/>
    <w:rsid w:val="79B82D71"/>
    <w:rsid w:val="79F70999"/>
    <w:rsid w:val="79FE1DDD"/>
    <w:rsid w:val="7A075767"/>
    <w:rsid w:val="7A212062"/>
    <w:rsid w:val="7A282A11"/>
    <w:rsid w:val="7AB90FF6"/>
    <w:rsid w:val="7AC21562"/>
    <w:rsid w:val="7AD474A4"/>
    <w:rsid w:val="7B115232"/>
    <w:rsid w:val="7B3E6396"/>
    <w:rsid w:val="7B416BDC"/>
    <w:rsid w:val="7B5350AD"/>
    <w:rsid w:val="7B6867EB"/>
    <w:rsid w:val="7B697C89"/>
    <w:rsid w:val="7B8D34C3"/>
    <w:rsid w:val="7B971D84"/>
    <w:rsid w:val="7BF32F03"/>
    <w:rsid w:val="7C1724A5"/>
    <w:rsid w:val="7C8E3CCF"/>
    <w:rsid w:val="7CA54112"/>
    <w:rsid w:val="7CBC5262"/>
    <w:rsid w:val="7CE50CE4"/>
    <w:rsid w:val="7D2177E3"/>
    <w:rsid w:val="7D2E5ABF"/>
    <w:rsid w:val="7E2142A2"/>
    <w:rsid w:val="7E4F5384"/>
    <w:rsid w:val="7E5A6DFA"/>
    <w:rsid w:val="7E730D4D"/>
    <w:rsid w:val="7E7B0BF2"/>
    <w:rsid w:val="7E7C7A78"/>
    <w:rsid w:val="7E8D75B6"/>
    <w:rsid w:val="7EB2417D"/>
    <w:rsid w:val="7EF760EE"/>
    <w:rsid w:val="7F2A21E7"/>
    <w:rsid w:val="7F763FE8"/>
    <w:rsid w:val="7F8048A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1"/>
    <w:unhideWhenUsed/>
    <w:qFormat/>
    <w:uiPriority w:val="9"/>
    <w:pPr>
      <w:keepNext/>
      <w:keepLines/>
      <w:outlineLvl w:val="2"/>
    </w:pPr>
    <w:rPr>
      <w:b/>
      <w:bCs/>
      <w:sz w:val="28"/>
      <w:szCs w:val="32"/>
    </w:rPr>
  </w:style>
  <w:style w:type="paragraph" w:styleId="6">
    <w:name w:val="heading 4"/>
    <w:basedOn w:val="1"/>
    <w:next w:val="1"/>
    <w:link w:val="33"/>
    <w:unhideWhenUsed/>
    <w:qFormat/>
    <w:uiPriority w:val="9"/>
    <w:pPr>
      <w:keepNext/>
      <w:keepLines/>
      <w:outlineLvl w:val="3"/>
    </w:pPr>
    <w:rPr>
      <w:rFonts w:asciiTheme="majorHAnsi" w:hAnsiTheme="majorHAnsi" w:cstheme="majorBidi"/>
      <w:b/>
      <w:bCs/>
      <w:sz w:val="24"/>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1"/>
    <w:pPr>
      <w:spacing w:before="161"/>
      <w:ind w:left="120"/>
    </w:pPr>
    <w:rPr>
      <w:rFonts w:ascii="宋体" w:hAnsi="宋体" w:cs="宋体"/>
      <w:sz w:val="24"/>
      <w:lang w:val="zh-CN" w:bidi="zh-CN"/>
    </w:rPr>
  </w:style>
  <w:style w:type="paragraph" w:styleId="7">
    <w:name w:val="annotation text"/>
    <w:basedOn w:val="1"/>
    <w:semiHidden/>
    <w:unhideWhenUsed/>
    <w:qFormat/>
    <w:uiPriority w:val="99"/>
  </w:style>
  <w:style w:type="paragraph" w:styleId="8">
    <w:name w:val="toc 3"/>
    <w:basedOn w:val="1"/>
    <w:next w:val="1"/>
    <w:unhideWhenUsed/>
    <w:qFormat/>
    <w:uiPriority w:val="39"/>
    <w:pPr>
      <w:tabs>
        <w:tab w:val="right" w:leader="dot" w:pos="8296"/>
      </w:tabs>
      <w:ind w:left="838" w:leftChars="381"/>
    </w:pPr>
    <w:rPr>
      <w:szCs w:val="21"/>
    </w:rPr>
  </w:style>
  <w:style w:type="paragraph" w:styleId="9">
    <w:name w:val="Plain Text"/>
    <w:basedOn w:val="1"/>
    <w:link w:val="44"/>
    <w:qFormat/>
    <w:uiPriority w:val="0"/>
    <w:pPr>
      <w:widowControl w:val="0"/>
      <w:adjustRightInd/>
      <w:snapToGrid/>
      <w:jc w:val="both"/>
    </w:pPr>
    <w:rPr>
      <w:rFonts w:ascii="宋体" w:hAnsi="Courier New" w:cs="Times New Roman"/>
      <w:b/>
      <w:kern w:val="2"/>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47"/>
    <w:semiHidden/>
    <w:unhideWhenUsed/>
    <w:qFormat/>
    <w:uiPriority w:val="99"/>
    <w:rPr>
      <w:sz w:val="18"/>
      <w:szCs w:val="18"/>
    </w:rPr>
  </w:style>
  <w:style w:type="paragraph" w:styleId="12">
    <w:name w:val="footer"/>
    <w:basedOn w:val="1"/>
    <w:link w:val="46"/>
    <w:unhideWhenUsed/>
    <w:qFormat/>
    <w:uiPriority w:val="99"/>
    <w:pPr>
      <w:tabs>
        <w:tab w:val="center" w:pos="4153"/>
        <w:tab w:val="right" w:pos="8306"/>
      </w:tabs>
    </w:pPr>
    <w:rPr>
      <w:sz w:val="18"/>
      <w:szCs w:val="18"/>
    </w:rPr>
  </w:style>
  <w:style w:type="paragraph" w:styleId="13">
    <w:name w:val="header"/>
    <w:basedOn w:val="1"/>
    <w:link w:val="45"/>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footnote text"/>
    <w:basedOn w:val="1"/>
    <w:semiHidden/>
    <w:unhideWhenUsed/>
    <w:qFormat/>
    <w:uiPriority w:val="99"/>
    <w:rPr>
      <w:sz w:val="18"/>
    </w:rPr>
  </w:style>
  <w:style w:type="paragraph" w:styleId="19">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0">
    <w:name w:val="Normal (Web)"/>
    <w:basedOn w:val="1"/>
    <w:link w:val="49"/>
    <w:qFormat/>
    <w:uiPriority w:val="0"/>
    <w:pPr>
      <w:widowControl w:val="0"/>
      <w:adjustRightInd/>
      <w:snapToGrid/>
      <w:jc w:val="both"/>
    </w:pPr>
    <w:rPr>
      <w:rFonts w:asciiTheme="minorHAnsi" w:hAnsiTheme="minorHAnsi"/>
      <w:kern w:val="2"/>
      <w:sz w:val="24"/>
      <w:szCs w:val="24"/>
    </w:rPr>
  </w:style>
  <w:style w:type="paragraph" w:styleId="21">
    <w:name w:val="Body Text First Indent"/>
    <w:basedOn w:val="2"/>
    <w:unhideWhenUsed/>
    <w:qFormat/>
    <w:uiPriority w:val="99"/>
    <w:pPr>
      <w:ind w:firstLine="420" w:firstLineChars="100"/>
    </w:pPr>
    <w:rPr>
      <w:rFonts w:ascii="Times New Roman" w:hAnsi="Times New Roman" w:cs="Times New Roman"/>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Emphasis"/>
    <w:basedOn w:val="24"/>
    <w:qFormat/>
    <w:uiPriority w:val="20"/>
    <w:rPr>
      <w:i/>
      <w:iCs/>
    </w:rPr>
  </w:style>
  <w:style w:type="character" w:styleId="26">
    <w:name w:val="Hyperlink"/>
    <w:qFormat/>
    <w:uiPriority w:val="99"/>
    <w:rPr>
      <w:rFonts w:hint="eastAsia" w:ascii="宋体" w:hAnsi="宋体" w:eastAsia="宋体" w:cs="宋体"/>
      <w:b/>
      <w:color w:val="0031C1"/>
      <w:kern w:val="0"/>
      <w:sz w:val="18"/>
      <w:szCs w:val="18"/>
      <w:u w:val="none"/>
      <w:lang w:eastAsia="en-US"/>
    </w:rPr>
  </w:style>
  <w:style w:type="character" w:styleId="27">
    <w:name w:val="annotation reference"/>
    <w:basedOn w:val="24"/>
    <w:semiHidden/>
    <w:unhideWhenUsed/>
    <w:qFormat/>
    <w:uiPriority w:val="99"/>
    <w:rPr>
      <w:sz w:val="21"/>
      <w:szCs w:val="21"/>
    </w:rPr>
  </w:style>
  <w:style w:type="character" w:styleId="28">
    <w:name w:val="footnote reference"/>
    <w:basedOn w:val="24"/>
    <w:semiHidden/>
    <w:unhideWhenUsed/>
    <w:qFormat/>
    <w:uiPriority w:val="99"/>
    <w:rPr>
      <w:vertAlign w:val="superscript"/>
    </w:rPr>
  </w:style>
  <w:style w:type="paragraph" w:customStyle="1" w:styleId="29">
    <w:name w:val="表格文字"/>
    <w:basedOn w:val="1"/>
    <w:qFormat/>
    <w:uiPriority w:val="0"/>
    <w:pPr>
      <w:adjustRightInd/>
      <w:spacing w:before="25" w:after="25"/>
    </w:pPr>
    <w:rPr>
      <w:rFonts w:ascii="Times New Roman"/>
      <w:bCs/>
      <w:spacing w:val="10"/>
      <w:szCs w:val="20"/>
    </w:rPr>
  </w:style>
  <w:style w:type="character" w:customStyle="1" w:styleId="30">
    <w:name w:val="标题 2 Char"/>
    <w:basedOn w:val="24"/>
    <w:link w:val="4"/>
    <w:qFormat/>
    <w:uiPriority w:val="9"/>
    <w:rPr>
      <w:rFonts w:asciiTheme="majorHAnsi" w:hAnsiTheme="majorHAnsi" w:eastAsiaTheme="majorEastAsia" w:cstheme="majorBidi"/>
      <w:b/>
      <w:bCs/>
      <w:sz w:val="32"/>
      <w:szCs w:val="32"/>
    </w:rPr>
  </w:style>
  <w:style w:type="character" w:customStyle="1" w:styleId="31">
    <w:name w:val="标题 3 Char"/>
    <w:basedOn w:val="24"/>
    <w:link w:val="5"/>
    <w:qFormat/>
    <w:uiPriority w:val="9"/>
    <w:rPr>
      <w:rFonts w:ascii="Tahoma" w:hAnsi="Tahoma" w:eastAsia="宋体"/>
      <w:b/>
      <w:bCs/>
      <w:sz w:val="28"/>
      <w:szCs w:val="32"/>
    </w:rPr>
  </w:style>
  <w:style w:type="paragraph" w:styleId="32">
    <w:name w:val="List Paragraph"/>
    <w:basedOn w:val="1"/>
    <w:qFormat/>
    <w:uiPriority w:val="34"/>
    <w:pPr>
      <w:ind w:firstLine="420" w:firstLineChars="200"/>
    </w:pPr>
  </w:style>
  <w:style w:type="character" w:customStyle="1" w:styleId="33">
    <w:name w:val="标题 4 Char"/>
    <w:basedOn w:val="24"/>
    <w:link w:val="6"/>
    <w:qFormat/>
    <w:uiPriority w:val="9"/>
    <w:rPr>
      <w:rFonts w:eastAsia="宋体" w:asciiTheme="majorHAnsi" w:hAnsiTheme="majorHAnsi" w:cstheme="majorBidi"/>
      <w:b/>
      <w:bCs/>
      <w:sz w:val="24"/>
      <w:szCs w:val="28"/>
    </w:rPr>
  </w:style>
  <w:style w:type="character" w:customStyle="1" w:styleId="34">
    <w:name w:val="正文缩进2格 Char"/>
    <w:link w:val="35"/>
    <w:qFormat/>
    <w:uiPriority w:val="0"/>
    <w:rPr>
      <w:rFonts w:ascii="仿宋_GB2312" w:hAnsi="宋体" w:eastAsia="仿宋_GB2312"/>
      <w:kern w:val="2"/>
      <w:sz w:val="31"/>
    </w:rPr>
  </w:style>
  <w:style w:type="paragraph" w:customStyle="1" w:styleId="35">
    <w:name w:val="正文缩进2格"/>
    <w:basedOn w:val="1"/>
    <w:link w:val="34"/>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36">
    <w:name w:val="正文缩进4格"/>
    <w:basedOn w:val="35"/>
    <w:qFormat/>
    <w:uiPriority w:val="0"/>
    <w:pPr>
      <w:ind w:left="2" w:firstLine="538" w:firstLineChars="192"/>
    </w:pPr>
    <w:rPr>
      <w:color w:val="0000FF"/>
      <w:sz w:val="28"/>
    </w:rPr>
  </w:style>
  <w:style w:type="character" w:customStyle="1" w:styleId="37">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8">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39">
    <w:name w:val="标题1"/>
    <w:qFormat/>
    <w:uiPriority w:val="0"/>
    <w:rPr>
      <w:rFonts w:ascii="Times New Roman" w:hAnsi="Times New Roman" w:eastAsia="宋体" w:cs="Times New Roman"/>
      <w:b/>
      <w:kern w:val="0"/>
      <w:sz w:val="24"/>
      <w:szCs w:val="20"/>
      <w:lang w:eastAsia="en-US"/>
    </w:rPr>
  </w:style>
  <w:style w:type="character" w:customStyle="1" w:styleId="40">
    <w:name w:val="标题 3.1 Char"/>
    <w:link w:val="41"/>
    <w:qFormat/>
    <w:uiPriority w:val="0"/>
    <w:rPr>
      <w:rFonts w:ascii="宋体" w:hAnsi="宋体" w:eastAsia="宋体"/>
      <w:b/>
      <w:color w:val="FF0000"/>
      <w:kern w:val="2"/>
      <w:sz w:val="32"/>
    </w:rPr>
  </w:style>
  <w:style w:type="paragraph" w:customStyle="1" w:styleId="41">
    <w:name w:val="标题 3.1"/>
    <w:basedOn w:val="5"/>
    <w:link w:val="40"/>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2">
    <w:name w:val="样式 楷体_GB2312 小四"/>
    <w:qFormat/>
    <w:uiPriority w:val="0"/>
    <w:rPr>
      <w:rFonts w:ascii="楷体_GB2312" w:hAnsi="楷体_GB2312" w:eastAsia="仿宋_GB2312"/>
      <w:sz w:val="24"/>
    </w:rPr>
  </w:style>
  <w:style w:type="character" w:customStyle="1" w:styleId="43">
    <w:name w:val="纯文本 Char"/>
    <w:qFormat/>
    <w:uiPriority w:val="0"/>
    <w:rPr>
      <w:rFonts w:ascii="宋体" w:hAnsi="Courier New" w:eastAsia="宋体" w:cs="Times New Roman"/>
      <w:b/>
      <w:kern w:val="2"/>
      <w:sz w:val="21"/>
      <w:szCs w:val="20"/>
    </w:rPr>
  </w:style>
  <w:style w:type="character" w:customStyle="1" w:styleId="44">
    <w:name w:val="纯文本 Char1"/>
    <w:basedOn w:val="24"/>
    <w:link w:val="9"/>
    <w:semiHidden/>
    <w:qFormat/>
    <w:uiPriority w:val="99"/>
    <w:rPr>
      <w:rFonts w:ascii="宋体" w:hAnsi="Courier New" w:eastAsia="宋体" w:cs="Courier New"/>
      <w:sz w:val="21"/>
      <w:szCs w:val="21"/>
    </w:rPr>
  </w:style>
  <w:style w:type="character" w:customStyle="1" w:styleId="45">
    <w:name w:val="页眉 Char"/>
    <w:basedOn w:val="24"/>
    <w:link w:val="13"/>
    <w:qFormat/>
    <w:uiPriority w:val="99"/>
    <w:rPr>
      <w:rFonts w:ascii="Tahoma" w:hAnsi="Tahoma"/>
      <w:sz w:val="18"/>
      <w:szCs w:val="18"/>
    </w:rPr>
  </w:style>
  <w:style w:type="character" w:customStyle="1" w:styleId="46">
    <w:name w:val="页脚 Char"/>
    <w:basedOn w:val="24"/>
    <w:link w:val="12"/>
    <w:qFormat/>
    <w:uiPriority w:val="99"/>
    <w:rPr>
      <w:rFonts w:ascii="Tahoma" w:hAnsi="Tahoma"/>
      <w:sz w:val="18"/>
      <w:szCs w:val="18"/>
    </w:rPr>
  </w:style>
  <w:style w:type="character" w:customStyle="1" w:styleId="47">
    <w:name w:val="批注框文本 Char"/>
    <w:basedOn w:val="24"/>
    <w:link w:val="11"/>
    <w:semiHidden/>
    <w:qFormat/>
    <w:uiPriority w:val="99"/>
    <w:rPr>
      <w:rFonts w:ascii="Tahoma" w:hAnsi="Tahoma"/>
      <w:sz w:val="18"/>
      <w:szCs w:val="18"/>
    </w:rPr>
  </w:style>
  <w:style w:type="paragraph" w:customStyle="1" w:styleId="48">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49">
    <w:name w:val="普通(网站) Char"/>
    <w:link w:val="20"/>
    <w:qFormat/>
    <w:uiPriority w:val="0"/>
    <w:rPr>
      <w:rFonts w:eastAsia="宋体"/>
      <w:kern w:val="2"/>
      <w:sz w:val="24"/>
      <w:szCs w:val="24"/>
    </w:rPr>
  </w:style>
  <w:style w:type="paragraph" w:customStyle="1" w:styleId="50">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1">
    <w:name w:val="p141"/>
    <w:qFormat/>
    <w:uiPriority w:val="0"/>
    <w:rPr>
      <w:sz w:val="21"/>
      <w:szCs w:val="21"/>
    </w:rPr>
  </w:style>
  <w:style w:type="paragraph" w:customStyle="1" w:styleId="52">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3">
    <w:name w:val="正文无缩进"/>
    <w:basedOn w:val="35"/>
    <w:qFormat/>
    <w:uiPriority w:val="0"/>
    <w:pPr>
      <w:ind w:firstLine="0" w:firstLineChars="0"/>
    </w:pPr>
  </w:style>
  <w:style w:type="paragraph" w:customStyle="1" w:styleId="54">
    <w:name w:val="一级条标题"/>
    <w:basedOn w:val="55"/>
    <w:next w:val="56"/>
    <w:qFormat/>
    <w:uiPriority w:val="0"/>
    <w:pPr>
      <w:tabs>
        <w:tab w:val="left" w:pos="720"/>
      </w:tabs>
      <w:spacing w:beforeLines="0" w:afterLines="0"/>
      <w:outlineLvl w:val="2"/>
    </w:pPr>
  </w:style>
  <w:style w:type="paragraph" w:customStyle="1" w:styleId="55">
    <w:name w:val="章标题"/>
    <w:next w:val="1"/>
    <w:qFormat/>
    <w:uiPriority w:val="0"/>
    <w:pPr>
      <w:tabs>
        <w:tab w:val="left" w:pos="720"/>
      </w:tabs>
      <w:spacing w:beforeLines="50" w:afterLines="50"/>
      <w:ind w:left="567" w:hanging="567"/>
      <w:jc w:val="both"/>
      <w:outlineLvl w:val="1"/>
    </w:pPr>
    <w:rPr>
      <w:rFonts w:ascii="黑体" w:hAnsi="Times New Roman" w:eastAsia="黑体" w:cs="Times New Roman"/>
      <w:sz w:val="21"/>
      <w:lang w:val="en-US" w:eastAsia="zh-CN" w:bidi="ar-SA"/>
    </w:rPr>
  </w:style>
  <w:style w:type="paragraph" w:customStyle="1" w:styleId="5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57">
    <w:name w:val="No Spacing"/>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58">
    <w:name w:val="无间隔1"/>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89</Pages>
  <Words>7362</Words>
  <Characters>41965</Characters>
  <Lines>349</Lines>
  <Paragraphs>98</Paragraphs>
  <TotalTime>19</TotalTime>
  <ScaleCrop>false</ScaleCrop>
  <LinksUpToDate>false</LinksUpToDate>
  <CharactersWithSpaces>49229</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Lu</cp:lastModifiedBy>
  <cp:lastPrinted>2021-04-23T09:50:00Z</cp:lastPrinted>
  <dcterms:modified xsi:type="dcterms:W3CDTF">2021-11-29T02:42:29Z</dcterms:modified>
  <dc:subject>公开招标文件版本</dc:subject>
  <dc:title>公开招标文件版本</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5796E1353068409ABAFFC5FB17325B30</vt:lpwstr>
  </property>
</Properties>
</file>