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2"/>
          <w:szCs w:val="32"/>
          <w:highlight w:val="none"/>
          <w:lang w:val="en-US" w:eastAsia="zh-CN"/>
        </w:rPr>
      </w:pPr>
    </w:p>
    <w:p>
      <w:pPr>
        <w:jc w:val="center"/>
        <w:rPr>
          <w:b/>
          <w:color w:val="auto"/>
          <w:sz w:val="72"/>
          <w:szCs w:val="32"/>
          <w:highlight w:val="none"/>
        </w:rPr>
      </w:pPr>
      <w:r>
        <w:rPr>
          <w:rFonts w:hint="eastAsia" w:ascii="黑体" w:eastAsia="黑体"/>
          <w:b/>
          <w:color w:val="auto"/>
          <w:sz w:val="72"/>
          <w:szCs w:val="32"/>
          <w:highlight w:val="none"/>
          <w:lang w:val="en-US" w:eastAsia="zh-CN"/>
        </w:rPr>
        <w:t>公开招标</w:t>
      </w:r>
      <w:r>
        <w:rPr>
          <w:rFonts w:hint="eastAsia" w:ascii="黑体" w:eastAsia="黑体"/>
          <w:b/>
          <w:color w:val="auto"/>
          <w:sz w:val="72"/>
          <w:szCs w:val="32"/>
          <w:highlight w:val="none"/>
        </w:rPr>
        <w:t>文件</w:t>
      </w:r>
    </w:p>
    <w:p>
      <w:pPr>
        <w:jc w:val="center"/>
        <w:rPr>
          <w:rFonts w:hint="eastAsia"/>
          <w:color w:val="auto"/>
          <w:highlight w:val="none"/>
        </w:rPr>
      </w:pPr>
      <w:r>
        <w:rPr>
          <w:rFonts w:hint="eastAsia" w:ascii="黑体" w:hAnsi="黑体" w:eastAsia="黑体" w:cs="黑体"/>
          <w:b w:val="0"/>
          <w:bCs/>
          <w:color w:val="auto"/>
          <w:spacing w:val="57"/>
          <w:sz w:val="72"/>
          <w:szCs w:val="72"/>
          <w:highlight w:val="none"/>
        </w:rPr>
        <w:t>东莞市政府采购</w:t>
      </w:r>
    </w:p>
    <w:p>
      <w:pPr>
        <w:pStyle w:val="7"/>
        <w:jc w:val="center"/>
        <w:rPr>
          <w:rFonts w:hint="eastAsia" w:ascii="黑体" w:eastAsia="黑体"/>
          <w:color w:val="auto"/>
          <w:szCs w:val="21"/>
          <w:highlight w:val="none"/>
          <w:lang w:eastAsia="zh-CN"/>
        </w:rPr>
      </w:pPr>
      <w:r>
        <w:rPr>
          <w:rFonts w:hint="eastAsia" w:ascii="黑体" w:eastAsia="黑体"/>
          <w:color w:val="auto"/>
          <w:szCs w:val="21"/>
          <w:highlight w:val="none"/>
          <w:lang w:eastAsia="zh-CN"/>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8"/>
        <w:ind w:left="0" w:leftChars="0" w:firstLine="0" w:firstLineChars="0"/>
        <w:rPr>
          <w:rFonts w:hint="eastAsia" w:ascii="黑体" w:eastAsia="黑体"/>
          <w:color w:val="auto"/>
          <w:szCs w:val="21"/>
          <w:highlight w:val="none"/>
          <w:lang w:eastAsia="zh-CN"/>
        </w:rPr>
      </w:pPr>
    </w:p>
    <w:p>
      <w:pPr>
        <w:pStyle w:val="8"/>
        <w:ind w:left="0" w:leftChars="0" w:firstLine="0" w:firstLineChars="0"/>
        <w:rPr>
          <w:rFonts w:hint="eastAsia" w:ascii="黑体" w:eastAsia="黑体"/>
          <w:color w:val="auto"/>
          <w:szCs w:val="21"/>
          <w:highlight w:val="none"/>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项目编号</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GDZT2021120A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东莞市横沥镇社区卫生服务中心各站点零星工程（广告招牌）采购项目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lang w:val="en-US" w:eastAsia="zh-CN"/>
              </w:rPr>
              <w:t>盖章</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东莞市横沥镇社区卫生服务中心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lang w:val="en-US" w:eastAsia="zh-CN"/>
              </w:rPr>
              <w:t>招标代理（盖章）：</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广东政通招标有限公司</w:t>
            </w:r>
          </w:p>
        </w:tc>
      </w:tr>
    </w:tbl>
    <w:p>
      <w:pPr>
        <w:jc w:val="both"/>
        <w:rPr>
          <w:rFonts w:ascii="黑体" w:eastAsia="黑体"/>
          <w:color w:val="auto"/>
          <w:szCs w:val="21"/>
          <w:highlight w:val="none"/>
        </w:rPr>
      </w:pPr>
    </w:p>
    <w:p>
      <w:pPr>
        <w:pStyle w:val="20"/>
        <w:rPr>
          <w:color w:val="auto"/>
          <w:sz w:val="32"/>
          <w:szCs w:val="32"/>
          <w:highlight w:val="none"/>
        </w:rPr>
        <w:sectPr>
          <w:headerReference r:id="rId6" w:type="first"/>
          <w:footerReference r:id="rId8" w:type="first"/>
          <w:headerReference r:id="rId5" w:type="defaul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rPr>
        <w:t>（本提示内容非招标文件的组成部分，仅</w:t>
      </w:r>
      <w:r>
        <w:rPr>
          <w:rFonts w:hint="eastAsia" w:ascii="宋体" w:hAnsi="宋体" w:eastAsia="宋体" w:cs="宋体"/>
          <w:b/>
          <w:bCs w:val="0"/>
          <w:color w:val="auto"/>
          <w:sz w:val="21"/>
          <w:szCs w:val="21"/>
          <w:highlight w:val="none"/>
          <w:u w:val="none"/>
          <w:lang w:val="en-US" w:eastAsia="zh-CN"/>
        </w:rPr>
        <w:t>起</w:t>
      </w:r>
      <w:r>
        <w:rPr>
          <w:rFonts w:hint="eastAsia" w:ascii="宋体" w:hAnsi="宋体" w:eastAsia="宋体" w:cs="宋体"/>
          <w:b/>
          <w:bCs w:val="0"/>
          <w:color w:val="auto"/>
          <w:sz w:val="21"/>
          <w:szCs w:val="21"/>
          <w:highlight w:val="none"/>
          <w:u w:val="none"/>
        </w:rPr>
        <w:t>提醒</w:t>
      </w:r>
      <w:r>
        <w:rPr>
          <w:rFonts w:hint="eastAsia" w:ascii="宋体" w:hAnsi="宋体" w:eastAsia="宋体" w:cs="宋体"/>
          <w:b/>
          <w:bCs w:val="0"/>
          <w:color w:val="auto"/>
          <w:sz w:val="21"/>
          <w:szCs w:val="21"/>
          <w:highlight w:val="none"/>
          <w:u w:val="none"/>
          <w:lang w:val="en-US" w:eastAsia="zh-CN"/>
        </w:rPr>
        <w:t>作用</w:t>
      </w:r>
      <w:r>
        <w:rPr>
          <w:rFonts w:hint="eastAsia" w:ascii="宋体" w:hAnsi="宋体" w:eastAsia="宋体" w:cs="宋体"/>
          <w:b/>
          <w:bCs w:val="0"/>
          <w:color w:val="auto"/>
          <w:sz w:val="21"/>
          <w:szCs w:val="21"/>
          <w:highlight w:val="none"/>
          <w:u w:val="none"/>
        </w:rPr>
        <w:t>；如有不一致，以招标文件为准）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rPr>
        <w:t>请各投标供应商在制作投标文件时认真阅读本招标文件的内容。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rPr>
        <w:t>建议投标供应商将投标文件正本、副本、唱标信封分别密封包装，并按照招标文件“第</w:t>
      </w: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部分</w:t>
      </w:r>
      <w:r>
        <w:rPr>
          <w:rFonts w:hint="eastAsia" w:ascii="宋体" w:hAnsi="宋体" w:eastAsia="宋体" w:cs="宋体"/>
          <w:b/>
          <w:bCs w:val="0"/>
          <w:color w:val="auto"/>
          <w:sz w:val="21"/>
          <w:szCs w:val="21"/>
          <w:highlight w:val="none"/>
          <w:u w:val="none"/>
        </w:rPr>
        <w:t xml:space="preserve"> 投标人须知 </w:t>
      </w:r>
      <w:r>
        <w:rPr>
          <w:rFonts w:hint="eastAsia" w:ascii="宋体" w:hAnsi="宋体" w:eastAsia="宋体" w:cs="宋体"/>
          <w:b/>
          <w:bCs w:val="0"/>
          <w:color w:val="auto"/>
          <w:sz w:val="21"/>
          <w:szCs w:val="21"/>
          <w:highlight w:val="none"/>
          <w:u w:val="none"/>
          <w:lang w:val="en-US" w:eastAsia="zh-CN"/>
        </w:rPr>
        <w:t>第四章</w:t>
      </w:r>
      <w:r>
        <w:rPr>
          <w:rFonts w:hint="eastAsia" w:ascii="宋体" w:hAnsi="宋体" w:eastAsia="宋体" w:cs="宋体"/>
          <w:b/>
          <w:bCs w:val="0"/>
          <w:color w:val="auto"/>
          <w:sz w:val="21"/>
          <w:szCs w:val="21"/>
          <w:highlight w:val="none"/>
          <w:u w:val="none"/>
        </w:rPr>
        <w:t>投标文件的递交”中相关要求进行提交，避免因密封包装不符合要求而导致投标文件被退回。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4、</w:t>
      </w:r>
      <w:r>
        <w:rPr>
          <w:rFonts w:hint="eastAsia" w:ascii="宋体" w:hAnsi="宋体" w:eastAsia="宋体" w:cs="宋体"/>
          <w:b/>
          <w:bCs w:val="0"/>
          <w:color w:val="auto"/>
          <w:sz w:val="21"/>
          <w:szCs w:val="21"/>
          <w:highlight w:val="none"/>
          <w:u w:val="none"/>
        </w:rPr>
        <w:t>请正确填写《</w:t>
      </w:r>
      <w:r>
        <w:rPr>
          <w:rFonts w:hint="eastAsia" w:ascii="宋体" w:hAnsi="宋体" w:eastAsia="宋体" w:cs="宋体"/>
          <w:b/>
          <w:bCs w:val="0"/>
          <w:color w:val="auto"/>
          <w:sz w:val="21"/>
          <w:szCs w:val="21"/>
          <w:highlight w:val="none"/>
          <w:u w:val="none"/>
          <w:lang w:val="en-US" w:eastAsia="zh-CN"/>
        </w:rPr>
        <w:t>唱标</w:t>
      </w:r>
      <w:r>
        <w:rPr>
          <w:rFonts w:hint="eastAsia" w:ascii="宋体" w:hAnsi="宋体" w:eastAsia="宋体" w:cs="宋体"/>
          <w:b/>
          <w:bCs w:val="0"/>
          <w:color w:val="auto"/>
          <w:sz w:val="21"/>
          <w:szCs w:val="21"/>
          <w:highlight w:val="none"/>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5、</w:t>
      </w:r>
      <w:r>
        <w:rPr>
          <w:rFonts w:hint="eastAsia" w:ascii="宋体" w:hAnsi="宋体" w:eastAsia="宋体" w:cs="宋体"/>
          <w:b/>
          <w:bCs w:val="0"/>
          <w:color w:val="auto"/>
          <w:sz w:val="21"/>
          <w:szCs w:val="21"/>
          <w:highlight w:val="none"/>
          <w:u w:val="none"/>
        </w:rPr>
        <w:t>投标文件应</w:t>
      </w:r>
      <w:r>
        <w:rPr>
          <w:rFonts w:hint="eastAsia" w:ascii="宋体" w:hAnsi="宋体" w:eastAsia="宋体" w:cs="宋体"/>
          <w:b/>
          <w:bCs w:val="0"/>
          <w:color w:val="auto"/>
          <w:sz w:val="21"/>
          <w:szCs w:val="21"/>
          <w:highlight w:val="none"/>
          <w:u w:val="none"/>
          <w:lang w:val="en-US" w:eastAsia="zh-CN"/>
        </w:rPr>
        <w:t>编制目录及</w:t>
      </w:r>
      <w:r>
        <w:rPr>
          <w:rFonts w:hint="eastAsia" w:ascii="宋体" w:hAnsi="宋体" w:eastAsia="宋体" w:cs="宋体"/>
          <w:b/>
          <w:bCs w:val="0"/>
          <w:color w:val="auto"/>
          <w:sz w:val="21"/>
          <w:szCs w:val="21"/>
          <w:highlight w:val="none"/>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none"/>
        </w:rPr>
        <w:t>请仔细检查投标文件是否已按招标文件盖章、签名(或盖私章)、签署日期。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7、加</w:t>
      </w:r>
      <w:r>
        <w:rPr>
          <w:rFonts w:hint="eastAsia" w:ascii="宋体" w:hAnsi="宋体" w:eastAsia="宋体" w:cs="宋体"/>
          <w:b/>
          <w:bCs w:val="0"/>
          <w:color w:val="auto"/>
          <w:sz w:val="21"/>
          <w:szCs w:val="21"/>
          <w:highlight w:val="none"/>
          <w:u w:val="none"/>
        </w:rPr>
        <w:t>★号</w:t>
      </w:r>
      <w:r>
        <w:rPr>
          <w:rFonts w:hint="eastAsia" w:ascii="宋体" w:hAnsi="宋体" w:eastAsia="宋体" w:cs="宋体"/>
          <w:b/>
          <w:bCs w:val="0"/>
          <w:color w:val="auto"/>
          <w:sz w:val="21"/>
          <w:szCs w:val="21"/>
          <w:highlight w:val="none"/>
          <w:u w:val="none"/>
          <w:lang w:val="en-US" w:eastAsia="zh-CN"/>
        </w:rPr>
        <w:t>条款</w:t>
      </w:r>
      <w:r>
        <w:rPr>
          <w:rFonts w:hint="eastAsia" w:ascii="宋体" w:hAnsi="宋体" w:eastAsia="宋体" w:cs="宋体"/>
          <w:b/>
          <w:bCs w:val="0"/>
          <w:color w:val="auto"/>
          <w:sz w:val="21"/>
          <w:szCs w:val="21"/>
          <w:highlight w:val="none"/>
          <w:u w:val="none"/>
        </w:rPr>
        <w:t>必须完全响应，不响应或负偏离将导致投标无效</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8、</w:t>
      </w:r>
      <w:r>
        <w:rPr>
          <w:rFonts w:hint="eastAsia" w:ascii="宋体" w:hAnsi="宋体" w:eastAsia="宋体" w:cs="宋体"/>
          <w:b/>
          <w:bCs w:val="0"/>
          <w:color w:val="auto"/>
          <w:sz w:val="21"/>
          <w:szCs w:val="21"/>
          <w:highlight w:val="none"/>
          <w:u w:val="none"/>
        </w:rPr>
        <w:t>为避免因迟到而无法按时递交投标文件，投标供应商</w:t>
      </w:r>
      <w:r>
        <w:rPr>
          <w:rFonts w:hint="eastAsia" w:ascii="宋体" w:hAnsi="宋体" w:eastAsia="宋体" w:cs="宋体"/>
          <w:b/>
          <w:bCs w:val="0"/>
          <w:color w:val="auto"/>
          <w:sz w:val="21"/>
          <w:szCs w:val="21"/>
          <w:highlight w:val="none"/>
          <w:u w:val="none"/>
          <w:lang w:val="en-US" w:eastAsia="zh-CN"/>
        </w:rPr>
        <w:t>应自行计算路途可能出现塞车的时间，建议</w:t>
      </w:r>
      <w:r>
        <w:rPr>
          <w:rFonts w:hint="eastAsia" w:ascii="宋体" w:hAnsi="宋体" w:eastAsia="宋体" w:cs="宋体"/>
          <w:b/>
          <w:bCs w:val="0"/>
          <w:color w:val="auto"/>
          <w:sz w:val="21"/>
          <w:szCs w:val="21"/>
          <w:highlight w:val="none"/>
          <w:u w:val="none"/>
        </w:rPr>
        <w:t>在投标文件递交截止时间之前30分钟内到达开标地点</w:t>
      </w:r>
      <w:r>
        <w:rPr>
          <w:rFonts w:hint="eastAsia" w:ascii="宋体" w:hAnsi="宋体" w:eastAsia="宋体" w:cs="宋体"/>
          <w:b/>
          <w:bCs w:val="0"/>
          <w:color w:val="auto"/>
          <w:sz w:val="21"/>
          <w:szCs w:val="21"/>
          <w:highlight w:val="none"/>
          <w:u w:val="none"/>
          <w:lang w:eastAsia="zh-CN"/>
        </w:rPr>
        <w:t>，投标截止时间一到，本公司不接收任何投标文件。</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color w:val="auto"/>
          <w:highlight w:val="none"/>
        </w:rPr>
      </w:pPr>
      <w:r>
        <w:rPr>
          <w:rFonts w:hint="eastAsia" w:ascii="宋体" w:hAnsi="宋体" w:cs="宋体"/>
          <w:b/>
          <w:bCs w:val="0"/>
          <w:color w:val="auto"/>
          <w:sz w:val="21"/>
          <w:szCs w:val="21"/>
          <w:highlight w:val="none"/>
          <w:u w:val="none"/>
          <w:lang w:val="en-US" w:eastAsia="zh-CN"/>
        </w:rPr>
        <w:t>9</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为了提高政府采购效率，节约社会交易成本与时间，希望领购了招标文件而决定不参加本项目投标的供应商，在投标文件递交截止时间的</w:t>
      </w: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日前，按《投标邀请函》中的联系方式，以书面形式告知采购代理机构。对您的支持与配合，谨此致谢。</w:t>
      </w: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rFonts w:hint="eastAsia"/>
          <w:color w:val="auto"/>
          <w:sz w:val="40"/>
          <w:szCs w:val="40"/>
          <w:highlight w:val="none"/>
        </w:rPr>
        <w:sectPr>
          <w:footerReference r:id="rId10" w:type="first"/>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pP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cs="宋体"/>
          <w:color w:val="auto"/>
          <w:szCs w:val="21"/>
          <w:highlight w:val="none"/>
        </w:rPr>
        <w:fldChar w:fldCharType="begin"/>
      </w:r>
      <w:r>
        <w:rPr>
          <w:rFonts w:cs="宋体"/>
          <w:color w:val="auto"/>
          <w:szCs w:val="21"/>
          <w:highlight w:val="none"/>
        </w:rPr>
        <w:instrText xml:space="preserve">TOC \o "1-4" \h \u </w:instrText>
      </w:r>
      <w:r>
        <w:rPr>
          <w:rFonts w:cs="宋体"/>
          <w:color w:val="auto"/>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 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第二部分 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第三部分 评分权重分配表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商务技术评分及价格权重细则表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_Toc22803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_Toc27045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_Toc27045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rPr>
        <w:t>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_Toc24109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w:t>
      </w:r>
      <w:r>
        <w:rPr>
          <w:rFonts w:hint="eastAsia" w:ascii="宋体" w:hAnsi="宋体" w:eastAsia="宋体" w:cs="宋体"/>
          <w:color w:val="auto"/>
          <w:sz w:val="21"/>
          <w:szCs w:val="21"/>
          <w:highlight w:val="none"/>
        </w:rPr>
        <w:t>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_Toc24109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_Toc5049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_Toc5049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_Toc24251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_Toc16745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_Toc29184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_Toc29184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第六章</w:t>
      </w:r>
      <w:r>
        <w:rPr>
          <w:rFonts w:hint="eastAsia" w:ascii="宋体" w:hAnsi="宋体" w:eastAsia="宋体" w:cs="宋体"/>
          <w:color w:val="auto"/>
          <w:sz w:val="21"/>
          <w:szCs w:val="21"/>
          <w:highlight w:val="none"/>
        </w:rPr>
        <w:t>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第七章</w:t>
      </w:r>
      <w:r>
        <w:rPr>
          <w:rFonts w:hint="eastAsia" w:ascii="宋体" w:hAnsi="宋体" w:eastAsia="宋体" w:cs="宋体"/>
          <w:color w:val="auto"/>
          <w:sz w:val="21"/>
          <w:szCs w:val="21"/>
          <w:highlight w:val="none"/>
        </w:rPr>
        <w:t>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第八章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一、唱标一览表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二、报价明细表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三、小型或微型企业（货物/服务/承担的工程）明细表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四、节能产品或环境标志产品明细表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五、中小企业声明函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_Toc28616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二、资格申明函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三、在参与政府采购活动前三年未有重大违法记录、没有不良信用记录的声明函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四、法定代表人证明书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五、法定代表人授权书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六、投标人基本情况说明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特殊资格要求证明文件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十、招标代理服务费承诺书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技术规格偏离表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实质性条款（标记★）投标响应表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五、项目负责人及团队成员资料表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六、投标货物明细一览表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_Toc6961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第四章唱标信封（单独封装）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第五章联合体共同投标协议书（如有需要）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cs="宋体"/>
          <w:color w:val="auto"/>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rPr>
          <w:color w:val="auto"/>
          <w:sz w:val="28"/>
          <w:szCs w:val="28"/>
          <w:highlight w:val="none"/>
        </w:rPr>
      </w:pPr>
      <w:bookmarkStart w:id="0" w:name="_Toc2456"/>
      <w:bookmarkStart w:id="1" w:name="_Toc17306"/>
      <w:r>
        <w:rPr>
          <w:rFonts w:hint="eastAsia"/>
          <w:color w:val="auto"/>
          <w:sz w:val="28"/>
          <w:szCs w:val="28"/>
          <w:highlight w:val="none"/>
        </w:rPr>
        <w:t>第一部分 投标邀请</w:t>
      </w:r>
      <w:bookmarkEnd w:id="0"/>
      <w:bookmarkEnd w:id="1"/>
    </w:p>
    <w:p>
      <w:pPr>
        <w:pStyle w:val="4"/>
        <w:spacing w:before="0" w:after="0" w:line="360" w:lineRule="auto"/>
        <w:jc w:val="center"/>
        <w:rPr>
          <w:rFonts w:ascii="宋体" w:hAnsi="宋体" w:eastAsia="宋体" w:cs="宋体"/>
          <w:color w:val="auto"/>
          <w:highlight w:val="none"/>
        </w:rPr>
      </w:pPr>
      <w:bookmarkStart w:id="2" w:name="_Toc8850"/>
      <w:bookmarkStart w:id="3" w:name="_Toc1420"/>
      <w:bookmarkStart w:id="4" w:name="_Toc7123"/>
      <w:r>
        <w:rPr>
          <w:rFonts w:hint="eastAsia" w:ascii="宋体" w:hAnsi="宋体" w:eastAsia="宋体" w:cs="宋体"/>
          <w:color w:val="auto"/>
          <w:highlight w:val="none"/>
        </w:rPr>
        <w:t>投标邀请书</w:t>
      </w:r>
      <w:bookmarkEnd w:id="2"/>
      <w:bookmarkEnd w:id="3"/>
      <w:bookmarkEnd w:id="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东莞市横沥镇社区卫生服务中心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bCs/>
          <w:color w:val="auto"/>
          <w:sz w:val="21"/>
          <w:szCs w:val="21"/>
          <w:highlight w:val="none"/>
          <w:u w:val="single"/>
          <w:lang w:eastAsia="zh-CN"/>
        </w:rPr>
        <w:t>东莞市横沥镇社区卫生服务中心各站点零星工程（广告招牌）采购项目</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color w:val="auto"/>
          <w:sz w:val="21"/>
          <w:szCs w:val="21"/>
          <w:highlight w:val="none"/>
        </w:rPr>
      </w:pPr>
    </w:p>
    <w:p>
      <w:pPr>
        <w:numPr>
          <w:ilvl w:val="0"/>
          <w:numId w:val="1"/>
        </w:numPr>
        <w:spacing w:after="0" w:line="360" w:lineRule="auto"/>
        <w:ind w:firstLine="413" w:firstLineChars="196"/>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rPr>
        <w:t>招标项目</w:t>
      </w:r>
      <w:r>
        <w:rPr>
          <w:rFonts w:hint="eastAsia" w:ascii="宋体" w:hAnsi="宋体" w:eastAsia="宋体"/>
          <w:b/>
          <w:color w:val="auto"/>
          <w:sz w:val="21"/>
          <w:szCs w:val="21"/>
          <w:highlight w:val="none"/>
          <w:lang w:val="en-US" w:eastAsia="zh-CN"/>
        </w:rPr>
        <w:t>信息</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编号：</w:t>
      </w:r>
      <w:r>
        <w:rPr>
          <w:rFonts w:hint="eastAsia" w:ascii="宋体" w:hAnsi="宋体"/>
          <w:color w:val="auto"/>
          <w:sz w:val="21"/>
          <w:szCs w:val="21"/>
          <w:highlight w:val="none"/>
          <w:lang w:val="en-US" w:eastAsia="zh-CN"/>
        </w:rPr>
        <w:t>GDZT2021120A</w:t>
      </w:r>
      <w:r>
        <w:rPr>
          <w:rFonts w:hint="eastAsia" w:ascii="宋体" w:hAnsi="宋体" w:eastAsia="宋体"/>
          <w:color w:val="auto"/>
          <w:sz w:val="21"/>
          <w:szCs w:val="21"/>
          <w:highlight w:val="none"/>
          <w:lang w:val="en-US" w:eastAsia="zh-CN"/>
        </w:rPr>
        <w:t>；</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名称：</w:t>
      </w:r>
      <w:r>
        <w:rPr>
          <w:rFonts w:hint="eastAsia" w:ascii="宋体" w:hAnsi="宋体"/>
          <w:color w:val="auto"/>
          <w:sz w:val="21"/>
          <w:szCs w:val="21"/>
          <w:highlight w:val="none"/>
          <w:lang w:val="en-US" w:eastAsia="zh-CN"/>
        </w:rPr>
        <w:t>东莞市横沥镇社区卫生服务中心各站点零星工程（广告招牌）采购项目</w:t>
      </w:r>
      <w:r>
        <w:rPr>
          <w:rFonts w:hint="eastAsia" w:ascii="宋体" w:hAnsi="宋体" w:eastAsia="宋体"/>
          <w:color w:val="auto"/>
          <w:sz w:val="21"/>
          <w:szCs w:val="21"/>
          <w:highlight w:val="none"/>
          <w:lang w:val="en-US" w:eastAsia="zh-CN"/>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、项目内容：</w:t>
      </w:r>
    </w:p>
    <w:tbl>
      <w:tblPr>
        <w:tblStyle w:val="22"/>
        <w:tblW w:w="4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3904"/>
        <w:gridCol w:w="73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67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包组内容</w:t>
            </w:r>
          </w:p>
        </w:tc>
        <w:tc>
          <w:tcPr>
            <w:tcW w:w="50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数量</w:t>
            </w:r>
          </w:p>
        </w:tc>
        <w:tc>
          <w:tcPr>
            <w:tcW w:w="136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267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东莞市横沥镇社区卫生服务中心</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color w:val="auto"/>
                <w:sz w:val="21"/>
                <w:szCs w:val="21"/>
                <w:highlight w:val="none"/>
                <w:lang w:val="en-US" w:eastAsia="zh-CN"/>
              </w:rPr>
              <w:t>各站点零星工程（广告招牌）采购项目</w:t>
            </w:r>
          </w:p>
        </w:tc>
        <w:tc>
          <w:tcPr>
            <w:tcW w:w="50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136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olor w:val="auto"/>
                <w:sz w:val="21"/>
                <w:szCs w:val="21"/>
                <w:highlight w:val="none"/>
                <w:lang w:val="en-US" w:eastAsia="zh-CN"/>
              </w:rPr>
            </w:pPr>
            <w:r>
              <w:rPr>
                <w:rFonts w:hint="eastAsia" w:ascii="宋体" w:hAnsi="宋体"/>
                <w:b/>
                <w:color w:val="auto"/>
                <w:sz w:val="21"/>
                <w:szCs w:val="21"/>
                <w:highlight w:val="none"/>
                <w:u w:val="single"/>
                <w:lang w:val="en-US" w:eastAsia="zh-CN"/>
              </w:rPr>
              <w:t>890,435.42</w:t>
            </w:r>
            <w:r>
              <w:rPr>
                <w:rFonts w:hint="eastAsia" w:ascii="宋体" w:hAnsi="宋体" w:eastAsia="宋体"/>
                <w:color w:val="auto"/>
                <w:sz w:val="21"/>
                <w:szCs w:val="21"/>
                <w:highlight w:val="none"/>
              </w:rPr>
              <w:t>元</w:t>
            </w:r>
          </w:p>
        </w:tc>
      </w:tr>
    </w:tbl>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）本项目（是/否）接受联合体投标：否</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0" w:firstLineChars="0"/>
        <w:textAlignment w:val="auto"/>
        <w:rPr>
          <w:color w:val="auto"/>
          <w:sz w:val="21"/>
          <w:szCs w:val="21"/>
          <w:highlight w:val="none"/>
        </w:rPr>
      </w:pP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bidi w:val="0"/>
        <w:ind w:firstLine="420" w:firstLineChars="200"/>
        <w:rPr>
          <w:rFonts w:hint="eastAsia"/>
          <w:color w:val="auto"/>
          <w:highlight w:val="none"/>
          <w:lang w:val="en-US" w:eastAsia="zh-CN"/>
        </w:rPr>
      </w:pPr>
      <w:r>
        <w:rPr>
          <w:rFonts w:hint="eastAsia"/>
          <w:color w:val="auto"/>
          <w:highlight w:val="none"/>
          <w:lang w:val="en-US" w:eastAsia="zh-CN"/>
        </w:rPr>
        <w:t>无</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w:t>
      </w:r>
      <w:r>
        <w:rPr>
          <w:rFonts w:hint="eastAsia" w:ascii="宋体" w:hAnsi="宋体" w:eastAsia="宋体"/>
          <w:color w:val="auto"/>
          <w:sz w:val="21"/>
          <w:szCs w:val="21"/>
          <w:highlight w:val="none"/>
          <w:lang w:val="en-US" w:eastAsia="zh-CN"/>
        </w:rPr>
        <w:t>最后1页</w:t>
      </w:r>
      <w:r>
        <w:rPr>
          <w:rFonts w:hint="eastAsia" w:ascii="宋体" w:hAnsi="宋体" w:eastAsia="宋体"/>
          <w:color w:val="auto"/>
          <w:sz w:val="21"/>
          <w:szCs w:val="21"/>
          <w:highlight w:val="none"/>
        </w:rPr>
        <w:t>中的“获取招标文件登记表”进行填写并带到现场进行领购，并现场领取发票。（招标文件领购价：人民币</w:t>
      </w:r>
      <w:r>
        <w:rPr>
          <w:rFonts w:hint="eastAsia" w:ascii="宋体" w:hAnsi="宋体"/>
          <w:color w:val="auto"/>
          <w:sz w:val="21"/>
          <w:szCs w:val="21"/>
          <w:highlight w:val="none"/>
          <w:lang w:val="en-US" w:eastAsia="zh-CN"/>
        </w:rPr>
        <w:t>200</w:t>
      </w:r>
      <w:r>
        <w:rPr>
          <w:rFonts w:hint="eastAsia" w:ascii="宋体" w:hAnsi="宋体" w:eastAsia="宋体"/>
          <w:color w:val="auto"/>
          <w:sz w:val="21"/>
          <w:szCs w:val="21"/>
          <w:highlight w:val="none"/>
        </w:rPr>
        <w:t>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（3）招标文件电子版可在政通招标网</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http://www.zttendering.com/</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r>
        <w:rPr>
          <w:rFonts w:hint="eastAsia" w:ascii="宋体" w:hAnsi="宋体" w:eastAsia="宋体"/>
          <w:color w:val="auto"/>
          <w:sz w:val="21"/>
          <w:szCs w:val="21"/>
          <w:highlight w:val="none"/>
          <w:lang w:eastAsia="zh-CN"/>
        </w:rPr>
        <w:t>。</w:t>
      </w:r>
    </w:p>
    <w:p>
      <w:pPr>
        <w:bidi w:val="0"/>
        <w:rPr>
          <w:rFonts w:hint="eastAsia"/>
          <w:color w:val="auto"/>
          <w:highlight w:val="none"/>
          <w:lang w:eastAsia="zh-CN"/>
        </w:rPr>
      </w:pPr>
    </w:p>
    <w:p>
      <w:pPr>
        <w:spacing w:after="0" w:line="360" w:lineRule="auto"/>
        <w:ind w:firstLine="413" w:firstLineChars="196"/>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val="en-US" w:eastAsia="zh-CN"/>
        </w:rPr>
        <w:t>其他事项</w:t>
      </w:r>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12</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12</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黄工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地址：东莞市横沥镇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联系电话：0769-89302656-629</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p>
    <w:p>
      <w:pPr>
        <w:pStyle w:val="7"/>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3"/>
        <w:spacing w:before="0" w:after="0" w:line="240" w:lineRule="auto"/>
        <w:rPr>
          <w:rFonts w:hint="eastAsia"/>
          <w:color w:val="auto"/>
          <w:sz w:val="28"/>
          <w:szCs w:val="28"/>
          <w:highlight w:val="none"/>
          <w:lang w:val="en-US" w:eastAsia="zh-CN"/>
        </w:rPr>
      </w:pPr>
      <w:bookmarkStart w:id="5" w:name="_Toc28550"/>
      <w:bookmarkStart w:id="6" w:name="_Toc24505"/>
      <w:r>
        <w:rPr>
          <w:rFonts w:hint="eastAsia"/>
          <w:color w:val="auto"/>
          <w:sz w:val="28"/>
          <w:szCs w:val="28"/>
          <w:highlight w:val="none"/>
          <w:lang w:val="en-US" w:eastAsia="zh-CN"/>
        </w:rPr>
        <w:t xml:space="preserve">第二部分 </w:t>
      </w:r>
      <w:bookmarkStart w:id="7" w:name="_Toc20683"/>
      <w:r>
        <w:rPr>
          <w:rFonts w:hint="eastAsia"/>
          <w:color w:val="auto"/>
          <w:sz w:val="28"/>
          <w:szCs w:val="28"/>
          <w:highlight w:val="none"/>
          <w:lang w:val="en-US" w:eastAsia="zh-CN"/>
        </w:rPr>
        <w:t>投标资料表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FE"/>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CN"/>
              </w:rPr>
              <w:t>所属行业：</w:t>
            </w:r>
            <w:r>
              <w:rPr>
                <w:rFonts w:hint="eastAsia" w:ascii="宋体" w:hAnsi="宋体"/>
                <w:bCs/>
                <w:color w:val="auto"/>
                <w:sz w:val="21"/>
                <w:szCs w:val="21"/>
                <w:highlight w:val="none"/>
                <w:lang w:val="en-US" w:eastAsia="zh-CN"/>
              </w:rPr>
              <w:t>工业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bCs/>
                <w:color w:val="auto"/>
                <w:sz w:val="21"/>
                <w:szCs w:val="21"/>
                <w:highlight w:val="none"/>
              </w:rPr>
              <w:t>政通招标网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http://www.zttendering.com/</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投标保证金</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本项目不需提供投标保证金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3</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唱标文件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5</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lang w:val="en-US" w:eastAsia="zh-CN"/>
              </w:rPr>
              <w:t>（仅适用于政府采购）</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bidi w:val="0"/>
        <w:rPr>
          <w:rFonts w:hint="eastAsia"/>
          <w:color w:val="auto"/>
          <w:highlight w:val="none"/>
        </w:rPr>
      </w:pPr>
    </w:p>
    <w:p>
      <w:pPr>
        <w:pStyle w:val="3"/>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color w:val="auto"/>
          <w:sz w:val="28"/>
          <w:szCs w:val="28"/>
          <w:highlight w:val="none"/>
          <w:lang w:val="en-US" w:eastAsia="zh-CN"/>
        </w:rPr>
      </w:pPr>
      <w:bookmarkStart w:id="8" w:name="_Toc5749"/>
      <w:bookmarkStart w:id="9" w:name="_Toc13473"/>
      <w:bookmarkStart w:id="10" w:name="_Hlk55300595"/>
      <w:bookmarkStart w:id="11" w:name="_Toc9572"/>
      <w:r>
        <w:rPr>
          <w:rFonts w:hint="eastAsia"/>
          <w:color w:val="auto"/>
          <w:sz w:val="28"/>
          <w:szCs w:val="28"/>
          <w:highlight w:val="none"/>
          <w:lang w:val="en-US" w:eastAsia="zh-CN"/>
        </w:rPr>
        <w:t xml:space="preserve">第三部分 </w:t>
      </w:r>
      <w:bookmarkStart w:id="12" w:name="_Toc71133523"/>
      <w:bookmarkStart w:id="13" w:name="_Hlk55300643"/>
      <w:r>
        <w:rPr>
          <w:rFonts w:hint="eastAsia"/>
          <w:color w:val="auto"/>
          <w:sz w:val="28"/>
          <w:szCs w:val="28"/>
          <w:highlight w:val="none"/>
          <w:lang w:val="en-US" w:eastAsia="zh-CN"/>
        </w:rPr>
        <w:t>评分</w:t>
      </w:r>
      <w:bookmarkStart w:id="14" w:name="_Hlk55209874"/>
      <w:r>
        <w:rPr>
          <w:rFonts w:hint="eastAsia"/>
          <w:color w:val="auto"/>
          <w:sz w:val="28"/>
          <w:szCs w:val="28"/>
          <w:highlight w:val="none"/>
          <w:lang w:val="en-US" w:eastAsia="zh-CN"/>
        </w:rPr>
        <w:t>权重分配表</w:t>
      </w:r>
      <w:bookmarkEnd w:id="8"/>
      <w:bookmarkEnd w:id="9"/>
      <w:bookmarkEnd w:id="10"/>
      <w:bookmarkEnd w:id="12"/>
      <w:bookmarkEnd w:id="13"/>
      <w:bookmarkEnd w:id="14"/>
    </w:p>
    <w:p>
      <w:pPr>
        <w:pStyle w:val="4"/>
        <w:spacing w:before="0" w:after="0" w:line="240" w:lineRule="auto"/>
        <w:jc w:val="center"/>
        <w:rPr>
          <w:rFonts w:ascii="宋体" w:hAnsi="宋体" w:eastAsia="宋体" w:cs="宋体"/>
          <w:color w:val="auto"/>
          <w:sz w:val="24"/>
          <w:szCs w:val="24"/>
          <w:highlight w:val="none"/>
        </w:rPr>
      </w:pPr>
      <w:bookmarkStart w:id="15" w:name="_Toc18413"/>
      <w:bookmarkStart w:id="16" w:name="_Toc21613"/>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商务技术评分权重细则表</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114"/>
        <w:gridCol w:w="609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14"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096"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2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投标报价得分=(评标基准价／投标报价)×价格权值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商务评分（15分）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业绩经验</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rPr>
              <w:t>投标人具有</w:t>
            </w:r>
            <w:r>
              <w:rPr>
                <w:rFonts w:hint="eastAsia" w:ascii="宋体" w:hAnsi="宋体" w:eastAsia="宋体" w:cs="宋体"/>
                <w:bCs/>
                <w:color w:val="auto"/>
                <w:sz w:val="21"/>
                <w:szCs w:val="21"/>
                <w:highlight w:val="none"/>
                <w:lang w:eastAsia="zh-CN"/>
              </w:rPr>
              <w:t>广告标识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eastAsia="zh-CN"/>
              </w:rPr>
              <w:t>招牌</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安装</w:t>
            </w:r>
            <w:r>
              <w:rPr>
                <w:rFonts w:hint="eastAsia" w:ascii="宋体" w:hAnsi="宋体" w:eastAsia="宋体" w:cs="宋体"/>
                <w:bCs/>
                <w:color w:val="auto"/>
                <w:sz w:val="21"/>
                <w:szCs w:val="21"/>
                <w:highlight w:val="none"/>
                <w:lang w:val="en-US" w:eastAsia="zh-CN"/>
              </w:rPr>
              <w:t>类项目</w:t>
            </w:r>
            <w:r>
              <w:rPr>
                <w:rFonts w:hint="eastAsia" w:ascii="宋体" w:hAnsi="宋体" w:eastAsia="宋体" w:cs="宋体"/>
                <w:bCs/>
                <w:color w:val="auto"/>
                <w:sz w:val="21"/>
                <w:szCs w:val="21"/>
                <w:highlight w:val="none"/>
              </w:rPr>
              <w:t>业绩</w:t>
            </w:r>
            <w:r>
              <w:rPr>
                <w:rFonts w:hint="eastAsia" w:ascii="宋体" w:hAnsi="宋体" w:eastAsia="宋体" w:cs="宋体"/>
                <w:bCs/>
                <w:color w:val="auto"/>
                <w:sz w:val="21"/>
                <w:szCs w:val="21"/>
                <w:highlight w:val="none"/>
                <w:lang w:val="en-US" w:eastAsia="zh-CN"/>
              </w:rPr>
              <w:t>进行评审</w:t>
            </w:r>
            <w:r>
              <w:rPr>
                <w:rFonts w:hint="eastAsia" w:ascii="宋体" w:hAnsi="宋体" w:eastAsia="宋体" w:cs="宋体"/>
                <w:bCs/>
                <w:color w:val="auto"/>
                <w:sz w:val="21"/>
                <w:szCs w:val="21"/>
                <w:highlight w:val="none"/>
              </w:rPr>
              <w:t>，每提供一个</w:t>
            </w:r>
            <w:r>
              <w:rPr>
                <w:rFonts w:hint="eastAsia" w:ascii="宋体" w:hAnsi="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业绩得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分，本项最高</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注:须提供业绩合同复印件并加盖投标人公章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51" w:type="dxa"/>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售后服务情况</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根据投标人提供的服务响应时间承诺进行评分</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投标人承诺在接到采购人通知后1小时内到现场，得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投标人承诺在接到采购人通知后2小时内到现场，得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投标人承诺在接到采购人通知后3小时内到现场，得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投标人未承诺或承诺在接到采购人通知后超过3小时到现场，不得分。</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rPr>
              <w:t>注：须提供服务承诺书并加盖投标人公章，否则不得分。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技术评分（55分）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总体实施方案</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根据投标人针对本项目所提供的项目实施方案（包括但不限于供货方案、安装调试方案</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）进行综合评审：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①总体实施方案描述详尽合理，完全符合或优于用户需求，可操作性高，得10分；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②总体实施方案描述合理，符合用户需求，可操作性较高，得6分；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③总体实施方案描述一般，基本符合用户需求，具有基本可操作性，得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④总体实施方案描述不合理，可操作性差，得1分。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szCs w:val="21"/>
              </w:rPr>
              <w:t>进度计划方案</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根据投标人针对本项目所提供的重难点分析、实施组织进度计划、主要施工方法等方案进行</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评审：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①方案详尽科学合理，分析准确，可操作性高，得1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②方案较为科学合理，分析较好，可操作性较高，得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③方案相对科学合理，分析一般，具有基本可操作性，得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④方案较差、不完整、可操作性差，得1分。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⑤未提供对应方案不得分。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cs="宋体"/>
                <w:szCs w:val="21"/>
              </w:rPr>
            </w:pPr>
            <w:r>
              <w:rPr>
                <w:rFonts w:hint="eastAsia" w:ascii="宋体" w:hAnsi="宋体" w:cs="宋体"/>
                <w:color w:val="000000"/>
                <w:szCs w:val="21"/>
              </w:rPr>
              <w:t>安全文明措施方案</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根据投标人对本项目所提供的安全文明措施方案进行综合评审：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①安全文明措施方案科学合理，可操作性高，得10分；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②安全文明措施方案比较合理，可操作性较高，得6分；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③安全文明措施方案基本合理，具有基本可操作性，得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④安全文明措施方案不合理，存在安全隐患，可操作性差，得1分；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10</w:t>
            </w:r>
            <w:bookmarkStart w:id="385" w:name="_GoBack"/>
            <w:bookmarkEnd w:id="3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szCs w:val="21"/>
              </w:rPr>
              <w:t>应急处置方案</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根据投标人针对本项目重大或突发事件等特殊情况在传达机制、分析、调配、责任分工等作出应急处置方案进行综合评审：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①对于特殊应急情况处理方案详尽科学合理，可操作性高，措施明确清晰，得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②对于特殊应急情况处理方案合理，可操作性较高，措施明确，得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③对于特殊应急情况处理方案不合理，具有基本可操作性，措施一般，得2分；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④对于特殊应急情况处理方案不合理，可操作性差，得1分；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5</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验收方案</w:t>
            </w:r>
          </w:p>
        </w:tc>
        <w:tc>
          <w:tcPr>
            <w:tcW w:w="6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供应商提供的</w:t>
            </w:r>
            <w:r>
              <w:rPr>
                <w:rFonts w:hint="eastAsia" w:ascii="宋体" w:hAnsi="宋体" w:eastAsia="宋体" w:cs="宋体"/>
                <w:bCs/>
                <w:color w:val="auto"/>
                <w:sz w:val="21"/>
                <w:szCs w:val="21"/>
                <w:highlight w:val="none"/>
                <w:lang w:val="zh-CN"/>
              </w:rPr>
              <w:t>验收方案、承诺验收达到标准、整改方案及标准等进行综合</w:t>
            </w:r>
            <w:r>
              <w:rPr>
                <w:rFonts w:hint="eastAsia" w:ascii="宋体" w:hAnsi="宋体" w:eastAsia="宋体" w:cs="宋体"/>
                <w:color w:val="auto"/>
                <w:sz w:val="21"/>
                <w:szCs w:val="21"/>
                <w:highlight w:val="none"/>
              </w:rPr>
              <w:t>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①</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完整科学、可行性强，完全满足并优于招标文件要求，得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②</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完整、可行性一般，符合招标文件要求，得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基本完整、可行性较差，基本符合招标文件要求，得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④</w:t>
            </w:r>
            <w:r>
              <w:rPr>
                <w:rFonts w:hint="eastAsia" w:ascii="宋体" w:hAnsi="宋体" w:eastAsia="宋体" w:cs="宋体"/>
                <w:bCs/>
                <w:color w:val="auto"/>
                <w:sz w:val="21"/>
                <w:szCs w:val="21"/>
                <w:highlight w:val="none"/>
                <w:lang w:val="en-US" w:eastAsia="zh-CN"/>
              </w:rPr>
              <w:t>方案不</w:t>
            </w:r>
            <w:r>
              <w:rPr>
                <w:rFonts w:hint="eastAsia" w:ascii="宋体" w:hAnsi="宋体" w:eastAsia="宋体" w:cs="宋体"/>
                <w:bCs/>
                <w:color w:val="auto"/>
                <w:sz w:val="21"/>
                <w:szCs w:val="21"/>
                <w:highlight w:val="none"/>
                <w:lang w:val="zh-CN"/>
              </w:rPr>
              <w:t>完整、可行性差，</w:t>
            </w:r>
            <w:r>
              <w:rPr>
                <w:rFonts w:hint="eastAsia" w:ascii="宋体" w:hAnsi="宋体" w:eastAsia="宋体" w:cs="宋体"/>
                <w:bCs/>
                <w:color w:val="auto"/>
                <w:sz w:val="21"/>
                <w:szCs w:val="21"/>
                <w:highlight w:val="none"/>
                <w:lang w:val="en-US" w:eastAsia="zh-CN"/>
              </w:rPr>
              <w:t>未达到</w:t>
            </w:r>
            <w:r>
              <w:rPr>
                <w:rFonts w:hint="eastAsia" w:ascii="宋体" w:hAnsi="宋体" w:eastAsia="宋体" w:cs="宋体"/>
                <w:bCs/>
                <w:color w:val="auto"/>
                <w:sz w:val="21"/>
                <w:szCs w:val="21"/>
                <w:highlight w:val="none"/>
                <w:lang w:val="zh-CN"/>
              </w:rPr>
              <w:t>招标文件要求，得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⑤未提供对应方案不得分。 </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售后服务保障</w:t>
            </w:r>
          </w:p>
        </w:tc>
        <w:tc>
          <w:tcPr>
            <w:tcW w:w="6096"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根据投标人所提供的售后服务方案（包括但不限于售后服务响应、应急维修安排）进行综合评审： </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所提供的售后服务方案非常全面完善，内容非常具体、详细，可行性非常强，内容详尽完整，可行性强，得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所提供的售后服务方案比较完善、详细，内容比较具体、详细，具有可行性的，得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 </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所提供的售后服务方案基本完善，可行性一般的，得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 </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所提供的售后服务方案不全面，可行性较差的，得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分； </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⑤未提供相应方案的不得分。 </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根据以上评分要求提供的投标材料因模糊不清导致评标委员会无法清晰辨认进行评审的，视为无效材料。</w:t>
            </w:r>
          </w:p>
          <w:p>
            <w:pPr>
              <w:pStyle w:val="35"/>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若因疫情原因暂缓统一托收或阶段性减免社会保险费而导致无法打印社保缴费证明的需提供书面说明并加盖投标人公章，否则不得分。</w:t>
            </w:r>
          </w:p>
        </w:tc>
      </w:tr>
    </w:tbl>
    <w:p>
      <w:pPr>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bookmarkEnd w:id="11"/>
    <w:p>
      <w:pPr>
        <w:pStyle w:val="3"/>
        <w:spacing w:before="0" w:after="0" w:line="240" w:lineRule="auto"/>
        <w:rPr>
          <w:color w:val="auto"/>
          <w:sz w:val="24"/>
          <w:szCs w:val="24"/>
          <w:highlight w:val="none"/>
        </w:rPr>
      </w:pPr>
      <w:bookmarkStart w:id="17" w:name="_Toc29685"/>
      <w:bookmarkStart w:id="18" w:name="_Toc30638"/>
      <w:bookmarkStart w:id="19" w:name="_Toc2479"/>
      <w:bookmarkStart w:id="20" w:name="_Toc14146"/>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部分 投标人须知</w:t>
      </w:r>
      <w:bookmarkEnd w:id="17"/>
      <w:bookmarkEnd w:id="18"/>
      <w:bookmarkEnd w:id="19"/>
    </w:p>
    <w:p>
      <w:pPr>
        <w:pStyle w:val="4"/>
        <w:numPr>
          <w:ilvl w:val="0"/>
          <w:numId w:val="0"/>
        </w:numPr>
        <w:spacing w:before="0" w:after="0" w:line="480" w:lineRule="auto"/>
        <w:ind w:leftChars="0"/>
        <w:jc w:val="center"/>
        <w:rPr>
          <w:rFonts w:ascii="宋体" w:hAnsi="宋体" w:eastAsia="宋体"/>
          <w:color w:val="auto"/>
          <w:highlight w:val="none"/>
        </w:rPr>
      </w:pPr>
      <w:bookmarkStart w:id="21" w:name="_Toc3095"/>
      <w:bookmarkStart w:id="22" w:name="_Toc19746"/>
      <w:bookmarkStart w:id="23" w:name="_Toc11105"/>
      <w:r>
        <w:rPr>
          <w:rFonts w:hint="eastAsia" w:ascii="宋体" w:hAnsi="宋体"/>
          <w:color w:val="auto"/>
          <w:highlight w:val="none"/>
          <w:lang w:val="en-US" w:eastAsia="zh-CN"/>
        </w:rPr>
        <w:t>第一章</w:t>
      </w:r>
      <w:r>
        <w:rPr>
          <w:rFonts w:hint="eastAsia" w:ascii="宋体" w:hAnsi="宋体" w:eastAsia="宋体"/>
          <w:color w:val="auto"/>
          <w:highlight w:val="none"/>
        </w:rPr>
        <w:t>说明</w:t>
      </w:r>
      <w:bookmarkEnd w:id="21"/>
      <w:bookmarkEnd w:id="22"/>
      <w:bookmarkEnd w:id="23"/>
    </w:p>
    <w:p>
      <w:pPr>
        <w:pStyle w:val="5"/>
        <w:widowControl w:val="0"/>
        <w:overflowPunct w:val="0"/>
        <w:spacing w:before="0" w:after="0" w:line="240" w:lineRule="auto"/>
        <w:rPr>
          <w:rFonts w:ascii="宋体" w:hAnsi="宋体" w:eastAsia="宋体"/>
          <w:color w:val="auto"/>
          <w:sz w:val="21"/>
          <w:szCs w:val="21"/>
          <w:highlight w:val="none"/>
        </w:rPr>
      </w:pPr>
      <w:bookmarkStart w:id="24" w:name="_Toc18488"/>
      <w:bookmarkStart w:id="25" w:name="_Toc22803"/>
      <w:bookmarkStart w:id="26" w:name="_Toc22847"/>
      <w:r>
        <w:rPr>
          <w:rFonts w:hint="eastAsia" w:ascii="宋体" w:hAnsi="宋体" w:eastAsia="宋体"/>
          <w:color w:val="auto"/>
          <w:sz w:val="21"/>
          <w:szCs w:val="21"/>
          <w:highlight w:val="none"/>
        </w:rPr>
        <w:t>1.适用范围</w:t>
      </w:r>
      <w:bookmarkEnd w:id="24"/>
      <w:bookmarkEnd w:id="25"/>
      <w:bookmarkEnd w:id="26"/>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7" w:name="_Toc16848"/>
      <w:bookmarkStart w:id="28" w:name="_Toc13400"/>
      <w:bookmarkStart w:id="29" w:name="_Toc21002"/>
      <w:r>
        <w:rPr>
          <w:rFonts w:hint="eastAsia" w:ascii="宋体" w:hAnsi="宋体" w:eastAsia="宋体"/>
          <w:color w:val="auto"/>
          <w:sz w:val="21"/>
          <w:szCs w:val="21"/>
          <w:highlight w:val="none"/>
        </w:rPr>
        <w:t>2.</w:t>
      </w:r>
      <w:bookmarkStart w:id="30" w:name="_Toc382049092"/>
      <w:bookmarkStart w:id="31" w:name="_Toc1530"/>
      <w:bookmarkStart w:id="32" w:name="_Toc298847174"/>
      <w:bookmarkStart w:id="33" w:name="_Toc303084246"/>
      <w:r>
        <w:rPr>
          <w:rFonts w:hint="eastAsia" w:ascii="宋体" w:hAnsi="宋体" w:eastAsia="宋体"/>
          <w:color w:val="auto"/>
          <w:sz w:val="21"/>
          <w:szCs w:val="21"/>
          <w:highlight w:val="none"/>
        </w:rPr>
        <w:t>定义</w:t>
      </w:r>
      <w:bookmarkEnd w:id="27"/>
      <w:bookmarkEnd w:id="28"/>
      <w:bookmarkEnd w:id="29"/>
      <w:bookmarkEnd w:id="30"/>
      <w:bookmarkEnd w:id="31"/>
      <w:bookmarkEnd w:id="32"/>
      <w:bookmarkEnd w:id="33"/>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w:t>
      </w:r>
      <w:r>
        <w:rPr>
          <w:rFonts w:hint="eastAsia" w:ascii="宋体" w:hAnsi="宋体" w:eastAsia="宋体"/>
          <w:iCs/>
          <w:color w:val="auto"/>
          <w:sz w:val="21"/>
          <w:szCs w:val="21"/>
          <w:highlight w:val="none"/>
          <w:lang w:val="en-US" w:eastAsia="zh-CN"/>
        </w:rPr>
        <w:t>或</w:t>
      </w:r>
      <w:r>
        <w:rPr>
          <w:rFonts w:hint="eastAsia" w:ascii="宋体" w:hAnsi="宋体" w:eastAsia="宋体"/>
          <w:iCs/>
          <w:color w:val="auto"/>
          <w:sz w:val="21"/>
          <w:szCs w:val="21"/>
          <w:highlight w:val="none"/>
        </w:rPr>
        <w:t>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9710"/>
      <w:bookmarkStart w:id="35" w:name="_Toc3780"/>
      <w:bookmarkStart w:id="36" w:name="_Toc2996"/>
      <w:r>
        <w:rPr>
          <w:rFonts w:hint="eastAsia" w:ascii="宋体" w:hAnsi="宋体" w:eastAsia="宋体"/>
          <w:color w:val="auto"/>
          <w:sz w:val="21"/>
          <w:szCs w:val="21"/>
          <w:highlight w:val="none"/>
        </w:rPr>
        <w:t>3.货物和服务</w:t>
      </w:r>
      <w:bookmarkEnd w:id="34"/>
      <w:bookmarkEnd w:id="35"/>
      <w:bookmarkEnd w:id="36"/>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12536"/>
      <w:bookmarkStart w:id="38" w:name="_Toc13909"/>
      <w:bookmarkStart w:id="39" w:name="_Toc15945"/>
      <w:r>
        <w:rPr>
          <w:rFonts w:hint="eastAsia" w:ascii="宋体" w:hAnsi="宋体" w:eastAsia="宋体"/>
          <w:color w:val="auto"/>
          <w:sz w:val="21"/>
          <w:szCs w:val="21"/>
          <w:highlight w:val="none"/>
        </w:rPr>
        <w:t>4.投标费用</w:t>
      </w:r>
      <w:bookmarkEnd w:id="37"/>
      <w:bookmarkEnd w:id="38"/>
      <w:bookmarkEnd w:id="39"/>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19532"/>
      <w:bookmarkStart w:id="41" w:name="_Toc25040"/>
      <w:bookmarkStart w:id="42" w:name="_Toc19094"/>
      <w:r>
        <w:rPr>
          <w:rFonts w:hint="eastAsia" w:ascii="宋体" w:hAnsi="宋体" w:eastAsia="宋体"/>
          <w:color w:val="auto"/>
          <w:sz w:val="21"/>
          <w:szCs w:val="21"/>
          <w:highlight w:val="none"/>
        </w:rPr>
        <w:t>5.知识产权</w:t>
      </w:r>
      <w:bookmarkEnd w:id="40"/>
      <w:bookmarkEnd w:id="41"/>
      <w:bookmarkEnd w:id="42"/>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采购人有权拒绝接收使用非正版操作系统软件的计算机产品，一经发现，投标文件作无效处理，并上报相关监管部门</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3" w:name="_Toc8432"/>
      <w:bookmarkStart w:id="44" w:name="_Toc21930"/>
      <w:bookmarkStart w:id="45" w:name="_Toc31885"/>
      <w:r>
        <w:rPr>
          <w:rFonts w:hint="eastAsia" w:ascii="宋体" w:hAnsi="宋体" w:eastAsia="宋体"/>
          <w:color w:val="auto"/>
          <w:sz w:val="21"/>
          <w:szCs w:val="21"/>
          <w:highlight w:val="none"/>
        </w:rPr>
        <w:t>6.关于联合体投标</w:t>
      </w:r>
      <w:bookmarkEnd w:id="43"/>
      <w:bookmarkEnd w:id="44"/>
      <w:bookmarkEnd w:id="45"/>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联合体进行评分时，业绩、奖项等的认定和评分根据共同投标协议约定的各方承担的工作和相应责任，确定一方打分，不累加打分；评审标准不明确或难以明确以哪一方计算评分情况时，按主体方</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牵头单位）</w:t>
      </w:r>
      <w:r>
        <w:rPr>
          <w:rFonts w:hint="eastAsia" w:ascii="宋体" w:hAnsi="宋体" w:eastAsia="宋体"/>
          <w:color w:val="auto"/>
          <w:sz w:val="21"/>
          <w:szCs w:val="21"/>
          <w:highlight w:val="none"/>
        </w:rPr>
        <w:t>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6" w:name="_Toc32331"/>
      <w:bookmarkStart w:id="47" w:name="_Toc16571"/>
      <w:bookmarkStart w:id="48" w:name="_Toc13811"/>
      <w:bookmarkStart w:id="49" w:name="_Toc17879"/>
      <w:r>
        <w:rPr>
          <w:rFonts w:hint="eastAsia" w:ascii="宋体" w:hAnsi="宋体" w:eastAsia="宋体"/>
          <w:color w:val="auto"/>
          <w:sz w:val="21"/>
          <w:szCs w:val="21"/>
          <w:highlight w:val="none"/>
        </w:rPr>
        <w:t>7.关于分支机构投标</w:t>
      </w:r>
      <w:bookmarkEnd w:id="46"/>
      <w:bookmarkEnd w:id="47"/>
      <w:bookmarkEnd w:id="48"/>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50" w:name="EB389f116341dd4693875bc7987e7327f3"/>
    </w:p>
    <w:p>
      <w:pPr>
        <w:widowControl w:val="0"/>
        <w:numPr>
          <w:ilvl w:val="1"/>
          <w:numId w:val="3"/>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分公司）</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分公司）</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50"/>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51" w:name="_Toc18115"/>
      <w:bookmarkStart w:id="52" w:name="_Toc27045"/>
      <w:r>
        <w:rPr>
          <w:rFonts w:hint="eastAsia" w:ascii="宋体" w:hAnsi="宋体"/>
          <w:color w:val="auto"/>
          <w:highlight w:val="none"/>
          <w:lang w:val="en-US" w:eastAsia="zh-CN"/>
        </w:rPr>
        <w:t>第二章</w:t>
      </w:r>
      <w:r>
        <w:rPr>
          <w:rFonts w:hint="eastAsia" w:ascii="宋体" w:hAnsi="宋体" w:eastAsia="宋体"/>
          <w:color w:val="auto"/>
          <w:highlight w:val="none"/>
        </w:rPr>
        <w:t>招标文件</w:t>
      </w:r>
      <w:bookmarkEnd w:id="49"/>
      <w:bookmarkEnd w:id="51"/>
      <w:bookmarkEnd w:id="52"/>
    </w:p>
    <w:p>
      <w:pPr>
        <w:pStyle w:val="5"/>
        <w:widowControl w:val="0"/>
        <w:overflowPunct w:val="0"/>
        <w:spacing w:before="0" w:after="0" w:line="240" w:lineRule="auto"/>
        <w:rPr>
          <w:rFonts w:ascii="宋体" w:hAnsi="宋体" w:eastAsia="宋体"/>
          <w:color w:val="auto"/>
          <w:sz w:val="21"/>
          <w:szCs w:val="21"/>
          <w:highlight w:val="none"/>
        </w:rPr>
      </w:pPr>
      <w:bookmarkStart w:id="53" w:name="_Toc21771"/>
      <w:bookmarkStart w:id="54" w:name="_Toc13494"/>
      <w:bookmarkStart w:id="55" w:name="_Toc1423"/>
      <w:r>
        <w:rPr>
          <w:rFonts w:hint="eastAsia" w:ascii="宋体" w:hAnsi="宋体" w:eastAsia="宋体"/>
          <w:color w:val="auto"/>
          <w:sz w:val="21"/>
          <w:szCs w:val="21"/>
          <w:highlight w:val="none"/>
        </w:rPr>
        <w:t>8.招标文件的组成</w:t>
      </w:r>
      <w:bookmarkEnd w:id="53"/>
      <w:bookmarkEnd w:id="54"/>
      <w:bookmarkEnd w:id="55"/>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（3）投标人须知；</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（4）用户需求书；</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56" w:name="_Toc7997"/>
      <w:bookmarkStart w:id="57" w:name="_Toc14217"/>
      <w:bookmarkStart w:id="58" w:name="_Toc17274"/>
      <w:r>
        <w:rPr>
          <w:rFonts w:hint="eastAsia" w:ascii="宋体" w:hAnsi="宋体" w:eastAsia="宋体"/>
          <w:color w:val="auto"/>
          <w:sz w:val="21"/>
          <w:szCs w:val="21"/>
          <w:highlight w:val="none"/>
        </w:rPr>
        <w:t>9.招标文件的澄清或修改</w:t>
      </w:r>
      <w:bookmarkEnd w:id="56"/>
      <w:bookmarkEnd w:id="57"/>
      <w:bookmarkEnd w:id="58"/>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59" w:name="_Toc16712"/>
      <w:bookmarkStart w:id="60" w:name="_Toc23726"/>
      <w:bookmarkStart w:id="61" w:name="_Toc4773"/>
      <w:r>
        <w:rPr>
          <w:rFonts w:hint="eastAsia" w:ascii="宋体" w:hAnsi="宋体"/>
          <w:color w:val="auto"/>
          <w:highlight w:val="none"/>
          <w:lang w:val="en-US" w:eastAsia="zh-CN"/>
        </w:rPr>
        <w:t>第三章</w:t>
      </w:r>
      <w:r>
        <w:rPr>
          <w:rFonts w:hint="eastAsia" w:ascii="宋体" w:hAnsi="宋体" w:eastAsia="宋体"/>
          <w:color w:val="auto"/>
          <w:highlight w:val="none"/>
        </w:rPr>
        <w:t>投标文件的编制</w:t>
      </w:r>
      <w:bookmarkEnd w:id="59"/>
      <w:bookmarkEnd w:id="60"/>
      <w:bookmarkEnd w:id="61"/>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62" w:name="_Toc28092"/>
      <w:bookmarkStart w:id="63" w:name="_Toc20623"/>
      <w:bookmarkStart w:id="64" w:name="_Toc7434"/>
      <w:r>
        <w:rPr>
          <w:rFonts w:hint="eastAsia" w:ascii="宋体" w:hAnsi="宋体" w:eastAsia="宋体"/>
          <w:color w:val="auto"/>
          <w:sz w:val="21"/>
          <w:szCs w:val="21"/>
          <w:highlight w:val="none"/>
        </w:rPr>
        <w:t>10.投标文件的语言及度量衡单位</w:t>
      </w:r>
      <w:bookmarkEnd w:id="62"/>
      <w:bookmarkEnd w:id="63"/>
      <w:bookmarkEnd w:id="6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pageBreakBefore w:val="0"/>
        <w:widowControl w:val="0"/>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65" w:name="_Toc28866"/>
      <w:bookmarkStart w:id="66" w:name="_Toc12145"/>
      <w:bookmarkStart w:id="67" w:name="_Toc382049103"/>
      <w:bookmarkStart w:id="68" w:name="_Toc18999"/>
      <w:bookmarkStart w:id="69" w:name="_Toc7728"/>
      <w:bookmarkStart w:id="70" w:name="_Toc307934854"/>
      <w:bookmarkStart w:id="71"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65"/>
      <w:bookmarkEnd w:id="66"/>
      <w:bookmarkEnd w:id="67"/>
      <w:bookmarkEnd w:id="68"/>
      <w:bookmarkEnd w:id="69"/>
      <w:bookmarkEnd w:id="70"/>
      <w:bookmarkEnd w:id="7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lang w:val="en-US" w:eastAsia="zh-CN"/>
        </w:rPr>
        <w:t>投标</w:t>
      </w:r>
      <w:r>
        <w:rPr>
          <w:rFonts w:hint="eastAsia" w:ascii="宋体" w:hAnsi="宋体" w:eastAsia="宋体"/>
          <w:color w:val="auto"/>
          <w:sz w:val="21"/>
          <w:szCs w:val="21"/>
          <w:highlight w:val="none"/>
        </w:rPr>
        <w:t>文件须按顺序装订成册，并编制投标文件目录。除上述文件资料外投标人还须按投标人须知的要求制作“</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”作为投标文件的一部分，单独密封</w:t>
      </w:r>
      <w:r>
        <w:rPr>
          <w:rFonts w:hint="eastAsia" w:ascii="宋体" w:hAnsi="宋体" w:eastAsia="宋体"/>
          <w:color w:val="auto"/>
          <w:sz w:val="21"/>
          <w:szCs w:val="21"/>
          <w:highlight w:val="none"/>
          <w:lang w:val="en-US" w:eastAsia="zh-CN"/>
        </w:rPr>
        <w:t>提交</w:t>
      </w:r>
      <w:r>
        <w:rPr>
          <w:rFonts w:hint="eastAsia" w:ascii="宋体" w:hAnsi="宋体" w:eastAsia="宋体"/>
          <w:color w:val="auto"/>
          <w:sz w:val="21"/>
          <w:szCs w:val="21"/>
          <w:highlight w:val="none"/>
        </w:rPr>
        <w:t>。</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2" w:name="_Toc30189"/>
      <w:bookmarkStart w:id="73" w:name="_Toc3882"/>
      <w:bookmarkStart w:id="74" w:name="_Toc21747"/>
      <w:r>
        <w:rPr>
          <w:rFonts w:hint="eastAsia" w:ascii="宋体" w:hAnsi="宋体" w:eastAsia="宋体"/>
          <w:color w:val="auto"/>
          <w:sz w:val="21"/>
          <w:szCs w:val="21"/>
          <w:highlight w:val="none"/>
        </w:rPr>
        <w:t>12.投标文件编制</w:t>
      </w:r>
      <w:bookmarkEnd w:id="72"/>
      <w:bookmarkEnd w:id="73"/>
      <w:bookmarkEnd w:id="7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bookmarkStart w:id="75" w:name="_Toc303084258"/>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评审公正性的</w:t>
      </w:r>
      <w:r>
        <w:rPr>
          <w:rFonts w:hint="eastAsia" w:ascii="宋体" w:hAnsi="宋体" w:eastAsia="宋体"/>
          <w:color w:val="auto"/>
          <w:sz w:val="21"/>
          <w:szCs w:val="21"/>
          <w:highlight w:val="none"/>
        </w:rPr>
        <w:t>，其投标无效：</w:t>
      </w:r>
    </w:p>
    <w:p>
      <w:pPr>
        <w:pStyle w:val="32"/>
        <w:pageBreakBefore w:val="0"/>
        <w:widowControl w:val="0"/>
        <w:kinsoku/>
        <w:wordWrap/>
        <w:topLinePunct w:val="0"/>
        <w:autoSpaceDE/>
        <w:autoSpaceDN/>
        <w:bidi w:val="0"/>
        <w:adjustRightInd/>
        <w:snapToGrid/>
        <w:spacing w:after="0" w:line="360" w:lineRule="auto"/>
        <w:ind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2"/>
        <w:pageBreakBefore w:val="0"/>
        <w:widowControl w:val="0"/>
        <w:kinsoku/>
        <w:wordWrap/>
        <w:topLinePunct w:val="0"/>
        <w:autoSpaceDE/>
        <w:autoSpaceDN/>
        <w:bidi w:val="0"/>
        <w:adjustRightInd/>
        <w:snapToGrid/>
        <w:spacing w:after="0" w:line="360" w:lineRule="auto"/>
        <w:ind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75"/>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6" w:name="_Toc7847"/>
      <w:bookmarkStart w:id="77" w:name="_Toc17188"/>
      <w:bookmarkStart w:id="78" w:name="_Toc259"/>
      <w:r>
        <w:rPr>
          <w:rFonts w:hint="eastAsia" w:ascii="宋体" w:hAnsi="宋体" w:eastAsia="宋体"/>
          <w:color w:val="auto"/>
          <w:sz w:val="21"/>
          <w:szCs w:val="21"/>
          <w:highlight w:val="none"/>
        </w:rPr>
        <w:t>13.投标报价说明</w:t>
      </w:r>
      <w:bookmarkEnd w:id="76"/>
      <w:bookmarkEnd w:id="77"/>
      <w:bookmarkEnd w:id="78"/>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9" w:name="_Toc18911"/>
      <w:bookmarkStart w:id="80" w:name="_Toc27724"/>
      <w:bookmarkStart w:id="81" w:name="_Toc16535"/>
      <w:r>
        <w:rPr>
          <w:rFonts w:hint="eastAsia" w:ascii="宋体" w:hAnsi="宋体" w:eastAsia="宋体"/>
          <w:color w:val="auto"/>
          <w:sz w:val="21"/>
          <w:szCs w:val="21"/>
          <w:highlight w:val="none"/>
        </w:rPr>
        <w:t>14.投标人所提供的服务或货物的证明文件</w:t>
      </w:r>
      <w:bookmarkEnd w:id="79"/>
      <w:bookmarkEnd w:id="80"/>
      <w:bookmarkEnd w:id="8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bookmarkStart w:id="82" w:name="_Hlt107925638"/>
      <w:bookmarkEnd w:id="82"/>
      <w:bookmarkStart w:id="83" w:name="_Hlt107925668"/>
      <w:bookmarkEnd w:id="83"/>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2"/>
        <w:pageBreakBefore w:val="0"/>
        <w:widowControl w:val="0"/>
        <w:kinsoku/>
        <w:wordWrap/>
        <w:topLinePunct w:val="0"/>
        <w:autoSpaceDE/>
        <w:autoSpaceDN/>
        <w:bidi w:val="0"/>
        <w:adjustRightInd/>
        <w:snapToGrid/>
        <w:spacing w:after="0" w:line="360" w:lineRule="auto"/>
        <w:ind w:left="425" w:firstLine="0" w:firstLineChars="0"/>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84" w:name="_Toc30815"/>
      <w:bookmarkStart w:id="85" w:name="_Toc19520"/>
      <w:bookmarkStart w:id="86" w:name="_Toc22169"/>
      <w:r>
        <w:rPr>
          <w:rFonts w:hint="eastAsia" w:ascii="宋体" w:hAnsi="宋体" w:eastAsia="宋体"/>
          <w:color w:val="auto"/>
          <w:sz w:val="21"/>
          <w:szCs w:val="21"/>
          <w:highlight w:val="none"/>
        </w:rPr>
        <w:t>15.★投标有效期</w:t>
      </w:r>
      <w:bookmarkEnd w:id="84"/>
      <w:bookmarkEnd w:id="85"/>
      <w:bookmarkEnd w:id="86"/>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pageBreakBefore w:val="0"/>
        <w:widowControl w:val="0"/>
        <w:kinsoku/>
        <w:wordWrap/>
        <w:topLinePunct w:val="0"/>
        <w:autoSpaceDE/>
        <w:autoSpaceDN/>
        <w:bidi w:val="0"/>
        <w:adjustRightInd/>
        <w:snapToGrid/>
        <w:spacing w:after="0" w:line="360" w:lineRule="auto"/>
        <w:ind w:left="567"/>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hint="eastAsia" w:ascii="宋体" w:hAnsi="宋体" w:eastAsia="宋体"/>
          <w:color w:val="auto"/>
          <w:sz w:val="21"/>
          <w:szCs w:val="21"/>
          <w:highlight w:val="none"/>
          <w:lang w:eastAsia="zh-CN"/>
        </w:rPr>
      </w:pPr>
      <w:bookmarkStart w:id="87" w:name="_Toc30257"/>
      <w:bookmarkStart w:id="88" w:name="_Toc25817"/>
      <w:bookmarkStart w:id="89" w:name="_Toc12456"/>
      <w:r>
        <w:rPr>
          <w:rFonts w:hint="eastAsia" w:ascii="宋体" w:hAnsi="宋体" w:eastAsia="宋体"/>
          <w:color w:val="auto"/>
          <w:sz w:val="21"/>
          <w:szCs w:val="21"/>
          <w:highlight w:val="none"/>
        </w:rPr>
        <w:t>16.投标保证金</w:t>
      </w:r>
      <w:bookmarkEnd w:id="87"/>
      <w:bookmarkEnd w:id="88"/>
      <w:bookmarkEnd w:id="89"/>
      <w:r>
        <w:rPr>
          <w:rFonts w:hint="eastAsia" w:ascii="宋体" w:hAnsi="宋体" w:eastAsia="宋体"/>
          <w:color w:val="auto"/>
          <w:sz w:val="21"/>
          <w:szCs w:val="21"/>
          <w:highlight w:val="none"/>
          <w:lang w:eastAsia="zh-CN"/>
        </w:rPr>
        <w:t>（</w:t>
      </w:r>
      <w:r>
        <w:rPr>
          <w:rFonts w:hint="eastAsia" w:ascii="宋体" w:hAnsi="宋体"/>
          <w:b/>
          <w:color w:val="auto"/>
          <w:sz w:val="21"/>
          <w:szCs w:val="21"/>
          <w:highlight w:val="none"/>
          <w:lang w:val="en-US" w:eastAsia="zh-CN"/>
        </w:rPr>
        <w:t>本项目不需提供投标保证金</w:t>
      </w:r>
      <w:r>
        <w:rPr>
          <w:rFonts w:hint="eastAsia" w:ascii="宋体" w:hAnsi="宋体" w:eastAsia="宋体"/>
          <w:color w:val="auto"/>
          <w:sz w:val="21"/>
          <w:szCs w:val="21"/>
          <w:highlight w:val="none"/>
          <w:lang w:eastAsia="zh-CN"/>
        </w:rPr>
        <w:t>）</w:t>
      </w:r>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bookmarkStart w:id="90" w:name="_Ref179619405"/>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90"/>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pageBreakBefore w:val="0"/>
        <w:kinsoku/>
        <w:wordWrap/>
        <w:topLinePunct w:val="0"/>
        <w:autoSpaceDE/>
        <w:autoSpaceDN/>
        <w:bidi w:val="0"/>
        <w:spacing w:after="0" w:line="360" w:lineRule="auto"/>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pageBreakBefore w:val="0"/>
        <w:kinsoku/>
        <w:wordWrap/>
        <w:topLinePunct w:val="0"/>
        <w:autoSpaceDE/>
        <w:autoSpaceDN/>
        <w:bidi w:val="0"/>
        <w:spacing w:after="0" w:line="360" w:lineRule="auto"/>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w:t>
      </w:r>
      <w:r>
        <w:rPr>
          <w:rFonts w:hint="eastAsia" w:ascii="宋体" w:hAnsi="宋体"/>
          <w:color w:val="auto"/>
          <w:sz w:val="21"/>
          <w:szCs w:val="21"/>
          <w:highlight w:val="none"/>
          <w:lang w:val="en-US" w:eastAsia="zh-CN"/>
        </w:rPr>
        <w:t>投标文件无效</w:t>
      </w:r>
      <w:r>
        <w:rPr>
          <w:rFonts w:hint="eastAsia"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rPr>
        <w:t>投标人的保证金在采购合同签订后5个工作日内退还。</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一并递交。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pageBreakBefore w:val="0"/>
        <w:kinsoku/>
        <w:wordWrap/>
        <w:topLinePunct w:val="0"/>
        <w:autoSpaceDE/>
        <w:autoSpaceDN/>
        <w:bidi w:val="0"/>
        <w:spacing w:line="360" w:lineRule="auto"/>
        <w:textAlignment w:val="auto"/>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91" w:name="_Toc31124"/>
      <w:bookmarkStart w:id="92" w:name="_Toc3200"/>
      <w:bookmarkStart w:id="93" w:name="_Toc24109"/>
      <w:r>
        <w:rPr>
          <w:rFonts w:hint="eastAsia" w:ascii="宋体" w:hAnsi="宋体"/>
          <w:color w:val="auto"/>
          <w:highlight w:val="none"/>
          <w:lang w:val="en-US" w:eastAsia="zh-CN"/>
        </w:rPr>
        <w:t>第四章</w:t>
      </w:r>
      <w:r>
        <w:rPr>
          <w:rFonts w:hint="eastAsia" w:ascii="宋体" w:hAnsi="宋体" w:eastAsia="宋体"/>
          <w:color w:val="auto"/>
          <w:highlight w:val="none"/>
        </w:rPr>
        <w:t>投标文件的递交</w:t>
      </w:r>
      <w:bookmarkEnd w:id="91"/>
      <w:bookmarkEnd w:id="92"/>
      <w:bookmarkEnd w:id="93"/>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94" w:name="_Toc303084264"/>
      <w:bookmarkStart w:id="95" w:name="_Toc24997"/>
      <w:bookmarkStart w:id="96" w:name="_Toc29590"/>
      <w:bookmarkStart w:id="97" w:name="_Toc382049111"/>
      <w:bookmarkStart w:id="98" w:name="_Toc473"/>
      <w:bookmarkStart w:id="99" w:name="_Toc23678"/>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94"/>
      <w:bookmarkEnd w:id="95"/>
      <w:bookmarkEnd w:id="96"/>
      <w:bookmarkEnd w:id="97"/>
      <w:bookmarkEnd w:id="98"/>
      <w:bookmarkEnd w:id="99"/>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建议投标人对投标文件进行装订，价格文件、商务文件、技术文件可</w:t>
      </w:r>
      <w:r>
        <w:rPr>
          <w:rFonts w:hint="eastAsia" w:ascii="宋体" w:hAnsi="宋体" w:eastAsia="宋体"/>
          <w:color w:val="auto"/>
          <w:sz w:val="21"/>
          <w:szCs w:val="21"/>
          <w:highlight w:val="none"/>
          <w:lang w:val="en-US" w:eastAsia="zh-CN"/>
        </w:rPr>
        <w:t>合装订</w:t>
      </w:r>
      <w:r>
        <w:rPr>
          <w:rFonts w:hint="eastAsia" w:ascii="宋体" w:hAnsi="宋体" w:eastAsia="宋体"/>
          <w:color w:val="auto"/>
          <w:sz w:val="21"/>
          <w:szCs w:val="21"/>
          <w:highlight w:val="none"/>
        </w:rPr>
        <w:t>为一册，也可根据自身需要分册</w:t>
      </w:r>
      <w:r>
        <w:rPr>
          <w:rFonts w:hint="eastAsia" w:ascii="宋体" w:hAnsi="宋体" w:eastAsia="宋体"/>
          <w:color w:val="auto"/>
          <w:sz w:val="21"/>
          <w:szCs w:val="21"/>
          <w:highlight w:val="none"/>
          <w:lang w:val="en-US" w:eastAsia="zh-CN"/>
        </w:rPr>
        <w:t>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和授权委托书单独密封提交，并在信封上标明“</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”字样。投标人的法定代表人参加投标时，须开具法定代表人证明书，按上述要求与</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一并密封提交。“</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”份数及签章等要求与投标文件正本相同（1份）。</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0" w:name="_Toc8628"/>
      <w:bookmarkStart w:id="101" w:name="_Toc17417"/>
      <w:bookmarkStart w:id="102" w:name="_Toc7473"/>
      <w:r>
        <w:rPr>
          <w:rFonts w:hint="eastAsia" w:ascii="宋体" w:hAnsi="宋体" w:eastAsia="宋体"/>
          <w:color w:val="auto"/>
          <w:sz w:val="21"/>
          <w:szCs w:val="21"/>
          <w:highlight w:val="none"/>
        </w:rPr>
        <w:t>18.迟交的投标文件</w:t>
      </w:r>
      <w:bookmarkEnd w:id="100"/>
      <w:bookmarkEnd w:id="101"/>
      <w:bookmarkEnd w:id="102"/>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3" w:name="_Toc19649"/>
      <w:bookmarkStart w:id="104" w:name="_Toc13212"/>
      <w:bookmarkStart w:id="105" w:name="_Toc8526"/>
      <w:r>
        <w:rPr>
          <w:rFonts w:hint="eastAsia" w:ascii="宋体" w:hAnsi="宋体" w:eastAsia="宋体"/>
          <w:color w:val="auto"/>
          <w:sz w:val="21"/>
          <w:szCs w:val="21"/>
          <w:highlight w:val="none"/>
        </w:rPr>
        <w:t>19.投标样品（如需提交）</w:t>
      </w:r>
      <w:bookmarkEnd w:id="103"/>
      <w:bookmarkEnd w:id="104"/>
      <w:bookmarkEnd w:id="105"/>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6" w:name="_Toc7689"/>
      <w:bookmarkStart w:id="107" w:name="_Toc5900"/>
      <w:bookmarkStart w:id="108" w:name="_Toc9777"/>
      <w:bookmarkStart w:id="109" w:name="_Toc23477"/>
      <w:bookmarkStart w:id="110" w:name="_Toc382049112"/>
      <w:bookmarkStart w:id="111" w:name="_Toc303084265"/>
      <w:r>
        <w:rPr>
          <w:rFonts w:hint="eastAsia" w:ascii="宋体" w:hAnsi="宋体" w:eastAsia="宋体"/>
          <w:color w:val="auto"/>
          <w:sz w:val="21"/>
          <w:szCs w:val="21"/>
          <w:highlight w:val="none"/>
        </w:rPr>
        <w:t>20.投标截止期</w:t>
      </w:r>
      <w:bookmarkEnd w:id="106"/>
      <w:bookmarkEnd w:id="107"/>
      <w:bookmarkEnd w:id="108"/>
      <w:bookmarkEnd w:id="109"/>
      <w:bookmarkEnd w:id="110"/>
      <w:bookmarkEnd w:id="11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12" w:name="_Toc6003"/>
      <w:bookmarkStart w:id="113" w:name="_Toc11133"/>
      <w:bookmarkStart w:id="114" w:name="_Toc15569"/>
      <w:r>
        <w:rPr>
          <w:rFonts w:hint="eastAsia" w:ascii="宋体" w:hAnsi="宋体" w:eastAsia="宋体"/>
          <w:color w:val="auto"/>
          <w:sz w:val="21"/>
          <w:szCs w:val="21"/>
          <w:highlight w:val="none"/>
        </w:rPr>
        <w:t>21.投标文件的补充、修改与撤回</w:t>
      </w:r>
      <w:bookmarkEnd w:id="112"/>
      <w:bookmarkEnd w:id="113"/>
      <w:bookmarkEnd w:id="11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7"/>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15" w:name="_Toc29574"/>
      <w:bookmarkStart w:id="116" w:name="_Toc5049"/>
      <w:bookmarkStart w:id="117" w:name="_Toc23466"/>
      <w:r>
        <w:rPr>
          <w:rFonts w:hint="eastAsia" w:ascii="宋体" w:hAnsi="宋体"/>
          <w:color w:val="auto"/>
          <w:highlight w:val="none"/>
          <w:lang w:val="en-US" w:eastAsia="zh-CN"/>
        </w:rPr>
        <w:t>第五章</w:t>
      </w:r>
      <w:r>
        <w:rPr>
          <w:rFonts w:hint="eastAsia" w:ascii="宋体" w:hAnsi="宋体" w:eastAsia="宋体"/>
          <w:color w:val="auto"/>
          <w:highlight w:val="none"/>
        </w:rPr>
        <w:t>开标与评标</w:t>
      </w:r>
      <w:bookmarkEnd w:id="115"/>
      <w:bookmarkEnd w:id="116"/>
      <w:bookmarkEnd w:id="117"/>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18" w:name="_Toc27700"/>
      <w:bookmarkStart w:id="119" w:name="_Toc24251"/>
      <w:bookmarkStart w:id="120" w:name="_Toc28458"/>
      <w:r>
        <w:rPr>
          <w:rFonts w:hint="eastAsia" w:ascii="宋体" w:hAnsi="宋体" w:eastAsia="宋体"/>
          <w:color w:val="auto"/>
          <w:sz w:val="21"/>
          <w:szCs w:val="21"/>
          <w:highlight w:val="none"/>
        </w:rPr>
        <w:t>22.开标</w:t>
      </w:r>
      <w:bookmarkEnd w:id="118"/>
      <w:bookmarkEnd w:id="119"/>
      <w:bookmarkEnd w:id="120"/>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现场参与的</w:t>
      </w:r>
      <w:r>
        <w:rPr>
          <w:rFonts w:hint="eastAsia" w:ascii="宋体" w:hAnsi="宋体" w:eastAsia="宋体"/>
          <w:color w:val="auto"/>
          <w:sz w:val="21"/>
          <w:szCs w:val="21"/>
          <w:highlight w:val="none"/>
        </w:rPr>
        <w:t>投标人不足3家的，不得开标；</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pageBreakBefore w:val="0"/>
        <w:widowControl w:val="0"/>
        <w:kinsoku/>
        <w:wordWrap/>
        <w:topLinePunct w:val="0"/>
        <w:autoSpaceDE/>
        <w:autoSpaceDN/>
        <w:bidi w:val="0"/>
        <w:adjustRightInd/>
        <w:snapToGrid/>
        <w:spacing w:after="0" w:line="360" w:lineRule="auto"/>
        <w:ind w:left="567"/>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1" w:name="_Toc5974"/>
      <w:bookmarkStart w:id="122" w:name="_Toc4921"/>
      <w:bookmarkStart w:id="123" w:name="_Toc5524"/>
      <w:r>
        <w:rPr>
          <w:rFonts w:hint="eastAsia" w:ascii="宋体" w:hAnsi="宋体" w:eastAsia="宋体"/>
          <w:color w:val="auto"/>
          <w:sz w:val="21"/>
          <w:szCs w:val="21"/>
          <w:highlight w:val="none"/>
        </w:rPr>
        <w:t>23.评标委员会及评标方法</w:t>
      </w:r>
      <w:bookmarkEnd w:id="121"/>
      <w:bookmarkEnd w:id="122"/>
      <w:bookmarkEnd w:id="123"/>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4" w:name="_Toc26402"/>
      <w:bookmarkStart w:id="125" w:name="_Toc32730"/>
      <w:bookmarkStart w:id="126" w:name="_Toc15231"/>
      <w:r>
        <w:rPr>
          <w:rFonts w:hint="eastAsia" w:ascii="宋体" w:hAnsi="宋体" w:eastAsia="宋体"/>
          <w:color w:val="auto"/>
          <w:sz w:val="21"/>
          <w:szCs w:val="21"/>
          <w:highlight w:val="none"/>
        </w:rPr>
        <w:t>24.评审原则及评标过程的保密</w:t>
      </w:r>
      <w:bookmarkEnd w:id="124"/>
      <w:bookmarkEnd w:id="125"/>
      <w:bookmarkEnd w:id="126"/>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7" w:name="_Toc16745"/>
      <w:bookmarkStart w:id="128" w:name="_Toc18436"/>
      <w:bookmarkStart w:id="129" w:name="_Toc3762"/>
      <w:r>
        <w:rPr>
          <w:rFonts w:hint="eastAsia" w:ascii="宋体" w:hAnsi="宋体" w:eastAsia="宋体"/>
          <w:color w:val="auto"/>
          <w:sz w:val="21"/>
          <w:szCs w:val="21"/>
          <w:highlight w:val="none"/>
        </w:rPr>
        <w:t>25.投标文件的初审</w:t>
      </w:r>
      <w:bookmarkEnd w:id="127"/>
      <w:bookmarkEnd w:id="128"/>
      <w:bookmarkEnd w:id="129"/>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实质性条款（标记★）投标响应表</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未提供的</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⑥将一个包中的内容拆开投标的；⑦投标人对同一货物或服务投标时，投标方案不唯一；⑧明显不符合技术规格、技术标准要求的；⑨其他未实质性响应招标文件技术要求的。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0" w:name="_Toc27673"/>
      <w:bookmarkStart w:id="131" w:name="_Toc29184"/>
      <w:bookmarkStart w:id="132" w:name="_Toc21742"/>
      <w:r>
        <w:rPr>
          <w:rFonts w:hint="eastAsia" w:ascii="宋体" w:hAnsi="宋体" w:eastAsia="宋体"/>
          <w:color w:val="auto"/>
          <w:sz w:val="21"/>
          <w:szCs w:val="21"/>
          <w:highlight w:val="none"/>
        </w:rPr>
        <w:t>26.商务、技术、价格评审（具体评审项目详见投标资料表）</w:t>
      </w:r>
      <w:bookmarkEnd w:id="130"/>
      <w:bookmarkEnd w:id="131"/>
      <w:bookmarkEnd w:id="132"/>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（报价表）内容与投标文件中相应内容不一致的，以</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（报价表）为准；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的总价为准，并修改单价；</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3" w:name="_Toc7593"/>
      <w:bookmarkStart w:id="134" w:name="_Toc22192"/>
      <w:bookmarkStart w:id="135" w:name="_Toc17683"/>
      <w:r>
        <w:rPr>
          <w:rFonts w:hint="eastAsia" w:ascii="宋体" w:hAnsi="宋体" w:eastAsia="宋体"/>
          <w:color w:val="auto"/>
          <w:sz w:val="21"/>
          <w:szCs w:val="21"/>
          <w:highlight w:val="none"/>
        </w:rPr>
        <w:t>27.优惠政策</w:t>
      </w:r>
      <w:bookmarkEnd w:id="133"/>
      <w:bookmarkEnd w:id="134"/>
      <w:bookmarkEnd w:id="135"/>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6" w:name="_Toc316375620"/>
      <w:bookmarkStart w:id="137" w:name="_Toc22591"/>
      <w:bookmarkStart w:id="138" w:name="_Toc31141"/>
      <w:bookmarkStart w:id="139" w:name="_Toc12115"/>
      <w:bookmarkStart w:id="140" w:name="_Toc382049120"/>
      <w:bookmarkStart w:id="141"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136"/>
      <w:r>
        <w:rPr>
          <w:rFonts w:hint="eastAsia" w:ascii="宋体" w:hAnsi="宋体" w:eastAsia="宋体"/>
          <w:color w:val="auto"/>
          <w:sz w:val="21"/>
          <w:szCs w:val="21"/>
          <w:highlight w:val="none"/>
        </w:rPr>
        <w:t>事项</w:t>
      </w:r>
      <w:bookmarkEnd w:id="137"/>
      <w:bookmarkEnd w:id="138"/>
      <w:bookmarkEnd w:id="139"/>
      <w:bookmarkEnd w:id="140"/>
      <w:bookmarkEnd w:id="141"/>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42" w:name="_Toc29310"/>
      <w:bookmarkStart w:id="143" w:name="_Toc5528"/>
      <w:bookmarkStart w:id="144" w:name="_Toc12251"/>
      <w:r>
        <w:rPr>
          <w:rFonts w:hint="eastAsia" w:ascii="宋体" w:hAnsi="宋体"/>
          <w:color w:val="auto"/>
          <w:highlight w:val="none"/>
          <w:lang w:val="en-US" w:eastAsia="zh-CN"/>
        </w:rPr>
        <w:t>第六章</w:t>
      </w:r>
      <w:r>
        <w:rPr>
          <w:rFonts w:hint="eastAsia" w:ascii="宋体" w:hAnsi="宋体" w:eastAsia="宋体"/>
          <w:color w:val="auto"/>
          <w:highlight w:val="none"/>
        </w:rPr>
        <w:t>授予合同</w:t>
      </w:r>
      <w:bookmarkEnd w:id="142"/>
      <w:bookmarkEnd w:id="143"/>
      <w:bookmarkEnd w:id="144"/>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45" w:name="_Toc6696"/>
      <w:bookmarkStart w:id="146" w:name="_Toc17778"/>
      <w:bookmarkStart w:id="147" w:name="_Toc27817"/>
      <w:bookmarkStart w:id="148"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145"/>
      <w:bookmarkEnd w:id="146"/>
      <w:bookmarkEnd w:id="147"/>
      <w:bookmarkEnd w:id="148"/>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49" w:name="_Toc29283"/>
      <w:bookmarkStart w:id="150" w:name="_Toc12440"/>
      <w:bookmarkStart w:id="151" w:name="_Toc508284013"/>
      <w:bookmarkStart w:id="152" w:name="_Toc23136"/>
      <w:r>
        <w:rPr>
          <w:rFonts w:hint="eastAsia" w:ascii="宋体" w:hAnsi="宋体" w:eastAsia="宋体"/>
          <w:color w:val="auto"/>
          <w:sz w:val="21"/>
          <w:szCs w:val="21"/>
          <w:highlight w:val="none"/>
        </w:rPr>
        <w:t>30.发布采购结果</w:t>
      </w:r>
      <w:bookmarkEnd w:id="149"/>
      <w:bookmarkEnd w:id="150"/>
      <w:bookmarkEnd w:id="151"/>
      <w:bookmarkEnd w:id="152"/>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53" w:name="_Toc27279"/>
      <w:bookmarkStart w:id="154" w:name="_Toc22262"/>
      <w:bookmarkStart w:id="155" w:name="_Toc22451"/>
      <w:r>
        <w:rPr>
          <w:rFonts w:hint="eastAsia" w:ascii="宋体" w:hAnsi="宋体" w:eastAsia="宋体"/>
          <w:color w:val="auto"/>
          <w:sz w:val="21"/>
          <w:szCs w:val="21"/>
          <w:highlight w:val="none"/>
        </w:rPr>
        <w:t>31.合同的签订与履行</w:t>
      </w:r>
      <w:bookmarkEnd w:id="153"/>
      <w:bookmarkEnd w:id="154"/>
      <w:bookmarkEnd w:id="155"/>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56" w:name="_Toc29009"/>
      <w:bookmarkStart w:id="157" w:name="_Toc7405"/>
      <w:bookmarkStart w:id="158" w:name="_Toc382049124"/>
      <w:bookmarkStart w:id="159" w:name="_Toc25756"/>
      <w:bookmarkStart w:id="160" w:name="_Toc303084277"/>
      <w:bookmarkStart w:id="161" w:name="_Toc274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156"/>
      <w:bookmarkEnd w:id="157"/>
      <w:bookmarkEnd w:id="158"/>
      <w:bookmarkEnd w:id="159"/>
      <w:bookmarkEnd w:id="160"/>
      <w:bookmarkEnd w:id="161"/>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62" w:name="_Toc13694"/>
      <w:bookmarkStart w:id="163" w:name="_Toc20699"/>
      <w:bookmarkStart w:id="164" w:name="_Toc7360"/>
      <w:r>
        <w:rPr>
          <w:rFonts w:hint="eastAsia" w:ascii="宋体" w:hAnsi="宋体"/>
          <w:color w:val="auto"/>
          <w:highlight w:val="none"/>
          <w:lang w:val="en-US" w:eastAsia="zh-CN"/>
        </w:rPr>
        <w:t>第七章</w:t>
      </w:r>
      <w:r>
        <w:rPr>
          <w:rFonts w:hint="eastAsia" w:ascii="宋体" w:hAnsi="宋体" w:eastAsia="宋体"/>
          <w:color w:val="auto"/>
          <w:highlight w:val="none"/>
        </w:rPr>
        <w:t>询问或质疑</w:t>
      </w:r>
      <w:bookmarkEnd w:id="162"/>
      <w:bookmarkEnd w:id="163"/>
      <w:bookmarkEnd w:id="164"/>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65" w:name="_Toc22900"/>
      <w:bookmarkStart w:id="166" w:name="_Toc17974"/>
      <w:bookmarkStart w:id="167" w:name="_Toc25498"/>
      <w:r>
        <w:rPr>
          <w:rFonts w:hint="eastAsia" w:ascii="宋体" w:hAnsi="宋体" w:eastAsia="宋体"/>
          <w:color w:val="auto"/>
          <w:sz w:val="21"/>
          <w:szCs w:val="21"/>
          <w:highlight w:val="none"/>
        </w:rPr>
        <w:t>33.询问</w:t>
      </w:r>
      <w:bookmarkEnd w:id="165"/>
      <w:bookmarkEnd w:id="166"/>
      <w:bookmarkEnd w:id="167"/>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68" w:name="_Toc11264"/>
      <w:bookmarkStart w:id="169" w:name="_Toc2767"/>
      <w:bookmarkStart w:id="170" w:name="_Toc8234"/>
      <w:r>
        <w:rPr>
          <w:rFonts w:hint="eastAsia" w:ascii="宋体" w:hAnsi="宋体" w:eastAsia="宋体"/>
          <w:color w:val="auto"/>
          <w:sz w:val="21"/>
          <w:szCs w:val="21"/>
          <w:highlight w:val="none"/>
        </w:rPr>
        <w:t>34.质疑</w:t>
      </w:r>
      <w:bookmarkEnd w:id="168"/>
      <w:bookmarkEnd w:id="169"/>
      <w:bookmarkEnd w:id="170"/>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71" w:name="_Toc8919"/>
      <w:bookmarkStart w:id="172" w:name="_Toc24383"/>
      <w:bookmarkStart w:id="173" w:name="_Toc5690"/>
      <w:r>
        <w:rPr>
          <w:rFonts w:hint="eastAsia" w:ascii="宋体" w:hAnsi="宋体"/>
          <w:color w:val="auto"/>
          <w:highlight w:val="none"/>
          <w:lang w:val="en-US" w:eastAsia="zh-CN"/>
        </w:rPr>
        <w:t>第八章</w:t>
      </w:r>
      <w:r>
        <w:rPr>
          <w:rFonts w:hint="eastAsia" w:ascii="宋体" w:hAnsi="宋体" w:eastAsia="宋体"/>
          <w:color w:val="auto"/>
          <w:highlight w:val="none"/>
        </w:rPr>
        <w:t>其他</w:t>
      </w:r>
      <w:bookmarkEnd w:id="171"/>
      <w:bookmarkEnd w:id="172"/>
      <w:bookmarkEnd w:id="173"/>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74" w:name="_Toc6548"/>
      <w:bookmarkStart w:id="175" w:name="_Toc21187"/>
      <w:bookmarkStart w:id="176" w:name="_Toc10082"/>
      <w:r>
        <w:rPr>
          <w:rFonts w:hint="eastAsia" w:ascii="宋体" w:hAnsi="宋体" w:eastAsia="宋体"/>
          <w:color w:val="auto"/>
          <w:sz w:val="21"/>
          <w:szCs w:val="21"/>
          <w:highlight w:val="none"/>
        </w:rPr>
        <w:t>35.招标文件的解释权</w:t>
      </w:r>
      <w:bookmarkEnd w:id="174"/>
      <w:bookmarkEnd w:id="175"/>
      <w:bookmarkEnd w:id="176"/>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6</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本招标文件是根据国家有关法律、法规以及政府采购管理有关规定和参照国际惯例编制，解释权属本采购代理机构。</w:t>
      </w:r>
    </w:p>
    <w:p>
      <w:pPr>
        <w:bidi w:val="0"/>
        <w:rPr>
          <w:rFonts w:hint="eastAsia"/>
          <w:color w:val="auto"/>
          <w:highlight w:val="none"/>
        </w:rPr>
      </w:pPr>
    </w:p>
    <w:bookmarkEnd w:id="20"/>
    <w:p>
      <w:pPr>
        <w:jc w:val="center"/>
        <w:rPr>
          <w:color w:val="auto"/>
          <w:highlight w:val="none"/>
        </w:rPr>
      </w:pPr>
      <w:r>
        <w:rPr>
          <w:rFonts w:hint="eastAsia"/>
          <w:color w:val="auto"/>
          <w:highlight w:val="none"/>
        </w:rPr>
        <w:br w:type="page"/>
      </w:r>
    </w:p>
    <w:p>
      <w:pPr>
        <w:pStyle w:val="3"/>
        <w:spacing w:before="0" w:after="0" w:line="240" w:lineRule="auto"/>
        <w:rPr>
          <w:rFonts w:hint="eastAsia"/>
          <w:color w:val="auto"/>
          <w:sz w:val="28"/>
          <w:szCs w:val="28"/>
          <w:highlight w:val="none"/>
        </w:rPr>
      </w:pPr>
      <w:bookmarkStart w:id="177" w:name="_Toc31854"/>
      <w:bookmarkStart w:id="178" w:name="_Toc382"/>
      <w:bookmarkStart w:id="179" w:name="_Toc7011"/>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部分 用户需求书</w:t>
      </w:r>
      <w:bookmarkEnd w:id="177"/>
      <w:bookmarkEnd w:id="178"/>
      <w:bookmarkEnd w:id="179"/>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80" w:name="_Toc1593"/>
      <w:bookmarkStart w:id="181" w:name="_Toc14462"/>
      <w:bookmarkStart w:id="182" w:name="_Toc13112"/>
      <w:bookmarkStart w:id="183" w:name="_Toc31278"/>
      <w:bookmarkStart w:id="184" w:name="_Toc24679"/>
      <w:r>
        <w:rPr>
          <w:rFonts w:hint="eastAsia" w:ascii="宋体" w:hAnsi="宋体"/>
          <w:color w:val="auto"/>
          <w:highlight w:val="none"/>
          <w:lang w:val="en-US" w:eastAsia="zh-CN"/>
        </w:rPr>
        <w:t>第一章 商务需求书</w:t>
      </w:r>
      <w:bookmarkEnd w:id="180"/>
    </w:p>
    <w:tbl>
      <w:tblPr>
        <w:tblStyle w:val="22"/>
        <w:tblW w:w="8320" w:type="dxa"/>
        <w:tblInd w:w="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20"/>
        <w:gridCol w:w="6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w:t>
            </w:r>
          </w:p>
        </w:tc>
        <w:tc>
          <w:tcPr>
            <w:tcW w:w="6520" w:type="dxa"/>
            <w:vAlign w:val="center"/>
          </w:tcPr>
          <w:p>
            <w:pPr>
              <w:pStyle w:val="32"/>
              <w:keepNext w:val="0"/>
              <w:keepLines w:val="0"/>
              <w:pageBreakBefore w:val="0"/>
              <w:widowControl/>
              <w:kinsoku/>
              <w:wordWrap/>
              <w:overflowPunct/>
              <w:topLinePunct w:val="0"/>
              <w:autoSpaceDE/>
              <w:autoSpaceDN/>
              <w:bidi w:val="0"/>
              <w:adjustRightInd w:val="0"/>
              <w:snapToGrid w:val="0"/>
              <w:spacing w:after="0" w:line="360" w:lineRule="auto"/>
              <w:ind w:left="210" w:leftChars="0" w:right="0" w:rightChars="0" w:hanging="210" w:hangingChars="100"/>
              <w:textAlignment w:val="auto"/>
              <w:rPr>
                <w:rFonts w:hint="eastAsia" w:ascii="宋体" w:hAnsi="宋体" w:eastAsia="宋体" w:cs="宋体"/>
                <w:bCs/>
                <w:color w:val="auto"/>
                <w:kern w:val="44"/>
                <w:sz w:val="21"/>
                <w:szCs w:val="21"/>
                <w:highlight w:val="none"/>
              </w:rPr>
            </w:pPr>
            <w:r>
              <w:rPr>
                <w:rFonts w:hint="eastAsia" w:ascii="宋体" w:hAnsi="宋体" w:eastAsia="宋体" w:cs="宋体"/>
                <w:color w:val="auto"/>
                <w:kern w:val="0"/>
                <w:sz w:val="21"/>
                <w:szCs w:val="21"/>
                <w:highlight w:val="none"/>
                <w:lang w:val="en-US" w:eastAsia="zh-CN"/>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完工期要求</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签订合同后</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天内完成，通过采购人验收并交付采购人使用。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交货及施工地点</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质保期</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bCs/>
                <w:color w:val="auto"/>
                <w:kern w:val="44"/>
                <w:sz w:val="21"/>
                <w:szCs w:val="21"/>
                <w:highlight w:val="none"/>
                <w:lang w:val="en-US" w:eastAsia="zh-CN"/>
              </w:rPr>
            </w:pPr>
            <w:r>
              <w:rPr>
                <w:rFonts w:hint="eastAsia" w:ascii="宋体" w:hAnsi="宋体" w:eastAsia="宋体" w:cs="宋体"/>
                <w:bCs/>
                <w:color w:val="auto"/>
                <w:kern w:val="44"/>
                <w:sz w:val="21"/>
                <w:szCs w:val="21"/>
                <w:highlight w:val="none"/>
              </w:rPr>
              <w:t>一年</w:t>
            </w:r>
            <w:r>
              <w:rPr>
                <w:rFonts w:hint="eastAsia" w:ascii="宋体" w:hAnsi="宋体" w:cs="宋体"/>
                <w:bCs/>
                <w:color w:val="auto"/>
                <w:kern w:val="44"/>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520"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项目验收后，支付至合同总价的95%，5%的余款作为项目的质保金，项目验收合格一年后支付。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仿宋"/>
                <w:color w:val="auto"/>
                <w:sz w:val="21"/>
                <w:szCs w:val="21"/>
                <w:highlight w:val="none"/>
                <w:shd w:val="clear" w:color="auto" w:fill="FFFFFF"/>
                <w:lang w:val="en-US" w:eastAsia="zh-CN"/>
              </w:rPr>
              <w:t>报价包含本项项目所以</w:t>
            </w:r>
            <w:r>
              <w:rPr>
                <w:rFonts w:hint="eastAsia" w:ascii="宋体" w:hAnsi="宋体" w:eastAsia="宋体" w:cs="仿宋"/>
                <w:color w:val="auto"/>
                <w:sz w:val="21"/>
                <w:szCs w:val="21"/>
                <w:highlight w:val="none"/>
                <w:shd w:val="clear" w:color="auto" w:fill="FFFFFF"/>
              </w:rPr>
              <w:t>人工费、材料费、设备使用费、各种税费、保险费及合同实施过程中的不可预见费用等全部费用</w:t>
            </w:r>
            <w:r>
              <w:rPr>
                <w:rFonts w:hint="eastAsia" w:ascii="宋体" w:hAnsi="宋体" w:cs="仿宋"/>
                <w:color w:val="auto"/>
                <w:sz w:val="21"/>
                <w:szCs w:val="21"/>
                <w:highlight w:val="none"/>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验收方法及标准</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所有货物经投标公司和招标人双方商定，投标公司提供的所有货物均需提供不少于12个月的质量保证期，质量保证期自招标人在质量最终验收单上签字之日起计算。质量保证期内，所有服务由投标公司上门进行，不得收取任何费用。质保期内投标公司每月至少一次对所供产品进行常规检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投标公司负责招标人购买的合同标的货物的正常使用，承担技术支持，包括提供及时的电话技术支持和远程响应、上门服务；技术疑问响应时间不得超过1小时，排除技术疑问时间为8小时。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质保期内免费实行包修、包换、包退，处理因质量发生的故障（法定不可抗拒因素除外如火灾、自然灾害等）。同一设备出现同一故障三次，投标公司应免费更换同类型产品，并承担因此而产生的一切费用。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投标公司应提供技术更新方面的技术支持服务。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68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5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实质响应合同各条款。</w:t>
            </w:r>
          </w:p>
        </w:tc>
      </w:tr>
    </w:tbl>
    <w:p>
      <w:pPr>
        <w:bidi w:val="0"/>
        <w:rPr>
          <w:rFonts w:hint="eastAsia"/>
          <w:color w:val="auto"/>
          <w:highlight w:val="none"/>
          <w:lang w:val="en-US" w:eastAsia="zh-CN"/>
        </w:rPr>
      </w:pPr>
    </w:p>
    <w:p>
      <w:pPr>
        <w:pStyle w:val="7"/>
        <w:rPr>
          <w:rFonts w:hint="eastAsia"/>
          <w:color w:val="auto"/>
          <w:highlight w:val="none"/>
          <w:lang w:val="en-US" w:eastAsia="zh-CN"/>
        </w:rPr>
      </w:pPr>
    </w:p>
    <w:p>
      <w:pPr>
        <w:rPr>
          <w:rFonts w:hint="eastAsia"/>
          <w:color w:val="auto"/>
          <w:highlight w:val="none"/>
          <w:lang w:val="en-US" w:eastAsia="zh-CN"/>
        </w:rPr>
      </w:pPr>
    </w:p>
    <w:p>
      <w:pPr>
        <w:bidi w:val="0"/>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bidi w:val="0"/>
        <w:rPr>
          <w:rFonts w:hint="eastAsia"/>
          <w:color w:val="auto"/>
          <w:highlight w:val="none"/>
          <w:lang w:val="en-US" w:eastAsia="zh-CN"/>
        </w:rPr>
      </w:pPr>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ascii="宋体" w:hAnsi="宋体" w:eastAsia="宋体"/>
          <w:b/>
          <w:color w:val="auto"/>
          <w:sz w:val="24"/>
          <w:highlight w:val="none"/>
        </w:rPr>
      </w:pPr>
      <w:bookmarkStart w:id="185" w:name="_Toc19316"/>
      <w:r>
        <w:rPr>
          <w:rFonts w:hint="eastAsia" w:ascii="宋体" w:hAnsi="宋体"/>
          <w:color w:val="auto"/>
          <w:highlight w:val="none"/>
          <w:lang w:val="en-US" w:eastAsia="zh-CN"/>
        </w:rPr>
        <w:t>第二章 技术需求书</w:t>
      </w:r>
      <w:bookmarkEnd w:id="185"/>
    </w:p>
    <w:p>
      <w:pPr>
        <w:pStyle w:val="5"/>
        <w:bidi w:val="0"/>
        <w:rPr>
          <w:rFonts w:hint="eastAsia"/>
        </w:rPr>
      </w:pPr>
      <w:r>
        <w:rPr>
          <w:rFonts w:hint="eastAsia"/>
        </w:rPr>
        <w:t>一、</w:t>
      </w:r>
      <w:r>
        <w:rPr>
          <w:rFonts w:hint="eastAsia"/>
          <w:lang w:val="en-US" w:eastAsia="zh-CN"/>
        </w:rPr>
        <w:t>交货</w:t>
      </w:r>
      <w:r>
        <w:rPr>
          <w:rFonts w:hint="default"/>
          <w:lang w:val="en-US" w:eastAsia="zh-CN"/>
        </w:rPr>
        <w:t>及安装要求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1、投标公司将供应以上货物搬运到采购单位指定位置并安装。</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2、中标公司负责的设备、材料等需经我</w:t>
      </w:r>
      <w:r>
        <w:rPr>
          <w:rFonts w:hint="eastAsia" w:ascii="宋体" w:hAnsi="宋体" w:eastAsia="宋体" w:cs="宋体"/>
          <w:color w:val="auto"/>
          <w:sz w:val="21"/>
          <w:szCs w:val="21"/>
          <w:highlight w:val="none"/>
          <w:lang w:val="en-US" w:eastAsia="zh-CN"/>
        </w:rPr>
        <w:t>横沥镇社区卫生服务中心</w:t>
      </w:r>
      <w:r>
        <w:rPr>
          <w:rFonts w:hint="eastAsia" w:ascii="宋体" w:hAnsi="宋体" w:eastAsia="宋体" w:cs="宋体"/>
          <w:color w:val="auto"/>
          <w:sz w:val="21"/>
          <w:szCs w:val="21"/>
          <w:highlight w:val="none"/>
          <w:lang w:eastAsia="zh-CN"/>
        </w:rPr>
        <w:t>相关部门检验合格确认后，方能进场施工。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3、为使系统能正常运行，工程所需的施工材料及部件全部由投标公司负责，所有材料或部件均需按招标文件工程量清单提供。</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公司应保证合同项下所供货物是全新的、性能最优的、未使用过的，是用一流的工艺生产的，并完全符合合同规定的质量、规格和性能的要求。除非合同另有规定，货物应含有设计上和材料的全部最新改进。投标公司进一步保证，合同项下提供的全部货物没有设计、材料或工艺上的缺陷，或者没有因卖方的行为或疏忽而产生的缺陷。由于货物设计、材料、工艺等有缺陷，投标公司应进行更换，提供符合合同和招标人要求的货物；由于投标公司的行为或疏忽而造成所供货物有缺陷，投标公司应进行赔偿。</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3、在货物最终验收合格之日起 12个月的质量保证期内，投标公司应对由于设计、工艺或材料等缺陷而产生的故障负责。</w:t>
      </w:r>
    </w:p>
    <w:p>
      <w:pPr>
        <w:bidi w:val="0"/>
        <w:rPr>
          <w:rFonts w:hint="eastAsia"/>
        </w:rPr>
      </w:pPr>
    </w:p>
    <w:p>
      <w:pPr>
        <w:pStyle w:val="5"/>
        <w:bidi w:val="0"/>
        <w:rPr>
          <w:rFonts w:hint="default" w:eastAsia="宋体"/>
          <w:color w:val="auto"/>
          <w:highlight w:val="none"/>
          <w:lang w:val="en-US" w:eastAsia="zh-CN"/>
        </w:rPr>
      </w:pPr>
      <w:r>
        <w:rPr>
          <w:rFonts w:hint="eastAsia" w:eastAsia="宋体"/>
          <w:color w:val="auto"/>
          <w:highlight w:val="none"/>
          <w:lang w:eastAsia="zh-CN"/>
        </w:rPr>
        <w:t>二、</w:t>
      </w:r>
      <w:r>
        <w:rPr>
          <w:rFonts w:hint="eastAsia"/>
          <w:color w:val="auto"/>
          <w:highlight w:val="none"/>
          <w:lang w:val="en-US" w:eastAsia="zh-CN"/>
        </w:rPr>
        <w:t>项目清单及参数说明</w:t>
      </w:r>
    </w:p>
    <w:tbl>
      <w:tblPr>
        <w:tblStyle w:val="22"/>
        <w:tblW w:w="8361" w:type="dxa"/>
        <w:tblInd w:w="0" w:type="dxa"/>
        <w:shd w:val="clear" w:color="auto" w:fill="auto"/>
        <w:tblLayout w:type="autofit"/>
        <w:tblCellMar>
          <w:top w:w="0" w:type="dxa"/>
          <w:left w:w="0" w:type="dxa"/>
          <w:bottom w:w="0" w:type="dxa"/>
          <w:right w:w="0" w:type="dxa"/>
        </w:tblCellMar>
      </w:tblPr>
      <w:tblGrid>
        <w:gridCol w:w="705"/>
        <w:gridCol w:w="5406"/>
        <w:gridCol w:w="1125"/>
        <w:gridCol w:w="1125"/>
      </w:tblGrid>
      <w:tr>
        <w:tblPrEx>
          <w:shd w:val="clear" w:color="auto" w:fill="auto"/>
          <w:tblCellMar>
            <w:top w:w="0" w:type="dxa"/>
            <w:left w:w="0" w:type="dxa"/>
            <w:bottom w:w="0" w:type="dxa"/>
            <w:right w:w="0" w:type="dxa"/>
          </w:tblCellMar>
        </w:tblPrEx>
        <w:trPr>
          <w:trHeight w:val="784" w:hRule="atLeast"/>
        </w:trPr>
        <w:tc>
          <w:tcPr>
            <w:tcW w:w="70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540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项目名称与特征</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计量单位</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工程量</w:t>
            </w: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石涌社区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88.15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olor w:val="auto"/>
                <w:sz w:val="21"/>
                <w:szCs w:val="21"/>
                <w:highlight w:val="none"/>
              </w:rPr>
              <w:t>●</w:t>
            </w: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墙面装饰板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1.龙骨材料种类、规格、中距:50*50*1.5镀锌方通，喷涂防锈漆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2.面层材料品种、规格、颜色:4mm铝塑板（铝片25C厚）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49.5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300</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墙柱面龙骨及饰面拆除</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1.龙骨及饰面种类:拆除正面原钢骨架招牌</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2.废料外运:综合考虑</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88.45</w:t>
            </w:r>
          </w:p>
        </w:tc>
      </w:tr>
      <w:tr>
        <w:tblPrEx>
          <w:shd w:val="clear" w:color="auto" w:fill="auto"/>
          <w:tblCellMar>
            <w:top w:w="0" w:type="dxa"/>
            <w:left w:w="0" w:type="dxa"/>
            <w:bottom w:w="0" w:type="dxa"/>
            <w:right w:w="0" w:type="dxa"/>
          </w:tblCellMar>
        </w:tblPrEx>
        <w:trPr>
          <w:trHeight w:val="5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天棚面龙骨及饰面拆除</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1.龙骨及饰面种类:拆除底面原钢骨架招牌</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49.2</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分部小计(石涌社区)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隔坑社区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104.55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墙面装饰板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1.龙骨材料种类、规格、中距:50*50*1.5镀锌方通，喷涂防锈漆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2.面层材料品种、规格、颜色:4mm铝塑板（铝片25C厚）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63.9</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212</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墙柱面龙骨及饰面拆除</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1.龙骨及饰面种类:拆除正面原钢骨架招牌</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2.废料外运:综合考虑</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114.9</w:t>
            </w:r>
          </w:p>
        </w:tc>
      </w:tr>
      <w:tr>
        <w:tblPrEx>
          <w:shd w:val="clear" w:color="auto" w:fill="auto"/>
          <w:tblCellMar>
            <w:top w:w="0" w:type="dxa"/>
            <w:left w:w="0" w:type="dxa"/>
            <w:bottom w:w="0" w:type="dxa"/>
            <w:right w:w="0" w:type="dxa"/>
          </w:tblCellMar>
        </w:tblPrEx>
        <w:trPr>
          <w:trHeight w:val="5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天棚面龙骨及饰面拆除</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1.龙骨及饰面种类:拆除底面原钢骨架招牌</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53.55</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分部小计(隔坑社区)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恒泉社区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201.6</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墙面装饰板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1.龙骨材料种类、规格、中距:50*50*1.5镀锌方通，喷涂防锈漆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2.面层材料品种、规格、颜色:4mm铝塑板（铝片25C厚）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108</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432</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245</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墙柱面龙骨及饰面拆除</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1.龙骨及饰面种类:拆除正面原钢骨架招牌</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2.废料外运:综合考虑</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208.8</w:t>
            </w:r>
          </w:p>
        </w:tc>
      </w:tr>
      <w:tr>
        <w:tblPrEx>
          <w:shd w:val="clear" w:color="auto" w:fill="auto"/>
          <w:tblCellMar>
            <w:top w:w="0" w:type="dxa"/>
            <w:left w:w="0" w:type="dxa"/>
            <w:bottom w:w="0" w:type="dxa"/>
            <w:right w:w="0" w:type="dxa"/>
          </w:tblCellMar>
        </w:tblPrEx>
        <w:trPr>
          <w:trHeight w:val="5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天棚面龙骨及饰面拆除</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1.龙骨及饰面种类:拆除底面原钢骨架招牌</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100.8</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分部小计(恒泉社区)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田绕步社区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126</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墙面装饰板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1.龙骨材料种类、规格、中距:50*50*1.5镀锌方通，喷涂防锈漆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2.面层材料品种、规格、颜色:4mm铝塑板（铝片25C厚）</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86.4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588</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570</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386</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墙柱面龙骨及饰面拆除</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1.龙骨及饰面种类:拆除正面原钢骨架招牌</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2.废料外运:综合考虑</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149.4</w:t>
            </w:r>
          </w:p>
        </w:tc>
      </w:tr>
      <w:tr>
        <w:tblPrEx>
          <w:shd w:val="clear" w:color="auto" w:fill="auto"/>
          <w:tblCellMar>
            <w:top w:w="0" w:type="dxa"/>
            <w:left w:w="0" w:type="dxa"/>
            <w:bottom w:w="0" w:type="dxa"/>
            <w:right w:w="0" w:type="dxa"/>
          </w:tblCellMar>
        </w:tblPrEx>
        <w:trPr>
          <w:trHeight w:val="5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48</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天棚面龙骨及饰面拆除</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1.龙骨及饰面种类:拆除底面原钢骨架招牌</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63</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分部小计(田绕步社区)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田坑社区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146.2</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2.字体规格:500*500mm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54</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墙面装饰板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1.龙骨材料种类、规格、中距:50*50*1.5镀锌方通，喷涂防锈漆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2.面层材料品种、规格、颜色:4mm铝塑板（铝片25C厚）</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122.4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585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216.3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411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墙柱面龙骨及饰面拆除</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1.龙骨及饰面种类:拆除正面原钢骨架招牌</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2.废料外运:综合考虑</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193</w:t>
            </w:r>
          </w:p>
        </w:tc>
      </w:tr>
      <w:tr>
        <w:tblPrEx>
          <w:shd w:val="clear" w:color="auto" w:fill="auto"/>
          <w:tblCellMar>
            <w:top w:w="0" w:type="dxa"/>
            <w:left w:w="0" w:type="dxa"/>
            <w:bottom w:w="0" w:type="dxa"/>
            <w:right w:w="0" w:type="dxa"/>
          </w:tblCellMar>
        </w:tblPrEx>
        <w:trPr>
          <w:trHeight w:val="5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62</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天棚面龙骨及饰面拆除</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1.龙骨及饰面种类:拆除底面原钢骨架招牌</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75.6</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分部小计(田坑社区)</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社区中心办公楼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18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医院分布图标识牌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1.材质:12厘板氟碳烤漆丝印；304#不锈钢折弯焊接造型 汽车烤漆，内置钢架（50*50*1.5镀锌方通骨架）；5厘钢板汽车烤漆；8+3白色水晶字；5+3白色水晶字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2.尺寸:1400*900*1200mm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医院楼层索引标识牌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1.材质:12厘高密度PVC板烤漆丝印；8厘板氟碳烤漆丝印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2.尺寸:1100*600mm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功能室科室牌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1.材质:10mm厚氟碳烤漆+5mm厚氟碳烤漆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2.尺寸:300*150mm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楼层标识牌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1.材质:8厘板氟碳烤漆丝印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2.尺寸:直径300mm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公益宣传画框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1.材质:拉丝铝型材挂框，厚度1.5厘内贴户外高清写真喷画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r>
      <w:tr>
        <w:tblPrEx>
          <w:shd w:val="clear" w:color="auto" w:fill="auto"/>
          <w:tblCellMar>
            <w:top w:w="0" w:type="dxa"/>
            <w:left w:w="0" w:type="dxa"/>
            <w:bottom w:w="0" w:type="dxa"/>
            <w:right w:w="0" w:type="dxa"/>
          </w:tblCellMar>
        </w:tblPrEx>
        <w:trPr>
          <w:trHeight w:val="18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宣传栏橱窗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1.材质:50*50*1.5、38*38*1.5、20*20*1.5镀锌方通 加工折弯、烤漆；6mm钢化玻璃；1.0镀锌板贴宣传画；12厘PVC板打印，8+3绿色水晶字；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地面标识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1.材质:底层为户外写真喷画膜，面层为防滑透明覆膜</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2.尺寸:1200*600mm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功能室牌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 氟碳烤漆丝印+8厘板 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71</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温馨提示及警示 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1.材质:5厘板 氟碳烤漆丝印,3M双面胶粘贴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2.尺寸:300*400mm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r>
      <w:tr>
        <w:tblPrEx>
          <w:shd w:val="clear" w:color="auto" w:fill="auto"/>
          <w:tblCellMar>
            <w:top w:w="0" w:type="dxa"/>
            <w:left w:w="0" w:type="dxa"/>
            <w:bottom w:w="0" w:type="dxa"/>
            <w:right w:w="0" w:type="dxa"/>
          </w:tblCellMar>
        </w:tblPrEx>
        <w:trPr>
          <w:trHeight w:val="20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公益宣传画灯箱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1.材质:底框为1.5mm成型铝合金材 内置白色烤漆;T8超亮LED灯管;1.5厘厚304拉丝不锈钢 冲压包边宽5厘米;面封厚1.5厘冷热伸缩 PVC喷画膜;背部封3厘白色铝塑板；内置高清冷热伸缩灯箱膜 内置反光膜 使光源均匀、柔和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1.镌字材料品种、颜色:304#不锈钢烤漆字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2.规格:700*700mm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1.镌字材料品种、颜色:304#不锈钢烤漆logo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2.规格:700*700mm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分部小计(社区中心办公楼)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社区中心综合楼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大楼招牌标识</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1.基层材料种类:50*50*1.5镀锌方通，喷涂防锈漆</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2.面层材料种类:4mm铝塑板（铝片25C厚）</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52.5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2.规格:1200*1200mm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2.字体规格:800*800mm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1.镌字材料品种、颜色:不锈钢发光字（英文字）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2.字体规格:500*300mm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288</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3.规格:BV-6mm2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270</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186</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1.名称:筒灯</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2.规格:7W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83</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分部小计(大楼招牌标识)</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其他招牌</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18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医院分布图标识牌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1.材质:12厘板氟碳烤漆丝印；304#不锈钢折弯焊接造型 汽车烤漆，内置钢架（50*50*1.5镀锌方通骨架）；5厘钢板汽车烤漆；8+3白色水晶字；5+3白色水晶字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2.尺寸:1400*900*1200mm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医院楼层索引标识牌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1.材质:12厘高密度PVC板烤漆丝印；8厘板氟碳烤漆丝印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2.尺寸:1100*600mm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87</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功能室科室牌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1.材质:10mm厚氟碳烤漆+5mm厚氟碳烤漆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2.尺寸:300*150mm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楼层标识牌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1.材质:8厘板氟碳烤漆丝印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2.尺寸:直径300mm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公益宣传画框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1.材质:拉丝铝型材挂框，厚度1.5厘内贴户外高清写真喷画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r>
      <w:tr>
        <w:tblPrEx>
          <w:shd w:val="clear" w:color="auto" w:fill="auto"/>
          <w:tblCellMar>
            <w:top w:w="0" w:type="dxa"/>
            <w:left w:w="0" w:type="dxa"/>
            <w:bottom w:w="0" w:type="dxa"/>
            <w:right w:w="0" w:type="dxa"/>
          </w:tblCellMar>
        </w:tblPrEx>
        <w:trPr>
          <w:trHeight w:val="18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宣传栏橱窗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1.材质:50*50*1.5、38*38*1.5、20*20*1.5镀锌方通 加工折弯、烤漆；6mm钢化玻璃；1.0镀锌板贴宣传画；12厘PVC板打印，8+3绿色水晶字；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功能室牌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 氟碳烤漆丝印+8厘板 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92</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温馨提示及警示 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1.材质:5厘 氟碳烤漆丝印,3M双面胶粘贴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2.尺寸:300*400mm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地面标识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1.材质:底层为户外写真喷画膜，面层为防滑透明覆膜</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2.尺寸:1200*600mm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r>
      <w:tr>
        <w:tblPrEx>
          <w:shd w:val="clear" w:color="auto" w:fill="auto"/>
          <w:tblCellMar>
            <w:top w:w="0" w:type="dxa"/>
            <w:left w:w="0" w:type="dxa"/>
            <w:bottom w:w="0" w:type="dxa"/>
            <w:right w:w="0" w:type="dxa"/>
          </w:tblCellMar>
        </w:tblPrEx>
        <w:trPr>
          <w:trHeight w:val="20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公益宣传画灯箱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1.材质:底框为1.5mm成型铝合金材 内置白色烤漆;T8超亮LED灯管;1.5厘厚304拉丝不锈钢 冲压包边宽5厘米;面封厚1.5厘冷热伸缩 PVC喷画膜;背部封3厘白色铝塑板；内置高清冷热伸缩灯箱膜 内置反光膜 使光源均匀、柔和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海报架及指示牌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1.材质:1.5厘锌板冲压烤漆底座、直径2.5厘米水管烤漆支架、PVC画面</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2.尺寸:1800*800mm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r>
      <w:tr>
        <w:tblPrEx>
          <w:shd w:val="clear" w:color="auto" w:fill="auto"/>
          <w:tblCellMar>
            <w:top w:w="0" w:type="dxa"/>
            <w:left w:w="0" w:type="dxa"/>
            <w:bottom w:w="0" w:type="dxa"/>
            <w:right w:w="0" w:type="dxa"/>
          </w:tblCellMar>
        </w:tblPrEx>
        <w:trPr>
          <w:trHeight w:val="163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收费药箱价格表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1.材质:30*30*1.5厘镀锌管，面封1.5厘冲压304不锈钢包边；8厘板氟碳烤漆丝印，3M双面胶粘贴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家庭医生形象墙</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1.材质:L40X40X1.2 镀锌方管，喷涂防锈漆；面封4厘铝塑板；8+5水晶字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2.尺寸:4000*2800mm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家庭医生科室牌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1.材质:12厘PVC板+8厘板氟碳烤漆丝印文字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2.尺寸:400*200mm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r>
      <w:tr>
        <w:tblPrEx>
          <w:shd w:val="clear" w:color="auto" w:fill="auto"/>
          <w:tblCellMar>
            <w:top w:w="0" w:type="dxa"/>
            <w:left w:w="0" w:type="dxa"/>
            <w:bottom w:w="0" w:type="dxa"/>
            <w:right w:w="0" w:type="dxa"/>
          </w:tblCellMar>
        </w:tblPrEx>
        <w:trPr>
          <w:trHeight w:val="20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家庭医生宣传灯箱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1.材质:底框为1.5mm成型铝合金材内置白色烤漆；T8超亮LED灯管；1.5厘厚304拉丝不锈钢冲压包边宽5厘米；面封厚1.5厘冷热伸缩PVC喷画膜;背部封3厘白色铝塑板；内置高清冷热伸缩灯箱膜 内置反光膜 使光源均匀、柔和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家庭医生诊室标识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1.材质:12厘高密度PVC板氟碳烤漆丝印;8厘板氟碳烤漆丝印</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16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家庭医生门诊标识灯箱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1.材质:10*2厘成型铝材;1.5mm304不锈钢包边（宽5厘米）;T8超亮LED灯管;背板1.5厘不锈钢板;内置高清冷热伸缩灯箱膜</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2.尺寸:3000*600mm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预防接种标识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1.材质:8厘板氟碳烤漆丝印,不锈钢广告钉</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预防接种科室牌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1.材质:8厘板氟碳烤漆丝印,3M双面胶粘贴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2.尺寸:400*200mm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20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104</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预防接种区宣传灯箱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1.材质:底框为1.5mm成型铝合金材 内置白色烤漆;T8超亮LED灯管;1.5厘厚304拉丝不锈钢 冲压包边宽5厘米;面封厚1.5厘冷热伸缩 PVC喷画膜;背部封3厘白色铝塑板；内置高清冷热伸缩灯箱膜 内置反光膜 使光源均匀、柔和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shd w:val="clear" w:color="auto" w:fill="auto"/>
          <w:tblCellMar>
            <w:top w:w="0" w:type="dxa"/>
            <w:left w:w="0" w:type="dxa"/>
            <w:bottom w:w="0" w:type="dxa"/>
            <w:right w:w="0" w:type="dxa"/>
          </w:tblCellMar>
        </w:tblPrEx>
        <w:trPr>
          <w:trHeight w:val="20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中医诊室宣传灯箱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1.材质:底框为1.5mm成型铝合金材 内置白色烤漆;T8超亮LED灯管;1.5厘厚304拉丝不锈钢 冲压包边宽5厘米;面封厚1.5厘冷热伸缩 PVC喷画膜;背部封3厘白色铝塑板；内置高清冷热伸缩灯箱膜 内置反光膜 使光源均匀、柔和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中医诊室文化墙</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1.材质:12厘高密度PVC板氟碳烤漆丝印，雕刻成型；3M双面胶粘贴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2.尺寸:2400*1000mm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中医诊室红木框宣传画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1.材质:清户外写真喷画底部贴5厘PVC板；边宽2.5厘米红木框；厘钢化玻璃</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108</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中医馆大厅走道 中医文化牌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氟碳烤漆丝印，雕刻成型</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2.尺寸:14000*1800mm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中医诊室走道文化牌</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1.材质:12厘高密度PVC板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氟碳烤漆丝印，雕刻成型</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2.尺寸:12000*1800mm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地面标识</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1.材质:底层为户外写真喷画膜，面层为防滑透明覆膜</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2.尺寸:1200*600mm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发展历程宣传画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1.材质:文字图案12厘高密度PVC板 氟碳烤漆丝印，雕刻成型</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2.尺寸:8000*2000mm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党史宣传画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1.材质:文字图案12厘高密度PVC板 氟碳烤漆丝印，雕刻成型</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2.尺寸:6000*1800mm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3.含制作、安装等一切费用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幅</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113</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显示设备</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1.名称:电子显示屏</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2.类别:单色P8户外防水</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3.规格:12000*800mm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平面、箱式招牌（钢骨架）</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1.箱体规格:12000*800mm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2.基层材料种类:38*38*1.5厘304不锈钢管</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3.304黑色1.5厘不锈钢冲压包边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显示设备</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1.名称:大堂彩色电子屏</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2.类别:户外P3LED显示板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3.规格:4000*1970mm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4.具体工艺详施工图纸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141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116</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平面、箱式招牌（钢骨架）</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1.箱体规格:4200*2500mm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2.基层材料种类:50*50*1.5镀锌方钢</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3.面层材料种类:304#1.2mm 不锈钢密封；3mm厚透光板</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4.防护材料种类:表面油2道防锈漆，一道面漆</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3.规格:BV-4mm2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97.5</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3.规格:BV-10mm2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72.6</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119</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2.配线形式:管内穿线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3.规格:BV-2.5mm2</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4.材质:铜芯</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189.6</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3.规格:DN30</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75.7</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3.规格:DN40</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3.规格:DN50mm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4.配置形式:明配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24.2</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123</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小电器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1.名称:小型变压器</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2.规格:250W</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39</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124</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1.名称:配电箱</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2.规格:400*600*200mm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3.含全套配件</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125</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2.规格:400*400mm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126</w:t>
            </w:r>
          </w:p>
        </w:tc>
        <w:tc>
          <w:tcPr>
            <w:tcW w:w="540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2.字体规格:200*200mm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127</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1.镌字材料品种、颜色:不锈钢发光字（英文字）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2.字体规格:50*30mm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128</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1.镌字材料品种、颜色:304#不锈钢烤漆字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2.规格:700*700mm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129</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1.镌字材料品种、颜色:304#不锈钢烤漆logo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2.规格:700*700mm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7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130</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金属装饰线</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1.线条材料品种、规格、颜色:304#1.5厘不锈钢板加工折弯 面烤汽车漆</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35.4</w:t>
            </w:r>
          </w:p>
        </w:tc>
      </w:tr>
      <w:tr>
        <w:tblPrEx>
          <w:shd w:val="clear" w:color="auto" w:fill="auto"/>
          <w:tblCellMar>
            <w:top w:w="0" w:type="dxa"/>
            <w:left w:w="0" w:type="dxa"/>
            <w:bottom w:w="0" w:type="dxa"/>
            <w:right w:w="0" w:type="dxa"/>
          </w:tblCellMar>
        </w:tblPrEx>
        <w:trPr>
          <w:trHeight w:val="11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131</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1.镌字材料品种、颜色:不锈钢发光logo</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2.规格:600*600mm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shd w:val="clear" w:color="auto" w:fill="auto"/>
          <w:tblCellMar>
            <w:top w:w="0" w:type="dxa"/>
            <w:left w:w="0" w:type="dxa"/>
            <w:bottom w:w="0" w:type="dxa"/>
            <w:right w:w="0" w:type="dxa"/>
          </w:tblCellMar>
        </w:tblPrEx>
        <w:trPr>
          <w:trHeight w:val="9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132</w:t>
            </w: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1.镌字材料品种、颜色:不锈钢发光字</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2.字体规格:300*300mm</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3.具体详施工图纸</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r>
      <w:tr>
        <w:tblPrEx>
          <w:shd w:val="clear" w:color="auto" w:fill="auto"/>
          <w:tblCellMar>
            <w:top w:w="0" w:type="dxa"/>
            <w:left w:w="0" w:type="dxa"/>
            <w:bottom w:w="0" w:type="dxa"/>
            <w:right w:w="0" w:type="dxa"/>
          </w:tblCellMar>
        </w:tblPrEx>
        <w:trPr>
          <w:trHeight w:val="3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5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分部小计(其他招牌)</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bl>
    <w:p>
      <w:pPr>
        <w:pStyle w:val="7"/>
        <w:widowControl/>
        <w:wordWrap/>
        <w:adjustRightInd w:val="0"/>
        <w:snapToGrid w:val="0"/>
        <w:spacing w:before="0" w:after="0" w:line="360" w:lineRule="auto"/>
        <w:ind w:left="0" w:leftChars="0" w:right="0" w:firstLine="420" w:firstLineChars="200"/>
        <w:jc w:val="left"/>
        <w:textAlignment w:val="auto"/>
        <w:outlineLvl w:val="9"/>
        <w:rPr>
          <w:rFonts w:hint="eastAsia" w:hAnsi="宋体"/>
          <w:b w:val="0"/>
          <w:bCs/>
          <w:color w:val="auto"/>
          <w:sz w:val="21"/>
          <w:szCs w:val="21"/>
          <w:highlight w:val="none"/>
          <w:lang w:val="en-US" w:eastAsia="zh-CN"/>
        </w:rPr>
      </w:pPr>
    </w:p>
    <w:p>
      <w:pPr>
        <w:pStyle w:val="7"/>
        <w:widowControl/>
        <w:wordWrap/>
        <w:adjustRightInd w:val="0"/>
        <w:snapToGrid w:val="0"/>
        <w:spacing w:before="0" w:after="0" w:line="360" w:lineRule="auto"/>
        <w:ind w:left="0" w:leftChars="0" w:right="0" w:firstLine="420" w:firstLineChars="200"/>
        <w:jc w:val="left"/>
        <w:textAlignment w:val="auto"/>
        <w:outlineLvl w:val="9"/>
        <w:rPr>
          <w:rFonts w:hint="eastAsia"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注：配置要求仅供投标人参考，涉及具体品牌、型号、产地的产品，仅作为项目质量水平与配置的参考，在不低于此基准的前提下，供应商可以同档次或更优的同类产品替代。</w:t>
      </w:r>
    </w:p>
    <w:p>
      <w:pPr>
        <w:spacing w:after="0" w:line="360" w:lineRule="auto"/>
        <w:ind w:firstLine="422" w:firstLineChars="200"/>
        <w:rPr>
          <w:rFonts w:ascii="宋体" w:hAnsi="宋体" w:eastAsia="宋体" w:cs="Times New Roman"/>
          <w:b/>
          <w:bCs/>
          <w:color w:val="auto"/>
          <w:sz w:val="21"/>
          <w:szCs w:val="21"/>
          <w:highlight w:val="none"/>
        </w:rPr>
      </w:pPr>
    </w:p>
    <w:p>
      <w:pPr>
        <w:spacing w:after="0" w:line="360" w:lineRule="auto"/>
        <w:ind w:firstLine="422" w:firstLineChars="200"/>
        <w:rPr>
          <w:rFonts w:hint="eastAsia"/>
          <w:color w:val="auto"/>
          <w:sz w:val="28"/>
          <w:szCs w:val="28"/>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181"/>
      <w:bookmarkEnd w:id="182"/>
      <w:bookmarkEnd w:id="183"/>
      <w:bookmarkEnd w:id="184"/>
      <w:bookmarkStart w:id="186" w:name="_Toc12485"/>
      <w:bookmarkStart w:id="187" w:name="_Toc21448"/>
    </w:p>
    <w:p>
      <w:pPr>
        <w:bidi w:val="0"/>
        <w:rPr>
          <w:rFonts w:hint="eastAsia"/>
          <w:color w:val="auto"/>
          <w:highlight w:val="none"/>
        </w:rPr>
      </w:pPr>
    </w:p>
    <w:p>
      <w:pPr>
        <w:pStyle w:val="7"/>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eastAsia="宋体"/>
          <w:color w:val="auto"/>
          <w:highlight w:val="none"/>
          <w:lang w:eastAsia="zh-CN"/>
        </w:rPr>
      </w:pPr>
    </w:p>
    <w:p>
      <w:pPr>
        <w:pStyle w:val="8"/>
        <w:rPr>
          <w:rFonts w:hint="eastAsia"/>
          <w:color w:val="auto"/>
          <w:highlight w:val="none"/>
        </w:rPr>
      </w:pPr>
    </w:p>
    <w:p>
      <w:pPr>
        <w:pStyle w:val="3"/>
        <w:spacing w:before="0" w:after="0" w:line="240" w:lineRule="auto"/>
        <w:rPr>
          <w:color w:val="auto"/>
          <w:sz w:val="28"/>
          <w:szCs w:val="28"/>
          <w:highlight w:val="none"/>
        </w:rPr>
      </w:pPr>
      <w:bookmarkStart w:id="188" w:name="_Toc12014"/>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部分 合同格式（仅供参考）</w:t>
      </w:r>
      <w:bookmarkEnd w:id="186"/>
      <w:bookmarkEnd w:id="187"/>
      <w:bookmarkEnd w:id="188"/>
      <w:bookmarkStart w:id="189" w:name="_Toc1534"/>
      <w:bookmarkStart w:id="190" w:name="_Toc13430"/>
      <w:bookmarkStart w:id="191" w:name="_Toc21155"/>
    </w:p>
    <w:p>
      <w:pPr>
        <w:pStyle w:val="4"/>
        <w:spacing w:before="0" w:after="0" w:line="240" w:lineRule="auto"/>
        <w:jc w:val="center"/>
        <w:rPr>
          <w:rFonts w:ascii="宋体" w:hAnsi="宋体" w:eastAsia="宋体" w:cs="宋体"/>
          <w:color w:val="auto"/>
          <w:highlight w:val="none"/>
        </w:rPr>
      </w:pPr>
      <w:bookmarkStart w:id="192" w:name="_Toc16730"/>
      <w:bookmarkStart w:id="193" w:name="_Toc19575"/>
      <w:bookmarkStart w:id="194" w:name="_Toc8880"/>
      <w:r>
        <w:rPr>
          <w:rFonts w:hint="eastAsia" w:ascii="宋体" w:hAnsi="宋体" w:eastAsia="宋体" w:cs="宋体"/>
          <w:color w:val="auto"/>
          <w:highlight w:val="none"/>
        </w:rPr>
        <w:t>合同格式</w:t>
      </w:r>
      <w:bookmarkEnd w:id="189"/>
      <w:bookmarkEnd w:id="190"/>
      <w:bookmarkEnd w:id="191"/>
      <w:bookmarkEnd w:id="192"/>
      <w:bookmarkEnd w:id="193"/>
      <w:bookmarkEnd w:id="194"/>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195"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1"/>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1"/>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195"/>
    <w:p>
      <w:pPr>
        <w:spacing w:after="0" w:line="360" w:lineRule="auto"/>
        <w:ind w:firstLine="422" w:firstLineChars="200"/>
        <w:rPr>
          <w:rFonts w:ascii="宋体" w:hAnsi="宋体" w:eastAsia="宋体"/>
          <w:b/>
          <w:color w:val="auto"/>
          <w:sz w:val="21"/>
          <w:szCs w:val="21"/>
          <w:highlight w:val="none"/>
        </w:rPr>
      </w:pPr>
      <w:bookmarkStart w:id="196"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97" w:name="_Toc86481569"/>
      <w:r>
        <w:rPr>
          <w:rFonts w:hint="eastAsia" w:ascii="宋体" w:hAnsi="宋体" w:eastAsia="宋体"/>
          <w:b/>
          <w:color w:val="auto"/>
          <w:sz w:val="21"/>
          <w:szCs w:val="21"/>
          <w:highlight w:val="none"/>
        </w:rPr>
        <w:t>第十二条 合同生效</w:t>
      </w:r>
      <w:bookmarkEnd w:id="197"/>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96"/>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198" w:name="_Toc1478"/>
      <w:bookmarkStart w:id="199" w:name="_Toc31587"/>
      <w:bookmarkStart w:id="200" w:name="_Toc23749"/>
      <w:r>
        <w:rPr>
          <w:rFonts w:hint="eastAsia"/>
          <w:color w:val="auto"/>
          <w:sz w:val="28"/>
          <w:szCs w:val="28"/>
          <w:highlight w:val="none"/>
        </w:rPr>
        <w:t>第</w:t>
      </w:r>
      <w:r>
        <w:rPr>
          <w:rFonts w:hint="eastAsia"/>
          <w:color w:val="auto"/>
          <w:sz w:val="28"/>
          <w:szCs w:val="28"/>
          <w:highlight w:val="none"/>
          <w:lang w:val="en-US" w:eastAsia="zh-CN"/>
        </w:rPr>
        <w:t>七</w:t>
      </w:r>
      <w:r>
        <w:rPr>
          <w:rFonts w:hint="eastAsia"/>
          <w:color w:val="auto"/>
          <w:sz w:val="28"/>
          <w:szCs w:val="28"/>
          <w:highlight w:val="none"/>
        </w:rPr>
        <w:t>部分  投标文件格式</w:t>
      </w:r>
      <w:bookmarkEnd w:id="198"/>
      <w:bookmarkEnd w:id="199"/>
      <w:bookmarkEnd w:id="200"/>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01" w:name="_Toc6790"/>
      <w:bookmarkStart w:id="202" w:name="_Toc5794"/>
      <w:bookmarkStart w:id="203" w:name="_Toc26830"/>
      <w:r>
        <w:rPr>
          <w:rFonts w:hint="eastAsia"/>
          <w:color w:val="auto"/>
          <w:highlight w:val="none"/>
        </w:rPr>
        <w:t>投标文件目录</w:t>
      </w:r>
      <w:bookmarkEnd w:id="201"/>
      <w:bookmarkEnd w:id="202"/>
      <w:bookmarkEnd w:id="203"/>
    </w:p>
    <w:p>
      <w:pPr>
        <w:jc w:val="center"/>
        <w:rPr>
          <w:rFonts w:ascii="黑体" w:eastAsia="黑体"/>
          <w:color w:val="auto"/>
          <w:sz w:val="32"/>
          <w:szCs w:val="32"/>
          <w:highlight w:val="none"/>
        </w:rPr>
      </w:pP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04" w:name="_Toc25502"/>
      <w:bookmarkStart w:id="205" w:name="_Toc18893"/>
      <w:bookmarkStart w:id="206" w:name="_Toc5670"/>
      <w:r>
        <w:rPr>
          <w:rFonts w:hint="eastAsia"/>
          <w:color w:val="auto"/>
          <w:highlight w:val="none"/>
        </w:rPr>
        <w:t>评分标准索引表</w:t>
      </w:r>
      <w:bookmarkEnd w:id="204"/>
      <w:bookmarkEnd w:id="205"/>
      <w:bookmarkEnd w:id="206"/>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1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9"/>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207" w:name="_Toc8194"/>
      <w:bookmarkStart w:id="208" w:name="_Toc22080"/>
      <w:bookmarkStart w:id="209" w:name="_Toc30640"/>
      <w:r>
        <w:rPr>
          <w:rFonts w:hint="eastAsia"/>
          <w:color w:val="auto"/>
          <w:highlight w:val="none"/>
          <w:lang w:val="en-US" w:eastAsia="zh-CN"/>
        </w:rPr>
        <w:t>第一章价格文件</w:t>
      </w:r>
      <w:bookmarkEnd w:id="207"/>
      <w:bookmarkEnd w:id="208"/>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0" w:name="_Toc19750"/>
      <w:bookmarkStart w:id="211" w:name="_Toc4168"/>
      <w:r>
        <w:rPr>
          <w:rFonts w:hint="eastAsia"/>
          <w:color w:val="auto"/>
          <w:highlight w:val="none"/>
          <w:lang w:val="en-US" w:eastAsia="zh-CN"/>
        </w:rPr>
        <w:t>一、唱标一览表</w:t>
      </w:r>
      <w:bookmarkEnd w:id="210"/>
      <w:bookmarkEnd w:id="211"/>
    </w:p>
    <w:p>
      <w:pPr>
        <w:spacing w:line="360" w:lineRule="auto"/>
        <w:rPr>
          <w:color w:val="auto"/>
          <w:highlight w:val="none"/>
        </w:rPr>
      </w:pPr>
    </w:p>
    <w:tbl>
      <w:tblPr>
        <w:tblStyle w:val="22"/>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w:t>
      </w:r>
      <w:r>
        <w:rPr>
          <w:rFonts w:hint="eastAsia" w:ascii="宋体" w:hAnsi="宋体"/>
          <w:color w:val="auto"/>
          <w:sz w:val="21"/>
          <w:szCs w:val="21"/>
          <w:highlight w:val="none"/>
          <w:lang w:val="en-US" w:eastAsia="zh-CN"/>
        </w:rPr>
        <w:t>一</w:t>
      </w:r>
      <w:r>
        <w:rPr>
          <w:rFonts w:hint="eastAsia" w:ascii="宋体" w:hAnsi="宋体" w:eastAsia="宋体"/>
          <w:color w:val="auto"/>
          <w:sz w:val="21"/>
          <w:szCs w:val="21"/>
          <w:highlight w:val="none"/>
        </w:rPr>
        <w:t>同密封单独提交。</w:t>
      </w:r>
    </w:p>
    <w:p>
      <w:pPr>
        <w:bidi w:val="0"/>
        <w:rPr>
          <w:rFonts w:hint="eastAsia"/>
          <w:color w:val="auto"/>
          <w:highlight w:val="none"/>
        </w:rPr>
      </w:pPr>
    </w:p>
    <w:p>
      <w:pPr>
        <w:pStyle w:val="7"/>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pStyle w:val="7"/>
        <w:rPr>
          <w:color w:val="auto"/>
          <w:highlight w:val="none"/>
        </w:rPr>
      </w:pPr>
    </w:p>
    <w:p>
      <w:pPr>
        <w:rPr>
          <w:color w:val="auto"/>
          <w:highlight w:val="none"/>
        </w:rPr>
      </w:pPr>
    </w:p>
    <w:p>
      <w:pPr>
        <w:pStyle w:val="7"/>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2" w:name="_Toc31062"/>
      <w:bookmarkStart w:id="213" w:name="_Toc31172"/>
      <w:r>
        <w:rPr>
          <w:rFonts w:hint="eastAsia"/>
          <w:color w:val="auto"/>
          <w:highlight w:val="none"/>
          <w:lang w:val="en-US" w:eastAsia="zh-CN"/>
        </w:rPr>
        <w:t>二、报价明细表</w:t>
      </w:r>
      <w:bookmarkEnd w:id="212"/>
      <w:bookmarkEnd w:id="213"/>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规格型号</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r>
              <w:rPr>
                <w:rFonts w:hint="eastAsia" w:ascii="宋体" w:hAnsi="宋体" w:eastAsia="宋体"/>
                <w:color w:val="auto"/>
                <w:sz w:val="21"/>
                <w:szCs w:val="21"/>
                <w:highlight w:val="none"/>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bl>
    <w:p>
      <w:pPr>
        <w:rPr>
          <w:rFonts w:ascii="宋体" w:hAnsi="宋体" w:eastAsia="宋体" w:cs="宋体"/>
          <w:b/>
          <w:color w:val="auto"/>
          <w:sz w:val="21"/>
          <w:szCs w:val="21"/>
          <w:highlight w:val="none"/>
        </w:rPr>
      </w:pPr>
    </w:p>
    <w:p>
      <w:pPr>
        <w:bidi w:val="0"/>
        <w:rPr>
          <w:color w:val="auto"/>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p>
      <w:pPr>
        <w:pStyle w:val="29"/>
        <w:rPr>
          <w:rFonts w:ascii="黑体" w:eastAsia="黑体"/>
          <w:color w:val="auto"/>
          <w:sz w:val="32"/>
          <w:szCs w:val="32"/>
          <w:highlight w:val="none"/>
        </w:rPr>
      </w:pPr>
    </w:p>
    <w:p>
      <w:pPr>
        <w:pStyle w:val="29"/>
        <w:rPr>
          <w:rFonts w:ascii="黑体" w:eastAsia="黑体"/>
          <w:color w:val="auto"/>
          <w:sz w:val="32"/>
          <w:szCs w:val="32"/>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4" w:name="_Toc20974"/>
      <w:bookmarkStart w:id="215" w:name="_Toc23355"/>
      <w:r>
        <w:rPr>
          <w:rFonts w:hint="eastAsia"/>
          <w:color w:val="auto"/>
          <w:highlight w:val="none"/>
          <w:lang w:val="en-US" w:eastAsia="zh-CN"/>
        </w:rPr>
        <w:t>三、小型或微型企业（货物/服务/承担的工程）明细表</w:t>
      </w:r>
      <w:bookmarkEnd w:id="214"/>
      <w:bookmarkEnd w:id="215"/>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53" w:type="dxa"/>
            <w:gridSpan w:val="7"/>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pStyle w:val="32"/>
        <w:spacing w:after="0"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bidi w:val="0"/>
        <w:rPr>
          <w:rFonts w:hint="eastAsia"/>
          <w:color w:val="auto"/>
          <w:highlight w:val="none"/>
        </w:rPr>
      </w:pPr>
    </w:p>
    <w:p>
      <w:pPr>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1、投标人在“货物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w:t>
      </w:r>
      <w:r>
        <w:rPr>
          <w:rFonts w:hint="eastAsia" w:ascii="宋体" w:hAnsi="宋体" w:eastAsia="宋体" w:cs="宋体"/>
          <w:b/>
          <w:color w:val="auto"/>
          <w:sz w:val="21"/>
          <w:szCs w:val="21"/>
          <w:highlight w:val="none"/>
        </w:rPr>
        <w:t>小型</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微型企业产品（货物</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承担的工程）的，必须在此表单独列明，否则在计算价格得分时不予以相应的扣除</w:t>
      </w:r>
      <w:r>
        <w:rPr>
          <w:rStyle w:val="42"/>
          <w:rFonts w:hint="eastAsia" w:ascii="宋体" w:hAnsi="宋体" w:eastAsia="宋体" w:cs="宋体"/>
          <w:b/>
          <w:color w:val="auto"/>
          <w:sz w:val="21"/>
          <w:szCs w:val="21"/>
          <w:highlight w:val="none"/>
        </w:rPr>
        <w:t>；</w:t>
      </w:r>
    </w:p>
    <w:p>
      <w:pPr>
        <w:pStyle w:val="32"/>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黑体" w:eastAsia="黑体"/>
          <w:color w:val="auto"/>
          <w:sz w:val="32"/>
          <w:szCs w:val="32"/>
          <w:highlight w:val="none"/>
        </w:rPr>
      </w:pPr>
      <w:r>
        <w:rPr>
          <w:rStyle w:val="42"/>
          <w:rFonts w:hint="eastAsia" w:ascii="宋体" w:hAnsi="宋体" w:eastAsia="宋体" w:cs="宋体"/>
          <w:b/>
          <w:color w:val="auto"/>
          <w:sz w:val="21"/>
          <w:szCs w:val="21"/>
          <w:highlight w:val="none"/>
        </w:rPr>
        <w:t>2、投标人应该如实填写，如投标人所投产品中无小型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微型企业产品的，请留空或删除此表！</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6" w:name="_Toc16718"/>
      <w:bookmarkStart w:id="217" w:name="_Toc13970"/>
      <w:r>
        <w:rPr>
          <w:rFonts w:hint="eastAsia"/>
          <w:color w:val="auto"/>
          <w:highlight w:val="none"/>
          <w:lang w:val="en-US" w:eastAsia="zh-CN"/>
        </w:rPr>
        <w:t>四、节能产品或环境标志产品明细表</w:t>
      </w:r>
      <w:bookmarkEnd w:id="216"/>
      <w:bookmarkEnd w:id="217"/>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29"/>
        <w:rPr>
          <w:rFonts w:hint="eastAsia"/>
          <w:color w:val="auto"/>
          <w:highlight w:val="none"/>
        </w:rPr>
      </w:pPr>
    </w:p>
    <w:p>
      <w:pPr>
        <w:tabs>
          <w:tab w:val="left" w:pos="284"/>
        </w:tabs>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1、投标人在“货物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表”中的报价内容中，如有属于节能产品或环境标志产的，必须在此表单独列明且提供相应的证明材料，否则在计算价格得分时不予以相应的扣除；</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ascii="微软雅黑" w:hAnsi="微软雅黑" w:cs="微软雅黑"/>
          <w:b/>
          <w:color w:val="auto"/>
          <w:sz w:val="28"/>
          <w:szCs w:val="28"/>
          <w:highlight w:val="none"/>
        </w:rPr>
      </w:pPr>
      <w:r>
        <w:rPr>
          <w:rStyle w:val="42"/>
          <w:rFonts w:hint="eastAsia" w:ascii="宋体" w:hAnsi="宋体" w:eastAsia="宋体" w:cs="宋体"/>
          <w:b/>
          <w:color w:val="auto"/>
          <w:sz w:val="21"/>
          <w:szCs w:val="21"/>
          <w:highlight w:val="none"/>
        </w:rPr>
        <w:t>2、投标人应该如实填写，如投标人所投产品中无节能或环保产品的，请留空或删除此表！</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8" w:name="_Toc17482"/>
      <w:bookmarkStart w:id="219" w:name="_Toc10853"/>
      <w:r>
        <w:rPr>
          <w:rFonts w:hint="eastAsia"/>
          <w:color w:val="auto"/>
          <w:highlight w:val="none"/>
          <w:lang w:val="en-US" w:eastAsia="zh-CN"/>
        </w:rPr>
        <w:t>五、中小企业声明函</w:t>
      </w:r>
      <w:bookmarkEnd w:id="218"/>
      <w:bookmarkEnd w:id="219"/>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若投标人不属于规定的中小企业范围，或提供的产品不是中小企业制造的，则无需提供此表。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若投标人不属于规定的中小企业范围，或提供的产品不是中小企业制造的，则无需提供此表。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1、投标人应根据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0" w:name="_Toc7959"/>
      <w:bookmarkStart w:id="221" w:name="_Toc8560"/>
      <w:r>
        <w:rPr>
          <w:rFonts w:hint="eastAsia"/>
          <w:color w:val="auto"/>
          <w:highlight w:val="none"/>
          <w:lang w:val="en-US" w:eastAsia="zh-CN"/>
        </w:rPr>
        <w:t>六、残疾人福利性单位声明函</w:t>
      </w:r>
      <w:bookmarkEnd w:id="220"/>
      <w:bookmarkEnd w:id="221"/>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222" w:name="_Toc508960153"/>
      <w:bookmarkStart w:id="223" w:name="_Toc508958703"/>
      <w:bookmarkStart w:id="224" w:name="_Toc17761"/>
      <w:bookmarkStart w:id="225" w:name="_Toc510171693"/>
      <w:bookmarkStart w:id="226" w:name="_Toc509844825"/>
      <w:bookmarkStart w:id="227" w:name="_Toc20910"/>
      <w:bookmarkStart w:id="228" w:name="_Toc509927455"/>
      <w:bookmarkStart w:id="229" w:name="_Toc30277"/>
      <w:bookmarkStart w:id="230" w:name="_Toc30247"/>
      <w:bookmarkStart w:id="231" w:name="_Toc509479530"/>
      <w:bookmarkStart w:id="232" w:name="_Toc508898066"/>
      <w:bookmarkStart w:id="233" w:name="_Toc22970"/>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222"/>
      <w:bookmarkEnd w:id="223"/>
      <w:bookmarkEnd w:id="224"/>
      <w:bookmarkEnd w:id="225"/>
      <w:bookmarkEnd w:id="226"/>
      <w:bookmarkEnd w:id="227"/>
      <w:bookmarkEnd w:id="228"/>
      <w:bookmarkEnd w:id="229"/>
      <w:bookmarkEnd w:id="230"/>
      <w:bookmarkEnd w:id="231"/>
      <w:bookmarkEnd w:id="232"/>
      <w:bookmarkEnd w:id="233"/>
    </w:p>
    <w:p>
      <w:pPr>
        <w:pStyle w:val="7"/>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234" w:name="_Toc508898067"/>
      <w:bookmarkStart w:id="235" w:name="_Toc508960154"/>
      <w:bookmarkStart w:id="236" w:name="_Toc509927456"/>
      <w:bookmarkStart w:id="237" w:name="_Toc5447"/>
      <w:bookmarkStart w:id="238" w:name="_Toc28527"/>
      <w:bookmarkStart w:id="239" w:name="_Toc510171694"/>
      <w:bookmarkStart w:id="240" w:name="_Toc508958704"/>
      <w:bookmarkStart w:id="241" w:name="_Toc26216"/>
      <w:bookmarkStart w:id="242" w:name="_Toc509479531"/>
      <w:bookmarkStart w:id="243" w:name="_Toc21053"/>
      <w:bookmarkStart w:id="244" w:name="_Toc509844826"/>
      <w:bookmarkStart w:id="245" w:name="_Toc31520"/>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46" w:name="_Toc508960155"/>
      <w:bookmarkStart w:id="247" w:name="_Toc14653"/>
      <w:bookmarkStart w:id="248" w:name="_Toc9148"/>
      <w:bookmarkStart w:id="249" w:name="_Toc509844827"/>
      <w:bookmarkStart w:id="250" w:name="_Toc508958705"/>
      <w:bookmarkStart w:id="251" w:name="_Toc509479532"/>
      <w:bookmarkStart w:id="252" w:name="_Toc24848"/>
      <w:bookmarkStart w:id="253" w:name="_Toc510171695"/>
      <w:bookmarkStart w:id="254" w:name="_Toc28626"/>
      <w:bookmarkStart w:id="255" w:name="_Toc509927457"/>
      <w:bookmarkStart w:id="256" w:name="_Toc28126"/>
      <w:bookmarkStart w:id="257" w:name="_Toc508898068"/>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58" w:name="_Toc9837"/>
      <w:bookmarkStart w:id="259" w:name="_Toc508960156"/>
      <w:bookmarkStart w:id="260" w:name="_Toc510171696"/>
      <w:bookmarkStart w:id="261" w:name="_Toc508958706"/>
      <w:bookmarkStart w:id="262" w:name="_Toc28686"/>
      <w:bookmarkStart w:id="263" w:name="_Toc28044"/>
      <w:bookmarkStart w:id="264" w:name="_Toc508898069"/>
      <w:bookmarkStart w:id="265" w:name="_Toc509479533"/>
      <w:bookmarkStart w:id="266" w:name="_Toc509844828"/>
      <w:bookmarkStart w:id="267" w:name="_Toc22981"/>
      <w:bookmarkStart w:id="268" w:name="_Toc7858"/>
      <w:bookmarkStart w:id="269" w:name="_Toc50992745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70" w:name="_Toc508960157"/>
      <w:bookmarkStart w:id="271" w:name="_Toc508958707"/>
      <w:bookmarkStart w:id="272" w:name="_Toc509844829"/>
      <w:bookmarkStart w:id="273" w:name="_Toc509479534"/>
      <w:bookmarkStart w:id="274" w:name="_Toc510171697"/>
      <w:bookmarkStart w:id="275" w:name="_Toc18843"/>
      <w:bookmarkStart w:id="276" w:name="_Toc509927459"/>
      <w:bookmarkStart w:id="277" w:name="_Toc508898070"/>
      <w:bookmarkStart w:id="278" w:name="_Toc5289"/>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70"/>
      <w:bookmarkEnd w:id="271"/>
      <w:bookmarkEnd w:id="272"/>
      <w:bookmarkEnd w:id="273"/>
      <w:bookmarkEnd w:id="274"/>
      <w:bookmarkEnd w:id="275"/>
      <w:bookmarkEnd w:id="276"/>
      <w:bookmarkEnd w:id="277"/>
      <w:bookmarkEnd w:id="278"/>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color w:val="auto"/>
          <w:highlight w:val="none"/>
        </w:rPr>
      </w:pPr>
      <w:r>
        <w:rPr>
          <w:rFonts w:hint="eastAsia" w:ascii="宋体" w:hAnsi="宋体" w:eastAsia="宋体"/>
          <w:bCs/>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79" w:name="_Toc23948"/>
      <w:bookmarkStart w:id="280" w:name="_Toc6471"/>
      <w:r>
        <w:rPr>
          <w:rFonts w:hint="eastAsia"/>
          <w:color w:val="auto"/>
          <w:highlight w:val="none"/>
          <w:lang w:val="en-US" w:eastAsia="zh-CN"/>
        </w:rPr>
        <w:t>第二章商务文件</w:t>
      </w:r>
      <w:bookmarkEnd w:id="279"/>
      <w:bookmarkEnd w:id="280"/>
    </w:p>
    <w:bookmarkEnd w:id="209"/>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1" w:name="_Toc1952"/>
      <w:bookmarkStart w:id="282" w:name="_Toc23787"/>
      <w:r>
        <w:rPr>
          <w:rFonts w:hint="eastAsia"/>
          <w:color w:val="auto"/>
          <w:highlight w:val="none"/>
          <w:lang w:val="en-US" w:eastAsia="zh-CN"/>
        </w:rPr>
        <w:t>一、投标函</w:t>
      </w:r>
      <w:bookmarkEnd w:id="281"/>
      <w:bookmarkEnd w:id="282"/>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eastAsia="宋体" w:cs="宋体"/>
          <w:color w:val="auto"/>
          <w:sz w:val="22"/>
          <w:szCs w:val="22"/>
          <w:highlight w:val="none"/>
        </w:rPr>
        <w:t>进行有关本次投标的一切事宜。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color w:val="auto"/>
          <w:sz w:val="21"/>
          <w:szCs w:val="21"/>
          <w:highlight w:val="none"/>
        </w:rPr>
      </w:pPr>
      <w:r>
        <w:rPr>
          <w:rFonts w:hint="eastAsia" w:ascii="宋体" w:eastAsia="宋体" w:cs="宋体"/>
          <w:color w:val="auto"/>
          <w:sz w:val="22"/>
          <w:szCs w:val="22"/>
          <w:highlight w:val="none"/>
        </w:rPr>
        <w:t>在此提交的投标文件，正本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套，唱标信封及电子文件各1份。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color w:val="auto"/>
          <w:sz w:val="22"/>
          <w:highlight w:val="none"/>
          <w:lang w:val="zh-CN"/>
        </w:rPr>
      </w:pPr>
      <w:r>
        <w:rPr>
          <w:rFonts w:hint="eastAsia" w:ascii="新宋体" w:hAnsi="新宋体" w:eastAsia="新宋体"/>
          <w:color w:val="auto"/>
          <w:sz w:val="22"/>
          <w:highlight w:val="none"/>
          <w:lang w:val="zh-CN"/>
        </w:rPr>
        <w:t>我方</w:t>
      </w:r>
      <w:r>
        <w:rPr>
          <w:rFonts w:hint="eastAsia" w:ascii="新宋体" w:hAnsi="新宋体" w:eastAsia="新宋体"/>
          <w:color w:val="auto"/>
          <w:sz w:val="22"/>
          <w:highlight w:val="none"/>
          <w:lang w:val="en-US" w:eastAsia="zh-CN"/>
        </w:rPr>
        <w:t>已</w:t>
      </w:r>
      <w:r>
        <w:rPr>
          <w:rFonts w:hint="eastAsia" w:ascii="新宋体" w:hAnsi="新宋体" w:eastAsia="新宋体"/>
          <w:color w:val="auto"/>
          <w:sz w:val="22"/>
          <w:highlight w:val="none"/>
          <w:lang w:val="zh-CN"/>
        </w:rPr>
        <w:t>完全明白招标文件的所有条款要求，并重申以下几点：</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个日历日。</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本公司同意按照贵公司可能提出的要求而提供与投标有关的任何其它数据、信息或资料。</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本公司如果中标，将保证履行招标文件及其澄清、修改文件（如果有）中的全部责任和义务，按质、按量、按期完成《采购需求书》及《合同书》中的全部任务。</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hint="eastAsia" w:ascii="宋体" w:hAnsi="宋体" w:eastAsia="宋体"/>
          <w:color w:val="auto"/>
          <w:sz w:val="21"/>
          <w:szCs w:val="21"/>
          <w:highlight w:val="none"/>
        </w:rPr>
      </w:pP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邮箱</w:t>
      </w:r>
      <w:r>
        <w:rPr>
          <w:rFonts w:hint="eastAsia" w:ascii="宋体" w:hAnsi="宋体" w:eastAsia="宋体"/>
          <w:color w:val="auto"/>
          <w:sz w:val="21"/>
          <w:szCs w:val="21"/>
          <w:highlight w:val="none"/>
        </w:rPr>
        <w:t>：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xml:space="preserve">投标人代表签字： </w:t>
      </w:r>
      <w:r>
        <w:rPr>
          <w:rFonts w:hint="eastAsia" w:ascii="宋体" w:hAnsi="宋体" w:eastAsia="宋体"/>
          <w:color w:val="auto"/>
          <w:sz w:val="21"/>
          <w:szCs w:val="21"/>
          <w:highlight w:val="none"/>
          <w:lang w:val="en-US" w:eastAsia="zh-CN"/>
        </w:rPr>
        <w:t xml:space="preserve">                   </w:t>
      </w:r>
    </w:p>
    <w:p>
      <w:pPr>
        <w:spacing w:after="0"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投标人名称（加盖公章）</w:t>
      </w:r>
      <w:r>
        <w:rPr>
          <w:rFonts w:hint="eastAsia" w:ascii="宋体" w:hAnsi="宋体" w:eastAsia="宋体"/>
          <w:color w:val="auto"/>
          <w:sz w:val="21"/>
          <w:szCs w:val="21"/>
          <w:highlight w:val="none"/>
        </w:rPr>
        <w:t xml:space="preserve">：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adjustRightInd/>
        <w:snapToGrid/>
        <w:spacing w:line="276" w:lineRule="auto"/>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3" w:name="_Toc28616"/>
      <w:bookmarkStart w:id="284" w:name="_Toc15719"/>
      <w:r>
        <w:rPr>
          <w:rFonts w:hint="eastAsia"/>
          <w:color w:val="auto"/>
          <w:highlight w:val="none"/>
          <w:lang w:val="en-US" w:eastAsia="zh-CN"/>
        </w:rPr>
        <w:t>二、资格申明函</w:t>
      </w:r>
      <w:bookmarkEnd w:id="283"/>
      <w:bookmarkEnd w:id="284"/>
    </w:p>
    <w:p>
      <w:pPr>
        <w:pStyle w:val="3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val="en-US" w:eastAsia="zh-CN"/>
        </w:rPr>
        <w:t>致</w:t>
      </w: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我方具备《中华人民共和国政府采购法》第二十二条资格条件</w:t>
      </w:r>
      <w:r>
        <w:rPr>
          <w:rFonts w:hint="eastAsia" w:ascii="宋体" w:hAnsi="宋体" w:eastAsia="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（六）法律、行政法规规定的其他条件。 </w:t>
      </w:r>
    </w:p>
    <w:p>
      <w:pPr>
        <w:numPr>
          <w:ilvl w:val="0"/>
          <w:numId w:val="0"/>
        </w:num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、我方</w:t>
      </w:r>
      <w:r>
        <w:rPr>
          <w:rFonts w:hint="eastAsia" w:ascii="宋体" w:hAnsi="宋体" w:eastAsia="宋体"/>
          <w:color w:val="auto"/>
          <w:sz w:val="21"/>
          <w:szCs w:val="21"/>
          <w:highlight w:val="none"/>
        </w:rPr>
        <w:t>已清楚招标文件所有要求及有关规定；并承诺参加本次政府采购活动中，如有违法、违规、弄虚作假行为，所造成的损失、不良后果及法律责任，一律由我方承担；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color w:val="auto"/>
          <w:sz w:val="21"/>
          <w:szCs w:val="21"/>
          <w:highlight w:val="none"/>
        </w:rPr>
      </w:pP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jc w:val="both"/>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color w:val="auto"/>
          <w:highlight w:val="none"/>
        </w:rPr>
      </w:pPr>
    </w:p>
    <w:p>
      <w:pPr>
        <w:rPr>
          <w:color w:val="auto"/>
          <w:highlight w:val="none"/>
        </w:rPr>
      </w:pPr>
      <w:bookmarkStart w:id="285" w:name="_Toc1641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6" w:name="_Toc32742"/>
      <w:bookmarkStart w:id="287" w:name="_Toc21273"/>
      <w:r>
        <w:rPr>
          <w:rFonts w:hint="eastAsia"/>
          <w:color w:val="auto"/>
          <w:highlight w:val="none"/>
          <w:lang w:val="en-US" w:eastAsia="zh-CN"/>
        </w:rPr>
        <w:t>三、在参与政府采购活动前三年未有重大违法记录、没有不良信用记录的声明函</w:t>
      </w:r>
      <w:bookmarkEnd w:id="286"/>
      <w:bookmarkEnd w:id="287"/>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投标人名称（加盖公章）</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color w:val="auto"/>
          <w:highlight w:val="none"/>
        </w:rPr>
      </w:pPr>
      <w:r>
        <w:rPr>
          <w:rFonts w:ascii="楷体_GB2312" w:eastAsia="楷体_GB2312"/>
          <w:color w:val="auto"/>
          <w:sz w:val="24"/>
          <w:highlight w:val="none"/>
        </w:rPr>
        <w:br w:type="page"/>
      </w:r>
      <w:bookmarkEnd w:id="285"/>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8" w:name="_Toc13243"/>
      <w:bookmarkStart w:id="289" w:name="_Toc3894"/>
      <w:r>
        <w:rPr>
          <w:rFonts w:hint="eastAsia"/>
          <w:color w:val="auto"/>
          <w:highlight w:val="none"/>
          <w:lang w:val="en-US" w:eastAsia="zh-CN"/>
        </w:rPr>
        <w:t>四、法定代表人证明书</w:t>
      </w:r>
      <w:bookmarkEnd w:id="288"/>
      <w:bookmarkEnd w:id="289"/>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pStyle w:val="35"/>
        <w:spacing w:line="360" w:lineRule="auto"/>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（投标人名称）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w:t>
      </w:r>
      <w:r>
        <w:rPr>
          <w:rFonts w:hint="eastAsia" w:ascii="宋体" w:hAnsi="宋体" w:eastAsia="宋体"/>
          <w:color w:val="auto"/>
          <w:sz w:val="21"/>
          <w:szCs w:val="21"/>
          <w:highlight w:val="none"/>
        </w:rPr>
        <w:t>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color w:val="auto"/>
                <w:sz w:val="22"/>
                <w:highlight w:val="none"/>
              </w:rPr>
            </w:pPr>
            <w:r>
              <w:rPr>
                <w:rFonts w:hint="eastAsia" w:ascii="宋体" w:hAnsi="宋体" w:eastAsia="宋体"/>
                <w:color w:val="auto"/>
                <w:sz w:val="21"/>
                <w:szCs w:val="21"/>
                <w:highlight w:val="none"/>
              </w:rPr>
              <w:t>法人代表身份证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rPr>
          <w:color w:val="auto"/>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0" w:name="_Toc5626"/>
      <w:bookmarkStart w:id="291" w:name="_Toc5918"/>
      <w:r>
        <w:rPr>
          <w:rFonts w:hint="eastAsia"/>
          <w:color w:val="auto"/>
          <w:highlight w:val="none"/>
          <w:lang w:val="en-US" w:eastAsia="zh-CN"/>
        </w:rPr>
        <w:t>五、法定代表人授权书</w:t>
      </w:r>
      <w:bookmarkEnd w:id="290"/>
      <w:bookmarkEnd w:id="291"/>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本授权书声明：本人</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（投标人名称）    </w:t>
      </w:r>
      <w:r>
        <w:rPr>
          <w:rFonts w:hint="eastAsia" w:ascii="宋体" w:hAnsi="宋体" w:eastAsia="宋体" w:cs="Times New Roman"/>
          <w:color w:val="auto"/>
          <w:sz w:val="21"/>
          <w:szCs w:val="21"/>
          <w:highlight w:val="none"/>
        </w:rPr>
        <w:t>的法定代表人，现委托</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为我方合法代理人。代理人根据授权，以我方名义签署、澄清、说明、补正、递交、撤回、修改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（项目编号：</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）投标文件、签订合同和处理有关事宜，其法律后果由我方承担。</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val="en-US" w:eastAsia="zh-CN"/>
        </w:rPr>
        <w:t>联系方式</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pStyle w:val="35"/>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lang w:val="en-US" w:eastAsia="zh-CN"/>
        </w:rPr>
        <w:t>注：须附</w:t>
      </w:r>
      <w:r>
        <w:rPr>
          <w:rFonts w:hint="eastAsia" w:ascii="宋体" w:hAnsi="宋体" w:eastAsia="宋体"/>
          <w:color w:val="auto"/>
          <w:sz w:val="21"/>
          <w:szCs w:val="21"/>
          <w:highlight w:val="none"/>
        </w:rPr>
        <w:t>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eastAsia="宋体"/>
                <w:color w:val="auto"/>
                <w:sz w:val="22"/>
                <w:highlight w:val="none"/>
              </w:rPr>
            </w:pPr>
            <w:bookmarkStart w:id="292" w:name="_Toc22486"/>
            <w:r>
              <w:rPr>
                <w:rFonts w:hint="eastAsia" w:ascii="宋体" w:hAnsi="宋体" w:eastAsia="宋体"/>
                <w:color w:val="auto"/>
                <w:sz w:val="21"/>
                <w:szCs w:val="21"/>
                <w:highlight w:val="none"/>
              </w:rPr>
              <w:t>被授权人身份证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adjustRightInd/>
        <w:snapToGrid/>
        <w:spacing w:line="276" w:lineRule="auto"/>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93" w:name="_Toc24013"/>
      <w:bookmarkStart w:id="294" w:name="_Toc18562"/>
      <w:r>
        <w:rPr>
          <w:rFonts w:hint="eastAsia"/>
          <w:color w:val="auto"/>
          <w:highlight w:val="none"/>
          <w:lang w:val="en-US" w:eastAsia="zh-CN"/>
        </w:rPr>
        <w:t>六、投标人基本情况说明</w:t>
      </w:r>
      <w:bookmarkEnd w:id="293"/>
      <w:bookmarkEnd w:id="294"/>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一、投标人基本情况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1、投标人名称：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5、投标人开户银行名称及账号：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pStyle w:val="7"/>
        <w:rPr>
          <w:rFonts w:hint="eastAsia" w:ascii="宋体" w:hAnsi="宋体" w:eastAsia="宋体" w:cs="宋体"/>
          <w:b/>
          <w:color w:val="auto"/>
          <w:sz w:val="21"/>
          <w:szCs w:val="21"/>
          <w:highlight w:val="none"/>
        </w:rPr>
      </w:pPr>
    </w:p>
    <w:p>
      <w:pPr>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color w:val="auto"/>
          <w:highlight w:val="none"/>
        </w:rPr>
      </w:pPr>
      <w:bookmarkStart w:id="295" w:name="_Toc28067"/>
      <w:bookmarkStart w:id="296" w:name="_Toc24210"/>
      <w:bookmarkStart w:id="297" w:name="_Toc29995"/>
      <w:bookmarkStart w:id="298" w:name="_Toc1511"/>
      <w:bookmarkStart w:id="299" w:name="_Toc4926"/>
      <w:bookmarkStart w:id="300" w:name="_Toc17470"/>
      <w:bookmarkStart w:id="301" w:name="_Toc5919"/>
      <w:r>
        <w:rPr>
          <w:rFonts w:hint="eastAsia"/>
          <w:color w:val="auto"/>
          <w:highlight w:val="none"/>
          <w:lang w:val="en-US" w:eastAsia="zh-CN"/>
        </w:rPr>
        <w:t>七、</w:t>
      </w:r>
      <w:r>
        <w:rPr>
          <w:rFonts w:hint="eastAsia"/>
          <w:color w:val="auto"/>
          <w:highlight w:val="none"/>
        </w:rPr>
        <w:t>营业执照</w:t>
      </w:r>
      <w:bookmarkEnd w:id="295"/>
      <w:bookmarkEnd w:id="296"/>
      <w:bookmarkEnd w:id="297"/>
      <w:bookmarkEnd w:id="298"/>
      <w:bookmarkEnd w:id="299"/>
      <w:bookmarkEnd w:id="300"/>
      <w:bookmarkEnd w:id="301"/>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供应商应提供相关证明复印件盖公章。</w:t>
      </w:r>
    </w:p>
    <w:p>
      <w:pPr>
        <w:jc w:val="center"/>
        <w:rPr>
          <w:color w:val="auto"/>
          <w:highlight w:val="none"/>
        </w:rPr>
      </w:pPr>
      <w:r>
        <w:rPr>
          <w:rFonts w:hint="eastAsia" w:ascii="黑体" w:eastAsia="黑体"/>
          <w:color w:val="auto"/>
          <w:sz w:val="28"/>
          <w:szCs w:val="28"/>
          <w:highlight w:val="none"/>
        </w:rPr>
        <w:br w:type="page"/>
      </w:r>
    </w:p>
    <w:bookmarkEnd w:id="292"/>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2" w:name="_Toc21638"/>
      <w:bookmarkStart w:id="303" w:name="_Toc29439"/>
      <w:r>
        <w:rPr>
          <w:rFonts w:hint="eastAsia"/>
          <w:color w:val="auto"/>
          <w:highlight w:val="none"/>
          <w:lang w:val="en-US" w:eastAsia="zh-CN"/>
        </w:rPr>
        <w:t>八、</w:t>
      </w:r>
      <w:r>
        <w:rPr>
          <w:rFonts w:hint="eastAsia"/>
          <w:color w:val="auto"/>
          <w:highlight w:val="none"/>
        </w:rPr>
        <w:t>特殊资格要求证明文件</w:t>
      </w:r>
      <w:bookmarkEnd w:id="302"/>
      <w:bookmarkEnd w:id="303"/>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若采购项目对供应商资格无特殊要求，可删除本格式。</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4" w:name="_Toc23341"/>
      <w:bookmarkStart w:id="305" w:name="_Toc14263"/>
      <w:r>
        <w:rPr>
          <w:rFonts w:hint="eastAsia"/>
          <w:color w:val="auto"/>
          <w:highlight w:val="none"/>
          <w:lang w:val="en-US" w:eastAsia="zh-CN"/>
        </w:rPr>
        <w:t>九、</w:t>
      </w:r>
      <w:r>
        <w:rPr>
          <w:rFonts w:hint="eastAsia"/>
          <w:color w:val="auto"/>
          <w:highlight w:val="none"/>
        </w:rPr>
        <w:t>承诺书</w:t>
      </w:r>
      <w:bookmarkEnd w:id="304"/>
      <w:bookmarkEnd w:id="305"/>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06"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（项目名称）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）招标文件的所有内容（包括澄清，以及所有已提供的参考资料和有关附件），并完全理解上述文件所表达的意思，该项目递交投标文件时间截止后，我方承诺不再对上述文件内容进行询问或质疑。</w:t>
      </w:r>
      <w:bookmarkEnd w:id="306"/>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7" w:name="_Toc13955"/>
      <w:bookmarkStart w:id="308" w:name="_Toc13653"/>
      <w:r>
        <w:rPr>
          <w:rFonts w:hint="eastAsia"/>
          <w:color w:val="auto"/>
          <w:highlight w:val="none"/>
          <w:lang w:val="en-US" w:eastAsia="zh-CN"/>
        </w:rPr>
        <w:t>十、招标代理服务费承诺书</w:t>
      </w:r>
      <w:bookmarkEnd w:id="307"/>
      <w:bookmarkEnd w:id="308"/>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w:t>
      </w:r>
      <w:r>
        <w:rPr>
          <w:rFonts w:hint="eastAsia" w:ascii="宋体" w:hAnsi="宋体" w:eastAsia="宋体" w:cs="宋体"/>
          <w:b w:val="0"/>
          <w:bCs w:val="0"/>
          <w:color w:val="auto"/>
          <w:sz w:val="21"/>
          <w:szCs w:val="21"/>
          <w:highlight w:val="none"/>
          <w:u w:val="single"/>
        </w:rPr>
        <w:t xml:space="preserve">   （投标人名称）   </w:t>
      </w:r>
      <w:r>
        <w:rPr>
          <w:rFonts w:hint="eastAsia" w:ascii="宋体" w:hAnsi="宋体" w:eastAsia="宋体" w:cs="宋体"/>
          <w:b w:val="0"/>
          <w:bCs w:val="0"/>
          <w:color w:val="auto"/>
          <w:sz w:val="21"/>
          <w:szCs w:val="21"/>
          <w:highlight w:val="none"/>
        </w:rPr>
        <w:t>在参加贵司进行的</w:t>
      </w:r>
      <w:r>
        <w:rPr>
          <w:rFonts w:hint="eastAsia" w:ascii="宋体" w:hAnsi="宋体" w:eastAsia="宋体" w:cs="宋体"/>
          <w:b w:val="0"/>
          <w:bCs w:val="0"/>
          <w:color w:val="auto"/>
          <w:sz w:val="21"/>
          <w:szCs w:val="21"/>
          <w:highlight w:val="none"/>
          <w:u w:val="single"/>
        </w:rPr>
        <w:t xml:space="preserve">   （项目名称）  （项目编号：      ）（包号：  ）</w:t>
      </w:r>
      <w:r>
        <w:rPr>
          <w:rFonts w:hint="eastAsia" w:ascii="宋体" w:hAnsi="宋体" w:eastAsia="宋体" w:cs="宋体"/>
          <w:b w:val="0"/>
          <w:bCs w:val="0"/>
          <w:color w:val="auto"/>
          <w:sz w:val="21"/>
          <w:szCs w:val="21"/>
          <w:highlight w:val="none"/>
        </w:rPr>
        <w:t>招标中如获中标，我公司承诺</w:t>
      </w:r>
      <w:r>
        <w:rPr>
          <w:rFonts w:hint="eastAsia" w:ascii="宋体" w:hAnsi="宋体" w:eastAsia="宋体" w:cs="宋体"/>
          <w:b w:val="0"/>
          <w:bCs w:val="0"/>
          <w:color w:val="auto"/>
          <w:sz w:val="21"/>
          <w:szCs w:val="21"/>
          <w:highlight w:val="none"/>
          <w:lang w:val="en-US" w:eastAsia="zh-CN"/>
        </w:rPr>
        <w:t>在</w:t>
      </w:r>
      <w:r>
        <w:rPr>
          <w:rFonts w:hint="eastAsia" w:ascii="宋体" w:hAnsi="宋体" w:eastAsia="宋体" w:cs="宋体"/>
          <w:b w:val="0"/>
          <w:bCs w:val="0"/>
          <w:color w:val="auto"/>
          <w:sz w:val="21"/>
          <w:szCs w:val="21"/>
          <w:highlight w:val="none"/>
        </w:rPr>
        <w:t>本项目“采购结果公告”发布之日起15日内，向贵司一次性交纳招标代理服务费。</w:t>
      </w:r>
    </w:p>
    <w:p>
      <w:pPr>
        <w:bidi w:val="0"/>
        <w:ind w:firstLine="420" w:firstLineChars="200"/>
        <w:rPr>
          <w:rFonts w:hint="eastAsia"/>
          <w:color w:val="auto"/>
          <w:highlight w:val="none"/>
          <w:lang w:eastAsia="zh-CN"/>
        </w:rPr>
      </w:pPr>
      <w:r>
        <w:rPr>
          <w:rFonts w:hint="eastAsia"/>
          <w:color w:val="auto"/>
          <w:highlight w:val="none"/>
        </w:rPr>
        <w:t>特此承诺</w:t>
      </w:r>
      <w:r>
        <w:rPr>
          <w:rFonts w:hint="eastAsia"/>
          <w:color w:val="auto"/>
          <w:highlight w:val="none"/>
          <w:lang w:eastAsia="zh-CN"/>
        </w:rPr>
        <w:t>。</w:t>
      </w:r>
    </w:p>
    <w:p>
      <w:pPr>
        <w:jc w:val="center"/>
        <w:rPr>
          <w:rFonts w:hint="eastAsia" w:ascii="宋体" w:hAnsi="宋体" w:eastAsia="宋体" w:cs="宋体"/>
          <w:b w:val="0"/>
          <w:bCs w:val="0"/>
          <w:color w:val="auto"/>
          <w:sz w:val="21"/>
          <w:szCs w:val="21"/>
          <w:highlight w:val="none"/>
        </w:rPr>
      </w:pPr>
    </w:p>
    <w:p>
      <w:pPr>
        <w:bidi w:val="0"/>
        <w:rPr>
          <w:rFonts w:hint="eastAsia"/>
          <w:color w:val="auto"/>
          <w:highlight w:val="none"/>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9" w:name="_Toc1975"/>
      <w:bookmarkStart w:id="310" w:name="_Toc12598"/>
      <w:r>
        <w:rPr>
          <w:rFonts w:hint="eastAsia"/>
          <w:color w:val="auto"/>
          <w:highlight w:val="none"/>
          <w:lang w:val="en-US" w:eastAsia="zh-CN"/>
        </w:rPr>
        <w:t>十一、</w:t>
      </w:r>
      <w:r>
        <w:rPr>
          <w:rFonts w:hint="eastAsia"/>
          <w:color w:val="auto"/>
          <w:highlight w:val="none"/>
        </w:rPr>
        <w:t>商务条款偏离表</w:t>
      </w:r>
      <w:bookmarkEnd w:id="309"/>
      <w:bookmarkEnd w:id="310"/>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9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商务条款</w:t>
            </w:r>
            <w:r>
              <w:rPr>
                <w:rFonts w:hint="eastAsia" w:ascii="宋体" w:hAnsi="宋体" w:eastAsia="宋体"/>
                <w:color w:val="auto"/>
                <w:sz w:val="21"/>
                <w:szCs w:val="21"/>
                <w:highlight w:val="none"/>
              </w:rPr>
              <w:t>名称</w:t>
            </w:r>
          </w:p>
        </w:tc>
        <w:tc>
          <w:tcPr>
            <w:tcW w:w="1755"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w:t>
            </w:r>
            <w:r>
              <w:rPr>
                <w:rFonts w:hint="eastAsia" w:ascii="宋体" w:hAnsi="宋体" w:eastAsia="宋体"/>
                <w:color w:val="auto"/>
                <w:sz w:val="21"/>
                <w:szCs w:val="21"/>
                <w:highlight w:val="none"/>
                <w:lang w:val="en-US" w:eastAsia="zh-CN"/>
              </w:rPr>
              <w:t>文件</w:t>
            </w:r>
            <w:r>
              <w:rPr>
                <w:rFonts w:hint="eastAsia" w:ascii="宋体" w:hAnsi="宋体" w:eastAsia="宋体"/>
                <w:color w:val="auto"/>
                <w:sz w:val="21"/>
                <w:szCs w:val="21"/>
                <w:highlight w:val="none"/>
              </w:rPr>
              <w:t>要求</w:t>
            </w:r>
          </w:p>
        </w:tc>
        <w:tc>
          <w:tcPr>
            <w:tcW w:w="192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412" w:type="dxa"/>
            <w:tcBorders>
              <w:tl2br w:val="nil"/>
              <w:tr2bl w:val="nil"/>
            </w:tcBorders>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偏离</w:t>
            </w:r>
            <w:r>
              <w:rPr>
                <w:rFonts w:hint="eastAsia" w:ascii="宋体" w:hAnsi="宋体" w:eastAsia="宋体"/>
                <w:color w:val="auto"/>
                <w:sz w:val="21"/>
                <w:szCs w:val="21"/>
                <w:highlight w:val="none"/>
                <w:lang w:val="en-US" w:eastAsia="zh-CN"/>
              </w:rPr>
              <w:t>情况</w:t>
            </w:r>
          </w:p>
        </w:tc>
        <w:tc>
          <w:tcPr>
            <w:tcW w:w="867"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”，逐条说明已对招标文件的商务内容做出了实质性的响应，并申明与招标文件的偏差和例外。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w:t>
      </w:r>
      <w:r>
        <w:rPr>
          <w:rFonts w:hint="eastAsia" w:ascii="宋体" w:hAnsi="宋体" w:eastAsia="宋体"/>
          <w:color w:val="auto"/>
          <w:sz w:val="21"/>
          <w:szCs w:val="21"/>
          <w:highlight w:val="none"/>
          <w:lang w:val="en-US" w:eastAsia="zh-CN"/>
        </w:rPr>
        <w:t>合同期限、</w:t>
      </w:r>
      <w:r>
        <w:rPr>
          <w:rFonts w:hint="eastAsia" w:ascii="宋体" w:hAnsi="宋体" w:eastAsia="宋体"/>
          <w:color w:val="auto"/>
          <w:sz w:val="21"/>
          <w:szCs w:val="21"/>
          <w:highlight w:val="none"/>
        </w:rPr>
        <w:t>付款方式、</w:t>
      </w:r>
      <w:r>
        <w:rPr>
          <w:rFonts w:hint="eastAsia" w:ascii="宋体" w:hAnsi="宋体" w:eastAsia="宋体"/>
          <w:color w:val="auto"/>
          <w:sz w:val="21"/>
          <w:szCs w:val="21"/>
          <w:highlight w:val="none"/>
          <w:lang w:val="en-US" w:eastAsia="zh-CN"/>
        </w:rPr>
        <w:t>报价要求、</w:t>
      </w:r>
      <w:r>
        <w:rPr>
          <w:rFonts w:hint="eastAsia" w:ascii="宋体" w:hAnsi="宋体" w:eastAsia="宋体"/>
          <w:color w:val="auto"/>
          <w:sz w:val="21"/>
          <w:szCs w:val="21"/>
          <w:highlight w:val="none"/>
        </w:rPr>
        <w:t>履约保证金、售后服务、检验及验收等要求。</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rFonts w:hint="eastAsia"/>
          <w:color w:val="auto"/>
          <w:highlight w:val="none"/>
        </w:rPr>
      </w:pPr>
      <w:r>
        <w:rPr>
          <w:color w:val="auto"/>
          <w:highlight w:val="none"/>
        </w:rPr>
        <w:br w:type="page"/>
      </w:r>
      <w:bookmarkStart w:id="311" w:name="_Toc32183"/>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2" w:name="_Toc19276"/>
      <w:bookmarkStart w:id="313" w:name="_Toc25391"/>
      <w:r>
        <w:rPr>
          <w:rFonts w:hint="eastAsia"/>
          <w:color w:val="auto"/>
          <w:highlight w:val="none"/>
          <w:lang w:val="en-US" w:eastAsia="zh-CN"/>
        </w:rPr>
        <w:t>十二、</w:t>
      </w:r>
      <w:r>
        <w:rPr>
          <w:rFonts w:hint="eastAsia"/>
          <w:color w:val="auto"/>
          <w:highlight w:val="none"/>
        </w:rPr>
        <w:t>业绩表</w:t>
      </w:r>
      <w:bookmarkEnd w:id="312"/>
      <w:bookmarkEnd w:id="313"/>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color w:val="auto"/>
          <w:sz w:val="21"/>
          <w:szCs w:val="21"/>
          <w:highlight w:val="none"/>
        </w:rPr>
      </w:pPr>
    </w:p>
    <w:p>
      <w:pPr>
        <w:pStyle w:val="32"/>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须提供须提供证明资料，</w:t>
      </w:r>
      <w:r>
        <w:rPr>
          <w:rFonts w:hint="eastAsia" w:ascii="宋体" w:hAnsi="宋体" w:eastAsia="宋体"/>
          <w:color w:val="auto"/>
          <w:sz w:val="21"/>
          <w:szCs w:val="21"/>
          <w:highlight w:val="none"/>
        </w:rPr>
        <w:t>业绩表所列出的材料应为真实准确的，并应提供相关证明材料复印件加盖公章。</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pStyle w:val="7"/>
        <w:ind w:left="0" w:leftChars="0" w:firstLine="0" w:firstLineChars="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color w:val="auto"/>
          <w:sz w:val="28"/>
          <w:szCs w:val="28"/>
          <w:highlight w:val="none"/>
        </w:rPr>
      </w:pPr>
      <w:bookmarkStart w:id="314" w:name="_Toc20520"/>
      <w:bookmarkStart w:id="315" w:name="_Toc14688"/>
      <w:r>
        <w:rPr>
          <w:rFonts w:hint="eastAsia"/>
          <w:color w:val="auto"/>
          <w:highlight w:val="none"/>
          <w:lang w:val="en-US" w:eastAsia="zh-CN"/>
        </w:rPr>
        <w:t>第三章技术文件</w:t>
      </w:r>
      <w:bookmarkEnd w:id="311"/>
      <w:bookmarkEnd w:id="314"/>
      <w:bookmarkEnd w:id="315"/>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6" w:name="_Toc7092"/>
      <w:bookmarkStart w:id="317" w:name="_Toc13097"/>
      <w:r>
        <w:rPr>
          <w:rFonts w:hint="eastAsia"/>
          <w:color w:val="auto"/>
          <w:highlight w:val="none"/>
          <w:lang w:val="en-US" w:eastAsia="zh-CN"/>
        </w:rPr>
        <w:t>一、</w:t>
      </w:r>
      <w:r>
        <w:rPr>
          <w:rFonts w:hint="eastAsia"/>
          <w:color w:val="auto"/>
          <w:highlight w:val="none"/>
        </w:rPr>
        <w:t>技术规格偏离表</w:t>
      </w:r>
      <w:bookmarkEnd w:id="316"/>
      <w:bookmarkEnd w:id="317"/>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3"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tc>
        <w:tc>
          <w:tcPr>
            <w:tcW w:w="1815"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p>
        </w:tc>
        <w:tc>
          <w:tcPr>
            <w:tcW w:w="159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投标实际响应</w:t>
            </w:r>
          </w:p>
        </w:tc>
        <w:tc>
          <w:tcPr>
            <w:tcW w:w="1260" w:type="dxa"/>
            <w:tcBorders>
              <w:tl2br w:val="nil"/>
              <w:tr2bl w:val="nil"/>
            </w:tcBorders>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bidi w:val="0"/>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注：投标人应对照招标文件</w:t>
      </w:r>
      <w:r>
        <w:rPr>
          <w:rFonts w:hint="eastAsia" w:ascii="宋体" w:hAnsi="宋体"/>
          <w:color w:val="auto"/>
          <w:sz w:val="21"/>
          <w:szCs w:val="21"/>
          <w:highlight w:val="none"/>
          <w:lang w:val="en-US" w:eastAsia="zh-CN"/>
        </w:rPr>
        <w:t>技术</w:t>
      </w:r>
      <w:r>
        <w:rPr>
          <w:rFonts w:hint="eastAsia" w:ascii="宋体" w:hAnsi="宋体" w:eastAsia="宋体"/>
          <w:color w:val="auto"/>
          <w:sz w:val="21"/>
          <w:szCs w:val="21"/>
          <w:highlight w:val="none"/>
        </w:rPr>
        <w:t>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”，逐条说明已对招标文件的商务内容做出了实质性的响应，并申明与招标文件的偏差和例外。</w:t>
      </w:r>
    </w:p>
    <w:p>
      <w:pPr>
        <w:rPr>
          <w:rFonts w:hint="eastAsia" w:ascii="宋体" w:hAnsi="宋体" w:eastAsia="宋体"/>
          <w:color w:val="auto"/>
          <w:sz w:val="21"/>
          <w:szCs w:val="21"/>
          <w:highlight w:val="none"/>
        </w:rPr>
      </w:pPr>
    </w:p>
    <w:p>
      <w:pPr>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rPr>
          <w:rFonts w:ascii="黑体" w:eastAsia="黑体"/>
          <w:color w:val="auto"/>
          <w:sz w:val="28"/>
          <w:szCs w:val="28"/>
          <w:highlight w:val="none"/>
        </w:rPr>
      </w:pPr>
      <w:bookmarkStart w:id="318" w:name="_Toc17691"/>
      <w:r>
        <w:rPr>
          <w:rFonts w:hint="eastAsia" w:ascii="宋体" w:hAnsi="宋体" w:eastAsia="宋体"/>
          <w:color w:val="auto"/>
          <w:sz w:val="21"/>
          <w:szCs w:val="21"/>
          <w:highlight w:val="none"/>
        </w:rPr>
        <w:br w:type="page"/>
      </w:r>
      <w:bookmarkEnd w:id="318"/>
      <w:bookmarkStart w:id="319" w:name="_Toc26078"/>
      <w:bookmarkStart w:id="320" w:name="_Toc18668"/>
      <w:bookmarkStart w:id="321" w:name="_Toc1274"/>
      <w:bookmarkStart w:id="322" w:name="_Toc4464"/>
      <w:bookmarkStart w:id="323" w:name="_Toc4827"/>
      <w:bookmarkStart w:id="324" w:name="_Toc6080"/>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5" w:name="_Toc13461"/>
      <w:bookmarkStart w:id="326" w:name="_Toc10734"/>
      <w:r>
        <w:rPr>
          <w:rFonts w:hint="eastAsia"/>
          <w:color w:val="auto"/>
          <w:highlight w:val="none"/>
          <w:lang w:val="en-US" w:eastAsia="zh-CN"/>
        </w:rPr>
        <w:t>二、</w:t>
      </w:r>
      <w:r>
        <w:rPr>
          <w:rFonts w:hint="eastAsia"/>
          <w:color w:val="auto"/>
          <w:highlight w:val="none"/>
        </w:rPr>
        <w:t>重要技术参数（▲）响应表</w:t>
      </w:r>
      <w:bookmarkEnd w:id="319"/>
      <w:bookmarkEnd w:id="320"/>
      <w:bookmarkEnd w:id="321"/>
      <w:bookmarkEnd w:id="322"/>
      <w:bookmarkEnd w:id="323"/>
      <w:bookmarkEnd w:id="324"/>
      <w:bookmarkEnd w:id="325"/>
      <w:bookmarkEnd w:id="326"/>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27" w:name="_Toc27079"/>
            <w:bookmarkStart w:id="328" w:name="_Toc29642"/>
            <w:bookmarkStart w:id="329" w:name="_Toc29560"/>
            <w:r>
              <w:rPr>
                <w:rFonts w:hint="eastAsia" w:ascii="宋体" w:hAnsi="宋体" w:eastAsia="宋体" w:cs="宋体"/>
                <w:b w:val="0"/>
                <w:bCs w:val="0"/>
                <w:color w:val="auto"/>
                <w:sz w:val="21"/>
                <w:szCs w:val="21"/>
                <w:highlight w:val="none"/>
                <w:lang w:val="en-US" w:eastAsia="zh-CN"/>
              </w:rPr>
              <w:t>序号</w:t>
            </w:r>
            <w:bookmarkEnd w:id="327"/>
            <w:bookmarkEnd w:id="328"/>
            <w:bookmarkEnd w:id="329"/>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30" w:name="_Toc21739"/>
            <w:bookmarkStart w:id="331" w:name="_Toc14815"/>
            <w:bookmarkStart w:id="332" w:name="_Toc22448"/>
            <w:bookmarkStart w:id="333" w:name="_Toc15368"/>
            <w:bookmarkStart w:id="334" w:name="_Toc10045"/>
            <w:bookmarkStart w:id="335" w:name="_Toc2700"/>
            <w:bookmarkStart w:id="336" w:name="_Toc1016"/>
            <w:bookmarkStart w:id="337" w:name="_Toc26124"/>
            <w:bookmarkStart w:id="338" w:name="_Toc12049"/>
            <w:bookmarkStart w:id="339" w:name="_Toc15903"/>
            <w:bookmarkStart w:id="340" w:name="_Toc16872"/>
            <w:bookmarkStart w:id="341" w:name="_Toc4304"/>
            <w:bookmarkStart w:id="342" w:name="_Toc27090"/>
            <w:bookmarkStart w:id="343" w:name="_Toc19251"/>
            <w:bookmarkStart w:id="344" w:name="_Toc27442"/>
            <w:bookmarkStart w:id="345" w:name="_Toc8490"/>
            <w:bookmarkStart w:id="346" w:name="_Toc32531"/>
            <w:bookmarkStart w:id="347" w:name="_Toc22879"/>
            <w:bookmarkStart w:id="348" w:name="_Toc21809"/>
            <w:bookmarkStart w:id="349" w:name="_Toc24662"/>
            <w:bookmarkStart w:id="350" w:name="_Toc8312"/>
            <w:bookmarkStart w:id="351" w:name="_Toc22917"/>
            <w:bookmarkStart w:id="352" w:name="_Toc7333"/>
            <w:r>
              <w:rPr>
                <w:rFonts w:hint="eastAsia" w:ascii="宋体" w:hAnsi="宋体" w:eastAsia="宋体" w:cs="宋体"/>
                <w:b w:val="0"/>
                <w:bCs w:val="0"/>
                <w:color w:val="auto"/>
                <w:sz w:val="21"/>
                <w:szCs w:val="21"/>
                <w:highlight w:val="none"/>
                <w:lang w:val="en-US" w:eastAsia="zh-CN"/>
              </w:rPr>
              <w:t>重要</w:t>
            </w:r>
            <w:r>
              <w:rPr>
                <w:rFonts w:hint="eastAsia" w:ascii="宋体" w:hAnsi="宋体" w:eastAsia="宋体" w:cs="宋体"/>
                <w:b w:val="0"/>
                <w:bCs w:val="0"/>
                <w:color w:val="auto"/>
                <w:sz w:val="21"/>
                <w:szCs w:val="21"/>
                <w:highlight w:val="none"/>
              </w:rPr>
              <w:t>技术参</w:t>
            </w:r>
            <w:r>
              <w:rPr>
                <w:rFonts w:hint="eastAsia" w:ascii="宋体" w:hAnsi="宋体" w:eastAsia="宋体" w:cs="宋体"/>
                <w:b w:val="0"/>
                <w:bCs w:val="0"/>
                <w:color w:val="auto"/>
                <w:sz w:val="21"/>
                <w:szCs w:val="21"/>
                <w:highlight w:val="none"/>
                <w:lang w:val="en-US" w:eastAsia="zh-CN"/>
              </w:rPr>
              <w:t>数评分条款</w:t>
            </w:r>
            <w:r>
              <w:rPr>
                <w:rFonts w:hint="eastAsia" w:ascii="宋体" w:hAnsi="宋体" w:eastAsia="宋体" w:cs="宋体"/>
                <w:b w:val="0"/>
                <w:bCs w:val="0"/>
                <w:color w:val="auto"/>
                <w:sz w:val="21"/>
                <w:szCs w:val="21"/>
                <w:highlight w:val="none"/>
              </w:rPr>
              <w:t>（▲）</w:t>
            </w:r>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bookmarkEnd w:id="345"/>
          <w:bookmarkEnd w:id="346"/>
          <w:bookmarkEnd w:id="347"/>
          <w:bookmarkEnd w:id="348"/>
          <w:bookmarkEnd w:id="349"/>
          <w:bookmarkEnd w:id="350"/>
          <w:bookmarkEnd w:id="351"/>
          <w:bookmarkEnd w:id="352"/>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53" w:name="_Toc2408"/>
            <w:bookmarkStart w:id="354" w:name="_Toc22153"/>
            <w:bookmarkStart w:id="355" w:name="_Toc10122"/>
            <w:r>
              <w:rPr>
                <w:rFonts w:hint="eastAsia" w:ascii="宋体" w:hAnsi="宋体" w:eastAsia="宋体" w:cs="宋体"/>
                <w:b w:val="0"/>
                <w:bCs w:val="0"/>
                <w:color w:val="auto"/>
                <w:kern w:val="0"/>
                <w:sz w:val="21"/>
                <w:szCs w:val="21"/>
                <w:highlight w:val="none"/>
              </w:rPr>
              <w:t>投标文件响应内容</w:t>
            </w:r>
            <w:bookmarkEnd w:id="353"/>
            <w:bookmarkEnd w:id="354"/>
            <w:bookmarkEnd w:id="355"/>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56" w:name="_Toc29838"/>
            <w:bookmarkStart w:id="357" w:name="_Toc27285"/>
            <w:bookmarkStart w:id="358" w:name="_Toc16003"/>
            <w:bookmarkStart w:id="359" w:name="_Toc1912"/>
            <w:bookmarkStart w:id="360" w:name="_Toc20139"/>
            <w:bookmarkStart w:id="361" w:name="_Toc1330"/>
            <w:bookmarkStart w:id="362" w:name="_Toc3701"/>
            <w:bookmarkStart w:id="363" w:name="_Toc20820"/>
            <w:bookmarkStart w:id="364" w:name="_Toc17296"/>
            <w:bookmarkStart w:id="365" w:name="_Toc5992"/>
            <w:bookmarkStart w:id="366" w:name="_Toc17642"/>
            <w:bookmarkStart w:id="367" w:name="_Toc5563"/>
            <w:bookmarkStart w:id="368" w:name="_Toc27185"/>
            <w:r>
              <w:rPr>
                <w:rFonts w:hint="eastAsia" w:ascii="宋体" w:hAnsi="宋体" w:eastAsia="宋体" w:cs="宋体"/>
                <w:b w:val="0"/>
                <w:bCs w:val="0"/>
                <w:color w:val="auto"/>
                <w:sz w:val="21"/>
                <w:szCs w:val="21"/>
                <w:highlight w:val="none"/>
                <w:lang w:val="en-US" w:eastAsia="zh-CN"/>
              </w:rPr>
              <w:t>说明</w:t>
            </w:r>
            <w:bookmarkEnd w:id="356"/>
            <w:bookmarkEnd w:id="357"/>
            <w:bookmarkEnd w:id="358"/>
          </w:p>
        </w:tc>
        <w:tc>
          <w:tcPr>
            <w:tcW w:w="1591"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69" w:name="_Toc3520"/>
            <w:bookmarkStart w:id="370" w:name="_Toc19105"/>
            <w:bookmarkStart w:id="371" w:name="_Toc857"/>
            <w:r>
              <w:rPr>
                <w:rFonts w:hint="eastAsia" w:ascii="宋体" w:hAnsi="宋体" w:eastAsia="宋体" w:cs="宋体"/>
                <w:b w:val="0"/>
                <w:bCs w:val="0"/>
                <w:color w:val="auto"/>
                <w:sz w:val="21"/>
                <w:szCs w:val="21"/>
                <w:highlight w:val="none"/>
              </w:rPr>
              <w:t>页码范围</w:t>
            </w:r>
            <w:bookmarkEnd w:id="359"/>
            <w:bookmarkEnd w:id="360"/>
            <w:bookmarkEnd w:id="361"/>
            <w:bookmarkEnd w:id="362"/>
            <w:bookmarkEnd w:id="363"/>
            <w:bookmarkEnd w:id="364"/>
            <w:bookmarkEnd w:id="365"/>
            <w:bookmarkEnd w:id="366"/>
            <w:bookmarkEnd w:id="367"/>
            <w:bookmarkEnd w:id="368"/>
            <w:bookmarkEnd w:id="369"/>
            <w:bookmarkEnd w:id="370"/>
            <w:bookmarkEnd w:id="3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bl>
    <w:p>
      <w:pPr>
        <w:pStyle w:val="32"/>
        <w:spacing w:after="0" w:line="360" w:lineRule="auto"/>
        <w:rPr>
          <w:rFonts w:ascii="宋体" w:hAnsi="宋体" w:eastAsia="宋体"/>
          <w:color w:val="auto"/>
          <w:sz w:val="21"/>
          <w:szCs w:val="21"/>
          <w:highlight w:val="none"/>
        </w:rPr>
      </w:pP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1、投标人</w:t>
      </w:r>
      <w:r>
        <w:rPr>
          <w:rFonts w:hint="eastAsia" w:ascii="宋体" w:hAnsi="宋体" w:eastAsia="宋体"/>
          <w:color w:val="auto"/>
          <w:sz w:val="21"/>
          <w:szCs w:val="21"/>
          <w:highlight w:val="none"/>
        </w:rPr>
        <w:t>应逐条对照招标文件重要评分条款，如实地说明投标响应情况。</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若该重要技术参数（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若招标文件未设定重要技术参数（</w:t>
      </w:r>
      <w:r>
        <w:rPr>
          <w:rFonts w:hint="eastAsia" w:ascii="宋体" w:hAnsi="宋体" w:eastAsia="宋体" w:cs="Times New Roman"/>
          <w:b/>
          <w:bCs/>
          <w:color w:val="auto"/>
          <w:sz w:val="21"/>
          <w:szCs w:val="21"/>
          <w:highlight w:val="none"/>
        </w:rPr>
        <w:t>▲</w:t>
      </w:r>
      <w:r>
        <w:rPr>
          <w:rFonts w:hint="eastAsia" w:ascii="宋体" w:hAnsi="宋体" w:eastAsia="宋体"/>
          <w:b/>
          <w:bCs/>
          <w:color w:val="auto"/>
          <w:sz w:val="21"/>
          <w:szCs w:val="21"/>
          <w:highlight w:val="none"/>
        </w:rPr>
        <w:t>）评分条款的，可删除本格式。</w:t>
      </w:r>
    </w:p>
    <w:p>
      <w:pPr>
        <w:pStyle w:val="32"/>
        <w:spacing w:after="0" w:line="360" w:lineRule="auto"/>
        <w:rPr>
          <w:rFonts w:ascii="宋体" w:hAnsi="宋体" w:eastAsia="宋体"/>
          <w:color w:val="auto"/>
          <w:sz w:val="21"/>
          <w:szCs w:val="21"/>
          <w:highlight w:val="none"/>
        </w:rPr>
      </w:pPr>
    </w:p>
    <w:p>
      <w:pPr>
        <w:pStyle w:val="32"/>
        <w:numPr>
          <w:ilvl w:val="0"/>
          <w:numId w:val="11"/>
        </w:numPr>
        <w:spacing w:after="0"/>
        <w:rPr>
          <w:rFonts w:ascii="黑体" w:eastAsia="黑体"/>
          <w:color w:val="auto"/>
          <w:sz w:val="32"/>
          <w:szCs w:val="32"/>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72" w:name="_Toc27139"/>
      <w:bookmarkStart w:id="373" w:name="_Toc19349"/>
      <w:r>
        <w:rPr>
          <w:rFonts w:hint="eastAsia"/>
          <w:color w:val="auto"/>
          <w:highlight w:val="none"/>
          <w:lang w:val="en-US" w:eastAsia="zh-CN"/>
        </w:rPr>
        <w:t>三、</w:t>
      </w:r>
      <w:r>
        <w:rPr>
          <w:rFonts w:hint="eastAsia"/>
          <w:color w:val="auto"/>
          <w:highlight w:val="none"/>
        </w:rPr>
        <w:t>实质性条款（标记★）投标响应表</w:t>
      </w:r>
      <w:bookmarkEnd w:id="372"/>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招标文件实质性条款</w:t>
            </w: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投标文件响应内容</w:t>
            </w:r>
          </w:p>
        </w:tc>
        <w:tc>
          <w:tcPr>
            <w:tcW w:w="1180" w:type="dxa"/>
            <w:tcBorders>
              <w:tl2br w:val="nil"/>
              <w:tr2bl w:val="nil"/>
            </w:tcBorders>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是否偏离</w:t>
            </w: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p>
      <w:pPr>
        <w:bidi w:val="0"/>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bidi w:val="0"/>
        <w:rPr>
          <w:rFonts w:hint="eastAsia"/>
          <w:color w:val="auto"/>
          <w:highlight w:val="none"/>
          <w:lang w:val="en-US" w:eastAsia="zh-CN"/>
        </w:rPr>
      </w:pPr>
    </w:p>
    <w:p>
      <w:pPr>
        <w:bidi w:val="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供应商应逐条对照招标文件实质性条款，如实地说明投标响应情况。不满足的按无效投标处理。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若该实质性条款规定提交相关证明材料的，供应商应当提供，并附于本格式后。未按要求提供或提供不符合要求的证明材料，视为不满足，按无效投标处理。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若招标文件未设定实质性条款的，可删除本格式。</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74" w:name="_Toc21519"/>
      <w:r>
        <w:rPr>
          <w:rFonts w:hint="eastAsia"/>
          <w:color w:val="auto"/>
          <w:highlight w:val="none"/>
          <w:lang w:val="en-US" w:eastAsia="zh-CN"/>
        </w:rPr>
        <w:t>四、</w:t>
      </w:r>
      <w:r>
        <w:rPr>
          <w:rFonts w:hint="eastAsia"/>
          <w:color w:val="auto"/>
          <w:highlight w:val="none"/>
        </w:rPr>
        <w:t>项目</w:t>
      </w:r>
      <w:r>
        <w:rPr>
          <w:rFonts w:hint="eastAsia"/>
          <w:color w:val="auto"/>
          <w:highlight w:val="none"/>
          <w:lang w:val="en-US" w:eastAsia="zh-CN"/>
        </w:rPr>
        <w:t>技术</w:t>
      </w:r>
      <w:r>
        <w:rPr>
          <w:rFonts w:hint="eastAsia"/>
          <w:color w:val="auto"/>
          <w:highlight w:val="none"/>
        </w:rPr>
        <w:t>方案</w:t>
      </w:r>
      <w:bookmarkEnd w:id="373"/>
      <w:bookmarkEnd w:id="374"/>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根据用户需求及技术评审要求</w:t>
      </w: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75" w:name="_Toc26880"/>
      <w:bookmarkStart w:id="376" w:name="_Toc16328"/>
      <w:r>
        <w:rPr>
          <w:rFonts w:hint="eastAsia"/>
          <w:color w:val="auto"/>
          <w:highlight w:val="none"/>
          <w:lang w:val="en-US" w:eastAsia="zh-CN"/>
        </w:rPr>
        <w:t>五、项目负责人及团队成员资料表</w:t>
      </w:r>
      <w:bookmarkEnd w:id="375"/>
      <w:bookmarkEnd w:id="376"/>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如本项目不涉及</w:t>
      </w:r>
      <w:r>
        <w:rPr>
          <w:rFonts w:hint="eastAsia" w:ascii="宋体" w:hAnsi="宋体"/>
          <w:color w:val="auto"/>
          <w:sz w:val="21"/>
          <w:szCs w:val="21"/>
          <w:highlight w:val="none"/>
          <w:lang w:val="en-US" w:eastAsia="zh-CN"/>
        </w:rPr>
        <w:t>人员</w:t>
      </w:r>
      <w:r>
        <w:rPr>
          <w:rFonts w:hint="eastAsia" w:ascii="宋体" w:hAnsi="宋体" w:eastAsia="宋体"/>
          <w:color w:val="auto"/>
          <w:sz w:val="21"/>
          <w:szCs w:val="21"/>
          <w:highlight w:val="none"/>
        </w:rPr>
        <w:t>内容，则无需提供此表。</w:t>
      </w:r>
    </w:p>
    <w:p>
      <w:pPr>
        <w:ind w:firstLine="178" w:firstLineChars="85"/>
        <w:rPr>
          <w:rFonts w:hint="eastAsia" w:ascii="宋体" w:hAnsi="宋体" w:eastAsia="宋体"/>
          <w:color w:val="auto"/>
          <w:sz w:val="21"/>
          <w:szCs w:val="21"/>
          <w:highlight w:val="none"/>
        </w:rPr>
      </w:pPr>
    </w:p>
    <w:p>
      <w:pPr>
        <w:pStyle w:val="7"/>
        <w:rPr>
          <w:rFonts w:hint="eastAsia"/>
          <w:color w:val="auto"/>
          <w:highlight w:val="none"/>
        </w:rPr>
      </w:pP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377" w:name="_Toc26980"/>
      <w:bookmarkStart w:id="378" w:name="_Toc15431"/>
      <w:r>
        <w:rPr>
          <w:rFonts w:hint="eastAsia"/>
          <w:color w:val="auto"/>
          <w:highlight w:val="none"/>
          <w:lang w:val="en-US" w:eastAsia="zh-CN"/>
        </w:rPr>
        <w:t>六、投标货物明细一览表</w:t>
      </w:r>
      <w:bookmarkEnd w:id="377"/>
      <w:bookmarkEnd w:id="378"/>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品牌</w:t>
            </w: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货物型号</w:t>
            </w: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738"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616"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技术参数</w:t>
            </w: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bl>
    <w:p>
      <w:pPr>
        <w:spacing w:after="0"/>
        <w:rPr>
          <w:color w:val="auto"/>
          <w:highlight w:val="none"/>
        </w:rPr>
      </w:pPr>
      <w:r>
        <w:rPr>
          <w:rFonts w:hint="eastAsia" w:ascii="宋体" w:hAnsi="宋体" w:eastAsia="宋体" w:cs="Times New Roman"/>
          <w:color w:val="auto"/>
          <w:sz w:val="21"/>
          <w:szCs w:val="21"/>
          <w:highlight w:val="none"/>
        </w:rPr>
        <w:t>注：</w:t>
      </w:r>
      <w:r>
        <w:rPr>
          <w:rFonts w:hint="eastAsia" w:ascii="宋体" w:hAnsi="宋体" w:eastAsia="宋体"/>
          <w:color w:val="auto"/>
          <w:sz w:val="21"/>
          <w:szCs w:val="21"/>
          <w:highlight w:val="none"/>
        </w:rPr>
        <w:t>如本项目不涉及此表内容，则无需提供此表。</w:t>
      </w:r>
    </w:p>
    <w:p>
      <w:pPr>
        <w:rPr>
          <w:rFonts w:hint="eastAsia" w:ascii="宋体" w:hAnsi="宋体" w:eastAsia="宋体" w:cs="Times New Roman"/>
          <w:color w:val="auto"/>
          <w:sz w:val="21"/>
          <w:szCs w:val="21"/>
          <w:highlight w:val="none"/>
        </w:rPr>
      </w:pPr>
    </w:p>
    <w:p>
      <w:pPr>
        <w:rPr>
          <w:rFonts w:hint="eastAsia" w:ascii="宋体" w:hAnsi="宋体" w:eastAsia="宋体"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黑体" w:eastAsia="黑体"/>
          <w:color w:val="auto"/>
          <w:sz w:val="30"/>
          <w:szCs w:val="30"/>
          <w:highlight w:val="none"/>
        </w:rPr>
      </w:pPr>
      <w:r>
        <w:rPr>
          <w:rFonts w:hint="eastAsia" w:ascii="宋体" w:hAnsi="宋体" w:eastAsia="宋体" w:cs="Times New Roman"/>
          <w:color w:val="auto"/>
          <w:sz w:val="21"/>
          <w:szCs w:val="21"/>
          <w:highlight w:val="none"/>
        </w:rPr>
        <w:t>投标人盖章：</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79" w:name="_Toc6961"/>
      <w:r>
        <w:rPr>
          <w:rFonts w:hint="eastAsia"/>
          <w:color w:val="auto"/>
          <w:highlight w:val="none"/>
          <w:lang w:val="en-US" w:eastAsia="zh-CN"/>
        </w:rPr>
        <w:t>七、政府采购履约担保函</w:t>
      </w:r>
      <w:bookmarkEnd w:id="379"/>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7"/>
        <w:rPr>
          <w:color w:val="auto"/>
          <w:highlight w:val="none"/>
        </w:rPr>
      </w:pPr>
    </w:p>
    <w:p>
      <w:pPr>
        <w:bidi w:val="0"/>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80" w:name="_Toc26782"/>
      <w:bookmarkStart w:id="381" w:name="_Toc26772"/>
      <w:r>
        <w:rPr>
          <w:rFonts w:hint="eastAsia"/>
          <w:color w:val="auto"/>
          <w:highlight w:val="none"/>
          <w:lang w:val="en-US" w:eastAsia="zh-CN"/>
        </w:rPr>
        <w:t>第四章唱标信封（单独封装）</w:t>
      </w:r>
      <w:bookmarkEnd w:id="380"/>
      <w:bookmarkEnd w:id="381"/>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（2）法人代表授权书</w:t>
      </w:r>
      <w:r>
        <w:rPr>
          <w:rFonts w:hint="eastAsia"/>
          <w:color w:val="auto"/>
          <w:highlight w:val="none"/>
          <w:lang w:val="en-US" w:eastAsia="zh-CN"/>
        </w:rPr>
        <w:t>及</w:t>
      </w:r>
      <w:r>
        <w:rPr>
          <w:rFonts w:hint="eastAsia"/>
          <w:color w:val="auto"/>
          <w:highlight w:val="none"/>
        </w:rPr>
        <w:t>被授权代表身份证（复印件加盖公章）；</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rFonts w:hint="eastAsia"/>
          <w:color w:val="auto"/>
          <w:highlight w:val="none"/>
        </w:rPr>
      </w:pPr>
      <w:bookmarkStart w:id="382" w:name="_Toc11182"/>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83" w:name="_Toc2710"/>
      <w:bookmarkStart w:id="384" w:name="_Toc22736"/>
      <w:r>
        <w:rPr>
          <w:rFonts w:hint="eastAsia"/>
          <w:color w:val="auto"/>
          <w:highlight w:val="none"/>
          <w:lang w:val="en-US" w:eastAsia="zh-CN"/>
        </w:rPr>
        <w:t>第五章联合体共同投标协议书（如有需要）</w:t>
      </w:r>
      <w:bookmarkEnd w:id="383"/>
      <w:bookmarkEnd w:id="384"/>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bookmarkEnd w:id="382"/>
    <w:p>
      <w:pPr>
        <w:pStyle w:val="7"/>
        <w:ind w:left="0" w:leftChars="0" w:firstLine="0" w:firstLineChars="0"/>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致广东政通招标有限公司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pStyle w:val="7"/>
        <w:rPr>
          <w:color w:val="auto"/>
          <w:highlight w:val="none"/>
        </w:rPr>
      </w:pPr>
    </w:p>
    <w:p>
      <w:pPr>
        <w:spacing w:after="0" w:line="360" w:lineRule="auto"/>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0"/>
        <w:jc w:val="both"/>
        <w:rPr>
          <w:rFonts w:hint="eastAsia" w:ascii="黑体" w:hAnsi="黑体" w:eastAsia="黑体" w:cs="黑体"/>
          <w:color w:val="auto"/>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eastAsia="zh-CN"/>
        </w:rPr>
        <w:t>招标文件</w:t>
      </w:r>
      <w:r>
        <w:rPr>
          <w:rFonts w:hint="eastAsia" w:ascii="黑体" w:hAnsi="黑体" w:eastAsia="黑体" w:cs="黑体"/>
          <w:color w:val="auto"/>
          <w:sz w:val="52"/>
          <w:szCs w:val="52"/>
          <w:highlight w:val="none"/>
        </w:rPr>
        <w:t>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016"/>
        <w:gridCol w:w="2379"/>
      </w:tblGrid>
      <w:tr>
        <w:tblPrEx>
          <w:shd w:val="clear" w:color="auto" w:fill="auto"/>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w:t>
            </w:r>
            <w:r>
              <w:rPr>
                <w:rFonts w:hint="eastAsia" w:ascii="宋体" w:hAnsi="宋体" w:cs="宋体"/>
                <w:i w:val="0"/>
                <w:iCs w:val="0"/>
                <w:color w:val="auto"/>
                <w:kern w:val="0"/>
                <w:sz w:val="28"/>
                <w:szCs w:val="28"/>
                <w:highlight w:val="none"/>
                <w:u w:val="none"/>
                <w:lang w:val="en-US" w:eastAsia="zh-CN" w:bidi="ar"/>
              </w:rPr>
              <w:t>200</w:t>
            </w:r>
            <w:r>
              <w:rPr>
                <w:rFonts w:hint="eastAsia" w:ascii="宋体" w:hAnsi="宋体" w:eastAsia="宋体" w:cs="宋体"/>
                <w:i w:val="0"/>
                <w:iCs w:val="0"/>
                <w:color w:val="auto"/>
                <w:kern w:val="0"/>
                <w:sz w:val="28"/>
                <w:szCs w:val="28"/>
                <w:highlight w:val="none"/>
                <w:u w:val="none"/>
                <w:lang w:val="en-US" w:eastAsia="zh-CN" w:bidi="ar"/>
              </w:rPr>
              <w:t>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32"/>
                <w:szCs w:val="32"/>
                <w:highlight w:val="none"/>
              </w:rPr>
              <w:t>注：开完发票后请把报名表格交还至前台</w:t>
            </w:r>
          </w:p>
        </w:tc>
      </w:tr>
    </w:tbl>
    <w:p>
      <w:pPr>
        <w:pStyle w:val="8"/>
        <w:ind w:left="0" w:leftChars="0" w:firstLine="0" w:firstLineChars="0"/>
        <w:rPr>
          <w:color w:val="auto"/>
          <w:highlight w:val="none"/>
        </w:rPr>
      </w:pPr>
    </w:p>
    <w:sectPr>
      <w:footerReference r:id="rId12" w:type="first"/>
      <w:footerReference r:id="rId11"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847"/>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9"/>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9"/>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F73DC5D7"/>
    <w:multiLevelType w:val="singleLevel"/>
    <w:tmpl w:val="F73DC5D7"/>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16010E5"/>
    <w:multiLevelType w:val="singleLevel"/>
    <w:tmpl w:val="316010E5"/>
    <w:lvl w:ilvl="0" w:tentative="0">
      <w:start w:val="1"/>
      <w:numFmt w:val="decimal"/>
      <w:suff w:val="nothing"/>
      <w:lvlText w:val="%1．"/>
      <w:lvlJc w:val="left"/>
    </w:lvl>
  </w:abstractNum>
  <w:abstractNum w:abstractNumId="9">
    <w:nsid w:val="3B1B8417"/>
    <w:multiLevelType w:val="singleLevel"/>
    <w:tmpl w:val="3B1B8417"/>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6E5CE7BD"/>
    <w:multiLevelType w:val="singleLevel"/>
    <w:tmpl w:val="6E5CE7BD"/>
    <w:lvl w:ilvl="0" w:tentative="0">
      <w:start w:val="1"/>
      <w:numFmt w:val="chineseCounting"/>
      <w:suff w:val="nothing"/>
      <w:lvlText w:val="%1、"/>
      <w:lvlJc w:val="left"/>
      <w:rPr>
        <w:rFonts w:hint="eastAsia"/>
      </w:rPr>
    </w:lvl>
  </w:abstractNum>
  <w:num w:numId="1">
    <w:abstractNumId w:val="11"/>
  </w:num>
  <w:num w:numId="2">
    <w:abstractNumId w:val="9"/>
  </w:num>
  <w:num w:numId="3">
    <w:abstractNumId w:val="6"/>
  </w:num>
  <w:num w:numId="4">
    <w:abstractNumId w:val="10"/>
  </w:num>
  <w:num w:numId="5">
    <w:abstractNumId w:val="7"/>
  </w:num>
  <w:num w:numId="6">
    <w:abstractNumId w:val="3"/>
  </w:num>
  <w:num w:numId="7">
    <w:abstractNumId w:val="4"/>
  </w:num>
  <w:num w:numId="8">
    <w:abstractNumId w:val="1"/>
  </w:num>
  <w:num w:numId="9">
    <w:abstractNumId w:val="2"/>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31F0E"/>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337752"/>
    <w:rsid w:val="018023CE"/>
    <w:rsid w:val="01881AD6"/>
    <w:rsid w:val="01B40242"/>
    <w:rsid w:val="01B938AA"/>
    <w:rsid w:val="01E74B6E"/>
    <w:rsid w:val="02126CDB"/>
    <w:rsid w:val="021832B7"/>
    <w:rsid w:val="024E2E49"/>
    <w:rsid w:val="02A741FD"/>
    <w:rsid w:val="02C16E5D"/>
    <w:rsid w:val="02D964CF"/>
    <w:rsid w:val="0340787C"/>
    <w:rsid w:val="03707410"/>
    <w:rsid w:val="037F03E3"/>
    <w:rsid w:val="03A0770F"/>
    <w:rsid w:val="03A27BF9"/>
    <w:rsid w:val="03A448B8"/>
    <w:rsid w:val="03A4578A"/>
    <w:rsid w:val="03AD071E"/>
    <w:rsid w:val="03D10969"/>
    <w:rsid w:val="04DF1036"/>
    <w:rsid w:val="050F6021"/>
    <w:rsid w:val="05A97DEC"/>
    <w:rsid w:val="05C81981"/>
    <w:rsid w:val="065A32ED"/>
    <w:rsid w:val="065C6224"/>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9F1700"/>
    <w:rsid w:val="08A276E5"/>
    <w:rsid w:val="08D27CDF"/>
    <w:rsid w:val="09061A75"/>
    <w:rsid w:val="09182241"/>
    <w:rsid w:val="091C2CBE"/>
    <w:rsid w:val="09242E62"/>
    <w:rsid w:val="093C069F"/>
    <w:rsid w:val="09417888"/>
    <w:rsid w:val="09855177"/>
    <w:rsid w:val="09870F93"/>
    <w:rsid w:val="09D658E4"/>
    <w:rsid w:val="09F1637C"/>
    <w:rsid w:val="0A25628F"/>
    <w:rsid w:val="0AA534D5"/>
    <w:rsid w:val="0AA650EB"/>
    <w:rsid w:val="0AB8066A"/>
    <w:rsid w:val="0AF47339"/>
    <w:rsid w:val="0B22594B"/>
    <w:rsid w:val="0B797387"/>
    <w:rsid w:val="0B8B2381"/>
    <w:rsid w:val="0BC044BE"/>
    <w:rsid w:val="0BDF26F7"/>
    <w:rsid w:val="0C264099"/>
    <w:rsid w:val="0C2B4952"/>
    <w:rsid w:val="0C7B2220"/>
    <w:rsid w:val="0D5A79D1"/>
    <w:rsid w:val="0D890E47"/>
    <w:rsid w:val="0DC64A00"/>
    <w:rsid w:val="0DFC60BA"/>
    <w:rsid w:val="0E4249F1"/>
    <w:rsid w:val="0F6C5A53"/>
    <w:rsid w:val="0F7C5FF6"/>
    <w:rsid w:val="0FC63FBD"/>
    <w:rsid w:val="106C564D"/>
    <w:rsid w:val="107B7B8F"/>
    <w:rsid w:val="107C67CE"/>
    <w:rsid w:val="1080523F"/>
    <w:rsid w:val="108F06C9"/>
    <w:rsid w:val="109D68CB"/>
    <w:rsid w:val="10A949B8"/>
    <w:rsid w:val="10C54639"/>
    <w:rsid w:val="11200D07"/>
    <w:rsid w:val="115829C2"/>
    <w:rsid w:val="11DA73AF"/>
    <w:rsid w:val="12C60D80"/>
    <w:rsid w:val="131867D4"/>
    <w:rsid w:val="131F7A3A"/>
    <w:rsid w:val="132645D0"/>
    <w:rsid w:val="13455ABC"/>
    <w:rsid w:val="135428E1"/>
    <w:rsid w:val="1370322B"/>
    <w:rsid w:val="13B27845"/>
    <w:rsid w:val="13BE469F"/>
    <w:rsid w:val="13F87121"/>
    <w:rsid w:val="141A03E1"/>
    <w:rsid w:val="143B2E0B"/>
    <w:rsid w:val="14672B11"/>
    <w:rsid w:val="14892735"/>
    <w:rsid w:val="14CC769D"/>
    <w:rsid w:val="15663028"/>
    <w:rsid w:val="157D38E3"/>
    <w:rsid w:val="15D359D7"/>
    <w:rsid w:val="15D81E0F"/>
    <w:rsid w:val="161771F3"/>
    <w:rsid w:val="16222D6D"/>
    <w:rsid w:val="163C77BE"/>
    <w:rsid w:val="16632F86"/>
    <w:rsid w:val="1679588C"/>
    <w:rsid w:val="16994962"/>
    <w:rsid w:val="16A71041"/>
    <w:rsid w:val="16AA24BF"/>
    <w:rsid w:val="16F72341"/>
    <w:rsid w:val="174C693F"/>
    <w:rsid w:val="17680CAB"/>
    <w:rsid w:val="176E4128"/>
    <w:rsid w:val="1783371F"/>
    <w:rsid w:val="17E62B67"/>
    <w:rsid w:val="180C0192"/>
    <w:rsid w:val="180F4499"/>
    <w:rsid w:val="18221ECE"/>
    <w:rsid w:val="190B7894"/>
    <w:rsid w:val="19A2789F"/>
    <w:rsid w:val="1A460CF5"/>
    <w:rsid w:val="1A7A3AE3"/>
    <w:rsid w:val="1A7F297D"/>
    <w:rsid w:val="1AB16AC1"/>
    <w:rsid w:val="1B034A52"/>
    <w:rsid w:val="1B1F34AD"/>
    <w:rsid w:val="1B8D5DC6"/>
    <w:rsid w:val="1BFE1D3B"/>
    <w:rsid w:val="1C2775EC"/>
    <w:rsid w:val="1C3B08CE"/>
    <w:rsid w:val="1C750ECE"/>
    <w:rsid w:val="1CA22168"/>
    <w:rsid w:val="1CB936F3"/>
    <w:rsid w:val="1D0836D7"/>
    <w:rsid w:val="1D196139"/>
    <w:rsid w:val="1DB85900"/>
    <w:rsid w:val="1DD01C35"/>
    <w:rsid w:val="1DE4755A"/>
    <w:rsid w:val="1DF051AF"/>
    <w:rsid w:val="1E010AF7"/>
    <w:rsid w:val="1E0178EB"/>
    <w:rsid w:val="1E301173"/>
    <w:rsid w:val="1E38333E"/>
    <w:rsid w:val="1E5C7612"/>
    <w:rsid w:val="1EA40BB4"/>
    <w:rsid w:val="1F43381C"/>
    <w:rsid w:val="1FA4148D"/>
    <w:rsid w:val="1FF6236C"/>
    <w:rsid w:val="20121621"/>
    <w:rsid w:val="201A421D"/>
    <w:rsid w:val="20341172"/>
    <w:rsid w:val="204E554F"/>
    <w:rsid w:val="20590035"/>
    <w:rsid w:val="209142F5"/>
    <w:rsid w:val="20C35213"/>
    <w:rsid w:val="20FC799E"/>
    <w:rsid w:val="217913F5"/>
    <w:rsid w:val="22154DDD"/>
    <w:rsid w:val="22213E42"/>
    <w:rsid w:val="22336873"/>
    <w:rsid w:val="23175889"/>
    <w:rsid w:val="238C2182"/>
    <w:rsid w:val="239015D1"/>
    <w:rsid w:val="23BB4E7D"/>
    <w:rsid w:val="23C172D6"/>
    <w:rsid w:val="23F04F64"/>
    <w:rsid w:val="24814CBE"/>
    <w:rsid w:val="24AC168B"/>
    <w:rsid w:val="252B0CCC"/>
    <w:rsid w:val="257464FD"/>
    <w:rsid w:val="258C3BEC"/>
    <w:rsid w:val="25E576CC"/>
    <w:rsid w:val="260E3862"/>
    <w:rsid w:val="262569FC"/>
    <w:rsid w:val="26344C98"/>
    <w:rsid w:val="26F56CE2"/>
    <w:rsid w:val="27435D49"/>
    <w:rsid w:val="27A34F71"/>
    <w:rsid w:val="27B36A67"/>
    <w:rsid w:val="27EB0D9B"/>
    <w:rsid w:val="286602C8"/>
    <w:rsid w:val="28665C95"/>
    <w:rsid w:val="28A64522"/>
    <w:rsid w:val="28CC5B40"/>
    <w:rsid w:val="290B3EB9"/>
    <w:rsid w:val="291418C2"/>
    <w:rsid w:val="2950768C"/>
    <w:rsid w:val="297A5FC4"/>
    <w:rsid w:val="29CC7B7A"/>
    <w:rsid w:val="2A1113BC"/>
    <w:rsid w:val="2A8D4F8F"/>
    <w:rsid w:val="2A911082"/>
    <w:rsid w:val="2A917B34"/>
    <w:rsid w:val="2AE3766F"/>
    <w:rsid w:val="2B7E4054"/>
    <w:rsid w:val="2BF22742"/>
    <w:rsid w:val="2C987C56"/>
    <w:rsid w:val="2CFF149A"/>
    <w:rsid w:val="2D022669"/>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E04319"/>
    <w:rsid w:val="2FF37AB3"/>
    <w:rsid w:val="308C7755"/>
    <w:rsid w:val="30AE5AF8"/>
    <w:rsid w:val="30FF27D2"/>
    <w:rsid w:val="31170995"/>
    <w:rsid w:val="31264A30"/>
    <w:rsid w:val="31884E67"/>
    <w:rsid w:val="31A0275E"/>
    <w:rsid w:val="31B7357A"/>
    <w:rsid w:val="31ED6B08"/>
    <w:rsid w:val="31F915C9"/>
    <w:rsid w:val="32610CE6"/>
    <w:rsid w:val="32631A32"/>
    <w:rsid w:val="328464CE"/>
    <w:rsid w:val="32AB70C5"/>
    <w:rsid w:val="32DC33E0"/>
    <w:rsid w:val="335D0AF5"/>
    <w:rsid w:val="3370088C"/>
    <w:rsid w:val="33A3154A"/>
    <w:rsid w:val="33DC2F78"/>
    <w:rsid w:val="3428227C"/>
    <w:rsid w:val="35260F83"/>
    <w:rsid w:val="35602226"/>
    <w:rsid w:val="356B72E7"/>
    <w:rsid w:val="3572424F"/>
    <w:rsid w:val="35FC3844"/>
    <w:rsid w:val="362C4723"/>
    <w:rsid w:val="366061FD"/>
    <w:rsid w:val="36794DEF"/>
    <w:rsid w:val="36AD519D"/>
    <w:rsid w:val="36B57705"/>
    <w:rsid w:val="374F1A0B"/>
    <w:rsid w:val="37A103ED"/>
    <w:rsid w:val="37EA5E6E"/>
    <w:rsid w:val="37FF016F"/>
    <w:rsid w:val="38427C0B"/>
    <w:rsid w:val="387C5ABE"/>
    <w:rsid w:val="389B3A1E"/>
    <w:rsid w:val="38EB6119"/>
    <w:rsid w:val="39DE33DA"/>
    <w:rsid w:val="39FA5B4A"/>
    <w:rsid w:val="39FE0BE9"/>
    <w:rsid w:val="3A3C1AAF"/>
    <w:rsid w:val="3A424C25"/>
    <w:rsid w:val="3A4B7CC1"/>
    <w:rsid w:val="3A51228C"/>
    <w:rsid w:val="3A552E60"/>
    <w:rsid w:val="3A5D642F"/>
    <w:rsid w:val="3AB210FC"/>
    <w:rsid w:val="3ACE216B"/>
    <w:rsid w:val="3AD95C13"/>
    <w:rsid w:val="3AF02453"/>
    <w:rsid w:val="3B261E51"/>
    <w:rsid w:val="3B973F88"/>
    <w:rsid w:val="3BCD72F7"/>
    <w:rsid w:val="3C414142"/>
    <w:rsid w:val="3CE114D9"/>
    <w:rsid w:val="3CF737A2"/>
    <w:rsid w:val="3CF7509A"/>
    <w:rsid w:val="3D10295A"/>
    <w:rsid w:val="3E0572FD"/>
    <w:rsid w:val="3E1A5292"/>
    <w:rsid w:val="3E5A7FE7"/>
    <w:rsid w:val="3EC8179E"/>
    <w:rsid w:val="3EF66B2E"/>
    <w:rsid w:val="3F217914"/>
    <w:rsid w:val="3F942B76"/>
    <w:rsid w:val="3FD70BB0"/>
    <w:rsid w:val="3FFB55AC"/>
    <w:rsid w:val="401C5F9D"/>
    <w:rsid w:val="401C690C"/>
    <w:rsid w:val="401D7195"/>
    <w:rsid w:val="40442424"/>
    <w:rsid w:val="405F1BE4"/>
    <w:rsid w:val="40A51286"/>
    <w:rsid w:val="40CE3DC0"/>
    <w:rsid w:val="40D7455A"/>
    <w:rsid w:val="40E743E5"/>
    <w:rsid w:val="4110038E"/>
    <w:rsid w:val="41734CBA"/>
    <w:rsid w:val="41C01B53"/>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FA2D53"/>
    <w:rsid w:val="4571374F"/>
    <w:rsid w:val="458B1BB0"/>
    <w:rsid w:val="4611075B"/>
    <w:rsid w:val="46214818"/>
    <w:rsid w:val="467A0297"/>
    <w:rsid w:val="468B7125"/>
    <w:rsid w:val="46C4691F"/>
    <w:rsid w:val="47841568"/>
    <w:rsid w:val="479D1D34"/>
    <w:rsid w:val="47B609C0"/>
    <w:rsid w:val="47CF543E"/>
    <w:rsid w:val="482D31EA"/>
    <w:rsid w:val="485970A0"/>
    <w:rsid w:val="48847961"/>
    <w:rsid w:val="48A41906"/>
    <w:rsid w:val="48B65C71"/>
    <w:rsid w:val="48F303D7"/>
    <w:rsid w:val="492837FF"/>
    <w:rsid w:val="492E6A57"/>
    <w:rsid w:val="49B86103"/>
    <w:rsid w:val="4A0030EE"/>
    <w:rsid w:val="4AC36065"/>
    <w:rsid w:val="4B1A0A44"/>
    <w:rsid w:val="4B560086"/>
    <w:rsid w:val="4B7501F5"/>
    <w:rsid w:val="4B8C2DEB"/>
    <w:rsid w:val="4BFA3C9F"/>
    <w:rsid w:val="4C0D3330"/>
    <w:rsid w:val="4C0E3379"/>
    <w:rsid w:val="4C107F48"/>
    <w:rsid w:val="4C3277BC"/>
    <w:rsid w:val="4C686851"/>
    <w:rsid w:val="4CB25875"/>
    <w:rsid w:val="4CC353EB"/>
    <w:rsid w:val="4CF36F3C"/>
    <w:rsid w:val="4D4F67BA"/>
    <w:rsid w:val="4D603399"/>
    <w:rsid w:val="4D867EE1"/>
    <w:rsid w:val="4DBC4C65"/>
    <w:rsid w:val="4DF6568D"/>
    <w:rsid w:val="4E2E1A80"/>
    <w:rsid w:val="4E550010"/>
    <w:rsid w:val="4E5F14CB"/>
    <w:rsid w:val="4E8F1C93"/>
    <w:rsid w:val="4F3705F8"/>
    <w:rsid w:val="4F651D09"/>
    <w:rsid w:val="4F952A51"/>
    <w:rsid w:val="4FAC3540"/>
    <w:rsid w:val="4FBB12F4"/>
    <w:rsid w:val="4FCF1583"/>
    <w:rsid w:val="4FFA7625"/>
    <w:rsid w:val="501B0BF9"/>
    <w:rsid w:val="507D2599"/>
    <w:rsid w:val="5096229D"/>
    <w:rsid w:val="50B44FCE"/>
    <w:rsid w:val="50DC4184"/>
    <w:rsid w:val="51475B39"/>
    <w:rsid w:val="514C3EA7"/>
    <w:rsid w:val="519849E5"/>
    <w:rsid w:val="51B36892"/>
    <w:rsid w:val="52506DA7"/>
    <w:rsid w:val="529A1A6A"/>
    <w:rsid w:val="533B2B84"/>
    <w:rsid w:val="537975E4"/>
    <w:rsid w:val="537A7243"/>
    <w:rsid w:val="539C1B81"/>
    <w:rsid w:val="53AA6184"/>
    <w:rsid w:val="53AE750F"/>
    <w:rsid w:val="53EB0895"/>
    <w:rsid w:val="53F263AD"/>
    <w:rsid w:val="54693932"/>
    <w:rsid w:val="549A6BFA"/>
    <w:rsid w:val="54E72921"/>
    <w:rsid w:val="55806F07"/>
    <w:rsid w:val="55FA2961"/>
    <w:rsid w:val="565E3E0E"/>
    <w:rsid w:val="565E7F4F"/>
    <w:rsid w:val="56775789"/>
    <w:rsid w:val="56857D06"/>
    <w:rsid w:val="56914056"/>
    <w:rsid w:val="569F0E63"/>
    <w:rsid w:val="56DB613D"/>
    <w:rsid w:val="573810DA"/>
    <w:rsid w:val="57FC2169"/>
    <w:rsid w:val="58096275"/>
    <w:rsid w:val="580E4560"/>
    <w:rsid w:val="581C04F1"/>
    <w:rsid w:val="582E6EF7"/>
    <w:rsid w:val="58434392"/>
    <w:rsid w:val="584E30E6"/>
    <w:rsid w:val="59014D02"/>
    <w:rsid w:val="597B384D"/>
    <w:rsid w:val="59996DA8"/>
    <w:rsid w:val="59AC3CE9"/>
    <w:rsid w:val="59C30F1B"/>
    <w:rsid w:val="5A0D5854"/>
    <w:rsid w:val="5A20156F"/>
    <w:rsid w:val="5A8E5D27"/>
    <w:rsid w:val="5A9847F3"/>
    <w:rsid w:val="5AC7121C"/>
    <w:rsid w:val="5AD90B8D"/>
    <w:rsid w:val="5AE12927"/>
    <w:rsid w:val="5B2243E9"/>
    <w:rsid w:val="5B4E1A44"/>
    <w:rsid w:val="5B5E1CB7"/>
    <w:rsid w:val="5B666742"/>
    <w:rsid w:val="5B6919B0"/>
    <w:rsid w:val="5B873201"/>
    <w:rsid w:val="5B89551D"/>
    <w:rsid w:val="5B967767"/>
    <w:rsid w:val="5B9E55DE"/>
    <w:rsid w:val="5C1D18D2"/>
    <w:rsid w:val="5C286807"/>
    <w:rsid w:val="5C446BC8"/>
    <w:rsid w:val="5C4C687B"/>
    <w:rsid w:val="5C7C2768"/>
    <w:rsid w:val="5CB23AE6"/>
    <w:rsid w:val="5CF55792"/>
    <w:rsid w:val="5CFD533A"/>
    <w:rsid w:val="5D893B14"/>
    <w:rsid w:val="5D9F3D30"/>
    <w:rsid w:val="5DDA620E"/>
    <w:rsid w:val="5E2810D5"/>
    <w:rsid w:val="5E2B7D62"/>
    <w:rsid w:val="5E71411E"/>
    <w:rsid w:val="5EA06921"/>
    <w:rsid w:val="5ED5006A"/>
    <w:rsid w:val="5F576E4B"/>
    <w:rsid w:val="5F5D4EDE"/>
    <w:rsid w:val="5F7A2C30"/>
    <w:rsid w:val="5FBE370A"/>
    <w:rsid w:val="60292845"/>
    <w:rsid w:val="61027308"/>
    <w:rsid w:val="612E1A5D"/>
    <w:rsid w:val="61816046"/>
    <w:rsid w:val="61B22D34"/>
    <w:rsid w:val="62182687"/>
    <w:rsid w:val="62391564"/>
    <w:rsid w:val="62816669"/>
    <w:rsid w:val="62BA0953"/>
    <w:rsid w:val="62D03A7C"/>
    <w:rsid w:val="62F16BCB"/>
    <w:rsid w:val="62F648FE"/>
    <w:rsid w:val="63341DB1"/>
    <w:rsid w:val="63447612"/>
    <w:rsid w:val="63907004"/>
    <w:rsid w:val="63A10995"/>
    <w:rsid w:val="63C23EFA"/>
    <w:rsid w:val="643A070A"/>
    <w:rsid w:val="644C573D"/>
    <w:rsid w:val="648667A7"/>
    <w:rsid w:val="64DB383A"/>
    <w:rsid w:val="65032F85"/>
    <w:rsid w:val="65136B50"/>
    <w:rsid w:val="653E5324"/>
    <w:rsid w:val="657E2A35"/>
    <w:rsid w:val="65A94E9D"/>
    <w:rsid w:val="65AF3FB6"/>
    <w:rsid w:val="65C60A92"/>
    <w:rsid w:val="662203DD"/>
    <w:rsid w:val="666B723B"/>
    <w:rsid w:val="6678045A"/>
    <w:rsid w:val="66DD6702"/>
    <w:rsid w:val="66DE4A8A"/>
    <w:rsid w:val="67204FA2"/>
    <w:rsid w:val="679406CB"/>
    <w:rsid w:val="67AB52F1"/>
    <w:rsid w:val="67C35C0B"/>
    <w:rsid w:val="681233D2"/>
    <w:rsid w:val="681D5EE5"/>
    <w:rsid w:val="68652AB3"/>
    <w:rsid w:val="6895578E"/>
    <w:rsid w:val="689F1926"/>
    <w:rsid w:val="68AD17BB"/>
    <w:rsid w:val="68D94D22"/>
    <w:rsid w:val="692B2E4A"/>
    <w:rsid w:val="694303FB"/>
    <w:rsid w:val="696A0B34"/>
    <w:rsid w:val="698D6A17"/>
    <w:rsid w:val="69A233E7"/>
    <w:rsid w:val="69EE3535"/>
    <w:rsid w:val="69F954C1"/>
    <w:rsid w:val="6A2031B6"/>
    <w:rsid w:val="6A440C53"/>
    <w:rsid w:val="6AC61F6F"/>
    <w:rsid w:val="6ADB3EAF"/>
    <w:rsid w:val="6ADE74F0"/>
    <w:rsid w:val="6B1002C0"/>
    <w:rsid w:val="6B1F5CFA"/>
    <w:rsid w:val="6B723594"/>
    <w:rsid w:val="6B805156"/>
    <w:rsid w:val="6BD50977"/>
    <w:rsid w:val="6BEA2A9B"/>
    <w:rsid w:val="6C9C0875"/>
    <w:rsid w:val="6C9D1F03"/>
    <w:rsid w:val="6CAA3931"/>
    <w:rsid w:val="6D3933CA"/>
    <w:rsid w:val="6D7B61EC"/>
    <w:rsid w:val="6DC3266E"/>
    <w:rsid w:val="6DD049FF"/>
    <w:rsid w:val="6E09491E"/>
    <w:rsid w:val="6E0D3655"/>
    <w:rsid w:val="6E370225"/>
    <w:rsid w:val="6E5F4465"/>
    <w:rsid w:val="6E8C54DA"/>
    <w:rsid w:val="6EF11E03"/>
    <w:rsid w:val="6F111C62"/>
    <w:rsid w:val="6F2176E5"/>
    <w:rsid w:val="6F3053CA"/>
    <w:rsid w:val="6F592303"/>
    <w:rsid w:val="6F5F5B74"/>
    <w:rsid w:val="6F9B1C65"/>
    <w:rsid w:val="6FD47A25"/>
    <w:rsid w:val="6FF44026"/>
    <w:rsid w:val="6FFB146E"/>
    <w:rsid w:val="701A5C74"/>
    <w:rsid w:val="706516C3"/>
    <w:rsid w:val="70864A71"/>
    <w:rsid w:val="70896E68"/>
    <w:rsid w:val="714556B4"/>
    <w:rsid w:val="715B60E9"/>
    <w:rsid w:val="715C0B42"/>
    <w:rsid w:val="71E96309"/>
    <w:rsid w:val="71EA1FED"/>
    <w:rsid w:val="72284A0C"/>
    <w:rsid w:val="72C16204"/>
    <w:rsid w:val="730313F6"/>
    <w:rsid w:val="731E1007"/>
    <w:rsid w:val="73370D24"/>
    <w:rsid w:val="7359268C"/>
    <w:rsid w:val="739503EB"/>
    <w:rsid w:val="73A05B28"/>
    <w:rsid w:val="73C07D69"/>
    <w:rsid w:val="749E2255"/>
    <w:rsid w:val="74B42AE4"/>
    <w:rsid w:val="74D430B7"/>
    <w:rsid w:val="750A429D"/>
    <w:rsid w:val="750E099D"/>
    <w:rsid w:val="75167F59"/>
    <w:rsid w:val="754D77D2"/>
    <w:rsid w:val="755D38A7"/>
    <w:rsid w:val="755F5A0F"/>
    <w:rsid w:val="75614792"/>
    <w:rsid w:val="756E0C82"/>
    <w:rsid w:val="75784473"/>
    <w:rsid w:val="757E044C"/>
    <w:rsid w:val="75977BC3"/>
    <w:rsid w:val="75B161B3"/>
    <w:rsid w:val="75E470E3"/>
    <w:rsid w:val="76736B32"/>
    <w:rsid w:val="76E3765E"/>
    <w:rsid w:val="76FC2AFA"/>
    <w:rsid w:val="773F0836"/>
    <w:rsid w:val="77653671"/>
    <w:rsid w:val="778546CC"/>
    <w:rsid w:val="77B56730"/>
    <w:rsid w:val="77C04A8B"/>
    <w:rsid w:val="77D85DB3"/>
    <w:rsid w:val="780252A0"/>
    <w:rsid w:val="78027772"/>
    <w:rsid w:val="78A50513"/>
    <w:rsid w:val="793B7339"/>
    <w:rsid w:val="796518DD"/>
    <w:rsid w:val="796E0C55"/>
    <w:rsid w:val="79AA0532"/>
    <w:rsid w:val="79F70999"/>
    <w:rsid w:val="79FE1DDD"/>
    <w:rsid w:val="7A075767"/>
    <w:rsid w:val="7A212062"/>
    <w:rsid w:val="7A282A11"/>
    <w:rsid w:val="7AB90FF6"/>
    <w:rsid w:val="7AC157E1"/>
    <w:rsid w:val="7AC21562"/>
    <w:rsid w:val="7AD474A4"/>
    <w:rsid w:val="7ADB14F6"/>
    <w:rsid w:val="7B115232"/>
    <w:rsid w:val="7B416BDC"/>
    <w:rsid w:val="7B5350AD"/>
    <w:rsid w:val="7B6867EB"/>
    <w:rsid w:val="7B697C89"/>
    <w:rsid w:val="7B8D34C3"/>
    <w:rsid w:val="7B971D84"/>
    <w:rsid w:val="7BA10FD7"/>
    <w:rsid w:val="7BF32F03"/>
    <w:rsid w:val="7C1724A5"/>
    <w:rsid w:val="7C8E3CCF"/>
    <w:rsid w:val="7CA54112"/>
    <w:rsid w:val="7CE50CE4"/>
    <w:rsid w:val="7D2177E3"/>
    <w:rsid w:val="7D2E5ABF"/>
    <w:rsid w:val="7E2142A2"/>
    <w:rsid w:val="7E4F5384"/>
    <w:rsid w:val="7E5A6DFA"/>
    <w:rsid w:val="7E7B0BF2"/>
    <w:rsid w:val="7E7C7A78"/>
    <w:rsid w:val="7E8D75B6"/>
    <w:rsid w:val="7EB2417D"/>
    <w:rsid w:val="7EF760EE"/>
    <w:rsid w:val="7F2A21E7"/>
    <w:rsid w:val="7F6D6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line="360" w:lineRule="auto"/>
      <w:outlineLvl w:val="2"/>
    </w:pPr>
    <w:rPr>
      <w:rFonts w:eastAsia="宋体"/>
      <w:b/>
      <w:bCs/>
      <w:sz w:val="28"/>
      <w:szCs w:val="32"/>
    </w:rPr>
  </w:style>
  <w:style w:type="paragraph" w:styleId="5">
    <w:name w:val="heading 4"/>
    <w:basedOn w:val="1"/>
    <w:next w:val="1"/>
    <w:link w:val="33"/>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8"/>
    <w:qFormat/>
    <w:uiPriority w:val="1"/>
    <w:pPr>
      <w:spacing w:before="161"/>
      <w:ind w:left="120"/>
    </w:pPr>
    <w:rPr>
      <w:rFonts w:ascii="宋体" w:hAnsi="宋体" w:eastAsia="宋体" w:cs="宋体"/>
      <w:sz w:val="24"/>
      <w:lang w:val="zh-CN" w:bidi="zh-CN"/>
    </w:rPr>
  </w:style>
  <w:style w:type="paragraph" w:styleId="8">
    <w:name w:val="Body Text First Indent"/>
    <w:basedOn w:val="7"/>
    <w:unhideWhenUsed/>
    <w:qFormat/>
    <w:uiPriority w:val="99"/>
    <w:pPr>
      <w:ind w:firstLine="420" w:firstLineChars="100"/>
    </w:pPr>
    <w:rPr>
      <w:rFonts w:ascii="Times New Roman" w:hAnsi="Times New Roman" w:cs="Times New Roman"/>
    </w:rPr>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4"/>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7"/>
    <w:semiHidden/>
    <w:unhideWhenUsed/>
    <w:qFormat/>
    <w:uiPriority w:val="99"/>
    <w:pPr>
      <w:spacing w:after="0"/>
    </w:pPr>
    <w:rPr>
      <w:sz w:val="18"/>
      <w:szCs w:val="18"/>
    </w:rPr>
  </w:style>
  <w:style w:type="paragraph" w:styleId="13">
    <w:name w:val="footer"/>
    <w:basedOn w:val="1"/>
    <w:link w:val="46"/>
    <w:unhideWhenUsed/>
    <w:qFormat/>
    <w:uiPriority w:val="99"/>
    <w:pPr>
      <w:tabs>
        <w:tab w:val="center" w:pos="4153"/>
        <w:tab w:val="right" w:pos="8306"/>
      </w:tabs>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pPr>
      <w:snapToGrid w:val="0"/>
      <w:jc w:val="left"/>
    </w:pPr>
    <w:rPr>
      <w:sz w:val="18"/>
    </w:rPr>
  </w:style>
  <w:style w:type="paragraph" w:styleId="20">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1">
    <w:name w:val="Normal (Web)"/>
    <w:basedOn w:val="1"/>
    <w:link w:val="49"/>
    <w:qFormat/>
    <w:uiPriority w:val="0"/>
    <w:pPr>
      <w:widowControl w:val="0"/>
      <w:adjustRightInd/>
      <w:snapToGrid/>
      <w:spacing w:after="0"/>
      <w:jc w:val="both"/>
    </w:pPr>
    <w:rPr>
      <w:rFonts w:eastAsia="宋体" w:asciiTheme="minorHAnsi" w:hAnsiTheme="minorHAnsi"/>
      <w:kern w:val="2"/>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3"/>
    <w:qFormat/>
    <w:uiPriority w:val="9"/>
    <w:rPr>
      <w:rFonts w:asciiTheme="majorHAnsi" w:hAnsiTheme="majorHAnsi" w:eastAsiaTheme="majorEastAsia" w:cstheme="majorBidi"/>
      <w:b/>
      <w:bCs/>
      <w:sz w:val="32"/>
      <w:szCs w:val="32"/>
    </w:rPr>
  </w:style>
  <w:style w:type="character" w:customStyle="1" w:styleId="31">
    <w:name w:val="标题 3 Char"/>
    <w:basedOn w:val="24"/>
    <w:link w:val="4"/>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5"/>
    <w:qFormat/>
    <w:uiPriority w:val="9"/>
    <w:rPr>
      <w:rFonts w:eastAsia="宋体" w:asciiTheme="majorAscii" w:hAnsiTheme="majorAscii" w:cstheme="majorBidi"/>
      <w:b/>
      <w:bCs/>
      <w:sz w:val="24"/>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4"/>
    <w:link w:val="40"/>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10"/>
    <w:semiHidden/>
    <w:qFormat/>
    <w:uiPriority w:val="99"/>
    <w:rPr>
      <w:rFonts w:ascii="宋体" w:hAnsi="Courier New" w:eastAsia="宋体" w:cs="Courier New"/>
      <w:sz w:val="21"/>
      <w:szCs w:val="21"/>
    </w:rPr>
  </w:style>
  <w:style w:type="character" w:customStyle="1" w:styleId="45">
    <w:name w:val="页眉 Char"/>
    <w:basedOn w:val="24"/>
    <w:link w:val="14"/>
    <w:qFormat/>
    <w:uiPriority w:val="99"/>
    <w:rPr>
      <w:rFonts w:ascii="Tahoma" w:hAnsi="Tahoma"/>
      <w:sz w:val="18"/>
      <w:szCs w:val="18"/>
    </w:rPr>
  </w:style>
  <w:style w:type="character" w:customStyle="1" w:styleId="46">
    <w:name w:val="页脚 Char"/>
    <w:basedOn w:val="24"/>
    <w:link w:val="13"/>
    <w:qFormat/>
    <w:uiPriority w:val="99"/>
    <w:rPr>
      <w:rFonts w:ascii="Tahoma" w:hAnsi="Tahoma"/>
      <w:sz w:val="18"/>
      <w:szCs w:val="18"/>
    </w:rPr>
  </w:style>
  <w:style w:type="character" w:customStyle="1" w:styleId="47">
    <w:name w:val="批注框文本 Char"/>
    <w:basedOn w:val="24"/>
    <w:link w:val="12"/>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1"/>
    <w:qFormat/>
    <w:uiPriority w:val="0"/>
    <w:rPr>
      <w:rFonts w:eastAsia="宋体"/>
      <w:kern w:val="2"/>
      <w:sz w:val="24"/>
      <w:szCs w:val="24"/>
    </w:rPr>
  </w:style>
  <w:style w:type="paragraph" w:customStyle="1" w:styleId="50">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qFormat/>
    <w:uiPriority w:val="0"/>
    <w:pPr>
      <w:ind w:firstLine="0" w:firstLineChars="0"/>
    </w:pPr>
  </w:style>
  <w:style w:type="paragraph" w:customStyle="1" w:styleId="54">
    <w:name w:val="一级条标题"/>
    <w:basedOn w:val="55"/>
    <w:next w:val="56"/>
    <w:qFormat/>
    <w:uiPriority w:val="0"/>
    <w:pPr>
      <w:tabs>
        <w:tab w:val="left" w:pos="720"/>
      </w:tabs>
      <w:spacing w:beforeLines="0" w:afterLines="0"/>
      <w:outlineLvl w:val="2"/>
    </w:pPr>
  </w:style>
  <w:style w:type="paragraph" w:customStyle="1" w:styleId="55">
    <w:name w:val="章标题"/>
    <w:next w:val="1"/>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73</Pages>
  <Words>32715</Words>
  <Characters>33586</Characters>
  <Lines>264</Lines>
  <Paragraphs>74</Paragraphs>
  <TotalTime>1</TotalTime>
  <ScaleCrop>false</ScaleCrop>
  <LinksUpToDate>false</LinksUpToDate>
  <CharactersWithSpaces>35801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2021-04-23T09:50:00Z</cp:lastPrinted>
  <dcterms:modified xsi:type="dcterms:W3CDTF">2021-11-18T10:01:48Z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FA883B9110314357BCCB0107BE1C437D</vt:lpwstr>
  </property>
</Properties>
</file>