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rPr>
        <w:t>东莞市政府采购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rPr>
          <w:rFonts w:hint="eastAsia" w:ascii="黑体" w:eastAsia="黑体"/>
          <w:color w:val="auto"/>
          <w:szCs w:val="21"/>
          <w:highlight w:val="none"/>
          <w:lang w:eastAsia="zh-CN"/>
        </w:rPr>
      </w:pPr>
    </w:p>
    <w:p>
      <w:pPr>
        <w:pStyle w:val="3"/>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GDZT2021116A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rPr>
              <w:t>东莞市横沥镇社区卫生服务中心厨房设备采购</w:t>
            </w:r>
            <w:r>
              <w:rPr>
                <w:rFonts w:hint="eastAsia" w:ascii="黑体" w:hAnsi="黑体" w:eastAsia="黑体" w:cs="黑体"/>
                <w:bCs/>
                <w:color w:val="auto"/>
                <w:sz w:val="32"/>
                <w:szCs w:val="24"/>
                <w:highlight w:val="none"/>
                <w:lang w:val="en-US" w:eastAsia="zh-CN"/>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7、加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sz w:val="24"/>
          <w:szCs w:val="24"/>
          <w:lang w:val="en-US" w:eastAsia="zh-CN"/>
        </w:rPr>
      </w:pPr>
      <w:r>
        <w:rPr>
          <w:rFonts w:hint="eastAsia"/>
          <w:b/>
          <w:bCs/>
          <w:sz w:val="24"/>
          <w:szCs w:val="24"/>
          <w:lang w:val="en-US" w:eastAsia="zh-CN"/>
        </w:rPr>
        <w:t>10、公司位置：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5"/>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6"/>
        <w:spacing w:before="0" w:after="0" w:line="360" w:lineRule="auto"/>
        <w:jc w:val="center"/>
        <w:rPr>
          <w:rFonts w:ascii="宋体" w:hAnsi="宋体" w:eastAsia="宋体" w:cs="宋体"/>
          <w:color w:val="auto"/>
          <w:highlight w:val="none"/>
        </w:rPr>
      </w:pPr>
      <w:bookmarkStart w:id="2" w:name="_Toc8850"/>
      <w:bookmarkStart w:id="3" w:name="_Toc7123"/>
      <w:bookmarkStart w:id="4" w:name="_Toc142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bCs/>
          <w:color w:val="auto"/>
          <w:sz w:val="21"/>
          <w:szCs w:val="21"/>
          <w:highlight w:val="none"/>
          <w:u w:val="single"/>
        </w:rPr>
        <w:t>东莞市横沥镇社区卫生服务中心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bookmarkStart w:id="387" w:name="_GoBack"/>
      <w:r>
        <w:rPr>
          <w:rFonts w:hint="eastAsia" w:ascii="宋体" w:hAnsi="宋体" w:eastAsia="宋体"/>
          <w:b/>
          <w:bCs/>
          <w:color w:val="auto"/>
          <w:sz w:val="21"/>
          <w:szCs w:val="21"/>
          <w:highlight w:val="none"/>
          <w:u w:val="single"/>
        </w:rPr>
        <w:t>东莞市横沥镇社区卫生服务中心厨房设备采购</w:t>
      </w:r>
      <w:r>
        <w:rPr>
          <w:rFonts w:hint="eastAsia" w:ascii="宋体" w:hAnsi="宋体" w:eastAsia="宋体"/>
          <w:b/>
          <w:bCs/>
          <w:color w:val="auto"/>
          <w:sz w:val="21"/>
          <w:szCs w:val="21"/>
          <w:highlight w:val="none"/>
          <w:u w:val="single"/>
          <w:lang w:val="en-US" w:eastAsia="zh-CN"/>
        </w:rPr>
        <w:t>项目</w:t>
      </w:r>
      <w:bookmarkEnd w:id="387"/>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编号：GDZT2021116A；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名称：东莞市横沥镇社区卫生服务中心厨房设备采购项目；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东莞市横沥镇社区卫生服务中心</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厨房设备采购项目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628,476.10</w:t>
            </w:r>
            <w:r>
              <w:rPr>
                <w:rFonts w:hint="eastAsia" w:ascii="宋体" w:hAnsi="宋体" w:eastAsia="宋体"/>
                <w:color w:val="auto"/>
                <w:sz w:val="21"/>
                <w:szCs w:val="21"/>
                <w:highlight w:val="non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黄工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联系电话：0769-89302656-629</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5"/>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5749"/>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6"/>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6"/>
              <w:keepNext w:val="0"/>
              <w:keepLines w:val="0"/>
              <w:pageBreakBefore w:val="0"/>
              <w:kinsoku/>
              <w:wordWrap/>
              <w:overflowPunct/>
              <w:topLinePunct w:val="0"/>
              <w:autoSpaceDE/>
              <w:autoSpaceDN/>
              <w:bidi w:val="0"/>
              <w:spacing w:line="240" w:lineRule="auto"/>
              <w:ind w:left="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312"/>
              </w:tabs>
              <w:kinsoku/>
              <w:wordWrap/>
              <w:overflowPunct/>
              <w:topLinePunct w:val="0"/>
              <w:autoSpaceDE/>
              <w:autoSpaceDN/>
              <w:bidi w:val="0"/>
              <w:spacing w:line="240" w:lineRule="auto"/>
              <w:ind w:left="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投标人具有</w:t>
            </w:r>
            <w:r>
              <w:rPr>
                <w:rFonts w:hint="eastAsia" w:ascii="宋体" w:hAnsi="宋体" w:eastAsia="宋体" w:cs="宋体"/>
                <w:color w:val="auto"/>
                <w:sz w:val="21"/>
                <w:szCs w:val="21"/>
                <w:highlight w:val="none"/>
              </w:rPr>
              <w:t>国家认证认可监督管理部门批准设立的认证机构颁发的</w:t>
            </w:r>
            <w:r>
              <w:rPr>
                <w:rFonts w:hint="eastAsia" w:ascii="宋体" w:hAnsi="宋体" w:eastAsia="宋体" w:cs="宋体"/>
                <w:color w:val="auto"/>
                <w:kern w:val="0"/>
                <w:sz w:val="21"/>
                <w:szCs w:val="21"/>
                <w:highlight w:val="none"/>
              </w:rPr>
              <w:t>履约能力管理体系认证证书，得</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w:t>
            </w:r>
          </w:p>
          <w:p>
            <w:pPr>
              <w:keepNext w:val="0"/>
              <w:keepLines w:val="0"/>
              <w:pageBreakBefore w:val="0"/>
              <w:kinsoku/>
              <w:wordWrap/>
              <w:overflowPunct/>
              <w:topLinePunct w:val="0"/>
              <w:autoSpaceDE/>
              <w:autoSpaceDN/>
              <w:bidi w:val="0"/>
              <w:spacing w:line="240" w:lineRule="auto"/>
              <w:ind w:left="0" w:right="0" w:rightChars="0"/>
              <w:textAlignment w:val="auto"/>
              <w:rPr>
                <w:rFonts w:hint="eastAsia" w:ascii="宋体" w:hAnsi="宋体" w:eastAsia="宋体" w:cs="宋体"/>
                <w:bCs/>
                <w:color w:val="auto"/>
                <w:sz w:val="21"/>
                <w:szCs w:val="21"/>
                <w:highlight w:val="none"/>
                <w:lang w:val="zh-CN"/>
              </w:rPr>
            </w:pPr>
            <w:r>
              <w:rPr>
                <w:rFonts w:hint="eastAsia" w:ascii="宋体" w:hAnsi="宋体" w:eastAsia="宋体" w:cs="宋体"/>
                <w:b/>
                <w:bCs/>
                <w:color w:val="auto"/>
                <w:sz w:val="21"/>
                <w:szCs w:val="21"/>
                <w:highlight w:val="none"/>
              </w:rPr>
              <w:t>（须提供有效期</w:t>
            </w:r>
            <w:r>
              <w:rPr>
                <w:rFonts w:hint="eastAsia" w:ascii="宋体" w:hAnsi="宋体" w:cs="宋体"/>
                <w:b/>
                <w:bCs/>
                <w:color w:val="auto"/>
                <w:sz w:val="21"/>
                <w:szCs w:val="21"/>
                <w:highlight w:val="none"/>
                <w:lang w:val="en-US" w:eastAsia="zh-CN"/>
              </w:rPr>
              <w:t>内</w:t>
            </w:r>
            <w:r>
              <w:rPr>
                <w:rFonts w:hint="eastAsia" w:ascii="宋体" w:hAnsi="宋体" w:eastAsia="宋体" w:cs="宋体"/>
                <w:b/>
                <w:bCs/>
                <w:color w:val="auto"/>
                <w:sz w:val="21"/>
                <w:szCs w:val="21"/>
                <w:highlight w:val="none"/>
              </w:rPr>
              <w:t>的证书复印件加盖投标人公章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否则不得分。</w:t>
            </w:r>
            <w:r>
              <w:rPr>
                <w:rFonts w:hint="eastAsia" w:ascii="宋体" w:hAnsi="宋体" w:eastAsia="宋体" w:cs="宋体"/>
                <w:b/>
                <w:bCs/>
                <w:color w:val="auto"/>
                <w:sz w:val="21"/>
                <w:szCs w:val="21"/>
                <w:highlight w:val="none"/>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1"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p>
        </w:tc>
        <w:tc>
          <w:tcPr>
            <w:tcW w:w="129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312"/>
              </w:tabs>
              <w:kinsoku/>
              <w:wordWrap/>
              <w:overflowPunct/>
              <w:topLinePunct w:val="0"/>
              <w:autoSpaceDE/>
              <w:autoSpaceDN/>
              <w:bidi w:val="0"/>
              <w:spacing w:line="240" w:lineRule="auto"/>
              <w:ind w:left="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投标人具有《商品售后服务评价体系》服务认证证书，得</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分；没有的不得分。</w:t>
            </w:r>
          </w:p>
          <w:p>
            <w:pPr>
              <w:pStyle w:val="2"/>
              <w:keepNext w:val="0"/>
              <w:keepLines w:val="0"/>
              <w:pageBreakBefore w:val="0"/>
              <w:kinsoku/>
              <w:wordWrap/>
              <w:overflowPunct/>
              <w:topLinePunct w:val="0"/>
              <w:autoSpaceDE/>
              <w:autoSpaceDN/>
              <w:bidi w:val="0"/>
              <w:spacing w:before="0" w:line="240" w:lineRule="auto"/>
              <w:ind w:left="0" w:leftChars="0" w:right="0" w:rightChars="0"/>
              <w:textAlignment w:val="auto"/>
              <w:rPr>
                <w:rFonts w:hint="eastAsia" w:ascii="宋体" w:hAnsi="宋体" w:eastAsia="宋体" w:cs="宋体"/>
                <w:bCs/>
                <w:color w:val="auto"/>
                <w:sz w:val="21"/>
                <w:szCs w:val="21"/>
                <w:highlight w:val="none"/>
                <w:lang w:val="zh-CN"/>
              </w:rPr>
            </w:pPr>
            <w:r>
              <w:rPr>
                <w:rFonts w:hint="eastAsia" w:ascii="宋体" w:hAnsi="宋体" w:eastAsia="宋体" w:cs="宋体"/>
                <w:b/>
                <w:bCs/>
                <w:color w:val="auto"/>
                <w:sz w:val="21"/>
                <w:szCs w:val="21"/>
                <w:highlight w:val="none"/>
              </w:rPr>
              <w:t>（须提供上述相关证书，具有有效期限的证书须在有效期内，复印件加盖投标人公章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否则不得分。</w:t>
            </w:r>
            <w:r>
              <w:rPr>
                <w:rFonts w:hint="eastAsia" w:ascii="宋体" w:hAnsi="宋体" w:eastAsia="宋体" w:cs="宋体"/>
                <w:b/>
                <w:bCs/>
                <w:color w:val="auto"/>
                <w:sz w:val="21"/>
                <w:szCs w:val="21"/>
                <w:highlight w:val="none"/>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项目经验</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cs="宋体"/>
                <w:color w:val="auto"/>
                <w:sz w:val="21"/>
                <w:szCs w:val="21"/>
                <w:highlight w:val="none"/>
                <w:lang w:val="en-US" w:eastAsia="zh-CN"/>
              </w:rPr>
              <w:t>具有</w:t>
            </w:r>
            <w:r>
              <w:rPr>
                <w:rFonts w:hint="eastAsia" w:ascii="宋体" w:hAnsi="宋体" w:eastAsia="宋体" w:cs="宋体"/>
                <w:color w:val="auto"/>
                <w:sz w:val="21"/>
                <w:szCs w:val="21"/>
                <w:highlight w:val="none"/>
              </w:rPr>
              <w:t>的厨房设备采购类项目业绩</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，每个得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分。本项最高得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napToGrid w:val="0"/>
              <w:spacing w:line="240" w:lineRule="auto"/>
              <w:ind w:left="0" w:right="0" w:rightChars="0"/>
              <w:textAlignment w:val="auto"/>
              <w:rPr>
                <w:rFonts w:hint="eastAsia" w:ascii="宋体" w:hAnsi="宋体" w:eastAsia="宋体" w:cs="宋体"/>
                <w:bCs/>
                <w:color w:val="auto"/>
                <w:sz w:val="21"/>
                <w:szCs w:val="21"/>
                <w:highlight w:val="none"/>
                <w:lang w:val="pt-BR"/>
              </w:rPr>
            </w:pPr>
            <w:r>
              <w:rPr>
                <w:rFonts w:hint="eastAsia" w:ascii="宋体" w:hAnsi="宋体" w:eastAsia="宋体" w:cs="宋体"/>
                <w:b/>
                <w:bCs/>
                <w:color w:val="auto"/>
                <w:sz w:val="21"/>
                <w:szCs w:val="21"/>
                <w:highlight w:val="none"/>
              </w:rPr>
              <w:t>（须同时提供中标/成交通知书、合同及验收报告，复印件加盖投标人公章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否则不得分。</w:t>
            </w:r>
            <w:r>
              <w:rPr>
                <w:rFonts w:hint="eastAsia" w:ascii="宋体" w:hAnsi="宋体" w:eastAsia="宋体" w:cs="宋体"/>
                <w:b/>
                <w:bCs/>
                <w:color w:val="auto"/>
                <w:sz w:val="21"/>
                <w:szCs w:val="21"/>
                <w:highlight w:val="none"/>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55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对主要设备技术参数的响应情况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cs="宋体"/>
                <w:bCs/>
                <w:color w:val="auto"/>
                <w:sz w:val="21"/>
                <w:szCs w:val="21"/>
                <w:highlight w:val="none"/>
                <w:lang w:val="en-US" w:eastAsia="zh-CN"/>
              </w:rPr>
              <w:t>16</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分，扣完为止，本项最低得0分。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line="240" w:lineRule="auto"/>
              <w:ind w:left="0" w:right="0" w:rightChars="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根据投标人对本项目作出的供货进度计划安排，交货期、安装调试计划等进行综合评审：</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方案内容齐全，提供合理化设计，交货期，方案科学、先进、可行，非常有利项目实施的，得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方案内容基本齐全，有基本的合理化设计，交货期，方案较可行，利于项目实施的，得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内容齐全、方案可行、一般，部分有利于项目实施的，得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内容有欠缺或表述的内容不完全符合现场实际，部分有利于项目实施的，得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spacing w:line="240" w:lineRule="auto"/>
              <w:ind w:left="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000000"/>
                <w:sz w:val="21"/>
                <w:szCs w:val="21"/>
                <w:lang w:val="en-US" w:eastAsia="zh-CN"/>
              </w:rPr>
              <w:t>项目执行力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after="0" w:line="240" w:lineRule="auto"/>
              <w:ind w:right="0" w:right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1、项目负责人：</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投标人拟派项目负责人具有电气自动化工程师证书，得2分。</w:t>
            </w:r>
          </w:p>
          <w:p>
            <w:pPr>
              <w:keepNext w:val="0"/>
              <w:keepLines w:val="0"/>
              <w:pageBreakBefore w:val="0"/>
              <w:kinsoku/>
              <w:wordWrap/>
              <w:overflowPunct/>
              <w:topLinePunct w:val="0"/>
              <w:autoSpaceDE/>
              <w:autoSpaceDN/>
              <w:bidi w:val="0"/>
              <w:adjustRightInd/>
              <w:spacing w:after="0" w:line="240" w:lineRule="auto"/>
              <w:ind w:right="0" w:right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2、技术人员（不含项目负责人）</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①投标人拟派技术人员具有特种作业操作证（电工作业、焊接与热切割作业）每个证书得1分，最高得2分。</w:t>
            </w:r>
          </w:p>
          <w:p>
            <w:pPr>
              <w:keepNext w:val="0"/>
              <w:keepLines w:val="0"/>
              <w:pageBreakBefore w:val="0"/>
              <w:kinsoku/>
              <w:wordWrap/>
              <w:overflowPunct/>
              <w:topLinePunct w:val="0"/>
              <w:autoSpaceDE/>
              <w:autoSpaceDN/>
              <w:bidi w:val="0"/>
              <w:adjustRightInd/>
              <w:spacing w:after="0" w:line="240" w:lineRule="auto"/>
              <w:ind w:left="0" w:leftChars="0" w:right="0" w:righ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②投标人拟派技术人员具有市级（或以上）培训机构出具的《企业安全管理人员》证书，每个得1分，最高得1分。</w:t>
            </w:r>
          </w:p>
          <w:p>
            <w:pPr>
              <w:keepNext w:val="0"/>
              <w:keepLines w:val="0"/>
              <w:pageBreakBefore w:val="0"/>
              <w:kinsoku/>
              <w:wordWrap/>
              <w:overflowPunct/>
              <w:topLinePunct w:val="0"/>
              <w:autoSpaceDE/>
              <w:autoSpaceDN/>
              <w:bidi w:val="0"/>
              <w:snapToGrid w:val="0"/>
              <w:spacing w:line="240" w:lineRule="auto"/>
              <w:ind w:left="0" w:leftChars="0" w:right="0" w:rightChars="0" w:firstLine="422" w:firstLineChars="200"/>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000000"/>
                <w:sz w:val="21"/>
                <w:szCs w:val="21"/>
                <w:lang w:val="en-US" w:eastAsia="zh-CN"/>
              </w:rPr>
              <w:t>（以上人员须提供相应的证书复印件及开标前三个月任一个月投标人为其购买社保的证明资料复印件并加盖公章</w:t>
            </w:r>
            <w:r>
              <w:rPr>
                <w:rFonts w:hint="eastAsia" w:ascii="宋体" w:hAnsi="宋体" w:cs="宋体"/>
                <w:b/>
                <w:bCs/>
                <w:color w:val="000000"/>
                <w:sz w:val="21"/>
                <w:szCs w:val="21"/>
                <w:lang w:val="en-US" w:eastAsia="zh-CN"/>
              </w:rPr>
              <w:t>，否则不得分。</w:t>
            </w:r>
            <w:r>
              <w:rPr>
                <w:rFonts w:hint="eastAsia" w:ascii="宋体" w:hAnsi="宋体" w:eastAsia="宋体" w:cs="宋体"/>
                <w:b/>
                <w:bCs/>
                <w:color w:val="000000"/>
                <w:sz w:val="21"/>
                <w:szCs w:val="21"/>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bidi="ar-SA"/>
              </w:rPr>
            </w:pPr>
            <w:r>
              <w:rPr>
                <w:rFonts w:hint="eastAsia" w:ascii="宋体" w:hAnsi="宋体" w:cs="宋体"/>
                <w:bCs/>
                <w:color w:val="auto"/>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产品节能性</w:t>
            </w:r>
          </w:p>
        </w:tc>
        <w:tc>
          <w:tcPr>
            <w:tcW w:w="592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kinsoku/>
              <w:wordWrap/>
              <w:overflowPunct/>
              <w:topLinePunct w:val="0"/>
              <w:autoSpaceDE/>
              <w:autoSpaceDN/>
              <w:bidi w:val="0"/>
              <w:spacing w:before="0" w:line="240" w:lineRule="auto"/>
              <w:ind w:left="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1、投标人具有</w:t>
            </w:r>
            <w:r>
              <w:rPr>
                <w:rFonts w:hint="eastAsia" w:ascii="宋体" w:hAnsi="宋体" w:eastAsia="宋体" w:cs="宋体"/>
                <w:color w:val="auto"/>
                <w:sz w:val="21"/>
                <w:szCs w:val="21"/>
                <w:highlight w:val="none"/>
                <w:lang w:eastAsia="zh-CN"/>
              </w:rPr>
              <w:t>商用电磁炉产品（</w:t>
            </w:r>
            <w:r>
              <w:rPr>
                <w:rFonts w:hint="eastAsia" w:ascii="宋体" w:hAnsi="宋体" w:eastAsia="宋体" w:cs="宋体"/>
                <w:color w:val="auto"/>
                <w:sz w:val="21"/>
                <w:szCs w:val="21"/>
                <w:highlight w:val="none"/>
                <w:lang w:val="en-US"/>
              </w:rPr>
              <w:t>15KW/380V</w:t>
            </w:r>
            <w:r>
              <w:rPr>
                <w:rFonts w:hint="eastAsia" w:ascii="宋体" w:hAnsi="宋体" w:eastAsia="宋体" w:cs="宋体"/>
                <w:color w:val="auto"/>
                <w:sz w:val="21"/>
                <w:szCs w:val="21"/>
                <w:highlight w:val="none"/>
                <w:lang w:val="en-US" w:eastAsia="zh-CN"/>
              </w:rPr>
              <w:t>）中国节能产品认证证书的，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pStyle w:val="36"/>
              <w:keepNext w:val="0"/>
              <w:keepLines w:val="0"/>
              <w:pageBreakBefore w:val="0"/>
              <w:widowControl/>
              <w:kinsoku/>
              <w:wordWrap/>
              <w:overflowPunct/>
              <w:topLinePunct w:val="0"/>
              <w:autoSpaceDE/>
              <w:autoSpaceDN/>
              <w:bidi w:val="0"/>
              <w:spacing w:after="0"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2、投标人具有</w:t>
            </w:r>
            <w:r>
              <w:rPr>
                <w:rFonts w:hint="eastAsia" w:ascii="宋体" w:hAnsi="宋体" w:eastAsia="宋体" w:cs="宋体"/>
                <w:color w:val="auto"/>
                <w:sz w:val="21"/>
                <w:szCs w:val="21"/>
                <w:highlight w:val="none"/>
                <w:lang w:eastAsia="zh-CN"/>
              </w:rPr>
              <w:t>商用电磁炉产品（</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5KW/380V</w:t>
            </w:r>
            <w:r>
              <w:rPr>
                <w:rFonts w:hint="eastAsia" w:ascii="宋体" w:hAnsi="宋体" w:eastAsia="宋体" w:cs="宋体"/>
                <w:color w:val="auto"/>
                <w:sz w:val="21"/>
                <w:szCs w:val="21"/>
                <w:highlight w:val="none"/>
                <w:lang w:val="en-US" w:eastAsia="zh-CN"/>
              </w:rPr>
              <w:t>）中国节能产品认证证书的，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right="0" w:rightChars="0"/>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zh-CN"/>
              </w:rPr>
              <w:t>（须提供上述</w:t>
            </w:r>
            <w:r>
              <w:rPr>
                <w:rFonts w:hint="eastAsia" w:ascii="宋体" w:hAnsi="宋体" w:eastAsia="宋体" w:cs="宋体"/>
                <w:b/>
                <w:bCs/>
                <w:color w:val="auto"/>
                <w:sz w:val="21"/>
                <w:szCs w:val="21"/>
                <w:highlight w:val="none"/>
              </w:rPr>
              <w:t>有效期</w:t>
            </w:r>
            <w:r>
              <w:rPr>
                <w:rFonts w:hint="eastAsia" w:ascii="宋体" w:hAnsi="宋体" w:cs="宋体"/>
                <w:b/>
                <w:bCs/>
                <w:color w:val="auto"/>
                <w:sz w:val="21"/>
                <w:szCs w:val="21"/>
                <w:highlight w:val="none"/>
                <w:lang w:val="en-US" w:eastAsia="zh-CN"/>
              </w:rPr>
              <w:t>内</w:t>
            </w:r>
            <w:r>
              <w:rPr>
                <w:rFonts w:hint="eastAsia" w:ascii="宋体" w:hAnsi="宋体" w:eastAsia="宋体" w:cs="宋体"/>
                <w:b/>
                <w:bCs/>
                <w:color w:val="auto"/>
                <w:sz w:val="21"/>
                <w:szCs w:val="21"/>
                <w:highlight w:val="none"/>
              </w:rPr>
              <w:t>的证书复印件</w:t>
            </w:r>
            <w:r>
              <w:rPr>
                <w:rFonts w:hint="eastAsia" w:ascii="宋体" w:hAnsi="宋体" w:eastAsia="宋体" w:cs="宋体"/>
                <w:b/>
                <w:bCs/>
                <w:color w:val="auto"/>
                <w:sz w:val="21"/>
                <w:szCs w:val="21"/>
                <w:highlight w:val="none"/>
                <w:lang w:val="zh-CN"/>
              </w:rPr>
              <w:t>加盖投标人公章，</w:t>
            </w:r>
            <w:r>
              <w:rPr>
                <w:rFonts w:hint="eastAsia" w:ascii="宋体" w:hAnsi="宋体" w:eastAsia="宋体" w:cs="宋体"/>
                <w:b/>
                <w:bCs/>
                <w:color w:val="auto"/>
                <w:sz w:val="21"/>
                <w:szCs w:val="21"/>
                <w:highlight w:val="none"/>
                <w:lang w:val="en-US" w:eastAsia="zh-CN"/>
              </w:rPr>
              <w:t>否则不得分。</w:t>
            </w:r>
            <w:r>
              <w:rPr>
                <w:rFonts w:hint="eastAsia" w:ascii="宋体" w:hAnsi="宋体" w:eastAsia="宋体" w:cs="宋体"/>
                <w:b/>
                <w:bCs/>
                <w:color w:val="auto"/>
                <w:sz w:val="21"/>
                <w:szCs w:val="21"/>
                <w:highlight w:val="none"/>
                <w:lang w:val="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深化设计方案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 xml:space="preserve">   投标人</w:t>
            </w:r>
            <w:r>
              <w:rPr>
                <w:rFonts w:hint="eastAsia" w:ascii="宋体" w:hAnsi="宋体" w:eastAsia="宋体" w:cs="宋体"/>
                <w:color w:val="auto"/>
                <w:sz w:val="21"/>
                <w:szCs w:val="21"/>
                <w:highlight w:val="none"/>
                <w:lang w:val="zh-CN"/>
              </w:rPr>
              <w:t>针对本项目出具设计方案图纸，并对标的场地所做设计的科学性、实用性、与现场的匹配程度、是否符合卫生防疫要求，提供</w:t>
            </w:r>
            <w:r>
              <w:rPr>
                <w:rFonts w:hint="eastAsia" w:ascii="宋体" w:hAnsi="宋体" w:eastAsia="宋体" w:cs="宋体"/>
                <w:color w:val="auto"/>
                <w:sz w:val="21"/>
                <w:szCs w:val="21"/>
                <w:highlight w:val="none"/>
                <w:lang w:val="zh-CN" w:eastAsia="zh-CN"/>
              </w:rPr>
              <w:t>设备平面、土建装修、给水、排水、抽风、鲜风、电路及电系统、照明平面</w:t>
            </w:r>
            <w:r>
              <w:rPr>
                <w:rFonts w:hint="eastAsia" w:ascii="宋体" w:hAnsi="宋体" w:eastAsia="宋体" w:cs="宋体"/>
                <w:color w:val="auto"/>
                <w:sz w:val="21"/>
                <w:szCs w:val="21"/>
                <w:highlight w:val="none"/>
                <w:lang w:val="zh-CN"/>
              </w:rPr>
              <w:t>等图纸合理性进行</w:t>
            </w:r>
            <w:r>
              <w:rPr>
                <w:rFonts w:hint="eastAsia" w:ascii="宋体" w:hAnsi="宋体" w:eastAsia="宋体" w:cs="宋体"/>
                <w:color w:val="auto"/>
                <w:sz w:val="21"/>
                <w:szCs w:val="21"/>
                <w:highlight w:val="none"/>
                <w:lang w:val="en-US" w:eastAsia="zh-CN"/>
              </w:rPr>
              <w:t>综合</w:t>
            </w:r>
            <w:r>
              <w:rPr>
                <w:rFonts w:hint="eastAsia" w:ascii="宋体" w:hAnsi="宋体" w:eastAsia="宋体" w:cs="宋体"/>
                <w:color w:val="auto"/>
                <w:sz w:val="21"/>
                <w:szCs w:val="21"/>
                <w:highlight w:val="none"/>
                <w:lang w:val="zh-CN"/>
              </w:rPr>
              <w:t>评审：</w:t>
            </w:r>
          </w:p>
          <w:p>
            <w:pPr>
              <w:pStyle w:val="36"/>
              <w:keepNext w:val="0"/>
              <w:keepLines w:val="0"/>
              <w:pageBreakBefore w:val="0"/>
              <w:kinsoku/>
              <w:wordWrap/>
              <w:overflowPunct/>
              <w:topLinePunct w:val="0"/>
              <w:autoSpaceDE/>
              <w:autoSpaceDN/>
              <w:bidi w:val="0"/>
              <w:spacing w:line="240" w:lineRule="auto"/>
              <w:ind w:left="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设计方案按照建筑平面图纸且承诺达到市场监督管理局的卫生标准要求，厨房布局设计以及图纸的深化设计非常合理，得</w:t>
            </w:r>
            <w:r>
              <w:rPr>
                <w:rFonts w:hint="eastAsia" w:asci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pStyle w:val="36"/>
              <w:keepNext w:val="0"/>
              <w:keepLines w:val="0"/>
              <w:pageBreakBefore w:val="0"/>
              <w:kinsoku/>
              <w:wordWrap/>
              <w:overflowPunct/>
              <w:topLinePunct w:val="0"/>
              <w:autoSpaceDE/>
              <w:autoSpaceDN/>
              <w:bidi w:val="0"/>
              <w:spacing w:line="240" w:lineRule="auto"/>
              <w:ind w:left="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设计方案按照建筑平面图纸且承诺达到市场监督管理局的卫生标准要求，厨房布局设计以及图纸的深化设计较合理，得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pPr>
              <w:pStyle w:val="36"/>
              <w:keepNext w:val="0"/>
              <w:keepLines w:val="0"/>
              <w:pageBreakBefore w:val="0"/>
              <w:kinsoku/>
              <w:wordWrap/>
              <w:overflowPunct/>
              <w:topLinePunct w:val="0"/>
              <w:autoSpaceDE/>
              <w:autoSpaceDN/>
              <w:bidi w:val="0"/>
              <w:spacing w:line="240" w:lineRule="auto"/>
              <w:ind w:left="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设计方案按照建筑平面图纸且承诺达到市场监督管理局的卫生标准要求，厨房布局设计以及图纸的深化设计基本合理，得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pStyle w:val="36"/>
              <w:keepNext w:val="0"/>
              <w:keepLines w:val="0"/>
              <w:pageBreakBefore w:val="0"/>
              <w:kinsoku/>
              <w:wordWrap/>
              <w:overflowPunct/>
              <w:topLinePunct w:val="0"/>
              <w:autoSpaceDE/>
              <w:autoSpaceDN/>
              <w:bidi w:val="0"/>
              <w:spacing w:line="240" w:lineRule="auto"/>
              <w:ind w:left="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设计方案按照建筑平面图纸但未承诺达到市场监督管理局的卫生标准要求，厨房布局设计以及图纸无深化设计或深化设计不合理，得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right="0" w:right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注：提供深化设计图纸，不提供不得分。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根据供应商提供售后服务方案进行评审：</w:t>
            </w:r>
          </w:p>
          <w:p>
            <w:pPr>
              <w:pStyle w:val="36"/>
              <w:keepNext w:val="0"/>
              <w:keepLines w:val="0"/>
              <w:pageBreakBefore w:val="0"/>
              <w:widowControl/>
              <w:kinsoku/>
              <w:wordWrap/>
              <w:overflowPunct/>
              <w:topLinePunct w:val="0"/>
              <w:autoSpaceDE/>
              <w:autoSpaceDN/>
              <w:bidi w:val="0"/>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售后服务方案非常合理、可行性强、完整性好，得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pStyle w:val="36"/>
              <w:keepNext w:val="0"/>
              <w:keepLines w:val="0"/>
              <w:pageBreakBefore w:val="0"/>
              <w:widowControl/>
              <w:kinsoku/>
              <w:wordWrap/>
              <w:overflowPunct/>
              <w:topLinePunct w:val="0"/>
              <w:autoSpaceDE/>
              <w:autoSpaceDN/>
              <w:bidi w:val="0"/>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方案合理、可行性较强、完整性较好，得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pStyle w:val="36"/>
              <w:keepNext w:val="0"/>
              <w:keepLines w:val="0"/>
              <w:pageBreakBefore w:val="0"/>
              <w:widowControl/>
              <w:kinsoku/>
              <w:wordWrap/>
              <w:overflowPunct/>
              <w:topLinePunct w:val="0"/>
              <w:autoSpaceDE/>
              <w:autoSpaceDN/>
              <w:bidi w:val="0"/>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方案一般、可行性一般、完整性一般，得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36"/>
              <w:keepNext w:val="0"/>
              <w:keepLines w:val="0"/>
              <w:pageBreakBefore w:val="0"/>
              <w:widowControl/>
              <w:kinsoku/>
              <w:wordWrap/>
              <w:overflowPunct/>
              <w:topLinePunct w:val="0"/>
              <w:autoSpaceDE/>
              <w:autoSpaceDN/>
              <w:bidi w:val="0"/>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方案欠合理、可性强不高、有缺漏项，得1分；</w:t>
            </w:r>
          </w:p>
          <w:p>
            <w:pPr>
              <w:keepNext w:val="0"/>
              <w:keepLines w:val="0"/>
              <w:pageBreakBefore w:val="0"/>
              <w:kinsoku/>
              <w:wordWrap/>
              <w:overflowPunct/>
              <w:topLinePunct w:val="0"/>
              <w:autoSpaceDE/>
              <w:autoSpaceDN/>
              <w:bidi w:val="0"/>
              <w:snapToGrid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5"/>
        <w:spacing w:before="0" w:after="0" w:line="240" w:lineRule="auto"/>
        <w:rPr>
          <w:color w:val="auto"/>
          <w:sz w:val="24"/>
          <w:szCs w:val="24"/>
          <w:highlight w:val="none"/>
        </w:rPr>
      </w:pPr>
      <w:bookmarkStart w:id="17" w:name="_Toc2479"/>
      <w:bookmarkStart w:id="18" w:name="_Toc29685"/>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6"/>
        <w:numPr>
          <w:ilvl w:val="0"/>
          <w:numId w:val="0"/>
        </w:numPr>
        <w:spacing w:before="0" w:after="0" w:line="480" w:lineRule="auto"/>
        <w:ind w:leftChars="0"/>
        <w:jc w:val="center"/>
        <w:rPr>
          <w:rFonts w:ascii="宋体" w:hAnsi="宋体" w:eastAsia="宋体"/>
          <w:color w:val="auto"/>
          <w:highlight w:val="none"/>
        </w:rPr>
      </w:pPr>
      <w:bookmarkStart w:id="21" w:name="_Toc19746"/>
      <w:bookmarkStart w:id="22" w:name="_Toc3095"/>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7"/>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18488"/>
      <w:bookmarkStart w:id="26" w:name="_Toc22803"/>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16848"/>
      <w:bookmarkStart w:id="29" w:name="_Toc21002"/>
      <w:r>
        <w:rPr>
          <w:rFonts w:hint="eastAsia" w:ascii="宋体" w:hAnsi="宋体" w:eastAsia="宋体"/>
          <w:color w:val="auto"/>
          <w:sz w:val="21"/>
          <w:szCs w:val="21"/>
          <w:highlight w:val="none"/>
        </w:rPr>
        <w:t>2.</w:t>
      </w:r>
      <w:bookmarkStart w:id="30" w:name="_Toc382049092"/>
      <w:bookmarkStart w:id="31" w:name="_Toc298847174"/>
      <w:bookmarkStart w:id="32" w:name="_Toc1530"/>
      <w:bookmarkStart w:id="33" w:name="_Toc303084246"/>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3780"/>
      <w:bookmarkStart w:id="36" w:name="_Toc9710"/>
      <w:r>
        <w:rPr>
          <w:rFonts w:hint="eastAsia" w:ascii="宋体" w:hAnsi="宋体" w:eastAsia="宋体"/>
          <w:color w:val="auto"/>
          <w:sz w:val="21"/>
          <w:szCs w:val="21"/>
          <w:highlight w:val="none"/>
        </w:rPr>
        <w:t>3.货物和服务</w:t>
      </w:r>
      <w:bookmarkEnd w:id="34"/>
      <w:bookmarkEnd w:id="35"/>
      <w:bookmarkEnd w:id="36"/>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0" w:name="_Toc19532"/>
      <w:bookmarkStart w:id="41" w:name="_Toc25040"/>
      <w:bookmarkStart w:id="42" w:name="_Toc19094"/>
      <w:r>
        <w:rPr>
          <w:rFonts w:hint="eastAsia" w:ascii="宋体" w:hAnsi="宋体" w:eastAsia="宋体"/>
          <w:color w:val="auto"/>
          <w:sz w:val="21"/>
          <w:szCs w:val="21"/>
          <w:highlight w:val="none"/>
        </w:rPr>
        <w:t>5.知识产权</w:t>
      </w:r>
      <w:bookmarkEnd w:id="40"/>
      <w:bookmarkEnd w:id="41"/>
      <w:bookmarkEnd w:id="42"/>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3" w:name="_Toc31885"/>
      <w:bookmarkStart w:id="44" w:name="_Toc21930"/>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7"/>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14217"/>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16712"/>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8092"/>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7934854"/>
      <w:bookmarkStart w:id="66" w:name="_Toc28866"/>
      <w:bookmarkStart w:id="67" w:name="_Toc18999"/>
      <w:bookmarkStart w:id="68" w:name="_Toc7728"/>
      <w:bookmarkStart w:id="69" w:name="_Toc382049103"/>
      <w:bookmarkStart w:id="70" w:name="_Toc12145"/>
      <w:bookmarkStart w:id="71" w:name="_Toc30308425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0189"/>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6535"/>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19520"/>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30257"/>
      <w:bookmarkStart w:id="88" w:name="_Toc25817"/>
      <w:bookmarkStart w:id="89" w:name="_Toc12456"/>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24109"/>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82049111"/>
      <w:bookmarkStart w:id="95" w:name="_Toc473"/>
      <w:bookmarkStart w:id="96" w:name="_Toc23678"/>
      <w:bookmarkStart w:id="97" w:name="_Toc24997"/>
      <w:bookmarkStart w:id="98" w:name="_Toc29590"/>
      <w:bookmarkStart w:id="99" w:name="_Toc303084264"/>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19649"/>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5900"/>
      <w:bookmarkStart w:id="107" w:name="_Toc382049112"/>
      <w:bookmarkStart w:id="108" w:name="_Toc23477"/>
      <w:bookmarkStart w:id="109" w:name="_Toc7689"/>
      <w:bookmarkStart w:id="110" w:name="_Toc9777"/>
      <w:bookmarkStart w:id="111" w:name="_Toc303084265"/>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600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23466"/>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7700"/>
      <w:bookmarkStart w:id="120" w:name="_Toc24251"/>
      <w:r>
        <w:rPr>
          <w:rFonts w:hint="eastAsia" w:ascii="宋体" w:hAnsi="宋体" w:eastAsia="宋体"/>
          <w:color w:val="auto"/>
          <w:sz w:val="21"/>
          <w:szCs w:val="21"/>
          <w:highlight w:val="none"/>
        </w:rPr>
        <w:t>22.开标</w:t>
      </w:r>
      <w:bookmarkEnd w:id="118"/>
      <w:bookmarkEnd w:id="119"/>
      <w:bookmarkEnd w:id="120"/>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26402"/>
      <w:bookmarkStart w:id="126" w:name="_Toc32730"/>
      <w:r>
        <w:rPr>
          <w:rFonts w:hint="eastAsia" w:ascii="宋体" w:hAnsi="宋体" w:eastAsia="宋体"/>
          <w:color w:val="auto"/>
          <w:sz w:val="21"/>
          <w:szCs w:val="21"/>
          <w:highlight w:val="none"/>
        </w:rPr>
        <w:t>24.评审原则及评标过程的保密</w:t>
      </w:r>
      <w:bookmarkEnd w:id="124"/>
      <w:bookmarkEnd w:id="125"/>
      <w:bookmarkEnd w:id="12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8436"/>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7673"/>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22192"/>
      <w:bookmarkStart w:id="134" w:name="_Toc17683"/>
      <w:bookmarkStart w:id="135" w:name="_Toc7593"/>
      <w:r>
        <w:rPr>
          <w:rFonts w:hint="eastAsia" w:ascii="宋体" w:hAnsi="宋体" w:eastAsia="宋体"/>
          <w:color w:val="auto"/>
          <w:sz w:val="21"/>
          <w:szCs w:val="21"/>
          <w:highlight w:val="none"/>
        </w:rPr>
        <w:t>27.优惠政策</w:t>
      </w:r>
      <w:bookmarkEnd w:id="133"/>
      <w:bookmarkEnd w:id="134"/>
      <w:bookmarkEnd w:id="13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31141"/>
      <w:bookmarkStart w:id="138" w:name="_Toc20328"/>
      <w:bookmarkStart w:id="139" w:name="_Toc22591"/>
      <w:bookmarkStart w:id="140" w:name="_Toc12115"/>
      <w:bookmarkStart w:id="141" w:name="_Toc382049120"/>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42" w:name="_Toc29310"/>
      <w:bookmarkStart w:id="143" w:name="_Toc5528"/>
      <w:bookmarkStart w:id="144" w:name="_Toc12251"/>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17778"/>
      <w:bookmarkStart w:id="147" w:name="_Toc6696"/>
      <w:bookmarkStart w:id="148" w:name="_Toc27817"/>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508284013"/>
      <w:bookmarkStart w:id="150" w:name="_Toc23136"/>
      <w:bookmarkStart w:id="151" w:name="_Toc12440"/>
      <w:bookmarkStart w:id="152" w:name="_Toc29283"/>
      <w:r>
        <w:rPr>
          <w:rFonts w:hint="eastAsia" w:ascii="宋体" w:hAnsi="宋体" w:eastAsia="宋体"/>
          <w:color w:val="auto"/>
          <w:sz w:val="21"/>
          <w:szCs w:val="21"/>
          <w:highlight w:val="none"/>
        </w:rPr>
        <w:t>30.发布采购结果</w:t>
      </w:r>
      <w:bookmarkEnd w:id="149"/>
      <w:bookmarkEnd w:id="150"/>
      <w:bookmarkEnd w:id="151"/>
      <w:bookmarkEnd w:id="15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262"/>
      <w:bookmarkStart w:id="154" w:name="_Toc27279"/>
      <w:bookmarkStart w:id="155" w:name="_Toc22451"/>
      <w:r>
        <w:rPr>
          <w:rFonts w:hint="eastAsia" w:ascii="宋体" w:hAnsi="宋体" w:eastAsia="宋体"/>
          <w:color w:val="auto"/>
          <w:sz w:val="21"/>
          <w:szCs w:val="21"/>
          <w:highlight w:val="none"/>
        </w:rPr>
        <w:t>31.合同的签订与履行</w:t>
      </w:r>
      <w:bookmarkEnd w:id="153"/>
      <w:bookmarkEnd w:id="154"/>
      <w:bookmarkEnd w:id="15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7405"/>
      <w:bookmarkStart w:id="157" w:name="_Toc25756"/>
      <w:bookmarkStart w:id="158" w:name="_Toc303084277"/>
      <w:bookmarkStart w:id="159" w:name="_Toc2744"/>
      <w:bookmarkStart w:id="160" w:name="_Toc29009"/>
      <w:bookmarkStart w:id="161" w:name="_Toc38204912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62" w:name="_Toc13694"/>
      <w:bookmarkStart w:id="163" w:name="_Toc7360"/>
      <w:bookmarkStart w:id="164"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2900"/>
      <w:bookmarkStart w:id="166" w:name="_Toc17974"/>
      <w:bookmarkStart w:id="167" w:name="_Toc25498"/>
      <w:r>
        <w:rPr>
          <w:rFonts w:hint="eastAsia" w:ascii="宋体" w:hAnsi="宋体" w:eastAsia="宋体"/>
          <w:color w:val="auto"/>
          <w:sz w:val="21"/>
          <w:szCs w:val="21"/>
          <w:highlight w:val="none"/>
        </w:rPr>
        <w:t>33.询问</w:t>
      </w:r>
      <w:bookmarkEnd w:id="165"/>
      <w:bookmarkEnd w:id="166"/>
      <w:bookmarkEnd w:id="167"/>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11264"/>
      <w:bookmarkStart w:id="169" w:name="_Toc8234"/>
      <w:bookmarkStart w:id="170" w:name="_Toc2767"/>
      <w:r>
        <w:rPr>
          <w:rFonts w:hint="eastAsia" w:ascii="宋体" w:hAnsi="宋体" w:eastAsia="宋体"/>
          <w:color w:val="auto"/>
          <w:sz w:val="21"/>
          <w:szCs w:val="21"/>
          <w:highlight w:val="none"/>
        </w:rPr>
        <w:t>34.质疑</w:t>
      </w:r>
      <w:bookmarkEnd w:id="168"/>
      <w:bookmarkEnd w:id="169"/>
      <w:bookmarkEnd w:id="170"/>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71" w:name="_Toc8919"/>
      <w:bookmarkStart w:id="172" w:name="_Toc24383"/>
      <w:bookmarkStart w:id="173"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6548"/>
      <w:bookmarkStart w:id="175" w:name="_Toc21187"/>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5"/>
        <w:spacing w:before="0" w:after="0" w:line="240" w:lineRule="auto"/>
        <w:rPr>
          <w:rFonts w:hint="eastAsia"/>
          <w:color w:val="auto"/>
          <w:sz w:val="28"/>
          <w:szCs w:val="28"/>
          <w:highlight w:val="none"/>
        </w:rPr>
      </w:pPr>
      <w:bookmarkStart w:id="177" w:name="_Toc382"/>
      <w:bookmarkStart w:id="178" w:name="_Toc31854"/>
      <w:bookmarkStart w:id="179"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3"/>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供货期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合同签订后30天内完成项目实施及验收合格。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完成项目实施及验收合格后支付合同总价的95%，质保期满后支付合同总价的5%。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项目验收合格之日起1年。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pStyle w:val="2"/>
        <w:rPr>
          <w:rFonts w:hint="eastAsia"/>
          <w:color w:val="auto"/>
          <w:highlight w:val="none"/>
          <w:lang w:val="en-US" w:eastAsia="zh-CN"/>
        </w:rPr>
      </w:pPr>
    </w:p>
    <w:p>
      <w:pPr>
        <w:pStyle w:val="3"/>
        <w:rPr>
          <w:rFonts w:hint="eastAsia"/>
          <w:color w:val="auto"/>
          <w:highlight w:val="none"/>
          <w:lang w:val="en-US" w:eastAsia="zh-CN"/>
        </w:rPr>
      </w:pPr>
    </w:p>
    <w:p>
      <w:pPr>
        <w:pStyle w:val="3"/>
        <w:rPr>
          <w:rFonts w:hint="eastAsia"/>
          <w:color w:val="auto"/>
          <w:highlight w:val="none"/>
          <w:lang w:val="en-US" w:eastAsia="zh-CN"/>
        </w:rPr>
      </w:pPr>
    </w:p>
    <w:p>
      <w:pPr>
        <w:pStyle w:val="3"/>
        <w:rPr>
          <w:rFonts w:hint="eastAsia"/>
          <w:color w:val="auto"/>
          <w:highlight w:val="none"/>
          <w:lang w:val="en-US" w:eastAsia="zh-CN"/>
        </w:rPr>
      </w:pPr>
    </w:p>
    <w:p>
      <w:pPr>
        <w:pStyle w:val="3"/>
        <w:rPr>
          <w:rFonts w:hint="eastAsia"/>
          <w:color w:val="auto"/>
          <w:highlight w:val="none"/>
          <w:lang w:val="en-US" w:eastAsia="zh-CN"/>
        </w:rPr>
      </w:pPr>
    </w:p>
    <w:p>
      <w:pPr>
        <w:pStyle w:val="3"/>
        <w:rPr>
          <w:rFonts w:hint="eastAsia"/>
          <w:color w:val="auto"/>
          <w:highlight w:val="none"/>
          <w:lang w:val="en-US" w:eastAsia="zh-CN"/>
        </w:rPr>
      </w:pPr>
    </w:p>
    <w:p>
      <w:pPr>
        <w:pStyle w:val="3"/>
        <w:rPr>
          <w:rFonts w:hint="eastAsia"/>
          <w:color w:val="auto"/>
          <w:highlight w:val="none"/>
          <w:lang w:val="en-US" w:eastAsia="zh-CN"/>
        </w:rPr>
      </w:pPr>
    </w:p>
    <w:p>
      <w:pPr>
        <w:rPr>
          <w:rFonts w:hint="eastAsia"/>
          <w:color w:val="auto"/>
          <w:highlight w:val="none"/>
          <w:lang w:val="en-US" w:eastAsia="zh-CN"/>
        </w:rPr>
      </w:pPr>
    </w:p>
    <w:p>
      <w:pPr>
        <w:pStyle w:val="6"/>
        <w:keepNext/>
        <w:keepLines/>
        <w:pageBreakBefore w:val="0"/>
        <w:widowControl/>
        <w:numPr>
          <w:ilvl w:val="0"/>
          <w:numId w:val="9"/>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1" w:name="_Toc19316"/>
      <w:r>
        <w:rPr>
          <w:rFonts w:hint="eastAsia" w:ascii="宋体" w:hAnsi="宋体"/>
          <w:color w:val="auto"/>
          <w:highlight w:val="none"/>
          <w:lang w:val="en-US" w:eastAsia="zh-CN"/>
        </w:rPr>
        <w:t>技术需求书</w:t>
      </w:r>
      <w:bookmarkEnd w:id="181"/>
    </w:p>
    <w:p>
      <w:pPr>
        <w:pStyle w:val="7"/>
        <w:bidi w:val="0"/>
        <w:rPr>
          <w:rFonts w:hint="default"/>
          <w:color w:val="auto"/>
          <w:highlight w:val="none"/>
          <w:lang w:val="en-US" w:eastAsia="zh-CN"/>
        </w:rPr>
      </w:pPr>
      <w:r>
        <w:rPr>
          <w:rFonts w:hint="eastAsia"/>
          <w:color w:val="auto"/>
          <w:highlight w:val="none"/>
          <w:lang w:val="en-US" w:eastAsia="zh-CN"/>
        </w:rPr>
        <w:t>一、采购清单</w:t>
      </w:r>
    </w:p>
    <w:tbl>
      <w:tblPr>
        <w:tblStyle w:val="23"/>
        <w:tblW w:w="0" w:type="auto"/>
        <w:tblInd w:w="21" w:type="dxa"/>
        <w:shd w:val="clear" w:color="auto" w:fill="auto"/>
        <w:tblLayout w:type="fixed"/>
        <w:tblCellMar>
          <w:top w:w="0" w:type="dxa"/>
          <w:left w:w="0" w:type="dxa"/>
          <w:bottom w:w="0" w:type="dxa"/>
          <w:right w:w="0" w:type="dxa"/>
        </w:tblCellMar>
      </w:tblPr>
      <w:tblGrid>
        <w:gridCol w:w="705"/>
        <w:gridCol w:w="1588"/>
        <w:gridCol w:w="1715"/>
        <w:gridCol w:w="580"/>
        <w:gridCol w:w="472"/>
        <w:gridCol w:w="3255"/>
      </w:tblGrid>
      <w:tr>
        <w:tblPrEx>
          <w:shd w:val="clear" w:color="auto" w:fill="auto"/>
          <w:tblCellMar>
            <w:top w:w="0" w:type="dxa"/>
            <w:left w:w="0" w:type="dxa"/>
            <w:bottom w:w="0" w:type="dxa"/>
            <w:right w:w="0" w:type="dxa"/>
          </w:tblCellMar>
        </w:tblPrEx>
        <w:trPr>
          <w:trHeight w:val="420" w:hRule="atLeast"/>
        </w:trPr>
        <w:tc>
          <w:tcPr>
            <w:tcW w:w="831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bookmarkStart w:id="182" w:name="_Toc24679"/>
            <w:bookmarkStart w:id="183" w:name="_Toc31278"/>
            <w:bookmarkStart w:id="184" w:name="_Toc13112"/>
            <w:bookmarkStart w:id="185" w:name="_Toc14462"/>
            <w:r>
              <w:rPr>
                <w:rFonts w:hint="eastAsia" w:ascii="宋体" w:hAnsi="宋体" w:eastAsia="宋体" w:cs="宋体"/>
                <w:b/>
                <w:i w:val="0"/>
                <w:color w:val="auto"/>
                <w:kern w:val="0"/>
                <w:sz w:val="21"/>
                <w:szCs w:val="21"/>
                <w:highlight w:val="none"/>
                <w:u w:val="none"/>
                <w:lang w:val="en-US" w:eastAsia="zh-CN" w:bidi="ar"/>
              </w:rPr>
              <w:t>采购清单</w:t>
            </w:r>
          </w:p>
        </w:tc>
      </w:tr>
      <w:tr>
        <w:tblPrEx>
          <w:shd w:val="clear" w:color="auto" w:fill="auto"/>
          <w:tblCellMar>
            <w:top w:w="0" w:type="dxa"/>
            <w:left w:w="0" w:type="dxa"/>
            <w:bottom w:w="0" w:type="dxa"/>
            <w:right w:w="0" w:type="dxa"/>
          </w:tblCellMar>
        </w:tblPrEx>
        <w:trPr>
          <w:trHeight w:val="380" w:hRule="atLeast"/>
        </w:trPr>
        <w:tc>
          <w:tcPr>
            <w:tcW w:w="831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工程名称：横沥卫生服务中心</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序号</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设备名称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规格</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数量</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单位</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设备描述</w:t>
            </w:r>
          </w:p>
        </w:tc>
      </w:tr>
      <w:tr>
        <w:tblPrEx>
          <w:shd w:val="clear" w:color="auto" w:fill="auto"/>
          <w:tblCellMar>
            <w:top w:w="0" w:type="dxa"/>
            <w:left w:w="0" w:type="dxa"/>
            <w:bottom w:w="0" w:type="dxa"/>
            <w:right w:w="0" w:type="dxa"/>
          </w:tblCellMar>
        </w:tblPrEx>
        <w:trPr>
          <w:trHeight w:val="402"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收货、仓库、粗加工</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挡鼠板</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1200*500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采用1.2mm厚304＃磨沙贴塑不锈钢板；</w:t>
            </w:r>
          </w:p>
        </w:tc>
      </w:tr>
      <w:tr>
        <w:tblPrEx>
          <w:shd w:val="clear" w:color="auto" w:fill="auto"/>
          <w:tblCellMar>
            <w:top w:w="0" w:type="dxa"/>
            <w:left w:w="0" w:type="dxa"/>
            <w:bottom w:w="0" w:type="dxa"/>
            <w:right w:w="0" w:type="dxa"/>
          </w:tblCellMar>
        </w:tblPrEx>
        <w:trPr>
          <w:trHeight w:val="37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风幕机</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L=1200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灭蝇灯</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LED，6W/220V</w:t>
            </w:r>
          </w:p>
        </w:tc>
      </w:tr>
      <w:tr>
        <w:tblPrEx>
          <w:shd w:val="clear" w:color="auto" w:fill="auto"/>
          <w:tblCellMar>
            <w:top w:w="0" w:type="dxa"/>
            <w:left w:w="0" w:type="dxa"/>
            <w:bottom w:w="0" w:type="dxa"/>
            <w:right w:w="0" w:type="dxa"/>
          </w:tblCellMar>
        </w:tblPrEx>
        <w:trPr>
          <w:trHeight w:val="135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三星盆台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1800*760*950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面用1.5mm厚304＃磨沙贴塑不锈钢板；台脚采用38*38*1.2mm不锈钢方通，配不锈钢可调子弹脚, 支架横通采用38*25mm不锈钢方通；配不锈钢下水器，排水管采用PVC水管直下式。</w:t>
            </w:r>
          </w:p>
        </w:tc>
      </w:tr>
      <w:tr>
        <w:tblPrEx>
          <w:shd w:val="clear" w:color="auto" w:fill="auto"/>
          <w:tblCellMar>
            <w:top w:w="0" w:type="dxa"/>
            <w:left w:w="0" w:type="dxa"/>
            <w:bottom w:w="0" w:type="dxa"/>
            <w:right w:w="0" w:type="dxa"/>
          </w:tblCellMar>
        </w:tblPrEx>
        <w:trPr>
          <w:trHeight w:val="10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双层工作台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1500*760*950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面板1.2mm厚304＃磨沙贴塑不锈钢板，层板厚1.0mm304#不锈钢板；面底下加15mm木板加固，台脚采用38×38mm不锈钢方通，配不锈钢可调子弹脚。</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四层层架</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1200*500*1500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件</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38×38×1.2mm不锈钢方管主架，排骨形面层，不锈钢可调节螺脚。</w:t>
            </w:r>
          </w:p>
        </w:tc>
      </w:tr>
      <w:tr>
        <w:tblPrEx>
          <w:shd w:val="clear" w:color="auto" w:fill="auto"/>
          <w:tblCellMar>
            <w:top w:w="0" w:type="dxa"/>
            <w:left w:w="0" w:type="dxa"/>
            <w:bottom w:w="0" w:type="dxa"/>
            <w:right w:w="0" w:type="dxa"/>
          </w:tblCellMar>
        </w:tblPrEx>
        <w:trPr>
          <w:trHeight w:val="135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单星盆台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1200*760*950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面用1.5mm厚304＃磨沙贴塑不锈钢板；台脚采用38*38*1.2mm不锈钢方通，配不锈钢可调子弹脚, 支架横通采用38*25mm不锈钢方通；配不锈钢下水器，排水管采用PVC水管直下式。</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A08</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热水器连底座</w:t>
            </w:r>
          </w:p>
        </w:tc>
        <w:tc>
          <w:tcPr>
            <w:tcW w:w="1715"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9KW/380V</w:t>
            </w:r>
          </w:p>
        </w:tc>
      </w:tr>
      <w:tr>
        <w:tblPrEx>
          <w:shd w:val="clear" w:color="auto" w:fill="auto"/>
          <w:tblCellMar>
            <w:top w:w="0" w:type="dxa"/>
            <w:left w:w="0" w:type="dxa"/>
            <w:bottom w:w="0" w:type="dxa"/>
            <w:right w:w="0" w:type="dxa"/>
          </w:tblCellMar>
        </w:tblPrEx>
        <w:trPr>
          <w:trHeight w:val="21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A09</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四门高身雪柜（双温）</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1210*760*1990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暗管双机双温，内外箱不锈钢板材，背板镀锌板；制冷系统全铜管；柜体整体发泡，环保制冷剂；自动回归门设计，有效防止冷量流失，存取物品方便自如；柜脚采用不锈钢重型子弹脚，数字控温系统，液晶数字清晰显示温度；高强度浸塑储物层架；名牌压缩机。温度：上门+2~+8</w:t>
            </w:r>
            <w:r>
              <w:rPr>
                <w:rStyle w:val="58"/>
                <w:rFonts w:hint="eastAsia" w:ascii="宋体" w:hAnsi="宋体" w:eastAsia="宋体" w:cs="宋体"/>
                <w:color w:val="auto"/>
                <w:sz w:val="21"/>
                <w:szCs w:val="21"/>
                <w:highlight w:val="none"/>
                <w:lang w:val="en-US" w:eastAsia="zh-CN" w:bidi="ar"/>
              </w:rPr>
              <w:t>℃</w:t>
            </w:r>
            <w:r>
              <w:rPr>
                <w:rStyle w:val="59"/>
                <w:rFonts w:hint="eastAsia" w:ascii="宋体" w:hAnsi="宋体" w:eastAsia="宋体" w:cs="宋体"/>
                <w:color w:val="auto"/>
                <w:sz w:val="21"/>
                <w:szCs w:val="21"/>
                <w:highlight w:val="none"/>
                <w:lang w:val="en-US" w:eastAsia="zh-CN" w:bidi="ar"/>
              </w:rPr>
              <w:t>，下门-12~0</w:t>
            </w:r>
            <w:r>
              <w:rPr>
                <w:rStyle w:val="58"/>
                <w:rFonts w:hint="eastAsia" w:ascii="宋体" w:hAnsi="宋体" w:eastAsia="宋体" w:cs="宋体"/>
                <w:color w:val="auto"/>
                <w:sz w:val="21"/>
                <w:szCs w:val="21"/>
                <w:highlight w:val="none"/>
                <w:lang w:val="en-US" w:eastAsia="zh-CN" w:bidi="ar"/>
              </w:rPr>
              <w:t>℃</w:t>
            </w:r>
            <w:r>
              <w:rPr>
                <w:rStyle w:val="59"/>
                <w:rFonts w:hint="eastAsia" w:ascii="宋体" w:hAnsi="宋体" w:eastAsia="宋体" w:cs="宋体"/>
                <w:color w:val="auto"/>
                <w:sz w:val="21"/>
                <w:szCs w:val="21"/>
                <w:highlight w:val="none"/>
                <w:lang w:val="en-US" w:eastAsia="zh-CN" w:bidi="ar"/>
              </w:rPr>
              <w:t>。</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A10</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灭蝇灯</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LED，6W/220V</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A11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四层层架</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1200*500*1500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件</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38×38×1.2mm不锈钢方管主架，排骨形面层，不锈钢可调节螺脚。         </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A12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挡鼠板</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采用1.2mm厚304＃磨沙贴塑不锈钢板；</w:t>
            </w:r>
          </w:p>
        </w:tc>
      </w:tr>
      <w:tr>
        <w:tblPrEx>
          <w:shd w:val="clear" w:color="auto" w:fill="auto"/>
          <w:tblCellMar>
            <w:top w:w="0" w:type="dxa"/>
            <w:left w:w="0" w:type="dxa"/>
            <w:bottom w:w="0" w:type="dxa"/>
            <w:right w:w="0" w:type="dxa"/>
          </w:tblCellMar>
        </w:tblPrEx>
        <w:trPr>
          <w:trHeight w:val="402"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洗碗区</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灭蝇灯</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LED，6W/220V</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四层层架</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1200*500*1500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件</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38×38×1.2mm不锈钢方管主架，排骨形面层，不锈钢可调节螺脚。</w:t>
            </w:r>
          </w:p>
        </w:tc>
      </w:tr>
      <w:tr>
        <w:tblPrEx>
          <w:shd w:val="clear" w:color="auto" w:fill="auto"/>
          <w:tblCellMar>
            <w:top w:w="0" w:type="dxa"/>
            <w:left w:w="0" w:type="dxa"/>
            <w:bottom w:w="0" w:type="dxa"/>
            <w:right w:w="0" w:type="dxa"/>
          </w:tblCellMar>
        </w:tblPrEx>
        <w:trPr>
          <w:trHeight w:val="135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三星盆台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1800*760*950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面用1.5mm厚304＃磨沙贴塑不锈钢板；台脚采用38*38*1.2mm不锈钢方通，配不锈钢可调子弹脚, 支架横通采用38*25mm不锈钢方通；配不锈钢下水器，排水管采用PVC水管直下式。</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挂墙热水器</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6KW/380V</w:t>
            </w:r>
          </w:p>
        </w:tc>
      </w:tr>
      <w:tr>
        <w:tblPrEx>
          <w:shd w:val="clear" w:color="auto" w:fill="auto"/>
          <w:tblCellMar>
            <w:top w:w="0" w:type="dxa"/>
            <w:left w:w="0" w:type="dxa"/>
            <w:bottom w:w="0" w:type="dxa"/>
            <w:right w:w="0" w:type="dxa"/>
          </w:tblCellMar>
        </w:tblPrEx>
        <w:trPr>
          <w:trHeight w:val="10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双层工作台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1400*760*950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面板1.2mm厚304＃磨沙贴塑不锈钢板，层板厚1.0mm304#不锈钢板；面底下加15mm木板加固，台脚采用38×38mm不锈钢方通，配不锈钢可调子弹脚。</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双门消毒柜</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1330*620*1830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功率：4.7KW/380V，内置2个筷子篮/6个拉篮。</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灭蝇灯</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LED，6W/220V</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B08</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挡鼠板</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L=1000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采用1.2mm厚304＃磨沙贴塑不锈钢板；</w:t>
            </w:r>
          </w:p>
        </w:tc>
      </w:tr>
      <w:tr>
        <w:tblPrEx>
          <w:shd w:val="clear" w:color="auto" w:fill="auto"/>
          <w:tblCellMar>
            <w:top w:w="0" w:type="dxa"/>
            <w:left w:w="0" w:type="dxa"/>
            <w:bottom w:w="0" w:type="dxa"/>
            <w:right w:w="0" w:type="dxa"/>
          </w:tblCellMar>
        </w:tblPrEx>
        <w:trPr>
          <w:trHeight w:val="81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B09</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双孔残渣收集柜</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1200*700*800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采用1.2mm厚304#不锈钢磨砂板；柜式掩门，漏斗型面板，配两个4"定向重型脚轮、两个4″带刹车万向重型脚轮。</w:t>
            </w:r>
          </w:p>
        </w:tc>
      </w:tr>
      <w:tr>
        <w:tblPrEx>
          <w:shd w:val="clear" w:color="auto" w:fill="auto"/>
          <w:tblCellMar>
            <w:top w:w="0" w:type="dxa"/>
            <w:left w:w="0" w:type="dxa"/>
            <w:bottom w:w="0" w:type="dxa"/>
            <w:right w:w="0" w:type="dxa"/>
          </w:tblCellMar>
        </w:tblPrEx>
        <w:trPr>
          <w:trHeight w:val="81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B10</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收污车</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810*610*800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采用1.0mm厚304＃磨沙贴塑不锈钢板；配两个4"定向重型脚轮、两个4″带刹车万向重型脚轮。</w:t>
            </w:r>
          </w:p>
        </w:tc>
      </w:tr>
      <w:tr>
        <w:tblPrEx>
          <w:shd w:val="clear" w:color="auto" w:fill="auto"/>
          <w:tblCellMar>
            <w:top w:w="0" w:type="dxa"/>
            <w:left w:w="0" w:type="dxa"/>
            <w:bottom w:w="0" w:type="dxa"/>
            <w:right w:w="0" w:type="dxa"/>
          </w:tblCellMar>
        </w:tblPrEx>
        <w:trPr>
          <w:trHeight w:val="402"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烹调区</w:t>
            </w:r>
          </w:p>
        </w:tc>
      </w:tr>
      <w:tr>
        <w:tblPrEx>
          <w:shd w:val="clear" w:color="auto" w:fill="auto"/>
          <w:tblCellMar>
            <w:top w:w="0" w:type="dxa"/>
            <w:left w:w="0" w:type="dxa"/>
            <w:bottom w:w="0" w:type="dxa"/>
            <w:right w:w="0" w:type="dxa"/>
          </w:tblCellMar>
        </w:tblPrEx>
        <w:trPr>
          <w:trHeight w:val="81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送餐车</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800*600*800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采用1.2mm304＃磨砂贴塑不锈钢板；38×38mm不锈钢管，两个4"定向活动轮，两个4"带刹车万向活动轮。</w:t>
            </w:r>
          </w:p>
        </w:tc>
      </w:tr>
      <w:tr>
        <w:tblPrEx>
          <w:shd w:val="clear" w:color="auto" w:fill="auto"/>
          <w:tblCellMar>
            <w:top w:w="0" w:type="dxa"/>
            <w:left w:w="0" w:type="dxa"/>
            <w:bottom w:w="0" w:type="dxa"/>
            <w:right w:w="0" w:type="dxa"/>
          </w:tblCellMar>
        </w:tblPrEx>
        <w:trPr>
          <w:trHeight w:val="65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双通荷台柜</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2000*800*800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1.面板1.2mm厚304＃磨沙贴塑不锈钢板；下加15mm厚木板；柜围身采用304#δ1.2mm贴塑不锈钢砂板；门及层板1.0mm不锈钢，加固材料不锈钢机制件；∮51mm不锈钢调节脚；双面趟门结构。            2.▲产品符合《不锈钢厨房设备 操作台》QB/T 2139.5-1995依据要求，并提供双通荷台柜的检测报告复印件，并加盖投标人公章。</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上门下洞传递窗</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1200*300*1700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采用1.0mm304#不锈钢板；75*45mm不锈钢管加固。</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不锈钢油网烟罩</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4320*1400*610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4.3</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采用1.2mm厚304＃磨沙贴塑不锈钢板制作；配迷宫式隔油网。</w:t>
            </w:r>
          </w:p>
        </w:tc>
      </w:tr>
      <w:tr>
        <w:tblPrEx>
          <w:shd w:val="clear" w:color="auto" w:fill="auto"/>
          <w:tblCellMar>
            <w:top w:w="0" w:type="dxa"/>
            <w:left w:w="0" w:type="dxa"/>
            <w:bottom w:w="0" w:type="dxa"/>
            <w:right w:w="0" w:type="dxa"/>
          </w:tblCellMar>
        </w:tblPrEx>
        <w:trPr>
          <w:trHeight w:val="3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电磁单头矮汤炉</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650*750*1200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1.面板采用1.52mm厚304#磨砂贴塑不锈钢板制作；侧板及围板1.0mm不锈钢板，Ø51不锈钢圆通管，配可调子弹脚。功率：15KW/380V。                </w:t>
            </w:r>
          </w:p>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2.▲本产品使用的汤桶，需符合按国家标准依据GB 4806.9-2016,并提供商用电磁炉-汤桶的检测报告复印件，并加盖投标人公章。                           3.▲产品符合国家检测标准，依据GB 4706.1-2005，GB 4706.52-2008检测要求，提供商用电磁炉的检测报告复印件，并加盖投标人公章。</w:t>
            </w:r>
          </w:p>
        </w:tc>
      </w:tr>
      <w:tr>
        <w:tblPrEx>
          <w:shd w:val="clear" w:color="auto" w:fill="auto"/>
          <w:tblCellMar>
            <w:top w:w="0" w:type="dxa"/>
            <w:left w:w="0" w:type="dxa"/>
            <w:bottom w:w="0" w:type="dxa"/>
            <w:right w:w="0" w:type="dxa"/>
          </w:tblCellMar>
        </w:tblPrEx>
        <w:trPr>
          <w:trHeight w:val="1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电磁双头小炒炉</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2000*1100*1200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面板采用1.5mm厚304＃磨沙贴塑不锈钢板，侧板及围板1.0mm不锈钢板，Ø51不锈钢圆通管，配可调子弹脚。功率：15KW*2/380V。                 </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拼板</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300*1100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采用1.2mm厚304＃磨沙贴塑不锈钢板；</w:t>
            </w:r>
          </w:p>
        </w:tc>
      </w:tr>
      <w:tr>
        <w:tblPrEx>
          <w:shd w:val="clear" w:color="auto" w:fill="auto"/>
          <w:tblCellMar>
            <w:top w:w="0" w:type="dxa"/>
            <w:left w:w="0" w:type="dxa"/>
            <w:bottom w:w="0" w:type="dxa"/>
            <w:right w:w="0" w:type="dxa"/>
          </w:tblCellMar>
        </w:tblPrEx>
        <w:trPr>
          <w:trHeight w:val="36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C08</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电单门蒸箱</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680*540*1000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1.功率：9KW/380V，一次可蒸6盆，可供120-150人用。                    2.▲产品内壁与所使用饭盘，符合国家检测标准，并依据GB 4806.9-2016，提供蒸饭箱-饭盘、内壁的检测报告复印件，并加盖投标人公章。                               3.▲提供电热食品加工设备-蒸汽炊具——全国工业产品生产许可证复印件，并加盖投标人公章。                         4.▲产品符合国家检测标准，依据GB 4706.1-2005，GB 4706.34-2008检测要求，提供电蒸箱的检测报告复印件，并加盖投标人公章。                </w:t>
            </w:r>
          </w:p>
        </w:tc>
      </w:tr>
      <w:tr>
        <w:tblPrEx>
          <w:shd w:val="clear" w:color="auto" w:fill="auto"/>
          <w:tblCellMar>
            <w:top w:w="0" w:type="dxa"/>
            <w:left w:w="0" w:type="dxa"/>
            <w:bottom w:w="0" w:type="dxa"/>
            <w:right w:w="0" w:type="dxa"/>
          </w:tblCellMar>
        </w:tblPrEx>
        <w:trPr>
          <w:trHeight w:val="27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C09</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封墙钢</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L=4300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8.6</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平方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采用1.0mm304＃不锈钢板制作；</w:t>
            </w:r>
          </w:p>
        </w:tc>
      </w:tr>
      <w:tr>
        <w:tblPrEx>
          <w:shd w:val="clear" w:color="auto" w:fill="auto"/>
          <w:tblCellMar>
            <w:top w:w="0" w:type="dxa"/>
            <w:left w:w="0" w:type="dxa"/>
            <w:bottom w:w="0" w:type="dxa"/>
            <w:right w:w="0" w:type="dxa"/>
          </w:tblCellMar>
        </w:tblPrEx>
        <w:trPr>
          <w:trHeight w:val="402"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备餐间</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脚踏式单星洗手星</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500*450*250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面1.2mm厚304＃磨沙贴塑不锈钢板；不锈钢机制件加固。</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烘手机</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功率：1200W/220V</w:t>
            </w:r>
          </w:p>
        </w:tc>
      </w:tr>
      <w:tr>
        <w:tblPrEx>
          <w:shd w:val="clear" w:color="auto" w:fill="auto"/>
          <w:tblCellMar>
            <w:top w:w="0" w:type="dxa"/>
            <w:left w:w="0" w:type="dxa"/>
            <w:bottom w:w="0" w:type="dxa"/>
            <w:right w:w="0" w:type="dxa"/>
          </w:tblCellMar>
        </w:tblPrEx>
        <w:trPr>
          <w:trHeight w:val="5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●五格电热汤池台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1800*700*800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1.台面采用304#1.2mm厚优质不锈钢板；水箱采用1.0mm厚优质不锈钢板,脚用φ51*1.2mm厚优质不锈钢管，下加可调节子弹脚,配4kw/220v发热丝及4个嵌入式1/1份数盆连盖。                           2.▲产品配件带灯密封式防水开关，检测依据GB/T 2423.34-2012测试方法，在温度25℃±2℃，湿度93%±3%，在2.5H温度升到65℃±2℃，湿度93%±3%后，保持24小时的要求，试验后，无开裂，无变形，按键正常使用。提供带灯密封式防水开关的检测报告复印件，并加盖投标人公章。                   3.▲产品配件防腐无缝式发热管，检测依据GB/T 2423.34-2012测试方法，在温度25℃±2℃，湿度93%±3%，在2.5H温度升到65℃±2℃，湿度93%±3%后，保持24小时的要求，试验后，外观无开裂，无变形。提供防腐无缝式发热管                  的检测报告复印件，并加盖投标人公章。</w:t>
            </w:r>
          </w:p>
        </w:tc>
      </w:tr>
      <w:tr>
        <w:tblPrEx>
          <w:shd w:val="clear" w:color="auto" w:fill="auto"/>
          <w:tblCellMar>
            <w:top w:w="0" w:type="dxa"/>
            <w:left w:w="0" w:type="dxa"/>
            <w:bottom w:w="0" w:type="dxa"/>
            <w:right w:w="0" w:type="dxa"/>
          </w:tblCellMar>
        </w:tblPrEx>
        <w:trPr>
          <w:trHeight w:val="10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双层工作台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1000*700*800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面板1.2mm厚304＃磨沙贴塑不锈钢板，层板厚1.0mm304#不锈钢板；面底下加15mm木板加固，台脚采用38×38mm不锈钢方通，配不锈钢可调子弹脚。</w:t>
            </w:r>
          </w:p>
        </w:tc>
      </w:tr>
      <w:tr>
        <w:tblPrEx>
          <w:shd w:val="clear" w:color="auto" w:fill="auto"/>
          <w:tblCellMar>
            <w:top w:w="0" w:type="dxa"/>
            <w:left w:w="0" w:type="dxa"/>
            <w:bottom w:w="0" w:type="dxa"/>
            <w:right w:w="0" w:type="dxa"/>
          </w:tblCellMar>
        </w:tblPrEx>
        <w:trPr>
          <w:trHeight w:val="40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杀菌灯</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功率：30W/220V</w:t>
            </w:r>
          </w:p>
        </w:tc>
      </w:tr>
      <w:tr>
        <w:tblPrEx>
          <w:shd w:val="clear" w:color="auto" w:fill="auto"/>
          <w:tblCellMar>
            <w:top w:w="0" w:type="dxa"/>
            <w:left w:w="0" w:type="dxa"/>
            <w:bottom w:w="0" w:type="dxa"/>
            <w:right w:w="0" w:type="dxa"/>
          </w:tblCellMar>
        </w:tblPrEx>
        <w:trPr>
          <w:trHeight w:val="10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双层工作台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1000*760*950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面板1.2mm厚304＃磨沙贴塑不锈钢板，层板厚1.0mm304#不锈钢板；面底下加15mm木板加固，台脚采用38×38mm不锈钢方通，配不锈钢可调子弹脚。</w:t>
            </w:r>
          </w:p>
        </w:tc>
      </w:tr>
      <w:tr>
        <w:tblPrEx>
          <w:shd w:val="clear" w:color="auto" w:fill="auto"/>
          <w:tblCellMar>
            <w:top w:w="0" w:type="dxa"/>
            <w:left w:w="0" w:type="dxa"/>
            <w:bottom w:w="0" w:type="dxa"/>
            <w:right w:w="0" w:type="dxa"/>
          </w:tblCellMar>
        </w:tblPrEx>
        <w:trPr>
          <w:trHeight w:val="8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D07</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双门留样雪柜（玻璃门、高温）</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660*625*2020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板管式风冷，温度范围：0~10</w:t>
            </w:r>
            <w:r>
              <w:rPr>
                <w:rStyle w:val="58"/>
                <w:rFonts w:hint="eastAsia" w:ascii="宋体" w:hAnsi="宋体" w:eastAsia="宋体" w:cs="宋体"/>
                <w:color w:val="auto"/>
                <w:sz w:val="21"/>
                <w:szCs w:val="21"/>
                <w:highlight w:val="none"/>
                <w:lang w:val="en-US" w:eastAsia="zh-CN" w:bidi="ar"/>
              </w:rPr>
              <w:t>℃</w:t>
            </w:r>
            <w:r>
              <w:rPr>
                <w:rStyle w:val="59"/>
                <w:rFonts w:hint="eastAsia" w:ascii="宋体" w:hAnsi="宋体" w:eastAsia="宋体" w:cs="宋体"/>
                <w:color w:val="auto"/>
                <w:sz w:val="21"/>
                <w:szCs w:val="21"/>
                <w:highlight w:val="none"/>
                <w:lang w:val="en-US" w:eastAsia="zh-CN" w:bidi="ar"/>
              </w:rPr>
              <w:t>.</w:t>
            </w:r>
          </w:p>
        </w:tc>
      </w:tr>
      <w:tr>
        <w:tblPrEx>
          <w:shd w:val="clear" w:color="auto" w:fill="auto"/>
          <w:tblCellMar>
            <w:top w:w="0" w:type="dxa"/>
            <w:left w:w="0" w:type="dxa"/>
            <w:bottom w:w="0" w:type="dxa"/>
            <w:right w:w="0" w:type="dxa"/>
          </w:tblCellMar>
        </w:tblPrEx>
        <w:trPr>
          <w:trHeight w:val="46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其它</w:t>
            </w: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厨房设备水接驳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设备1米范围内</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厨房设备气接驳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设备1米范围内</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厨房设备电接驳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设备1米范围内</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厨房环保抽排烟系统</w:t>
            </w:r>
          </w:p>
        </w:tc>
      </w:tr>
      <w:tr>
        <w:tblPrEx>
          <w:shd w:val="clear" w:color="auto" w:fill="auto"/>
          <w:tblCellMar>
            <w:top w:w="0" w:type="dxa"/>
            <w:left w:w="0" w:type="dxa"/>
            <w:bottom w:w="0" w:type="dxa"/>
            <w:right w:w="0" w:type="dxa"/>
          </w:tblCellMar>
        </w:tblPrEx>
        <w:trPr>
          <w:trHeight w:val="13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抽风风柜</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5.5KW/380V电机；外壳不锈钢板制作；风压461Pa,噪音55dB，风量19370M3/H。</w:t>
            </w: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风柜降压启动控制箱</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配风柜</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风柜支架连防震</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w:t>
            </w:r>
            <w:r>
              <w:rPr>
                <w:rStyle w:val="60"/>
                <w:rFonts w:hint="eastAsia" w:ascii="宋体" w:hAnsi="宋体" w:eastAsia="宋体" w:cs="宋体"/>
                <w:color w:val="auto"/>
                <w:sz w:val="21"/>
                <w:szCs w:val="21"/>
                <w:highlight w:val="none"/>
                <w:lang w:val="en-US" w:eastAsia="zh-CN" w:bidi="ar"/>
              </w:rPr>
              <w:t>8#槽钢及角铁制作</w:t>
            </w:r>
          </w:p>
        </w:tc>
      </w:tr>
      <w:tr>
        <w:tblPrEx>
          <w:shd w:val="clear" w:color="auto" w:fill="auto"/>
          <w:tblCellMar>
            <w:top w:w="0" w:type="dxa"/>
            <w:left w:w="0" w:type="dxa"/>
            <w:bottom w:w="0" w:type="dxa"/>
            <w:right w:w="0" w:type="dxa"/>
          </w:tblCellMar>
        </w:tblPrEx>
        <w:trPr>
          <w:trHeight w:val="9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油烟静电处理器</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高效</w:t>
            </w:r>
          </w:p>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低空型</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处理风量16000m3/H；功率：600W；处理效率达96%以上。</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静电支架</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w:t>
            </w:r>
            <w:r>
              <w:rPr>
                <w:rStyle w:val="60"/>
                <w:rFonts w:hint="eastAsia" w:ascii="宋体" w:hAnsi="宋体" w:eastAsia="宋体" w:cs="宋体"/>
                <w:color w:val="auto"/>
                <w:sz w:val="21"/>
                <w:szCs w:val="21"/>
                <w:highlight w:val="none"/>
                <w:lang w:val="en-US" w:eastAsia="zh-CN" w:bidi="ar"/>
              </w:rPr>
              <w:t>8#槽钢及角铁制作</w:t>
            </w:r>
          </w:p>
        </w:tc>
      </w:tr>
      <w:tr>
        <w:tblPrEx>
          <w:shd w:val="clear" w:color="auto" w:fill="auto"/>
          <w:tblCellMar>
            <w:top w:w="0" w:type="dxa"/>
            <w:left w:w="0" w:type="dxa"/>
            <w:bottom w:w="0" w:type="dxa"/>
            <w:right w:w="0" w:type="dxa"/>
          </w:tblCellMar>
        </w:tblPrEx>
        <w:trPr>
          <w:trHeight w:val="12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防火阀</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600*500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只</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150度熔断关闭，阀门靠易熔金属的温度熔断器动作而自动关闭，切断气流，防止火灾蔓延。</w:t>
            </w:r>
          </w:p>
        </w:tc>
      </w:tr>
      <w:tr>
        <w:tblPrEx>
          <w:shd w:val="clear" w:color="auto" w:fill="auto"/>
          <w:tblCellMar>
            <w:top w:w="0" w:type="dxa"/>
            <w:left w:w="0" w:type="dxa"/>
            <w:bottom w:w="0" w:type="dxa"/>
            <w:right w:w="0" w:type="dxa"/>
          </w:tblCellMar>
        </w:tblPrEx>
        <w:trPr>
          <w:trHeight w:val="6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不锈钢抽风管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600*500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6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风柜及静电进出入口变径</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帆布软连接</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优质耐用专用帆布</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开墙孔及修复</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1个</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1 </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风柜及静电吊装费</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3层</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室外施工棚架</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1-3层</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风管出口加装防虫网</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其它五金辅材</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（吊码、拉丁、玻胶等）</w:t>
            </w:r>
          </w:p>
        </w:tc>
      </w:tr>
      <w:tr>
        <w:tblPrEx>
          <w:shd w:val="clear" w:color="auto" w:fill="auto"/>
          <w:tblCellMar>
            <w:top w:w="0" w:type="dxa"/>
            <w:left w:w="0" w:type="dxa"/>
            <w:bottom w:w="0" w:type="dxa"/>
            <w:right w:w="0" w:type="dxa"/>
          </w:tblCellMar>
        </w:tblPrEx>
        <w:trPr>
          <w:trHeight w:val="54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厨房水冷空调送鲜风系统</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水冷式鲜风机</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1.1KW/380V，处理风量18000m3/H。</w:t>
            </w: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鲜风机支架连防震</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w:t>
            </w:r>
            <w:r>
              <w:rPr>
                <w:rStyle w:val="60"/>
                <w:rFonts w:hint="eastAsia" w:ascii="宋体" w:hAnsi="宋体" w:eastAsia="宋体" w:cs="宋体"/>
                <w:color w:val="auto"/>
                <w:sz w:val="21"/>
                <w:szCs w:val="21"/>
                <w:highlight w:val="none"/>
                <w:lang w:val="en-US" w:eastAsia="zh-CN" w:bidi="ar"/>
              </w:rPr>
              <w:t>8#槽钢及角铁制作</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不锈钢鲜风管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700*500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不锈钢鲜风管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500*500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不锈钢鲜风管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500*400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不锈钢鲜风管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500*300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不锈钢鲜风管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400*300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鲜风机出口变径</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采用1.0mm厚不锈钢板制作。</w:t>
            </w: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帆布软连接</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优质耐用专用帆布</w:t>
            </w: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圆形鲜风咀</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开墙洞及修复</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1 </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其它五金辅材</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2"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家具</w:t>
            </w:r>
          </w:p>
        </w:tc>
      </w:tr>
      <w:tr>
        <w:tblPrEx>
          <w:shd w:val="clear" w:color="auto" w:fill="auto"/>
          <w:tblCellMar>
            <w:top w:w="0" w:type="dxa"/>
            <w:left w:w="0" w:type="dxa"/>
            <w:bottom w:w="0" w:type="dxa"/>
            <w:right w:w="0" w:type="dxa"/>
          </w:tblCellMar>
        </w:tblPrEx>
        <w:trPr>
          <w:trHeight w:val="7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4人餐桌</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1200*1350*750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台面采用抗倍特板制作。</w:t>
            </w:r>
          </w:p>
        </w:tc>
      </w:tr>
      <w:tr>
        <w:tblPrEx>
          <w:shd w:val="clear" w:color="auto" w:fill="auto"/>
          <w:tblCellMar>
            <w:top w:w="0" w:type="dxa"/>
            <w:left w:w="0" w:type="dxa"/>
            <w:bottom w:w="0" w:type="dxa"/>
            <w:right w:w="0"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10人圆桌</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张</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实木圆桌、带转盘，配椅子</w:t>
            </w:r>
          </w:p>
        </w:tc>
      </w:tr>
      <w:tr>
        <w:tblPrEx>
          <w:shd w:val="clear" w:color="auto" w:fill="auto"/>
          <w:tblCellMar>
            <w:top w:w="0" w:type="dxa"/>
            <w:left w:w="0" w:type="dxa"/>
            <w:bottom w:w="0" w:type="dxa"/>
            <w:right w:w="0" w:type="dxa"/>
          </w:tblCellMar>
        </w:tblPrEx>
        <w:trPr>
          <w:trHeight w:val="7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沙发配茶几</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6人</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厨房餐厨具</w:t>
            </w:r>
          </w:p>
        </w:tc>
      </w:tr>
      <w:tr>
        <w:tblPrEx>
          <w:shd w:val="clear" w:color="auto" w:fill="auto"/>
          <w:tblCellMar>
            <w:top w:w="0" w:type="dxa"/>
            <w:left w:w="0" w:type="dxa"/>
            <w:bottom w:w="0" w:type="dxa"/>
            <w:right w:w="0" w:type="dxa"/>
          </w:tblCellMar>
        </w:tblPrEx>
        <w:trPr>
          <w:trHeight w:val="58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餐具</w:t>
            </w:r>
          </w:p>
        </w:tc>
      </w:tr>
      <w:tr>
        <w:tblPrEx>
          <w:shd w:val="clear" w:color="auto" w:fill="auto"/>
          <w:tblCellMar>
            <w:top w:w="0" w:type="dxa"/>
            <w:left w:w="0" w:type="dxa"/>
            <w:bottom w:w="0" w:type="dxa"/>
            <w:right w:w="0"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不锈钢餐盘</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五格</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食品级</w:t>
            </w:r>
          </w:p>
        </w:tc>
      </w:tr>
      <w:tr>
        <w:tblPrEx>
          <w:shd w:val="clear" w:color="auto" w:fill="auto"/>
          <w:tblCellMar>
            <w:top w:w="0" w:type="dxa"/>
            <w:left w:w="0" w:type="dxa"/>
            <w:bottom w:w="0" w:type="dxa"/>
            <w:right w:w="0"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不锈钢汤碗</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11.5CM</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食品级</w:t>
            </w:r>
          </w:p>
        </w:tc>
      </w:tr>
      <w:tr>
        <w:tblPrEx>
          <w:shd w:val="clear" w:color="auto" w:fill="auto"/>
          <w:tblCellMar>
            <w:top w:w="0" w:type="dxa"/>
            <w:left w:w="0" w:type="dxa"/>
            <w:bottom w:w="0" w:type="dxa"/>
            <w:right w:w="0"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不锈钢饭碗</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12.5CM</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食品级</w:t>
            </w:r>
          </w:p>
        </w:tc>
      </w:tr>
      <w:tr>
        <w:tblPrEx>
          <w:shd w:val="clear" w:color="auto" w:fill="auto"/>
          <w:tblCellMar>
            <w:top w:w="0" w:type="dxa"/>
            <w:left w:w="0" w:type="dxa"/>
            <w:bottom w:w="0" w:type="dxa"/>
            <w:right w:w="0"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不锈钢筷子</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食品级</w:t>
            </w:r>
          </w:p>
        </w:tc>
      </w:tr>
      <w:tr>
        <w:tblPrEx>
          <w:shd w:val="clear" w:color="auto" w:fill="auto"/>
          <w:tblCellMar>
            <w:top w:w="0" w:type="dxa"/>
            <w:left w:w="0" w:type="dxa"/>
            <w:bottom w:w="0" w:type="dxa"/>
            <w:right w:w="0" w:type="dxa"/>
          </w:tblCellMar>
        </w:tblPrEx>
        <w:trPr>
          <w:trHeight w:val="4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不锈钢汤更</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食品级</w:t>
            </w:r>
          </w:p>
        </w:tc>
      </w:tr>
      <w:tr>
        <w:tblPrEx>
          <w:shd w:val="clear" w:color="auto" w:fill="auto"/>
          <w:tblCellMar>
            <w:top w:w="0" w:type="dxa"/>
            <w:left w:w="0" w:type="dxa"/>
            <w:bottom w:w="0" w:type="dxa"/>
            <w:right w:w="0" w:type="dxa"/>
          </w:tblCellMar>
        </w:tblPrEx>
        <w:trPr>
          <w:trHeight w:val="435"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厨房用具</w:t>
            </w: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砧板</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r>
              <w:rPr>
                <w:rStyle w:val="62"/>
                <w:rFonts w:hint="eastAsia" w:ascii="宋体" w:hAnsi="宋体" w:eastAsia="宋体" w:cs="宋体"/>
                <w:color w:val="auto"/>
                <w:sz w:val="21"/>
                <w:szCs w:val="21"/>
                <w:highlight w:val="none"/>
                <w:lang w:val="en-US" w:eastAsia="zh-CN" w:bidi="ar"/>
              </w:rPr>
              <w:t>2</w:t>
            </w:r>
            <w:r>
              <w:rPr>
                <w:rStyle w:val="59"/>
                <w:rFonts w:hint="eastAsia" w:ascii="宋体" w:hAnsi="宋体" w:eastAsia="宋体" w:cs="宋体"/>
                <w:color w:val="auto"/>
                <w:sz w:val="21"/>
                <w:szCs w:val="21"/>
                <w:highlight w:val="none"/>
                <w:lang w:val="en-US" w:eastAsia="zh-CN" w:bidi="ar"/>
              </w:rPr>
              <w:t>分</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胶筐</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大</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胶筐</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小</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炒壳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1号</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炒铲</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钢大铲头连柄</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钢炸厘</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钢水壳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中号</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钢菜壳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300MM</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钢漏壳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300MM</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钢汤壳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600MM </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油盆</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r>
              <w:rPr>
                <w:rStyle w:val="62"/>
                <w:rFonts w:hint="eastAsia" w:ascii="宋体" w:hAnsi="宋体" w:eastAsia="宋体" w:cs="宋体"/>
                <w:color w:val="auto"/>
                <w:sz w:val="21"/>
                <w:szCs w:val="21"/>
                <w:highlight w:val="none"/>
                <w:lang w:val="en-US" w:eastAsia="zh-CN" w:bidi="ar"/>
              </w:rPr>
              <w:t>0"加厚</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钢味盅</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180MM标</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菜刀</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钢瓜刨</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大</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锅扫</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9圈</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10KG</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电子称</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300型</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加厚打蛋器</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滑石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钢剪刀</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钢单勾</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钢丝球</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食品夹</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分菜勺</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加厚</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分汤勺</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加厚</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饭勺</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塑料</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把</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厨房配套装修</w:t>
            </w:r>
          </w:p>
        </w:tc>
      </w:tr>
      <w:tr>
        <w:tblPrEx>
          <w:shd w:val="clear" w:color="auto" w:fill="auto"/>
          <w:tblCellMar>
            <w:top w:w="0" w:type="dxa"/>
            <w:left w:w="0" w:type="dxa"/>
            <w:bottom w:w="0" w:type="dxa"/>
            <w:right w:w="0" w:type="dxa"/>
          </w:tblCellMar>
        </w:tblPrEx>
        <w:trPr>
          <w:trHeight w:val="5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新建砖砌墙</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00" w:hRule="atLeast"/>
        </w:trPr>
        <w:tc>
          <w:tcPr>
            <w:tcW w:w="7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新建墙双面批灰</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新建墙双面防水</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47.5</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新建墙双面贴白色瓷片</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300*600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新建墙体以上不锈钢玻璃隔断</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49.5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厨房范围内四周墙面批灰</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140.4</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厨房范围内四周墙面防水</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7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厨房范围内四周墙面贴白色瓷片</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300*600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140.4</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售餐平台</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2.61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厨房范围内天面批灰</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含梁</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86</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厨房范围内天面粉刷乳胶漆</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含梁</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86</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厨房吊装铝扣板天花</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600*600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11.7</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厨房地面水泥沙浆找平</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厨房范围内地面防水宝涂膜防水层</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厨房地面水泥沙浆防水保护层</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厨房地面陶粒垫高</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H300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Style w:val="61"/>
                <w:rFonts w:hint="eastAsia" w:ascii="宋体" w:hAnsi="宋体" w:eastAsia="宋体" w:cs="宋体"/>
                <w:color w:val="auto"/>
                <w:sz w:val="21"/>
                <w:szCs w:val="21"/>
                <w:highlight w:val="none"/>
                <w:lang w:val="en-US" w:eastAsia="zh-CN" w:bidi="ar"/>
              </w:rPr>
              <w:t>3</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17</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厨房地面铺铁丝网</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ф</w:t>
            </w:r>
            <w:r>
              <w:rPr>
                <w:rStyle w:val="59"/>
                <w:rFonts w:hint="eastAsia" w:ascii="宋体" w:hAnsi="宋体" w:eastAsia="宋体" w:cs="宋体"/>
                <w:color w:val="auto"/>
                <w:sz w:val="21"/>
                <w:szCs w:val="21"/>
                <w:highlight w:val="none"/>
                <w:lang w:val="en-US" w:eastAsia="zh-CN" w:bidi="ar"/>
              </w:rPr>
              <w:t>6MM@200</w:t>
            </w:r>
            <w:r>
              <w:rPr>
                <w:rStyle w:val="63"/>
                <w:rFonts w:hint="eastAsia" w:ascii="宋体" w:hAnsi="宋体" w:eastAsia="宋体" w:cs="宋体"/>
                <w:color w:val="auto"/>
                <w:sz w:val="21"/>
                <w:szCs w:val="21"/>
                <w:highlight w:val="none"/>
                <w:lang w:val="en-US" w:eastAsia="zh-CN" w:bidi="ar"/>
              </w:rPr>
              <w:t>双向</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厨房地面水泥沙浆找平</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厨房范围内地面二次防水宝涂膜防水层</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厨房地面水泥沙浆防水保护层</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21</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厨房范围内地面贴防滑地砖</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600*600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72.3</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水沟砌砖</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水沟内水泥沙浆找平</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24</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水沟内防水一道</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25</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水沟内贴白色瓷片</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300*600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r>
              <w:rPr>
                <w:rFonts w:hint="eastAsia" w:ascii="宋体" w:hAnsi="宋体" w:eastAsia="宋体" w:cs="宋体"/>
                <w:i w:val="0"/>
                <w:color w:val="auto"/>
                <w:kern w:val="0"/>
                <w:sz w:val="21"/>
                <w:szCs w:val="21"/>
                <w:highlight w:val="none"/>
                <w:u w:val="none"/>
                <w:vertAlign w:val="superscript"/>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26</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不锈钢水沟盖（孔网板）</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27</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不锈钢水沟边框</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28</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沉渣池</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600*600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29</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地漏</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DN100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隔油池开挖</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2000*1000*1200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31</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土建隔油池</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2000*1000*1200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32</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预埋PVC排水管</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DN75</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33</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预埋PVC排水管</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DN100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34</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预埋PVC排水管</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DN200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35</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甲级防火双门</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1200*2200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樘</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36</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甲级防火单门</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1000*2200</w:t>
            </w: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樘</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37</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不锈钢半玻单门</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800X2200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樘</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38</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不锈钢半玻单门</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900X2200</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樘</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39</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材料搬运</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40</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清运垃圾</w:t>
            </w:r>
          </w:p>
        </w:tc>
        <w:tc>
          <w:tcPr>
            <w:tcW w:w="17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10公里以内</w:t>
            </w:r>
          </w:p>
        </w:tc>
        <w:tc>
          <w:tcPr>
            <w:tcW w:w="5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82"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厨房配套水电</w:t>
            </w:r>
          </w:p>
        </w:tc>
      </w:tr>
      <w:tr>
        <w:tblPrEx>
          <w:shd w:val="clear" w:color="auto" w:fill="auto"/>
          <w:tblCellMar>
            <w:top w:w="0" w:type="dxa"/>
            <w:left w:w="0" w:type="dxa"/>
            <w:bottom w:w="0" w:type="dxa"/>
            <w:right w:w="0" w:type="dxa"/>
          </w:tblCellMar>
        </w:tblPrEx>
        <w:trPr>
          <w:trHeight w:val="54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厨房给水</w:t>
            </w: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PPR给水管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DN32</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PPR给水管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DN25</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PPR给水管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DN20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闸阀</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DN32</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闸阀</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DN25</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三角阀</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水表</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DN32</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配件</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安装人工费</w:t>
            </w:r>
          </w:p>
        </w:tc>
        <w:tc>
          <w:tcPr>
            <w:tcW w:w="1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540" w:hRule="atLeast"/>
        </w:trPr>
        <w:tc>
          <w:tcPr>
            <w:tcW w:w="83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厨房给电</w:t>
            </w: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电气动力线  </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BV-2.5mm</w:t>
            </w:r>
            <w:r>
              <w:rPr>
                <w:rStyle w:val="61"/>
                <w:rFonts w:hint="eastAsia" w:ascii="宋体" w:hAnsi="宋体" w:eastAsia="宋体" w:cs="宋体"/>
                <w:color w:val="auto"/>
                <w:sz w:val="21"/>
                <w:szCs w:val="21"/>
                <w:highlight w:val="none"/>
                <w:lang w:val="en-US" w:eastAsia="zh-CN" w:bidi="ar"/>
              </w:rPr>
              <w:t>2</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2530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电气动力线  </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BV-4mm</w:t>
            </w:r>
            <w:r>
              <w:rPr>
                <w:rStyle w:val="61"/>
                <w:rFonts w:hint="eastAsia" w:ascii="宋体" w:hAnsi="宋体" w:eastAsia="宋体" w:cs="宋体"/>
                <w:color w:val="auto"/>
                <w:sz w:val="21"/>
                <w:szCs w:val="21"/>
                <w:highlight w:val="none"/>
                <w:lang w:val="en-US" w:eastAsia="zh-CN" w:bidi="ar"/>
              </w:rPr>
              <w:t>2</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480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电气动力线  </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BV-6mm</w:t>
            </w:r>
            <w:r>
              <w:rPr>
                <w:rStyle w:val="61"/>
                <w:rFonts w:hint="eastAsia" w:ascii="宋体" w:hAnsi="宋体" w:eastAsia="宋体" w:cs="宋体"/>
                <w:color w:val="auto"/>
                <w:sz w:val="21"/>
                <w:szCs w:val="21"/>
                <w:highlight w:val="none"/>
                <w:lang w:val="en-US" w:eastAsia="zh-CN" w:bidi="ar"/>
              </w:rPr>
              <w:t>2</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360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电力电缆</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YJV-5*10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电力电缆</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YJV-5*16</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电力电缆</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YJV-4*35+1*16</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38</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总电箱</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ZAP1</w:t>
            </w:r>
          </w:p>
        </w:tc>
        <w:tc>
          <w:tcPr>
            <w:tcW w:w="5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分电箱</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AP1</w:t>
            </w:r>
          </w:p>
        </w:tc>
        <w:tc>
          <w:tcPr>
            <w:tcW w:w="5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8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分电箱</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AP2</w:t>
            </w:r>
          </w:p>
        </w:tc>
        <w:tc>
          <w:tcPr>
            <w:tcW w:w="5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漏电开关</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50A</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漏电开关</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16A</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二/三插座连盒</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开关箱连底盒</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只</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镀锌铁线槽</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150×100×10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45</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镀锌铁线槽</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60×30×10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98</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P</w:t>
            </w:r>
            <w:r>
              <w:rPr>
                <w:rStyle w:val="62"/>
                <w:rFonts w:hint="eastAsia" w:ascii="宋体" w:hAnsi="宋体" w:eastAsia="宋体" w:cs="宋体"/>
                <w:color w:val="auto"/>
                <w:sz w:val="21"/>
                <w:szCs w:val="21"/>
                <w:highlight w:val="none"/>
                <w:lang w:val="en-US" w:eastAsia="zh-CN" w:bidi="ar"/>
              </w:rPr>
              <w:t>VC线管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25mm</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条</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17</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铁线管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4分</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136</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米</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三防灯</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双支</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6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LED灯盘</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600*600</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套</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1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丝杆、吊码</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49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21</w:t>
            </w: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管件接头配件</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胶塞、螺钉、扎带等</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批</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1"/>
                <w:szCs w:val="21"/>
                <w:highlight w:val="none"/>
                <w:u w:val="none"/>
              </w:rPr>
            </w:pPr>
          </w:p>
        </w:tc>
      </w:tr>
    </w:tbl>
    <w:p>
      <w:pPr>
        <w:spacing w:after="0" w:line="360" w:lineRule="auto"/>
        <w:ind w:firstLine="422" w:firstLineChars="200"/>
        <w:rPr>
          <w:rFonts w:ascii="宋体" w:hAnsi="宋体" w:eastAsia="宋体" w:cs="Times New Roman"/>
          <w:b/>
          <w:bCs/>
          <w:color w:val="auto"/>
          <w:sz w:val="21"/>
          <w:szCs w:val="21"/>
          <w:highlight w:val="none"/>
        </w:rPr>
      </w:pPr>
    </w:p>
    <w:p>
      <w:pPr>
        <w:pStyle w:val="7"/>
        <w:bidi w:val="0"/>
        <w:rPr>
          <w:rFonts w:hint="eastAsia"/>
          <w:color w:val="auto"/>
          <w:highlight w:val="none"/>
        </w:rPr>
      </w:pPr>
      <w:r>
        <w:rPr>
          <w:rFonts w:hint="eastAsia"/>
          <w:color w:val="auto"/>
          <w:highlight w:val="none"/>
        </w:rPr>
        <w:t>二、总体要求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186" w:name="_Hlk23174970"/>
      <w:r>
        <w:rPr>
          <w:rFonts w:hint="eastAsia" w:ascii="宋体" w:hAnsi="宋体" w:eastAsia="宋体" w:cs="宋体"/>
          <w:color w:val="auto"/>
          <w:sz w:val="21"/>
          <w:szCs w:val="21"/>
          <w:highlight w:val="none"/>
        </w:rPr>
        <w:t>项目所用设备、材料及项目总体质量需符合国家相关规范标准，并满足采购人实际使用要求。</w:t>
      </w:r>
      <w:bookmarkEnd w:id="186"/>
    </w:p>
    <w:p>
      <w:pPr>
        <w:spacing w:line="360" w:lineRule="auto"/>
        <w:ind w:firstLine="480"/>
        <w:jc w:val="left"/>
        <w:rPr>
          <w:rFonts w:hint="eastAsia" w:ascii="宋体" w:hAnsi="宋体" w:eastAsia="宋体" w:cs="宋体"/>
          <w:color w:val="auto"/>
          <w:sz w:val="21"/>
          <w:szCs w:val="21"/>
          <w:highlight w:val="none"/>
        </w:rPr>
      </w:pPr>
      <w:bookmarkStart w:id="187" w:name="_Hlk23174981"/>
      <w:r>
        <w:rPr>
          <w:rFonts w:hint="eastAsia" w:ascii="宋体" w:hAnsi="宋体" w:eastAsia="宋体" w:cs="宋体"/>
          <w:color w:val="auto"/>
          <w:sz w:val="21"/>
          <w:szCs w:val="21"/>
          <w:highlight w:val="none"/>
        </w:rPr>
        <w:t>2、中标人负责本项目的实施、安装、调试。</w:t>
      </w:r>
    </w:p>
    <w:bookmarkEnd w:id="187"/>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3、中标人在实施过程中应采取有效措施保护建筑物的安全。在实施过程中，若中标人因实施措施不当造成损坏的，中标人须承担全部过错责任。</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4、中标人需与采购人密切配合，在项目实施过程中需配合采购人相关工作安排，最大限度降低对采购人日常办公及周围环境的影响。</w:t>
      </w:r>
    </w:p>
    <w:p>
      <w:pPr>
        <w:bidi w:val="0"/>
        <w:rPr>
          <w:rFonts w:hint="eastAsia"/>
          <w:color w:val="auto"/>
          <w:highlight w:val="none"/>
        </w:rPr>
      </w:pPr>
    </w:p>
    <w:p>
      <w:pPr>
        <w:pStyle w:val="7"/>
        <w:bidi w:val="0"/>
        <w:rPr>
          <w:rFonts w:hint="eastAsia" w:eastAsia="宋体"/>
          <w:color w:val="auto"/>
          <w:highlight w:val="none"/>
        </w:rPr>
      </w:pPr>
      <w:r>
        <w:rPr>
          <w:rFonts w:hint="eastAsia" w:eastAsia="宋体"/>
          <w:color w:val="auto"/>
          <w:highlight w:val="none"/>
        </w:rPr>
        <w:t>三、货物产地及标准</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1、中标人提供的货物是生产厂商生产的原厂全新的（原装）产品（含零部件、配件、随机工具等），表面无划伤、无碰撞。</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2、标准</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本合同所指的货物及服务应符合合同附件的技术规格所述的标准：如果附件未规定适用标准，则应符合中华人民共和国国家标准或行业标准。这些标准应是有关机构发布的最新版本的标准。</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3、国内产品或合资厂的产品应具备出厂合格证。</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4、中标人应将所供物品的用户手册、保修手册、有关资料及配件、随机工具等交付给采购人。</w:t>
      </w:r>
    </w:p>
    <w:p>
      <w:pPr>
        <w:bidi w:val="0"/>
        <w:rPr>
          <w:rFonts w:hint="eastAsia"/>
          <w:color w:val="auto"/>
          <w:highlight w:val="none"/>
        </w:rPr>
      </w:pPr>
    </w:p>
    <w:p>
      <w:pPr>
        <w:pStyle w:val="7"/>
        <w:bidi w:val="0"/>
        <w:rPr>
          <w:rFonts w:hint="eastAsia" w:eastAsia="宋体"/>
          <w:color w:val="auto"/>
          <w:highlight w:val="none"/>
        </w:rPr>
      </w:pPr>
      <w:r>
        <w:rPr>
          <w:rFonts w:hint="eastAsia" w:eastAsia="宋体"/>
          <w:color w:val="auto"/>
          <w:highlight w:val="none"/>
        </w:rPr>
        <w:t>四、包装</w:t>
      </w:r>
    </w:p>
    <w:p>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合同另有规定外，中标人提供的全部货物均应按标准保护措施进行包装。该包装应适应于远距离运输、防潮、防尘、防震、防锈和防野蛮装卸，以确保货物安全无损运抵指定地点。由于包装不善所引起的货物损失、损坏、损毁以及采购人的损失均由中标人承担。采购人有权拒收货物，中标人按照采购人的要求在限定的时间内应予以更换或重新供货，货物交期不得迟延，否则采购人有权按照本合同约定追究中标人的违约责任。</w:t>
      </w:r>
    </w:p>
    <w:p>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2、中标人所供货物应为制造商原装出厂，包装箱号与设备出厂批号一致。</w:t>
      </w:r>
    </w:p>
    <w:p>
      <w:pPr>
        <w:bidi w:val="0"/>
        <w:rPr>
          <w:rFonts w:hint="eastAsia"/>
          <w:color w:val="auto"/>
          <w:highlight w:val="none"/>
        </w:rPr>
      </w:pPr>
    </w:p>
    <w:p>
      <w:pPr>
        <w:pStyle w:val="7"/>
        <w:bidi w:val="0"/>
        <w:rPr>
          <w:rFonts w:hint="eastAsia" w:eastAsia="宋体"/>
          <w:color w:val="auto"/>
          <w:highlight w:val="none"/>
        </w:rPr>
      </w:pPr>
      <w:r>
        <w:rPr>
          <w:rFonts w:hint="eastAsia" w:eastAsia="宋体"/>
          <w:color w:val="auto"/>
          <w:highlight w:val="none"/>
        </w:rPr>
        <w:t>五、验收方式及质保期、售后服务要求</w:t>
      </w:r>
    </w:p>
    <w:p>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（一）验收</w:t>
      </w:r>
    </w:p>
    <w:p>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1、采购人、中标人双方按用户需求书及本合同的有关规定由采购人验收组织部门进行验收。</w:t>
      </w:r>
    </w:p>
    <w:p>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设备安装开始前，中标人按照采购人的书面通知，共同开箱检验，对设备的外观质量、原产地、数量、规格、性能等进行详细而全面检验，并将出厂检验合格证交于采购人，但不能作为有关质量、规格、性能、数量、重量的最终认可。</w:t>
      </w:r>
    </w:p>
    <w:p>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设备安装后，采购人与中标人及相关人员按用户需求书及本合同的有关规定、国家有关标准及有关附件要求进行验收。如验收不合格，中标人无条件退、换货，直到验收合格，由此造成采购人损失的，中标人应予赔偿采购人全部损失及支出，采购人对货物的验收并不当然免除中标人的产品质量保证责任。</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4、因物品的质量问题发生争议，由广东省或东莞市质量技术监督部门进行质量鉴定。</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（二）售后服务要求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在质保期内，如货物非因采购人的人为原因而出现的质量问题由中标人负责免费维修或更换。</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采购人的服务通知，中标人在接到通知后1小时内响应，3小时内到达现场，12小时内处理完毕。若在12小时内仍未能有效解决，需对设备进行维修，如设备维修预计时长超30个日历日，应在原设备送修之日起30个日历日内提供备用机并安装调试完毕，保证采购人继续正常运行。</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2、保修期内中标人包换、包修或包退问题件，并承担修理、调换或退货的实际费用。</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3、中标人不能在双方约定限期内按以上要求替代、维修问题设备，采购人和中标人双方协商替代解决方案，更换同类型同价值产品，保障采购人工作的正常进行，由此产生的费用由中标人支付。</w:t>
      </w:r>
    </w:p>
    <w:p>
      <w:pPr>
        <w:bidi w:val="0"/>
        <w:rPr>
          <w:color w:val="auto"/>
          <w:highlight w:val="none"/>
        </w:rPr>
      </w:pPr>
    </w:p>
    <w:p>
      <w:pPr>
        <w:bidi w:val="0"/>
        <w:rPr>
          <w:color w:val="auto"/>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2"/>
      <w:bookmarkEnd w:id="183"/>
      <w:bookmarkEnd w:id="184"/>
      <w:bookmarkEnd w:id="185"/>
      <w:bookmarkStart w:id="188" w:name="_Toc12485"/>
      <w:bookmarkStart w:id="189" w:name="_Toc21448"/>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5"/>
        <w:spacing w:before="0" w:after="0" w:line="240" w:lineRule="auto"/>
        <w:rPr>
          <w:color w:val="auto"/>
          <w:sz w:val="28"/>
          <w:szCs w:val="28"/>
          <w:highlight w:val="none"/>
        </w:rPr>
      </w:pPr>
      <w:bookmarkStart w:id="190"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8"/>
      <w:bookmarkEnd w:id="189"/>
      <w:bookmarkEnd w:id="190"/>
      <w:bookmarkStart w:id="191" w:name="_Toc21155"/>
      <w:bookmarkStart w:id="192" w:name="_Toc13430"/>
      <w:bookmarkStart w:id="193" w:name="_Toc1534"/>
    </w:p>
    <w:p>
      <w:pPr>
        <w:pStyle w:val="6"/>
        <w:spacing w:before="0" w:after="0" w:line="240" w:lineRule="auto"/>
        <w:jc w:val="center"/>
        <w:rPr>
          <w:rFonts w:ascii="宋体" w:hAnsi="宋体" w:eastAsia="宋体" w:cs="宋体"/>
          <w:color w:val="auto"/>
          <w:highlight w:val="none"/>
        </w:rPr>
      </w:pPr>
      <w:bookmarkStart w:id="194" w:name="_Toc8880"/>
      <w:bookmarkStart w:id="195" w:name="_Toc19575"/>
      <w:bookmarkStart w:id="196" w:name="_Toc16730"/>
      <w:r>
        <w:rPr>
          <w:rFonts w:hint="eastAsia" w:ascii="宋体" w:hAnsi="宋体" w:eastAsia="宋体" w:cs="宋体"/>
          <w:color w:val="auto"/>
          <w:highlight w:val="none"/>
        </w:rPr>
        <w:t>合同格式</w:t>
      </w:r>
      <w:bookmarkEnd w:id="191"/>
      <w:bookmarkEnd w:id="192"/>
      <w:bookmarkEnd w:id="193"/>
      <w:bookmarkEnd w:id="194"/>
      <w:bookmarkEnd w:id="195"/>
      <w:bookmarkEnd w:id="196"/>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7"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7"/>
    <w:p>
      <w:pPr>
        <w:spacing w:after="0" w:line="360" w:lineRule="auto"/>
        <w:ind w:firstLine="422" w:firstLineChars="200"/>
        <w:rPr>
          <w:rFonts w:ascii="宋体" w:hAnsi="宋体" w:eastAsia="宋体"/>
          <w:b/>
          <w:color w:val="auto"/>
          <w:sz w:val="21"/>
          <w:szCs w:val="21"/>
          <w:highlight w:val="none"/>
        </w:rPr>
      </w:pPr>
      <w:bookmarkStart w:id="198"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9" w:name="_Toc86481569"/>
      <w:r>
        <w:rPr>
          <w:rFonts w:hint="eastAsia" w:ascii="宋体" w:hAnsi="宋体" w:eastAsia="宋体"/>
          <w:b/>
          <w:color w:val="auto"/>
          <w:sz w:val="21"/>
          <w:szCs w:val="21"/>
          <w:highlight w:val="none"/>
        </w:rPr>
        <w:t>第十二条 合同生效</w:t>
      </w:r>
      <w:bookmarkEnd w:id="199"/>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8"/>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5"/>
        <w:spacing w:before="0" w:after="0" w:line="240" w:lineRule="auto"/>
        <w:rPr>
          <w:color w:val="auto"/>
          <w:sz w:val="28"/>
          <w:szCs w:val="28"/>
          <w:highlight w:val="none"/>
        </w:rPr>
      </w:pPr>
      <w:bookmarkStart w:id="200" w:name="_Toc23749"/>
      <w:bookmarkStart w:id="201" w:name="_Toc31587"/>
      <w:bookmarkStart w:id="202"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00"/>
      <w:bookmarkEnd w:id="201"/>
      <w:bookmarkEnd w:id="202"/>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3" w:name="_Toc26830"/>
      <w:bookmarkStart w:id="204" w:name="_Toc6790"/>
      <w:bookmarkStart w:id="205" w:name="_Toc5794"/>
      <w:r>
        <w:rPr>
          <w:rFonts w:hint="eastAsia"/>
          <w:color w:val="auto"/>
          <w:highlight w:val="none"/>
        </w:rPr>
        <w:t>投标文件目录</w:t>
      </w:r>
      <w:bookmarkEnd w:id="203"/>
      <w:bookmarkEnd w:id="204"/>
      <w:bookmarkEnd w:id="205"/>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6" w:name="_Toc18893"/>
      <w:bookmarkStart w:id="207" w:name="_Toc5670"/>
      <w:bookmarkStart w:id="208" w:name="_Toc25502"/>
      <w:r>
        <w:rPr>
          <w:rFonts w:hint="eastAsia"/>
          <w:color w:val="auto"/>
          <w:highlight w:val="none"/>
        </w:rPr>
        <w:t>评分标准索引表</w:t>
      </w:r>
      <w:bookmarkEnd w:id="206"/>
      <w:bookmarkEnd w:id="207"/>
      <w:bookmarkEnd w:id="208"/>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9" w:name="_Toc22080"/>
      <w:bookmarkStart w:id="210" w:name="_Toc8194"/>
      <w:bookmarkStart w:id="211" w:name="_Toc30640"/>
      <w:r>
        <w:rPr>
          <w:rFonts w:hint="eastAsia"/>
          <w:color w:val="auto"/>
          <w:highlight w:val="none"/>
          <w:lang w:val="en-US" w:eastAsia="zh-CN"/>
        </w:rPr>
        <w:t>第一章价格文件</w:t>
      </w:r>
      <w:bookmarkEnd w:id="209"/>
      <w:bookmarkEnd w:id="21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4168"/>
      <w:bookmarkStart w:id="213" w:name="_Toc19750"/>
      <w:r>
        <w:rPr>
          <w:rFonts w:hint="eastAsia"/>
          <w:color w:val="auto"/>
          <w:highlight w:val="none"/>
          <w:lang w:val="en-US" w:eastAsia="zh-CN"/>
        </w:rPr>
        <w:t>一、唱标一览表</w:t>
      </w:r>
      <w:bookmarkEnd w:id="212"/>
      <w:bookmarkEnd w:id="213"/>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31172"/>
      <w:bookmarkStart w:id="215" w:name="_Toc31062"/>
      <w:r>
        <w:rPr>
          <w:rFonts w:hint="eastAsia"/>
          <w:color w:val="auto"/>
          <w:highlight w:val="none"/>
          <w:lang w:val="en-US" w:eastAsia="zh-CN"/>
        </w:rPr>
        <w:t>二、报价明细表</w:t>
      </w:r>
      <w:bookmarkEnd w:id="214"/>
      <w:bookmarkEnd w:id="215"/>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20974"/>
      <w:bookmarkStart w:id="217" w:name="_Toc23355"/>
      <w:r>
        <w:rPr>
          <w:rFonts w:hint="eastAsia"/>
          <w:color w:val="auto"/>
          <w:highlight w:val="none"/>
          <w:lang w:val="en-US" w:eastAsia="zh-CN"/>
        </w:rPr>
        <w:t>三、小型或微型企业（货物/服务/承担的工程）明细表</w:t>
      </w:r>
      <w:bookmarkEnd w:id="216"/>
      <w:bookmarkEnd w:id="217"/>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3"/>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w:t>
      </w:r>
      <w:r>
        <w:rPr>
          <w:rStyle w:val="43"/>
          <w:rFonts w:hint="eastAsia" w:ascii="宋体" w:hAnsi="宋体" w:eastAsia="宋体" w:cs="宋体"/>
          <w:b/>
          <w:color w:val="auto"/>
          <w:sz w:val="21"/>
          <w:szCs w:val="21"/>
          <w:highlight w:val="none"/>
          <w:lang w:val="en-US" w:eastAsia="zh-CN"/>
        </w:rPr>
        <w:t>或</w:t>
      </w:r>
      <w:r>
        <w:rPr>
          <w:rStyle w:val="43"/>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3970"/>
      <w:bookmarkStart w:id="219" w:name="_Toc16718"/>
      <w:r>
        <w:rPr>
          <w:rFonts w:hint="eastAsia"/>
          <w:color w:val="auto"/>
          <w:highlight w:val="none"/>
          <w:lang w:val="en-US" w:eastAsia="zh-CN"/>
        </w:rPr>
        <w:t>四、节能产品或环境标志产品明细表</w:t>
      </w:r>
      <w:bookmarkEnd w:id="218"/>
      <w:bookmarkEnd w:id="219"/>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0"/>
        <w:rPr>
          <w:rFonts w:hint="eastAsia"/>
          <w:color w:val="auto"/>
          <w:highlight w:val="none"/>
        </w:rPr>
      </w:pPr>
    </w:p>
    <w:p>
      <w:pPr>
        <w:tabs>
          <w:tab w:val="left" w:pos="284"/>
        </w:tabs>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0853"/>
      <w:bookmarkStart w:id="221" w:name="_Toc17482"/>
      <w:r>
        <w:rPr>
          <w:rFonts w:hint="eastAsia"/>
          <w:color w:val="auto"/>
          <w:highlight w:val="none"/>
          <w:lang w:val="en-US" w:eastAsia="zh-CN"/>
        </w:rPr>
        <w:t>五、中小企业声明函</w:t>
      </w:r>
      <w:bookmarkEnd w:id="220"/>
      <w:bookmarkEnd w:id="22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8560"/>
      <w:bookmarkStart w:id="223" w:name="_Toc7959"/>
      <w:r>
        <w:rPr>
          <w:rFonts w:hint="eastAsia"/>
          <w:color w:val="auto"/>
          <w:highlight w:val="none"/>
          <w:lang w:val="en-US" w:eastAsia="zh-CN"/>
        </w:rPr>
        <w:t>六、残疾人福利性单位声明函</w:t>
      </w:r>
      <w:bookmarkEnd w:id="222"/>
      <w:bookmarkEnd w:id="223"/>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4" w:name="_Toc22970"/>
      <w:bookmarkStart w:id="225" w:name="_Toc509844825"/>
      <w:bookmarkStart w:id="226" w:name="_Toc508960153"/>
      <w:bookmarkStart w:id="227" w:name="_Toc20910"/>
      <w:bookmarkStart w:id="228" w:name="_Toc508958703"/>
      <w:bookmarkStart w:id="229" w:name="_Toc510171693"/>
      <w:bookmarkStart w:id="230" w:name="_Toc30247"/>
      <w:bookmarkStart w:id="231" w:name="_Toc509479530"/>
      <w:bookmarkStart w:id="232" w:name="_Toc509927455"/>
      <w:bookmarkStart w:id="233" w:name="_Toc17761"/>
      <w:bookmarkStart w:id="234" w:name="_Toc508898066"/>
      <w:bookmarkStart w:id="235" w:name="_Toc3027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4"/>
      <w:bookmarkEnd w:id="225"/>
      <w:bookmarkEnd w:id="226"/>
      <w:bookmarkEnd w:id="227"/>
      <w:bookmarkEnd w:id="228"/>
      <w:bookmarkEnd w:id="229"/>
      <w:bookmarkEnd w:id="230"/>
      <w:bookmarkEnd w:id="231"/>
      <w:bookmarkEnd w:id="232"/>
      <w:bookmarkEnd w:id="233"/>
      <w:bookmarkEnd w:id="234"/>
      <w:bookmarkEnd w:id="235"/>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6" w:name="_Toc31520"/>
      <w:bookmarkStart w:id="237" w:name="_Toc28527"/>
      <w:bookmarkStart w:id="238" w:name="_Toc26216"/>
      <w:bookmarkStart w:id="239" w:name="_Toc5447"/>
      <w:bookmarkStart w:id="240" w:name="_Toc21053"/>
      <w:bookmarkStart w:id="241" w:name="_Toc508960154"/>
      <w:bookmarkStart w:id="242" w:name="_Toc510171694"/>
      <w:bookmarkStart w:id="243" w:name="_Toc508898067"/>
      <w:bookmarkStart w:id="244" w:name="_Toc509844826"/>
      <w:bookmarkStart w:id="245" w:name="_Toc508958704"/>
      <w:bookmarkStart w:id="246" w:name="_Toc509479531"/>
      <w:bookmarkStart w:id="247" w:name="_Toc50992745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6"/>
      <w:bookmarkEnd w:id="237"/>
      <w:bookmarkEnd w:id="238"/>
      <w:bookmarkEnd w:id="239"/>
      <w:bookmarkEnd w:id="240"/>
      <w:bookmarkEnd w:id="241"/>
      <w:bookmarkEnd w:id="242"/>
      <w:bookmarkEnd w:id="243"/>
      <w:bookmarkEnd w:id="244"/>
      <w:bookmarkEnd w:id="245"/>
      <w:bookmarkEnd w:id="246"/>
      <w:bookmarkEnd w:id="2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8" w:name="_Toc9148"/>
      <w:bookmarkStart w:id="249" w:name="_Toc24848"/>
      <w:bookmarkStart w:id="250" w:name="_Toc508898068"/>
      <w:bookmarkStart w:id="251" w:name="_Toc509479532"/>
      <w:bookmarkStart w:id="252" w:name="_Toc508960155"/>
      <w:bookmarkStart w:id="253" w:name="_Toc28626"/>
      <w:bookmarkStart w:id="254" w:name="_Toc508958705"/>
      <w:bookmarkStart w:id="255" w:name="_Toc510171695"/>
      <w:bookmarkStart w:id="256" w:name="_Toc28126"/>
      <w:bookmarkStart w:id="257" w:name="_Toc509844827"/>
      <w:bookmarkStart w:id="258" w:name="_Toc509927457"/>
      <w:bookmarkStart w:id="259" w:name="_Toc14653"/>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8"/>
      <w:bookmarkEnd w:id="249"/>
      <w:bookmarkEnd w:id="250"/>
      <w:bookmarkEnd w:id="251"/>
      <w:bookmarkEnd w:id="252"/>
      <w:bookmarkEnd w:id="253"/>
      <w:bookmarkEnd w:id="254"/>
      <w:bookmarkEnd w:id="255"/>
      <w:bookmarkEnd w:id="256"/>
      <w:bookmarkEnd w:id="257"/>
      <w:bookmarkEnd w:id="258"/>
      <w:bookmarkEnd w:id="25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0" w:name="_Toc510171696"/>
      <w:bookmarkStart w:id="261" w:name="_Toc28686"/>
      <w:bookmarkStart w:id="262" w:name="_Toc22981"/>
      <w:bookmarkStart w:id="263" w:name="_Toc509927458"/>
      <w:bookmarkStart w:id="264" w:name="_Toc7858"/>
      <w:bookmarkStart w:id="265" w:name="_Toc9837"/>
      <w:bookmarkStart w:id="266" w:name="_Toc508898069"/>
      <w:bookmarkStart w:id="267" w:name="_Toc508960156"/>
      <w:bookmarkStart w:id="268" w:name="_Toc509479533"/>
      <w:bookmarkStart w:id="269" w:name="_Toc28044"/>
      <w:bookmarkStart w:id="270" w:name="_Toc509844828"/>
      <w:bookmarkStart w:id="271" w:name="_Toc50895870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60"/>
      <w:bookmarkEnd w:id="261"/>
      <w:bookmarkEnd w:id="262"/>
      <w:bookmarkEnd w:id="263"/>
      <w:bookmarkEnd w:id="264"/>
      <w:bookmarkEnd w:id="265"/>
      <w:bookmarkEnd w:id="266"/>
      <w:bookmarkEnd w:id="267"/>
      <w:bookmarkEnd w:id="268"/>
      <w:bookmarkEnd w:id="269"/>
      <w:bookmarkEnd w:id="270"/>
      <w:bookmarkEnd w:id="27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2" w:name="_Toc509479534"/>
      <w:bookmarkStart w:id="273" w:name="_Toc508958707"/>
      <w:bookmarkStart w:id="274" w:name="_Toc510171697"/>
      <w:bookmarkStart w:id="275" w:name="_Toc5289"/>
      <w:bookmarkStart w:id="276" w:name="_Toc18843"/>
      <w:bookmarkStart w:id="277" w:name="_Toc508898070"/>
      <w:bookmarkStart w:id="278" w:name="_Toc508960157"/>
      <w:bookmarkStart w:id="279" w:name="_Toc509927459"/>
      <w:bookmarkStart w:id="280" w:name="_Toc50984482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1" w:name="_Toc23948"/>
      <w:bookmarkStart w:id="282" w:name="_Toc6471"/>
      <w:r>
        <w:rPr>
          <w:rFonts w:hint="eastAsia"/>
          <w:color w:val="auto"/>
          <w:highlight w:val="none"/>
          <w:lang w:val="en-US" w:eastAsia="zh-CN"/>
        </w:rPr>
        <w:t>第二章商务文件</w:t>
      </w:r>
      <w:bookmarkEnd w:id="281"/>
      <w:bookmarkEnd w:id="282"/>
    </w:p>
    <w:bookmarkEnd w:id="211"/>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1952"/>
      <w:bookmarkStart w:id="284" w:name="_Toc23787"/>
      <w:r>
        <w:rPr>
          <w:rFonts w:hint="eastAsia"/>
          <w:color w:val="auto"/>
          <w:highlight w:val="none"/>
          <w:lang w:val="en-US" w:eastAsia="zh-CN"/>
        </w:rPr>
        <w:t>一、投标函</w:t>
      </w:r>
      <w:bookmarkEnd w:id="283"/>
      <w:bookmarkEnd w:id="28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5" w:name="_Toc28616"/>
      <w:bookmarkStart w:id="286" w:name="_Toc15719"/>
      <w:r>
        <w:rPr>
          <w:rFonts w:hint="eastAsia"/>
          <w:color w:val="auto"/>
          <w:highlight w:val="none"/>
          <w:lang w:val="en-US" w:eastAsia="zh-CN"/>
        </w:rPr>
        <w:t>二、资格申明函</w:t>
      </w:r>
      <w:bookmarkEnd w:id="285"/>
      <w:bookmarkEnd w:id="286"/>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87" w:name="_Toc16412"/>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32742"/>
      <w:bookmarkStart w:id="289" w:name="_Toc21273"/>
      <w:r>
        <w:rPr>
          <w:rFonts w:hint="eastAsia"/>
          <w:color w:val="auto"/>
          <w:highlight w:val="none"/>
          <w:lang w:val="en-US" w:eastAsia="zh-CN"/>
        </w:rPr>
        <w:t>三、在参与政府采购活动前三年未有重大违法记录、没有不良信用记录的声明函</w:t>
      </w:r>
      <w:bookmarkEnd w:id="288"/>
      <w:bookmarkEnd w:id="28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3894"/>
      <w:bookmarkStart w:id="291" w:name="_Toc13243"/>
      <w:r>
        <w:rPr>
          <w:rFonts w:hint="eastAsia"/>
          <w:color w:val="auto"/>
          <w:highlight w:val="none"/>
          <w:lang w:val="en-US" w:eastAsia="zh-CN"/>
        </w:rPr>
        <w:t>四、法定代表人证明书</w:t>
      </w:r>
      <w:bookmarkEnd w:id="290"/>
      <w:bookmarkEnd w:id="291"/>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5918"/>
      <w:bookmarkStart w:id="293" w:name="_Toc5626"/>
      <w:r>
        <w:rPr>
          <w:rFonts w:hint="eastAsia"/>
          <w:color w:val="auto"/>
          <w:highlight w:val="none"/>
          <w:lang w:val="en-US" w:eastAsia="zh-CN"/>
        </w:rPr>
        <w:t>五、法定代表人授权书</w:t>
      </w:r>
      <w:bookmarkEnd w:id="292"/>
      <w:bookmarkEnd w:id="29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5" w:name="_Toc24013"/>
      <w:bookmarkStart w:id="296" w:name="_Toc18562"/>
      <w:r>
        <w:rPr>
          <w:rFonts w:hint="eastAsia"/>
          <w:color w:val="auto"/>
          <w:highlight w:val="none"/>
          <w:lang w:val="en-US" w:eastAsia="zh-CN"/>
        </w:rPr>
        <w:t>六、投标人基本情况说明</w:t>
      </w:r>
      <w:bookmarkEnd w:id="295"/>
      <w:bookmarkEnd w:id="29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7" w:name="_Toc17470"/>
      <w:bookmarkStart w:id="298" w:name="_Toc29995"/>
      <w:bookmarkStart w:id="299" w:name="_Toc1511"/>
      <w:bookmarkStart w:id="300" w:name="_Toc4926"/>
      <w:bookmarkStart w:id="301" w:name="_Toc28067"/>
      <w:bookmarkStart w:id="302" w:name="_Toc5919"/>
      <w:bookmarkStart w:id="303" w:name="_Toc24210"/>
      <w:r>
        <w:rPr>
          <w:rFonts w:hint="eastAsia"/>
          <w:color w:val="auto"/>
          <w:highlight w:val="none"/>
          <w:lang w:val="en-US" w:eastAsia="zh-CN"/>
        </w:rPr>
        <w:t>七、</w:t>
      </w:r>
      <w:r>
        <w:rPr>
          <w:rFonts w:hint="eastAsia"/>
          <w:color w:val="auto"/>
          <w:highlight w:val="none"/>
        </w:rPr>
        <w:t>营业执照</w:t>
      </w:r>
      <w:bookmarkEnd w:id="297"/>
      <w:bookmarkEnd w:id="298"/>
      <w:bookmarkEnd w:id="299"/>
      <w:bookmarkEnd w:id="300"/>
      <w:bookmarkEnd w:id="301"/>
      <w:bookmarkEnd w:id="302"/>
      <w:bookmarkEnd w:id="30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4"/>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1638"/>
      <w:bookmarkStart w:id="305" w:name="_Toc29439"/>
      <w:r>
        <w:rPr>
          <w:rFonts w:hint="eastAsia"/>
          <w:color w:val="auto"/>
          <w:highlight w:val="none"/>
          <w:lang w:val="en-US" w:eastAsia="zh-CN"/>
        </w:rPr>
        <w:t>八、</w:t>
      </w:r>
      <w:r>
        <w:rPr>
          <w:rFonts w:hint="eastAsia"/>
          <w:color w:val="auto"/>
          <w:highlight w:val="none"/>
        </w:rPr>
        <w:t>特殊资格要求证明文件</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3341"/>
      <w:bookmarkStart w:id="307" w:name="_Toc14263"/>
      <w:r>
        <w:rPr>
          <w:rFonts w:hint="eastAsia"/>
          <w:color w:val="auto"/>
          <w:highlight w:val="none"/>
          <w:lang w:val="en-US" w:eastAsia="zh-CN"/>
        </w:rPr>
        <w:t>九、</w:t>
      </w:r>
      <w:r>
        <w:rPr>
          <w:rFonts w:hint="eastAsia"/>
          <w:color w:val="auto"/>
          <w:highlight w:val="none"/>
        </w:rPr>
        <w:t>承诺书</w:t>
      </w:r>
      <w:bookmarkEnd w:id="306"/>
      <w:bookmarkEnd w:id="307"/>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30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9" w:name="_Toc13653"/>
      <w:bookmarkStart w:id="310" w:name="_Toc13955"/>
      <w:r>
        <w:rPr>
          <w:rFonts w:hint="eastAsia"/>
          <w:color w:val="auto"/>
          <w:highlight w:val="none"/>
          <w:lang w:val="en-US" w:eastAsia="zh-CN"/>
        </w:rPr>
        <w:t>十、招标代理服务费承诺书</w:t>
      </w:r>
      <w:bookmarkEnd w:id="309"/>
      <w:bookmarkEnd w:id="310"/>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1" w:name="_Toc1975"/>
      <w:bookmarkStart w:id="312" w:name="_Toc12598"/>
      <w:r>
        <w:rPr>
          <w:rFonts w:hint="eastAsia"/>
          <w:color w:val="auto"/>
          <w:highlight w:val="none"/>
          <w:lang w:val="en-US" w:eastAsia="zh-CN"/>
        </w:rPr>
        <w:t>十一、</w:t>
      </w:r>
      <w:r>
        <w:rPr>
          <w:rFonts w:hint="eastAsia"/>
          <w:color w:val="auto"/>
          <w:highlight w:val="none"/>
        </w:rPr>
        <w:t>商务条款偏离表</w:t>
      </w:r>
      <w:bookmarkEnd w:id="311"/>
      <w:bookmarkEnd w:id="31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3" w:name="_Toc32183"/>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4" w:name="_Toc19276"/>
      <w:bookmarkStart w:id="315" w:name="_Toc25391"/>
      <w:r>
        <w:rPr>
          <w:rFonts w:hint="eastAsia"/>
          <w:color w:val="auto"/>
          <w:highlight w:val="none"/>
          <w:lang w:val="en-US" w:eastAsia="zh-CN"/>
        </w:rPr>
        <w:t>十二、</w:t>
      </w:r>
      <w:r>
        <w:rPr>
          <w:rFonts w:hint="eastAsia"/>
          <w:color w:val="auto"/>
          <w:highlight w:val="none"/>
        </w:rPr>
        <w:t>业绩表</w:t>
      </w:r>
      <w:bookmarkEnd w:id="314"/>
      <w:bookmarkEnd w:id="31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6" w:name="_Toc14688"/>
      <w:bookmarkStart w:id="317" w:name="_Toc20520"/>
      <w:r>
        <w:rPr>
          <w:rFonts w:hint="eastAsia"/>
          <w:color w:val="auto"/>
          <w:highlight w:val="none"/>
          <w:lang w:val="en-US" w:eastAsia="zh-CN"/>
        </w:rPr>
        <w:t>第三章技术文件</w:t>
      </w:r>
      <w:bookmarkEnd w:id="313"/>
      <w:bookmarkEnd w:id="316"/>
      <w:bookmarkEnd w:id="31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8" w:name="_Toc7092"/>
      <w:bookmarkStart w:id="319" w:name="_Toc13097"/>
      <w:r>
        <w:rPr>
          <w:rFonts w:hint="eastAsia"/>
          <w:color w:val="auto"/>
          <w:highlight w:val="none"/>
          <w:lang w:val="en-US" w:eastAsia="zh-CN"/>
        </w:rPr>
        <w:t>一、</w:t>
      </w:r>
      <w:r>
        <w:rPr>
          <w:rFonts w:hint="eastAsia"/>
          <w:color w:val="auto"/>
          <w:highlight w:val="none"/>
        </w:rPr>
        <w:t>技术规格偏离表</w:t>
      </w:r>
      <w:bookmarkEnd w:id="318"/>
      <w:bookmarkEnd w:id="31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0" w:name="_Toc17691"/>
      <w:r>
        <w:rPr>
          <w:rFonts w:hint="eastAsia" w:ascii="宋体" w:hAnsi="宋体" w:eastAsia="宋体"/>
          <w:color w:val="auto"/>
          <w:sz w:val="21"/>
          <w:szCs w:val="21"/>
          <w:highlight w:val="none"/>
        </w:rPr>
        <w:br w:type="page"/>
      </w:r>
      <w:bookmarkEnd w:id="320"/>
      <w:bookmarkStart w:id="321" w:name="_Toc18668"/>
      <w:bookmarkStart w:id="322" w:name="_Toc4827"/>
      <w:bookmarkStart w:id="323" w:name="_Toc6080"/>
      <w:bookmarkStart w:id="324" w:name="_Toc4464"/>
      <w:bookmarkStart w:id="325" w:name="_Toc1274"/>
      <w:bookmarkStart w:id="326" w:name="_Toc26078"/>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0734"/>
      <w:bookmarkStart w:id="328" w:name="_Toc13461"/>
      <w:r>
        <w:rPr>
          <w:rFonts w:hint="eastAsia"/>
          <w:color w:val="auto"/>
          <w:highlight w:val="none"/>
          <w:lang w:val="en-US" w:eastAsia="zh-CN"/>
        </w:rPr>
        <w:t>二、</w:t>
      </w:r>
      <w:r>
        <w:rPr>
          <w:rFonts w:hint="eastAsia"/>
          <w:color w:val="auto"/>
          <w:highlight w:val="none"/>
        </w:rPr>
        <w:t>重要技术参数（▲）响应表</w:t>
      </w:r>
      <w:bookmarkEnd w:id="321"/>
      <w:bookmarkEnd w:id="322"/>
      <w:bookmarkEnd w:id="323"/>
      <w:bookmarkEnd w:id="324"/>
      <w:bookmarkEnd w:id="325"/>
      <w:bookmarkEnd w:id="326"/>
      <w:bookmarkEnd w:id="327"/>
      <w:bookmarkEnd w:id="32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9" w:name="_Toc29642"/>
            <w:bookmarkStart w:id="330" w:name="_Toc29560"/>
            <w:bookmarkStart w:id="331" w:name="_Toc27079"/>
            <w:r>
              <w:rPr>
                <w:rFonts w:hint="eastAsia" w:ascii="宋体" w:hAnsi="宋体" w:eastAsia="宋体" w:cs="宋体"/>
                <w:b w:val="0"/>
                <w:bCs w:val="0"/>
                <w:color w:val="auto"/>
                <w:sz w:val="21"/>
                <w:szCs w:val="21"/>
                <w:highlight w:val="none"/>
                <w:lang w:val="en-US" w:eastAsia="zh-CN"/>
              </w:rPr>
              <w:t>序号</w:t>
            </w:r>
            <w:bookmarkEnd w:id="329"/>
            <w:bookmarkEnd w:id="330"/>
            <w:bookmarkEnd w:id="331"/>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2" w:name="_Toc21739"/>
            <w:bookmarkStart w:id="333" w:name="_Toc4304"/>
            <w:bookmarkStart w:id="334" w:name="_Toc26124"/>
            <w:bookmarkStart w:id="335" w:name="_Toc22448"/>
            <w:bookmarkStart w:id="336" w:name="_Toc14815"/>
            <w:bookmarkStart w:id="337" w:name="_Toc12049"/>
            <w:bookmarkStart w:id="338" w:name="_Toc1016"/>
            <w:bookmarkStart w:id="339" w:name="_Toc15903"/>
            <w:bookmarkStart w:id="340" w:name="_Toc10045"/>
            <w:bookmarkStart w:id="341" w:name="_Toc15368"/>
            <w:bookmarkStart w:id="342" w:name="_Toc27090"/>
            <w:bookmarkStart w:id="343" w:name="_Toc16872"/>
            <w:bookmarkStart w:id="344" w:name="_Toc2700"/>
            <w:bookmarkStart w:id="345" w:name="_Toc27442"/>
            <w:bookmarkStart w:id="346" w:name="_Toc24662"/>
            <w:bookmarkStart w:id="347" w:name="_Toc32531"/>
            <w:bookmarkStart w:id="348" w:name="_Toc22879"/>
            <w:bookmarkStart w:id="349" w:name="_Toc21809"/>
            <w:bookmarkStart w:id="350" w:name="_Toc22917"/>
            <w:bookmarkStart w:id="351" w:name="_Toc8312"/>
            <w:bookmarkStart w:id="352" w:name="_Toc8490"/>
            <w:bookmarkStart w:id="353" w:name="_Toc19251"/>
            <w:bookmarkStart w:id="354"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5" w:name="_Toc22153"/>
            <w:bookmarkStart w:id="356" w:name="_Toc2408"/>
            <w:bookmarkStart w:id="357" w:name="_Toc10122"/>
            <w:r>
              <w:rPr>
                <w:rFonts w:hint="eastAsia" w:ascii="宋体" w:hAnsi="宋体" w:eastAsia="宋体" w:cs="宋体"/>
                <w:b w:val="0"/>
                <w:bCs w:val="0"/>
                <w:color w:val="auto"/>
                <w:kern w:val="0"/>
                <w:sz w:val="21"/>
                <w:szCs w:val="21"/>
                <w:highlight w:val="none"/>
              </w:rPr>
              <w:t>投标文件响应内容</w:t>
            </w:r>
            <w:bookmarkEnd w:id="355"/>
            <w:bookmarkEnd w:id="356"/>
            <w:bookmarkEnd w:id="357"/>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8" w:name="_Toc27285"/>
            <w:bookmarkStart w:id="359" w:name="_Toc16003"/>
            <w:bookmarkStart w:id="360" w:name="_Toc29838"/>
            <w:bookmarkStart w:id="361" w:name="_Toc27185"/>
            <w:bookmarkStart w:id="362" w:name="_Toc5563"/>
            <w:bookmarkStart w:id="363" w:name="_Toc20820"/>
            <w:bookmarkStart w:id="364" w:name="_Toc17642"/>
            <w:bookmarkStart w:id="365" w:name="_Toc3701"/>
            <w:bookmarkStart w:id="366" w:name="_Toc17296"/>
            <w:bookmarkStart w:id="367" w:name="_Toc20139"/>
            <w:bookmarkStart w:id="368" w:name="_Toc1912"/>
            <w:bookmarkStart w:id="369" w:name="_Toc1330"/>
            <w:bookmarkStart w:id="370" w:name="_Toc5992"/>
            <w:r>
              <w:rPr>
                <w:rFonts w:hint="eastAsia" w:ascii="宋体" w:hAnsi="宋体" w:eastAsia="宋体" w:cs="宋体"/>
                <w:b w:val="0"/>
                <w:bCs w:val="0"/>
                <w:color w:val="auto"/>
                <w:sz w:val="21"/>
                <w:szCs w:val="21"/>
                <w:highlight w:val="none"/>
                <w:lang w:val="en-US" w:eastAsia="zh-CN"/>
              </w:rPr>
              <w:t>说明</w:t>
            </w:r>
            <w:bookmarkEnd w:id="358"/>
            <w:bookmarkEnd w:id="359"/>
            <w:bookmarkEnd w:id="360"/>
          </w:p>
        </w:tc>
        <w:tc>
          <w:tcPr>
            <w:tcW w:w="1591"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1" w:name="_Toc3520"/>
            <w:bookmarkStart w:id="372" w:name="_Toc19105"/>
            <w:bookmarkStart w:id="373" w:name="_Toc857"/>
            <w:r>
              <w:rPr>
                <w:rFonts w:hint="eastAsia" w:ascii="宋体" w:hAnsi="宋体" w:eastAsia="宋体" w:cs="宋体"/>
                <w:b w:val="0"/>
                <w:bCs w:val="0"/>
                <w:color w:val="auto"/>
                <w:sz w:val="21"/>
                <w:szCs w:val="21"/>
                <w:highlight w:val="none"/>
              </w:rPr>
              <w:t>页码范围</w:t>
            </w:r>
            <w:bookmarkEnd w:id="361"/>
            <w:bookmarkEnd w:id="362"/>
            <w:bookmarkEnd w:id="363"/>
            <w:bookmarkEnd w:id="364"/>
            <w:bookmarkEnd w:id="365"/>
            <w:bookmarkEnd w:id="366"/>
            <w:bookmarkEnd w:id="367"/>
            <w:bookmarkEnd w:id="368"/>
            <w:bookmarkEnd w:id="369"/>
            <w:bookmarkEnd w:id="370"/>
            <w:bookmarkEnd w:id="371"/>
            <w:bookmarkEnd w:id="372"/>
            <w:bookmarkEnd w:id="37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1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7139"/>
      <w:bookmarkStart w:id="375" w:name="_Toc19349"/>
      <w:r>
        <w:rPr>
          <w:rFonts w:hint="eastAsia"/>
          <w:color w:val="auto"/>
          <w:highlight w:val="none"/>
          <w:lang w:val="en-US" w:eastAsia="zh-CN"/>
        </w:rPr>
        <w:t>三、</w:t>
      </w:r>
      <w:r>
        <w:rPr>
          <w:rFonts w:hint="eastAsia"/>
          <w:color w:val="auto"/>
          <w:highlight w:val="none"/>
        </w:rPr>
        <w:t>实质性条款（标记★）投标响应表</w:t>
      </w:r>
      <w:bookmarkEnd w:id="37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5"/>
      <w:bookmarkEnd w:id="37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7" w:name="_Toc16328"/>
      <w:bookmarkStart w:id="378" w:name="_Toc26880"/>
      <w:r>
        <w:rPr>
          <w:rFonts w:hint="eastAsia"/>
          <w:color w:val="auto"/>
          <w:highlight w:val="none"/>
          <w:lang w:val="en-US" w:eastAsia="zh-CN"/>
        </w:rPr>
        <w:t>五、项目负责人及团队成员资料表</w:t>
      </w:r>
      <w:bookmarkEnd w:id="377"/>
      <w:bookmarkEnd w:id="37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9" w:name="_Toc15431"/>
      <w:bookmarkStart w:id="380" w:name="_Toc26980"/>
      <w:r>
        <w:rPr>
          <w:rFonts w:hint="eastAsia"/>
          <w:color w:val="auto"/>
          <w:highlight w:val="none"/>
          <w:lang w:val="en-US" w:eastAsia="zh-CN"/>
        </w:rPr>
        <w:t>六、投标货物明细一览表</w:t>
      </w:r>
      <w:bookmarkEnd w:id="379"/>
      <w:bookmarkEnd w:id="38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1" w:name="_Toc6961"/>
      <w:r>
        <w:rPr>
          <w:rFonts w:hint="eastAsia"/>
          <w:color w:val="auto"/>
          <w:highlight w:val="none"/>
          <w:lang w:val="en-US" w:eastAsia="zh-CN"/>
        </w:rPr>
        <w:t>七、政府采购履约担保函</w:t>
      </w:r>
      <w:bookmarkEnd w:id="381"/>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2" w:name="_Toc26772"/>
      <w:bookmarkStart w:id="383" w:name="_Toc26782"/>
      <w:r>
        <w:rPr>
          <w:rFonts w:hint="eastAsia"/>
          <w:color w:val="auto"/>
          <w:highlight w:val="none"/>
          <w:lang w:val="en-US" w:eastAsia="zh-CN"/>
        </w:rPr>
        <w:t>第四章唱标信封（单独封装）</w:t>
      </w:r>
      <w:bookmarkEnd w:id="382"/>
      <w:bookmarkEnd w:id="38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4"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5" w:name="_Toc22736"/>
      <w:bookmarkStart w:id="386" w:name="_Toc2710"/>
      <w:r>
        <w:rPr>
          <w:rFonts w:hint="eastAsia"/>
          <w:color w:val="auto"/>
          <w:highlight w:val="none"/>
          <w:lang w:val="en-US" w:eastAsia="zh-CN"/>
        </w:rPr>
        <w:t>第五章联合体共同投标协议书（如有需要）</w:t>
      </w:r>
      <w:bookmarkEnd w:id="385"/>
      <w:bookmarkEnd w:id="386"/>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4"/>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r>
        <w:tblPrEx>
          <w:shd w:val="clear" w:color="auto" w:fill="auto"/>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b/>
                <w:bCs/>
                <w:color w:val="auto"/>
                <w:sz w:val="32"/>
                <w:szCs w:val="32"/>
                <w:highlight w:val="none"/>
              </w:rPr>
              <w:t>注：开完发票后请把报名表格交还至前台</w:t>
            </w:r>
          </w:p>
        </w:tc>
      </w:tr>
    </w:tbl>
    <w:p>
      <w:pPr>
        <w:pStyle w:val="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9"/>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9"/>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7D2B3E"/>
    <w:rsid w:val="04DF1036"/>
    <w:rsid w:val="050F6021"/>
    <w:rsid w:val="05A97DEC"/>
    <w:rsid w:val="05C81981"/>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1DF733C"/>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43551"/>
    <w:rsid w:val="163C77BE"/>
    <w:rsid w:val="16632F86"/>
    <w:rsid w:val="1679588C"/>
    <w:rsid w:val="16994962"/>
    <w:rsid w:val="16A71041"/>
    <w:rsid w:val="16AA24BF"/>
    <w:rsid w:val="16F72341"/>
    <w:rsid w:val="17095F55"/>
    <w:rsid w:val="17407617"/>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153208"/>
    <w:rsid w:val="1C2775EC"/>
    <w:rsid w:val="1C750ECE"/>
    <w:rsid w:val="1CA22168"/>
    <w:rsid w:val="1CD40CA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1316D3"/>
    <w:rsid w:val="27435D49"/>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987C56"/>
    <w:rsid w:val="2CFF149A"/>
    <w:rsid w:val="2D201865"/>
    <w:rsid w:val="2D4B5CEA"/>
    <w:rsid w:val="2D652658"/>
    <w:rsid w:val="2DC80C49"/>
    <w:rsid w:val="2DCA6355"/>
    <w:rsid w:val="2DF0699F"/>
    <w:rsid w:val="2E166748"/>
    <w:rsid w:val="2E556F01"/>
    <w:rsid w:val="2E8E20B4"/>
    <w:rsid w:val="2EB9239F"/>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0D643F"/>
    <w:rsid w:val="3236546E"/>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C2DEB"/>
    <w:rsid w:val="4BFA3C9F"/>
    <w:rsid w:val="4C0E3379"/>
    <w:rsid w:val="4C107F48"/>
    <w:rsid w:val="4C3277BC"/>
    <w:rsid w:val="4C686851"/>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0A4258E"/>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38592B"/>
    <w:rsid w:val="6A440C53"/>
    <w:rsid w:val="6AC61F6F"/>
    <w:rsid w:val="6ADE74F0"/>
    <w:rsid w:val="6B1002C0"/>
    <w:rsid w:val="6B1F5CFA"/>
    <w:rsid w:val="6B723594"/>
    <w:rsid w:val="6B805156"/>
    <w:rsid w:val="6BD50977"/>
    <w:rsid w:val="6BEA2A9B"/>
    <w:rsid w:val="6BFC3A16"/>
    <w:rsid w:val="6C187AE1"/>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DC82AB7"/>
    <w:rsid w:val="7E2142A2"/>
    <w:rsid w:val="7E4C3614"/>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pPr>
      <w:spacing w:after="0"/>
    </w:pPr>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5"/>
    <w:qFormat/>
    <w:uiPriority w:val="9"/>
    <w:rPr>
      <w:rFonts w:asciiTheme="majorHAnsi" w:hAnsiTheme="majorHAnsi" w:eastAsiaTheme="majorEastAsia" w:cstheme="majorBidi"/>
      <w:b/>
      <w:bCs/>
      <w:sz w:val="32"/>
      <w:szCs w:val="32"/>
    </w:rPr>
  </w:style>
  <w:style w:type="character" w:customStyle="1" w:styleId="32">
    <w:name w:val="标题 3 Char"/>
    <w:basedOn w:val="25"/>
    <w:link w:val="6"/>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7"/>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6"/>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0"/>
    <w:semiHidden/>
    <w:qFormat/>
    <w:uiPriority w:val="99"/>
    <w:rPr>
      <w:rFonts w:ascii="宋体" w:hAnsi="Courier New" w:eastAsia="宋体" w:cs="Courier New"/>
      <w:sz w:val="21"/>
      <w:szCs w:val="21"/>
    </w:rPr>
  </w:style>
  <w:style w:type="character" w:customStyle="1" w:styleId="46">
    <w:name w:val="页眉 Char"/>
    <w:basedOn w:val="25"/>
    <w:link w:val="14"/>
    <w:qFormat/>
    <w:uiPriority w:val="99"/>
    <w:rPr>
      <w:rFonts w:ascii="Tahoma" w:hAnsi="Tahoma"/>
      <w:sz w:val="18"/>
      <w:szCs w:val="18"/>
    </w:rPr>
  </w:style>
  <w:style w:type="character" w:customStyle="1" w:styleId="47">
    <w:name w:val="页脚 Char"/>
    <w:basedOn w:val="25"/>
    <w:link w:val="13"/>
    <w:qFormat/>
    <w:uiPriority w:val="99"/>
    <w:rPr>
      <w:rFonts w:ascii="Tahoma" w:hAnsi="Tahoma"/>
      <w:sz w:val="18"/>
      <w:szCs w:val="18"/>
    </w:rPr>
  </w:style>
  <w:style w:type="character" w:customStyle="1" w:styleId="48">
    <w:name w:val="批注框文本 Char"/>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8">
    <w:name w:val="font212"/>
    <w:basedOn w:val="25"/>
    <w:qFormat/>
    <w:uiPriority w:val="0"/>
    <w:rPr>
      <w:rFonts w:ascii="宋体" w:hAnsi="宋体" w:eastAsia="宋体" w:cs="宋体"/>
      <w:color w:val="000000"/>
      <w:sz w:val="22"/>
      <w:szCs w:val="22"/>
      <w:u w:val="none"/>
    </w:rPr>
  </w:style>
  <w:style w:type="character" w:customStyle="1" w:styleId="59">
    <w:name w:val="font41"/>
    <w:basedOn w:val="25"/>
    <w:qFormat/>
    <w:uiPriority w:val="0"/>
    <w:rPr>
      <w:rFonts w:hint="eastAsia" w:ascii="宋体" w:hAnsi="宋体" w:eastAsia="宋体" w:cs="宋体"/>
      <w:color w:val="000000"/>
      <w:sz w:val="22"/>
      <w:szCs w:val="22"/>
      <w:u w:val="none"/>
    </w:rPr>
  </w:style>
  <w:style w:type="character" w:customStyle="1" w:styleId="60">
    <w:name w:val="font181"/>
    <w:basedOn w:val="25"/>
    <w:qFormat/>
    <w:uiPriority w:val="0"/>
    <w:rPr>
      <w:rFonts w:hint="default" w:ascii="Times New Roman" w:hAnsi="Times New Roman" w:cs="Times New Roman"/>
      <w:color w:val="000000"/>
      <w:sz w:val="22"/>
      <w:szCs w:val="22"/>
      <w:u w:val="none"/>
    </w:rPr>
  </w:style>
  <w:style w:type="character" w:customStyle="1" w:styleId="61">
    <w:name w:val="font221"/>
    <w:basedOn w:val="25"/>
    <w:qFormat/>
    <w:uiPriority w:val="0"/>
    <w:rPr>
      <w:rFonts w:hint="eastAsia" w:ascii="宋体" w:hAnsi="宋体" w:eastAsia="宋体" w:cs="宋体"/>
      <w:color w:val="000000"/>
      <w:sz w:val="22"/>
      <w:szCs w:val="22"/>
      <w:u w:val="none"/>
      <w:vertAlign w:val="superscript"/>
    </w:rPr>
  </w:style>
  <w:style w:type="character" w:customStyle="1" w:styleId="62">
    <w:name w:val="font161"/>
    <w:basedOn w:val="25"/>
    <w:qFormat/>
    <w:uiPriority w:val="0"/>
    <w:rPr>
      <w:rFonts w:hint="eastAsia" w:ascii="宋体" w:hAnsi="宋体" w:eastAsia="宋体" w:cs="宋体"/>
      <w:color w:val="000000"/>
      <w:sz w:val="22"/>
      <w:szCs w:val="22"/>
      <w:u w:val="none"/>
    </w:rPr>
  </w:style>
  <w:style w:type="character" w:customStyle="1" w:styleId="63">
    <w:name w:val="font131"/>
    <w:basedOn w:val="25"/>
    <w:qFormat/>
    <w:uiPriority w:val="0"/>
    <w:rPr>
      <w:rFonts w:hint="eastAsia"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26</TotalTime>
  <ScaleCrop>false</ScaleCrop>
  <LinksUpToDate>false</LinksUpToDate>
  <CharactersWithSpaces>35801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echo</cp:lastModifiedBy>
  <cp:lastPrinted>2021-04-23T09:50:00Z</cp:lastPrinted>
  <dcterms:modified xsi:type="dcterms:W3CDTF">2021-11-01T10:15:21Z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EE8EF075ED6D4AB8B39C3A876E8815A1</vt:lpwstr>
  </property>
</Properties>
</file>