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0"/>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茶山镇环卫保洁及部分绿化养护统筹管理项目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441900008-2021-00307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东莞市茶山镇公用事业服务中心</w:t>
            </w:r>
          </w:p>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（东莞市茶山镇道路养护管理所）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both"/>
        <w:rPr>
          <w:rFonts w:ascii="黑体" w:eastAsia="黑体"/>
          <w:color w:val="auto"/>
          <w:szCs w:val="21"/>
          <w:highlight w:val="none"/>
        </w:rPr>
      </w:pPr>
    </w:p>
    <w:p>
      <w:pPr>
        <w:jc w:val="both"/>
        <w:rPr>
          <w:rFonts w:ascii="黑体" w:eastAsia="黑体"/>
          <w:color w:val="auto"/>
          <w:szCs w:val="21"/>
          <w:highlight w:val="none"/>
        </w:rPr>
      </w:pPr>
    </w:p>
    <w:p>
      <w:pPr>
        <w:pStyle w:val="17"/>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1"/>
                    <a:srcRect l="6033" t="52170" r="5754" b="9299"/>
                    <a:stretch>
                      <a:fillRect/>
                    </a:stretch>
                  </pic:blipFill>
                  <pic:spPr>
                    <a:xfrm>
                      <a:off x="0" y="0"/>
                      <a:ext cx="3716020" cy="633730"/>
                    </a:xfrm>
                    <a:prstGeom prst="rect">
                      <a:avLst/>
                    </a:prstGeom>
                  </pic:spPr>
                </pic:pic>
              </a:graphicData>
            </a:graphic>
          </wp:inline>
        </w:drawing>
      </w:r>
    </w:p>
    <w:p>
      <w:pPr>
        <w:pStyle w:val="17"/>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85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ind w:left="0" w:left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36</w:t>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r>
        <w:rPr>
          <w:rFonts w:hint="eastAsia"/>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rPr>
        <w:t>东莞市茶山镇公用事业服务中心（东莞市茶山镇道路养护管理所）</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茶山镇环卫保洁及部分绿化养护统筹管理项目</w:t>
      </w:r>
      <w:r>
        <w:rPr>
          <w:rFonts w:hint="eastAsia" w:ascii="宋体" w:hAnsi="宋体" w:eastAsia="宋体"/>
          <w:color w:val="auto"/>
          <w:sz w:val="21"/>
          <w:szCs w:val="21"/>
          <w:highlight w:val="none"/>
        </w:rPr>
        <w:t>（采购项目编号：441900008-2021-00307）</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rPr>
        <w:t>茶山镇环卫保洁及部分绿化养护统筹管理项目</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lang w:val="en-US" w:eastAsia="zh-CN"/>
        </w:rPr>
        <w:t>230,127,392.61</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（3）本项目接受联合体</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联合体成员数不得超过2家</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 xml:space="preserve">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采购人联系人：袁工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地址：东莞市茶山镇</w:t>
      </w:r>
      <w:bookmarkStart w:id="222" w:name="_GoBack"/>
      <w:bookmarkEnd w:id="222"/>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联系电话：0769-81861383</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88" w:rightChars="358"/>
        <w:jc w:val="both"/>
        <w:rPr>
          <w:color w:val="auto"/>
          <w:highlight w:val="none"/>
        </w:rPr>
      </w:pPr>
    </w:p>
    <w:p>
      <w:pPr>
        <w:ind w:right="788"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“●”为核心产品</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本项目为服务项目，无核心产品</w:t>
            </w:r>
            <w:r>
              <w:rPr>
                <w:rFonts w:hint="eastAsia" w:ascii="宋体" w:hAnsi="宋体" w:eastAsia="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val="en-US" w:eastAsia="zh-CN"/>
              </w:rPr>
              <w:t>贰佰叁拾万</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2,300,000.00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号：6232590699050038650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09"/>
        <w:gridCol w:w="780"/>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78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843"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2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体系认证</w:t>
            </w:r>
          </w:p>
        </w:tc>
        <w:tc>
          <w:tcPr>
            <w:tcW w:w="7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p>
        </w:tc>
        <w:tc>
          <w:tcPr>
            <w:tcW w:w="5843"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420" w:firstLineChars="200"/>
              <w:textAlignment w:val="auto"/>
              <w:rPr>
                <w:rFonts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en-US" w:eastAsia="zh-CN"/>
              </w:rPr>
              <w:t>投标人</w:t>
            </w:r>
            <w:r>
              <w:rPr>
                <w:rFonts w:hint="eastAsia" w:ascii="宋体" w:eastAsia="宋体" w:cs="宋体"/>
                <w:b w:val="0"/>
                <w:bCs w:val="0"/>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hint="eastAsia" w:ascii="宋体" w:eastAsia="宋体" w:cs="宋体"/>
                <w:b w:val="0"/>
                <w:bCs w:val="0"/>
                <w:color w:val="auto"/>
                <w:sz w:val="21"/>
                <w:szCs w:val="21"/>
                <w:highlight w:val="none"/>
                <w:lang w:val="en-US" w:eastAsia="zh-CN"/>
              </w:rPr>
              <w:t>2</w:t>
            </w:r>
            <w:r>
              <w:rPr>
                <w:rFonts w:hint="eastAsia" w:ascii="宋体" w:eastAsia="宋体" w:cs="宋体"/>
                <w:b w:val="0"/>
                <w:bCs w:val="0"/>
                <w:color w:val="auto"/>
                <w:sz w:val="21"/>
                <w:szCs w:val="21"/>
                <w:highlight w:val="none"/>
                <w:lang w:val="zh-CN"/>
              </w:rPr>
              <w:t>分，本项最高得</w:t>
            </w:r>
            <w:r>
              <w:rPr>
                <w:rFonts w:hint="eastAsia" w:ascii="宋体" w:eastAsia="宋体" w:cs="宋体"/>
                <w:b w:val="0"/>
                <w:bCs w:val="0"/>
                <w:color w:val="auto"/>
                <w:sz w:val="21"/>
                <w:szCs w:val="21"/>
                <w:highlight w:val="none"/>
                <w:lang w:val="en-US" w:eastAsia="zh-CN"/>
              </w:rPr>
              <w:t>6</w:t>
            </w:r>
            <w:r>
              <w:rPr>
                <w:rFonts w:hint="eastAsia" w:ascii="宋体" w:eastAsia="宋体" w:cs="宋体"/>
                <w:b w:val="0"/>
                <w:bCs w:val="0"/>
                <w:color w:val="auto"/>
                <w:sz w:val="21"/>
                <w:szCs w:val="21"/>
                <w:highlight w:val="none"/>
                <w:lang w:val="zh-CN"/>
              </w:rPr>
              <w:t>分。</w:t>
            </w:r>
          </w:p>
          <w:p>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left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20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业绩</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16</w:t>
            </w:r>
          </w:p>
        </w:tc>
        <w:tc>
          <w:tcPr>
            <w:tcW w:w="5843"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投标人</w:t>
            </w:r>
            <w:r>
              <w:rPr>
                <w:rFonts w:hint="eastAsia" w:ascii="宋体" w:eastAsia="宋体" w:cs="宋体"/>
                <w:b w:val="0"/>
                <w:bCs w:val="0"/>
                <w:color w:val="auto"/>
                <w:sz w:val="21"/>
                <w:szCs w:val="21"/>
                <w:highlight w:val="none"/>
                <w:lang w:val="en-US" w:eastAsia="zh-CN"/>
              </w:rPr>
              <w:t>具有</w:t>
            </w:r>
            <w:r>
              <w:rPr>
                <w:rFonts w:hint="eastAsia" w:ascii="宋体" w:eastAsia="宋体" w:cs="宋体"/>
                <w:b w:val="0"/>
                <w:bCs w:val="0"/>
                <w:color w:val="auto"/>
                <w:sz w:val="21"/>
                <w:szCs w:val="21"/>
                <w:highlight w:val="none"/>
                <w:lang w:val="zh-CN" w:eastAsia="zh-CN"/>
              </w:rPr>
              <w:t>环卫保洁（</w:t>
            </w:r>
            <w:r>
              <w:rPr>
                <w:rFonts w:hint="eastAsia" w:ascii="宋体" w:eastAsia="宋体" w:cs="宋体"/>
                <w:b w:val="0"/>
                <w:bCs w:val="0"/>
                <w:color w:val="auto"/>
                <w:sz w:val="21"/>
                <w:szCs w:val="21"/>
                <w:highlight w:val="none"/>
                <w:lang w:val="en-US" w:eastAsia="zh-CN"/>
              </w:rPr>
              <w:t>或道路保洁</w:t>
            </w:r>
            <w:r>
              <w:rPr>
                <w:rFonts w:hint="eastAsia" w:ascii="宋体" w:eastAsia="宋体" w:cs="宋体"/>
                <w:b w:val="0"/>
                <w:bCs w:val="0"/>
                <w:color w:val="auto"/>
                <w:sz w:val="21"/>
                <w:szCs w:val="21"/>
                <w:highlight w:val="none"/>
                <w:lang w:val="zh-CN" w:eastAsia="zh-CN"/>
              </w:rPr>
              <w:t>）</w:t>
            </w:r>
            <w:r>
              <w:rPr>
                <w:rFonts w:hint="eastAsia" w:ascii="宋体" w:eastAsia="宋体" w:cs="宋体"/>
                <w:b w:val="0"/>
                <w:bCs w:val="0"/>
                <w:color w:val="auto"/>
                <w:sz w:val="21"/>
                <w:szCs w:val="21"/>
                <w:highlight w:val="none"/>
                <w:lang w:val="en-US" w:eastAsia="zh-CN"/>
              </w:rPr>
              <w:t>类项目</w:t>
            </w:r>
            <w:r>
              <w:rPr>
                <w:rFonts w:hint="eastAsia" w:ascii="宋体" w:eastAsia="宋体" w:cs="宋体"/>
                <w:b w:val="0"/>
                <w:bCs w:val="0"/>
                <w:color w:val="auto"/>
                <w:sz w:val="21"/>
                <w:szCs w:val="21"/>
                <w:highlight w:val="none"/>
                <w:lang w:val="zh-CN"/>
              </w:rPr>
              <w:t>业绩的，每</w:t>
            </w:r>
            <w:r>
              <w:rPr>
                <w:rFonts w:hint="eastAsia" w:ascii="宋体" w:eastAsia="宋体" w:cs="宋体"/>
                <w:b w:val="0"/>
                <w:bCs w:val="0"/>
                <w:color w:val="auto"/>
                <w:sz w:val="21"/>
                <w:szCs w:val="21"/>
                <w:highlight w:val="none"/>
                <w:lang w:val="en-US" w:eastAsia="zh-CN"/>
              </w:rPr>
              <w:t>具有一个合同业绩得4分</w:t>
            </w:r>
            <w:r>
              <w:rPr>
                <w:rFonts w:hint="eastAsia" w:ascii="宋体" w:eastAsia="宋体" w:cs="宋体"/>
                <w:b w:val="0"/>
                <w:bCs w:val="0"/>
                <w:color w:val="auto"/>
                <w:sz w:val="21"/>
                <w:szCs w:val="21"/>
                <w:highlight w:val="none"/>
                <w:lang w:val="zh-CN"/>
              </w:rPr>
              <w:t>，本项最高得</w:t>
            </w:r>
            <w:r>
              <w:rPr>
                <w:rFonts w:hint="eastAsia" w:ascii="宋体" w:eastAsia="宋体" w:cs="宋体"/>
                <w:b w:val="0"/>
                <w:bCs w:val="0"/>
                <w:color w:val="auto"/>
                <w:sz w:val="21"/>
                <w:szCs w:val="21"/>
                <w:highlight w:val="none"/>
                <w:lang w:val="en-US" w:eastAsia="zh-CN"/>
              </w:rPr>
              <w:t>16</w:t>
            </w:r>
            <w:r>
              <w:rPr>
                <w:rFonts w:hint="eastAsia" w:ascii="宋体" w:eastAsia="宋体" w:cs="宋体"/>
                <w:b w:val="0"/>
                <w:bCs w:val="0"/>
                <w:color w:val="auto"/>
                <w:sz w:val="21"/>
                <w:szCs w:val="21"/>
                <w:highlight w:val="none"/>
                <w:lang w:val="zh-CN"/>
              </w:rPr>
              <w:t>分。</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注：须提供合同复印件</w:t>
            </w:r>
            <w:r>
              <w:rPr>
                <w:rFonts w:hint="eastAsia" w:ascii="宋体" w:eastAsia="宋体" w:cs="宋体"/>
                <w:b w:val="0"/>
                <w:bCs w:val="0"/>
                <w:color w:val="auto"/>
                <w:sz w:val="21"/>
                <w:szCs w:val="21"/>
                <w:highlight w:val="none"/>
                <w:lang w:val="en-US" w:eastAsia="zh-CN"/>
              </w:rPr>
              <w:t>并</w:t>
            </w:r>
            <w:r>
              <w:rPr>
                <w:rFonts w:hint="eastAsia" w:ascii="宋体" w:eastAsia="宋体" w:cs="宋体"/>
                <w:b w:val="0"/>
                <w:bCs w:val="0"/>
                <w:color w:val="auto"/>
                <w:sz w:val="21"/>
                <w:szCs w:val="21"/>
                <w:highlight w:val="none"/>
                <w:lang w:val="zh-CN"/>
              </w:rPr>
              <w:t>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3</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企业荣誉</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5843"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投标人获得过政府部门颁发的“先进”、“优秀”、“文明”等荣誉的，每提供一个得2分，</w:t>
            </w:r>
            <w:r>
              <w:rPr>
                <w:rFonts w:hint="eastAsia" w:ascii="宋体" w:eastAsia="宋体" w:cs="宋体"/>
                <w:b w:val="0"/>
                <w:bCs w:val="0"/>
                <w:color w:val="auto"/>
                <w:sz w:val="21"/>
                <w:szCs w:val="21"/>
                <w:highlight w:val="none"/>
                <w:lang w:val="zh-CN"/>
              </w:rPr>
              <w:t>本项</w:t>
            </w:r>
            <w:r>
              <w:rPr>
                <w:rFonts w:hint="eastAsia" w:ascii="宋体" w:eastAsia="宋体" w:cs="宋体"/>
                <w:b w:val="0"/>
                <w:bCs w:val="0"/>
                <w:color w:val="auto"/>
                <w:sz w:val="21"/>
                <w:szCs w:val="21"/>
                <w:highlight w:val="none"/>
                <w:lang w:val="en-US" w:eastAsia="zh-CN"/>
              </w:rPr>
              <w:t>最高得6分。</w:t>
            </w:r>
          </w:p>
          <w:p>
            <w:pPr>
              <w:pStyle w:val="31"/>
              <w:keepNext w:val="0"/>
              <w:keepLines w:val="0"/>
              <w:pageBreakBefore w:val="0"/>
              <w:kinsoku/>
              <w:wordWrap/>
              <w:overflowPunct/>
              <w:topLinePunct w:val="0"/>
              <w:bidi w:val="0"/>
              <w:spacing w:line="360" w:lineRule="auto"/>
              <w:ind w:firstLine="420" w:firstLineChars="200"/>
              <w:textAlignment w:val="auto"/>
              <w:rPr>
                <w:rFonts w:hint="default"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注：须提供相关荣誉证书复印件或通报文件复印件，并加盖投标人公章，否则不得分。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eastAsia="宋体" w:cs="宋体"/>
                <w:b w:val="0"/>
                <w:bCs w:val="0"/>
                <w:color w:val="auto"/>
                <w:sz w:val="21"/>
                <w:szCs w:val="21"/>
                <w:highlight w:val="none"/>
                <w:lang w:val="en-US" w:eastAsia="zh-CN"/>
              </w:rPr>
              <w:t>4</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服务响应时间</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p>
        </w:tc>
        <w:tc>
          <w:tcPr>
            <w:tcW w:w="5843"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eastAsia="zh-CN"/>
              </w:rPr>
            </w:pPr>
            <w:r>
              <w:rPr>
                <w:rFonts w:hint="eastAsia" w:ascii="宋体" w:eastAsia="宋体" w:cs="宋体"/>
                <w:b w:val="0"/>
                <w:bCs w:val="0"/>
                <w:color w:val="auto"/>
                <w:sz w:val="21"/>
                <w:szCs w:val="21"/>
                <w:highlight w:val="none"/>
                <w:lang w:val="zh-CN"/>
              </w:rPr>
              <w:t>根据投标人提供的服务响应时间承诺进行</w:t>
            </w:r>
            <w:r>
              <w:rPr>
                <w:rFonts w:hint="eastAsia" w:ascii="宋体" w:eastAsia="宋体" w:cs="宋体"/>
                <w:b w:val="0"/>
                <w:bCs w:val="0"/>
                <w:color w:val="auto"/>
                <w:sz w:val="21"/>
                <w:szCs w:val="21"/>
                <w:highlight w:val="none"/>
                <w:lang w:val="en-US" w:eastAsia="zh-CN"/>
              </w:rPr>
              <w:t>评审：</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承诺在接到采购人通知后1小时内到现场</w:t>
            </w:r>
            <w:r>
              <w:rPr>
                <w:rFonts w:hint="eastAsia" w:ascii="宋体" w:eastAsia="宋体" w:cs="宋体"/>
                <w:b w:val="0"/>
                <w:bCs w:val="0"/>
                <w:color w:val="auto"/>
                <w:sz w:val="21"/>
                <w:szCs w:val="21"/>
                <w:highlight w:val="none"/>
                <w:lang w:val="en-US" w:eastAsia="zh-CN"/>
              </w:rPr>
              <w:t>的</w:t>
            </w:r>
            <w:r>
              <w:rPr>
                <w:rFonts w:hint="eastAsia" w:ascii="宋体" w:eastAsia="宋体" w:cs="宋体"/>
                <w:b w:val="0"/>
                <w:bCs w:val="0"/>
                <w:color w:val="auto"/>
                <w:sz w:val="21"/>
                <w:szCs w:val="21"/>
                <w:highlight w:val="none"/>
                <w:lang w:val="zh-CN"/>
              </w:rPr>
              <w:t>，得</w:t>
            </w:r>
            <w:r>
              <w:rPr>
                <w:rFonts w:hint="eastAsia" w:ascii="宋体" w:eastAsia="宋体" w:cs="宋体"/>
                <w:b w:val="0"/>
                <w:bCs w:val="0"/>
                <w:color w:val="auto"/>
                <w:sz w:val="21"/>
                <w:szCs w:val="21"/>
                <w:highlight w:val="none"/>
                <w:lang w:val="en-US" w:eastAsia="zh-CN"/>
              </w:rPr>
              <w:t>2</w:t>
            </w:r>
            <w:r>
              <w:rPr>
                <w:rFonts w:hint="eastAsia" w:ascii="宋体" w:eastAsia="宋体" w:cs="宋体"/>
                <w:b w:val="0"/>
                <w:bCs w:val="0"/>
                <w:color w:val="auto"/>
                <w:sz w:val="21"/>
                <w:szCs w:val="21"/>
                <w:highlight w:val="none"/>
                <w:lang w:val="zh-CN"/>
              </w:rPr>
              <w:t>分；</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承诺在接到采购人通知后2小时内到现场</w:t>
            </w:r>
            <w:r>
              <w:rPr>
                <w:rFonts w:hint="eastAsia" w:ascii="宋体" w:eastAsia="宋体" w:cs="宋体"/>
                <w:b w:val="0"/>
                <w:bCs w:val="0"/>
                <w:color w:val="auto"/>
                <w:sz w:val="21"/>
                <w:szCs w:val="21"/>
                <w:highlight w:val="none"/>
                <w:lang w:val="en-US" w:eastAsia="zh-CN"/>
              </w:rPr>
              <w:t>的</w:t>
            </w:r>
            <w:r>
              <w:rPr>
                <w:rFonts w:hint="eastAsia" w:ascii="宋体" w:eastAsia="宋体" w:cs="宋体"/>
                <w:b w:val="0"/>
                <w:bCs w:val="0"/>
                <w:color w:val="auto"/>
                <w:sz w:val="21"/>
                <w:szCs w:val="21"/>
                <w:highlight w:val="none"/>
                <w:lang w:val="zh-CN"/>
              </w:rPr>
              <w:t>，得</w:t>
            </w:r>
            <w:r>
              <w:rPr>
                <w:rFonts w:hint="eastAsia" w:ascii="宋体" w:eastAsia="宋体" w:cs="宋体"/>
                <w:b w:val="0"/>
                <w:bCs w:val="0"/>
                <w:color w:val="auto"/>
                <w:sz w:val="21"/>
                <w:szCs w:val="21"/>
                <w:highlight w:val="none"/>
                <w:lang w:val="en-US" w:eastAsia="zh-CN"/>
              </w:rPr>
              <w:t>1</w:t>
            </w:r>
            <w:r>
              <w:rPr>
                <w:rFonts w:hint="eastAsia" w:ascii="宋体" w:eastAsia="宋体" w:cs="宋体"/>
                <w:b w:val="0"/>
                <w:bCs w:val="0"/>
                <w:color w:val="auto"/>
                <w:sz w:val="21"/>
                <w:szCs w:val="21"/>
                <w:highlight w:val="none"/>
                <w:lang w:val="zh-CN"/>
              </w:rPr>
              <w:t>分；</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承诺在接到采购人通知后3小时内到现场</w:t>
            </w:r>
            <w:r>
              <w:rPr>
                <w:rFonts w:hint="eastAsia" w:ascii="宋体" w:eastAsia="宋体" w:cs="宋体"/>
                <w:b w:val="0"/>
                <w:bCs w:val="0"/>
                <w:color w:val="auto"/>
                <w:sz w:val="21"/>
                <w:szCs w:val="21"/>
                <w:highlight w:val="none"/>
                <w:lang w:val="en-US" w:eastAsia="zh-CN"/>
              </w:rPr>
              <w:t>的</w:t>
            </w:r>
            <w:r>
              <w:rPr>
                <w:rFonts w:hint="eastAsia" w:ascii="宋体" w:eastAsia="宋体" w:cs="宋体"/>
                <w:b w:val="0"/>
                <w:bCs w:val="0"/>
                <w:color w:val="auto"/>
                <w:sz w:val="21"/>
                <w:szCs w:val="21"/>
                <w:highlight w:val="none"/>
                <w:lang w:val="zh-CN"/>
              </w:rPr>
              <w:t>，得</w:t>
            </w:r>
            <w:r>
              <w:rPr>
                <w:rFonts w:hint="eastAsia" w:ascii="宋体" w:eastAsia="宋体" w:cs="宋体"/>
                <w:b w:val="0"/>
                <w:bCs w:val="0"/>
                <w:color w:val="auto"/>
                <w:sz w:val="21"/>
                <w:szCs w:val="21"/>
                <w:highlight w:val="none"/>
                <w:lang w:val="en-US" w:eastAsia="zh-CN"/>
              </w:rPr>
              <w:t>0.5</w:t>
            </w:r>
            <w:r>
              <w:rPr>
                <w:rFonts w:hint="eastAsia" w:ascii="宋体" w:eastAsia="宋体" w:cs="宋体"/>
                <w:b w:val="0"/>
                <w:bCs w:val="0"/>
                <w:color w:val="auto"/>
                <w:sz w:val="21"/>
                <w:szCs w:val="21"/>
                <w:highlight w:val="none"/>
                <w:lang w:val="zh-CN"/>
              </w:rPr>
              <w:t>分；</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en-US" w:eastAsia="zh-CN"/>
              </w:rPr>
              <w:t>未承诺或</w:t>
            </w:r>
            <w:r>
              <w:rPr>
                <w:rFonts w:hint="eastAsia" w:ascii="宋体" w:eastAsia="宋体" w:cs="宋体"/>
                <w:b w:val="0"/>
                <w:bCs w:val="0"/>
                <w:color w:val="auto"/>
                <w:sz w:val="21"/>
                <w:szCs w:val="21"/>
                <w:highlight w:val="none"/>
                <w:lang w:val="zh-CN"/>
              </w:rPr>
              <w:t>承诺在接到采购人通知后超过3小时到现场</w:t>
            </w:r>
            <w:r>
              <w:rPr>
                <w:rFonts w:hint="eastAsia" w:ascii="宋体" w:eastAsia="宋体" w:cs="宋体"/>
                <w:b w:val="0"/>
                <w:bCs w:val="0"/>
                <w:color w:val="auto"/>
                <w:sz w:val="21"/>
                <w:szCs w:val="21"/>
                <w:highlight w:val="none"/>
                <w:lang w:val="en-US" w:eastAsia="zh-CN"/>
              </w:rPr>
              <w:t>的</w:t>
            </w:r>
            <w:r>
              <w:rPr>
                <w:rFonts w:hint="eastAsia" w:ascii="宋体" w:eastAsia="宋体" w:cs="宋体"/>
                <w:b w:val="0"/>
                <w:bCs w:val="0"/>
                <w:color w:val="auto"/>
                <w:sz w:val="21"/>
                <w:szCs w:val="21"/>
                <w:highlight w:val="none"/>
                <w:lang w:val="zh-CN"/>
              </w:rPr>
              <w:t>，</w:t>
            </w:r>
            <w:r>
              <w:rPr>
                <w:rFonts w:hint="eastAsia" w:ascii="宋体" w:eastAsia="宋体" w:cs="宋体"/>
                <w:b w:val="0"/>
                <w:bCs w:val="0"/>
                <w:color w:val="auto"/>
                <w:sz w:val="21"/>
                <w:szCs w:val="21"/>
                <w:highlight w:val="none"/>
                <w:lang w:val="en-US" w:eastAsia="zh-CN"/>
              </w:rPr>
              <w:t>不得分</w:t>
            </w:r>
            <w:r>
              <w:rPr>
                <w:rFonts w:hint="eastAsia" w:ascii="宋体" w:eastAsia="宋体" w:cs="宋体"/>
                <w:b w:val="0"/>
                <w:bCs w:val="0"/>
                <w:color w:val="auto"/>
                <w:sz w:val="21"/>
                <w:szCs w:val="21"/>
                <w:highlight w:val="none"/>
                <w:lang w:val="zh-CN"/>
              </w:rPr>
              <w:t>。</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eastAsia="宋体" w:cs="宋体"/>
                <w:b w:val="0"/>
                <w:bCs w:val="0"/>
                <w:color w:val="auto"/>
                <w:sz w:val="21"/>
                <w:szCs w:val="21"/>
                <w:highlight w:val="none"/>
                <w:lang w:val="zh-CN"/>
              </w:rPr>
            </w:pPr>
            <w:r>
              <w:rPr>
                <w:rFonts w:hint="eastAsia" w:ascii="宋体" w:eastAsia="宋体" w:cs="宋体"/>
                <w:b w:val="0"/>
                <w:bCs w:val="0"/>
                <w:color w:val="auto"/>
                <w:sz w:val="21"/>
                <w:szCs w:val="21"/>
                <w:highlight w:val="none"/>
                <w:lang w:val="zh-CN"/>
              </w:rPr>
              <w:t>注：</w:t>
            </w:r>
            <w:r>
              <w:rPr>
                <w:rFonts w:hint="eastAsia" w:ascii="宋体" w:eastAsia="宋体" w:cs="宋体"/>
                <w:b w:val="0"/>
                <w:bCs w:val="0"/>
                <w:color w:val="auto"/>
                <w:sz w:val="21"/>
                <w:szCs w:val="21"/>
                <w:highlight w:val="none"/>
                <w:lang w:val="en-US" w:eastAsia="zh-CN"/>
              </w:rPr>
              <w:t>须</w:t>
            </w:r>
            <w:r>
              <w:rPr>
                <w:rFonts w:hint="eastAsia" w:ascii="宋体" w:eastAsia="宋体" w:cs="宋体"/>
                <w:b w:val="0"/>
                <w:bCs w:val="0"/>
                <w:color w:val="auto"/>
                <w:sz w:val="21"/>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技术评审（</w:t>
            </w:r>
            <w:r>
              <w:rPr>
                <w:rFonts w:hint="eastAsia" w:ascii="宋体" w:hAnsi="宋体" w:eastAsia="宋体" w:cs="宋体"/>
                <w:b/>
                <w:bCs/>
                <w:color w:val="auto"/>
                <w:sz w:val="21"/>
                <w:szCs w:val="21"/>
                <w:highlight w:val="none"/>
                <w:lang w:val="en-US" w:eastAsia="zh-CN"/>
              </w:rPr>
              <w:t>6</w:t>
            </w:r>
            <w:r>
              <w:rPr>
                <w:rFonts w:hint="eastAsia" w:asci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对项目的理解</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5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根据投标人对项目现状的认识，基础资料调查，重点难点分析等情况进行综合评审： </w:t>
            </w:r>
          </w:p>
          <w:p>
            <w:pPr>
              <w:keepNext w:val="0"/>
              <w:keepLines w:val="0"/>
              <w:pageBreakBefore w:val="0"/>
              <w:kinsoku/>
              <w:wordWrap/>
              <w:overflowPunct/>
              <w:topLinePunct w:val="0"/>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项目现状认识深刻，基础资料调查非常完整，重点难点分析到位</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 xml:space="preserve">分； </w:t>
            </w:r>
          </w:p>
          <w:p>
            <w:pPr>
              <w:keepNext w:val="0"/>
              <w:keepLines w:val="0"/>
              <w:pageBreakBefore w:val="0"/>
              <w:kinsoku/>
              <w:wordWrap/>
              <w:overflowPunct/>
              <w:topLinePunct w:val="0"/>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项目现状认识较为深刻，基础资料调查较为完整，重点难点分析比较到位</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 xml:space="preserve">分； </w:t>
            </w:r>
          </w:p>
          <w:p>
            <w:pPr>
              <w:keepNext w:val="0"/>
              <w:keepLines w:val="0"/>
              <w:pageBreakBefore w:val="0"/>
              <w:kinsoku/>
              <w:wordWrap/>
              <w:overflowPunct/>
              <w:topLinePunct w:val="0"/>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项目现状认识一般，基础资料调查一般完整，重点难点分析一般</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 xml:space="preserve">分； </w:t>
            </w:r>
          </w:p>
          <w:p>
            <w:pPr>
              <w:keepNext w:val="0"/>
              <w:keepLines w:val="0"/>
              <w:pageBreakBefore w:val="0"/>
              <w:kinsoku/>
              <w:wordWrap/>
              <w:overflowPunct/>
              <w:topLinePunct w:val="0"/>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项目现状认识偏弱，基础资料调查不太完整，重点难点分析不到位</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 xml:space="preserve">，得1分； </w:t>
            </w:r>
          </w:p>
          <w:p>
            <w:pPr>
              <w:pStyle w:val="31"/>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rPr>
              <w:t>提供</w:t>
            </w:r>
            <w:r>
              <w:rPr>
                <w:rFonts w:hint="eastAsia" w:ascii="宋体" w:eastAsia="宋体" w:cs="宋体"/>
                <w:color w:val="auto"/>
                <w:sz w:val="21"/>
                <w:szCs w:val="21"/>
                <w:highlight w:val="none"/>
                <w:lang w:val="en-US" w:eastAsia="zh-CN"/>
              </w:rPr>
              <w:t>方案</w:t>
            </w:r>
            <w:r>
              <w:rPr>
                <w:rFonts w:hint="eastAsia" w:ascii="宋体" w:eastAsia="宋体" w:cs="宋体"/>
                <w:color w:val="auto"/>
                <w:sz w:val="21"/>
                <w:szCs w:val="21"/>
                <w:highlight w:val="none"/>
              </w:rPr>
              <w:t xml:space="preserve">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5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根据投标人针对本项目作出的项目实施方案是否具有针对性、可行性、科学性等进行综合评审：</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方案完善具体、针对性强、可行性强、科学合理的，得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方案比较完善、针对性较强、可行性较强、较合理的，得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方案不够具体、针对性一般、可行性一般、合理的，得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方案简单，针对性差，可行性差的，得1分。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rPr>
              <w:t>提供</w:t>
            </w:r>
            <w:r>
              <w:rPr>
                <w:rFonts w:hint="eastAsia" w:ascii="宋体" w:eastAsia="宋体" w:cs="宋体"/>
                <w:color w:val="auto"/>
                <w:sz w:val="21"/>
                <w:szCs w:val="21"/>
                <w:highlight w:val="none"/>
                <w:lang w:val="en-US" w:eastAsia="zh-CN"/>
              </w:rPr>
              <w:t>方案</w:t>
            </w:r>
            <w:r>
              <w:rPr>
                <w:rFonts w:hint="eastAsia" w:ascii="宋体" w:eastAsia="宋体" w:cs="宋体"/>
                <w:color w:val="auto"/>
                <w:sz w:val="21"/>
                <w:szCs w:val="21"/>
                <w:highlight w:val="none"/>
              </w:rPr>
              <w:t xml:space="preserve">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质量及安全保证措施</w:t>
            </w:r>
          </w:p>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15</w:t>
            </w:r>
          </w:p>
        </w:tc>
        <w:tc>
          <w:tcPr>
            <w:tcW w:w="5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zh-CN"/>
              </w:rPr>
              <w:t>根据投标人对</w:t>
            </w:r>
            <w:r>
              <w:rPr>
                <w:rFonts w:hint="eastAsia" w:ascii="宋体" w:eastAsia="宋体" w:cs="宋体"/>
                <w:color w:val="auto"/>
                <w:sz w:val="21"/>
                <w:szCs w:val="21"/>
                <w:highlight w:val="none"/>
              </w:rPr>
              <w:t>本项目的要求，提供项目质量及安全保证措施等方案进行综合评审：</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质量及安全保证措施非常明确可行、保证措施方案非常详细的，得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质量及安全保证措施比较明确可行、保证措施方案比较详细的，得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质量及安全保证措施一般、保证措施方案一般的，得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质量及安全保证措施不明确、可行性差、内容简单的，得1分。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rPr>
              <w:t>提供</w:t>
            </w:r>
            <w:r>
              <w:rPr>
                <w:rFonts w:hint="eastAsia" w:ascii="宋体" w:eastAsia="宋体" w:cs="宋体"/>
                <w:color w:val="auto"/>
                <w:sz w:val="21"/>
                <w:szCs w:val="21"/>
                <w:highlight w:val="none"/>
                <w:lang w:val="en-US" w:eastAsia="zh-CN"/>
              </w:rPr>
              <w:t>方案</w:t>
            </w:r>
            <w:r>
              <w:rPr>
                <w:rFonts w:hint="eastAsia" w:ascii="宋体" w:eastAsia="宋体" w:cs="宋体"/>
                <w:color w:val="auto"/>
                <w:sz w:val="21"/>
                <w:szCs w:val="21"/>
                <w:highlight w:val="none"/>
              </w:rPr>
              <w:t xml:space="preserve">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服务自律承诺</w:t>
            </w:r>
          </w:p>
        </w:tc>
        <w:tc>
          <w:tcPr>
            <w:tcW w:w="78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eastAsia="宋体" w:cs="宋体"/>
                <w:color w:val="auto"/>
                <w:sz w:val="21"/>
                <w:szCs w:val="21"/>
                <w:highlight w:val="none"/>
                <w:lang w:val="en-US" w:eastAsia="zh-CN"/>
              </w:rPr>
              <w:t>0</w:t>
            </w:r>
          </w:p>
        </w:tc>
        <w:tc>
          <w:tcPr>
            <w:tcW w:w="5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根据投标人对本项目能够承诺保证有足够的人力</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val="zh-CN"/>
              </w:rPr>
              <w:t>设备及作出违约责任的内容进行</w:t>
            </w:r>
            <w:r>
              <w:rPr>
                <w:rFonts w:hint="eastAsia" w:ascii="宋体" w:eastAsia="宋体" w:cs="宋体"/>
                <w:color w:val="auto"/>
                <w:sz w:val="21"/>
                <w:szCs w:val="21"/>
                <w:highlight w:val="none"/>
              </w:rPr>
              <w:t>综合评审：</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提供优质服务，作出违约责任等承诺具体可行、非常详细的，得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提供较良服务，作出违约责任等承诺的比较可行性、比较详细的，得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提供较良服务，作出违约责任等承诺的可行性一般的，得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提供较差服务，作出违约责任等承诺的可行性差、内容简单的，得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应急方案</w:t>
            </w:r>
          </w:p>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eastAsia="宋体" w:cs="宋体"/>
                <w:color w:val="auto"/>
                <w:sz w:val="21"/>
                <w:szCs w:val="21"/>
                <w:highlight w:val="none"/>
                <w:lang w:val="en-US" w:eastAsia="zh-CN"/>
              </w:rPr>
              <w:t>0</w:t>
            </w:r>
          </w:p>
        </w:tc>
        <w:tc>
          <w:tcPr>
            <w:tcW w:w="5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auto"/>
              <w:ind w:firstLine="420" w:firstLineChars="200"/>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根据投标人</w:t>
            </w:r>
            <w:r>
              <w:rPr>
                <w:rFonts w:hint="eastAsia" w:ascii="宋体" w:eastAsia="宋体" w:cs="宋体"/>
                <w:color w:val="auto"/>
                <w:sz w:val="21"/>
                <w:szCs w:val="21"/>
                <w:highlight w:val="none"/>
                <w:lang w:val="zh-CN"/>
              </w:rPr>
              <w:t>针对台风、暴雨等天气影响，重大接待任务，重大节假日或活动等特殊情况制定应急处置方案，包括传达机制、人员和设备调配、责任分工等</w:t>
            </w:r>
            <w:r>
              <w:rPr>
                <w:rFonts w:hint="eastAsia" w:ascii="宋体" w:eastAsia="宋体" w:cs="宋体"/>
                <w:color w:val="auto"/>
                <w:sz w:val="21"/>
                <w:szCs w:val="21"/>
                <w:highlight w:val="none"/>
                <w:lang w:val="en-US" w:eastAsia="zh-CN"/>
              </w:rPr>
              <w:t>进行综合评审：</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应急方案科学合理，能针对上述情况提出具体方案，可操作性强，得1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应急方案较合理，能针对上述情况提出较具体方案，可操作性较强，得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应急方案基本完整，能针对上述情况提出简单方案，可操作性一般，得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应急方案简单，不能应对上述情况，得1分。</w:t>
            </w:r>
          </w:p>
          <w:p>
            <w:pPr>
              <w:keepNext w:val="0"/>
              <w:keepLines w:val="0"/>
              <w:pageBreakBefore w:val="0"/>
              <w:kinsoku/>
              <w:wordWrap/>
              <w:overflowPunct/>
              <w:topLinePunct w:val="0"/>
              <w:bidi w:val="0"/>
              <w:spacing w:after="0"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lang w:val="zh-CN"/>
              </w:rPr>
              <w:t>提供</w:t>
            </w:r>
            <w:r>
              <w:rPr>
                <w:rFonts w:hint="eastAsia" w:ascii="宋体" w:eastAsia="宋体" w:cs="宋体"/>
                <w:color w:val="auto"/>
                <w:sz w:val="21"/>
                <w:szCs w:val="21"/>
                <w:highlight w:val="none"/>
                <w:lang w:val="en-US" w:eastAsia="zh-CN"/>
              </w:rPr>
              <w:t>方案</w:t>
            </w:r>
            <w:r>
              <w:rPr>
                <w:rFonts w:hint="eastAsia" w:asci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注：①以上评标标准，投标人以联合体形式参加投标的，联合体各方中有任何一方符合上述得分标准的均可得分。②</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特殊说明外，以上评审项，同一证明文件不重复计分。③投标人根据以上评分要求提供的投标材料因模糊不清导致评标委员会无法清晰辨认进行评审的，视为无效材料。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w:t>
            </w:r>
          </w:p>
        </w:tc>
      </w:tr>
    </w:tbl>
    <w:p>
      <w:pPr>
        <w:bidi w:val="0"/>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4"/>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bookmarkStart w:id="6" w:name="_Toc13112"/>
      <w:bookmarkStart w:id="7" w:name="_Toc24679"/>
      <w:bookmarkStart w:id="8" w:name="_Toc31278"/>
      <w:bookmarkStart w:id="9" w:name="_Toc14462"/>
      <w:r>
        <w:rPr>
          <w:rFonts w:hint="eastAsia"/>
          <w:color w:val="auto"/>
          <w:highlight w:val="none"/>
          <w:lang w:val="en-US" w:eastAsia="zh-CN"/>
        </w:rPr>
        <w:t>一、</w:t>
      </w:r>
      <w:r>
        <w:rPr>
          <w:rFonts w:hint="eastAsia"/>
          <w:color w:val="auto"/>
          <w:highlight w:val="none"/>
        </w:rPr>
        <w:t>项目概况</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1、项目名称：茶山镇环卫保洁及部分绿化养护统筹管理项目。</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2、项目清单：</w:t>
      </w:r>
    </w:p>
    <w:tbl>
      <w:tblPr>
        <w:tblStyle w:val="19"/>
        <w:tblW w:w="8637" w:type="dxa"/>
        <w:tblInd w:w="88" w:type="dxa"/>
        <w:tblLayout w:type="fixed"/>
        <w:tblCellMar>
          <w:top w:w="0" w:type="dxa"/>
          <w:left w:w="0" w:type="dxa"/>
          <w:bottom w:w="0" w:type="dxa"/>
          <w:right w:w="0" w:type="dxa"/>
        </w:tblCellMar>
      </w:tblPr>
      <w:tblGrid>
        <w:gridCol w:w="571"/>
        <w:gridCol w:w="2131"/>
        <w:gridCol w:w="1245"/>
        <w:gridCol w:w="1230"/>
        <w:gridCol w:w="1200"/>
        <w:gridCol w:w="1335"/>
        <w:gridCol w:w="925"/>
      </w:tblGrid>
      <w:tr>
        <w:tblPrEx>
          <w:tblCellMar>
            <w:top w:w="0" w:type="dxa"/>
            <w:left w:w="0" w:type="dxa"/>
            <w:bottom w:w="0" w:type="dxa"/>
            <w:right w:w="0" w:type="dxa"/>
          </w:tblCellMar>
        </w:tblPrEx>
        <w:trPr>
          <w:trHeight w:val="589" w:hRule="atLeast"/>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地点</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面积(㎡)</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单价最高限价        (元/年/㎡)</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小计</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(元/年)</w:t>
            </w: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313"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800"/>
              </w:tabs>
              <w:kinsoku/>
              <w:wordWrap/>
              <w:overflowPunct/>
              <w:topLinePunct w:val="0"/>
              <w:autoSpaceDE/>
              <w:autoSpaceDN/>
              <w:bidi w:val="0"/>
              <w:adjustRightInd w:val="0"/>
              <w:snapToGrid w:val="0"/>
              <w:spacing w:after="0" w:line="360" w:lineRule="auto"/>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b/>
                <w:i w:val="0"/>
                <w:color w:val="auto"/>
                <w:kern w:val="0"/>
                <w:sz w:val="21"/>
                <w:szCs w:val="21"/>
                <w:highlight w:val="none"/>
                <w:u w:val="none"/>
                <w:lang w:val="en-US" w:eastAsia="zh-CN" w:bidi="ar"/>
              </w:rPr>
              <w:t>一项：中心区环卫保洁费</w:t>
            </w:r>
          </w:p>
        </w:tc>
      </w:tr>
      <w:tr>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茶山圩</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572501.00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7442513.00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茶山村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160179.00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2082327.00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下朗村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129408.00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1682304.00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848"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（罗山街休闲公园）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552.00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7176.00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848"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（铁路家属区）</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24.31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316.03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31"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862664.31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11214636.03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474"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1441"/>
              </w:tabs>
              <w:kinsoku/>
              <w:wordWrap/>
              <w:overflowPunct/>
              <w:topLinePunct w:val="0"/>
              <w:autoSpaceDE/>
              <w:autoSpaceDN/>
              <w:bidi w:val="0"/>
              <w:adjustRightInd w:val="0"/>
              <w:snapToGrid w:val="0"/>
              <w:spacing w:after="0" w:line="360" w:lineRule="auto"/>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b/>
                <w:i w:val="0"/>
                <w:color w:val="auto"/>
                <w:kern w:val="0"/>
                <w:sz w:val="21"/>
                <w:szCs w:val="21"/>
                <w:highlight w:val="none"/>
                <w:u w:val="none"/>
                <w:lang w:val="en-US" w:eastAsia="zh-CN" w:bidi="ar"/>
              </w:rPr>
              <w:t>二项：中心区绿化养护费</w:t>
            </w:r>
          </w:p>
        </w:tc>
      </w:tr>
      <w:tr>
        <w:tblPrEx>
          <w:tblCellMar>
            <w:top w:w="0" w:type="dxa"/>
            <w:left w:w="0" w:type="dxa"/>
            <w:bottom w:w="0" w:type="dxa"/>
            <w:right w:w="0" w:type="dxa"/>
          </w:tblCellMar>
        </w:tblPrEx>
        <w:trPr>
          <w:trHeight w:val="469"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（怡华中路）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270.00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3240.00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496"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茶山圩社区（茶园路）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210.00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2520.00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415"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（彩虹路）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525.00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496"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（东岳广场）</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236.00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2832.00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751"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（罗山街休闲公园）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108.00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1296.00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696"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茶山圩社区</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（铁路家属区）</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1550.00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18600.00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848"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茶山圩社区（怡华北路和茶石路）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5430.00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65160.00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8329.00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99948.00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01"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rPr>
                <w:rFonts w:hint="eastAsia" w:ascii="宋体" w:hAnsi="宋体" w:eastAsia="宋体" w:cs="宋体"/>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三项：农村片区环卫保洁费</w:t>
            </w: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茶溪社区（工业园）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625127.00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7501524.00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京山村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364524.00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4374288.00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264200.00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3170400.00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2692.27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32307.24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横江排站公园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6860.00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82320.00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8910.00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106920.00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上元村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348061.00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4176732.00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博头村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66311.00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795732.00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冲美村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150823.00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1809876.00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塘角村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392400.00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4708800.00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增埗村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866300.00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10395600.00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增埗河堤路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8910.00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106920.00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黄沙河河堤路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28153.696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337844.352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卢边村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413394.00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4960728.00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寒溪水村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130107.00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1561284.00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南社村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478450.00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5741400.00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粟边村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197768.00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2373216.00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刘黄村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127191.00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1526292.00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孙屋村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63451.00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761412.00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寒溪河东侧河堤路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37841.76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454101.12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超朗村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环卫保洁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382500.00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4590000.00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4963974.726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59567696.71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rPr>
                <w:rFonts w:hint="eastAsia" w:ascii="宋体" w:hAnsi="宋体" w:eastAsia="宋体" w:cs="宋体"/>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四项：农村片区绿化养护费</w:t>
            </w:r>
          </w:p>
        </w:tc>
      </w:tr>
      <w:tr>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34</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茶溪社区（工业园）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197540.00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2172940.00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35</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7405.99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81465.89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横江排站公园</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6000.00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66000.00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横江河堤路）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21965.40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241619.40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38</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上元村（杨林路）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2700.00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29700.00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39</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塘角村（南塘路）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5756.00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63316.00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塘角村（茶塘路）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100.00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41</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沿溪路及增溪路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1615.64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17772.04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增埗河堤路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20824.00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229064.00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43</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黄沙河河堤路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69845.80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768303.80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573"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44</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寒溪河东侧河堤路</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绿化养护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1879.00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11.00 </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20669.00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13"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335631.83 </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3691950.13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621"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五项：中心区生活垃圾压缩转运费</w:t>
            </w:r>
          </w:p>
        </w:tc>
      </w:tr>
      <w:tr>
        <w:tblPrEx>
          <w:tblCellMar>
            <w:top w:w="0" w:type="dxa"/>
            <w:left w:w="0" w:type="dxa"/>
            <w:bottom w:w="0" w:type="dxa"/>
            <w:right w:w="0" w:type="dxa"/>
          </w:tblCellMar>
        </w:tblPrEx>
        <w:trPr>
          <w:trHeight w:val="848"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45</w:t>
            </w:r>
          </w:p>
        </w:tc>
        <w:tc>
          <w:tcPr>
            <w:tcW w:w="2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生活垃圾压缩转运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生活垃圾处理</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16790吨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（46吨/天*365天）</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110元/吨</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1846900.00 </w:t>
            </w: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范围为茶山圩社区和茶溪社区</w:t>
            </w:r>
          </w:p>
        </w:tc>
      </w:tr>
      <w:tr>
        <w:tblPrEx>
          <w:tblCellMar>
            <w:top w:w="0" w:type="dxa"/>
            <w:left w:w="0" w:type="dxa"/>
            <w:bottom w:w="0" w:type="dxa"/>
            <w:right w:w="0" w:type="dxa"/>
          </w:tblCellMar>
        </w:tblPrEx>
        <w:trPr>
          <w:trHeight w:val="573"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16790吨</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1846900.00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rPr>
          <w:trHeight w:val="580" w:hRule="atLeast"/>
        </w:trPr>
        <w:tc>
          <w:tcPr>
            <w:tcW w:w="863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rPr>
                <w:rFonts w:hint="eastAsia" w:ascii="宋体" w:hAnsi="宋体" w:eastAsia="宋体" w:cs="宋体"/>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六项：保安聘用费</w:t>
            </w:r>
          </w:p>
        </w:tc>
      </w:tr>
      <w:tr>
        <w:tblPrEx>
          <w:tblCellMar>
            <w:top w:w="0" w:type="dxa"/>
            <w:left w:w="0" w:type="dxa"/>
            <w:bottom w:w="0" w:type="dxa"/>
            <w:right w:w="0" w:type="dxa"/>
          </w:tblCellMar>
        </w:tblPrEx>
        <w:trPr>
          <w:trHeight w:val="580" w:hRule="atLeast"/>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46</w:t>
            </w:r>
          </w:p>
        </w:tc>
        <w:tc>
          <w:tcPr>
            <w:tcW w:w="2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茶山公园保安</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保安</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6名</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48000元/人/年</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288000.00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包括保安6名（由中标单位到正规保安公司聘请）</w:t>
            </w:r>
          </w:p>
        </w:tc>
      </w:tr>
      <w:tr>
        <w:tblPrEx>
          <w:tblCellMar>
            <w:top w:w="0" w:type="dxa"/>
            <w:left w:w="0" w:type="dxa"/>
            <w:bottom w:w="0" w:type="dxa"/>
            <w:right w:w="0" w:type="dxa"/>
          </w:tblCellMar>
        </w:tblPrEx>
        <w:trPr>
          <w:trHeight w:val="313"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 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6名</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288000.00 </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86"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六项费用每年总合计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76709130.87</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lang w:eastAsia="zh-CN"/>
              </w:rPr>
            </w:pPr>
          </w:p>
        </w:tc>
      </w:tr>
      <w:tr>
        <w:tblPrEx>
          <w:tblCellMar>
            <w:top w:w="0" w:type="dxa"/>
            <w:left w:w="0" w:type="dxa"/>
            <w:bottom w:w="0" w:type="dxa"/>
            <w:right w:w="0" w:type="dxa"/>
          </w:tblCellMar>
        </w:tblPrEx>
        <w:trPr>
          <w:trHeight w:val="386" w:hRule="atLeast"/>
        </w:trPr>
        <w:tc>
          <w:tcPr>
            <w:tcW w:w="39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六项费用三年总合计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b/>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230127392.61</w:t>
            </w: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eastAsia="zh-CN"/>
        </w:rPr>
        <w:t>本</w:t>
      </w:r>
      <w:r>
        <w:rPr>
          <w:rFonts w:hint="eastAsia" w:ascii="宋体" w:hAnsi="宋体" w:eastAsia="宋体" w:cs="宋体"/>
          <w:b/>
          <w:bCs/>
          <w:color w:val="auto"/>
          <w:sz w:val="21"/>
          <w:szCs w:val="21"/>
          <w:highlight w:val="none"/>
        </w:rPr>
        <w:t>项目包括清扫道路</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路缘石的修补、路缘石外侧</w:t>
      </w:r>
      <w:r>
        <w:rPr>
          <w:rFonts w:hint="eastAsia" w:ascii="宋体" w:hAnsi="宋体" w:eastAsia="宋体" w:cs="宋体"/>
          <w:b/>
          <w:bCs/>
          <w:color w:val="auto"/>
          <w:sz w:val="21"/>
          <w:szCs w:val="21"/>
          <w:highlight w:val="none"/>
          <w:lang w:eastAsia="zh-CN"/>
        </w:rPr>
        <w:t>及人行道</w:t>
      </w:r>
      <w:r>
        <w:rPr>
          <w:rFonts w:hint="eastAsia" w:ascii="宋体" w:hAnsi="宋体" w:eastAsia="宋体" w:cs="宋体"/>
          <w:b/>
          <w:bCs/>
          <w:color w:val="auto"/>
          <w:sz w:val="21"/>
          <w:szCs w:val="21"/>
          <w:highlight w:val="none"/>
        </w:rPr>
        <w:t>杂草清除</w:t>
      </w:r>
      <w:r>
        <w:rPr>
          <w:rFonts w:hint="eastAsia" w:ascii="宋体" w:hAnsi="宋体" w:eastAsia="宋体" w:cs="宋体"/>
          <w:b/>
          <w:bCs/>
          <w:color w:val="auto"/>
          <w:kern w:val="0"/>
          <w:sz w:val="21"/>
          <w:szCs w:val="21"/>
          <w:highlight w:val="none"/>
          <w:lang w:eastAsia="zh-CN"/>
        </w:rPr>
        <w:t>、管理范围内绿化带里面</w:t>
      </w:r>
      <w:r>
        <w:rPr>
          <w:rFonts w:hint="eastAsia" w:ascii="宋体" w:hAnsi="宋体" w:eastAsia="宋体" w:cs="宋体"/>
          <w:b/>
          <w:bCs/>
          <w:color w:val="auto"/>
          <w:sz w:val="21"/>
          <w:szCs w:val="21"/>
          <w:highlight w:val="none"/>
        </w:rPr>
        <w:t>雨水井盖的更换（含被盗、损坏等）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雨水井</w:t>
      </w:r>
      <w:r>
        <w:rPr>
          <w:rFonts w:hint="eastAsia" w:ascii="宋体" w:hAnsi="宋体" w:eastAsia="宋体" w:cs="宋体"/>
          <w:b/>
          <w:bCs/>
          <w:color w:val="auto"/>
          <w:sz w:val="21"/>
          <w:szCs w:val="21"/>
          <w:highlight w:val="none"/>
          <w:lang w:eastAsia="zh-CN"/>
        </w:rPr>
        <w:t>口</w:t>
      </w:r>
      <w:r>
        <w:rPr>
          <w:rFonts w:hint="eastAsia" w:ascii="宋体" w:hAnsi="宋体" w:eastAsia="宋体" w:cs="宋体"/>
          <w:b/>
          <w:bCs/>
          <w:color w:val="auto"/>
          <w:sz w:val="21"/>
          <w:szCs w:val="21"/>
          <w:highlight w:val="none"/>
        </w:rPr>
        <w:t>清</w:t>
      </w:r>
      <w:r>
        <w:rPr>
          <w:rFonts w:hint="eastAsia" w:ascii="宋体" w:hAnsi="宋体" w:eastAsia="宋体" w:cs="宋体"/>
          <w:b/>
          <w:bCs/>
          <w:color w:val="auto"/>
          <w:sz w:val="21"/>
          <w:szCs w:val="21"/>
          <w:highlight w:val="none"/>
          <w:lang w:eastAsia="zh-CN"/>
        </w:rPr>
        <w:t>理及值守</w:t>
      </w:r>
      <w:r>
        <w:rPr>
          <w:rFonts w:hint="eastAsia" w:ascii="宋体" w:hAnsi="宋体" w:eastAsia="宋体" w:cs="宋体"/>
          <w:b/>
          <w:bCs/>
          <w:color w:val="auto"/>
          <w:sz w:val="21"/>
          <w:szCs w:val="21"/>
          <w:highlight w:val="none"/>
        </w:rPr>
        <w:t>的日常工作。</w:t>
      </w:r>
      <w:r>
        <w:rPr>
          <w:rFonts w:hint="eastAsia" w:ascii="宋体" w:hAnsi="宋体" w:eastAsia="宋体" w:cs="宋体"/>
          <w:b/>
          <w:bCs/>
          <w:color w:val="auto"/>
          <w:sz w:val="21"/>
          <w:szCs w:val="21"/>
          <w:highlight w:val="none"/>
          <w:lang w:eastAsia="zh-CN"/>
        </w:rPr>
        <w:t>为</w:t>
      </w:r>
      <w:r>
        <w:rPr>
          <w:rFonts w:hint="eastAsia" w:ascii="宋体" w:hAnsi="宋体" w:eastAsia="宋体" w:cs="宋体"/>
          <w:b/>
          <w:bCs/>
          <w:color w:val="auto"/>
          <w:sz w:val="21"/>
          <w:szCs w:val="21"/>
          <w:highlight w:val="none"/>
          <w:lang w:val="en-US" w:eastAsia="zh-CN"/>
        </w:rPr>
        <w:t>核实项目管理金额，</w:t>
      </w:r>
      <w:r>
        <w:rPr>
          <w:rFonts w:hint="eastAsia" w:ascii="宋体" w:hAnsi="宋体" w:eastAsia="宋体" w:cs="宋体"/>
          <w:b/>
          <w:bCs/>
          <w:color w:val="auto"/>
          <w:sz w:val="21"/>
          <w:szCs w:val="21"/>
          <w:highlight w:val="none"/>
          <w:lang w:eastAsia="zh-CN"/>
        </w:rPr>
        <w:t>在本项目启动前，中标单位需与招标单位、第三方测量队（第三方测量队的费用由中标单位支付）及各村(社区)共四方进行现场测量面积并签字确认，再结合中标</w:t>
      </w:r>
      <w:r>
        <w:rPr>
          <w:rFonts w:hint="eastAsia" w:ascii="宋体" w:hAnsi="宋体" w:eastAsia="宋体" w:cs="宋体"/>
          <w:b/>
          <w:bCs/>
          <w:color w:val="auto"/>
          <w:sz w:val="21"/>
          <w:szCs w:val="21"/>
          <w:highlight w:val="none"/>
          <w:lang w:val="en-US" w:eastAsia="zh-CN"/>
        </w:rPr>
        <w:t>单价</w:t>
      </w:r>
      <w:r>
        <w:rPr>
          <w:rFonts w:hint="eastAsia" w:ascii="宋体" w:hAnsi="宋体" w:eastAsia="宋体" w:cs="宋体"/>
          <w:b/>
          <w:bCs/>
          <w:color w:val="auto"/>
          <w:sz w:val="21"/>
          <w:szCs w:val="21"/>
          <w:highlight w:val="none"/>
          <w:lang w:eastAsia="zh-CN"/>
        </w:rPr>
        <w:t>计算实际费用。各村(社区)</w:t>
      </w:r>
      <w:r>
        <w:rPr>
          <w:rFonts w:hint="eastAsia" w:ascii="宋体" w:hAnsi="宋体" w:eastAsia="宋体" w:cs="宋体"/>
          <w:b/>
          <w:bCs/>
          <w:color w:val="auto"/>
          <w:sz w:val="21"/>
          <w:szCs w:val="21"/>
          <w:highlight w:val="none"/>
          <w:lang w:val="en-US" w:eastAsia="zh-CN"/>
        </w:rPr>
        <w:t>测量范围为本村辖区红线范围，住宅区内街小巷、房屋之间巷道只测量宽度为50厘米以上巷道，宽度少于50厘米以下巷道不作测量不作计费，但中标单位必须要清扫保洁，并按考核标准进行评扣分。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3、招标范围：</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茶山镇环卫保洁及部分绿化养护统筹管理项目，包括：中心区（茶山圩、茶山村、下朗村等村社区环卫保洁，茶溪社区（工业区）环卫绿化保洁养护，茶山圩社区（罗山街休闲公园）环卫绿化保洁养护，茶山圩社区（铁路家属区）环卫绿化保洁养护，茶山圩社区（怡华中路）、茶山圩社区（茶园路）、茶山圩社区（彩虹路）、茶山圩社区（东岳广场）、茶山圩社区（怡华北路和茶石路）等路段绿化养护），农村片区（京山村、上元村、超朗村、冲美村、博头村、横江村、寒溪水村、塘角村、粟边村、孙屋村、刘黄村、南社村、増埗村、卢边村等村社区环卫保洁，横江河堤路、增埗河堤路、黄沙河河堤路、寒溪河东侧河堤路等路段环卫绿化保洁养护，上元村（杨林路）、塘角村（南塘路）、塘角村（茶塘路）、沿溪路及增溪路等路段绿化养护，横江公园、横江排站公园等公园环卫绿化保洁养护）。中心区产出的垃圾运到中标单位管理的中心区垃圾转运站处理，农村片区产出的垃圾运到指定的垃圾中转站或处理场处理，费用由中标单位承担，其茶溪社区（工业园）产出的垃圾运到中标单位管理的中心区垃圾转运站处理。负责监管公园广场所有灯饰晚上开启，开启时间按实际而定。公园保安需24小时值班，费用由中标单位承担。中标单位需从正规保安公司聘请公园保安，24小时对公园内及周边地区进行保卫，一切责任由中标单位承担。垃圾上门分类收运及农村片区城市“牛皮癣”清理统一划归本项目市场化管理。遇到检查或应急特发情况，中标单位无条件服从招标单位安排的工作，落实做好相关工作。招标后范围外或新增管理项目必须经招标单位、中标单位、第三方测量队及各村(社区)共四方核实后才能实施和计费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4、招标单位提供的绿化养护面积、保洁面积只作参考依据，不作结算依据，中标单位根据实际测量进行养护，若实际面积有误差时不作调整。</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（1）按中标单价为依据，减少养护费用。月减少面积达不到5000 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，但每季度内累计达到5000 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，从达到次月起按减少后面积进行计算。</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（2）绿化面积及保洁面积增加超过5000 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时，从增加次月起按中标单价为依据，增加养护费用。月增加不到5000 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，但每季度内累计增加达到5000 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以上，按达到次月起按增加后面积进行计算。</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（3）养护的总面积不发生变化的情况下，如只是绿化面积和铺装面积相互发生变化时，养护费用不作调整。</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lang w:val="en-US" w:eastAsia="zh-CN"/>
        </w:rPr>
        <w:t>二、</w:t>
      </w:r>
      <w:r>
        <w:rPr>
          <w:rFonts w:hint="eastAsia"/>
          <w:color w:val="auto"/>
          <w:highlight w:val="none"/>
        </w:rPr>
        <w:t>项目采购实施的基本原则和条件</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1、具有合法资格和能力生产、经营招标文件规定的货物和有能力提供招标文件规定的服务的中国企业法人；</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2" w:firstLineChars="200"/>
        <w:jc w:val="both"/>
        <w:rPr>
          <w:rFonts w:hint="eastAsia" w:ascii="宋体" w:hAnsi="宋体" w:eastAsia="宋体" w:cs="宋体"/>
          <w:b/>
          <w:bCs/>
          <w:color w:val="auto"/>
          <w:kern w:val="2"/>
          <w:sz w:val="21"/>
          <w:szCs w:val="21"/>
        </w:rPr>
      </w:pPr>
      <w:r>
        <w:rPr>
          <w:rFonts w:hint="eastAsia" w:ascii="宋体" w:hAnsi="宋体" w:eastAsia="宋体"/>
          <w:b/>
          <w:bCs/>
          <w:color w:val="auto"/>
          <w:sz w:val="21"/>
          <w:szCs w:val="21"/>
        </w:rPr>
        <w:t>★</w:t>
      </w:r>
      <w:r>
        <w:rPr>
          <w:rFonts w:hint="eastAsia" w:ascii="宋体" w:hAnsi="宋体" w:eastAsia="宋体" w:cs="宋体"/>
          <w:b/>
          <w:bCs/>
          <w:color w:val="auto"/>
          <w:kern w:val="2"/>
          <w:sz w:val="21"/>
          <w:szCs w:val="21"/>
        </w:rPr>
        <w:t>2、</w:t>
      </w:r>
      <w:r>
        <w:rPr>
          <w:rFonts w:hint="eastAsia" w:ascii="宋体" w:hAnsi="宋体" w:eastAsia="宋体" w:cs="宋体"/>
          <w:b/>
          <w:bCs/>
          <w:color w:val="auto"/>
          <w:sz w:val="21"/>
          <w:szCs w:val="21"/>
          <w:highlight w:val="none"/>
          <w:lang w:eastAsia="zh-CN"/>
        </w:rPr>
        <w:t>中标单位须承诺中标结果公示后</w:t>
      </w:r>
      <w:r>
        <w:rPr>
          <w:rFonts w:hint="eastAsia" w:ascii="宋体" w:hAnsi="宋体" w:eastAsia="宋体" w:cs="宋体"/>
          <w:b/>
          <w:bCs/>
          <w:color w:val="auto"/>
          <w:sz w:val="21"/>
          <w:szCs w:val="21"/>
          <w:highlight w:val="none"/>
          <w:lang w:val="en-US" w:eastAsia="zh-CN"/>
        </w:rPr>
        <w:t>20天内</w:t>
      </w:r>
      <w:r>
        <w:rPr>
          <w:rFonts w:hint="eastAsia" w:ascii="宋体" w:hAnsi="宋体" w:eastAsia="宋体" w:cs="宋体"/>
          <w:b/>
          <w:bCs/>
          <w:color w:val="auto"/>
          <w:sz w:val="21"/>
          <w:szCs w:val="21"/>
          <w:highlight w:val="none"/>
        </w:rPr>
        <w:t>在本项目范围内设立规范的办公场所</w:t>
      </w:r>
      <w:r>
        <w:rPr>
          <w:rFonts w:hint="eastAsia" w:ascii="宋体" w:hAnsi="宋体" w:eastAsia="宋体" w:cs="宋体"/>
          <w:b/>
          <w:bCs/>
          <w:color w:val="auto"/>
          <w:kern w:val="2"/>
          <w:sz w:val="21"/>
          <w:szCs w:val="21"/>
        </w:rPr>
        <w:t>（</w:t>
      </w:r>
      <w:r>
        <w:rPr>
          <w:rFonts w:hint="eastAsia" w:ascii="宋体" w:hAnsi="宋体" w:eastAsia="宋体" w:cs="宋体"/>
          <w:b/>
          <w:bCs/>
          <w:color w:val="auto"/>
          <w:kern w:val="2"/>
          <w:sz w:val="21"/>
          <w:szCs w:val="21"/>
          <w:lang w:val="en-US" w:eastAsia="zh-CN"/>
        </w:rPr>
        <w:t>凭</w:t>
      </w:r>
      <w:r>
        <w:rPr>
          <w:rFonts w:hint="eastAsia" w:ascii="宋体" w:hAnsi="宋体" w:eastAsia="宋体" w:cs="宋体"/>
          <w:b/>
          <w:bCs/>
          <w:color w:val="auto"/>
          <w:kern w:val="2"/>
          <w:sz w:val="21"/>
          <w:szCs w:val="21"/>
        </w:rPr>
        <w:t>项目所在镇街</w:t>
      </w:r>
      <w:r>
        <w:rPr>
          <w:rFonts w:hint="eastAsia" w:ascii="宋体" w:hAnsi="宋体" w:eastAsia="宋体" w:cs="宋体"/>
          <w:b/>
          <w:bCs/>
          <w:color w:val="auto"/>
          <w:kern w:val="2"/>
          <w:sz w:val="21"/>
          <w:szCs w:val="21"/>
          <w:lang w:val="en-US" w:eastAsia="zh-CN"/>
        </w:rPr>
        <w:t>税务部门开具的</w:t>
      </w:r>
      <w:r>
        <w:rPr>
          <w:rFonts w:hint="eastAsia" w:ascii="宋体" w:hAnsi="宋体" w:eastAsia="宋体" w:cs="宋体"/>
          <w:b/>
          <w:bCs/>
          <w:color w:val="auto"/>
          <w:kern w:val="2"/>
          <w:sz w:val="21"/>
          <w:szCs w:val="21"/>
        </w:rPr>
        <w:t>发票</w:t>
      </w:r>
      <w:r>
        <w:rPr>
          <w:rFonts w:hint="eastAsia" w:ascii="宋体" w:hAnsi="宋体" w:eastAsia="宋体" w:cs="宋体"/>
          <w:b/>
          <w:bCs/>
          <w:color w:val="auto"/>
          <w:kern w:val="2"/>
          <w:sz w:val="21"/>
          <w:szCs w:val="21"/>
          <w:lang w:val="en-US" w:eastAsia="zh-CN"/>
        </w:rPr>
        <w:t>申请服务费</w:t>
      </w:r>
      <w:r>
        <w:rPr>
          <w:rFonts w:hint="eastAsia" w:ascii="宋体" w:hAnsi="宋体" w:eastAsia="宋体" w:cs="宋体"/>
          <w:b/>
          <w:bCs/>
          <w:color w:val="auto"/>
          <w:kern w:val="2"/>
          <w:sz w:val="21"/>
          <w:szCs w:val="21"/>
        </w:rPr>
        <w:t>）</w:t>
      </w:r>
      <w:r>
        <w:rPr>
          <w:rFonts w:hint="eastAsia" w:ascii="宋体" w:hAnsi="宋体" w:eastAsia="宋体" w:cs="宋体"/>
          <w:b/>
          <w:bCs/>
          <w:color w:val="auto"/>
          <w:sz w:val="21"/>
          <w:szCs w:val="21"/>
          <w:highlight w:val="none"/>
        </w:rPr>
        <w:t>，配置完善的办公设施；要有足够的场地停放车辆及存放相关设备；相关费用由</w:t>
      </w:r>
      <w:r>
        <w:rPr>
          <w:rFonts w:hint="eastAsia" w:ascii="宋体" w:hAnsi="宋体" w:eastAsia="宋体" w:cs="宋体"/>
          <w:b/>
          <w:bCs/>
          <w:color w:val="auto"/>
          <w:sz w:val="21"/>
          <w:szCs w:val="21"/>
          <w:highlight w:val="none"/>
          <w:lang w:eastAsia="zh-CN"/>
        </w:rPr>
        <w:t>中标单位</w:t>
      </w:r>
      <w:r>
        <w:rPr>
          <w:rFonts w:hint="eastAsia" w:ascii="宋体" w:hAnsi="宋体" w:eastAsia="宋体" w:cs="宋体"/>
          <w:b/>
          <w:bCs/>
          <w:color w:val="auto"/>
          <w:sz w:val="21"/>
          <w:szCs w:val="21"/>
          <w:highlight w:val="none"/>
        </w:rPr>
        <w:t>自行承担。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eastAsia="zh-CN"/>
        </w:rPr>
        <w:t>提供单独承诺函）</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应具备的机械设备及工具数量：</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中心区：</w:t>
      </w:r>
      <w:r>
        <w:rPr>
          <w:rFonts w:hint="eastAsia" w:ascii="宋体" w:hAnsi="宋体" w:eastAsia="宋体" w:cs="宋体"/>
          <w:color w:val="auto"/>
          <w:kern w:val="2"/>
          <w:sz w:val="21"/>
          <w:szCs w:val="21"/>
          <w:highlight w:val="none"/>
          <w:lang w:val="en-US" w:eastAsia="zh-CN"/>
        </w:rPr>
        <w:t>5吨扫路车不少于2辆，小型扫路车不少于3辆，8吨以上垃圾压缩车不少于2辆，10吨以上钩臂车不少于1辆，8</w:t>
      </w:r>
      <w:r>
        <w:rPr>
          <w:rFonts w:hint="eastAsia" w:ascii="宋体" w:hAnsi="宋体" w:eastAsia="宋体" w:cs="宋体"/>
          <w:color w:val="auto"/>
          <w:kern w:val="2"/>
          <w:sz w:val="21"/>
          <w:szCs w:val="21"/>
          <w:highlight w:val="none"/>
        </w:rPr>
        <w:t>吨以上洒水车</w:t>
      </w:r>
      <w:r>
        <w:rPr>
          <w:rFonts w:hint="eastAsia" w:ascii="宋体" w:hAnsi="宋体" w:eastAsia="宋体" w:cs="宋体"/>
          <w:color w:val="auto"/>
          <w:kern w:val="2"/>
          <w:sz w:val="21"/>
          <w:szCs w:val="21"/>
          <w:highlight w:val="none"/>
          <w:lang w:eastAsia="zh-CN"/>
        </w:rPr>
        <w:t>不少于</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辆，</w:t>
      </w:r>
      <w:r>
        <w:rPr>
          <w:rFonts w:hint="eastAsia" w:ascii="宋体" w:hAnsi="宋体" w:eastAsia="宋体" w:cs="宋体"/>
          <w:color w:val="auto"/>
          <w:kern w:val="2"/>
          <w:sz w:val="21"/>
          <w:szCs w:val="21"/>
          <w:highlight w:val="none"/>
          <w:lang w:eastAsia="zh-CN"/>
        </w:rPr>
        <w:t>小型路面冲洗车不少于</w:t>
      </w:r>
      <w:r>
        <w:rPr>
          <w:rFonts w:hint="eastAsia" w:ascii="宋体" w:hAnsi="宋体" w:eastAsia="宋体" w:cs="宋体"/>
          <w:color w:val="auto"/>
          <w:kern w:val="2"/>
          <w:sz w:val="21"/>
          <w:szCs w:val="21"/>
          <w:highlight w:val="none"/>
          <w:lang w:val="en-US" w:eastAsia="zh-CN"/>
        </w:rPr>
        <w:t>3辆，路面水磨机不少于3辆，四分类收集车不少于25辆，可回收物平板车不少于2辆，有害垃圾平板车不少于2辆，垃圾分类桶不少于400个。</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农村片区：</w:t>
      </w:r>
      <w:r>
        <w:rPr>
          <w:rFonts w:hint="eastAsia" w:ascii="宋体" w:hAnsi="宋体" w:eastAsia="宋体" w:cs="宋体"/>
          <w:color w:val="auto"/>
          <w:kern w:val="2"/>
          <w:sz w:val="21"/>
          <w:szCs w:val="21"/>
          <w:highlight w:val="none"/>
          <w:lang w:val="en-US" w:eastAsia="zh-CN"/>
        </w:rPr>
        <w:t>5吨扫路车不少于3辆，小型扫路车不少于16辆，8吨以上垃圾压缩车不少于8辆，8</w:t>
      </w:r>
      <w:r>
        <w:rPr>
          <w:rFonts w:hint="eastAsia" w:ascii="宋体" w:hAnsi="宋体" w:eastAsia="宋体" w:cs="宋体"/>
          <w:color w:val="auto"/>
          <w:kern w:val="2"/>
          <w:sz w:val="21"/>
          <w:szCs w:val="21"/>
          <w:highlight w:val="none"/>
        </w:rPr>
        <w:t>吨以上洒水车</w:t>
      </w:r>
      <w:r>
        <w:rPr>
          <w:rFonts w:hint="eastAsia" w:ascii="宋体" w:hAnsi="宋体" w:eastAsia="宋体" w:cs="宋体"/>
          <w:color w:val="auto"/>
          <w:kern w:val="2"/>
          <w:sz w:val="21"/>
          <w:szCs w:val="21"/>
          <w:highlight w:val="none"/>
          <w:lang w:eastAsia="zh-CN"/>
        </w:rPr>
        <w:t>不少于</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辆，</w:t>
      </w:r>
      <w:r>
        <w:rPr>
          <w:rFonts w:hint="eastAsia" w:ascii="宋体" w:hAnsi="宋体" w:eastAsia="宋体" w:cs="宋体"/>
          <w:color w:val="auto"/>
          <w:kern w:val="2"/>
          <w:sz w:val="21"/>
          <w:szCs w:val="21"/>
          <w:highlight w:val="none"/>
          <w:lang w:eastAsia="zh-CN"/>
        </w:rPr>
        <w:t>小型路面冲洗车不少于</w:t>
      </w:r>
      <w:r>
        <w:rPr>
          <w:rFonts w:hint="eastAsia" w:ascii="宋体" w:hAnsi="宋体" w:eastAsia="宋体" w:cs="宋体"/>
          <w:color w:val="auto"/>
          <w:kern w:val="2"/>
          <w:sz w:val="21"/>
          <w:szCs w:val="21"/>
          <w:highlight w:val="none"/>
          <w:lang w:val="en-US" w:eastAsia="zh-CN"/>
        </w:rPr>
        <w:t>29辆，路面水磨机不少于23辆，四分类收集车不少于105辆，可回收物平板车不少于2辆，有害垃圾平板车不少于2辆，垃圾分类桶不少于1000个。</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其他机械设备和工具，按实际需求设置</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4、人员配置：</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中心区：项目经理不少于1人，管理人员不少于10人，工人不少于181人，垃圾上门分类收运及引导员不少于25人，数字城管案件处理配备不少于2人。</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农村片区：项目经理不少于1人，管理人员不少于9人，工人不少于1068人，茶山公园保安配备不少于6人，垃圾上门分类收运及引导员不少于105人，数字城管案件处理配备不少于3人。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default" w:eastAsia="宋体"/>
          <w:color w:val="auto"/>
          <w:highlight w:val="none"/>
          <w:lang w:val="en-US" w:eastAsia="zh-CN"/>
        </w:rPr>
      </w:pPr>
      <w:r>
        <w:rPr>
          <w:rFonts w:hint="eastAsia"/>
          <w:color w:val="auto"/>
          <w:highlight w:val="none"/>
          <w:lang w:val="en-US" w:eastAsia="zh-CN"/>
        </w:rPr>
        <w:t>三、承包费</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承包费</w:t>
      </w:r>
      <w:r>
        <w:rPr>
          <w:rFonts w:hint="eastAsia" w:ascii="宋体" w:hAnsi="宋体" w:eastAsia="宋体" w:cs="宋体"/>
          <w:color w:val="auto"/>
          <w:kern w:val="2"/>
          <w:sz w:val="21"/>
          <w:szCs w:val="21"/>
          <w:highlight w:val="none"/>
        </w:rPr>
        <w:t>含保安费、人员工资、保险费、工具费、水费、电费、设施维护费、道路清扫保洁费、</w:t>
      </w:r>
      <w:r>
        <w:rPr>
          <w:rFonts w:hint="eastAsia" w:ascii="宋体" w:hAnsi="宋体" w:eastAsia="宋体" w:cs="宋体"/>
          <w:color w:val="auto"/>
          <w:kern w:val="2"/>
          <w:sz w:val="21"/>
          <w:szCs w:val="21"/>
          <w:highlight w:val="none"/>
          <w:lang w:eastAsia="zh-CN"/>
        </w:rPr>
        <w:t>绿化养护费、</w:t>
      </w:r>
      <w:r>
        <w:rPr>
          <w:rFonts w:hint="eastAsia" w:ascii="宋体" w:hAnsi="宋体" w:eastAsia="宋体" w:cs="宋体"/>
          <w:color w:val="auto"/>
          <w:kern w:val="2"/>
          <w:sz w:val="21"/>
          <w:szCs w:val="21"/>
          <w:highlight w:val="none"/>
        </w:rPr>
        <w:t>垃圾处理费及税费等一切费用支出，盈亏自负。</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val="en-US" w:eastAsia="zh-CN"/>
        </w:rPr>
        <w:t>四、</w:t>
      </w:r>
      <w:r>
        <w:rPr>
          <w:rFonts w:hint="eastAsia" w:eastAsia="宋体"/>
          <w:color w:val="auto"/>
          <w:highlight w:val="none"/>
        </w:rPr>
        <w:t>承包方式</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1、中标单位按合同价包工、包料、包机械设备、包质量、包安全等一次性包干。</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2、招标单位将道路清扫保洁</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绿化管理养护</w:t>
      </w:r>
      <w:r>
        <w:rPr>
          <w:rFonts w:hint="eastAsia" w:ascii="宋体" w:hAnsi="宋体" w:eastAsia="宋体" w:cs="宋体"/>
          <w:color w:val="auto"/>
          <w:kern w:val="2"/>
          <w:sz w:val="21"/>
          <w:szCs w:val="21"/>
          <w:highlight w:val="none"/>
          <w:lang w:eastAsia="zh-CN"/>
        </w:rPr>
        <w:t>、生活垃圾清运、上门分类收集等</w:t>
      </w:r>
      <w:r>
        <w:rPr>
          <w:rFonts w:hint="eastAsia" w:ascii="宋体" w:hAnsi="宋体" w:eastAsia="宋体" w:cs="宋体"/>
          <w:color w:val="auto"/>
          <w:kern w:val="2"/>
          <w:sz w:val="21"/>
          <w:szCs w:val="21"/>
          <w:highlight w:val="none"/>
        </w:rPr>
        <w:t>任务及相应的经费交给中标单位，中标单位按招标单位的管理要求和标准组织管理养护工作，并接受招标单位的指导、监督和检查验收。</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3、按国家规定应由中标单位缴纳的各种费用(包括养护期间所需的水费、电费、设施维护费、垃圾处理费等)，已包含在合同价款内，由中标单位向有关部门支付。</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default" w:eastAsia="宋体"/>
          <w:color w:val="auto"/>
          <w:highlight w:val="none"/>
          <w:lang w:val="en-US" w:eastAsia="zh-CN"/>
        </w:rPr>
      </w:pPr>
      <w:r>
        <w:rPr>
          <w:rFonts w:hint="eastAsia"/>
          <w:color w:val="auto"/>
          <w:highlight w:val="none"/>
          <w:lang w:val="en-US" w:eastAsia="zh-CN"/>
        </w:rPr>
        <w:t>五、承包期</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承包期</w:t>
      </w:r>
      <w:r>
        <w:rPr>
          <w:rFonts w:hint="eastAsia" w:ascii="宋体" w:hAnsi="宋体" w:eastAsia="宋体" w:cs="宋体"/>
          <w:color w:val="auto"/>
          <w:kern w:val="2"/>
          <w:sz w:val="21"/>
          <w:szCs w:val="21"/>
          <w:highlight w:val="none"/>
          <w:lang w:eastAsia="zh-CN"/>
        </w:rPr>
        <w:t>为三</w:t>
      </w:r>
      <w:r>
        <w:rPr>
          <w:rFonts w:hint="eastAsia" w:ascii="宋体" w:hAnsi="宋体" w:eastAsia="宋体" w:cs="宋体"/>
          <w:color w:val="auto"/>
          <w:kern w:val="2"/>
          <w:sz w:val="21"/>
          <w:szCs w:val="21"/>
          <w:highlight w:val="none"/>
        </w:rPr>
        <w:t>年。</w:t>
      </w:r>
      <w:r>
        <w:rPr>
          <w:rFonts w:hint="eastAsia" w:ascii="宋体" w:hAnsi="宋体" w:eastAsia="宋体" w:cs="宋体"/>
          <w:color w:val="auto"/>
          <w:sz w:val="21"/>
          <w:szCs w:val="21"/>
          <w:highlight w:val="none"/>
        </w:rPr>
        <w:t>（具体以签订合同时间为准。）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val="en-US" w:eastAsia="zh-CN"/>
        </w:rPr>
        <w:t>六、</w:t>
      </w:r>
      <w:r>
        <w:rPr>
          <w:rFonts w:hint="eastAsia" w:eastAsia="宋体"/>
          <w:color w:val="auto"/>
          <w:highlight w:val="none"/>
        </w:rPr>
        <w:t>付款方式</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1、合同生效后第二个月起每月10日前向中标单位支付上个月的养护费；</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2、每月养护费在支付前须经招标单位现场考核评分后方可支付；</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3、养护费按月计算（每月承包费在养护管理优良达标的情况下全额支付；否则，只支付被扣除后的余额。）；</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须提交的合同履约保证金，合同期满后，</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在一个月内如数无息退还给</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。如果</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在合同期内违约致使被取消合同的，</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将没收全部保证金；</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w:t>
      </w:r>
      <w:r>
        <w:rPr>
          <w:rFonts w:hint="eastAsia" w:ascii="宋体" w:hAnsi="宋体" w:eastAsia="宋体" w:cs="宋体"/>
          <w:color w:val="auto"/>
          <w:kern w:val="2"/>
          <w:sz w:val="21"/>
          <w:szCs w:val="21"/>
          <w:highlight w:val="none"/>
          <w:lang w:eastAsia="zh-CN"/>
        </w:rPr>
        <w:t>项目</w:t>
      </w:r>
      <w:r>
        <w:rPr>
          <w:rFonts w:hint="eastAsia" w:ascii="宋体" w:hAnsi="宋体" w:eastAsia="宋体" w:cs="宋体"/>
          <w:color w:val="auto"/>
          <w:kern w:val="2"/>
          <w:sz w:val="21"/>
          <w:szCs w:val="21"/>
          <w:highlight w:val="none"/>
        </w:rPr>
        <w:t>道路清扫保洁和绿化养护工程的养护经费由镇政府协调拨款，如因政策的影响，拨款未能及时到位，中标单位不得以此为由而不履行本合同规定的义务，否则招标单位按规定扣罚。</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val="en-US" w:eastAsia="zh-CN"/>
        </w:rPr>
        <w:t>七、</w:t>
      </w:r>
      <w:r>
        <w:rPr>
          <w:rFonts w:hint="eastAsia" w:eastAsia="宋体"/>
          <w:color w:val="auto"/>
          <w:highlight w:val="none"/>
        </w:rPr>
        <w:t>项目作业标准和要求</w:t>
      </w:r>
    </w:p>
    <w:p>
      <w:pPr>
        <w:keepNext w:val="0"/>
        <w:keepLines w:val="0"/>
        <w:pageBreakBefore w:val="0"/>
        <w:widowControl w:val="0"/>
        <w:numPr>
          <w:ilvl w:val="0"/>
          <w:numId w:val="0"/>
        </w:numPr>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（一）绿化养护标准和要求</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天上午8：00时前完成绿地和园建道路的清洁工作，做好保洁，保洁时间为15小时（早8：00－晚23：00）。在早8：00－晚23：00内绿地和园建道路每100平方米范围内有纸屑、胶袋、石块、杂物（规格&gt;3厘米×3厘米）超过2单位，每单位扣1.5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2、发现垃圾连片的地方（特别是花生壳、瓜子壳）或出现鼠洞、蚁穴、蚊蝇孳生地。按（面积6厘米×6厘米）每处扣1分。出现鼠洞、蚁穴、蚊蝇孳生地的，每处扣0.4分。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3、在绿地区内发生焚烧杂物，每处扣1分。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4、发现乱张贴、涂鸦现象的，每次扣0.3分。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5、绿地边线以外2米内，发现有垃圾、枯枝、草渣等积存，杂草丛生，每处扣0.3分。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6、绿化修剪后的枯枝叶等，在修剪当天未能及时运走、清除或清扫保洁的，以10米为单位，每单位扣0.5分。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7、草坪覆盖率：达99%以上，杂草率低于1%随机抽查20平方米绿地（包括灌木丛和绿篱），平均每平方米绿地杂草不超过10株，每超过1株扣1.5分。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8、经常除杂草和松土，除杂松土要保护根系，不能伤根及造成根系裸露，更不能造成黄土裸露（特殊情况除外）。未及时给苗木松土或松土不规范或造成根系裸露、黄土裸露的，每处扣0.5分。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9、管护（能及时淋水、施肥、松土、除杂等）得当未见病虫害发生，苗木长势茂盛。因管护不当及病虫害而导致苗木长势太弱，不够茂盛的，每株乔、灌木（指成形单株）扣2分。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10、管理、养护（能及时淋水、施肥、松土、除杂等）得当未见病虫害发生，草坪或绿篱长势茂盛。因管护不当及病虫害而导致草坪或绿篱长势太弱，不够茂盛的，每平方米扣2分。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11、苗木或草皮缺损能及时采取补种措施。未能及时采用补救措施的，行道树每株扣3分，乔、灌木每株扣1分，草地或绿篱，每平方米扣2分。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根据季节特点和草种生育特性，使草高一致，且控制在：台湾草5厘米以下，大叶油草、假俭草、沿阶草、夏威夷草10厘米以下。修剪后，草色均匀、无明显机痕。因未及时修剪草坪造成“草包”明显或草株过高或修剪不规范，而影响景观，每100平方米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13、草坪边缘整齐，绿化带（单边）草皮的生长不超出路牙并及时修剪。超出路牙不修剪的，超出部分每10米扣1分。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灌木、造型植物或绿篱及时修剪保持美观（详见说明）；花灌木和草本花卉的修剪，以保花为主，避免剪掉花芽，花谢后及时将残花残枝剪去，常年开花植物要有目的地培养花枝，使四季有花。因修剪不当或不修剪，影响美观或引起灌木和草本花卉不能正常开花的，每株扣1分或每平方米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15、要及时剪除乔木（含棕榈植物）的荫枝、下垂枝、下缘线下的萌蘖枝、干枯枝，每株的荫枝、下垂枝、枯枝、残枝不超过2枝。单株须剪未剪枝条超过2枝的，每株扣1分。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16、行道树修剪要保持树冠完整美观，枝下高一致主侧枝分布匀称，内膛枝疏密均匀、通风透光，每年入冬前主干刷白一次。因行道树修剪不当或缺乏修剪而影响道路美观或树木生长的，每株扣1分。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17、按要求配备合适的养护、技术、管理人员等，养护人员在规定的作业时间内准时上岗且人员充足。在规定的作业时间内无人上岗或人员配备不够的，每次或每路段缺1人扣2分。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18、按要求配备相应作业设备包括水车，喷药车、升降车、剪草机、草坪的疏草机、打孔机等，在必要时必须投入机械作业。相应作业设备配备不足或在规定的作业时间内未用于作业，每缺1项设施扣2分。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根据植物的生长需要加强淋水和施肥，保证肥水充足，肥料的施用科学，防止过量或缺肥或不均匀引起肥害。经监理单位验肥合格后，方可进行施肥。肥水投入不充足或不及时，每次扣2.5分；未经验肥，而进行施肥，每发现1次扣2.5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20、养护人员于作业时及往反途中身着统一按市局标准工装、佩带工牌。养护工作人员与路人接触时举止文明礼貌。对排放植物残渣的处理以及自身作业行为均须符合规范。未按要求落实，每次扣3分。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21、与作业无关的物品不得进入养护工地，而有关的物品，如单车、箩筐、雨衣等较大物件，在工地放置时必须隐蔽，不得妨碍景观。未按要求落实，每宗扣0.5分。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22、对全民植树活动或突击性的绿化任务，能按时、按标准、按要求完成所分配的工作。未按时按要求完成的，每次扣3分。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23、每逢节假日，如春节、元旦、五一、国庆节等或某些特别日子，能按上级要求完成别安排的工作。未按时按要求完成的，当月绿化养护评分不合格。</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对不可抗力（如台风、暴雨等自然灾害）造成的绿化损害，中标单位应在12小时内或在招标单位设定的时间内及时完成现场清理和恢复性的工作。未能按要求时完成清理、恢复原状工作的，当月考核评分档次为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25、工作到位，未被领导批评。未被市民投诉。如被批评或投诉，情况属实的，当月绿化养护评分不合格，差的处于罚款；影响恶劣的给予终止合同处理。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（二）农村片区环卫清扫保洁标准和要求</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29"/>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1、每天普扫必须早上7点前完成，未按要求落实，每发现一处扣0.2分，扣完为止。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2、一、二级道路每天洒水不少于2次；一、二级道路每周冲洗不少于3次，三、四级道路根据实际情况决定，未按规定落实道路洒水和冲洗的，每发现一次扣0.2分，扣完为止。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3、每天“上门收集”垃圾不少于3次，未按规定收集，每发现一次扣0.2分，扣完为止。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4、果皮、纸屑、塑膜、烟蒂、痰迹每1000平方米标准：一级路为4处；二级路为6处；三级路为8处；四级路为10处。每1000平方米面积内发现超出标准的，每处扣0.2分，扣完为止。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5、路面不得积存污水、泥沙，路沿石不得有明显青苔、杂草、污泥，路面保持原色，未按要求落实，每发现一处扣0.2分，扣完为止。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收集容器（垃圾桶、果皮箱）按生活垃圾四分类要求设置、摆放整齐，无残缺破损，无污迹、无气味；专人负责清掏清洗，清掏每天不少于2次，清洗每星期不少于2次。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7、手推车辆按要求统一标识，加盖密闭，无残缺损坏，无渗漏、无气味，摆放整齐，未按要求落实，每发现一次扣0.2分，扣完为止。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8、机动车辆按要求统一标识，车容整洁、无污物，污垢、无渗漏，无损坏，车容整洁美观。未按要求落实，每发现一次扣0.2分，扣完为止。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按车额定荷载收集垃圾，不得超载运输垃圾。垃圾密闭运输，途中无垃圾飞扬、撒落、无污水滴漏。垃圾及时清理，确保日产日清，不得存在垃圾堆积现象，不得乱倾倒、不得对周边环境产生二次污染。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10、收集设施按要求落实专人负责，统一标识，站名、编号、作业规章、管理制度等上墙，设施内外整洁干净，无气味，无堆放物，无拉挂物，无污水等。未按要求落实，每发现一次扣0.2分，扣完为止。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11、每天使用“牛皮癣”机或其他设备清理乱张贴等城市“牛皮癣”达95%以上。工人每天清理乱张贴、乱涂污、乱拉挂等城市“牛皮癣”达95%以上。未按要求落实，每发现一次扣0.2分，扣完为止。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每天24小时内派工作人员上路巡查，防止乱张贴等行为发生。使用化学物品全面清洗，不得损坏建构物表面，使用颜料粉刷，必须按“色差一致、形状统一、干净整洁、协调美观”的要求进行。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13、员工持证上岗，统一穿着市局标准服饰，遵纪守法，文明作业。未按要求落实，每发现一次扣0.2分，扣完为止。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重要或突击性活动，按时、按标准、按要求完成分配的工作任务。接收到整改通知书后，必须诚恳接受，并在规定时间内完成整改内容。受到市民投诉，经调查认定情况属实的，且在规定时间内未及时整改处理。未按要求落实，每发现一次扣0.5分。扣完为止。</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15、每月村综合评分，分值达90分以上的为合格。90分以下（不含90分）的，每少1分就扣0.5分（如分值89分，即扣0.5分），扣完为止。</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（三）中心区环卫清扫保洁标准和要求</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1、每天普扫必须早上7点前完成，未按要求落实，每发现一处扣0.2分，扣完为止。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2、一、二级道路每天洒水不少于2次；一、二级道路每周冲洗不少于3次，三、四级道路根据实际情况决定，未按规定落实道路洒水和冲洗的，每发现一次扣0.2分，扣完为止。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3、每天“上门收集”垃圾不少于3次，未按规定收集，每发现一次扣0.2分，扣完为止。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4、果皮、纸屑、塑膜、烟蒂、痰迹每1000平方米标准：一级路为4处；二级路为6处；三级路为8处；四级路为10处。每1000平方米面积内发现超出标准的，每处扣0.2分，扣完为止。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5、路面不得积存污水、泥沙，路沿石不得有明显青苔、杂草、污泥，路面保持原色，未按要求落实，每发现一处扣0.2分，扣完为止。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6、收集容器（垃圾桶、果皮箱）按要求设置、摆放整齐，无残缺破损，无污迹、无气味；专人负责清掏清洗，清掏每天不少于2次，清洗每星期不少于2次。未按要求落实，每发现一处扣0.2分，扣完为止。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7、手推车辆按要求统一标识，加盖密闭，无残缺损坏，无渗漏、无气味，摆放整齐，未按要求落实，每发现一次扣0.2分，扣完为止。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8、机动车辆按要求统一标识，车容整洁、无污物，污垢、无渗漏，无损坏，车容整洁美观。未按要求落实，每发现一次扣0.2分，扣完为止。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按车额定荷载收集垃圾，不得超载运输垃圾。垃圾密闭运输，途中无垃圾飞扬、撒落、无污水滴漏。垃圾及时清理，确保日产日清，不得存在垃圾堆积现象，不得乱倾倒、不得对周边环境产生二次污染。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10、收集设施按要求落实专人负责，统一标识，站名、编号、作业规章、管理制度等上墙，设施内外整洁干净，无气味，无堆放物，无拉挂物，无污水等。未按要求落实，每发现一次扣0.2分，扣完为止。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11、员工持证上岗，统一服饰，遵纪守法，文明作业。未按要求落实，每发现一次扣0.2分，扣完为止。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重要或突击性活动，按时、按标准、按要求完成分配的工作任务。接收到整改通知书后，必须诚恳接受，并在规定时间内完成整改内容。受到市民投诉，经调查认定情况属实的，且在规定时间内未及时整改处理。未按要求落实，每发现一次扣0.5分。扣完为止。</w:t>
      </w:r>
    </w:p>
    <w:p>
      <w:pPr>
        <w:keepNext w:val="0"/>
        <w:keepLines w:val="0"/>
        <w:pageBreakBefore w:val="0"/>
        <w:widowControl w:val="0"/>
        <w:numPr>
          <w:ilvl w:val="0"/>
          <w:numId w:val="0"/>
        </w:numPr>
        <w:kinsoku/>
        <w:overflowPunct/>
        <w:topLinePunct w:val="0"/>
        <w:autoSpaceDE/>
        <w:autoSpaceDN/>
        <w:bidi w:val="0"/>
        <w:spacing w:before="0"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13、每月村综合评分，分值达90分以上的为合格。90分以下（不含90分）的，每少1分就扣0.5分（如分值89分，即扣0.5分），扣完为止。</w:t>
      </w:r>
    </w:p>
    <w:p>
      <w:pPr>
        <w:keepNext w:val="0"/>
        <w:keepLines w:val="0"/>
        <w:pageBreakBefore w:val="0"/>
        <w:widowControl w:val="0"/>
        <w:numPr>
          <w:ilvl w:val="0"/>
          <w:numId w:val="0"/>
        </w:numPr>
        <w:kinsoku/>
        <w:overflowPunct/>
        <w:topLinePunct w:val="0"/>
        <w:autoSpaceDE/>
        <w:autoSpaceDN/>
        <w:bidi w:val="0"/>
        <w:spacing w:before="0" w:beforeAutospacing="0" w:after="0" w:afterAutospacing="0" w:line="360" w:lineRule="auto"/>
        <w:ind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（四）生活垃圾上门分类收运标准和要求</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1、每天7点到9点，11点到13点，19点到21点，三个时间进行上门收集，每天不少于3次。按照人员和设备清单足额在示范区配置工作人员以及车辆。未按要求落实，每发现一次扣1分。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2、上门收集采用摇铃或者其他方式逐户提示，按照“可回收物、有害垃圾、厨余垃圾、可回收物”分类收集，分类收集后，运输到各村（社区）贮存点。未按要求落实，每发现一处扣1分。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3、收集容器（垃圾桶、果皮箱）按要求顺序摆放整齐，无残缺破损，无污迹、无气味；专人负责清掏清洗，清掏每天不少于2次，清洗每星期不少于2次。未按要求落实，每发现一处扣1分。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4、收集车辆按要求统一标识，加盖密闭，无残缺损坏，无渗漏、无气味，摆放整齐不占道。未按要求落实，每发现一次扣0.5分。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5、机动车辆按要求统一标识，车容整洁、无污物，污垢、无渗漏，无损坏，车容整洁美观。未按要求落实，每发现一次扣0.5分。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6、按车额定荷载收集垃圾，不得超载运输垃圾。垃圾密闭运输，途中无垃圾飞扬、撒落、无污水滴漏。未按要求落实，每发现一次扣0.5分。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7、收集设施按要求落实专人负责，统一标识，站名、编号、作业规章、管理制度等上墙，设施内外整洁干净，无气味，无堆放物，无拉挂物，无污水等。未按要求落实，每发现一处扣0.5分。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8、各村（社区）配置管理人员，每天巡查收集设施不少于2天，并做好登记。登记好每天生活垃圾四分类台账和上门收集规范作业台账，每月定时报送。未按要求落实，每发现一处扣1分。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9、员工持证上岗，统一服饰，遵纪守法，文明作业。重要或突击性活动，按时、按标准、按要求完成分配的工作任务。未按要求落实，每发现一次扣0.5分。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10、接收到整改通知书后，必须诚恳接受，并在规定时间内完成整改内容。未按要求整改或逾期不整改，每发现一次扣0.5分。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11、受到市民投诉，经调查认定情况属实的，且在规定时间内未及时整改处理。证实情况属实且整改不到位，每发现一次扣0.5分。</w:t>
      </w:r>
    </w:p>
    <w:p>
      <w:pPr>
        <w:keepNext w:val="0"/>
        <w:keepLines w:val="0"/>
        <w:pageBreakBefore w:val="0"/>
        <w:widowControl w:val="0"/>
        <w:numPr>
          <w:ilvl w:val="0"/>
          <w:numId w:val="0"/>
        </w:numPr>
        <w:kinsoku/>
        <w:overflowPunct/>
        <w:topLinePunct w:val="0"/>
        <w:autoSpaceDE/>
        <w:autoSpaceDN/>
        <w:bidi w:val="0"/>
        <w:spacing w:before="0" w:beforeAutospacing="0" w:after="0" w:afterAutospacing="0" w:line="360" w:lineRule="auto"/>
        <w:ind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（五）生活垃圾压缩转运标准和要求</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1、压缩机、箱统一标饰，加盖密闭，无残缺破损，无掉漆、无渗漏、无气味；每天最少清洗一次，未按要求落实的，发现每处扣0.2分。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2、机动车辆车容整洁，车体外部无污物、污垢，标志清晰，每天最少清洗一次，未按要求落实的，发现每处扣0.5分。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3、装载按车辆额定荷载和有效容积为限，不得超重、超载；装卸时不得乱倒、乱抛垃圾，保持周围环境整洁卫生。密闭运输，途中无垃圾飞扬、撒落、拖拉和污水滴漏。未按要求落实的，发现每处扣0.2分。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4、司机统一着装、持证上岗，不得酒后驾驶，严格遵守交通规则安全行驶，未按要求落实的，发现每处扣0.5分。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转运站在显眼位置设立标志牌，公布作业规章、管理制度、站名、编号、作业时间及投诉电话；设有防尘、防污染扩散及污水处理设施并使用。站内不得堆放非必须物品，不得分拣垃圾和居住；场地应整洁，无垃圾散落和污水；室内通风良好，无恶臭、无积尘、蜘蛛网，定期喷洒“除四害”药物。站外周边环境卫生整洁美观，无乱堆放、无张贴和涂画。工人统一着装，持证上岗、严格按照规章制度作业。未按要求落实的，发现每处扣0.2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6、垃圾日产日清，运输到横沥科伟焚烧，不得乱倾倒、填埋，不得对周边环境产生二次污染，不得处理外来垃圾。未按要求落实的，发现每处扣0.5分。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7、转运站安全作业、佩戴上岗证上岗、有灭火器安全措施等。未按要求落实的，发现每处扣0.5分。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lang w:val="en-US" w:eastAsia="zh-CN"/>
        </w:rPr>
        <w:t>八、</w:t>
      </w:r>
      <w:r>
        <w:rPr>
          <w:rFonts w:hint="eastAsia"/>
          <w:color w:val="auto"/>
          <w:highlight w:val="none"/>
        </w:rPr>
        <w:t>项目管理及进度安排</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招标单位及时传达上级有关园林绿化管理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环卫保洁</w:t>
      </w:r>
      <w:r>
        <w:rPr>
          <w:rFonts w:hint="eastAsia" w:ascii="宋体" w:hAnsi="宋体" w:eastAsia="宋体" w:cs="宋体"/>
          <w:color w:val="auto"/>
          <w:kern w:val="2"/>
          <w:sz w:val="21"/>
          <w:szCs w:val="21"/>
          <w:highlight w:val="none"/>
          <w:lang w:eastAsia="zh-CN"/>
        </w:rPr>
        <w:t>及生活垃圾分类工作</w:t>
      </w:r>
      <w:r>
        <w:rPr>
          <w:rFonts w:hint="eastAsia" w:ascii="宋体" w:hAnsi="宋体" w:eastAsia="宋体" w:cs="宋体"/>
          <w:color w:val="auto"/>
          <w:kern w:val="2"/>
          <w:sz w:val="21"/>
          <w:szCs w:val="21"/>
          <w:highlight w:val="none"/>
        </w:rPr>
        <w:t>的要求，指导督促中标单位工作。根据作业规范，采用定期或不定期的方式检查中标单位的工作质量，中标单位养护管理工作达不到要求的，责令其整改。</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每月按《茶山镇绿化养护现场考核评分表》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考评标准，对中标单位的工作质量分定期和不定期进行综合考核评分，考核分数达到优良标准的，拨付中标单位当月全部承包费；考核分数未达到优良标准的，按考核分数扣减当月承包费的相应比例。</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保留对上述标准的修改权。</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3、招标单位配合中标单位做好绿化养护</w:t>
      </w:r>
      <w:r>
        <w:rPr>
          <w:rFonts w:hint="eastAsia" w:ascii="宋体" w:hAnsi="宋体" w:eastAsia="宋体" w:cs="宋体"/>
          <w:color w:val="auto"/>
          <w:kern w:val="2"/>
          <w:sz w:val="21"/>
          <w:szCs w:val="21"/>
          <w:highlight w:val="none"/>
          <w:lang w:eastAsia="zh-CN"/>
        </w:rPr>
        <w:t>、环卫</w:t>
      </w:r>
      <w:r>
        <w:rPr>
          <w:rFonts w:hint="eastAsia" w:ascii="宋体" w:hAnsi="宋体" w:eastAsia="宋体" w:cs="宋体"/>
          <w:color w:val="auto"/>
          <w:kern w:val="2"/>
          <w:sz w:val="21"/>
          <w:szCs w:val="21"/>
          <w:highlight w:val="none"/>
        </w:rPr>
        <w:t>保洁</w:t>
      </w:r>
      <w:r>
        <w:rPr>
          <w:rFonts w:hint="eastAsia" w:ascii="宋体" w:hAnsi="宋体" w:eastAsia="宋体" w:cs="宋体"/>
          <w:color w:val="auto"/>
          <w:kern w:val="2"/>
          <w:sz w:val="21"/>
          <w:szCs w:val="21"/>
          <w:highlight w:val="none"/>
          <w:lang w:eastAsia="zh-CN"/>
        </w:rPr>
        <w:t>及生活垃圾分类工作</w:t>
      </w:r>
      <w:r>
        <w:rPr>
          <w:rFonts w:hint="eastAsia" w:ascii="宋体" w:hAnsi="宋体" w:eastAsia="宋体" w:cs="宋体"/>
          <w:color w:val="auto"/>
          <w:kern w:val="2"/>
          <w:sz w:val="21"/>
          <w:szCs w:val="21"/>
          <w:highlight w:val="none"/>
        </w:rPr>
        <w:t>的宣传、监督工作，教育市民遵守有关管理规定和配合</w:t>
      </w:r>
      <w:r>
        <w:rPr>
          <w:rFonts w:hint="eastAsia" w:ascii="宋体" w:hAnsi="宋体" w:eastAsia="宋体" w:cs="宋体"/>
          <w:color w:val="auto"/>
          <w:kern w:val="2"/>
          <w:sz w:val="21"/>
          <w:szCs w:val="21"/>
          <w:highlight w:val="none"/>
          <w:lang w:eastAsia="zh-CN"/>
        </w:rPr>
        <w:t>中标单位做好各项工作</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4、中标单位必须积极响应并接受市领导的监督检查，若受到市领导的批评，经调查认定情况属实的，</w:t>
      </w:r>
      <w:r>
        <w:rPr>
          <w:rFonts w:hint="eastAsia" w:ascii="宋体" w:hAnsi="宋体" w:eastAsia="宋体" w:cs="宋体"/>
          <w:color w:val="auto"/>
          <w:kern w:val="2"/>
          <w:sz w:val="21"/>
          <w:szCs w:val="21"/>
          <w:highlight w:val="none"/>
          <w:lang w:eastAsia="zh-CN"/>
        </w:rPr>
        <w:t>在当月</w:t>
      </w:r>
      <w:r>
        <w:rPr>
          <w:rFonts w:hint="eastAsia" w:ascii="宋体" w:hAnsi="宋体" w:eastAsia="宋体" w:cs="宋体"/>
          <w:color w:val="auto"/>
          <w:kern w:val="2"/>
          <w:sz w:val="21"/>
          <w:szCs w:val="21"/>
          <w:highlight w:val="none"/>
        </w:rPr>
        <w:t>《茶山镇绿化养护现场考核评分表》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《茶山镇生活垃圾压缩转运考核评分表》考核评分</w:t>
      </w:r>
      <w:r>
        <w:rPr>
          <w:rFonts w:hint="eastAsia" w:ascii="宋体" w:hAnsi="宋体" w:eastAsia="宋体" w:cs="宋体"/>
          <w:color w:val="auto"/>
          <w:kern w:val="2"/>
          <w:sz w:val="21"/>
          <w:szCs w:val="21"/>
          <w:highlight w:val="none"/>
          <w:lang w:eastAsia="zh-CN"/>
        </w:rPr>
        <w:t>各</w:t>
      </w:r>
      <w:r>
        <w:rPr>
          <w:rFonts w:hint="eastAsia" w:ascii="宋体" w:hAnsi="宋体" w:eastAsia="宋体" w:cs="宋体"/>
          <w:color w:val="auto"/>
          <w:kern w:val="2"/>
          <w:sz w:val="21"/>
          <w:szCs w:val="21"/>
          <w:highlight w:val="none"/>
        </w:rPr>
        <w:t xml:space="preserve">扣5分，并视情节轻重予以罚款，造成恶劣影响的，招标单位有权单方面终止合同； </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必须随时、随地接受广大市民的监督，若受到市民的投诉，经调查认定情况属实的，</w:t>
      </w:r>
      <w:r>
        <w:rPr>
          <w:rFonts w:hint="eastAsia" w:ascii="宋体" w:hAnsi="宋体" w:eastAsia="宋体" w:cs="宋体"/>
          <w:color w:val="auto"/>
          <w:kern w:val="2"/>
          <w:sz w:val="21"/>
          <w:szCs w:val="21"/>
          <w:highlight w:val="none"/>
          <w:lang w:eastAsia="zh-CN"/>
        </w:rPr>
        <w:t>在当月</w:t>
      </w:r>
      <w:r>
        <w:rPr>
          <w:rFonts w:hint="eastAsia" w:ascii="宋体" w:hAnsi="宋体" w:eastAsia="宋体" w:cs="宋体"/>
          <w:color w:val="auto"/>
          <w:kern w:val="2"/>
          <w:sz w:val="21"/>
          <w:szCs w:val="21"/>
          <w:highlight w:val="none"/>
        </w:rPr>
        <w:t>《茶山镇绿化养护现场考核评分表》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《茶山镇生活垃圾压缩转运考核评分表》考核评分</w:t>
      </w:r>
      <w:r>
        <w:rPr>
          <w:rFonts w:hint="eastAsia" w:ascii="宋体" w:hAnsi="宋体" w:eastAsia="宋体" w:cs="宋体"/>
          <w:color w:val="auto"/>
          <w:kern w:val="2"/>
          <w:sz w:val="21"/>
          <w:szCs w:val="21"/>
          <w:highlight w:val="none"/>
          <w:lang w:eastAsia="zh-CN"/>
        </w:rPr>
        <w:t>各</w:t>
      </w:r>
      <w:r>
        <w:rPr>
          <w:rFonts w:hint="eastAsia" w:ascii="宋体" w:hAnsi="宋体" w:eastAsia="宋体" w:cs="宋体"/>
          <w:color w:val="auto"/>
          <w:kern w:val="2"/>
          <w:sz w:val="21"/>
          <w:szCs w:val="21"/>
          <w:highlight w:val="none"/>
        </w:rPr>
        <w:t>扣3分，并视情节轻重予以罚款，造成恶劣影响的，招标单位有权单方面终止合同。</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5、逢节假日如劳动节、国庆节、春节及镇委镇政府举办重大活动等，</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需配合</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做好清扫保洁、绿化养护、道路洒水等工作。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6、中标单位必须随时接受</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、上级管理部门以及其它相关部门的监督、检查和指导，必须无条件服从</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组织的全民清洁活动及一些突击性任务及迎检活动，按时、按标准、按要求完成所分配的工作。如在迎检活动中，由于养护工作不到位造成迎检项目不合格，扣减一个月养护经费，连续二次迎检工作因养护工作不到位造成迎检项目不合格，招标单位有权单方面终止</w:t>
      </w:r>
      <w:r>
        <w:rPr>
          <w:rFonts w:hint="eastAsia" w:ascii="宋体" w:hAnsi="宋体" w:eastAsia="宋体" w:cs="宋体"/>
          <w:color w:val="auto"/>
          <w:kern w:val="2"/>
          <w:sz w:val="21"/>
          <w:szCs w:val="21"/>
          <w:highlight w:val="none"/>
          <w:lang w:eastAsia="zh-CN"/>
        </w:rPr>
        <w:t>管理</w:t>
      </w:r>
      <w:r>
        <w:rPr>
          <w:rFonts w:hint="eastAsia" w:ascii="宋体" w:hAnsi="宋体" w:eastAsia="宋体" w:cs="宋体"/>
          <w:color w:val="auto"/>
          <w:kern w:val="2"/>
          <w:sz w:val="21"/>
          <w:szCs w:val="21"/>
          <w:highlight w:val="none"/>
        </w:rPr>
        <w:t>合同，并对中标单位处以</w:t>
      </w:r>
      <w:r>
        <w:rPr>
          <w:rFonts w:hint="eastAsia" w:ascii="宋体" w:hAnsi="宋体" w:eastAsia="宋体" w:cs="宋体"/>
          <w:color w:val="auto"/>
          <w:kern w:val="2"/>
          <w:sz w:val="21"/>
          <w:szCs w:val="21"/>
          <w:highlight w:val="none"/>
          <w:lang w:eastAsia="zh-CN"/>
        </w:rPr>
        <w:t>当月承包款</w:t>
      </w:r>
      <w:r>
        <w:rPr>
          <w:rFonts w:hint="eastAsia" w:ascii="宋体" w:hAnsi="宋体" w:eastAsia="宋体" w:cs="宋体"/>
          <w:color w:val="auto"/>
          <w:kern w:val="2"/>
          <w:sz w:val="21"/>
          <w:szCs w:val="21"/>
          <w:highlight w:val="none"/>
        </w:rPr>
        <w:t>3％的罚款。</w:t>
      </w:r>
    </w:p>
    <w:p>
      <w:pPr>
        <w:keepNext w:val="0"/>
        <w:keepLines w:val="0"/>
        <w:pageBreakBefore w:val="0"/>
        <w:widowControl w:val="0"/>
        <w:tabs>
          <w:tab w:val="left" w:pos="2760"/>
        </w:tabs>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7、承包管理期间，因</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管理不善或其它原因造成绿化损害、乔灌树木倾斜</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清扫保洁不到位及工作人员伤亡的，责任由</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自行负责。如因交通事故造成苗木、树木、雨水井盖</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路缘石</w:t>
      </w:r>
      <w:r>
        <w:rPr>
          <w:rFonts w:hint="eastAsia" w:ascii="宋体" w:hAnsi="宋体" w:eastAsia="宋体" w:cs="宋体"/>
          <w:color w:val="auto"/>
          <w:kern w:val="2"/>
          <w:sz w:val="21"/>
          <w:szCs w:val="21"/>
          <w:highlight w:val="none"/>
          <w:lang w:eastAsia="zh-CN"/>
        </w:rPr>
        <w:t>及环卫设施</w:t>
      </w:r>
      <w:r>
        <w:rPr>
          <w:rFonts w:hint="eastAsia" w:ascii="宋体" w:hAnsi="宋体" w:eastAsia="宋体" w:cs="宋体"/>
          <w:color w:val="auto"/>
          <w:kern w:val="2"/>
          <w:sz w:val="21"/>
          <w:szCs w:val="21"/>
          <w:highlight w:val="none"/>
        </w:rPr>
        <w:t>损坏的，由</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及时报告交警部门和</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，并由当地交警部门协助办理肇事方赔偿事宜。若</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未发现交通肇事车辆或肇事逃逸者，由</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自行负责绿化树木的补种</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路缘石、雨水井盖</w:t>
      </w:r>
      <w:r>
        <w:rPr>
          <w:rFonts w:hint="eastAsia" w:ascii="宋体" w:hAnsi="宋体" w:eastAsia="宋体" w:cs="宋体"/>
          <w:color w:val="auto"/>
          <w:kern w:val="2"/>
          <w:sz w:val="21"/>
          <w:szCs w:val="21"/>
          <w:highlight w:val="none"/>
          <w:lang w:eastAsia="zh-CN"/>
        </w:rPr>
        <w:t>及环卫设施</w:t>
      </w:r>
      <w:r>
        <w:rPr>
          <w:rFonts w:hint="eastAsia" w:ascii="宋体" w:hAnsi="宋体" w:eastAsia="宋体" w:cs="宋体"/>
          <w:color w:val="auto"/>
          <w:kern w:val="2"/>
          <w:sz w:val="21"/>
          <w:szCs w:val="21"/>
          <w:highlight w:val="none"/>
        </w:rPr>
        <w:t>的修复</w:t>
      </w:r>
      <w:r>
        <w:rPr>
          <w:rFonts w:hint="eastAsia" w:ascii="宋体" w:hAnsi="宋体" w:eastAsia="宋体" w:cs="宋体"/>
          <w:color w:val="auto"/>
          <w:kern w:val="2"/>
          <w:sz w:val="21"/>
          <w:szCs w:val="21"/>
          <w:highlight w:val="none"/>
          <w:lang w:eastAsia="zh-CN"/>
        </w:rPr>
        <w:t>或重新购置</w:t>
      </w:r>
      <w:r>
        <w:rPr>
          <w:rFonts w:hint="eastAsia" w:ascii="宋体" w:hAnsi="宋体" w:eastAsia="宋体" w:cs="宋体"/>
          <w:color w:val="auto"/>
          <w:kern w:val="2"/>
          <w:sz w:val="21"/>
          <w:szCs w:val="21"/>
          <w:highlight w:val="none"/>
        </w:rPr>
        <w:t>。</w:t>
      </w:r>
    </w:p>
    <w:p>
      <w:pPr>
        <w:keepNext w:val="0"/>
        <w:keepLines w:val="0"/>
        <w:pageBreakBefore w:val="0"/>
        <w:widowControl w:val="0"/>
        <w:tabs>
          <w:tab w:val="left" w:pos="2760"/>
        </w:tabs>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8、由于不可抗力（如台风、暴雨等自然灾害）造成的绿化景观损害</w:t>
      </w:r>
      <w:r>
        <w:rPr>
          <w:rFonts w:hint="eastAsia" w:ascii="宋体" w:hAnsi="宋体" w:eastAsia="宋体" w:cs="宋体"/>
          <w:color w:val="auto"/>
          <w:kern w:val="2"/>
          <w:sz w:val="21"/>
          <w:szCs w:val="21"/>
          <w:highlight w:val="none"/>
          <w:lang w:eastAsia="zh-CN"/>
        </w:rPr>
        <w:t>和环卫设施损坏</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应在24小时内或</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根据实际情况设定的时间内及时完成现场清理和恢复原状的工作，未能按要求及时完成清理、恢复原状工作的，当月考核评分为差；在</w:t>
      </w:r>
      <w:r>
        <w:rPr>
          <w:rFonts w:hint="eastAsia" w:ascii="宋体" w:hAnsi="宋体" w:eastAsia="宋体" w:cs="宋体"/>
          <w:color w:val="auto"/>
          <w:kern w:val="2"/>
          <w:sz w:val="21"/>
          <w:szCs w:val="21"/>
          <w:highlight w:val="none"/>
          <w:lang w:eastAsia="zh-CN"/>
        </w:rPr>
        <w:t>招标单位</w:t>
      </w:r>
      <w:r>
        <w:rPr>
          <w:rFonts w:hint="eastAsia" w:ascii="宋体" w:hAnsi="宋体" w:eastAsia="宋体" w:cs="宋体"/>
          <w:color w:val="auto"/>
          <w:kern w:val="2"/>
          <w:sz w:val="21"/>
          <w:szCs w:val="21"/>
          <w:highlight w:val="none"/>
        </w:rPr>
        <w:t>根据实际情况设定的恢复原状时间内</w:t>
      </w:r>
      <w:r>
        <w:rPr>
          <w:rFonts w:hint="eastAsia" w:ascii="宋体" w:hAnsi="宋体" w:eastAsia="宋体" w:cs="宋体"/>
          <w:color w:val="auto"/>
          <w:kern w:val="2"/>
          <w:sz w:val="21"/>
          <w:szCs w:val="21"/>
          <w:highlight w:val="none"/>
          <w:lang w:eastAsia="zh-CN"/>
        </w:rPr>
        <w:t>修复</w:t>
      </w:r>
      <w:r>
        <w:rPr>
          <w:rFonts w:hint="eastAsia" w:ascii="宋体" w:hAnsi="宋体" w:eastAsia="宋体" w:cs="宋体"/>
          <w:color w:val="auto"/>
          <w:kern w:val="2"/>
          <w:sz w:val="21"/>
          <w:szCs w:val="21"/>
          <w:highlight w:val="none"/>
        </w:rPr>
        <w:t>，受损害部分的将不列入考核评分范围。</w:t>
      </w:r>
    </w:p>
    <w:p>
      <w:pPr>
        <w:keepNext w:val="0"/>
        <w:keepLines w:val="0"/>
        <w:pageBreakBefore w:val="0"/>
        <w:widowControl w:val="0"/>
        <w:tabs>
          <w:tab w:val="left" w:pos="2760"/>
        </w:tabs>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9、中标单位在满足招标文件的前提下向招标单位提供《茶山镇绿化养护实施方案》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农村片区</w:t>
      </w:r>
      <w:r>
        <w:rPr>
          <w:rFonts w:hint="eastAsia" w:ascii="宋体" w:hAnsi="宋体" w:eastAsia="宋体" w:cs="宋体"/>
          <w:color w:val="auto"/>
          <w:kern w:val="2"/>
          <w:sz w:val="21"/>
          <w:szCs w:val="21"/>
          <w:highlight w:val="none"/>
        </w:rPr>
        <w:t>道路保洁实施方案》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中心区</w:t>
      </w:r>
      <w:r>
        <w:rPr>
          <w:rFonts w:hint="eastAsia" w:ascii="宋体" w:hAnsi="宋体" w:eastAsia="宋体" w:cs="宋体"/>
          <w:color w:val="auto"/>
          <w:kern w:val="2"/>
          <w:sz w:val="21"/>
          <w:szCs w:val="21"/>
          <w:highlight w:val="none"/>
        </w:rPr>
        <w:t>道路保洁实施方案》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实施方案</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方案中必须列明具体养护模式和投入本项目的能满足国家有关技术操作规程要求的机械设备清单（须注明名称、规格、数量）；并向招标单位提供有关人员职责名单及其资质证、上岗证复印件。该方案经招标单位审核同意后交由中标单位具体组织实施；养护期间未经招标单位同意，中标单位不得擅自修改变更该方案。</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10、投标单位投入本项目的机械设备清单(须注明名称、规格、数量)，所采用的设备必须满足国家有关技术操作规程的要求；中标单位投入的机械设备在合同签订后20天内要经招标单位验收认定。</w:t>
      </w:r>
    </w:p>
    <w:p>
      <w:pPr>
        <w:keepNext w:val="0"/>
        <w:keepLines w:val="0"/>
        <w:pageBreakBefore w:val="0"/>
        <w:widowControl w:val="0"/>
        <w:tabs>
          <w:tab w:val="left" w:pos="2760"/>
        </w:tabs>
        <w:kinsoku/>
        <w:overflowPunct/>
        <w:topLinePunct w:val="0"/>
        <w:autoSpaceDE/>
        <w:autoSpaceDN/>
        <w:bidi w:val="0"/>
        <w:adjustRightInd/>
        <w:snapToGrid/>
        <w:spacing w:beforeAutospacing="0" w:after="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11、合同期内，中标单位必须根据承包合同中的各项条款履行各项职责，如发现中标单位组织措施不当、计划不落实、管理不严</w:t>
      </w:r>
      <w:r>
        <w:rPr>
          <w:rFonts w:hint="eastAsia" w:ascii="宋体" w:hAnsi="宋体" w:eastAsia="宋体" w:cs="宋体"/>
          <w:color w:val="auto"/>
          <w:kern w:val="2"/>
          <w:sz w:val="21"/>
          <w:szCs w:val="21"/>
          <w:highlight w:val="none"/>
          <w:lang w:eastAsia="zh-CN"/>
        </w:rPr>
        <w:t>与</w:t>
      </w:r>
      <w:r>
        <w:rPr>
          <w:rFonts w:hint="eastAsia" w:ascii="宋体" w:hAnsi="宋体" w:eastAsia="宋体" w:cs="宋体"/>
          <w:color w:val="auto"/>
          <w:kern w:val="2"/>
          <w:sz w:val="21"/>
          <w:szCs w:val="21"/>
          <w:highlight w:val="none"/>
        </w:rPr>
        <w:t>《茶山镇绿化养护实施方案》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农村片区</w:t>
      </w:r>
      <w:r>
        <w:rPr>
          <w:rFonts w:hint="eastAsia" w:ascii="宋体" w:hAnsi="宋体" w:eastAsia="宋体" w:cs="宋体"/>
          <w:color w:val="auto"/>
          <w:kern w:val="2"/>
          <w:sz w:val="21"/>
          <w:szCs w:val="21"/>
          <w:highlight w:val="none"/>
        </w:rPr>
        <w:t>道路保洁实施方案》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中心区</w:t>
      </w:r>
      <w:r>
        <w:rPr>
          <w:rFonts w:hint="eastAsia" w:ascii="宋体" w:hAnsi="宋体" w:eastAsia="宋体" w:cs="宋体"/>
          <w:color w:val="auto"/>
          <w:kern w:val="2"/>
          <w:sz w:val="21"/>
          <w:szCs w:val="21"/>
          <w:highlight w:val="none"/>
        </w:rPr>
        <w:t>道路保洁实施方案》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实施方案</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茶山镇生活垃圾压缩转运实施方案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中所列人员、机械设备与实际不符，导致绿化养护和保洁质量达不到规定标准的，当月考核评分为差，情况严重的，招标单位有权单方面终止合同。</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中标单位应严格遵守《中华人民共和国劳动法》的规定，根据所承担的管理养护内容，按双方协商好的上岗人数自行到有关部门申办用工手续、员工劳动保险等相关手续，安排好员工的住宿和教育管理等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13、中标单位应严格遵守国家法律、法规的规定，做好社会治安综合治理，不得违反国家法律、法规的规定。如中标单位员工有任何违法乱纪行为，中标单位承担一切经济责任和法律责任。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14、中标单位必须做好员工岗前培训和安全教育工作，</w:t>
      </w:r>
      <w:r>
        <w:rPr>
          <w:rFonts w:hint="eastAsia" w:ascii="宋体" w:hAnsi="宋体" w:eastAsia="宋体" w:cs="宋体"/>
          <w:color w:val="auto"/>
          <w:kern w:val="2"/>
          <w:sz w:val="21"/>
          <w:szCs w:val="21"/>
          <w:highlight w:val="none"/>
          <w:lang w:eastAsia="zh-CN"/>
        </w:rPr>
        <w:t>每年不少于</w:t>
      </w:r>
      <w:r>
        <w:rPr>
          <w:rFonts w:hint="eastAsia" w:ascii="宋体" w:hAnsi="宋体" w:eastAsia="宋体" w:cs="宋体"/>
          <w:color w:val="auto"/>
          <w:kern w:val="2"/>
          <w:sz w:val="21"/>
          <w:szCs w:val="21"/>
          <w:highlight w:val="none"/>
          <w:lang w:val="en-US" w:eastAsia="zh-CN"/>
        </w:rPr>
        <w:t>6场安全生产相关活动，</w:t>
      </w:r>
      <w:r>
        <w:rPr>
          <w:rFonts w:hint="eastAsia" w:ascii="宋体" w:hAnsi="宋体" w:eastAsia="宋体" w:cs="宋体"/>
          <w:color w:val="auto"/>
          <w:kern w:val="2"/>
          <w:sz w:val="21"/>
          <w:szCs w:val="21"/>
          <w:highlight w:val="none"/>
        </w:rPr>
        <w:t>并合理安排好员工工资福利，</w:t>
      </w:r>
      <w:r>
        <w:rPr>
          <w:rFonts w:hint="eastAsia" w:ascii="宋体" w:hAnsi="宋体" w:eastAsia="宋体" w:cs="宋体"/>
          <w:color w:val="auto"/>
          <w:kern w:val="2"/>
          <w:sz w:val="21"/>
          <w:szCs w:val="21"/>
          <w:highlight w:val="none"/>
          <w:lang w:eastAsia="zh-CN"/>
        </w:rPr>
        <w:t>每年定期组织员工体检，</w:t>
      </w:r>
      <w:r>
        <w:rPr>
          <w:rFonts w:hint="eastAsia" w:ascii="宋体" w:hAnsi="宋体" w:eastAsia="宋体" w:cs="宋体"/>
          <w:color w:val="auto"/>
          <w:kern w:val="2"/>
          <w:sz w:val="21"/>
          <w:szCs w:val="21"/>
          <w:highlight w:val="none"/>
        </w:rPr>
        <w:t>实行劳动定额制度，严禁超劳动强度作业，同时严格执行我市最低工资标准。若未按我市最低工资标准执行或未及时发放工资而引起员工上访或当地劳动部门接到投诉，情况属实的，招标单位对中标单位扣减当月分数，每人次扣2分。情况严重的，当月考核评为不合格，中标单位必须及时改正。</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15、中标单位必须落实安全生产和安全防火措施，中标单位应按招标单位要求，为上岗工人购买统一的工作服和反光袖套，佩戴统一的工作牌，自行解决安全作业问题，中标单位的工作服式样</w:t>
      </w:r>
      <w:r>
        <w:rPr>
          <w:rFonts w:hint="eastAsia" w:ascii="宋体" w:hAnsi="宋体" w:eastAsia="宋体" w:cs="宋体"/>
          <w:color w:val="auto"/>
          <w:kern w:val="2"/>
          <w:sz w:val="21"/>
          <w:szCs w:val="21"/>
          <w:highlight w:val="none"/>
          <w:lang w:eastAsia="zh-CN"/>
        </w:rPr>
        <w:t>必须按市统一样式落实</w:t>
      </w:r>
      <w:r>
        <w:rPr>
          <w:rFonts w:hint="eastAsia" w:ascii="宋体" w:hAnsi="宋体" w:eastAsia="宋体" w:cs="宋体"/>
          <w:color w:val="auto"/>
          <w:kern w:val="2"/>
          <w:sz w:val="21"/>
          <w:szCs w:val="21"/>
          <w:highlight w:val="none"/>
        </w:rPr>
        <w:t>。中标单位在进行环卫清扫保洁</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绿化养护</w:t>
      </w:r>
      <w:r>
        <w:rPr>
          <w:rFonts w:hint="eastAsia" w:ascii="宋体" w:hAnsi="宋体" w:eastAsia="宋体" w:cs="宋体"/>
          <w:color w:val="auto"/>
          <w:kern w:val="2"/>
          <w:sz w:val="21"/>
          <w:szCs w:val="21"/>
          <w:highlight w:val="none"/>
          <w:lang w:eastAsia="zh-CN"/>
        </w:rPr>
        <w:t>及生活垃圾分类收运</w:t>
      </w:r>
      <w:r>
        <w:rPr>
          <w:rFonts w:hint="eastAsia" w:ascii="宋体" w:hAnsi="宋体" w:eastAsia="宋体" w:cs="宋体"/>
          <w:color w:val="auto"/>
          <w:kern w:val="2"/>
          <w:sz w:val="21"/>
          <w:szCs w:val="21"/>
          <w:highlight w:val="none"/>
        </w:rPr>
        <w:t>作业时，必须认真负责，并注意安全操作，如发生任何意外，中标单位负责事故处理和一切费用，概与招标单位无关。</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16、在合同期内，因国家建设需要征用或招标单位管理需要调整中标单位清扫和养护地段时，中标单位要服从大局，相应减少承包面积及经费。由此造成的经济损失，招标单位不负赔偿责任。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17、中标单位应将负责范围内产生的垃圾运到招标单位指定的垃圾</w:t>
      </w:r>
      <w:r>
        <w:rPr>
          <w:rFonts w:hint="eastAsia" w:ascii="宋体" w:hAnsi="宋体" w:eastAsia="宋体" w:cs="宋体"/>
          <w:color w:val="auto"/>
          <w:kern w:val="2"/>
          <w:sz w:val="21"/>
          <w:szCs w:val="21"/>
          <w:highlight w:val="none"/>
          <w:lang w:eastAsia="zh-CN"/>
        </w:rPr>
        <w:t>处理场所处理</w:t>
      </w:r>
      <w:r>
        <w:rPr>
          <w:rFonts w:hint="eastAsia" w:ascii="宋体" w:hAnsi="宋体" w:eastAsia="宋体" w:cs="宋体"/>
          <w:color w:val="auto"/>
          <w:kern w:val="2"/>
          <w:sz w:val="21"/>
          <w:szCs w:val="21"/>
          <w:highlight w:val="none"/>
        </w:rPr>
        <w:t>，其费用由中标单位支付：禁止装运其它地方</w:t>
      </w:r>
      <w:r>
        <w:rPr>
          <w:rFonts w:hint="eastAsia" w:ascii="宋体" w:hAnsi="宋体" w:eastAsia="宋体" w:cs="宋体"/>
          <w:color w:val="auto"/>
          <w:kern w:val="2"/>
          <w:sz w:val="21"/>
          <w:szCs w:val="21"/>
          <w:highlight w:val="none"/>
          <w:lang w:eastAsia="zh-CN"/>
        </w:rPr>
        <w:t>的生活垃圾或工业固废到指定场所处理</w:t>
      </w:r>
      <w:r>
        <w:rPr>
          <w:rFonts w:hint="eastAsia" w:ascii="宋体" w:hAnsi="宋体" w:eastAsia="宋体" w:cs="宋体"/>
          <w:color w:val="auto"/>
          <w:kern w:val="2"/>
          <w:sz w:val="21"/>
          <w:szCs w:val="21"/>
          <w:highlight w:val="none"/>
        </w:rPr>
        <w:t>，如发现违反，处以每车次1000</w:t>
      </w:r>
      <w:r>
        <w:rPr>
          <w:rFonts w:hint="eastAsia" w:ascii="宋体" w:hAnsi="宋体" w:eastAsia="宋体" w:cs="宋体"/>
          <w:color w:val="auto"/>
          <w:kern w:val="2"/>
          <w:sz w:val="21"/>
          <w:szCs w:val="21"/>
          <w:highlight w:val="none"/>
          <w:lang w:val="en-US" w:eastAsia="zh-CN"/>
        </w:rPr>
        <w:t>0.00</w:t>
      </w:r>
      <w:r>
        <w:rPr>
          <w:rFonts w:hint="eastAsia" w:ascii="宋体" w:hAnsi="宋体" w:eastAsia="宋体" w:cs="宋体"/>
          <w:color w:val="auto"/>
          <w:kern w:val="2"/>
          <w:sz w:val="21"/>
          <w:szCs w:val="21"/>
          <w:highlight w:val="none"/>
        </w:rPr>
        <w:t>元的罚款。</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18、中标单位无故停止工作，招标单位有权按损失程度扣减清扫和养护款，同时中标单位要向招标单位支付</w:t>
      </w:r>
      <w:r>
        <w:rPr>
          <w:rFonts w:hint="eastAsia" w:ascii="宋体" w:hAnsi="宋体" w:eastAsia="宋体" w:cs="宋体"/>
          <w:color w:val="auto"/>
          <w:kern w:val="2"/>
          <w:sz w:val="21"/>
          <w:szCs w:val="21"/>
          <w:highlight w:val="none"/>
          <w:lang w:eastAsia="zh-CN"/>
        </w:rPr>
        <w:t>中标价</w:t>
      </w:r>
      <w:r>
        <w:rPr>
          <w:rFonts w:hint="eastAsia" w:ascii="宋体" w:hAnsi="宋体" w:eastAsia="宋体" w:cs="宋体"/>
          <w:color w:val="auto"/>
          <w:kern w:val="2"/>
          <w:sz w:val="21"/>
          <w:szCs w:val="21"/>
          <w:highlight w:val="none"/>
        </w:rPr>
        <w:t>3％的</w:t>
      </w:r>
      <w:r>
        <w:rPr>
          <w:rFonts w:hint="eastAsia" w:ascii="宋体" w:hAnsi="宋体" w:eastAsia="宋体" w:cs="宋体"/>
          <w:color w:val="auto"/>
          <w:kern w:val="2"/>
          <w:sz w:val="21"/>
          <w:szCs w:val="21"/>
          <w:highlight w:val="none"/>
          <w:lang w:eastAsia="zh-CN"/>
        </w:rPr>
        <w:t>处罚款</w:t>
      </w:r>
      <w:r>
        <w:rPr>
          <w:rFonts w:hint="eastAsia" w:ascii="宋体" w:hAnsi="宋体" w:eastAsia="宋体" w:cs="宋体"/>
          <w:color w:val="auto"/>
          <w:kern w:val="2"/>
          <w:sz w:val="21"/>
          <w:szCs w:val="21"/>
          <w:highlight w:val="none"/>
        </w:rPr>
        <w:t>。合同执行期若无故停工累计达7天，招标单位有权单方面终止合同。</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19、</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必须保证在本标段清扫和养护期内：</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①如无特殊原因，必须优先聘用前承包单位的员工。</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②养护设备（含洒水车、高空作业车、扫路车、绿篱剪等）、人员等必须在合同签订5日内全部到位，否则</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有权取消</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养护资格并没收押金。</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中标单位应遵守法律、法规和政策的规定，因以上原因使合同性质发生变化，招标单位不负赔偿责任。</w:t>
      </w:r>
    </w:p>
    <w:p>
      <w:pPr>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lang w:val="en-US" w:eastAsia="zh-CN"/>
        </w:rPr>
        <w:t>九、</w:t>
      </w:r>
      <w:r>
        <w:rPr>
          <w:rFonts w:hint="eastAsia"/>
          <w:color w:val="auto"/>
          <w:highlight w:val="none"/>
        </w:rPr>
        <w:t>分包与转包</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严禁转包，未经招标单位(茶山镇公用事业服务中心)同意不得分包，如发现中标单位擅自分包或转包，招标单位可单方面终止合同，并对中标单位处以中标价3％的罚款。</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lang w:val="en-US" w:eastAsia="zh-CN"/>
        </w:rPr>
        <w:t>十、</w:t>
      </w:r>
      <w:r>
        <w:rPr>
          <w:rFonts w:hint="eastAsia"/>
          <w:color w:val="auto"/>
          <w:highlight w:val="none"/>
        </w:rPr>
        <w:t>违约责任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1、合同双方任何一方不履行合同条款或不按合同约定履行条款的其他情况，均属违约。由违约方承担违约责任，赔偿因其违约造成的损失，并支付</w:t>
      </w:r>
      <w:r>
        <w:rPr>
          <w:rFonts w:hint="eastAsia" w:ascii="宋体" w:hAnsi="宋体" w:eastAsia="宋体" w:cs="宋体"/>
          <w:color w:val="auto"/>
          <w:kern w:val="2"/>
          <w:sz w:val="21"/>
          <w:szCs w:val="21"/>
          <w:highlight w:val="none"/>
          <w:lang w:eastAsia="zh-CN"/>
        </w:rPr>
        <w:t>中标价</w:t>
      </w:r>
      <w:r>
        <w:rPr>
          <w:rFonts w:hint="eastAsia" w:ascii="宋体" w:hAnsi="宋体" w:eastAsia="宋体" w:cs="宋体"/>
          <w:color w:val="auto"/>
          <w:kern w:val="2"/>
          <w:sz w:val="21"/>
          <w:szCs w:val="21"/>
          <w:highlight w:val="none"/>
        </w:rPr>
        <w:t>3％的违约金；</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2、由于中标单位的原因导致双方签订的合同终止的，中标单位将独立承担因此遭受的损失，招标单位对此不负任何责任，也不作任何赔偿。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3、在考核评分中属差的</w:t>
      </w:r>
      <w:r>
        <w:rPr>
          <w:rFonts w:hint="eastAsia" w:ascii="宋体" w:hAnsi="宋体" w:eastAsia="宋体" w:cs="宋体"/>
          <w:color w:val="auto"/>
          <w:kern w:val="2"/>
          <w:sz w:val="21"/>
          <w:szCs w:val="21"/>
          <w:highlight w:val="none"/>
          <w:lang w:eastAsia="zh-CN"/>
        </w:rPr>
        <w:t>一年内</w:t>
      </w:r>
      <w:r>
        <w:rPr>
          <w:rFonts w:hint="eastAsia" w:ascii="宋体" w:hAnsi="宋体" w:eastAsia="宋体" w:cs="宋体"/>
          <w:color w:val="auto"/>
          <w:kern w:val="2"/>
          <w:sz w:val="21"/>
          <w:szCs w:val="21"/>
          <w:highlight w:val="none"/>
        </w:rPr>
        <w:t>累计达三次的，经茶山镇人民政府同意，给与终止合同并对中标单位处与3％罚款处理。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642"/>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lang w:val="en-US" w:eastAsia="zh-CN"/>
        </w:rPr>
        <w:t>十一、</w:t>
      </w:r>
      <w:r>
        <w:rPr>
          <w:rFonts w:hint="eastAsia"/>
          <w:color w:val="auto"/>
          <w:highlight w:val="none"/>
        </w:rPr>
        <w:t>考核标准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（一）检查验收制度</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1、招标单位工作人员对道路清扫保洁</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绿化养护</w:t>
      </w:r>
      <w:r>
        <w:rPr>
          <w:rFonts w:hint="eastAsia" w:ascii="宋体" w:hAnsi="宋体" w:eastAsia="宋体" w:cs="宋体"/>
          <w:color w:val="auto"/>
          <w:kern w:val="2"/>
          <w:sz w:val="21"/>
          <w:szCs w:val="21"/>
          <w:highlight w:val="none"/>
          <w:lang w:eastAsia="zh-CN"/>
        </w:rPr>
        <w:t>、垃圾清远及分类收集</w:t>
      </w:r>
      <w:r>
        <w:rPr>
          <w:rFonts w:hint="eastAsia" w:ascii="宋体" w:hAnsi="宋体" w:eastAsia="宋体" w:cs="宋体"/>
          <w:color w:val="auto"/>
          <w:kern w:val="2"/>
          <w:sz w:val="21"/>
          <w:szCs w:val="21"/>
          <w:highlight w:val="none"/>
        </w:rPr>
        <w:t>情况进行定期和不定期检查。不定期检查中，发现不符合要求的即拍照存档，并根据实际清扫</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养护</w:t>
      </w:r>
      <w:r>
        <w:rPr>
          <w:rFonts w:hint="eastAsia" w:ascii="宋体" w:hAnsi="宋体" w:eastAsia="宋体" w:cs="宋体"/>
          <w:color w:val="auto"/>
          <w:kern w:val="2"/>
          <w:sz w:val="21"/>
          <w:szCs w:val="21"/>
          <w:highlight w:val="none"/>
          <w:lang w:eastAsia="zh-CN"/>
        </w:rPr>
        <w:t>管理、垃圾清远及分类收集</w:t>
      </w:r>
      <w:r>
        <w:rPr>
          <w:rFonts w:hint="eastAsia" w:ascii="宋体" w:hAnsi="宋体" w:eastAsia="宋体" w:cs="宋体"/>
          <w:color w:val="auto"/>
          <w:kern w:val="2"/>
          <w:sz w:val="21"/>
          <w:szCs w:val="21"/>
          <w:highlight w:val="none"/>
        </w:rPr>
        <w:t>情况在《茶山镇绿化养护现场考核评分表》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《茶山镇生活垃圾压缩转运考核评分表》进行评分，以汇总评分。</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2、每月组织一次全面的大检查，按月底检查评分情况支付承包款项，每月的扣分罚款从当月承包款中扣除。</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3、检查人员必须严格遵守标准进行实际操作，不能以权谋私，玩忽职守。</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4、由招标单位不定期组织专家进行评估验收。中标单位须无条件配合验收。</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（二）考核评分办法</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本项目的考核办法和标准按</w:t>
      </w:r>
      <w:r>
        <w:rPr>
          <w:rFonts w:hint="eastAsia" w:ascii="宋体" w:hAnsi="宋体" w:eastAsia="宋体" w:cs="宋体"/>
          <w:color w:val="auto"/>
          <w:kern w:val="2"/>
          <w:sz w:val="21"/>
          <w:szCs w:val="21"/>
          <w:highlight w:val="none"/>
        </w:rPr>
        <w:t>《茶山镇绿化养护现场考核评分表》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w:t>
      </w:r>
      <w:r>
        <w:rPr>
          <w:rFonts w:hint="eastAsia" w:ascii="宋体" w:hAnsi="宋体" w:eastAsia="宋体" w:cs="宋体"/>
          <w:color w:val="auto"/>
          <w:kern w:val="2"/>
          <w:sz w:val="21"/>
          <w:szCs w:val="21"/>
          <w:highlight w:val="none"/>
          <w:lang w:val="en-US" w:eastAsia="zh-CN" w:bidi="ar-SA"/>
        </w:rPr>
        <w:t>评分考核，满分各为100分。扣分、扣款方法：</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考核评分采用百分制，90分以上（含90分）的为好，不扣减当月管理费用，90分以下的（不含90分），每扣1分，则相应扣减当月1%的管理费用。如承包单位某月得分为88.5分，扣款分比数值为90-88.5=1.5%，则应扣减当月1.5%的管理费用。</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相关处罚： 如当月有专家参与评估验收，且评估分值在90分以下（不包含90分）的，除按上述的要求扣除当月相应的管理费用外，还须扣除招标单位因组织专家进行评估验收而发生的评估费用。</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按上述的五个内容进行考核评分，五个内容扣分可单独或合并全部进行扣分扣款；若其中任何一个内容的考核分数在80分以下一年累计三次的，除按规定扣款外，经茶山镇人民政府同意，招标单位可单方面终止合同，协议诺约保证金不退。</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3、各村（社区）每月考评分数作为本村考评依据，达不到合格要求，当月扣罚款从本村（社区）管理费直接扣除，招标单位只申请扣除后的管理费用。</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4、各村（社区）在市考评中出现黑榜情况，视作本村考评不合格，当月扣罚款从本村（社区）管理费直接扣除，招标单位只申请扣除后的管理费用。</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5、每月考核工人人数，结合上月工人工资发放情况和当月核查工人人数，如当月工人人数少于工人标准配备要求，则扣除当月缺少工人人数乘以当月人平均工资的管理费用。</w:t>
      </w:r>
    </w:p>
    <w:p>
      <w:pPr>
        <w:keepNext w:val="0"/>
        <w:keepLines w:val="0"/>
        <w:pageBreakBefore w:val="0"/>
        <w:widowControl w:val="0"/>
        <w:kinsoku/>
        <w:wordWrap/>
        <w:overflowPunct/>
        <w:topLinePunct w:val="0"/>
        <w:autoSpaceDE/>
        <w:autoSpaceDN/>
        <w:bidi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6、如遇市和镇发报应急或雷雨防风响应，中标单位必须马上组织应急队伍，无条件配合应急安排，做到专人专职值守内涝点和险情点，组织清理现场卫生，如没有按要求落实，视为当月考评不合格。</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十二、其他事项</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w:t>
      </w:r>
      <w:r>
        <w:rPr>
          <w:rFonts w:hint="eastAsia" w:ascii="宋体" w:hAnsi="宋体" w:eastAsia="宋体" w:cs="宋体"/>
          <w:color w:val="auto"/>
          <w:kern w:val="2"/>
          <w:sz w:val="21"/>
          <w:szCs w:val="21"/>
          <w:highlight w:val="none"/>
          <w:lang w:val="en-US" w:eastAsia="zh-CN"/>
        </w:rPr>
        <w:t>承包</w:t>
      </w:r>
      <w:r>
        <w:rPr>
          <w:rFonts w:hint="eastAsia" w:ascii="宋体" w:hAnsi="宋体" w:eastAsia="宋体" w:cs="宋体"/>
          <w:color w:val="auto"/>
          <w:kern w:val="2"/>
          <w:sz w:val="21"/>
          <w:szCs w:val="21"/>
          <w:highlight w:val="none"/>
          <w:lang w:eastAsia="zh-CN"/>
        </w:rPr>
        <w:t>期</w:t>
      </w:r>
      <w:r>
        <w:rPr>
          <w:rFonts w:hint="eastAsia" w:ascii="宋体" w:hAnsi="宋体" w:eastAsia="宋体" w:cs="宋体"/>
          <w:color w:val="auto"/>
          <w:kern w:val="2"/>
          <w:sz w:val="21"/>
          <w:szCs w:val="21"/>
          <w:highlight w:val="none"/>
        </w:rPr>
        <w:t>间内，如有增加项目的，在同等条件下优先与中标单位商议。</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2、在</w:t>
      </w:r>
      <w:r>
        <w:rPr>
          <w:rFonts w:hint="eastAsia" w:ascii="宋体" w:hAnsi="宋体" w:eastAsia="宋体" w:cs="宋体"/>
          <w:color w:val="auto"/>
          <w:kern w:val="2"/>
          <w:sz w:val="21"/>
          <w:szCs w:val="21"/>
          <w:highlight w:val="none"/>
          <w:lang w:val="en-US" w:eastAsia="zh-CN"/>
        </w:rPr>
        <w:t>承包</w:t>
      </w:r>
      <w:r>
        <w:rPr>
          <w:rFonts w:hint="eastAsia" w:ascii="宋体" w:hAnsi="宋体" w:eastAsia="宋体" w:cs="宋体"/>
          <w:color w:val="auto"/>
          <w:kern w:val="2"/>
          <w:sz w:val="21"/>
          <w:szCs w:val="21"/>
          <w:highlight w:val="none"/>
          <w:lang w:eastAsia="zh-CN"/>
        </w:rPr>
        <w:t>期</w:t>
      </w:r>
      <w:r>
        <w:rPr>
          <w:rFonts w:hint="eastAsia" w:ascii="宋体" w:hAnsi="宋体" w:eastAsia="宋体" w:cs="宋体"/>
          <w:color w:val="auto"/>
          <w:kern w:val="2"/>
          <w:sz w:val="21"/>
          <w:szCs w:val="21"/>
          <w:highlight w:val="none"/>
        </w:rPr>
        <w:t>间内，中标单位可在自己</w:t>
      </w:r>
      <w:r>
        <w:rPr>
          <w:rFonts w:hint="eastAsia" w:ascii="宋体" w:hAnsi="宋体" w:eastAsia="宋体" w:cs="宋体"/>
          <w:color w:val="auto"/>
          <w:kern w:val="2"/>
          <w:sz w:val="21"/>
          <w:szCs w:val="21"/>
          <w:highlight w:val="none"/>
          <w:lang w:val="en-US" w:eastAsia="zh-CN"/>
        </w:rPr>
        <w:t>承包</w:t>
      </w:r>
      <w:r>
        <w:rPr>
          <w:rFonts w:hint="eastAsia" w:ascii="宋体" w:hAnsi="宋体" w:eastAsia="宋体" w:cs="宋体"/>
          <w:color w:val="auto"/>
          <w:kern w:val="2"/>
          <w:sz w:val="21"/>
          <w:szCs w:val="21"/>
          <w:highlight w:val="none"/>
        </w:rPr>
        <w:t>范围以外，承包其他业务，但不得影响正常养护工作。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3、本合同未尽事项，参考《东莞市市区道路绿化养护质量标准》、《东莞市市区道路路面保洁质量标准》等其他行业规定。</w:t>
      </w: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附件：</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1、《茶山镇绿化养护现场考核评分表》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《茶山镇环卫清扫保洁统筹管理</w:t>
      </w:r>
      <w:r>
        <w:rPr>
          <w:rFonts w:hint="eastAsia" w:ascii="宋体" w:hAnsi="宋体" w:eastAsia="宋体" w:cs="宋体"/>
          <w:color w:val="auto"/>
          <w:kern w:val="2"/>
          <w:sz w:val="21"/>
          <w:szCs w:val="21"/>
          <w:highlight w:val="none"/>
          <w:lang w:eastAsia="zh-CN"/>
        </w:rPr>
        <w:t>农村</w:t>
      </w:r>
      <w:r>
        <w:rPr>
          <w:rFonts w:hint="eastAsia" w:ascii="宋体" w:hAnsi="宋体" w:eastAsia="宋体" w:cs="宋体"/>
          <w:color w:val="auto"/>
          <w:kern w:val="2"/>
          <w:sz w:val="21"/>
          <w:szCs w:val="21"/>
          <w:highlight w:val="none"/>
        </w:rPr>
        <w:t>片区考核评分表》</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《茶山镇环卫清扫保洁统筹管理中心片区考核评分表》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茶山镇</w:t>
      </w:r>
      <w:r>
        <w:rPr>
          <w:rFonts w:hint="eastAsia" w:ascii="宋体" w:hAnsi="宋体" w:eastAsia="宋体" w:cs="宋体"/>
          <w:color w:val="auto"/>
          <w:kern w:val="2"/>
          <w:sz w:val="21"/>
          <w:szCs w:val="21"/>
          <w:highlight w:val="none"/>
          <w:lang w:eastAsia="zh-CN"/>
        </w:rPr>
        <w:t>生活垃圾上门分类收运</w:t>
      </w:r>
      <w:r>
        <w:rPr>
          <w:rFonts w:hint="eastAsia" w:ascii="宋体" w:hAnsi="宋体" w:eastAsia="宋体" w:cs="宋体"/>
          <w:color w:val="auto"/>
          <w:kern w:val="2"/>
          <w:sz w:val="21"/>
          <w:szCs w:val="21"/>
          <w:highlight w:val="none"/>
        </w:rPr>
        <w:t>考核评分表</w:t>
      </w:r>
      <w:r>
        <w:rPr>
          <w:rFonts w:hint="eastAsia" w:ascii="宋体" w:hAnsi="宋体" w:eastAsia="宋体" w:cs="宋体"/>
          <w:color w:val="auto"/>
          <w:kern w:val="2"/>
          <w:sz w:val="21"/>
          <w:szCs w:val="21"/>
          <w:highlight w:val="none"/>
          <w:lang w:eastAsia="zh-CN"/>
        </w:rPr>
        <w:t>》和</w:t>
      </w:r>
      <w:r>
        <w:rPr>
          <w:rFonts w:hint="eastAsia" w:ascii="宋体" w:hAnsi="宋体" w:eastAsia="宋体" w:cs="宋体"/>
          <w:color w:val="auto"/>
          <w:kern w:val="2"/>
          <w:sz w:val="21"/>
          <w:szCs w:val="21"/>
          <w:highlight w:val="none"/>
        </w:rPr>
        <w:t>《茶山镇生活垃圾压缩转运考核评分表》</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2、《东莞市环境卫生管理规定》</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3、《广东省城市绿地养护质量标准》、《广东省城市绿地养护技术规范》</w:t>
      </w:r>
    </w:p>
    <w:p>
      <w:pPr>
        <w:bidi w:val="0"/>
        <w:rPr>
          <w:rFonts w:hint="eastAsia"/>
          <w:color w:val="auto"/>
        </w:rPr>
      </w:pPr>
    </w:p>
    <w:p>
      <w:pPr>
        <w:spacing w:after="0" w:line="360" w:lineRule="auto"/>
        <w:ind w:firstLine="422" w:firstLineChars="200"/>
        <w:rPr>
          <w:rFonts w:hint="eastAsia" w:ascii="宋体" w:hAnsi="宋体" w:eastAsia="宋体" w:cs="宋体"/>
          <w:color w:val="auto"/>
          <w:kern w:val="2"/>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附件1：</w:t>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r>
        <w:rPr>
          <w:rFonts w:hint="eastAsia"/>
          <w:color w:val="auto"/>
          <w:highlight w:val="none"/>
        </w:rPr>
        <w:t>茶山镇绿化养护现场考核评分表</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firstLine="642"/>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leftChars="0" w:right="0" w:firstLine="315" w:firstLineChars="15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（总分100分）</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考评时间：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    月   日</w:t>
      </w:r>
    </w:p>
    <w:tbl>
      <w:tblPr>
        <w:tblStyle w:val="19"/>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98"/>
        <w:gridCol w:w="470"/>
        <w:gridCol w:w="2905"/>
        <w:gridCol w:w="3330"/>
        <w:gridCol w:w="53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项目名称</w:t>
            </w:r>
          </w:p>
        </w:tc>
        <w:tc>
          <w:tcPr>
            <w:tcW w:w="40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现场考核</w:t>
            </w:r>
          </w:p>
        </w:tc>
        <w:tc>
          <w:tcPr>
            <w:tcW w:w="33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扣分办法</w:t>
            </w:r>
          </w:p>
        </w:tc>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应得分</w:t>
            </w:r>
          </w:p>
        </w:tc>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现场检查扣分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分项目</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分值</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检查方法及评价依据</w:t>
            </w:r>
          </w:p>
        </w:tc>
        <w:tc>
          <w:tcPr>
            <w:tcW w:w="33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绿地卫生</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清扫保洁时间及其质量</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每天上午8：00时前完成绿地和园建道路的清洁工作，做好保洁，保洁时间为15小时（8：00－晚23：00）。</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在8：00－晚23：00内绿地和园建道路每100平方米范围内有纸屑、胶袋、石块、杂物（规格&gt;3厘米×3厘米）超过2单位，每单位扣1.5分。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卫生</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1、未发现垃圾连片的地方（特别是花生壳、瓜子壳）或出现鼠洞、蚁穴、蚊蝇孳生地。</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1、发现垃圾连片（面积6厘米×6厘米）每处扣1分。出现鼠洞、蚁穴、蚊蝇孳生地的，每处扣0.4分。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2、在绿地区内未发生焚烧杂物。</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2、绿地发生焚烧杂物的，每处扣1分。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3、未发现乱张贴、涂鸦现象。</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3、发现乱张贴、涂鸦现象的，每次扣0.3分。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4、绿地边线以外2米内的荒地的保洁、除草工作到位。</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4、发现有垃圾、枯枝、草渣等积存，杂草丛生，每处扣0.3分，扣完为止。</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5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5、绿化修剪后的枯枝叶等，在修剪当天及时清理运走，并及时清除灌木丛上的修剪枝。苗木落叶当天及时清扫保洁。</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5、未能当天及时运走、清除或清扫保洁的，以10米为单位，每单位扣0.5分。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5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绿化管护效果</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绿化管护效果</w:t>
            </w: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绿地除草松土</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1、草坪覆盖率：达99%以上，杂草率低于1%随机抽查20平方米绿地（包括灌木丛和绿篱），平均每平方米绿地杂草不超过10株。</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1、平均每平方米杂草超过10株的，每超过1株扣1.5分。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2、经常除杂草和松土，除杂松土要保护根系，不能伤根及造成根系裸露，更不能造成黄土裸露（特殊情况除外）。</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2、未及时给苗木松土或松土不规范或造成根系裸露、黄土裸露的，每处扣0.5分。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苗木草坪的养护</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1、管护（能及时淋水、施肥、松土、除杂等）得当未见病虫害发生，苗木长势茂盛。</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1、因管护不当及病虫害而导致苗木长势太弱，不够茂盛的，每株乔、灌木（指成形单株）扣2分。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2、管理、养护（能及时淋水、施肥、松土、除杂等）得当未见病虫害发生，草坪或绿篱长势茂盛。</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2、因管护不当及病虫害而导致草坪或绿篱长势太弱，不够茂盛的，每平方米扣2分。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3、苗木或草皮缺损能及时采取补种措施。</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3、未能及时采用补救措施的，行道树每株扣3分，乔、灌木每株扣1分，草地或绿篱，每平方米扣2分。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草坪</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修剪</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1、根据季节特点和草种生育特性，使草高一致，且控制在：台湾草5厘米以下，大叶油草、假俭草、沿阶草、夏威夷草10厘米以下。修剪后，草色均匀、无明显机痕。</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1、因未及时修剪草坪造成“草包”明显或草株过高或修剪不规范，而影响景观，每100平方米扣2分。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4</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2、草坪边缘整齐，绿化带（单边）草皮的生长不超出路牙并及时修剪。</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2、超出路牙不修剪的，超出部分每10米扣1分。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造型灌木及观花植物的修剪</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灌木、造型植物或绿篱及时修剪保持美观（详见说明）；花灌木和草本花卉的修剪，以保花为主，避免剪掉花芽，花谢后及时将残花残枝剪去，常年开花植物要有目的地培养花枝，使四季有花。</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因修剪不当或不修剪，影响美观或引起灌木和草本花卉不能正常开花的，每株扣1分或每平方米扣1分。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乔木修剪</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1、要及时剪除乔木（含棕榈植物）的荫枝、下垂枝、下缘线下的萌蘖枝、干枯枝，每株的荫枝、下垂枝、枯枝、残枝不超过2枝。</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1、单株须剪未剪枝条超过2枝的，每株扣1分。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5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2、行道树修剪要保持树冠完整美观，枝下高一致主侧枝分布匀称，内膛枝疏密均匀、通风透光，每年入冬前主干刷白一次。</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2、因行道树修剪不当或缺乏修剪而影响道路美观或树木生长的，每株扣1分。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57" w:type="dxa"/>
            <w:vMerge w:val="restart"/>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养</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护</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入</w:t>
            </w: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人员设施的配备</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10</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1、按要求配备合适的养护、技术、管理人员等，养护人员在规定的作业时间内准时上岗且人员充足。</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1、在规定的作业时间内无人上岗或人员配备不够的，每次或每路段缺1人扣2分。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lang w:val="en-US" w:eastAsia="zh-CN" w:bidi="ar-SA"/>
              </w:rPr>
            </w:pPr>
          </w:p>
        </w:tc>
        <w:tc>
          <w:tcPr>
            <w:tcW w:w="531"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6</w:t>
            </w:r>
          </w:p>
        </w:tc>
        <w:tc>
          <w:tcPr>
            <w:tcW w:w="651" w:type="dxa"/>
            <w:tcBorders>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2、按要求配备相应作业设备包括水车，喷药车、升降车、剪草机、草坪的疏草机、打孔机等，在必要时必须投入机械作业。</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2、相应作业设备配备不足或在规定的作业时间内未用于作业，每缺1项设施扣2分。</w:t>
            </w:r>
          </w:p>
        </w:tc>
        <w:tc>
          <w:tcPr>
            <w:tcW w:w="531"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651" w:type="dxa"/>
            <w:tcBorders>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水肥投入</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根据植物的生长需要加强淋水和施肥，保证肥水充足，肥料的施用科学，防止过量或缺肥或不均匀引起肥害。经监理单位验肥合格后，方可进行施肥。</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肥水投入不充足或不及时，每次扣2.5分；未经验肥，而进行施肥，每发现1次扣2.5分。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明</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w:t>
            </w: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举止文明</w:t>
            </w: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1、养护人员于作业时及往反途中身着统一工装、佩带工牌。</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1、发现未着标志服上岗的，每人次扣0.5分。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2、养护工作人员与路人接触时举止文明礼貌。</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2、对不礼貌行为，每宗扣0.5分。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3、对排放植物残渣的处理以及自身作业行为均须符合规范。</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3、不符合规范的，每宗扣0.5分。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color w:val="auto"/>
                <w:kern w:val="2"/>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工具管理</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与作业无关的物品不得进入养护工地，而有关的物品，如单车、箩筐、雨衣等较大物件，在工地放置时必须隐蔽，不得妨碍景观。</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单车、箩筐、雨衣等存放位置不适当，有碍观瞻，每宗扣0.5分。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应急反应及其它</w:t>
            </w:r>
          </w:p>
        </w:tc>
        <w:tc>
          <w:tcPr>
            <w:tcW w:w="6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应急反应</w:t>
            </w:r>
          </w:p>
        </w:tc>
        <w:tc>
          <w:tcPr>
            <w:tcW w:w="4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1、对全民植树活动或突击性的绿化任务，能按时、按标准、按要求完成所分配的工作。</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1、未按时按要求完成的，每次扣3分。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2、每逢节假日，如春节、元旦、五一、国庆节等或某些特别日子，能按上级要求完成别安排的工作。</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2、未按时按要求完成的，当月绿化养护评分不合格。</w:t>
            </w:r>
          </w:p>
        </w:tc>
        <w:tc>
          <w:tcPr>
            <w:tcW w:w="5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47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3、对不可抗力（如台风、暴雨等自然灾害）造成的绿化损害，乙方应在12小时内或在甲方设定的时间内及时完成现场清理和恢复性的工作。</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3、未能按要求时完成清理、恢复原状工作的，当月考核评分档次为差。</w:t>
            </w:r>
          </w:p>
        </w:tc>
        <w:tc>
          <w:tcPr>
            <w:tcW w:w="5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bCs/>
                <w:color w:val="auto"/>
                <w:kern w:val="2"/>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其它</w:t>
            </w:r>
          </w:p>
        </w:tc>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工作到位，未被领导批评。未被市民投诉。</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被批评或投诉，情况属实的，当月绿化养护评分不合格，差的处于罚款；影响恶劣的给予终止合同处理。</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另予处罚</w:t>
            </w:r>
          </w:p>
        </w:tc>
        <w:tc>
          <w:tcPr>
            <w:tcW w:w="6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14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合计实得分（    ）＝总分(100)-合计检查扣分（    ）</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说明: 1、此标准作为绿化养护每月月检和日查的评分考核标准。</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、检查按百分制打分，分好 (100一90分)、中(89一80分)，差 (80分以下)三个档次。</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、每项扣分累计不超过该项“应得分”，即至多以扣完为止。</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关于灌木、绿篱、棕搁科植物修剪的补充说明：所有绿篱、灌木花坛、球形灌木修剪后新生长出来的枝条不得高于修剪面10厘米，否则被视作修剪不及时。前后灌木带要保持一定的高差，做到错落有致，但左右并排灌木丛的高度要保持在同一个平面上 (有特别设计要求的除外)；棕搁科植物无明显枯叶、残叶。</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、甲方保留对本标准的解释权和修改权。</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单位检查人签名：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市场化管理企业负责人签名：</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pStyle w:val="7"/>
        <w:rPr>
          <w:rFonts w:hint="eastAsia" w:ascii="宋体" w:hAnsi="宋体" w:eastAsia="宋体" w:cs="宋体"/>
          <w:color w:val="auto"/>
          <w:kern w:val="2"/>
          <w:sz w:val="21"/>
          <w:szCs w:val="21"/>
          <w:highlight w:val="none"/>
        </w:rPr>
      </w:pPr>
    </w:p>
    <w:p>
      <w:pPr>
        <w:pStyle w:val="8"/>
        <w:rPr>
          <w:rFonts w:hint="eastAsia"/>
          <w:color w:val="auto"/>
          <w:lang w:val="en-US" w:eastAsia="zh-CN"/>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茶山镇环卫清扫保洁统筹管理</w:t>
      </w:r>
      <w:r>
        <w:rPr>
          <w:rFonts w:hint="eastAsia"/>
          <w:color w:val="auto"/>
          <w:highlight w:val="none"/>
          <w:lang w:eastAsia="zh-CN"/>
        </w:rPr>
        <w:t>农村</w:t>
      </w:r>
      <w:r>
        <w:rPr>
          <w:rFonts w:hint="eastAsia"/>
          <w:color w:val="auto"/>
          <w:highlight w:val="none"/>
        </w:rPr>
        <w:t>片区考核评分表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leftChars="0" w:right="0" w:firstLine="315" w:firstLineChars="1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考评时间：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    月   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77"/>
        <w:gridCol w:w="2725"/>
        <w:gridCol w:w="1811"/>
        <w:gridCol w:w="85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6"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检查项目</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检查内容</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检查要求</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评分标准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清扫保洁作业</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普扫时间</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每天早上7时前完成。</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道路冲洗</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一、二级道路每天洒水不少于2次；一、二级道路每周冲洗不少于3次，三、四级道路根据实际情况决定。</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未按规定落实道路洒水和冲洗的，每发现一次扣0.2分。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“上门收集”垃圾</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每天不少于3次。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未按规定收集，每发现一次扣0.2分。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路面废弃物控制</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果皮、纸屑、塑膜、烟蒂、痰迹每1000平方米：一级路：4处；二级路：6处；三级路8处；四级路：10处。</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每1000平方米面积内发现超出标准的，每处扣0.2分。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道路保洁质量</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路面不得积存污水、泥沙，路沿石不得有明显青苔、杂草、污泥，路面保持原色。</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收集容器（垃圾桶、果皮箱）管理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按要求设置、摆放整齐，无残缺破损，无污迹、无气味；专人负责清掏清洗，清掏每天不少于2次，清洗每星期不少于2次。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垃圾清运管理（25分）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手推车辆管理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按要求统一标识，加盖密闭，无残缺损坏，无渗漏、无气味，摆放整齐不占道。</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机动车辆管理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按要求统一标识，车容整洁、无污物，污垢、无渗漏，无损坏，车容整洁美观。</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装卸管理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按车额定荷载收集垃圾，不得超载运输垃圾。</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运输管理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垃圾密闭运输，途中无垃圾飞扬、撒落、无污水滴漏。</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垃圾清理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垃圾及时清理，确保日产日清，不得存在垃圾堆积现象，不得乱倾倒、不得对周边环境产生二次污染。</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收集设施（转运站、垃圾屋）管理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收集设施按要求落实专人负责，统一标识，站名、编号、作业规章、管理制度等上墙，设施内外整洁干净，无气味，无堆放物，无拉挂物，无污水等。</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城市“牛皮癣”清理（1</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机械清理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每天使用“牛皮癣”机或其他设备清理乱张贴等城市“牛皮癣”达95%以上。</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人工清理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工人每天清理乱张贴、乱涂污、乱拉挂等城市“牛皮癣”达95%以上。</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巡查管理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每天24小时内派工作人员上路巡查，防止乱张贴等行为发生。</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清理准则</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使用化学物品全面清洗，不得损坏建构物表面，使用颜料粉刷，必须按“色差一致、形状统一、干净整洁、协调美观”的要求进行。</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其他要求（15分）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重要或突击性工作落实</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重要或突击性活动，按时、按标准、按要求完成分配的工作任务。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文明作业</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员工持证上岗，统一服饰，遵纪守法，文明作业。</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整改落实</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接收到整改通知书后，必须诚恳接受，并在规定时间内完成整改内容。</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未按要求整改或逾期不整改，每发现一次扣0.5分。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市民投诉</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受到市民投诉，经调查认定情况属实的，且在规定时间内未及时整改处理。</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证实情况属实且整改不到位，每发现一次扣0.5分。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当月</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综合评</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（5分）</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日常</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评分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分达90分以上的为合格。</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90分以下（不含90分）每减少1分扣0.5分。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96"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合计当月得分</w:t>
            </w:r>
          </w:p>
        </w:tc>
        <w:tc>
          <w:tcPr>
            <w:tcW w:w="7865" w:type="dxa"/>
            <w:gridSpan w:val="5"/>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得分（      分）=100-合计总扣分（      分）</w:t>
            </w:r>
          </w:p>
        </w:tc>
      </w:tr>
    </w:tbl>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说明: 1、此标准作为绿化养护每月月检和日查的评分考核标准。</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、检查按百分制打分，分好 (100一90分)、中(89一80分)，差 (80分以下)三个档次。</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、每项扣分累计不超过该项“应得分”，即至多以扣完为止。</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、甲方保留对本标准的解释权和修改权。</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单位检查人签名：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市场化管理企业负责人签名：</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3150" w:firstLineChars="150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检查日期</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pStyle w:val="7"/>
        <w:rPr>
          <w:rFonts w:hint="eastAsia" w:ascii="宋体" w:hAnsi="宋体" w:eastAsia="宋体" w:cs="宋体"/>
          <w:color w:val="auto"/>
          <w:kern w:val="2"/>
          <w:sz w:val="21"/>
          <w:szCs w:val="21"/>
          <w:highlight w:val="none"/>
          <w:lang w:val="en-US" w:eastAsia="zh-CN" w:bidi="ar-SA"/>
        </w:rPr>
      </w:pPr>
    </w:p>
    <w:p>
      <w:pPr>
        <w:rPr>
          <w:rFonts w:hint="eastAsia" w:ascii="宋体" w:hAnsi="宋体" w:eastAsia="宋体" w:cs="宋体"/>
          <w:color w:val="auto"/>
          <w:kern w:val="2"/>
          <w:sz w:val="21"/>
          <w:szCs w:val="21"/>
          <w:highlight w:val="none"/>
          <w:lang w:val="en-US" w:eastAsia="zh-CN" w:bidi="ar-SA"/>
        </w:rPr>
      </w:pPr>
    </w:p>
    <w:p>
      <w:pPr>
        <w:pStyle w:val="7"/>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8"/>
        <w:rPr>
          <w:rFonts w:hint="eastAsia" w:ascii="宋体" w:hAnsi="宋体" w:eastAsia="宋体" w:cs="宋体"/>
          <w:color w:val="auto"/>
          <w:kern w:val="2"/>
          <w:sz w:val="21"/>
          <w:szCs w:val="21"/>
          <w:highlight w:val="none"/>
          <w:lang w:val="en-US" w:eastAsia="zh-CN" w:bidi="ar-SA"/>
        </w:rPr>
      </w:pPr>
    </w:p>
    <w:p>
      <w:pPr>
        <w:pStyle w:val="7"/>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茶山镇环卫清扫保洁统筹管理中心片区考核评分表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leftChars="0" w:right="0" w:firstLine="315" w:firstLineChars="1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考评时间：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    月   日</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77"/>
        <w:gridCol w:w="2725"/>
        <w:gridCol w:w="1811"/>
        <w:gridCol w:w="85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6"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检查项目</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检查内容</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检查要求</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评分标准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清扫保洁作业</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普扫时间</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每天早上7时前完成。</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道路冲洗</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一、二级道路每天洒水不少于2次；一、二级道路每周冲洗不少于3次，三、四级道路根据实际情况决定。</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未按规定落实道路洒水和冲洗的，每发现一次扣0.2分。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“上门收集”垃圾</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每天不少于3次。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未按规定收集，每发现一次扣0.2分。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路面废弃物控制</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果皮、纸屑、塑膜、烟蒂、痰迹每1000平方米：一级路：4处；二级路：6处；三级路8处；四级路：10处。</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每1000平方米面积内发现超出标准的，每处扣0.2分。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道路保洁质量</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路面不得积存污水、泥沙，路沿石不得有明显青苔、杂草、污泥，路面保持原色。</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收集容器（垃圾桶、果皮箱）管理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按要求设置、摆放整齐，无残缺破损，无污迹、无气味；专人负责清掏清洗，清掏每天不少于2次，清洗每星期不少于2次。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垃圾清运管理（</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手推车辆管理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按要求统一标识，加盖密闭，无残缺损坏，无渗漏、无气味，摆放整齐不占道。</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机动车辆管理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按要求统一标识，车容整洁、无污物，污垢、无渗漏，无损坏，车容整洁美观。</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装卸管理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按车额定荷载收集垃圾，不得超载运输垃圾。</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运输管理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垃圾密闭运输，途中无垃圾飞扬、撒落、无污水滴漏。</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垃圾清理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垃圾及时清理，确保日产日清，不得存在垃圾堆积现象，不得乱倾倒、不得对周边环境产生二次污染。</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收集设施（转运站、垃圾屋）管理</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收集设施按要求落实专人负责，统一标识，站名、编号、作业规章、管理制度等上墙，设施内外整洁干净，无气味，无堆放物，无拉挂物，无污水等。</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未按要求落实，每发现一处扣0.2分。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96" w:type="dxa"/>
            <w:vMerge w:val="restart"/>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分）</w:t>
            </w: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重要或突击性工作落实</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重要或突击性活动，按时、按标准、按要求完成分配的工作任务。</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文明作业</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员工持证上岗，统一服饰，遵纪守法，文明作业。</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未按要求落实，每发现一次扣0.2分。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整改落实</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接收到整改通知书后，必须诚恳接受，并在规定时间内完成整改内容。</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未按要求整改或逾期不整改，每发现一次扣0.5分。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677"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市民投诉</w:t>
            </w:r>
          </w:p>
        </w:tc>
        <w:tc>
          <w:tcPr>
            <w:tcW w:w="2725"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受到市民投诉，经调查认定情况属实的，且在规定时间内未及时整改处理。</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证实情况属实且整改不到位，每发现一次扣0.5分。</w:t>
            </w:r>
          </w:p>
        </w:tc>
        <w:tc>
          <w:tcPr>
            <w:tcW w:w="852"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800"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当月</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综合评</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（5分）</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日常</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评分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eastAsia="zh-CN"/>
              </w:rPr>
              <w:t>村</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分达90分以上的为合格。</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90分以下（不含90分）每减少1分扣0.5分。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96" w:type="dxa"/>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合计当月得分</w:t>
            </w:r>
          </w:p>
        </w:tc>
        <w:tc>
          <w:tcPr>
            <w:tcW w:w="7865" w:type="dxa"/>
            <w:gridSpan w:val="5"/>
            <w:noWrap w:val="0"/>
            <w:vAlign w:val="center"/>
          </w:tcPr>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得分（      分）=100-合计总扣分（      分）</w:t>
            </w:r>
          </w:p>
        </w:tc>
      </w:tr>
    </w:tbl>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说明: 1、此标准作为绿化养护每月月检和日查的评分考核标准。</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、检查按百分制打分，分好 (100一90分)、中(89一80分)，差 (80分以下)三个档次。</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、每项扣分累计不超过该项“应得分”，即至多以扣完为止。</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、甲方保留对本标准的解释权和修改权。</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单位检查人签名：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市场化管理企业负责人签名：</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茶山镇</w:t>
      </w:r>
      <w:r>
        <w:rPr>
          <w:rFonts w:hint="eastAsia"/>
          <w:color w:val="auto"/>
          <w:highlight w:val="none"/>
          <w:lang w:eastAsia="zh-CN"/>
        </w:rPr>
        <w:t>生活垃圾上门分类收运</w:t>
      </w:r>
      <w:r>
        <w:rPr>
          <w:rFonts w:hint="eastAsia"/>
          <w:color w:val="auto"/>
          <w:highlight w:val="none"/>
        </w:rPr>
        <w:t>考核评分表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总分100分）                                   考评时间：</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    月    日</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77"/>
        <w:gridCol w:w="2725"/>
        <w:gridCol w:w="1811"/>
        <w:gridCol w:w="85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检查项目</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检查内容</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检查要求</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上门分类收集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上门收集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时间</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w:t>
            </w:r>
            <w:r>
              <w:rPr>
                <w:rFonts w:hint="eastAsia" w:ascii="宋体" w:hAnsi="宋体" w:eastAsia="宋体" w:cs="宋体"/>
                <w:color w:val="auto"/>
                <w:sz w:val="21"/>
                <w:szCs w:val="21"/>
                <w:highlight w:val="none"/>
                <w:lang w:val="en-US" w:eastAsia="zh-CN"/>
              </w:rPr>
              <w:t>7点到9点，11点到13点，19点到21点，</w:t>
            </w:r>
            <w:r>
              <w:rPr>
                <w:rFonts w:hint="eastAsia" w:ascii="宋体" w:hAnsi="宋体" w:eastAsia="宋体" w:cs="宋体"/>
                <w:color w:val="auto"/>
                <w:sz w:val="21"/>
                <w:szCs w:val="21"/>
                <w:highlight w:val="none"/>
                <w:lang w:eastAsia="zh-CN"/>
              </w:rPr>
              <w:t>三个时间进行上门收集</w:t>
            </w:r>
            <w:r>
              <w:rPr>
                <w:rFonts w:hint="eastAsia" w:ascii="宋体" w:hAnsi="宋体" w:eastAsia="宋体" w:cs="宋体"/>
                <w:color w:val="auto"/>
                <w:sz w:val="21"/>
                <w:szCs w:val="21"/>
                <w:highlight w:val="none"/>
              </w:rPr>
              <w:t>。</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定人定点定岗</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按照人员和设备清单足额在示范区配置工作人员以及车辆。</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未按规定落实</w:t>
            </w:r>
            <w:r>
              <w:rPr>
                <w:rFonts w:hint="eastAsia" w:ascii="宋体" w:hAnsi="宋体" w:eastAsia="宋体" w:cs="宋体"/>
                <w:color w:val="auto"/>
                <w:sz w:val="21"/>
                <w:szCs w:val="21"/>
                <w:highlight w:val="none"/>
                <w:lang w:eastAsia="zh-CN"/>
              </w:rPr>
              <w:t>，人员和车辆数量不符合要求</w:t>
            </w:r>
            <w:r>
              <w:rPr>
                <w:rFonts w:hint="eastAsia" w:ascii="宋体" w:hAnsi="宋体" w:eastAsia="宋体" w:cs="宋体"/>
                <w:color w:val="auto"/>
                <w:sz w:val="21"/>
                <w:szCs w:val="21"/>
                <w:highlight w:val="none"/>
              </w:rPr>
              <w:t>，每发现一次扣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上门收集</w:t>
            </w:r>
            <w:r>
              <w:rPr>
                <w:rFonts w:hint="eastAsia" w:ascii="宋体" w:hAnsi="宋体" w:eastAsia="宋体" w:cs="宋体"/>
                <w:color w:val="auto"/>
                <w:sz w:val="21"/>
                <w:szCs w:val="21"/>
                <w:highlight w:val="none"/>
                <w:lang w:eastAsia="zh-CN"/>
              </w:rPr>
              <w:t>频次</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每天不少于3次。</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未按规定收集，每发现一次扣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分类收集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按照“可回收物、有害垃圾、厨余垃圾、可回收物”分类收集</w:t>
            </w:r>
            <w:r>
              <w:rPr>
                <w:rFonts w:hint="eastAsia" w:ascii="宋体" w:hAnsi="宋体" w:eastAsia="宋体" w:cs="宋体"/>
                <w:color w:val="auto"/>
                <w:sz w:val="21"/>
                <w:szCs w:val="21"/>
                <w:highlight w:val="none"/>
                <w:lang w:val="en-US" w:eastAsia="zh-CN"/>
              </w:rPr>
              <w:t>,分类收集后，运输到各村（社区）贮存点。</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w:t>
            </w:r>
            <w:r>
              <w:rPr>
                <w:rFonts w:hint="eastAsia" w:ascii="宋体" w:hAnsi="宋体" w:eastAsia="宋体" w:cs="宋体"/>
                <w:color w:val="auto"/>
                <w:sz w:val="21"/>
                <w:szCs w:val="21"/>
                <w:highlight w:val="none"/>
                <w:lang w:eastAsia="zh-CN"/>
              </w:rPr>
              <w:t>分类</w:t>
            </w:r>
            <w:r>
              <w:rPr>
                <w:rFonts w:hint="eastAsia" w:ascii="宋体" w:hAnsi="宋体" w:eastAsia="宋体" w:cs="宋体"/>
                <w:color w:val="auto"/>
                <w:sz w:val="21"/>
                <w:szCs w:val="21"/>
                <w:highlight w:val="none"/>
              </w:rPr>
              <w:t>收集</w:t>
            </w:r>
            <w:r>
              <w:rPr>
                <w:rFonts w:hint="eastAsia" w:ascii="宋体" w:hAnsi="宋体" w:eastAsia="宋体" w:cs="宋体"/>
                <w:color w:val="auto"/>
                <w:sz w:val="21"/>
                <w:szCs w:val="21"/>
                <w:highlight w:val="none"/>
                <w:lang w:eastAsia="zh-CN"/>
              </w:rPr>
              <w:t>，每发现一次扣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上门提示</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上门收集采用摇铃或者其他方式逐户提示。</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收集容器（垃圾桶、果皮箱）管理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w:t>
            </w:r>
            <w:r>
              <w:rPr>
                <w:rFonts w:hint="eastAsia" w:ascii="宋体" w:hAnsi="宋体" w:eastAsia="宋体" w:cs="宋体"/>
                <w:color w:val="auto"/>
                <w:sz w:val="21"/>
                <w:szCs w:val="21"/>
                <w:highlight w:val="none"/>
                <w:lang w:eastAsia="zh-CN"/>
              </w:rPr>
              <w:t>顺序</w:t>
            </w:r>
            <w:r>
              <w:rPr>
                <w:rFonts w:hint="eastAsia" w:ascii="宋体" w:hAnsi="宋体" w:eastAsia="宋体" w:cs="宋体"/>
                <w:color w:val="auto"/>
                <w:sz w:val="21"/>
                <w:szCs w:val="21"/>
                <w:highlight w:val="none"/>
              </w:rPr>
              <w:t>摆放整齐，无残缺破损，无污迹、无气味；专人负责清掏清洗，清</w:t>
            </w:r>
            <w:r>
              <w:rPr>
                <w:rFonts w:hint="eastAsia" w:ascii="宋体" w:hAnsi="宋体" w:eastAsia="宋体" w:cs="宋体"/>
                <w:color w:val="auto"/>
                <w:sz w:val="21"/>
                <w:szCs w:val="21"/>
                <w:highlight w:val="none"/>
                <w:lang w:eastAsia="zh-CN"/>
              </w:rPr>
              <w:t>洗和清掏</w:t>
            </w:r>
            <w:r>
              <w:rPr>
                <w:rFonts w:hint="eastAsia" w:ascii="宋体" w:hAnsi="宋体" w:eastAsia="宋体" w:cs="宋体"/>
                <w:color w:val="auto"/>
                <w:sz w:val="21"/>
                <w:szCs w:val="21"/>
                <w:highlight w:val="none"/>
              </w:rPr>
              <w:t>每天不少于2次。</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w:t>
            </w:r>
            <w:r>
              <w:rPr>
                <w:rFonts w:hint="eastAsia" w:ascii="宋体" w:hAnsi="宋体" w:eastAsia="宋体" w:cs="宋体"/>
                <w:color w:val="auto"/>
                <w:sz w:val="21"/>
                <w:szCs w:val="21"/>
                <w:highlight w:val="none"/>
                <w:lang w:eastAsia="zh-CN"/>
              </w:rPr>
              <w:t>分类收运</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收集</w:t>
            </w:r>
            <w:r>
              <w:rPr>
                <w:rFonts w:hint="eastAsia" w:ascii="宋体" w:hAnsi="宋体" w:eastAsia="宋体" w:cs="宋体"/>
                <w:color w:val="auto"/>
                <w:sz w:val="21"/>
                <w:szCs w:val="21"/>
                <w:highlight w:val="none"/>
              </w:rPr>
              <w:t>车辆管理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按要求统一标识，加盖密闭，无残缺损坏，无渗漏、无气味，摆放整齐不占道。</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机动车辆管理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按要求统一标识，车容整洁、无污物，污垢、无渗漏，无损坏，车容整洁美观。</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装卸管理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按车额定荷载收集垃圾，不得超载运输垃圾。</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垃圾密闭运输，途中无垃圾飞扬、撒落、无污水滴漏。</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收集设施（转运站、垃圾屋</w:t>
            </w:r>
            <w:r>
              <w:rPr>
                <w:rFonts w:hint="eastAsia" w:ascii="宋体" w:hAnsi="宋体" w:eastAsia="宋体" w:cs="宋体"/>
                <w:color w:val="auto"/>
                <w:sz w:val="21"/>
                <w:szCs w:val="21"/>
                <w:highlight w:val="none"/>
                <w:lang w:eastAsia="zh-CN"/>
              </w:rPr>
              <w:t>、分类亭、有害垃圾收集箱</w:t>
            </w:r>
            <w:r>
              <w:rPr>
                <w:rFonts w:hint="eastAsia" w:ascii="宋体" w:hAnsi="宋体" w:eastAsia="宋体" w:cs="宋体"/>
                <w:color w:val="auto"/>
                <w:sz w:val="21"/>
                <w:szCs w:val="21"/>
                <w:highlight w:val="none"/>
              </w:rPr>
              <w:t>）管理</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收集设施按要求落实专人负责</w:t>
            </w:r>
            <w:r>
              <w:rPr>
                <w:rFonts w:hint="eastAsia" w:ascii="宋体" w:hAnsi="宋体" w:eastAsia="宋体" w:cs="宋体"/>
                <w:color w:val="auto"/>
                <w:sz w:val="21"/>
                <w:szCs w:val="21"/>
                <w:highlight w:val="none"/>
                <w:lang w:eastAsia="zh-CN"/>
              </w:rPr>
              <w:t>和日常维护，</w:t>
            </w:r>
            <w:r>
              <w:rPr>
                <w:rFonts w:hint="eastAsia" w:ascii="宋体" w:hAnsi="宋体" w:eastAsia="宋体" w:cs="宋体"/>
                <w:color w:val="auto"/>
                <w:sz w:val="21"/>
                <w:szCs w:val="21"/>
                <w:highlight w:val="none"/>
              </w:rPr>
              <w:t>统一标识，站名、编号、作业规章、管理制度等上墙，设施内外整洁干净，无气味，无堆放物，无拉挂物，无污水等。</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未按要求落实，每发现一处扣0.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台账管理（</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巡查台账</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各村（社区）配置管理人员，每天巡查收集设施不少于</w:t>
            </w:r>
            <w:r>
              <w:rPr>
                <w:rFonts w:hint="eastAsia" w:ascii="宋体" w:hAnsi="宋体" w:eastAsia="宋体" w:cs="宋体"/>
                <w:color w:val="auto"/>
                <w:sz w:val="21"/>
                <w:szCs w:val="21"/>
                <w:highlight w:val="none"/>
                <w:lang w:val="en-US" w:eastAsia="zh-CN"/>
              </w:rPr>
              <w:t>2天，并做好登记。</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未按要求落实，每发现一处扣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分类台账</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登记好每天生活垃圾四分类台账和上门收集规范作业台账，每月定时报送。</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其他要求（15分）</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重要或突击性工作落实</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重要或突击性活动，按时、按标准、按要求完成分配的工作任务。</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未按要求落实，每发现一次扣0.5分。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文明作业</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员工持证上岗，统一服饰，遵纪守法，文明作业。</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未按要求落实，每发现一次扣0.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整改落实</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接收到整改通知书后，必须诚恳接受，并在规定时间内完成整改内容。</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未按要求整改或逾期不整改，每发现一次扣0.5分。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市民投诉</w:t>
            </w:r>
          </w:p>
        </w:tc>
        <w:tc>
          <w:tcPr>
            <w:tcW w:w="27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受到市民投诉，经调查认定情况属实的，且在规定时间内未及时整改处理。</w:t>
            </w:r>
          </w:p>
        </w:tc>
        <w:tc>
          <w:tcPr>
            <w:tcW w:w="1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证实情况属实且整改不到位，每发现一次扣0.5分。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得分：</w:t>
            </w:r>
          </w:p>
        </w:tc>
        <w:tc>
          <w:tcPr>
            <w:tcW w:w="6213"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得分（      分）=100-合计总扣分（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c>
          <w:tcPr>
            <w:tcW w:w="8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c>
          <w:tcPr>
            <w:tcW w:w="8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说明: 1、此标准作为绿化养护每月月检和日查的评分考核标准。</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、检查按百分制打分，分好 (100一90分)、中(89一80分)，差 (80分以下)三个档次。</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、每项扣分累计不超过该项“应得分”，即至多以扣完为止。</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、甲方保留对本标准的解释权和修改权。</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单位检查人签名：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市场化管理企业负责人签名：</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3150" w:firstLineChars="150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pStyle w:val="7"/>
        <w:rPr>
          <w:rFonts w:hint="eastAsia" w:ascii="宋体" w:hAnsi="宋体" w:eastAsia="宋体" w:cs="宋体"/>
          <w:color w:val="auto"/>
          <w:kern w:val="2"/>
          <w:sz w:val="21"/>
          <w:szCs w:val="21"/>
          <w:highlight w:val="none"/>
        </w:rPr>
      </w:pPr>
    </w:p>
    <w:p>
      <w:pPr>
        <w:rPr>
          <w:rFonts w:hint="eastAsia" w:ascii="宋体" w:hAnsi="宋体" w:eastAsia="宋体" w:cs="宋体"/>
          <w:color w:val="auto"/>
          <w:kern w:val="2"/>
          <w:sz w:val="21"/>
          <w:szCs w:val="21"/>
          <w:highlight w:val="none"/>
        </w:rPr>
      </w:pPr>
    </w:p>
    <w:p>
      <w:pPr>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茶山镇生活垃圾压缩转运考核评分表</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w:t>
      </w:r>
    </w:p>
    <w:p>
      <w:pPr>
        <w:pStyle w:val="7"/>
        <w:ind w:left="0" w:leftChars="0" w:firstLine="0" w:firstLineChars="0"/>
        <w:rPr>
          <w:rFonts w:hint="eastAsia"/>
          <w:color w:val="auto"/>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总分100分）</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考评时间：</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    月    日</w:t>
      </w:r>
    </w:p>
    <w:tbl>
      <w:tblPr>
        <w:tblStyle w:val="19"/>
        <w:tblW w:w="9262" w:type="dxa"/>
        <w:jc w:val="center"/>
        <w:tblLayout w:type="fixed"/>
        <w:tblCellMar>
          <w:top w:w="0" w:type="dxa"/>
          <w:left w:w="108" w:type="dxa"/>
          <w:bottom w:w="0" w:type="dxa"/>
          <w:right w:w="108" w:type="dxa"/>
        </w:tblCellMar>
      </w:tblPr>
      <w:tblGrid>
        <w:gridCol w:w="681"/>
        <w:gridCol w:w="1120"/>
        <w:gridCol w:w="1260"/>
        <w:gridCol w:w="4010"/>
        <w:gridCol w:w="1300"/>
        <w:gridCol w:w="891"/>
      </w:tblGrid>
      <w:tr>
        <w:tblPrEx>
          <w:tblCellMar>
            <w:top w:w="0" w:type="dxa"/>
            <w:left w:w="108" w:type="dxa"/>
            <w:bottom w:w="0" w:type="dxa"/>
            <w:right w:w="108" w:type="dxa"/>
          </w:tblCellMar>
        </w:tblPrEx>
        <w:trPr>
          <w:trHeight w:val="61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评分内容</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检查项目</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检查内容</w:t>
            </w:r>
          </w:p>
        </w:tc>
        <w:tc>
          <w:tcPr>
            <w:tcW w:w="4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检查标准</w:t>
            </w:r>
          </w:p>
        </w:tc>
        <w:tc>
          <w:tcPr>
            <w:tcW w:w="13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扣分标准</w:t>
            </w:r>
          </w:p>
        </w:tc>
        <w:tc>
          <w:tcPr>
            <w:tcW w:w="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应扣分</w:t>
            </w:r>
          </w:p>
        </w:tc>
      </w:tr>
      <w:tr>
        <w:tblPrEx>
          <w:tblCellMar>
            <w:top w:w="0" w:type="dxa"/>
            <w:left w:w="108" w:type="dxa"/>
            <w:bottom w:w="0" w:type="dxa"/>
            <w:right w:w="108" w:type="dxa"/>
          </w:tblCellMar>
        </w:tblPrEx>
        <w:trPr>
          <w:trHeight w:val="540" w:hRule="atLeast"/>
          <w:jc w:val="center"/>
        </w:trPr>
        <w:tc>
          <w:tcPr>
            <w:tcW w:w="681" w:type="dxa"/>
            <w:vMerge w:val="restart"/>
            <w:tcBorders>
              <w:top w:val="nil"/>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每月底大检查评分</w:t>
            </w:r>
          </w:p>
        </w:tc>
        <w:tc>
          <w:tcPr>
            <w:tcW w:w="11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运输设备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压缩机、箱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统一标饰，加盖密闭，无残缺破损，无掉漆、无渗漏、无气味；每天最少清洗一次</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发现每处扣0.2分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585"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机动车辆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车容整洁，车体外部无污物、污垢，标志清晰，每天最少清洗一次</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发现没有落实每次扣0.5分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600"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运输管理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装卸要求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装载按车辆额定荷载和有效容积为限，不得超重、超载；装卸时不得乱倒、乱抛垃圾，保持周围环境整洁卫生</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发现每次扣0.2分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495"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运输要求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密闭运输，途中无垃圾飞扬、撒落、拖拉和污水滴漏</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发现一次扣0.2分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540"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司机管理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司机统一着装、持证上岗，不得酒后驾驶，严格遵守交通规则安全行驶</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每发现一次扣0.5分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702"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转运站管理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40分）</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转运建设要求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在显眼位置设立标志牌，公布作业规章、管理制度、站名、编号、作业时间及投诉电话；设有防尘、防污染扩散及污水处理设施并使用</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发现没有落实的每处扣0.2分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rPr>
          <w:trHeight w:val="702"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站内管理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站内不得堆放非必须物品，不得分拣垃圾和居住；场地应整洁，无垃圾散落和污水；室内通风良好，无恶臭、无积尘、蜘蛛网，定期喷洒“除四害”药物</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发现每处扣0.2分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465"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站外管理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站外周边环境卫生整洁美观，无乱堆放、无张贴和涂画</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发现每处扣0.2分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450"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rPr>
            </w:pP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工人管理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工人统一着装，持证上岗、严格按照规章制度作业</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发现一次扣0.2分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615" w:hRule="atLeast"/>
          <w:jc w:val="center"/>
        </w:trPr>
        <w:tc>
          <w:tcPr>
            <w:tcW w:w="68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垃圾处理办法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焚烧处理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垃圾日产日清，运输到横沥科伟焚烧，不得乱倾倒、填埋，不得对周边环境产生二次污染，不得处理外来垃圾</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发现一次扣0.5分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615"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rPr>
              <w:t>安全作业</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10分</w:t>
            </w:r>
            <w:r>
              <w:rPr>
                <w:rFonts w:hint="eastAsia" w:ascii="宋体" w:hAnsi="宋体" w:eastAsia="宋体" w:cs="宋体"/>
                <w:bCs/>
                <w:color w:val="auto"/>
                <w:sz w:val="21"/>
                <w:szCs w:val="21"/>
                <w:lang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rPr>
              <w:t>安全作业</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10分</w:t>
            </w:r>
            <w:r>
              <w:rPr>
                <w:rFonts w:hint="eastAsia" w:ascii="宋体" w:hAnsi="宋体" w:eastAsia="宋体" w:cs="宋体"/>
                <w:bCs/>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佩戴上岗证上岗、有灭火器安全措施等</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发现一次扣0.5分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660" w:hRule="atLeast"/>
          <w:jc w:val="center"/>
        </w:trPr>
        <w:tc>
          <w:tcPr>
            <w:tcW w:w="6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日检评分</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日检管理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垃圾清运全面工作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01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汇总日常检查情况</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合计每次扣分</w:t>
            </w:r>
          </w:p>
        </w:tc>
        <w:tc>
          <w:tcPr>
            <w:tcW w:w="891"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61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投诉评分</w:t>
            </w:r>
          </w:p>
        </w:tc>
        <w:tc>
          <w:tcPr>
            <w:tcW w:w="11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群众投诉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投诉整改工作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汇总群众投诉情况</w:t>
            </w:r>
          </w:p>
        </w:tc>
        <w:tc>
          <w:tcPr>
            <w:tcW w:w="13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合计每次扣分</w:t>
            </w:r>
          </w:p>
        </w:tc>
        <w:tc>
          <w:tcPr>
            <w:tcW w:w="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tblPrEx>
          <w:tblCellMar>
            <w:top w:w="0" w:type="dxa"/>
            <w:left w:w="108" w:type="dxa"/>
            <w:bottom w:w="0" w:type="dxa"/>
            <w:right w:w="108" w:type="dxa"/>
          </w:tblCellMar>
        </w:tblPrEx>
        <w:trPr>
          <w:trHeight w:val="405" w:hRule="atLeast"/>
          <w:jc w:val="center"/>
        </w:trPr>
        <w:tc>
          <w:tcPr>
            <w:tcW w:w="18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当月得分</w:t>
            </w:r>
          </w:p>
        </w:tc>
        <w:tc>
          <w:tcPr>
            <w:tcW w:w="746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当月得分（        分）=100-每月巡查扣分（       ）-日常检查扣分（       ）-群众投诉扣分（        ）</w:t>
            </w:r>
          </w:p>
        </w:tc>
      </w:tr>
      <w:tr>
        <w:tblPrEx>
          <w:tblCellMar>
            <w:top w:w="0" w:type="dxa"/>
            <w:left w:w="108" w:type="dxa"/>
            <w:bottom w:w="0" w:type="dxa"/>
            <w:right w:w="108" w:type="dxa"/>
          </w:tblCellMar>
        </w:tblPrEx>
        <w:trPr>
          <w:trHeight w:val="2260" w:hRule="atLeast"/>
          <w:jc w:val="center"/>
        </w:trPr>
        <w:tc>
          <w:tcPr>
            <w:tcW w:w="9262"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说明: 1、此标准作为绿化养护每月月检和日查的评分考核标准。</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、检查按百分制打分，分好 (100一90分)、中(89一80分)，差 (80分以下)三个档次。</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、每项扣分累计不超过该项“应得分”，即至多以扣完为止。</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、甲方保留对本标准的解释权和修改权。</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ab/>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单位检查人签名：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市场化管理企业负责人签名：</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单位负责人签名：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firstLine="3150" w:firstLineChars="1500"/>
              <w:jc w:val="both"/>
              <w:rPr>
                <w:rFonts w:hint="eastAsia" w:ascii="宋体" w:hAnsi="宋体" w:eastAsia="宋体" w:cs="宋体"/>
                <w:color w:val="auto"/>
                <w:kern w:val="2"/>
                <w:sz w:val="21"/>
                <w:szCs w:val="21"/>
                <w:highlight w:val="none"/>
              </w:rPr>
            </w:pPr>
          </w:p>
          <w:p>
            <w:pPr>
              <w:keepNext w:val="0"/>
              <w:keepLines w:val="0"/>
              <w:pageBreakBefore w:val="0"/>
              <w:widowControl/>
              <w:tabs>
                <w:tab w:val="left" w:pos="3149"/>
              </w:tabs>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检查日期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bl>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pStyle w:val="7"/>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附件2：</w:t>
      </w:r>
    </w:p>
    <w:p>
      <w:pPr>
        <w:keepNext w:val="0"/>
        <w:keepLines w:val="0"/>
        <w:pageBreakBefore w:val="0"/>
        <w:widowControl w:val="0"/>
        <w:tabs>
          <w:tab w:val="left" w:pos="3450"/>
        </w:tabs>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东莞市环境卫生管理规定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tabs>
          <w:tab w:val="left" w:pos="1491"/>
          <w:tab w:val="left" w:pos="2091"/>
        </w:tabs>
        <w:kinsoku/>
        <w:overflowPunct/>
        <w:topLinePunct w:val="0"/>
        <w:autoSpaceDE/>
        <w:autoSpaceDN/>
        <w:bidi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4"/>
          <w:kern w:val="2"/>
          <w:sz w:val="21"/>
          <w:szCs w:val="21"/>
          <w:highlight w:val="none"/>
          <w:lang w:val="en-US" w:eastAsia="zh-CN" w:bidi="ar-SA"/>
        </w:rPr>
        <w:t>第一章</w:t>
      </w:r>
      <w:r>
        <w:rPr>
          <w:rFonts w:hint="eastAsia" w:ascii="宋体" w:hAnsi="宋体" w:eastAsia="宋体" w:cs="宋体"/>
          <w:color w:val="auto"/>
          <w:spacing w:val="-14"/>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总</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则</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第一条 为了加强城市环境卫生管理，创造清洁、优美、文明的城市环境，根据《城市市容和环境卫生管理条例》《广东省城乡生活垃圾处理条例》等有关法律、法规，结合本市实际，制定本规定。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第二条 本规定适用于本市行政区域内的环境卫生管理以及相关活动。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第三条 本市环境卫生工作实行统一领导、分级负责、部门协同、公众参与、社会监督的原则，实行科学化、规范化、便民化管理。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第四条 市人民政府、园区管委会、镇人民政府（街道办事处）应当将环境卫生事业纳入国民经济和社会发展计划，保障环境卫生工作所需经费，完善环境卫生基础设施建设，建立环境卫生工作联动与信息共享机制，提高城市公共服务水平。</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加强对本市环境卫生工作监督管理，完善管理制度和考评机制，指导和监督园区、镇（街）环境卫生管理工作；园区管委会、镇人民政府（街道办事处）按照属地管理原则，负责本行政区域内环境卫生管理工作。</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财政、国土资源、城乡规划、住房与城乡建设、环境保护、交通运输、水务、公安、工商、卫生计生等部门应当按照各自职责，共同做好环境卫生管理工作。</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第五条 市环境卫生主管部门应当保障公众知情权，公布城市环境卫生信息，畅通公众参与渠道，完善参与程序，保障单位和个人依法参与和监督环境卫生管理。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鼓励公众参与环境卫生保护志愿服务，促进城市管理志愿服务事业发展。</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鼓励村（居）民委员会、住宅小区业主大会制定保护环境卫生公约，动员公众积极参加环境卫生保护工作。</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第六条 市环境卫生主管部门应当建立环境卫生投诉、举报受理制度，推行数字化服务，公布电话、网站、信箱、电子邮箱和数字化服务平台，及时依法处理投诉、举报行为，并为投诉、举报人保密。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第七条 市人民政府应当将环境卫生管理工作纳入城市管理效能考核，建立环境卫生管理考核制度并组织实施。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市人民政府、园区管委会、镇人民政府（街道办事处）应当对在环境卫生工作中做出显著成绩的单位和个人给予奖励。</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第八条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市环境卫生主管部门和教育、文化广电、卫生计生等部门应当定期开展环境卫生法律、法规和科学知识的宣传教育，增强市民爱护环境卫生的意识。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广播、电视、报刊等新闻媒体应当安排环境卫生方面的公益性宣传活动。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学校应当结合教育活动进行环境卫生知识教育。</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鼓励公共场所和公共交通工具管理人在广告设施、广告刊播介质或者其他适当位置刊播环境卫生公益广告。</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环境卫生设施规划与建设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第九条  市环境卫生主管部门应当会同国土资源、住房与城乡建设、交通运输、水务、林业、城乡规划等部门，依据国民经济和社会发展规划、土地利用总体规划、城乡规划，结合本市环境卫生事业发展需要，组织编制市环境卫生设施专项规划，报市人民政府批准后组织实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园区管委会、镇人民政府（街道办事处）应当根据市环境卫生设施专项规划组织编制本行政区域环境卫生设施专项规划，报市人民政府审批。</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经批准的环境卫生设施专项规划，不得随意变更，确需修改的，应当报原审批机关批准。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市环境卫生主管部门应当根据环境卫生设施专项规划以及环境卫生设施设置标准，制定环境卫生设施年度建设计划并组织实施。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市人民政府、园区管委会、镇人民政府（街道办事处）应当将环境卫生设施建设用地、建设计划纳入土地利用年度计划、城乡规划年度实施计划。</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城乡规划主管部门应当将环境卫生设施专项规划中确定的环境卫生设施用地纳入控制性详细规划和城市黄线保护范围，并依法向社会公布。在城市、镇规划区内以出让方式提供国有土地使用权的，在国有土地使用权出让前，城乡规划主管部门应当将控制性详细规划中关于环境卫生设施的具体要求列入出让地块规划条件。环境卫生设施专项规划应当与城乡建设、交通、环境保护等相关规划协调，制定各专项规划的部门应当按照统一衔接、功能互补、相互协调的原则，推进专项规划之间的融合。</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经规划确定的环境卫生设施建设用地，未经法定程序，不得改变用途。</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第十一条  按照规划条件和环境卫生设施设置标准应当配套建设环境卫生设施的新建、改建、扩建建设工程的设计方案中应当清晰标明配套环境卫生设施的建设位置、规模和功能。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城乡规划主管部门应当会同园区、镇（街）环境卫生管理机构审查建设工程设计方案。</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建设工程设计方案不符合环境卫生设施规划条件的，城乡规划主管部门不予核发建设工程规划许可证。</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第十二条  从事新区开发、旧城改建、住宅小区开发建设、道路拓建以及其他大型公用建筑建设的单位，应当按照规划条件和环境卫生设施设计、验收标准，配套建设环境卫生设施。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配套建设环境卫生设施应当与主体工程同时设计、同时施工、同时交付使用。建设工程分期建设的，配套生活垃圾处理设施应当与首期工程同时交付使用。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配套建设环境卫生设施不符合规划条件的，建设单位不得组织竣工验收。</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属地园区、镇（街）环境卫生管理机构应当参与配套建设环境卫生设施工程竣工验收。</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第十三条  预售商品房时，房地产开发经营单位应当将配套建设环境卫生设施布局、类型、建设规模以及占地面积等相关信息在销售场所和销售网站明显位置公示，并以书面方式向预购人明示环境卫生设施的平面示意图。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第十四条  已建成使用的主次干道、公共广场、住宅小区、商业贸易区和城中村环境卫生设施数量低于国家规定设置标准的，由所在环境卫生责任区的责任人按照规划要求组织补建或者配置。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责任人为园区管委会、镇人民政府（街道办事处）、市环境卫生主管部门或者其他部门的，环境卫生设施补建、配置资金由本级财政统筹安排。</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第十五条 任何单位和个人不得损坏或者擅自拆除、迁移环境卫生设施。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因城市建设确需拆除、迁移环境卫生设施的，建设单位应当事先提出拆除、迁移方案，报市环境卫生主管部门批准后实施。环境卫生设施需要补建的，应当先行补建，补建验收合格后方可拆除。第十六条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市环境卫生主管部门应当将粪便处理设施纳入市环</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境卫生设施专项规划，并按照相关技术标准建设市属粪便集中处理设施。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园区管委会、镇人民政府（街道办事处）应当根据市环境卫生设施专项规划和本行政区域环境卫生设施专项规划，组织建设粪便处理设施。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第十七条  市人民政府应当按照受益者补偿、污染者付费的原则制定跨区域使用环境卫生工程设施生态补偿制度并组织实施。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会同发展和改革、财政等有关部门根据生态价值、生态文明建设要求、地区国民生产总值、财政收入、物价指数、人口数量、人均纯收入和生态服务功能等因素，合理制定并适时调整环境卫生工程设施生态补偿费征收标准，报市人民政府批准后公布执行。</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环境卫生工程设施生态补偿费主要用于环境卫生工程设施周边地区环境美化、环境整治，市政配套设施建设和维护，公共服务设施建设和维护，经济发展扶持和补偿等。</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环境卫生责任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第十八条  环境卫生责任区是指有关单位和个人所有、使用、经营或者管理的建筑物、构筑物、设施、场所及其建筑控制线与用地红线之间的区域。</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城市道路环境卫生责任区包括城市道路及其附属设施和道路红线以内的区域。</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公路环境卫生责任区包括公路及其附属设施和建筑控制区域。铁路环境卫生责任区包括铁路及其附属设施和线路安全保护区域。</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第十九条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环境卫生责任区的责任人，按照以下规定确定：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（一）市直管城市道路由市环境卫生主管部门负责；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（二）园区、镇（街）城市道路由属地园区管委会、镇人民政府（街道办事处）负责；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（三）公路、铁路、车行隧道、专用道路、桥梁、人行天桥、桥下空间、人行地下通道由经营者或者管理者负责；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（四）城市绿地以及绿化配套设施由经营者或者管理者负责；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（五）文化娱乐场所、体育场馆、旅游景区、技术工业园区、公园、公共广场、机场、车站、码头等公共场所，由经营者或者管理者负责；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（六）各类市场、商业广场、展览展销场所由开办者负责；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（七）商店、超市、宾馆、饭店、个体商铺、摊档等经营服务场所，由经营者或者管理者负责；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（八）机关、团体、学校、部队、企事业单位的管理区域由本单位负责；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（九）建设工地、未移交的建设工程范围由建设单位负责；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（十）整治土地、待建地由土地使用权人负责；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（十一）储备土地由土地储备机构负责；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（十二）单位和个人出资建设的市政公用设施，已交政府养护、维修的，由接管单位负责；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（十三）单位和个人出资建设的市政公用设施，未交政府养护、维修的，由产权人负责；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（十四）实行物业管理的居住区由物业管理单位负责；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（十五）未实行物业管理的居住区，由属地村（居）民委员会负责；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（十六）湖泊、水库、水塘、池塘、鱼塘、水渠等水域由经营者或者管理者负责；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（十七）东江东莞段江河及其滩涂管理范围由市水行政管理部门负责，其他河道及其滩涂管理范围由属地园区、镇（街）河道管理机构负责。</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无法确定经营者、管理者的区域，由产权人负责。无法确定产权人的区域由属地园区管委会、镇人民政府（街道办事处）负责。按照前款规定仍不能分清责任的区域，由属地园区、镇（街）</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环境卫生管理机构确定；跨园区、镇（街）的，由市环境卫生主管部门确定。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第二十条 环境卫生责任区的责任人应当在责任区范围内履行下列责任：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（一）保持环境卫生整洁，无暴露垃圾、粪便、污水，无污迹，无渣土，无蚊蝇孳生地；</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（二）保持水域卫生整洁，不得将废弃物排入水体，采取措施防止漂浮物流出责任区，及时清理水生植物；</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（三）按照规定设置环境卫生设施，并保持其整洁、完好；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（四）配合环境卫生作业单位作业；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（五）发现责任区内有影响环境卫生和损坏环境卫生设施行为的，应当予以制止，要求行为人自行清理、补救，并向属地园区、镇（街）环境卫生管理机构报告；</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（六）实行生活垃圾分类投放区域的责任人应当按照规定履行生活垃圾分类管理责任。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责任人可以自行履行责任区责任，也可以委托他人或者作业单位代为履行。</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第二十一条  临街经营场所的责任人应当保持经营场所及其周围环境卫生整洁，不得向道路、公共场所排放污水、尘土或者废弃物。</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废品收购或者废弃物接纳场所的责任人应当采取围挡、遮盖等措施防止废弃物向外散落。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车辆清洗或者修理场所的责任人应当采取有效措施防止污水外流，保持经营场所周围环境整洁。</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第二十二条  农贸市场、集贸市场和其他商品交易市场的开办者应当按照以下规定履行责任区责任：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（一）建立入场经营者环境卫生区域责任制度；</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（二）根据经营面积配备足量的专业保洁人员，并配备专职环境卫生监督员；</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（三）建立巡查管理制度，督促入场经营者做好各环境卫生责任区域内的卫生保洁工作，保持经营场所无暴露垃圾、积存污水、鼠蝇蚊蟑等病媒生物孳生地；</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（四）发现入场经营者有影响环境卫生行为的，应当及时制止和督促改正，并向属地园区、镇（街）环境卫生管理机构报告；</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（五）建立公示制度，在市场入口处等显著位置设公示栏，公布入场经营者环境卫生违法记录。</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第二十三条 建设工地责任人应当按照以下规定履行责任区责任：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（一）施工区域应当设置硬质围挡，并保持其整洁、美观；</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（二）及时清除地面淤泥、沙石、粉尘和污染物，并对裸露的场地采取覆盖、固化或绿化等措施防止雨水冲刷造成污水流溢；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（三）在施工区域内堆存建筑土方、工程渣土、建筑垃圾的，应当采取密闭遮盖等措施防止雨水冲刷造成污水流溢；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（四）在施工区域内堆存流体、液体物料的，应当采取措施防止流溢；</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（五）在施工区域出口采取地面硬化措施，并设置车辆清洗设施对出场车辆车身、车轮进行冲洗和清理，防止出场车辆带泥污染道路；</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（六）停工场地应当及时整理并作必要的覆盖；</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（七）竣工后，应当及时清理和平整场地。</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第二十四条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公共厕所责任人应当按照规范标准设置标志，按规定对外开放，并安排专人负责管理，保持厕所清洁、设施完好。鼓励机关、企事业单位附设的内部厕所在工作时间免费对外开放。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第二十五条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化粪池、储粪池的责任人应当遵守下列规定：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（一）将粪便经消纳后分离出的污水进行无害化处理，达到排入城市下水道水质标准后排入污水处理系统；</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（二）定期清捞粪渣，并将粪渣转运至粪便处理设施；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（三）按照有关技术规范定期维护、疏通、清掏粪池；</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（四）粪池堵塞、粪便外溢时，及时疏通、清除，无法自行疏通、清除的，应当报告属地园区、镇（街）环境卫生管理机构。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园区、镇（街）环境卫生管理机构接到相关报告后应当先及时组织疏通、清除，再分清责任，由责任人承担疏通、清除费用。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第二十六条  公路、铁路责任区范围内适用的环境卫生作业质量标准低于本市环境卫生质量标准的，可以由属地园区管委会、镇人民政府（街道办事处）根据本市环境卫生质量标准组织补充作业。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第二十七条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环境卫生主管部门应当加强对环境卫生责任区工作监督管理，指导责任人履行责任，并定期组织检查。</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环境卫生主管部门接到责任人对影响环境卫生和损坏环境卫生设施行为的报告时，应当及时依法处理。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属地园区管委会、镇人民政府（街道办事处）应当落实具体责任人和责任区范围，督促责任人履行责任区环境卫生工作责任。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有关部门应当配合做好下列责任区环境卫生管理工作，发现存在违反本规定的行为，应当及时通报环境卫生主管部门：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（一）工商行政管理部门应当协助做好对农贸市场、集贸市场以及其他商品交易市场责任区环境卫生工作的管理；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（二）房管部门应当协助做好对实行物业管理的居住区责任区环境卫生工作的管理；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（三）住房与城乡建设、交通运输、供电等部门应当分别协助做好对建筑、轨道交通、电缆铺设等工程建设施工区域责任区环境卫生工作的管理。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第二十八条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禁止实施下列影响公共环境卫生的行为：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（一）随地吐痰、便溺；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（二）乱扔果皮、果核、纸屑、烟蒂、玻璃瓶、饮料罐、口香糖、包装袋等废弃物；</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（三）从建筑物、机动车内向外抛掷生活垃圾；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（四）运输液体、散装货物的车辆不作密封、包扎、覆盖，造成泄漏、遗撒；</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（五）其他影响道路和公共场所环境卫生的行为。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公安机关交通管理部门应当协助环境卫生主管部门查处从机动车内向外抛掷垃圾和货运车辆泄漏、遗撒的违法行为，及时移送发现的案件线索，提供交通监管信息和机动车所有人信息。</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公安机关交通管理部门在处理交通事故时，应当在现场勘查完毕后及时组织清理现场，恢复交通。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垃圾处理管理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第二十九条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市人民政府、园区管委会、镇人民政府（街道办事处）应当建立涵盖生产、流通、消费等领域的生活垃圾源头减量工作机制，鼓励单位和个人在生产、生活中减少生活垃圾的产生。政府机关、事业单位、国有企业应当实行绿色办公，推广无纸</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化办公。政府采购应当优先采购可循环利用、再生利用商品。</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生产者和销售者应当严格执行国家、省、市对限制商品过度包装的标准和要求，减少一次性包装材料的使用。对列入强制回收目录的产品和包装物，生产者和销售者应当予以标注并明确回收方式和回收地点。</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鼓励净菜上市、洁净农副产品进城，限制和减少塑料袋使用。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第三十条  任何单位和个人不得在指定的收集点或者收集容器以外随意倾倒、抛撒、焚烧或者堆放生活垃圾。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本市生活垃圾逐步实行分类投放。具体办法由市环境卫生主管部门制定，报市人民政府批准后公布实施。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实行生活垃圾分类投放区域的园区管委会、镇人民政府（街道办事处）应当按照规定设置生活垃圾分类收集容器。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生活垃圾分类投放应当符合以下规定：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（一）可回收物应当交售给再生资源回收站点、个体回收人员，或者投放至可回收物收集容器；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（二）餐厨垃圾应当投放至餐厨垃圾收集容器；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（三）有害垃圾应当交给有害垃圾回收站点，或者投放至有害垃圾收集容器；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（四）其他垃圾除大件家具外应当投放至其他垃圾收集容器。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第三十一条  市人民政府、园区管委会、镇人民政府（街道办事处）应当按照便于投放、交售的原则，规划设置大件家具专用拆解场所、再生资源回收站点和旧家具交易、置换、捐赠场所。</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市人民政府、园区管委会、镇人民政府（街道办事处）应当采取财政投资、政府采购等措施支持和鼓励设立旧家具交易、置换、捐赠场所和网络平台，提倡可再使用的旧家具交易、置换和公益捐赠。</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大件家具应当采取以下方式之一投放：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（一）投放至大件家具专用拆解场所；</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（二）交售至再生资源回收站点或者旧家具交易、置换、捐赠场所；</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（三）预约再生资源回收站点或者收运服务单位上门收集。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任何单位和个人不得将废弃沙发、衣柜、床等大件家具投放到指定场所之外的垃圾收集点或者收集容器内。</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第三十二条  从事除居民家庭日常生活以外的食品生产经营、餐饮服务等活动的单位，应当积极配合做好前期信息收集、签订收运协议等工作，将生产、经营过程中产生的食物残余、食品加工废料、过期食品和废弃食用油脂等废弃物交由有经营许可证的单位收运处理，不得交由未经许可的单位和个人收运处理，不得直接排放到公共排水设施、河道、公共厕所、生活垃圾收集设施等场所或设施。</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市环境卫生主管部门应当制定餐饮垃圾监管制度。园区、镇（街）环境卫生管理机构应当依照餐饮垃圾监管制度对餐饮垃圾投放情况进行实时监督和定期检查。</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第三十三条  市人民政府应当制定并公布生活垃圾可回收目录，合理布局再生资源回收网络，制定低附加值可回收物回收利用优惠政策，鼓励再生资源回收利用单位或者资源综合利用单位对生活垃圾中的废塑料、废玻璃、废竹木、废织物等低附加值可回收物进行回收处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鼓励采用以旧换新、设置自动回收机、网购送货回收包装物等方式回收再生资源。</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第三十四条  未取得城市生活垃圾经营性清扫、收集、运输服务许可证的任何单位和个人，不得从事城市生活垃圾经营性清扫、收集、运输活动。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收集、运输生活垃圾应当遵守下列规定，减轻对道路交通和市民休息的影响，防止对环境卫生造成二次污染：</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（一）按时收集生活垃圾；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（二）不得混合收运已分类的生活垃圾；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（三）按照规定的运输线路、时间密闭运输至指定的处置场所；</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（四）生活垃圾应当实行密闭化运输，在运输过程中不得丢弃、扬撒、遗漏垃圾以及滴漏污水；</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（五）作业后应当及时对垃圾收集设施进行保洁复位，清理作业场地，保持垃圾收集设施和周边环境的干净整洁。</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生活垃圾转运站和处置场所应当设置车辆清洗设施对出场车辆车身、车轮进行冲洗和清理，生活垃圾运输车辆清洗完毕后方可离场。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第三十五条  未取得城市生活垃圾经营性处置服务许可证的任何单位和个人，不得从事城市生活垃圾经营性处置活动。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市环境卫生主管部门应当根据生活垃圾的成分、特性，结合生活垃圾处置设施产能状况及安全性、经济性等因素，统筹安排生活垃圾分类处置。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生活垃圾按照下列规定分类处置：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（一）可回收物应当由再生资源回收利用单位或者资源综合利用单位进行处置；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（二）有机易腐垃圾应当采用生化厌氧产沼、堆肥等方式进行资源化利用或者无害化处置；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（三）有害垃圾应当由具有相应危险废物经营许可证的单位进行无害化处置；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（四）其他垃圾除大件家具外应当通过回收利用、焚烧、填埋等方式实施无害化处置；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（五）大件家具应当拆解、加工、转化后根据相关标准再生利用，残余物按规定处置。</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第三十六条  市环境卫生、住房与城乡建设、公安、国土资源、环境保护、交通运输等有关部门应当建立本市建筑垃圾分类、排放、运输、综合利用和消纳等处理活动的监督管理协同机制。</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建设单位、施工单位应当按规定分类、排放、利用建筑垃圾，使用建筑垃圾综合利用产品，不得将建筑垃圾交给个人或者未经核准从事建筑垃圾运输的单位运输。</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建筑垃圾运输单位应当按规定运输建筑垃圾，保持运输车辆整洁，密闭装载，沿途不得泄漏、抛撒、倾倒建筑垃圾。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第三十七条  市环境保护主管部门对本市产生、收集、运输、贮存、利用、处置工业固体废物污染环境的防治工作实施统一监督管理，会同经信、商务等有关部门共同推进工业固体废物的减量化、资源化、无害化工作。</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生工业固体废物的单位应当根据经济、技术条件对其产生的工业固体废物加以利用；对暂时不利用或者不能利用的，应当按照有关规定建设贮存设施、场所，安全分类存放，或者采取无害化处置措施，不得擅自倾倒、堆放，不得混入生活垃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第三十八条  市环境卫生、林业等有关部门应当建立本市绿化废弃物清理、收集、处置和综合利用的监督管理协同机制。</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绿化作业者应当即时清理栽培、整修临街树木、绿篱、花坛（池）、草坪或者其他作业留下的枝叶、渣土等绿化废弃物，不得擅自堆放、露天焚烧绿化废弃物。</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鼓励将绿化废弃物收集加工利用，形成有机肥料、生物基质、能源材料、林产品等，实现资源化利用。</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环境卫生作业服务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第三十九条  环境卫生主管部门可以根据实际情况，依法选择政府采购或者其他环境卫生作业社会化服务方式。</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环境卫生主管部门应当通过招投标等公平竞争方式作出经营性环境卫生作业服务许可的决定，向中标单位颁发许可证，并签订政府采购环境卫生作业合同。</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政府采购环境卫生作业项目达到公开招标数额标准的，环境卫生主管部门应当采用公开招标的方式实施，并依法发布招标公告。采购人应当将投标人的信用状况纳入对投标人资格审查的标准和评标标准。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政府采购环境卫生作业合同应当明确约定经营期限、服务标准、监管考核、履约担保、应急预案、临时接管预案、违约责任、争议解决方式等内容。</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第四十条  市环境卫生主管部门应当根据国家、省、市有关规定和技术标准，结合本市实际，制定本市环境卫生作业规范和质量标准。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环境卫生作业单位从事环境卫生作业活动，应当遵守本市环境卫生作业规范，符合本市环境卫生质量标准。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环境卫生作业合同约定的作业规范和质量标准严于本市环境卫生作业规范和质量标准的，适用合同标准。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第四十一条  政府采购环境卫生作业合同应当明确约定采购人对作业项目监管、检测和绩效评价的权利和相应义务。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采购人应当建立环境卫生作业监管、检测和绩效评价制度，并根据环境卫生作业合同的约定，制定具体作业项目的考核标准。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采购人可以自行实施作业项目质量考核，也可以委托具有资质的监理单位、专业机构或者行业协会实施考核。</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采购人应当及时向社会公示作业项目质量考核结果。</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第四十二条  市环境卫生主管部门应当建立环境卫生作业单位信用档案，及时记录环境卫生作业单位考核不合格的情况和违约行为，并依法公开。</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鼓励社会公众、新闻媒体对环境卫生作业活动进行监督。对投诉、曝光的环境卫生作业单位违反作业规范的行为，经核实后，应当记录在信用档案中。</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第四十三条  环境卫生主管部门应当根据风险、信用等合理要素对环境卫生作业单位进行等级划分，制定监管分类分级目录，实行差别化监管。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对于多次考核不合格或者有重大违约行为的环境卫生作业单位，环境卫生主管部门应当将其列入重点监管对象名单，增加监督检查和考核频次。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第四十四条  发生突发事件影响环境卫生作业正常进行的，采购人和中标单位应当按照应急预案进行应急响应。</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政府采购环境卫生作业合同因突发事件终止，需要重新采购公开招标数额标准以上的服务，但是采用公开招标所需时间不能满足维持城市环境卫生的紧急需要的，可以依法采用公开招标以外的方式采购。</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第四十五条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政府采购作业项目质量考核不合格，严重影响城市环境卫生的，或者中标单位已不具备履约能力，继续履行合同将损害社会公共利益的，采购人可以依法终止合同。</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第四十六条  有关部门应当采取以下措施改善环境卫生作业人员的工作条件和生活条件，逐步提高环境卫生作业人员的工资福利待遇：</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（一）市发展和改革部门应当根据国家、省、市环境卫生作业用工成本标准和环境卫生劳动定额的相关规定，结合本市实际，制定环境卫生作业指导价；</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（二）市安全生产监管部门应当依法对环境卫生安全生产和职业健康工作实施综合监管；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（三）市环境卫生主管部门应当依法对环境卫生安全生产和职业健康工作实施行业监管；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（四）市人力资源部门应当依法对环境卫生作业单位履行劳动合同及作业人员工资发放情况进行监督检查；</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（五）市住房与城乡建设部门应当逐步将环境卫生作业人员纳入住房保障范围，对符合本市保障性住房申请条件的环境卫生作业人员，在同等条件下予以优先安排。</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市环境卫生主管部门应当采取技能竞赛、文娱活动、慰问、表扬、授予荣誉称号等多种形式关爱环境卫生作业人员。</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第四十七条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在本市从事环境卫生作业的外来务工人员申请积分入户、随迁子女积分入学的，应当按照工作年限给予适当加分。在本市从事环境卫生作业的外来务工人员符合以下条件之一的，可以通过条件准入类人才入户政策申请入户，并获得随迁子女积分入学加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（一）获得东莞市委、市政府、广东省委、省政府及部级以上表彰、嘉奖或授予荣誉称号奖励的；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（二）近5 年由本市人力资源部门推荐参加国家、广东省或本市人力资源部门主办或与部门、行业组织联合举办的职业技能竞赛获得奖项的。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第四十八条  环境卫生作业单位应当采取以下措施改善环境卫生作业人员的工作条件，逐步提高环境卫生作业人员的工资福利待遇：</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（一）依法与环境卫生作业人员签订劳动合同，办理劳动用工备案手续；</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（二）执行国家、省、市环境卫生作业用工成本标准；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（三）根据国家、省、市环境卫生劳动定额和相关规定，执行环境卫生作业工时制度；</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（四）依法保障环境卫生作业人员作业安全，采取有效措施防治职业病。</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鼓励环境卫生作业单位提高机械化作业水平，降低环境卫生作业人员劳动强度。</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第四十九条  任何单位和个人都应当尊重环境卫生作业人员及其劳动，不得妨碍、阻挠其正常作业。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鼓励单位和个人为环境卫生作业人员免费提供临时休息、餐饮、降温避暑、取暖御寒等便利服务。</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第六章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法律责任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第五十条  违反本规定有关环境卫生设施规划与建设管理规定的，由环境卫生主管部门按下列规定予以处罚：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违反第十二条规定，新建、改建、扩建建设项目的配套生活垃圾分类、收集、转运设施未达到规划设计要求，或者未与主体工程同时交付使用的，根据《城市市容和环境卫生管理条例》第三十七条、《广东省城乡生活垃圾处理条例》第五十七条规定，责令限期改正，可以并处3 万元以上 10 万元以下的罚款；应当配套建设的除生活垃圾分类、收集、转运设施以外的环境卫生设施未达到规划设计要求，或者未与主体工程同时交付使用的，根据《城市市容和环境卫生管理条例》第三十七条规定，责令限期改正，逾期未改正的，可以并处5 万元以下的罚款。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（二）违反第十五条第一款规定，损坏环境卫生设施及其附属设施的，根据《城市市容和环境卫生管理条例》第三十八条规定，责令恢复原状，并可对单位处以 500 元以上 5000 元以下的罚款，对个人处以 100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（三）违反第十五条规定，擅自拆除、迁移生活垃圾集中转运、处置设施的，根据《广东省城乡生活垃圾处理条例》第五十八条规定，责令停止违法行为，限期改正，并对单位处1 万元以上 10 万元以下的罚款；擅自拆除、迁移公共厕所、化粪池等除生活垃圾集中转运、处置设施以外的环境卫生设施，或者未按批准的方案拆除、迁移环境卫生设施的，根据《城市市容和环境卫生管理条例》第三十六条规定，责令停止违法行为，限期改正，并可对单位处以5 万元以下的罚款，对个人处以 100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违反第十三条规定，房地产开发经营单位未按规定向预购人明示配套建设的环境卫生设施的平面示意图的，由住房与城乡建设部门按照《广东省商品房预售管理条例》第三十八条规定予以处罚。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第五十一条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违反第二十条、第二十一条、第二十二条、第二十三条、第二十四条、第二十五条规定，环境卫生责任人不履行责任区清扫保洁义务，由环境卫生主管部门根据《城市市容和环境卫生管理条例》第三十四条规定，责令限期改正；逾期不改正的，可以对单位处500 元以上5000 元以下的罚款，对个人处50 元以上100元以下的罚款。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责任人为园区管委会、镇人民政府（街道办事处）、环境卫生主管部门或者其他部门的，由所在单位或者上级主管部门依法对直接负责的主管人员给予处理。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第五十二条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违反第二十八条规定，影响公共环境卫生的，由环境卫生主管部门按下列规定予以处罚：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（一）违反第二十八条第一款第（一）项规定，随地吐痰、便溺的，根据《城市市容和环境卫生管理条例》第三十四条规定，责令其纠正违法行为、采取补救措施，可以并处 100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违反第二十八条第一款第（二）项、第（三）项规定，乱扔果皮、果核、纸屑、烟蒂、玻璃瓶、饮料罐、口香糖、包装袋等废弃物，或者从建筑物、机动车内向外抛掷生活垃圾的，根据《广东省城乡生活垃圾处理条例》第五十三条规定，责令停止违法行为，并处 200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违反第二十八条第一款第（四）项规定，运输液体、散装货物的车辆不作密封、包扎、覆盖，造成泄漏、遗撒的，根据《城市市容和环境卫生管理条例》第三十四条规定，责令其纠正违法行为、采取补救措施，并可对单位处以 500 元以上 5000 元以下的罚款，对个人处以 100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第五十三条 违反本规定有关垃圾处理管理规定的，由环境卫生主管部门按下列规定予以处罚：</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（一）违反第三十条第一款规定，在指定的收集点或者收集容器以外随意倾倒、抛撒、焚烧或者堆放生活垃圾的，根据《广东省城乡生活垃圾处理条例》第五十三条第一款规定，责令停止违法行为，并对单位处以 5000 元以上5 万元以下的罚款，对个人处以 200元以下的罚款。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违反第三十一条第四款规定，将大件家具投放到指定场所之外的垃圾收集点或者收集容器内的，根据《中华人民共和国固体废物污染环境防治法》第七十四条、《广东省城乡生活垃圾处理条例》第五十三条规定，责令改正，对单位处以 5000 元以上5 万元以下的罚款，对个人处以 200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（三）违反第三十二条第一款规定，未按规定收集、投放餐饮垃圾的，根据《广东省城乡生活垃圾处理条例》第五十四条规定，责令限期改正，可以并处 5000 元以上5 万元以下的罚款；涉嫌犯罪的，依法移送司法机关追究刑事责任。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（四）违反第三十四条第一款、第三十五条第一款规定，未经批准从事城市生活垃圾经营性清扫、收集、运输或者处置活动的，按照《城市生活垃圾管理办法》第四十三条规定，责令停止违法行为，并处以3 万元的罚款。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（五）违反第三十四条第二款第（二）项规定，混合收集、运输已分类的生活垃圾的，根据《广东省城乡生活垃圾处理条例》第五十五条第二款规定，责令限期改正，并处 1000 元以上 5000 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（六）违反第三十四条第二款第（四）项规定，在运输过程中沿途丢弃、扬撒、遗漏生活垃圾以及滴漏污水的，根据《广东省城乡生活垃圾处理条例》第五十五条第一款规定，责令限期改正，并处1 万元以上5 万元以下的罚款。</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违反第三十七条第二款规定，未安全分类存放或者未采取无害化处置措施，擅自倾倒、堆放工业固体废物或者将工业固体废物混入生活垃圾的，由环境保护主管部门按照《中华人民共和国固体废物污染环境防治法》第六十八条规定，责令停止违法行为，限期改造，处1 万元以上 10 万元以下的罚款；严重污染环境或者造成污染环境事故的，由环境保护主管部门按照《中华人民共和国固体废物污染环境防治法》第八十一条、第八十二条规定处理。</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第五十四条 阻挠环境卫生行政管理人员执行公务或者侮辱、殴打环境卫生作业人员的，依照《中华人民共和国治安管理处罚法》的规定处罚；构成犯罪的，依法移送司法机关追究刑事责任。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第五十五条  园区管委会、镇人民政府（街道办事处）、环境卫生主管部门和其他部门及其工作人员有下列情形之一的，由所在单位或者上级主管部门根据《城市市容和环境卫生管理条例》第四十一条规定，对直接负责的主管人员和其他直接责任人员依法给予行政处分；构成犯罪的，依法移送司法机关追究刑事责任：</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（一）不履行管理职责，对依法应当予以制止或者查处的违法行为，发现或者接到投诉、举报后不予制止、查处的；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（二）滥用职权，损害公民、法人或者其他组织合法权益的；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（三）包庇、纵容违法行为人的；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（四）利用职权徇私舞弊、贪污受贿的；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（五）违反法定程序执法的；</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（六）法律、法规规定的其他违法行为。</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firstLine="6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第七章</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附则</w:t>
      </w:r>
    </w:p>
    <w:p>
      <w:pPr>
        <w:keepNext w:val="0"/>
        <w:keepLines w:val="0"/>
        <w:pageBreakBefore w:val="0"/>
        <w:widowControl w:val="0"/>
        <w:kinsoku/>
        <w:overflowPunct/>
        <w:topLinePunct w:val="0"/>
        <w:autoSpaceDE/>
        <w:autoSpaceDN/>
        <w:bidi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kinsoku/>
        <w:overflowPunct/>
        <w:topLinePunct w:val="0"/>
        <w:autoSpaceDE/>
        <w:autoSpaceDN/>
        <w:bidi w:val="0"/>
        <w:spacing w:before="0" w:beforeAutospacing="0" w:after="0" w:afterAutospacing="0" w:line="360" w:lineRule="auto"/>
        <w:ind w:left="0" w:leftChars="0" w:right="0" w:firstLine="600"/>
        <w:jc w:val="both"/>
        <w:rPr>
          <w:rFonts w:hint="eastAsia" w:ascii="宋体" w:hAnsi="宋体" w:eastAsia="宋体" w:cs="宋体"/>
          <w:color w:val="auto"/>
          <w:kern w:val="2"/>
          <w:sz w:val="21"/>
          <w:szCs w:val="21"/>
          <w:highlight w:val="none"/>
          <w:lang w:val="en-US" w:eastAsia="zh-CN" w:bidi="ar-SA"/>
        </w:rPr>
        <w:sectPr>
          <w:footerReference r:id="rId5" w:type="default"/>
          <w:footerReference r:id="rId6" w:type="even"/>
          <w:pgSz w:w="11910" w:h="16840"/>
          <w:pgMar w:top="1600" w:right="1500" w:bottom="2260" w:left="1480" w:header="1134" w:footer="1928" w:gutter="0"/>
          <w:pgNumType w:fmt="decimal" w:start="1"/>
          <w:cols w:space="720" w:num="1"/>
        </w:sectPr>
      </w:pPr>
      <w:r>
        <w:rPr>
          <w:rFonts w:hint="eastAsia" w:ascii="宋体" w:hAnsi="宋体" w:eastAsia="宋体" w:cs="宋体"/>
          <w:color w:val="auto"/>
          <w:kern w:val="2"/>
          <w:sz w:val="21"/>
          <w:szCs w:val="21"/>
          <w:highlight w:val="none"/>
          <w:lang w:val="en-US" w:eastAsia="zh-CN" w:bidi="ar-SA"/>
        </w:rPr>
        <w:t>第五十六条</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本规定自2018年11月1日起施行。</w:t>
      </w:r>
    </w:p>
    <w:p>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附件3：</w:t>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广东省城市绿地养护质量标准</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城市绿地养护质量标准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范围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本标准规定了城市绿地内园林植物、古树名木、园林建筑小品及设施等养护质量标准，适用于广东省城市公园绿地、防护绿地、附属绿地和其他绿地等四类绿地的养护管理工作，全省建制镇以下的同类绿地养护管理也可参照本标准执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规范性引用文件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CJJ/T85—2002 J185—2002  城市绿地分类标准。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DB44/T 268—2005  城市绿地养护技术规范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术语和定义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下列术语和定义适用于本标准。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3.1绿色期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一年内草坪自然生长状态下叶色保持正常绿色的持续时间。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3.2杂草覆盖率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单位面积内杂草所覆盖面积的百分比。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3.3倾斜率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主干偏离地表垂线的角度超过5.0°的行道树株树占该路段行道树总数量的百分比。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3.4分级养护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根据城市绿地所处位置的重要程度及绿地的性质和养护质量水平要求的不同，将城市绿地养护质量标准分成四个等级，即一级养护、二级养护、三级养护、四级养护。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养护质量标准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  总体质量标准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 一级养护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4.1.1.1  严格按照DB44/T 268—2005的规定对绿地进行养护。制订完善的养护技术方案，建有工种齐全和固定的养护队伍，养护到位、得当，达到黄土不露天，绿地总体景观好。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  园林植物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4.1.1.2.1  草坪植物叶片健壮、色泽纯正，无枯黄叶；其他植物的新梢粗壮、叶片健壮、叶色纯正，无枯枝败叶。新建植草坪的绿色期和覆盖率在一年内、其他新种植物的生长状况在两年内达到一级养护标准。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4.1.1.2.2  乔木树冠完整、美观，生长旺盛，开花结果正常；主侧枝分布均匀，分枝点高度与树种特性相适应，分枝不影响游览和观景。无死株、缺株。行道树的体量、高度基本保持一致，下缘线和分枝点高度的控制符合DB44/T 268—2005的规定，倾斜率小于3%。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4.1.1.2.3  花灌木生长旺盛，株型完整、丰满，开花适时，花繁叶茂，花后修剪合理、及时。木本地被植物生长旺盛，覆盖率达到99%以上，无杂草，无死株、缺株。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4.1.1.2.4  花坛、花带及绿篱轮廓清晰、层次分明，整齐美观，无残缺，无杂草，修剪及时、得当。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4.1.1.2.5  造型植物修剪及时、得当，线条齐整、圆滑、流畅。规则式种植的造型植物，形状或体量保持一致；自然式种植的，形状和体量大小符合设计和景观的要求。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4.1.1.2.6  藤本植物生长旺盛，开花适时，牵引得当、及时，覆盖率不低于90%。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4.1.1.2.7 草本花卉生长旺盛，株型匀称、完整美观，开花适时，化繁、色正，开花时覆盖率达到95%以上，无杂草；花后需修剪的，修剪合理、及时。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4.1.1.2.8  草坪的绿色期不少于280天，覆盖率不小于99%，杂草的覆盖率不超过1%，无积水，修剪及时、合理。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4.1.1.2.9  水生植物生长旺盛，开花适时，生长范围符合景观要求。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4.1.1.2.10 补植、改植于3天内完成。草坪补植或改植后一个月内覆盖率达到98%以上，其他植物补植或改植的成活率达到100%。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4.1.1.2.11  病虫害控制及时、有效，被害植株不超过3%，被害叶片不超过植株叶片总量的1%。有害植物的为害得到及时治理，基本无鼠害。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4.1.1.3  绿地的清洁与保洁符合DB44/T 268—2005的要求，并有巡视保洁。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4.1.1.4  绿地内园林建筑小品及园路、铺装场地等设施的维护符合DB44/T 268—2005的规定。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4.1.1.5  有科学合理古树名木养护技术方案，严格按照DB44/T 268—2005的规定进行养护。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  二级养护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4.1.2.1  按照DB44/T 268—2005的规定对绿地进行养护，制订较完善的养护技术方案，建有工种齐全和相对稳定的养护队伍，养护基本到位、得当，基本达到黄土不露天，绿地总体景观较好。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  园林植物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4.1.2.2.1  草坪植物叶片大小、色泽正常，基本无枯黄叶；其他植物新梢枝叶萌发正常，叶片大小和色泽正常，基本无枯枝败叶。新建植草坪的绿色期和覆盖率在一年内、其他新种植物的生长状况在两年内达到二级养护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4.1.2.2.2  乔木树冠基本完整，生长与开花结果正常；主侧枝分布基本合理，分枝点高度与树种特性基本相适应，分枝不影响游览及观景。基本无死株、缺株。行道树的体量、高度基本保持一致，下缘线和分枝点高度的控制基本符合DB44/T 268—2005的规定，倾斜率小于5%。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4.1.2.2.3  花灌木生长正常，株型完整，开花正常，花后修剪合理、及时。木本地被植物生长正常，覆盖率达到97%以上，基本无杂草，无死株、缺株。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4.1.2.2.4  花坛、花带及绿篱轮廓基本清晰，线条基本整齐，无残缺，基本无杂草，修剪及时。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4.1.2.2.5  造型植物修剪合理，线条基本齐整、圆滑。规则式种植的造型植物，形状或体量基本保持一致；自然式种植的，形状和体量大小符合设计和景观的要求。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4.1.2.2.6  藤本植物生长正常，开花适时，牵引合理，覆盖率不低于85%。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4.1.2.2.7 草本花卉正常，株型完整，开花适时，开花时覆盖率达到90%以上，基本无杂草；花后需修剪的，得到合理修剪。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4.1.2.2.8  草坪的绿色期不少于250天，覆盖率不小于90%，杂草的覆盖率不超过3%，无积水，修剪合理。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4.1.2.2.9  水生植物生长正常，开花适时，生长范围基本符合景观要求。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4.1.2.2.10 补植、改植于5天内完成。草坪补植或改植后一个月内覆盖率达到95%以上，其他植物补植或改植的成活率达到98%以上。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4.1.2.2.11  病虫害控制及时、有效，被害植株不超过5%，被害叶片不超过植株叶片总量的3%。有害植物的为害得到有效治理，鼠害基本得到控制。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4.1.2.3  绿地的清洁与保洁基本做到DB44/T 268—2005的要求。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4.1.2.4  绿地园林建筑小品及园路、铺装场地等设施的维护基本符合DB44/T 268—2005的规定。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 三级养护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4.1.3.1  基本按照DB44/T 268—2005的规定对绿地进行养护，备有养护管理技术方案，建有具备基本工种的养护队伍，黄土不露天现象不明显，绿地总体景观基本完好。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  园林植物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4.1.3.2.1  草坪植物叶片色泽正常，无明显枯黄叶；其他植物新梢枝叶萌发正常，叶片大小和色泽基本正常，无明显枯枝败叶。新建植草坪的绿色期和覆盖率在一年内、其他新种的植物在两年内达到三级养护管理标准。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4.1.3.2.2  乔木树冠基本完整，生长与开花结果正常；分枝基本不影响游览及观景。行道树的倾斜率小于7%。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4.1.3.2.3  花灌木生长发育基本正常，木本地被覆盖率达到95%以上。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4.1.3.2.4  花坛、花带及绿篱基本无残缺，杂草覆盖率小于5%，无死株、缺株。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4.1.3.2.5  造型植物的修剪基本合理。规则式种植的造型植物，形状、体量大致一致；自然式种植的，形状和体量基本符合设计和景观的要求。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4.1.3.2.6  藤本植物生长基本正常，开花适时，牵引合理，覆盖率不低于80%。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4.1.3.2.7 草本花卉基本正常，株型基本完整，开花时覆盖率达到80%以上，杂草覆盖率小于5%；花后需修剪的，基本得到修剪。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4.1.3.2.8  草坪绿色期不少于230天，覆盖率不小于85%，杂草的覆盖率不超过5%，草坪表面积水在雨后24小时内排清。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4.1.3.2.9  水生植物生长基本正常，开花适时。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4.1.3.2.10 补植、改植于7天内完成。草坪补植或改植后一个月内覆盖率达到90%以上，其他植物补植或改植的成活率达到95%以上。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4.1.3.2.11  病虫害得到控制，被害植株不超过7%，被害叶片不超过植株叶片总量的5%。有害植物的为害得到有效治理，鼠害基本得到控制。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4.1.3.3  绿地无明显生活垃圾。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4.1.3.4  绿地园林建筑小品及园路、铺装场地等设施基本完好，并得到合理维护。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  四级养护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4.1.4.1  有养护管理技术方案和不固定的养护人员，绿地有定期的养护作业。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4.1.4.2  园林植物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4.1.4.2.1  植物生长基本正常。草坪的绿色期不少于200天，新建植草坪或其他地被植物在一年内覆盖率不小于80%，杂草的覆盖率不超过15%。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4.1.4.2.2  补植、改植于14天内完成。草坪补植或改植后一个月内覆盖率达到85%以上，其他植物补植或改植的成活率达到90%以上。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4.1.4.2.3  严重的病虫害得到控制，被害植株不得超过15%，被害叶片不超过植株叶片总量的10%。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4.1.4.3  绿地内无明显的积水和生活垃圾。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4.1.4.4  绿地园林建筑小品及园路、铺装场地等设施基本完好，并得到合理维护。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  养护等级技术要求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  园林植物养护施肥见表1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表1   园林植物养护施肥        单位：次/年</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植物类型</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一级养护</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二级养护</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三级养护</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一般乔木、灌木</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观花灌木</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草本花卉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地被植物</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草坪植物</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4.2.2  园林植物养护修剪见表2.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表2   园林植物养护修剪      单位：次/年</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1800"/>
        <w:gridCol w:w="180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植 物 类 型</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一级养护</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二级养护</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三级养护 </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自然形乔木、灌木</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造型乔木</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模纹花坛、绿篱及造型灌木</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结缕草属（Zoysia）和狗牙根属（Cynodon）草坪草</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假俭草属（Eremochloa）地毯草属（Eremochloa）钝叶草属（Stenotaphrum）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草坪草</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00"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w:t>
            </w:r>
          </w:p>
        </w:tc>
        <w:tc>
          <w:tcPr>
            <w:tcW w:w="16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  草坪的打孔与垂直刈割见表3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表3   草坪的打孔与垂直刈割</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质量项目</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一级养护</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二级养护</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三级养护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打孔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≥1次/年</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2年一次</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3年一次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垂直刈割</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≥1次/年</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2年一次</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3年一次</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4.2.4  城市绿地及设施保洁见表4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表4   城市绿地及设施保洁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养护等级       </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322"/>
        <w:gridCol w:w="2323"/>
        <w:gridCol w:w="23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卫 生 保 洁 项 目</w:t>
            </w:r>
          </w:p>
        </w:tc>
        <w:tc>
          <w:tcPr>
            <w:tcW w:w="2322"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绿地、园林、铺装场地（小时/天）</w:t>
            </w:r>
          </w:p>
        </w:tc>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   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（次/周）</w:t>
            </w:r>
          </w:p>
        </w:tc>
        <w:tc>
          <w:tcPr>
            <w:tcW w:w="23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景观水池清洗（次/月）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一级养护</w:t>
            </w:r>
          </w:p>
        </w:tc>
        <w:tc>
          <w:tcPr>
            <w:tcW w:w="2322"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333" w:type="dxa"/>
            <w:gridSpan w:val="2"/>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二级养护</w:t>
            </w:r>
          </w:p>
        </w:tc>
        <w:tc>
          <w:tcPr>
            <w:tcW w:w="2322"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333" w:type="dxa"/>
            <w:gridSpan w:val="2"/>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三级养护</w:t>
            </w:r>
          </w:p>
        </w:tc>
        <w:tc>
          <w:tcPr>
            <w:tcW w:w="2322"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w:t>
            </w:r>
          </w:p>
        </w:tc>
        <w:tc>
          <w:tcPr>
            <w:tcW w:w="2333" w:type="dxa"/>
            <w:gridSpan w:val="2"/>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四级养护</w:t>
            </w:r>
          </w:p>
        </w:tc>
        <w:tc>
          <w:tcPr>
            <w:tcW w:w="2322"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323"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333" w:type="dxa"/>
            <w:gridSpan w:val="2"/>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  铁质围栏、护树架、门窗、园灯杆等设施的翻新见表5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表5   铁质围栏、护树架、门窗、园灯杆等设施的翻新要求    单位：次/年</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    目</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一级养护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二级养护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三级养护</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翻新要求</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w:t>
            </w:r>
          </w:p>
        </w:tc>
        <w:tc>
          <w:tcPr>
            <w:tcW w:w="1857"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w:t>
            </w:r>
          </w:p>
        </w:tc>
        <w:tc>
          <w:tcPr>
            <w:tcW w:w="185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keepNext w:val="0"/>
        <w:keepLines w:val="0"/>
        <w:pageBreakBefore w:val="0"/>
        <w:widowControl w:val="0"/>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2"/>
          <w:sz w:val="21"/>
          <w:szCs w:val="21"/>
          <w:highlight w:val="none"/>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r>
        <w:rPr>
          <w:rFonts w:hint="eastAsia"/>
          <w:color w:val="auto"/>
          <w:highlight w:val="none"/>
        </w:rPr>
        <w:t>广东省城市绿地养护技术规范</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城市绿地养护技术规范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范围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本规范规定了城市绿地内园林植物养护、古树名木养护、园林建筑、小品和设施维护，以及养护管理技术档案的建立与管理等各项技术要求。本规范适用于广东省城市公园绿地、防护绿地、附属绿地和其他绿地等四类绿地的养护管理工作。全省建制镇以下的同类绿地养护管理，也可参照本规范执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规范性引用文件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CJJ 48—92  公园设计规范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GB 3838—2002  地表水环境质量标准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GB 5084—92  农田灌溉水质标准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GB 8408—87  游艺机和游乐设施安全标准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GB 12941—91  景观娱乐用水水质标准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GB 50212—91  建筑防腐蚀工程施工及验收规范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CJJ 75—97  城市道路绿化规划与设计规范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CJJ/T 82—99  城市绿化工程施工及验收规范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CJJ/T 85—2002  J185—2002  城市绿地分类标准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中华人民共和国建设部建城[2000]192号：城市古树名木保护管理办法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术语和定义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下列术语和定于适用于本标准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3.1乔木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树体高大且具有明显主干的木本植物。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3.2灌木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树体矮小且无明显主干或主干甚短的木本植物。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3.3竹类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禾本科竹亚科植物。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3.4水生植物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植物体全部或部分浸没于水中生长的植物。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3.5漂浮植物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根系不生于泥土中而漂浮于水面生长的水生植物。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3.6沿生植物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根系适宜在水深0.5～10cm范围内生长的水生植物。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3.7浮水植物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根系适宜在水深50～300cm范围内生长的水生植物。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3.8挺水植物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上部露出水面、根系适宜在水深100cm范围内生长的水生植物。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3.9沉水植物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全部沉没于水中生长的水生植物。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3.10珍稀树种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本地区稀有、珍贵的树种，包括广东省三级及三级以上保护树种。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3.11胸径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乔木距地面1.3m高位置的树干平均直径。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3.12杂草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所栽培目的园林植物以外的自生草本植物种群。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3.13花芽分化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园林植物的芽由叶芽状态转化为花芽状态的过程。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3.14顶端优势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植物顶芽生长抑制侧芽萌发和侧枝生长，以及影响侧枝生长角度的现象。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3.15下缘线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乔木树冠底部边缘线形成的线条轮廓。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3.16种植土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疏松且富含有机质的熟耕土。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3.17浇灌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人工引水为植物生长发育补充所需水分的措施。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3.18施肥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人工为植物生长发育补充所需营养物质的措施。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3.19中耕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在园林植物生长发育期疏松其根部表层土壤的措施。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3.20除杂草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清除杂草的措施。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3.21修剪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对植物的枝干和根系进行疏枝和短截的措施。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3.22表施土壤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将由沙、种植土（粒径约0.6cm）和有机质单独或按一定比例混合而成的材料，均匀撒入草坪表面的一种养护作业。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3.23 打孔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通过应用打孔机械在板结的草坪坪床上打孔，将芯土取出，行成垂直孔洞的松土措施。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3.24芜枝层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草坪床上表面由目的草的凋落物、地表的活组织及与表土混合物构成的床土有机层。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3.25垂直刈割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对草坪进行近地表垂直剪割或划破草皮，以清除草坪表面积累的芜枝层的措施。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3.26生物防治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    利用生物及其代谢物质来控制病虫为害的防治方法，包括以虫治虫、以菌治（病）虫、以病毒治虫和以激素治虫等。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园林植物养护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 一般规定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 浇灌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4.1.1.1  进行适期、适量的浇灌，可保持土壤中有效水分，避免植物萎蔫。通过适当的浇灌，应使植物根系层土壤（参照CJJ48—92栽植土层厚度范围）的含水量保持在：砂土为3%～8%，砂壤土为6%～15%，壤土为12%～23%，粘土为21%～28%。需水量大的园林植物，其栽植土壤根系层含水量应保持在：砂土为4.5%～8%，砂壤土为9%～15%，壤土为18%～23%，粘土为22%～28%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4.1.1.2  浇灌的设施应科学、合理，宜采用喷灌或滴灌等节水方式。对于花坛及道路分车带内植物，在干旱季节，可进行叶面喷水。在花芽分化时应适当控制浇灌量，以免园林植物徒长。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4.1.1.3  日浇灌的时间应根据季节与气温决定，并注意控制水温与表土温差不宜太大，以免造成根系伤害。夏秋高温季节，应避开中午烈日，宜在10时之前或16时之后进行；冬季及早春，宜在10时至16时之间进行。用机械进行浇水时，不宜在交通繁忙时段进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4.1.1.4  喷灌时应确保喷水的有效范围与园林植物的种植范围相一致。浇灌设施应经常检修，以保正常运转。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4.1.1.5  浇灌用水必须不低于GB 3838---2002要求的V类水质标准。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  施肥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4.1.2.1  提倡应用平衡施肥技术，肥料的种类及数量应根据植物种类（品种）、生长发育阶段及观赏特性不同而确定。生长期应施氮肥为主的完全肥，发育期应增施磷、钾肥。每次施肥量尚应考虑施肥方法。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4.1.2.2  施肥应以有机肥料为主，无机肥料为辅；不应长期在同一地块施用同一种化学肥料，以免破坏土壤的理化性状。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4.1.2.3  木本植物宜每年施肥2～4次。其中，观花植物应分别在花芽分化前和开花后各施磷肥一次；观果植物应在花前和果实膨大期各追钾肥一次，必要时，可在果实生长后期追肥一次。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4.1.2.4  施肥方法可采用沟施、撒施或穴施；也可结合浇灌进行。干施肥料时，应用土层将肥料覆盖，并进行一次浇灌。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4.1.2.5  木本植物采用环沟施肥时，其环状沟内径与植物树冠外缘线保持一致，深度和宽度均可为25～30cm。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4.1.2.6  施肥应避免在雨天进行。其中，根外追肥宜在清晨或傍晚进行，浓度一般不宜大于1.5‰.除根外追肥外，肥料不得触及目的植物的叶片。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  中耕与除杂草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4.1.3.1  园林植物的生长期，应经常进行中耕，使根部附近的表层土壤保持疏松和良好的透水、透气性。中耕深度以8～12cm为宜，同时应避免裸露或伤害目的植物的根系；中耕应选择晴天，并应在土壤不过分潮湿时进行。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4.1.3.2  除杂草宜在杂草开花结实之前结合中耕进行，可采用物理或化学除草方法。使用化学方法除杂草时，应根据所栽培的目的植物和杂草种类的不同，选择适当的药剂，并采取适宜的方法和浓度，避免药剂喷洒到草坪植物以外的目的植物叶片和嫩枝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  修剪与整形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4.1.4.1  修剪与整形应根据园林植物的生物学特性、生长发育阶段、树龄及景观等要求的不同，选择适当的方法和时期进行。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4.1.4.2  修剪应遵循“先上后下、先内后外、去弱留强，去老留新”的原则，促使园林植物枝序分布均匀、疏密得当，冠形完整、丰满，树形美观。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4.1.4.3  顶端优势强的植物，应保留其顶芽；轮状分枝的树木，不应短截其一级分枝；顶端优势不强而萌发力强的，宜让其形成自然树形，或根据景观需要修剪造型。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4.1.4.4  早春开花的观花木本植物，宜在花后轻剪；夏季开花的落叶植物，宜在冬季休眠期或生长相对停滞期修剪；一年多次开花的，宜在花后及时轻剪。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4.1.4.5  观果木本植物应根据其开花结果习性进行修剪，以培养健壮的结果母枝和结果枝为主。花期疏去过多的花朵（序），果期疏去弱小与病虫果，可使植物结果量适中。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4.1.4.6  休眠期修剪以整形为主，可稍重剪；生长期修剪以调整树势为主，宜轻剪。有伤流的植物须避免雨期修剪，应在休眠期修剪。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4.1.4.7  树木的徒长枝、下垂枝、交叉枝、并生枝、病虫枝、枯枝、残枝、凋枯的叶片和花梗均应及时修剪，以促进生长，保持美观。修剪下的枝叶，应在当天清运完毕。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4.1.4.8  剪（锯）口应靠近节位，并在剪口芽的反侧，呈约45°角。剪（锯）口应平整，做到不劈不裂，不留残桩。当一般种类植物枝条的剪口大于6cm或珍稀树种的剪口大于3cm时，剪口应作防腐处理。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  有害生物的防治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4.1.5.1  应贯彻“以预防为主，综合治理”的防治方针，严格执行有关植物检疫的法规和制度，以防止检疫性有害生物、病原菌及害虫带入本地区。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4.1.5.2  应做好病虫害预测预报，制定科学的病虫害防治预案，采用综合防治措施，做到准确、及时、有效。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4.1.5.3  应采用农业防治、物理机械防治或生物防治等方法，尽量少用化学防治，以减少农药对环境的污染，并避免杀死和影响天敌或有益生物的栖息、繁衍。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4.1.5.4  有必要采用化学防治时，应选择符合环保要求，以及对有益生物影响小的高效、低毒农药；同时，掌握适当的浓度，避免发生药害。对于同一种害虫，应避免长时间重复使用同一种农药。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4.1.5.5  在开放性的绿地中喷药，应选择人流较少的时段进行；同时应采取必要的防护措施，避免危及人畜。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4.1.5.6  城市绿地的鼠害应采用综合治理的对策，通过及时清理鼠类隐蔽的场所和清除绿地中可供鼠类食用的食物，减少绿地上鼠类种群的容纳量，当鼠害种群密度较高时，宜采用化学杀鼠剂杀灭，应选用对人畜安全的剂型，并在夜间投放。对零星的鼠害，宜采用物理方法进行捕杀；之后，应及时封堵鼠洞。</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4.1.6  补植与改植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4.1.6.1  死亡的园林植物应及时清除并补植；发现因病虫害致死的植物，应对土壤进行消毒，并可更换种植穴内的土壤；对生长环境不适应或与周围环境不协调的园林植物，应及时改植。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4.1.6.2 补植的植物应选用与原植物种类（品种）一致，规格、形态相近的植株。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4.1.7  清洁与保洁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4.1.7.1  城市绿地内应保持清洁，做到无垃圾杂物，无石砾砖块，无干枯枝叶，无粪便污物，无悬挂物，无蚊蝇滋生。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4.1.7.2  归堆后的垃圾和杂物应做到不过夜，不焚烧，并在当天清运完毕。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4.1.7.3  城市绿地内的各种园林建筑、小品、园路、铺装场地及其他设施应经常清洗和清洁。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4.1.7.4  与城市绿地无关的张贴物、悬挂物等应及时清除。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  防护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4.1.8.1  为防止人为破坏或过度践踏开放性城市绿地，必要时应分期、分区进行封闭式养护。所设置的围闭设施，应符合安全、美观、环保的原则。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4.1.8.2  应建立热带风暴防御紧急预案，在风暴来临前，必须采取对应的防御措施。对浅根性、树冠庞大、枝叶过密的园林植物，可分别采取疏枝、立柱、绑扎、培土等防御措施。风暴过后，对阻碍交通或影响观瞻的枝叶或树体应立即清理；对倒伏、受损的，应及时扶正、支撑；折断或劈裂的枝桠，应去除残桩或修整断（裂）口；较大的伤口应作防腐处理；损伤严重的，应立即清除并及时补植。同时，适时拆除支撑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4.1.8.3  易受寒害或冻害的园林植物，应在寒潮来临之前做好防护措施。宜在立冬前根据树种的不同，分别采取控制晚秋新梢的萌发、剪除已萌发而未充分老熟的新梢、根际培土或覆草、主干包扎或覆盖塑料薄膜架等措施进行防寒。用于植物的包扎或覆盖物，宜在次年3月底前清除完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4.1.8.4  应及时清除树体上空洞的腐烂部分，必要时要设置加固或支撑，并用具有弹性的材料封堵孔洞，其表面色彩、形状及质感宜与树干保持一致。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4.1.8.5  城市绿地中的排水设施，应在每年雨季来临前全面清疏一次。绿地中的低洼地，应通过增设排水管道、雨水口或改良土壤的通透性等措施排除积水。暴雨后，应及时排去种植穴、树盘内或草坪上的积水。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4.1.9  安全作业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4.1.9.1  园林机械的操作人员，应在上岗前接受必要的岗前培训。凡需持证上岗的，必须取得相应的上岗证，并应严格按照操作规程作业。园林机械作业前，应对施工现场围合及标示。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4.1.9.2  在城市主、次干道，快速路或高速公路上作业时，宜选择在非交通繁忙时段进行。作业人员必须披戴具有反光标志的背心，并应在距离作业点正、反方向分别不少于80m和150m的地方设置反光警示牌及其他警示标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4.1.9.3  截除较大的树枝、藤蔓或砍伐清除枯死的树体时，应预先制定施工方案和应急预案，采取必要的安全措施。砍伐或清除枯死树体，应严格依次按照先锯除侧枝和主枝，再分段锯除主干、后挖除树兜和回填种植土的操作程序作业。</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  专项规定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4.2.1乔木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  定植5年内的乔木，应定期浇灌与施肥。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4.2.1.2  应通过修剪形成并保持乔木的树形，做到主、侧枝分布匀称，内膛不空，通风透光，树冠完整，树形美观。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4.2.1.3  针叶类乔木宜疏剪，不宜短截主干或重剪侧枝，但宜及时剪除影响游览或公共安全的下部枝条。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4.2.1.4  阔叶类乔木树干上的不定芽应及时抹除，且不得拉伤树皮；及时清除根蘖枝，但应避免对树木的主根造成伤害。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4.2.1.5  成形的阔叶类乔木，应以疏剪过密枝、短截过长枝为主，保持其自然树型和观赏特性；造型乔木应按设计要求及时进行修剪。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4.2.1.6 棕榈类乔木不应剪切顶梢，但应及时剪除干枯的叶片。叶鞘自然脱落的棕榈类，不宜人工割除叶鞘。基部萌生的植株，应根据生物学特性和景观要求，予以清除或保留。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4..2.1.7  当乔木与架空电力线路导线的最小垂直距离接近CJJ 75—97规定的距离时，应及时短截。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4.2.1.8  靠近快车道的行道树，主干3.0m以下的分枝宜全部剪除。同一道路的行道树，生长较快的应重剪，生长较慢的应轻剪，以使树冠的大小保持一致。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4.2.1.9  行道树树冠下缘线的高度宜保持一致，一般不低于3.0m；道路两侧树冠的外缘线应基本在一条直线上，并与路缘线相协调，顶部高度宜基本保持一致。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4.2.1.10 道路两侧行道树完全郁闭时，宜剪除部分枝叶，以使道路中线垂直上方保留100～150cm的透光、透气通道。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4.2.1.11  行道树特别是浅根性或具有板根的乔木，其树穴范围内不宜种植地被植物。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4.2.1.12  为保证行道树高度、体量和形态基本均匀一致，对生长较差的应增加施肥次数或进行土壤改良。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4.2.1.13  行道树应保持树干直立，对树身倾斜的应及时扶正。倾斜的行道树数量不得超过该路段行道树总数的7%。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4.2.1.14  迁移或砍伐乔木，必须符合有关法律法规的规定，并按照规定的审批权限及程序，在取得相应的行政许可后，方可进行。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4.2.2  竹类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4.2.2.1  种植后2年内的竹类，应及时浇灌或排涝，浇灌的水应渗透至土表5cm以下；应经常中耕和除杂草，松土深度一般为15～20cm，但不应损伤竹鞭或竹笋，拔除的杂草可覆盖在植株周围；宜在每年3月上中旬、6月上旬、11月中下旬各追肥一次，其中秋冬追肥应施有机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4.2.2.2  新栽植的竹林，应及时疏笋、护笋，每株母竹应去除弱笋、病笋，保留2～3个健壮竹笋，并挖除出笋末期的竹笋；对散生竹的边笋和冬笋则应予保留。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4.2.2.3  成年竹林宜在每年的4～6月份施肥1～2次，肥料以有机肥为主。5～6月为竹鞭快速生长期，宜将成片的散生竹林缘外2～3m范围内的土壤深翻30～50cm，或在林内空隙较大处深翻，将老鞭清除，施入有机肥。对丛生竹，则应在竹丛内及周围50～100cm范围内，覆盖一层厚25～35cm的种植土，促进竹鞭的伸展及生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4.2.2.4  当竹林进入郁闭期，宜采取“砍劣留优、砍密留稀、去小留大”的原则，挖除初期笋、末期笋、弱笋和病笋，培养健壮竹株，促使竹林的竹龄结构合理、密度得当。同时，应将老的和已死亡的竹头挖除，并用富含有机质的种植土壤充空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4.2.3  灌木与木本地被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4.2.3.1  模纹花坛、绿篱和造型的灌木，应及时修剪，以保持图案清晰，层次分明、面线平整、线条流畅，冠形丰满。对自然生长的灌木，修剪应以维持植物自然形态为原则。每次修剪的剪口位置，应稍高于前一次。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4.2.3.2  绿篱的控制高度应符合设计要求，满足功能需要。矮篱的高度宜控制在50cm以下；中篱的高度宜控制在50～120cm；高篱的高度宜控制在120～160cm；树墙高度则控制在160cm以上。当绿篱的修剪控制高度难以满足要求时，则应进行回缩修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4.2.3.3  人行横道和道路交叉口处3.5m以内分车绿化带中的灌木或绿篱，其修剪或造型的控制高度不得超过70cm；道路中间分隔带的绿篱，修剪高度宜保持在60～150cm。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4.2.3.4  木本类地被植物，应根据其生物学特性及景观要求控制高度，一般不宜超过60cm。对于阻碍景观透视线的大型灌木，应及时修剪，并要符合景观要求。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4.2.4  藤本植物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4.2.4.1  藤本植物尚未达到棚顶或篱顶时，应设立支撑物并作牵引，以利其攀缠。当以建筑物墙（柱）体为攀缠对象时，应经常进行绑扎、整理。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4.2.4.2  藤本植物的修剪应以促进分枝为主，加快覆盖和攀缠的速度；同时，剪除徒长枝和下垂枝。多年生的藤本植物应定期翻蔓，清除枯枝，疏删老弱藤蔓。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4.2.4.3  生长在沿街棚（篱）架或立交桥上的藤本植物，其下垂藤蔓必须及时修剪，以免影响行车安全。其滴灌设施必须经常检修，以免浇灌时沾污行人及车辆。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  草本花卉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4.2.5.1  播种、种植或翻种前，应将种植地的土壤深翻25～35cm，清除石砾、杂物；同时，进行土壤消毒，施足腐熟的有机肥，待5～7天后，方可进行播种或种植。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4.2.5.2 一、二年生花卉的播种或种植技术作业，应符合CJJ/T 82-99的规定。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4.2.5.3  宿根或球根花卉应根据其种类特性及生长状况，每年或每隔1～2年于其休眠期或相对休眠期，进行翻种更新。翻种时应先将其地上部分剪去，并将老的根茎段或母球去除。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4.2.5.4  浇灌宜采用滴灌或微喷灌的方式。人工浇水时，应控制水的流速和水量，避免冲刷花朵，并应防止泥土溅到花卉、茎、叶上。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4.2.5.5  应施足基肥，并视种类（品种）的不同，与生长期和开花期适当追肥。追肥宜采用颗粒肥料，亦可采用水肥。必要时，可进行叶面追肥。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4.2.5.6  根据种类（品种）和花期要求的不同，及时整形，可分别采用摘心或疏枝措施，以促使其株型美观、适时开花、着花整齐。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4.2.5.7 草本花卉的修剪不宜在雨后立即进行，残花、枯萎的黄叶和花蒂（梗）或植株等则要及时清除。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4.2.5.8  成片种植地草本花卉，在未完全覆盖地表前，应及时中耕与除杂草，但不应损伤植物根系。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  草坪植物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4.2.6.1  应视季节与天气情况及时浇灌。浇灌宜采用喷灌方法，水滴宜细密均匀，并浸湿坪床以下8～10cm的土层。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4.2.6.2  施用肥料的种类和次数应视目的草的种类（品种）、生长阶段、生长势以及景观要求而确定。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4.2.6.3  干旱季节或地区，可采取控制氮肥、增施钾肥的措施，以减少浇灌及修剪次数。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4.2.6.4  修剪前必须先清除草坪上的石砾、树枝等杂物，以消除安全隐患。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4.2.6.5  修剪宜在3月中旬至10月下旬之间的非雨天进行。修剪的频率根据草坪目的草种类（品种）、生长势、养护质量要求、当地气候和坪床上的土壤肥力等因素确定。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4.2.6.6  每次的修剪量，不应超过茎叶组织纵向高度的1/3。草坪控制高度及修剪留茬高度应视目的草的种类、生长势，以及立地条件和季节的不同而确定。其留茬高度不得低于表1中的下限高度。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4.2.6.7  同一草坪，不应多次在同一行列、同一方向修剪。剪草要平整，边角无遗漏，草屑应及时清理。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4.2.6.8  手工拔草时应将杂草连根清除，并压实目的草。化学除草应科学、合理，并需经小面积试验后，方可大面积应用。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表1    广东常见草坪草修剪标准留茬高度      单位：厘米</w:t>
      </w:r>
      <w:r>
        <w:rPr>
          <w:rFonts w:hint="eastAsia" w:ascii="宋体" w:hAnsi="宋体" w:eastAsia="宋体" w:cs="宋体"/>
          <w:color w:val="auto"/>
          <w:kern w:val="0"/>
          <w:sz w:val="21"/>
          <w:szCs w:val="21"/>
          <w:highlight w:val="none"/>
        </w:rPr>
        <w:br w:type="textWrapping"/>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8"/>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草坪草种类</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修剪标准留茬高度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结缕草属草（Zoysia spp.）</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地毯草属草（Axonopos spp.）</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假俭草属草 (Eremochloa spp.)</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钝叶草属草（Stenotaphrum spp.）</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普通狗牙根（Cynodon dactylon）</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杂种狗牙根（Cynodon dactylon×Cynodon transvaalensis）</w:t>
            </w:r>
          </w:p>
        </w:tc>
        <w:tc>
          <w:tcPr>
            <w:tcW w:w="2519" w:type="dxa"/>
            <w:noWrap w:val="0"/>
            <w:vAlign w:val="top"/>
          </w:tcPr>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0.6～2.5</w:t>
            </w:r>
          </w:p>
        </w:tc>
      </w:tr>
    </w:tbl>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4.2.6.9  当草坪的芜枝层厚度超过2cm时，宜在每年的春末至夏初进行垂直刈割。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4.2.6.10  对局部已损坏的草坪，应及时补植或补播。草坪的局部低洼积水处，可采取表施土壤作业，以逐步将其找平，每次表施土壤的厚度不宜超过1cm。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4.2.6.11  杂草过多又无法净化，或因立地环境的改变致使草坪出现衰老时，应及时进行局部更新或重建。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4.2.6.12  每年秋季宜对草坪进行打孔作业，去除打出的芯土、草根，撒入种植土或沙粒。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4.2.7  水生植物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4.2.7.1  漂浮植物或浮水植物应进行围合，固定其位置和范围。因繁殖而密度过大时，应剔除部分老植株。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4.2.7.2 观花的沿生或挺水植物，每年至少应施肥一次。施肥应以有机肥为主，以块状、粒状或粉状肥料，点状埋施于根系周围深度25cm以上的淤泥中。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4.2.7.3  生长过度不良的水生植物应及时更换或重新种植，并应在其休眠或生长相对停滞时进行。</w:t>
      </w:r>
    </w:p>
    <w:p>
      <w:pPr>
        <w:keepNext w:val="0"/>
        <w:keepLines w:val="0"/>
        <w:pageBreakBefore w:val="0"/>
        <w:widowControl/>
        <w:kinsoku/>
        <w:overflowPunct/>
        <w:topLinePunct w:val="0"/>
        <w:autoSpaceDE/>
        <w:autoSpaceDN/>
        <w:bidi w:val="0"/>
        <w:adjustRightInd/>
        <w:snapToGrid/>
        <w:spacing w:beforeAutospacing="0" w:after="0" w:afterAutospacing="0" w:line="360" w:lineRule="auto"/>
        <w:ind w:left="0" w:leftChars="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古树名木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  建卡立档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5.1.1  古树名木应建立档案、设立标志。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5.1.2  立档可由权属人申请注册，或由当地城市绿化行政主管部门组织普查后确认，并按照有关程序上报当地人民政府批准和公布。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5.1.3  权属或养护管理责任人若有改变，应向当地城市绿化行政主管部门申报，并按照有关程序办理变更手续。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5.1.4  标志应统一注明古树名木的中名、学名、科属、树龄、编号、权属 、地点、设立标志的日期和养护管理责任人。标志牌宜设立在树木旁边，牌的造型、材质、色彩、大小等应与周围环境相协调。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5.1.5  应建立古树名木的生长发育和养护技术档案，记录物候期、生长发育情况、养护管理技术措施和养护管理责任人变更等信息资料。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5.5.6 已死亡的古树名木应及时销号、转档，其中对具有特殊纪念意义的，应设立碑志，传世后人。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5.1.7  应建立与城市地理信息系统共享的古树名木管理信息数据库。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  保护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5.2.1  成林的古树名木，其保护范围为成林地带外缘树冠垂直投影以外5.0m范围内；单株的古树名木，其保护范围为树冠垂直投影及其外侧5.0m宽和距树干基部外缘水平距离为胸径20倍以内的地段。</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5.2.2 保护范围内不准堆放物料，不得损坏表土层和改变地表高程；除保护及加固设施外，不得新建、扩建、改建建筑物；不得排放污水废气，倾倒垃圾和使用火种；不得栽植缠绕古树名木的藤本植物。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5.2.3  对位于交通要道及游人量较多较集中的绿地中的古树名木，应设置有效的防护措施。对易受雷击的古树名木，应设避雷装置。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5.2.4  严禁在古树名木树杆上刻、划、钉钉或缠绕绳索、铁丝或灯饰。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5.2.5  严禁砍伐或迁移古树名木。因特殊需要确需移植时，必须提出切实可行的移植措施，按照有关法规规定的程序报批，经批准后方可实施。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 养护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5.3.1  根据季节和古树名木种类的不同，适当进行浇灌，以确保水分充足；必要时应进行喷雾保湿，以利其正常生长。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5.3.2  古树名木的施肥要适时适量，肥料以腐熟的有机肥为主，宜在树冠垂直投影线以下的地面开挖深沟埋施，沟深50cm,沟宽50cm。施肥后，及时回填土、踏实、浇透水。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5.3.3  及时剪去衰老枝条和病虫枝，树体腐烂部位应及时剔除并消毒，必要时应及时加固或设立支撑。可适当修剪枝条，使树冠通风透光，以利于生长。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5.3.4 应及时做好病虫害的防治工作，发现问题及早处理。同时，制订的病虫害防治预案应切实可行，以有效控制病虫害的发生、蔓延。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6.3.5  应采取物理和化学方法相结合的综合技术措施，有效地防治白蚁对古树名木的危害。已被白蚁蛀食的古树名木，应根据受害的程度，分别采取封堵蛀食孔洞或更新复壮等措施予以处理；对已死亡或存在安全隐患的，应依据合法的程序及时清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6.3.6  对濒危古树的拯救和复壮，必须进行科学论证，制订科学合理预案。地上部分的拯救，可向树冠喷施广谱性杀虫剂，并进行封干处理。地下部分的拯救，可根据树冠大小和树枝分布走向，确定吸收根的准确位置，采用复壮沟或营养坑，以及设置通气、渗水系统等措施。同时，在树冠垂直投影外1m的范围内松土，散入粉碎后经发酵的植物叶子，厚约5cm，翻入土中，激活土壤中潜在活力。同时，可辅之以滴灌和设置喷雾装置，补充微量元素。对有气生根的古树名木，可采用人工导引发气生根措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园林建筑、小品和设施维护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6.1  园林建筑和小品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6.1.1  花架、亭、廊等园林建筑应保持外观整洁和室内外墙面清洁，应及时清除其屋顶积落的枝叶、垃圾和自生的植物；如有破损，应及时维修。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6.1.2 对钢结构的，应及时保养，按照GB 50212—91 的要求涂刷油漆，防止表面生锈；有木质构件的，应防止白蚁等蛀虫的危害。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6.1.3  厕所要求做到“三无”（无积水、无虫蛆、基本无臭），“六洁”（厕所地面、洁具、天花、墙壁、尿槽、厕所四周清洁）；地面应保持清洁、干爽，无积水。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6.1.4  园林小品应保持外形美观。如饰面层剥离、实体破损应在10天内修复。存在安全隐患时，应先对现场进行围闭，并设置警示标志。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 设施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6.2.1  园路、铺装广场应整洁完好。如发现变形、下沉或危及游人时，应局部围闭暂停开放，并应在7天内修复。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6.2.2  照明设施、灯饰、果皮箱、导游牌、引水与通讯设施等如有损坏、应及时更换或修复。铁质围栏、护树架、门窗、灯杆等应定期进行翻新、油漆，施工应符合GB 50212-91的规定。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6.2.3  园林水体应保持清洁，水质良好，水量适度。人工水池的池壁应保持干净美观。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6.2.4  珍稀水生动物栖息场所水体的水质应不低于GB 3838-2002地表水Ⅱ类水质标准；城市绿地内的游泳池、戏水池内的水质应不低于GB 12941-91 A类标准；喷泉、跌水、溪流及水池内的水质应不低于GB 12941-91 B类标准；人工或自然水体内的水质应不低于GB 12941-91 C类标准。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6.2.5  游乐设施的安全标准应符合GB 8408-87的规定。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技术档案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7.1  园林绿地养护原始资料收集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城市绿地的权属人应将绿地的初始状况资料提供给养护人，包括：①绿地建设或历年整改的竣工资料；②历年养护管理的有关技术资料；③园林植物、建筑、小品及园路、铺装场地等设施的种类、规格、数量；④土壤理化性状、地下水状况；⑤植物生长势及病虫害等现状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7.2 建立养护档案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城市绿地养护管理人应及时收集、整理有关绿地养护的技术资料，建立完整的绿地养护管理技术档案。技术档案应每年整理装订成册，编号目录，分类归档，并按要求报送有关部门。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7.3填报养护报表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城市绿地养护管理人应在养护过程中向权属人提供养护管理报表。内容包括园林建筑、小品及设施维护情况，园林植物养护技术方案及效果评价、绿地养护管理月度、季度、年度报表等。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7.4  新技术、新工艺的记录和评价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城市绿地养护管理人员应积累新技术、新工艺、新设备和新成果的单项技术资料及效果评价。</w:t>
      </w:r>
    </w:p>
    <w:p>
      <w:pPr>
        <w:spacing w:after="0" w:line="360" w:lineRule="auto"/>
        <w:ind w:firstLine="422" w:firstLineChars="200"/>
        <w:rPr>
          <w:rFonts w:ascii="宋体" w:hAnsi="宋体" w:eastAsia="宋体" w:cs="Times New Roman"/>
          <w:b/>
          <w:bCs/>
          <w:color w:val="auto"/>
          <w:sz w:val="21"/>
          <w:szCs w:val="21"/>
          <w:highlight w:val="none"/>
        </w:rPr>
      </w:pPr>
    </w:p>
    <w:bookmarkEnd w:id="6"/>
    <w:bookmarkEnd w:id="7"/>
    <w:bookmarkEnd w:id="8"/>
    <w:bookmarkEnd w:id="9"/>
    <w:p>
      <w:pPr>
        <w:pStyle w:val="2"/>
        <w:spacing w:before="0" w:after="0" w:line="240" w:lineRule="auto"/>
        <w:rPr>
          <w:color w:val="auto"/>
          <w:sz w:val="24"/>
          <w:szCs w:val="24"/>
          <w:highlight w:val="none"/>
        </w:rPr>
      </w:pPr>
      <w:r>
        <w:rPr>
          <w:rFonts w:hint="eastAsia"/>
          <w:color w:val="auto"/>
          <w:sz w:val="24"/>
          <w:szCs w:val="24"/>
          <w:highlight w:val="none"/>
        </w:rPr>
        <w:br w:type="page"/>
      </w:r>
      <w:bookmarkStart w:id="10" w:name="_Toc2479"/>
      <w:r>
        <w:rPr>
          <w:rFonts w:hint="eastAsia"/>
          <w:color w:val="auto"/>
          <w:sz w:val="28"/>
          <w:szCs w:val="28"/>
          <w:highlight w:val="none"/>
        </w:rPr>
        <w:t>第四部分 投标人须知</w:t>
      </w:r>
      <w:bookmarkEnd w:id="10"/>
    </w:p>
    <w:p>
      <w:pPr>
        <w:pStyle w:val="4"/>
        <w:numPr>
          <w:ilvl w:val="0"/>
          <w:numId w:val="3"/>
        </w:numPr>
        <w:spacing w:before="0" w:after="0" w:line="480" w:lineRule="auto"/>
        <w:jc w:val="center"/>
        <w:rPr>
          <w:rFonts w:ascii="宋体" w:hAnsi="宋体" w:eastAsia="宋体"/>
          <w:color w:val="auto"/>
          <w:highlight w:val="none"/>
        </w:rPr>
      </w:pPr>
      <w:bookmarkStart w:id="11" w:name="_Toc19746"/>
      <w:r>
        <w:rPr>
          <w:rFonts w:hint="eastAsia" w:ascii="宋体" w:hAnsi="宋体" w:eastAsia="宋体"/>
          <w:color w:val="auto"/>
          <w:highlight w:val="none"/>
        </w:rPr>
        <w:t>说明</w:t>
      </w:r>
      <w:bookmarkEnd w:id="11"/>
    </w:p>
    <w:p>
      <w:pPr>
        <w:pStyle w:val="5"/>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303084246"/>
      <w:bookmarkStart w:id="15" w:name="_Toc382049092"/>
      <w:bookmarkStart w:id="16" w:name="_Toc298847174"/>
      <w:bookmarkStart w:id="17" w:name="_Toc1530"/>
      <w:r>
        <w:rPr>
          <w:rFonts w:hint="eastAsia" w:ascii="宋体" w:hAnsi="宋体" w:eastAsia="宋体"/>
          <w:color w:val="auto"/>
          <w:sz w:val="21"/>
          <w:szCs w:val="21"/>
          <w:highlight w:val="none"/>
        </w:rPr>
        <w:t>定义</w:t>
      </w:r>
      <w:bookmarkEnd w:id="13"/>
      <w:bookmarkEnd w:id="14"/>
      <w:bookmarkEnd w:id="15"/>
      <w:bookmarkEnd w:id="16"/>
      <w:bookmarkEnd w:id="1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以联合体形式参与项目的供应商在领购谈判文件时，应提供所有联合体组成成员的营业执照复印件，并加盖各联合体组成成员的公章。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4"/>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24" w:name="_Toc17879"/>
      <w:r>
        <w:rPr>
          <w:rFonts w:hint="eastAsia" w:ascii="宋体" w:hAnsi="宋体" w:eastAsia="宋体"/>
          <w:color w:val="auto"/>
          <w:highlight w:val="none"/>
        </w:rPr>
        <w:t>招标文件</w:t>
      </w:r>
      <w:bookmarkEnd w:id="24"/>
    </w:p>
    <w:p>
      <w:pPr>
        <w:pStyle w:val="5"/>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3"/>
        </w:numPr>
        <w:spacing w:before="0" w:after="0" w:line="480" w:lineRule="auto"/>
        <w:jc w:val="center"/>
        <w:rPr>
          <w:rFonts w:ascii="宋体" w:hAnsi="宋体" w:eastAsia="宋体"/>
          <w:color w:val="auto"/>
          <w:highlight w:val="none"/>
        </w:rPr>
      </w:pPr>
      <w:bookmarkStart w:id="27" w:name="_Toc23726"/>
      <w:r>
        <w:rPr>
          <w:rFonts w:hint="eastAsia" w:ascii="宋体" w:hAnsi="宋体" w:eastAsia="宋体"/>
          <w:color w:val="auto"/>
          <w:highlight w:val="none"/>
        </w:rPr>
        <w:t>投标文件的编制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303084256"/>
      <w:bookmarkStart w:id="30" w:name="_Toc307934854"/>
      <w:bookmarkStart w:id="31" w:name="_Toc382049103"/>
      <w:bookmarkStart w:id="32" w:name="_Toc12145"/>
      <w:bookmarkStart w:id="33" w:name="_Toc2886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5"/>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8" w:name="_Hlt107925638"/>
      <w:bookmarkEnd w:id="38"/>
      <w:bookmarkStart w:id="39" w:name="_Hlt10792566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43" w:name="_Toc31124"/>
      <w:r>
        <w:rPr>
          <w:rFonts w:hint="eastAsia" w:ascii="宋体" w:hAnsi="宋体" w:eastAsia="宋体"/>
          <w:color w:val="auto"/>
          <w:highlight w:val="none"/>
        </w:rPr>
        <w:t>投标文件的递交</w:t>
      </w:r>
      <w:bookmarkEnd w:id="43"/>
    </w:p>
    <w:p>
      <w:pPr>
        <w:pStyle w:val="5"/>
        <w:widowControl w:val="0"/>
        <w:overflowPunct w:val="0"/>
        <w:spacing w:before="0" w:after="0" w:line="240" w:lineRule="auto"/>
        <w:rPr>
          <w:rFonts w:ascii="宋体" w:hAnsi="宋体" w:eastAsia="宋体"/>
          <w:color w:val="auto"/>
          <w:sz w:val="21"/>
          <w:szCs w:val="21"/>
          <w:highlight w:val="none"/>
        </w:rPr>
      </w:pPr>
      <w:bookmarkStart w:id="44" w:name="_Toc382049111"/>
      <w:bookmarkStart w:id="45" w:name="_Toc24997"/>
      <w:bookmarkStart w:id="46" w:name="_Toc29590"/>
      <w:bookmarkStart w:id="47"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0" w:name="_Toc5900"/>
      <w:bookmarkStart w:id="51" w:name="_Toc303084265"/>
      <w:bookmarkStart w:id="52" w:name="_Toc9777"/>
      <w:bookmarkStart w:id="53" w:name="_Toc382049112"/>
      <w:r>
        <w:rPr>
          <w:rFonts w:hint="eastAsia" w:ascii="宋体" w:hAnsi="宋体" w:eastAsia="宋体"/>
          <w:color w:val="auto"/>
          <w:sz w:val="21"/>
          <w:szCs w:val="21"/>
          <w:highlight w:val="none"/>
        </w:rPr>
        <w:t>20.投标截止期</w:t>
      </w:r>
      <w:bookmarkEnd w:id="50"/>
      <w:bookmarkEnd w:id="51"/>
      <w:bookmarkEnd w:id="52"/>
      <w:bookmarkEnd w:id="5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7"/>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55" w:name="_Toc29574"/>
      <w:r>
        <w:rPr>
          <w:rFonts w:hint="eastAsia" w:ascii="宋体" w:hAnsi="宋体" w:eastAsia="宋体"/>
          <w:color w:val="auto"/>
          <w:highlight w:val="none"/>
        </w:rPr>
        <w:t>开标与评标</w:t>
      </w:r>
      <w:bookmarkEnd w:id="55"/>
    </w:p>
    <w:p>
      <w:pPr>
        <w:pStyle w:val="5"/>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22591"/>
      <w:bookmarkStart w:id="64" w:name="_Toc382049120"/>
      <w:bookmarkStart w:id="65"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66" w:name="_Toc29310"/>
      <w:r>
        <w:rPr>
          <w:rFonts w:hint="eastAsia" w:ascii="宋体" w:hAnsi="宋体" w:eastAsia="宋体"/>
          <w:color w:val="auto"/>
          <w:highlight w:val="none"/>
        </w:rPr>
        <w:t>授予合同</w:t>
      </w:r>
      <w:bookmarkEnd w:id="66"/>
    </w:p>
    <w:p>
      <w:pPr>
        <w:pStyle w:val="5"/>
        <w:widowControl w:val="0"/>
        <w:overflowPunct w:val="0"/>
        <w:spacing w:before="0" w:after="0" w:line="240" w:lineRule="auto"/>
        <w:rPr>
          <w:rFonts w:ascii="宋体" w:hAnsi="宋体" w:eastAsia="宋体"/>
          <w:color w:val="auto"/>
          <w:sz w:val="21"/>
          <w:szCs w:val="21"/>
          <w:highlight w:val="none"/>
        </w:rPr>
      </w:pPr>
      <w:bookmarkStart w:id="67" w:name="_Toc27817"/>
      <w:bookmarkStart w:id="68"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2744"/>
      <w:bookmarkStart w:id="73" w:name="_Toc382049124"/>
      <w:bookmarkStart w:id="74" w:name="_Toc29009"/>
      <w:bookmarkStart w:id="75" w:name="_Toc303084277"/>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6" w:name="_Toc13694"/>
      <w:r>
        <w:rPr>
          <w:rFonts w:hint="eastAsia" w:ascii="宋体" w:hAnsi="宋体" w:eastAsia="宋体"/>
          <w:color w:val="auto"/>
          <w:highlight w:val="none"/>
        </w:rPr>
        <w:t>询问或质疑</w:t>
      </w:r>
      <w:bookmarkEnd w:id="76"/>
    </w:p>
    <w:p>
      <w:pPr>
        <w:pStyle w:val="5"/>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9" w:name="_Toc24383"/>
      <w:r>
        <w:rPr>
          <w:rFonts w:hint="eastAsia" w:ascii="宋体" w:hAnsi="宋体" w:eastAsia="宋体"/>
          <w:color w:val="auto"/>
          <w:highlight w:val="none"/>
        </w:rPr>
        <w:t>其他</w:t>
      </w:r>
      <w:bookmarkEnd w:id="79"/>
    </w:p>
    <w:p>
      <w:pPr>
        <w:pStyle w:val="5"/>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13430"/>
      <w:bookmarkStart w:id="83" w:name="_Toc1534"/>
      <w:bookmarkStart w:id="84" w:name="_Toc21155"/>
    </w:p>
    <w:p>
      <w:pPr>
        <w:pStyle w:val="4"/>
        <w:spacing w:before="0" w:after="0" w:line="240" w:lineRule="auto"/>
        <w:jc w:val="center"/>
        <w:rPr>
          <w:rFonts w:ascii="宋体" w:hAnsi="宋体" w:eastAsia="宋体" w:cs="宋体"/>
          <w:color w:val="auto"/>
          <w:highlight w:val="none"/>
        </w:rPr>
      </w:pPr>
      <w:bookmarkStart w:id="85" w:name="_Toc16730"/>
      <w:r>
        <w:rPr>
          <w:rFonts w:hint="eastAsia" w:ascii="宋体" w:hAnsi="宋体" w:eastAsia="宋体" w:cs="宋体"/>
          <w:color w:val="auto"/>
          <w:highlight w:val="none"/>
        </w:rPr>
        <w:t>合同格式</w:t>
      </w:r>
      <w:bookmarkEnd w:id="82"/>
      <w:bookmarkEnd w:id="83"/>
      <w:bookmarkEnd w:id="84"/>
      <w:bookmarkEnd w:id="85"/>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6"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第十二条 合同生效</w:t>
      </w:r>
      <w:bookmarkEnd w:id="88"/>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7"/>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935"/>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分项名称</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单价报价</w:t>
            </w:r>
          </w:p>
        </w:tc>
        <w:tc>
          <w:tcPr>
            <w:tcW w:w="2734"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分项总报价</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（三年服务期内）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w:t>
            </w:r>
            <w:r>
              <w:rPr>
                <w:rFonts w:hint="eastAsia" w:ascii="宋体" w:hAnsi="宋体" w:eastAsia="宋体" w:cs="宋体"/>
                <w:b w:val="0"/>
                <w:bCs/>
                <w:i w:val="0"/>
                <w:color w:val="auto"/>
                <w:kern w:val="0"/>
                <w:sz w:val="21"/>
                <w:szCs w:val="21"/>
                <w:highlight w:val="none"/>
                <w:u w:val="none"/>
                <w:lang w:val="en-US" w:eastAsia="zh-CN" w:bidi="ar"/>
              </w:rPr>
              <w:t>中心区环卫保洁费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（元/年/㎡）</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i w:val="0"/>
                <w:color w:val="auto"/>
                <w:kern w:val="0"/>
                <w:sz w:val="21"/>
                <w:szCs w:val="21"/>
                <w:highlight w:val="none"/>
                <w:u w:val="none"/>
                <w:lang w:val="en-US" w:eastAsia="zh-CN" w:bidi="ar"/>
              </w:rPr>
              <w:t>中心区绿化养护费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（元/年/㎡）</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3、</w:t>
            </w:r>
            <w:r>
              <w:rPr>
                <w:rFonts w:hint="eastAsia" w:ascii="宋体" w:hAnsi="宋体" w:eastAsia="宋体" w:cs="宋体"/>
                <w:b w:val="0"/>
                <w:bCs/>
                <w:i w:val="0"/>
                <w:color w:val="auto"/>
                <w:kern w:val="0"/>
                <w:sz w:val="21"/>
                <w:szCs w:val="21"/>
                <w:highlight w:val="none"/>
                <w:u w:val="none"/>
                <w:lang w:val="en-US" w:eastAsia="zh-CN" w:bidi="ar"/>
              </w:rPr>
              <w:t>农村片区环卫保洁费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（元/年/㎡）</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4、</w:t>
            </w:r>
            <w:r>
              <w:rPr>
                <w:rFonts w:hint="eastAsia" w:ascii="宋体" w:hAnsi="宋体" w:eastAsia="宋体" w:cs="宋体"/>
                <w:b w:val="0"/>
                <w:bCs/>
                <w:i w:val="0"/>
                <w:color w:val="auto"/>
                <w:kern w:val="0"/>
                <w:sz w:val="21"/>
                <w:szCs w:val="21"/>
                <w:highlight w:val="none"/>
                <w:u w:val="none"/>
                <w:lang w:val="en-US" w:eastAsia="zh-CN" w:bidi="ar"/>
              </w:rPr>
              <w:t>农村片区环卫保洁费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（元/年/㎡）</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w:t>
            </w:r>
            <w:r>
              <w:rPr>
                <w:rFonts w:hint="eastAsia" w:ascii="宋体" w:hAnsi="宋体" w:eastAsia="宋体" w:cs="宋体"/>
                <w:b w:val="0"/>
                <w:bCs/>
                <w:i w:val="0"/>
                <w:color w:val="auto"/>
                <w:kern w:val="0"/>
                <w:sz w:val="21"/>
                <w:szCs w:val="21"/>
                <w:highlight w:val="none"/>
                <w:u w:val="none"/>
                <w:lang w:val="en-US" w:eastAsia="zh-CN" w:bidi="ar"/>
              </w:rPr>
              <w:t>中心区生活垃圾压缩转运费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 xml:space="preserve">  （元/吨）</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88"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w:t>
            </w:r>
            <w:r>
              <w:rPr>
                <w:rFonts w:hint="eastAsia" w:ascii="宋体" w:hAnsi="宋体" w:eastAsia="宋体" w:cs="宋体"/>
                <w:b w:val="0"/>
                <w:bCs/>
                <w:i w:val="0"/>
                <w:color w:val="auto"/>
                <w:kern w:val="0"/>
                <w:sz w:val="21"/>
                <w:szCs w:val="21"/>
                <w:highlight w:val="none"/>
                <w:u w:val="none"/>
                <w:lang w:val="en-US" w:eastAsia="zh-CN" w:bidi="ar"/>
              </w:rPr>
              <w:t>保安聘用费</w:t>
            </w:r>
          </w:p>
        </w:tc>
        <w:tc>
          <w:tcPr>
            <w:tcW w:w="1177" w:type="pct"/>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（元/人/年）</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65" w:type="pct"/>
            <w:gridSpan w:val="2"/>
            <w:noWrap/>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投标总价（1-</w:t>
            </w:r>
            <w:r>
              <w:rPr>
                <w:rFonts w:hint="eastAsia" w:ascii="宋体" w:hAnsi="宋体" w:eastAsia="宋体" w:cs="宋体"/>
                <w:b/>
                <w:bCs w:val="0"/>
                <w:color w:val="auto"/>
                <w:kern w:val="2"/>
                <w:sz w:val="21"/>
                <w:szCs w:val="21"/>
                <w:highlight w:val="none"/>
                <w:lang w:val="en-US" w:eastAsia="zh-CN"/>
              </w:rPr>
              <w:t>6</w:t>
            </w:r>
            <w:r>
              <w:rPr>
                <w:rFonts w:hint="eastAsia" w:ascii="宋体" w:hAnsi="宋体" w:eastAsia="宋体" w:cs="宋体"/>
                <w:b/>
                <w:bCs w:val="0"/>
                <w:color w:val="auto"/>
                <w:kern w:val="2"/>
                <w:sz w:val="21"/>
                <w:szCs w:val="21"/>
                <w:highlight w:val="none"/>
              </w:rPr>
              <w:t>项</w:t>
            </w:r>
            <w:r>
              <w:rPr>
                <w:rFonts w:hint="eastAsia" w:ascii="宋体" w:hAnsi="宋体" w:eastAsia="宋体" w:cs="宋体"/>
                <w:b/>
                <w:bCs w:val="0"/>
                <w:color w:val="auto"/>
                <w:kern w:val="2"/>
                <w:sz w:val="21"/>
                <w:szCs w:val="21"/>
                <w:highlight w:val="none"/>
                <w:lang w:val="en-US" w:eastAsia="zh-CN"/>
              </w:rPr>
              <w:t>分项总报价合计</w:t>
            </w:r>
            <w:r>
              <w:rPr>
                <w:rFonts w:hint="eastAsia" w:ascii="宋体" w:hAnsi="宋体" w:eastAsia="宋体" w:cs="宋体"/>
                <w:b/>
                <w:bCs w:val="0"/>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bCs w:val="0"/>
                <w:color w:val="auto"/>
                <w:kern w:val="2"/>
                <w:sz w:val="21"/>
                <w:szCs w:val="21"/>
                <w:highlight w:val="none"/>
              </w:rPr>
              <w:t>（三年服务期内）</w:t>
            </w:r>
          </w:p>
        </w:tc>
        <w:tc>
          <w:tcPr>
            <w:tcW w:w="2734" w:type="pct"/>
            <w:noWrap/>
            <w:vAlign w:val="center"/>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大写</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小写</w:t>
            </w:r>
            <w:r>
              <w:rPr>
                <w:rFonts w:hint="eastAsia" w:ascii="宋体" w:hAnsi="宋体" w:eastAsia="宋体" w:cs="宋体"/>
                <w:b w:val="0"/>
                <w:bCs/>
                <w:color w:val="auto"/>
                <w:kern w:val="2"/>
                <w:sz w:val="21"/>
                <w:szCs w:val="21"/>
                <w:highlight w:val="none"/>
                <w:lang w:eastAsia="zh-CN"/>
              </w:rPr>
              <w:t>：</w:t>
            </w:r>
          </w:p>
        </w:tc>
      </w:tr>
    </w:tbl>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24210"/>
      <w:bookmarkStart w:id="101" w:name="_Toc17470"/>
      <w:bookmarkStart w:id="102" w:name="_Toc4926"/>
      <w:bookmarkStart w:id="103" w:name="_Toc1511"/>
      <w:bookmarkStart w:id="104" w:name="_Toc5919"/>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9592"/>
      <w:bookmarkStart w:id="107" w:name="_Toc13458"/>
      <w:bookmarkStart w:id="108" w:name="_Toc16233"/>
      <w:bookmarkStart w:id="109" w:name="_Toc30307"/>
      <w:bookmarkStart w:id="110" w:name="_Toc16698"/>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6080"/>
      <w:bookmarkStart w:id="116" w:name="_Toc1274"/>
      <w:bookmarkStart w:id="117" w:name="_Toc18668"/>
      <w:bookmarkStart w:id="118" w:name="_Toc4827"/>
      <w:bookmarkStart w:id="119" w:name="_Toc4464"/>
      <w:bookmarkStart w:id="120" w:name="_Toc2607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21739"/>
            <w:bookmarkStart w:id="122" w:name="_Toc10045"/>
            <w:bookmarkStart w:id="123" w:name="_Toc14815"/>
            <w:bookmarkStart w:id="124" w:name="_Toc27090"/>
            <w:bookmarkStart w:id="125" w:name="_Toc22448"/>
            <w:bookmarkStart w:id="126" w:name="_Toc4304"/>
            <w:bookmarkStart w:id="127" w:name="_Toc16872"/>
            <w:bookmarkStart w:id="128" w:name="_Toc15903"/>
            <w:bookmarkStart w:id="129" w:name="_Toc12049"/>
            <w:bookmarkStart w:id="130" w:name="_Toc2700"/>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27442"/>
            <w:bookmarkStart w:id="132" w:name="_Toc22917"/>
            <w:bookmarkStart w:id="133" w:name="_Toc21809"/>
            <w:bookmarkStart w:id="134" w:name="_Toc32531"/>
            <w:bookmarkStart w:id="135" w:name="_Toc8490"/>
            <w:bookmarkStart w:id="136" w:name="_Toc22879"/>
            <w:bookmarkStart w:id="137" w:name="_Toc19251"/>
            <w:bookmarkStart w:id="138" w:name="_Toc7333"/>
            <w:bookmarkStart w:id="139" w:name="_Toc24662"/>
            <w:bookmarkStart w:id="140" w:name="_Toc8312"/>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3701"/>
            <w:bookmarkStart w:id="142" w:name="_Toc1912"/>
            <w:bookmarkStart w:id="143" w:name="_Toc20820"/>
            <w:bookmarkStart w:id="144" w:name="_Toc20139"/>
            <w:bookmarkStart w:id="145" w:name="_Toc5992"/>
            <w:bookmarkStart w:id="146" w:name="_Toc5563"/>
            <w:bookmarkStart w:id="147" w:name="_Toc17296"/>
            <w:bookmarkStart w:id="148" w:name="_Toc27185"/>
            <w:bookmarkStart w:id="149" w:name="_Toc1330"/>
            <w:bookmarkStart w:id="150" w:name="_Toc17642"/>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5" w:name="_Toc10094"/>
      <w:bookmarkStart w:id="156" w:name="_Toc21223"/>
      <w:bookmarkStart w:id="157" w:name="_Toc41790770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9" w:name="_Toc30247"/>
      <w:bookmarkStart w:id="160" w:name="_Toc508898066"/>
      <w:bookmarkStart w:id="161" w:name="_Toc509927455"/>
      <w:bookmarkStart w:id="162" w:name="_Toc20910"/>
      <w:bookmarkStart w:id="163" w:name="_Toc22970"/>
      <w:bookmarkStart w:id="164" w:name="_Toc17761"/>
      <w:bookmarkStart w:id="165" w:name="_Toc508960153"/>
      <w:bookmarkStart w:id="166" w:name="_Toc510171693"/>
      <w:bookmarkStart w:id="167" w:name="_Toc509479530"/>
      <w:bookmarkStart w:id="168" w:name="_Toc509844825"/>
      <w:bookmarkStart w:id="169" w:name="_Toc508958703"/>
      <w:bookmarkStart w:id="170" w:name="_Toc30277"/>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7"/>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1" w:name="_Toc28527"/>
      <w:bookmarkStart w:id="172" w:name="_Toc508898067"/>
      <w:bookmarkStart w:id="173" w:name="_Toc508958704"/>
      <w:bookmarkStart w:id="174" w:name="_Toc510171694"/>
      <w:bookmarkStart w:id="175" w:name="_Toc509844826"/>
      <w:bookmarkStart w:id="176" w:name="_Toc508960154"/>
      <w:bookmarkStart w:id="177" w:name="_Toc5447"/>
      <w:bookmarkStart w:id="178" w:name="_Toc21053"/>
      <w:bookmarkStart w:id="179" w:name="_Toc509927456"/>
      <w:bookmarkStart w:id="180" w:name="_Toc509479531"/>
      <w:bookmarkStart w:id="181" w:name="_Toc31520"/>
      <w:bookmarkStart w:id="182" w:name="_Toc2621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highlight w:val="none"/>
        </w:rPr>
      </w:pPr>
      <w:bookmarkStart w:id="183" w:name="_Toc9148"/>
      <w:bookmarkStart w:id="184" w:name="_Toc508898068"/>
      <w:bookmarkStart w:id="185" w:name="_Toc28626"/>
      <w:bookmarkStart w:id="186" w:name="_Toc28126"/>
      <w:bookmarkStart w:id="187" w:name="_Toc509927457"/>
      <w:bookmarkStart w:id="188" w:name="_Toc508958705"/>
      <w:bookmarkStart w:id="189" w:name="_Toc510171695"/>
      <w:bookmarkStart w:id="190" w:name="_Toc509844827"/>
      <w:bookmarkStart w:id="191" w:name="_Toc508960155"/>
      <w:bookmarkStart w:id="192" w:name="_Toc509479532"/>
      <w:bookmarkStart w:id="193" w:name="_Toc14653"/>
      <w:bookmarkStart w:id="194" w:name="_Toc24848"/>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28044"/>
      <w:bookmarkStart w:id="196" w:name="_Toc22981"/>
      <w:bookmarkStart w:id="197" w:name="_Toc9837"/>
      <w:bookmarkStart w:id="198" w:name="_Toc508898069"/>
      <w:bookmarkStart w:id="199" w:name="_Toc508960156"/>
      <w:bookmarkStart w:id="200" w:name="_Toc509479533"/>
      <w:bookmarkStart w:id="201" w:name="_Toc509927458"/>
      <w:bookmarkStart w:id="202" w:name="_Toc510171696"/>
      <w:bookmarkStart w:id="203" w:name="_Toc509844828"/>
      <w:bookmarkStart w:id="204" w:name="_Toc7858"/>
      <w:bookmarkStart w:id="205" w:name="_Toc508958706"/>
      <w:bookmarkStart w:id="206" w:name="_Toc2868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5289"/>
      <w:bookmarkStart w:id="208" w:name="_Toc508958707"/>
      <w:bookmarkStart w:id="209" w:name="_Toc509927459"/>
      <w:bookmarkStart w:id="210" w:name="_Toc508898070"/>
      <w:bookmarkStart w:id="211" w:name="_Toc510171697"/>
      <w:bookmarkStart w:id="212" w:name="_Toc18843"/>
      <w:bookmarkStart w:id="213" w:name="_Toc509479534"/>
      <w:bookmarkStart w:id="214" w:name="_Toc508960157"/>
      <w:bookmarkStart w:id="215" w:name="_Toc509844829"/>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8" w:name="_Toc27534"/>
      <w:r>
        <w:rPr>
          <w:rFonts w:hint="eastAsia" w:ascii="宋体" w:hAnsi="宋体" w:eastAsia="宋体" w:cs="宋体"/>
          <w:b/>
          <w:bCs/>
          <w:color w:val="auto"/>
          <w:sz w:val="21"/>
          <w:szCs w:val="21"/>
          <w:highlight w:val="none"/>
          <w:lang w:val="en-US" w:eastAsia="zh-CN" w:bidi="ar-SA"/>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7"/>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5"/>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val="en-US" w:eastAsia="zh-CN"/>
        </w:rPr>
      </w:pPr>
    </w:p>
    <w:p>
      <w:pPr>
        <w:jc w:val="center"/>
        <w:rPr>
          <w:rFonts w:hint="eastAsia"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p>
      <w:pPr>
        <w:bidi w:val="0"/>
        <w:rPr>
          <w:color w:val="auto"/>
          <w:highlight w:val="none"/>
        </w:rPr>
      </w:pPr>
      <w:r>
        <w:rPr>
          <w:color w:val="auto"/>
          <w:highlight w:val="none"/>
        </w:rPr>
        <w:br w:type="page"/>
      </w:r>
    </w:p>
    <w:p>
      <w:pPr>
        <w:pStyle w:val="5"/>
        <w:spacing w:before="0" w:after="0" w:line="240" w:lineRule="auto"/>
        <w:rPr>
          <w:color w:val="auto"/>
          <w:highlight w:val="none"/>
        </w:rPr>
      </w:pPr>
      <w:bookmarkStart w:id="219" w:name="_Toc17023"/>
      <w:r>
        <w:rPr>
          <w:rFonts w:hint="eastAsia" w:eastAsiaTheme="minorEastAsia"/>
          <w:color w:val="auto"/>
          <w:lang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-464820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2"/>
                    <a:stretch>
                      <a:fillRect/>
                    </a:stretch>
                  </pic:blipFill>
                  <pic:spPr>
                    <a:xfrm>
                      <a:off x="0" y="0"/>
                      <a:ext cx="5264150" cy="444500"/>
                    </a:xfrm>
                    <a:prstGeom prst="rect">
                      <a:avLst/>
                    </a:prstGeom>
                  </pic:spPr>
                </pic:pic>
              </a:graphicData>
            </a:graphic>
          </wp:anchor>
        </w:drawing>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bookmarkEnd w:id="219"/>
      <w:bookmarkStart w:id="220" w:name="_Toc1968"/>
    </w:p>
    <w:bookmarkEnd w:id="220"/>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rPr>
        <w:t>获取</w:t>
      </w:r>
      <w:r>
        <w:rPr>
          <w:rFonts w:hint="eastAsia" w:ascii="黑体" w:hAnsi="黑体" w:eastAsia="黑体" w:cs="黑体"/>
          <w:color w:val="auto"/>
          <w:sz w:val="52"/>
          <w:szCs w:val="52"/>
          <w:lang w:eastAsia="zh-CN"/>
        </w:rPr>
        <w:t>招标文件</w:t>
      </w:r>
      <w:r>
        <w:rPr>
          <w:rFonts w:hint="eastAsia" w:ascii="黑体" w:hAnsi="黑体" w:eastAsia="黑体" w:cs="黑体"/>
          <w:color w:val="auto"/>
          <w:sz w:val="52"/>
          <w:szCs w:val="52"/>
        </w:rPr>
        <w:t>登记表</w:t>
      </w:r>
    </w:p>
    <w:tbl>
      <w:tblPr>
        <w:tblStyle w:val="19"/>
        <w:tblW w:w="4998" w:type="pct"/>
        <w:tblInd w:w="0" w:type="dxa"/>
        <w:shd w:val="clear" w:color="auto" w:fill="auto"/>
        <w:tblLayout w:type="fixed"/>
        <w:tblCellMar>
          <w:top w:w="0" w:type="dxa"/>
          <w:left w:w="108" w:type="dxa"/>
          <w:bottom w:w="0" w:type="dxa"/>
          <w:right w:w="108" w:type="dxa"/>
        </w:tblCellMar>
      </w:tblPr>
      <w:tblGrid>
        <w:gridCol w:w="2769"/>
        <w:gridCol w:w="2355"/>
        <w:gridCol w:w="1027"/>
        <w:gridCol w:w="2368"/>
      </w:tblGrid>
      <w:tr>
        <w:tblPrEx>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承诺:</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本公司对招标文件的内容已经了解，并自愿购买该招标文件。</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本公司对提供的所有资料的真实性、有效性承担责任。</w:t>
            </w:r>
          </w:p>
          <w:p>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 xml:space="preserve">招标文件领取人签名: </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vertAlign w:val="subscript"/>
                <w:lang w:val="en-US" w:eastAsia="zh-CN" w:bidi="ar"/>
              </w:rPr>
              <w:t xml:space="preserve"> </w:t>
            </w:r>
            <w:r>
              <w:rPr>
                <w:rFonts w:hint="eastAsia" w:ascii="宋体" w:hAnsi="宋体" w:eastAsia="宋体" w:cs="宋体"/>
                <w:i w:val="0"/>
                <w:iCs w:val="0"/>
                <w:color w:val="auto"/>
                <w:kern w:val="0"/>
                <w:sz w:val="28"/>
                <w:szCs w:val="28"/>
                <w:u w:val="none"/>
                <w:lang w:val="en-US" w:eastAsia="zh-CN" w:bidi="ar"/>
              </w:rPr>
              <w:t xml:space="preserve">              </w:t>
            </w:r>
            <w:r>
              <w:rPr>
                <w:rFonts w:hint="eastAsia" w:ascii="宋体" w:hAnsi="宋体" w:eastAsia="宋体" w:cs="宋体"/>
                <w:i w:val="0"/>
                <w:iCs w:val="0"/>
                <w:color w:val="auto"/>
                <w:kern w:val="0"/>
                <w:sz w:val="28"/>
                <w:szCs w:val="28"/>
                <w:u w:val="single"/>
                <w:lang w:val="en-US" w:eastAsia="zh-CN"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人民币150元/份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b/>
                <w:bCs/>
                <w:color w:val="auto"/>
                <w:sz w:val="28"/>
                <w:szCs w:val="28"/>
              </w:rPr>
              <w:t>注：开完发票后请把报名表格交还至前台</w:t>
            </w:r>
          </w:p>
        </w:tc>
      </w:tr>
    </w:tbl>
    <w:p>
      <w:pPr>
        <w:pStyle w:val="5"/>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bookmarkEnd w:id="221"/>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8" w:type="first"/>
      <w:footerReference r:id="rId7" w:type="default"/>
      <w:pgSz w:w="11906" w:h="16838"/>
      <w:pgMar w:top="1440" w:right="1800" w:bottom="1440" w:left="1800" w:header="708" w:footer="708" w:gutter="0"/>
      <w:pgNumType w:fmt="decimal"/>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120" w:line="14" w:lineRule="auto"/>
      <w:ind w:left="0"/>
      <w:jc w:val="both"/>
      <w:rPr>
        <w:rFonts w:ascii="Times New Roman" w:hAnsi="Times New Roman" w:eastAsia="宋体" w:cs="Times New Roman"/>
        <w:kern w:val="2"/>
        <w:sz w:val="20"/>
        <w:szCs w:val="24"/>
        <w:lang w:val="en-US" w:eastAsia="zh-CN" w:bidi="ar-SA"/>
      </w:rPr>
    </w:pPr>
    <w:r>
      <w:rPr>
        <w:sz w:val="21"/>
      </w:rPr>
      <w:pict>
        <v:shape id="_x0000_s3082" o:spid="_x0000_s308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140</w:t>
                </w:r>
                <w:r>
                  <w:rPr>
                    <w:rFonts w:hint="eastAsia"/>
                    <w:lang w:eastAsia="zh-CN"/>
                  </w:rPr>
                  <w:t xml:space="preserve"> 页</w:t>
                </w:r>
              </w:p>
            </w:txbxContent>
          </v:textbox>
        </v:shape>
      </w:pict>
    </w:r>
    <w:r>
      <w:rPr>
        <w:rFonts w:ascii="Times New Roman" w:hAnsi="Times New Roman" w:eastAsia="宋体" w:cs="Times New Roman"/>
        <w:kern w:val="2"/>
        <w:sz w:val="21"/>
        <w:szCs w:val="24"/>
        <w:lang w:val="en-US" w:eastAsia="zh-CN" w:bidi="ar-SA"/>
      </w:rPr>
      <w:pict>
        <v:shape id="_x0000_s3078" o:spid="_x0000_s3078" o:spt="202" type="#_x0000_t202" style="position:absolute;left:0pt;margin-left:471.95pt;margin-top:727.1pt;height:17.5pt;width:4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widowControl w:val="0"/>
                  <w:adjustRightInd/>
                  <w:snapToGrid/>
                  <w:spacing w:before="0" w:after="0" w:line="330" w:lineRule="exact"/>
                  <w:ind w:left="20" w:right="0" w:firstLine="0"/>
                  <w:jc w:val="left"/>
                  <w:rPr>
                    <w:rFonts w:ascii="Times New Roman" w:hAnsi="Times New Roman" w:eastAsia="宋体" w:cs="Times New Roman"/>
                    <w:kern w:val="2"/>
                    <w:sz w:val="28"/>
                    <w:szCs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120" w:line="14" w:lineRule="auto"/>
      <w:ind w:left="0"/>
      <w:jc w:val="both"/>
      <w:rPr>
        <w:rFonts w:ascii="Times New Roman" w:hAnsi="Times New Roman" w:eastAsia="宋体" w:cs="Times New Roman"/>
        <w:kern w:val="2"/>
        <w:sz w:val="20"/>
        <w:szCs w:val="24"/>
        <w:lang w:val="en-US" w:eastAsia="zh-CN" w:bidi="ar-SA"/>
      </w:rPr>
    </w:pPr>
    <w:r>
      <w:rPr>
        <w:rFonts w:ascii="Times New Roman" w:hAnsi="Times New Roman" w:eastAsia="宋体" w:cs="Times New Roman"/>
        <w:kern w:val="2"/>
        <w:sz w:val="21"/>
        <w:szCs w:val="24"/>
        <w:lang w:val="en-US" w:eastAsia="zh-CN" w:bidi="ar-SA"/>
      </w:rPr>
      <w:pict>
        <v:shape id="_x0000_s3079" o:spid="_x0000_s3079" o:spt="202" type="#_x0000_t202" style="position:absolute;left:0pt;margin-left:84.95pt;margin-top:727.1pt;height:17.5pt;width:4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widowControl w:val="0"/>
                  <w:adjustRightInd/>
                  <w:snapToGrid/>
                  <w:spacing w:before="0" w:after="0" w:line="330" w:lineRule="exact"/>
                  <w:ind w:left="20" w:right="0" w:firstLine="0"/>
                  <w:jc w:val="left"/>
                  <w:rPr>
                    <w:rFonts w:ascii="Times New Roman" w:hAnsi="Times New Roman" w:eastAsia="宋体" w:cs="Times New Roman"/>
                    <w:kern w:val="2"/>
                    <w:sz w:val="28"/>
                    <w:szCs w:val="24"/>
                  </w:rPr>
                </w:pPr>
                <w:r>
                  <w:rPr>
                    <w:rFonts w:ascii="Times New Roman" w:hAnsi="Times New Roman" w:eastAsia="宋体" w:cs="Times New Roman"/>
                    <w:kern w:val="2"/>
                    <w:sz w:val="28"/>
                    <w:szCs w:val="24"/>
                  </w:rPr>
                  <w:t>—30—</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pPr>
                  <w:pStyle w:val="1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140</w:t>
                </w:r>
                <w:r>
                  <w:rPr>
                    <w:rFonts w:hint="eastAsia"/>
                    <w:lang w:eastAsia="zh-CN"/>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path/>
          <v:fill on="f" focussize="0,0"/>
          <v:stroke on="f" joinstyle="miter"/>
          <v:imagedata o:title=""/>
          <o:lock v:ext="edit"/>
          <v:textbox inset="0mm,0mm,0mm,0mm" style="mso-fit-shape-to-text:t;">
            <w:txbxContent>
              <w:p>
                <w:pPr>
                  <w:pStyle w:val="1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143</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6"/>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6"/>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8EB0E26"/>
    <w:multiLevelType w:val="singleLevel"/>
    <w:tmpl w:val="C8EB0E26"/>
    <w:lvl w:ilvl="0" w:tentative="0">
      <w:start w:val="20"/>
      <w:numFmt w:val="decimal"/>
      <w:suff w:val="nothing"/>
      <w:lvlText w:val="%1、"/>
      <w:lvlJc w:val="left"/>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E09EF6E1"/>
    <w:multiLevelType w:val="singleLevel"/>
    <w:tmpl w:val="E09EF6E1"/>
    <w:lvl w:ilvl="0" w:tentative="0">
      <w:start w:val="1"/>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16010E5"/>
    <w:multiLevelType w:val="singleLevel"/>
    <w:tmpl w:val="316010E5"/>
    <w:lvl w:ilvl="0" w:tentative="0">
      <w:start w:val="1"/>
      <w:numFmt w:val="decimal"/>
      <w:suff w:val="nothing"/>
      <w:lvlText w:val="%1．"/>
      <w:lvlJc w:val="left"/>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3F8FC478"/>
    <w:multiLevelType w:val="singleLevel"/>
    <w:tmpl w:val="3F8FC478"/>
    <w:lvl w:ilvl="0" w:tentative="0">
      <w:start w:val="1"/>
      <w:numFmt w:val="decimal"/>
      <w:suff w:val="nothing"/>
      <w:lvlText w:val="%1、"/>
      <w:lvlJc w:val="left"/>
    </w:lvl>
  </w:abstractNum>
  <w:abstractNum w:abstractNumId="13">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
  </w:num>
  <w:num w:numId="3">
    <w:abstractNumId w:val="13"/>
  </w:num>
  <w:num w:numId="4">
    <w:abstractNumId w:val="8"/>
  </w:num>
  <w:num w:numId="5">
    <w:abstractNumId w:val="11"/>
  </w:num>
  <w:num w:numId="6">
    <w:abstractNumId w:val="9"/>
  </w:num>
  <w:num w:numId="7">
    <w:abstractNumId w:val="5"/>
  </w:num>
  <w:num w:numId="8">
    <w:abstractNumId w:val="6"/>
  </w:num>
  <w:num w:numId="9">
    <w:abstractNumId w:val="1"/>
  </w:num>
  <w:num w:numId="10">
    <w:abstractNumId w:val="3"/>
  </w:num>
  <w:num w:numId="11">
    <w:abstractNumId w:val="7"/>
  </w:num>
  <w:num w:numId="12">
    <w:abstractNumId w:val="0"/>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1F3455"/>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77329C"/>
    <w:rsid w:val="04DF1036"/>
    <w:rsid w:val="05A97DEC"/>
    <w:rsid w:val="05BD24F1"/>
    <w:rsid w:val="05C81981"/>
    <w:rsid w:val="06BC41F2"/>
    <w:rsid w:val="06D07845"/>
    <w:rsid w:val="07197D08"/>
    <w:rsid w:val="071C2CFD"/>
    <w:rsid w:val="071E5C55"/>
    <w:rsid w:val="073F7319"/>
    <w:rsid w:val="07536A42"/>
    <w:rsid w:val="07595F41"/>
    <w:rsid w:val="07615EC0"/>
    <w:rsid w:val="077005AB"/>
    <w:rsid w:val="078F4581"/>
    <w:rsid w:val="07995C5E"/>
    <w:rsid w:val="07BE179A"/>
    <w:rsid w:val="07BF027F"/>
    <w:rsid w:val="08031A31"/>
    <w:rsid w:val="081A5CC7"/>
    <w:rsid w:val="08626BAC"/>
    <w:rsid w:val="08793AB1"/>
    <w:rsid w:val="08A276E5"/>
    <w:rsid w:val="09061A75"/>
    <w:rsid w:val="09182241"/>
    <w:rsid w:val="093C069F"/>
    <w:rsid w:val="094E5B07"/>
    <w:rsid w:val="09855177"/>
    <w:rsid w:val="09870F93"/>
    <w:rsid w:val="09F1637C"/>
    <w:rsid w:val="0A25628F"/>
    <w:rsid w:val="0AA534D5"/>
    <w:rsid w:val="0AA650EB"/>
    <w:rsid w:val="0AB8066A"/>
    <w:rsid w:val="0AF47339"/>
    <w:rsid w:val="0B025498"/>
    <w:rsid w:val="0B22594B"/>
    <w:rsid w:val="0B797387"/>
    <w:rsid w:val="0BC044BE"/>
    <w:rsid w:val="0BDF26F7"/>
    <w:rsid w:val="0C264099"/>
    <w:rsid w:val="0C2B4952"/>
    <w:rsid w:val="0C7B2220"/>
    <w:rsid w:val="0D4121DD"/>
    <w:rsid w:val="0D890E47"/>
    <w:rsid w:val="0DC64A00"/>
    <w:rsid w:val="0DFC60BA"/>
    <w:rsid w:val="0E4249F1"/>
    <w:rsid w:val="0F2B6C5C"/>
    <w:rsid w:val="0F5F7CAB"/>
    <w:rsid w:val="0F7C5FF6"/>
    <w:rsid w:val="0FC63FBD"/>
    <w:rsid w:val="0FD947C6"/>
    <w:rsid w:val="106C564D"/>
    <w:rsid w:val="107B7B8F"/>
    <w:rsid w:val="107C67CE"/>
    <w:rsid w:val="109D68CB"/>
    <w:rsid w:val="10A949B8"/>
    <w:rsid w:val="10FE64E2"/>
    <w:rsid w:val="11200D07"/>
    <w:rsid w:val="119B3452"/>
    <w:rsid w:val="11DA73AF"/>
    <w:rsid w:val="11FA6AAE"/>
    <w:rsid w:val="128551B4"/>
    <w:rsid w:val="12C60D80"/>
    <w:rsid w:val="131F7A3A"/>
    <w:rsid w:val="13224D7E"/>
    <w:rsid w:val="132645D0"/>
    <w:rsid w:val="13455ABC"/>
    <w:rsid w:val="1370322B"/>
    <w:rsid w:val="13B27845"/>
    <w:rsid w:val="13C275B8"/>
    <w:rsid w:val="141A03E1"/>
    <w:rsid w:val="143B2E0B"/>
    <w:rsid w:val="14672B11"/>
    <w:rsid w:val="14892735"/>
    <w:rsid w:val="14CC769D"/>
    <w:rsid w:val="14E94892"/>
    <w:rsid w:val="15D359D7"/>
    <w:rsid w:val="15D81E0F"/>
    <w:rsid w:val="16191FEE"/>
    <w:rsid w:val="163C77BE"/>
    <w:rsid w:val="1679588C"/>
    <w:rsid w:val="16994962"/>
    <w:rsid w:val="16A71041"/>
    <w:rsid w:val="16AA24BF"/>
    <w:rsid w:val="16F72341"/>
    <w:rsid w:val="17680CAB"/>
    <w:rsid w:val="176E4128"/>
    <w:rsid w:val="1783371F"/>
    <w:rsid w:val="17C068E3"/>
    <w:rsid w:val="17E62B67"/>
    <w:rsid w:val="180F4499"/>
    <w:rsid w:val="18221ECE"/>
    <w:rsid w:val="19562A23"/>
    <w:rsid w:val="1995313F"/>
    <w:rsid w:val="19A2789F"/>
    <w:rsid w:val="1A460CF5"/>
    <w:rsid w:val="1A7F297D"/>
    <w:rsid w:val="1AB16AC1"/>
    <w:rsid w:val="1B034A52"/>
    <w:rsid w:val="1B057712"/>
    <w:rsid w:val="1B1F34AD"/>
    <w:rsid w:val="1B8D5DC6"/>
    <w:rsid w:val="1BFE1D3B"/>
    <w:rsid w:val="1C2775EC"/>
    <w:rsid w:val="1C6E0202"/>
    <w:rsid w:val="1C750ECE"/>
    <w:rsid w:val="1D0836D7"/>
    <w:rsid w:val="1D196139"/>
    <w:rsid w:val="1DB85900"/>
    <w:rsid w:val="1DEF4604"/>
    <w:rsid w:val="1E010AF7"/>
    <w:rsid w:val="1E0178EB"/>
    <w:rsid w:val="1E301173"/>
    <w:rsid w:val="1E38333E"/>
    <w:rsid w:val="1E613DEA"/>
    <w:rsid w:val="1EA40BB4"/>
    <w:rsid w:val="1F43381C"/>
    <w:rsid w:val="1F7629C6"/>
    <w:rsid w:val="1FA4148D"/>
    <w:rsid w:val="1FEC5F4E"/>
    <w:rsid w:val="20121621"/>
    <w:rsid w:val="201A421D"/>
    <w:rsid w:val="204E554F"/>
    <w:rsid w:val="20590035"/>
    <w:rsid w:val="20BA4DB6"/>
    <w:rsid w:val="20FC799E"/>
    <w:rsid w:val="2121172B"/>
    <w:rsid w:val="21303DED"/>
    <w:rsid w:val="22154DDD"/>
    <w:rsid w:val="22213E42"/>
    <w:rsid w:val="22336873"/>
    <w:rsid w:val="23523875"/>
    <w:rsid w:val="238C2182"/>
    <w:rsid w:val="239015D1"/>
    <w:rsid w:val="23BB4E7D"/>
    <w:rsid w:val="23C172D6"/>
    <w:rsid w:val="23F04F64"/>
    <w:rsid w:val="24250DDD"/>
    <w:rsid w:val="24814CBE"/>
    <w:rsid w:val="24AC168B"/>
    <w:rsid w:val="252B55CE"/>
    <w:rsid w:val="25636D74"/>
    <w:rsid w:val="258C3BEC"/>
    <w:rsid w:val="260E3862"/>
    <w:rsid w:val="262569FC"/>
    <w:rsid w:val="26344C98"/>
    <w:rsid w:val="26F56CE2"/>
    <w:rsid w:val="27435D49"/>
    <w:rsid w:val="27A34F71"/>
    <w:rsid w:val="27B36A67"/>
    <w:rsid w:val="27EB0D9B"/>
    <w:rsid w:val="286602C8"/>
    <w:rsid w:val="28665C95"/>
    <w:rsid w:val="28BA4A76"/>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697387"/>
    <w:rsid w:val="2DC80C49"/>
    <w:rsid w:val="2DCA6355"/>
    <w:rsid w:val="2DF0699F"/>
    <w:rsid w:val="2E166748"/>
    <w:rsid w:val="2E556F01"/>
    <w:rsid w:val="2E8E20B4"/>
    <w:rsid w:val="2ED06066"/>
    <w:rsid w:val="2ED1223D"/>
    <w:rsid w:val="2EE470F7"/>
    <w:rsid w:val="2F000139"/>
    <w:rsid w:val="2F561B8A"/>
    <w:rsid w:val="2F9F42DC"/>
    <w:rsid w:val="2FA64EF3"/>
    <w:rsid w:val="2FF37AB3"/>
    <w:rsid w:val="30564675"/>
    <w:rsid w:val="309F2173"/>
    <w:rsid w:val="30CD61E7"/>
    <w:rsid w:val="30FF27D2"/>
    <w:rsid w:val="31170995"/>
    <w:rsid w:val="31264A30"/>
    <w:rsid w:val="31884E67"/>
    <w:rsid w:val="31A0275E"/>
    <w:rsid w:val="31B7357A"/>
    <w:rsid w:val="31ED6B08"/>
    <w:rsid w:val="328464CE"/>
    <w:rsid w:val="32AB70C5"/>
    <w:rsid w:val="32DC33E0"/>
    <w:rsid w:val="333A0DE3"/>
    <w:rsid w:val="335D0AF5"/>
    <w:rsid w:val="33645CF5"/>
    <w:rsid w:val="3370088C"/>
    <w:rsid w:val="33A3154A"/>
    <w:rsid w:val="33DC2F78"/>
    <w:rsid w:val="33E61DEB"/>
    <w:rsid w:val="3428227C"/>
    <w:rsid w:val="34B308C2"/>
    <w:rsid w:val="35260F83"/>
    <w:rsid w:val="35602226"/>
    <w:rsid w:val="356B72E7"/>
    <w:rsid w:val="3572424F"/>
    <w:rsid w:val="35FC3844"/>
    <w:rsid w:val="36AD519D"/>
    <w:rsid w:val="36B57705"/>
    <w:rsid w:val="37151CEA"/>
    <w:rsid w:val="379A5BEA"/>
    <w:rsid w:val="37A103ED"/>
    <w:rsid w:val="37EA5E6E"/>
    <w:rsid w:val="37FF016F"/>
    <w:rsid w:val="380A229A"/>
    <w:rsid w:val="38427C0B"/>
    <w:rsid w:val="387C5ABE"/>
    <w:rsid w:val="389B3A1E"/>
    <w:rsid w:val="38EB6119"/>
    <w:rsid w:val="39C94BFF"/>
    <w:rsid w:val="39FE0BE9"/>
    <w:rsid w:val="3A3C1AAF"/>
    <w:rsid w:val="3A51228C"/>
    <w:rsid w:val="3A552E60"/>
    <w:rsid w:val="3A5D642F"/>
    <w:rsid w:val="3AB210FC"/>
    <w:rsid w:val="3AD95C13"/>
    <w:rsid w:val="3B261E51"/>
    <w:rsid w:val="3BCD72F7"/>
    <w:rsid w:val="3C414142"/>
    <w:rsid w:val="3CF737A2"/>
    <w:rsid w:val="3D10295A"/>
    <w:rsid w:val="3E042A16"/>
    <w:rsid w:val="3E0572FD"/>
    <w:rsid w:val="3E0F6F14"/>
    <w:rsid w:val="3E1A5292"/>
    <w:rsid w:val="3E2B7C1E"/>
    <w:rsid w:val="3E5A7FE7"/>
    <w:rsid w:val="3EC8179E"/>
    <w:rsid w:val="3EC9529F"/>
    <w:rsid w:val="3EF66B2E"/>
    <w:rsid w:val="3F163759"/>
    <w:rsid w:val="3F217914"/>
    <w:rsid w:val="3FD70BB0"/>
    <w:rsid w:val="3FFB55AC"/>
    <w:rsid w:val="4005757C"/>
    <w:rsid w:val="401C5F9D"/>
    <w:rsid w:val="401C690C"/>
    <w:rsid w:val="401D7195"/>
    <w:rsid w:val="40CE3DC0"/>
    <w:rsid w:val="40D7455A"/>
    <w:rsid w:val="40E743E5"/>
    <w:rsid w:val="4110038E"/>
    <w:rsid w:val="41734CBA"/>
    <w:rsid w:val="41DD7057"/>
    <w:rsid w:val="420F7A65"/>
    <w:rsid w:val="4216611A"/>
    <w:rsid w:val="422C3B48"/>
    <w:rsid w:val="423E300F"/>
    <w:rsid w:val="425656C8"/>
    <w:rsid w:val="4257273C"/>
    <w:rsid w:val="425D7213"/>
    <w:rsid w:val="42677B61"/>
    <w:rsid w:val="42756DB0"/>
    <w:rsid w:val="42B21AD2"/>
    <w:rsid w:val="42FD694D"/>
    <w:rsid w:val="434A6D8F"/>
    <w:rsid w:val="43FA5777"/>
    <w:rsid w:val="44044D92"/>
    <w:rsid w:val="441C1611"/>
    <w:rsid w:val="44353308"/>
    <w:rsid w:val="443C440B"/>
    <w:rsid w:val="443F7DBF"/>
    <w:rsid w:val="44514F52"/>
    <w:rsid w:val="448965CB"/>
    <w:rsid w:val="44FA2D53"/>
    <w:rsid w:val="4571374F"/>
    <w:rsid w:val="458B1BB0"/>
    <w:rsid w:val="4611075B"/>
    <w:rsid w:val="46214818"/>
    <w:rsid w:val="467A0297"/>
    <w:rsid w:val="468B7125"/>
    <w:rsid w:val="46C4691F"/>
    <w:rsid w:val="46DF31CB"/>
    <w:rsid w:val="479D1D34"/>
    <w:rsid w:val="47B609C0"/>
    <w:rsid w:val="47FF4283"/>
    <w:rsid w:val="480A6BD2"/>
    <w:rsid w:val="482D31EA"/>
    <w:rsid w:val="485970A0"/>
    <w:rsid w:val="486C398E"/>
    <w:rsid w:val="48A41906"/>
    <w:rsid w:val="48B65C71"/>
    <w:rsid w:val="48D349B4"/>
    <w:rsid w:val="48F303D7"/>
    <w:rsid w:val="492837FF"/>
    <w:rsid w:val="492E6A57"/>
    <w:rsid w:val="49E87A66"/>
    <w:rsid w:val="4A0030EE"/>
    <w:rsid w:val="4AC36065"/>
    <w:rsid w:val="4AE225CF"/>
    <w:rsid w:val="4B2D04DB"/>
    <w:rsid w:val="4B7501F5"/>
    <w:rsid w:val="4B8C2DEB"/>
    <w:rsid w:val="4BC60004"/>
    <w:rsid w:val="4BFA3C9F"/>
    <w:rsid w:val="4C0E3379"/>
    <w:rsid w:val="4C107F48"/>
    <w:rsid w:val="4C3277BC"/>
    <w:rsid w:val="4CC353EB"/>
    <w:rsid w:val="4CF36F3C"/>
    <w:rsid w:val="4D4F67BA"/>
    <w:rsid w:val="4D603399"/>
    <w:rsid w:val="4D867EE1"/>
    <w:rsid w:val="4D9F1CDF"/>
    <w:rsid w:val="4DBC4C65"/>
    <w:rsid w:val="4DE30EA1"/>
    <w:rsid w:val="4DF6568D"/>
    <w:rsid w:val="4E550010"/>
    <w:rsid w:val="4E5F14CB"/>
    <w:rsid w:val="4EC2667E"/>
    <w:rsid w:val="4F3705F8"/>
    <w:rsid w:val="4FAC3540"/>
    <w:rsid w:val="4FBB12F4"/>
    <w:rsid w:val="4FCF1583"/>
    <w:rsid w:val="4FFA7625"/>
    <w:rsid w:val="501B0BF9"/>
    <w:rsid w:val="507D2599"/>
    <w:rsid w:val="5096229D"/>
    <w:rsid w:val="509D1367"/>
    <w:rsid w:val="50D0358C"/>
    <w:rsid w:val="50DC4184"/>
    <w:rsid w:val="51475B39"/>
    <w:rsid w:val="514C3EA7"/>
    <w:rsid w:val="519849E5"/>
    <w:rsid w:val="51B36892"/>
    <w:rsid w:val="52506DA7"/>
    <w:rsid w:val="52A27E1D"/>
    <w:rsid w:val="533B2B84"/>
    <w:rsid w:val="537A7243"/>
    <w:rsid w:val="53962A6C"/>
    <w:rsid w:val="539C1B81"/>
    <w:rsid w:val="53AE750F"/>
    <w:rsid w:val="53F263AD"/>
    <w:rsid w:val="54693932"/>
    <w:rsid w:val="549A6BFA"/>
    <w:rsid w:val="54E72921"/>
    <w:rsid w:val="556838B9"/>
    <w:rsid w:val="55806F07"/>
    <w:rsid w:val="55FA2961"/>
    <w:rsid w:val="565E7F4F"/>
    <w:rsid w:val="56775789"/>
    <w:rsid w:val="56857D06"/>
    <w:rsid w:val="56914056"/>
    <w:rsid w:val="56DB613D"/>
    <w:rsid w:val="57D01FC2"/>
    <w:rsid w:val="57FC2169"/>
    <w:rsid w:val="58096275"/>
    <w:rsid w:val="581C04F1"/>
    <w:rsid w:val="582E6EF7"/>
    <w:rsid w:val="58434392"/>
    <w:rsid w:val="584E30E6"/>
    <w:rsid w:val="58D73C60"/>
    <w:rsid w:val="59014D02"/>
    <w:rsid w:val="592F06D7"/>
    <w:rsid w:val="597B384D"/>
    <w:rsid w:val="59996DA8"/>
    <w:rsid w:val="59C30F1B"/>
    <w:rsid w:val="5A0D5854"/>
    <w:rsid w:val="5A20156F"/>
    <w:rsid w:val="5A654AD9"/>
    <w:rsid w:val="5AC7121C"/>
    <w:rsid w:val="5AD90B8D"/>
    <w:rsid w:val="5AE12927"/>
    <w:rsid w:val="5B2243E9"/>
    <w:rsid w:val="5B4E1A44"/>
    <w:rsid w:val="5B666742"/>
    <w:rsid w:val="5B873201"/>
    <w:rsid w:val="5B89551D"/>
    <w:rsid w:val="5B967767"/>
    <w:rsid w:val="5B9E55DE"/>
    <w:rsid w:val="5BC31644"/>
    <w:rsid w:val="5C286807"/>
    <w:rsid w:val="5C446BC8"/>
    <w:rsid w:val="5C4C687B"/>
    <w:rsid w:val="5C7C2768"/>
    <w:rsid w:val="5CB23AE6"/>
    <w:rsid w:val="5CF55792"/>
    <w:rsid w:val="5CFD533A"/>
    <w:rsid w:val="5D893B14"/>
    <w:rsid w:val="5D9A3823"/>
    <w:rsid w:val="5E2B7D62"/>
    <w:rsid w:val="5EA06921"/>
    <w:rsid w:val="5ECA0635"/>
    <w:rsid w:val="5ED5006A"/>
    <w:rsid w:val="5F576E4B"/>
    <w:rsid w:val="5F7A2C30"/>
    <w:rsid w:val="5FBE370A"/>
    <w:rsid w:val="60292845"/>
    <w:rsid w:val="6045536B"/>
    <w:rsid w:val="60F55758"/>
    <w:rsid w:val="612E1A5D"/>
    <w:rsid w:val="61816046"/>
    <w:rsid w:val="62391564"/>
    <w:rsid w:val="62816669"/>
    <w:rsid w:val="62BA0953"/>
    <w:rsid w:val="62D03A7C"/>
    <w:rsid w:val="62E93387"/>
    <w:rsid w:val="62F16BCB"/>
    <w:rsid w:val="62F648FE"/>
    <w:rsid w:val="631A476D"/>
    <w:rsid w:val="63341DB1"/>
    <w:rsid w:val="63A10995"/>
    <w:rsid w:val="63C23EFA"/>
    <w:rsid w:val="63CC3D60"/>
    <w:rsid w:val="63CF3181"/>
    <w:rsid w:val="643A070A"/>
    <w:rsid w:val="644C573D"/>
    <w:rsid w:val="646A6DB1"/>
    <w:rsid w:val="648667A7"/>
    <w:rsid w:val="64DB383A"/>
    <w:rsid w:val="65032F85"/>
    <w:rsid w:val="65136B50"/>
    <w:rsid w:val="657E2A35"/>
    <w:rsid w:val="65A94E9D"/>
    <w:rsid w:val="65C60A92"/>
    <w:rsid w:val="662203DD"/>
    <w:rsid w:val="66DD6702"/>
    <w:rsid w:val="679406CB"/>
    <w:rsid w:val="67C35C0B"/>
    <w:rsid w:val="684B45F7"/>
    <w:rsid w:val="68564F81"/>
    <w:rsid w:val="68652AB3"/>
    <w:rsid w:val="68AD17BB"/>
    <w:rsid w:val="68D94D22"/>
    <w:rsid w:val="68E27729"/>
    <w:rsid w:val="692B2E4A"/>
    <w:rsid w:val="694303FB"/>
    <w:rsid w:val="696A0B34"/>
    <w:rsid w:val="698D6A17"/>
    <w:rsid w:val="69B20755"/>
    <w:rsid w:val="69EE3535"/>
    <w:rsid w:val="69F954C1"/>
    <w:rsid w:val="6A124818"/>
    <w:rsid w:val="6A16708F"/>
    <w:rsid w:val="6A2031B6"/>
    <w:rsid w:val="6A3D3028"/>
    <w:rsid w:val="6A440C53"/>
    <w:rsid w:val="6AC61F6F"/>
    <w:rsid w:val="6ADE74F0"/>
    <w:rsid w:val="6B1002C0"/>
    <w:rsid w:val="6B723594"/>
    <w:rsid w:val="6B805156"/>
    <w:rsid w:val="6BD50977"/>
    <w:rsid w:val="6BEA2A9B"/>
    <w:rsid w:val="6C9A786F"/>
    <w:rsid w:val="6C9C0875"/>
    <w:rsid w:val="6CAA3931"/>
    <w:rsid w:val="6D3933CA"/>
    <w:rsid w:val="6D590942"/>
    <w:rsid w:val="6D7B61EC"/>
    <w:rsid w:val="6DD049FF"/>
    <w:rsid w:val="6E09491E"/>
    <w:rsid w:val="6E0D3655"/>
    <w:rsid w:val="6E5F4465"/>
    <w:rsid w:val="6E8C54DA"/>
    <w:rsid w:val="6EF11E03"/>
    <w:rsid w:val="6F111C62"/>
    <w:rsid w:val="6F2176E5"/>
    <w:rsid w:val="6F3053CA"/>
    <w:rsid w:val="6F592303"/>
    <w:rsid w:val="6F5F5B74"/>
    <w:rsid w:val="6F955E8B"/>
    <w:rsid w:val="6F9B1C65"/>
    <w:rsid w:val="6F9F4287"/>
    <w:rsid w:val="6FD47A25"/>
    <w:rsid w:val="6FFB146E"/>
    <w:rsid w:val="701A5C74"/>
    <w:rsid w:val="706516C3"/>
    <w:rsid w:val="70896E68"/>
    <w:rsid w:val="71457C38"/>
    <w:rsid w:val="715B60E9"/>
    <w:rsid w:val="71CE1EAA"/>
    <w:rsid w:val="71EA1FED"/>
    <w:rsid w:val="7256590E"/>
    <w:rsid w:val="72C16204"/>
    <w:rsid w:val="730313F6"/>
    <w:rsid w:val="731E1007"/>
    <w:rsid w:val="73370D24"/>
    <w:rsid w:val="73447841"/>
    <w:rsid w:val="7359268C"/>
    <w:rsid w:val="739503EB"/>
    <w:rsid w:val="73A05B28"/>
    <w:rsid w:val="73C07D69"/>
    <w:rsid w:val="74B42AE4"/>
    <w:rsid w:val="750A429D"/>
    <w:rsid w:val="755D38A7"/>
    <w:rsid w:val="75614792"/>
    <w:rsid w:val="75784473"/>
    <w:rsid w:val="757E044C"/>
    <w:rsid w:val="75977BC3"/>
    <w:rsid w:val="75B161B3"/>
    <w:rsid w:val="75E470E3"/>
    <w:rsid w:val="766377E5"/>
    <w:rsid w:val="76736B32"/>
    <w:rsid w:val="76E3765E"/>
    <w:rsid w:val="76FC2AFA"/>
    <w:rsid w:val="775B68CD"/>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0E3B0F"/>
    <w:rsid w:val="7E2142A2"/>
    <w:rsid w:val="7E4F5384"/>
    <w:rsid w:val="7E5A6DFA"/>
    <w:rsid w:val="7E755979"/>
    <w:rsid w:val="7E7B0BF2"/>
    <w:rsid w:val="7E8D75B6"/>
    <w:rsid w:val="7EB2417D"/>
    <w:rsid w:val="7EF760EE"/>
    <w:rsid w:val="7F136C5A"/>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8"/>
    <w:qFormat/>
    <w:uiPriority w:val="1"/>
    <w:pPr>
      <w:spacing w:before="161"/>
      <w:ind w:left="120"/>
    </w:pPr>
    <w:rPr>
      <w:rFonts w:ascii="宋体" w:hAnsi="宋体" w:eastAsia="宋体" w:cs="宋体"/>
      <w:sz w:val="24"/>
      <w:lang w:val="zh-CN" w:bidi="zh-CN"/>
    </w:rPr>
  </w:style>
  <w:style w:type="paragraph" w:styleId="8">
    <w:name w:val="Body Text First Indent"/>
    <w:basedOn w:val="7"/>
    <w:unhideWhenUsed/>
    <w:qFormat/>
    <w:uiPriority w:val="99"/>
    <w:pPr>
      <w:ind w:firstLine="420" w:firstLineChars="100"/>
    </w:pPr>
    <w:rPr>
      <w:rFonts w:ascii="Times New Roman" w:hAnsi="Times New Roman" w:cs="Times New Roman"/>
    </w:rPr>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alloon Text"/>
    <w:basedOn w:val="1"/>
    <w:link w:val="43"/>
    <w:semiHidden/>
    <w:unhideWhenUsed/>
    <w:qFormat/>
    <w:uiPriority w:val="99"/>
    <w:pPr>
      <w:spacing w:after="0"/>
    </w:pPr>
    <w:rPr>
      <w:sz w:val="18"/>
      <w:szCs w:val="18"/>
    </w:rPr>
  </w:style>
  <w:style w:type="paragraph" w:styleId="12">
    <w:name w:val="footer"/>
    <w:basedOn w:val="1"/>
    <w:link w:val="42"/>
    <w:unhideWhenUsed/>
    <w:qFormat/>
    <w:uiPriority w:val="99"/>
    <w:pPr>
      <w:tabs>
        <w:tab w:val="center" w:pos="4153"/>
        <w:tab w:val="right" w:pos="8306"/>
      </w:tabs>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footnote text"/>
    <w:basedOn w:val="1"/>
    <w:semiHidden/>
    <w:unhideWhenUsed/>
    <w:qFormat/>
    <w:uiPriority w:val="99"/>
    <w:pPr>
      <w:snapToGrid w:val="0"/>
      <w:jc w:val="left"/>
    </w:pPr>
    <w:rPr>
      <w:sz w:val="18"/>
    </w:rPr>
  </w:style>
  <w:style w:type="paragraph" w:styleId="17">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8">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2"/>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Char"/>
    <w:basedOn w:val="21"/>
    <w:link w:val="5"/>
    <w:qFormat/>
    <w:uiPriority w:val="9"/>
    <w:rPr>
      <w:rFonts w:eastAsia="宋体" w:asciiTheme="majorAscii" w:hAnsiTheme="majorAscii" w:cstheme="majorBidi"/>
      <w:b/>
      <w:bCs/>
      <w:sz w:val="24"/>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4"/>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10"/>
    <w:semiHidden/>
    <w:qFormat/>
    <w:uiPriority w:val="99"/>
    <w:rPr>
      <w:rFonts w:ascii="宋体" w:hAnsi="Courier New" w:eastAsia="宋体" w:cs="Courier New"/>
      <w:sz w:val="21"/>
      <w:szCs w:val="21"/>
    </w:rPr>
  </w:style>
  <w:style w:type="character" w:customStyle="1" w:styleId="41">
    <w:name w:val="页眉 Char"/>
    <w:basedOn w:val="21"/>
    <w:link w:val="13"/>
    <w:qFormat/>
    <w:uiPriority w:val="99"/>
    <w:rPr>
      <w:rFonts w:ascii="Tahoma" w:hAnsi="Tahoma"/>
      <w:sz w:val="18"/>
      <w:szCs w:val="18"/>
    </w:rPr>
  </w:style>
  <w:style w:type="character" w:customStyle="1" w:styleId="42">
    <w:name w:val="页脚 Char"/>
    <w:basedOn w:val="21"/>
    <w:link w:val="12"/>
    <w:qFormat/>
    <w:uiPriority w:val="99"/>
    <w:rPr>
      <w:rFonts w:ascii="Tahoma" w:hAnsi="Tahoma"/>
      <w:sz w:val="18"/>
      <w:szCs w:val="18"/>
    </w:rPr>
  </w:style>
  <w:style w:type="character" w:customStyle="1" w:styleId="43">
    <w:name w:val="批注框文本 Char"/>
    <w:basedOn w:val="21"/>
    <w:link w:val="11"/>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8"/>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2" textRotate="1"/>
    <customShpInfo spid="_x0000_s3078"/>
    <customShpInfo spid="_x0000_s3079"/>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68</Pages>
  <Words>5566</Words>
  <Characters>31731</Characters>
  <Lines>264</Lines>
  <Paragraphs>74</Paragraphs>
  <TotalTime>4</TotalTime>
  <ScaleCrop>false</ScaleCrop>
  <LinksUpToDate>false</LinksUpToDate>
  <CharactersWithSpaces>37223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2019-04-01T01:49:00Z</cp:lastPrinted>
  <dcterms:modified xsi:type="dcterms:W3CDTF">2021-09-09T07:52:58Z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F0CFEDC7D98E49D7A68F23C9836C7AD9</vt:lpwstr>
  </property>
</Properties>
</file>