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厚街镇大陂河等6条河涌水质综合治理提升服务项目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441900029-2021-00800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东莞市厚街镇水务工程运营中心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both"/>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9"/>
        <w:rPr>
          <w:color w:val="auto"/>
          <w:sz w:val="32"/>
          <w:szCs w:val="32"/>
          <w:highlight w:val="none"/>
        </w:rPr>
        <w:sectPr>
          <w:headerReference r:id="rId5"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p>
    <w:p>
      <w:pPr>
        <w:pStyle w:val="19"/>
        <w:rPr>
          <w:color w:val="auto"/>
          <w:sz w:val="40"/>
          <w:szCs w:val="40"/>
          <w:highlight w:val="none"/>
        </w:rPr>
      </w:pPr>
      <w:r>
        <w:rPr>
          <w:rFonts w:hint="eastAsia"/>
          <w:color w:val="auto"/>
          <w:sz w:val="40"/>
          <w:szCs w:val="40"/>
          <w:highlight w:val="none"/>
        </w:rPr>
        <w:t>目录</w:t>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9"/>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1"/>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r>
        <w:rPr>
          <w:rFonts w:hint="eastAsia" w:ascii="宋体" w:hAnsi="宋体" w:eastAsia="宋体" w:cs="宋体"/>
          <w:color w:val="auto"/>
          <w:sz w:val="21"/>
          <w:szCs w:val="21"/>
          <w:highlight w:val="none"/>
        </w:rPr>
        <w:tab/>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3</w:t>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color w:val="auto"/>
          <w:sz w:val="28"/>
          <w:szCs w:val="28"/>
          <w:highlight w:val="none"/>
        </w:rPr>
      </w:pPr>
      <w:r>
        <w:rPr>
          <w:rFonts w:hint="eastAsia"/>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东莞市厚街镇水务工程运营中心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rPr>
        <w:t>厚街镇大陂河等6条河涌水质综合治理提升服务项目</w:t>
      </w:r>
      <w:r>
        <w:rPr>
          <w:rFonts w:hint="eastAsia" w:ascii="宋体" w:hAnsi="宋体" w:eastAsia="宋体"/>
          <w:color w:val="auto"/>
          <w:sz w:val="21"/>
          <w:szCs w:val="21"/>
          <w:highlight w:val="none"/>
        </w:rPr>
        <w:t>（采购项目编号：</w:t>
      </w:r>
      <w:r>
        <w:rPr>
          <w:rFonts w:hint="eastAsia" w:ascii="宋体" w:hAnsi="宋体" w:eastAsia="宋体"/>
          <w:b/>
          <w:color w:val="auto"/>
          <w:sz w:val="21"/>
          <w:szCs w:val="21"/>
          <w:highlight w:val="none"/>
          <w:u w:val="single"/>
        </w:rPr>
        <w:t>441900029-2021-00800</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rPr>
        <w:t>厚街镇大陂河等6条河涌水质综合治理提升服务项目</w:t>
      </w:r>
      <w:r>
        <w:rPr>
          <w:rFonts w:hint="eastAsia" w:ascii="宋体" w:hAnsi="宋体" w:eastAsia="宋体"/>
          <w:color w:val="auto"/>
          <w:sz w:val="21"/>
          <w:szCs w:val="21"/>
          <w:highlight w:val="none"/>
        </w:rPr>
        <w:t>采购一项，预算：</w:t>
      </w:r>
      <w:r>
        <w:rPr>
          <w:rFonts w:hint="eastAsia" w:ascii="宋体" w:hAnsi="宋体" w:eastAsia="宋体"/>
          <w:b/>
          <w:bCs/>
          <w:color w:val="auto"/>
          <w:sz w:val="21"/>
          <w:szCs w:val="21"/>
          <w:highlight w:val="none"/>
          <w:u w:val="single"/>
        </w:rPr>
        <w:t>1</w:t>
      </w:r>
      <w:r>
        <w:rPr>
          <w:rFonts w:hint="eastAsia" w:ascii="宋体" w:hAnsi="宋体"/>
          <w:b/>
          <w:bCs/>
          <w:color w:val="auto"/>
          <w:sz w:val="21"/>
          <w:szCs w:val="21"/>
          <w:highlight w:val="none"/>
          <w:u w:val="single"/>
          <w:lang w:val="en-US" w:eastAsia="zh-CN"/>
        </w:rPr>
        <w:t>82</w:t>
      </w:r>
      <w:r>
        <w:rPr>
          <w:rFonts w:hint="eastAsia" w:ascii="宋体" w:hAnsi="宋体" w:eastAsia="宋体"/>
          <w:b/>
          <w:bCs/>
          <w:color w:val="auto"/>
          <w:sz w:val="21"/>
          <w:szCs w:val="21"/>
          <w:highlight w:val="none"/>
          <w:u w:val="single"/>
        </w:rPr>
        <w:t>,</w:t>
      </w:r>
      <w:r>
        <w:rPr>
          <w:rFonts w:hint="eastAsia" w:ascii="宋体" w:hAnsi="宋体"/>
          <w:b/>
          <w:bCs/>
          <w:color w:val="auto"/>
          <w:sz w:val="21"/>
          <w:szCs w:val="21"/>
          <w:highlight w:val="none"/>
          <w:u w:val="single"/>
          <w:lang w:val="en-US" w:eastAsia="zh-CN"/>
        </w:rPr>
        <w:t>120</w:t>
      </w:r>
      <w:r>
        <w:rPr>
          <w:rFonts w:hint="eastAsia" w:ascii="宋体" w:hAnsi="宋体" w:eastAsia="宋体"/>
          <w:b/>
          <w:bCs/>
          <w:color w:val="auto"/>
          <w:sz w:val="21"/>
          <w:szCs w:val="21"/>
          <w:highlight w:val="none"/>
          <w:u w:val="single"/>
        </w:rPr>
        <w:t>,000.00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bidi w:val="0"/>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9"/>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28</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28</w:t>
      </w:r>
      <w:r>
        <w:rPr>
          <w:rFonts w:hint="eastAsia" w:ascii="宋体" w:hAnsi="宋体" w:eastAsia="宋体"/>
          <w:bCs/>
          <w:color w:val="auto"/>
          <w:sz w:val="21"/>
          <w:szCs w:val="21"/>
          <w:highlight w:val="none"/>
        </w:rPr>
        <w:t>日上午9时30分。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采购人联系人：陈工</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地址：东莞市厚街镇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color w:val="auto"/>
          <w:sz w:val="21"/>
          <w:szCs w:val="21"/>
          <w:highlight w:val="none"/>
        </w:rPr>
        <w:t>0769-</w:t>
      </w:r>
      <w:r>
        <w:rPr>
          <w:rFonts w:hint="eastAsia" w:ascii="宋体" w:hAnsi="宋体" w:eastAsia="宋体"/>
          <w:bCs/>
          <w:color w:val="auto"/>
          <w:sz w:val="21"/>
          <w:szCs w:val="21"/>
          <w:highlight w:val="none"/>
        </w:rPr>
        <w:t>85827966</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2"/>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“●”为核心产品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本项目为服务项目，无核心产品</w:t>
            </w:r>
            <w:r>
              <w:rPr>
                <w:rFonts w:hint="eastAsia" w:ascii="宋体" w:hAnsi="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b/>
                <w:color w:val="auto"/>
                <w:sz w:val="21"/>
                <w:szCs w:val="21"/>
                <w:highlight w:val="none"/>
                <w:lang w:val="en-US" w:eastAsia="zh-CN"/>
              </w:rPr>
              <w:t>壹佰捌拾贰万</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1,820,000.00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号：6232590699050038452</w:t>
            </w:r>
            <w:bookmarkStart w:id="221" w:name="_GoBack"/>
            <w:bookmarkEnd w:id="221"/>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6"/>
        <w:gridCol w:w="66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66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02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0" w:type="dxa"/>
            <w:tcBorders>
              <w:left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36" w:type="dxa"/>
            <w:tcBorders>
              <w:left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体系认证</w:t>
            </w:r>
          </w:p>
        </w:tc>
        <w:tc>
          <w:tcPr>
            <w:tcW w:w="66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9</w:t>
            </w:r>
          </w:p>
        </w:tc>
        <w:tc>
          <w:tcPr>
            <w:tcW w:w="602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zh-CN"/>
              </w:rPr>
              <w:t>分。</w:t>
            </w:r>
          </w:p>
          <w:p>
            <w:pPr>
              <w:pStyle w:val="33"/>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90" w:type="dxa"/>
            <w:tcBorders>
              <w:left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36" w:type="dxa"/>
            <w:tcBorders>
              <w:left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tc>
        <w:tc>
          <w:tcPr>
            <w:tcW w:w="66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602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根据投标人具有</w:t>
            </w:r>
            <w:r>
              <w:rPr>
                <w:rFonts w:hint="eastAsia" w:ascii="宋体" w:eastAsia="宋体" w:cs="宋体"/>
                <w:bCs/>
                <w:color w:val="auto"/>
                <w:sz w:val="21"/>
                <w:szCs w:val="21"/>
                <w:highlight w:val="none"/>
                <w:lang w:val="en-US" w:eastAsia="zh-CN"/>
              </w:rPr>
              <w:t>河涌整治或河面清洁或清淤服务类或</w:t>
            </w:r>
            <w:r>
              <w:rPr>
                <w:rFonts w:hint="eastAsia" w:ascii="宋体" w:hAnsi="宋体" w:eastAsia="宋体" w:cs="宋体"/>
                <w:bCs/>
                <w:color w:val="auto"/>
                <w:sz w:val="21"/>
                <w:szCs w:val="21"/>
                <w:highlight w:val="none"/>
                <w:lang w:val="pt-BR"/>
              </w:rPr>
              <w:t>水污染治理或</w:t>
            </w:r>
            <w:r>
              <w:rPr>
                <w:rFonts w:hint="eastAsia" w:ascii="宋体" w:hAnsi="宋体" w:eastAsia="宋体" w:cs="宋体"/>
                <w:bCs/>
                <w:color w:val="auto"/>
                <w:sz w:val="21"/>
                <w:szCs w:val="21"/>
                <w:highlight w:val="none"/>
                <w:lang w:val="pt-BR" w:eastAsia="zh-CN"/>
              </w:rPr>
              <w:t>生态修复</w:t>
            </w:r>
            <w:r>
              <w:rPr>
                <w:rFonts w:hint="eastAsia" w:ascii="宋体" w:hAnsi="宋体" w:eastAsia="宋体" w:cs="宋体"/>
                <w:bCs/>
                <w:color w:val="auto"/>
                <w:sz w:val="21"/>
                <w:szCs w:val="21"/>
                <w:highlight w:val="none"/>
                <w:lang w:val="pt-BR"/>
              </w:rPr>
              <w:t>或水质提升</w:t>
            </w:r>
            <w:r>
              <w:rPr>
                <w:rFonts w:hint="eastAsia" w:ascii="宋体" w:hAnsi="宋体" w:eastAsia="宋体" w:cs="宋体"/>
                <w:bCs/>
                <w:color w:val="auto"/>
                <w:sz w:val="21"/>
                <w:szCs w:val="21"/>
                <w:highlight w:val="none"/>
                <w:lang w:val="pt-BR" w:eastAsia="zh-CN"/>
              </w:rPr>
              <w:t>或水环境</w:t>
            </w:r>
            <w:r>
              <w:rPr>
                <w:rFonts w:hint="eastAsia" w:asci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lang w:val="pt-BR" w:eastAsia="zh-CN"/>
              </w:rPr>
              <w:t>提升</w:t>
            </w:r>
            <w:r>
              <w:rPr>
                <w:rFonts w:hint="eastAsia" w:ascii="宋体" w:eastAsia="宋体" w:cs="宋体"/>
                <w:bCs/>
                <w:color w:val="auto"/>
                <w:sz w:val="21"/>
                <w:szCs w:val="21"/>
                <w:highlight w:val="none"/>
                <w:lang w:val="en-US" w:eastAsia="zh-CN"/>
              </w:rPr>
              <w:t>类项目</w:t>
            </w:r>
            <w:r>
              <w:rPr>
                <w:rFonts w:hint="eastAsia" w:ascii="宋体" w:hAnsi="宋体" w:eastAsia="宋体" w:cs="宋体"/>
                <w:bCs/>
                <w:color w:val="auto"/>
                <w:sz w:val="21"/>
                <w:szCs w:val="21"/>
                <w:highlight w:val="none"/>
                <w:lang w:val="pt-BR"/>
              </w:rPr>
              <w:t>业绩进行评审，每提供一个业绩合同得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pt-BR"/>
              </w:rPr>
              <w:t>分，最高得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pt-BR"/>
              </w:rPr>
              <w:t xml:space="preserve">分。 </w:t>
            </w:r>
          </w:p>
          <w:p>
            <w:pPr>
              <w:pStyle w:val="33"/>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注：须提供合同复印件加盖投标人公章</w:t>
            </w:r>
            <w:r>
              <w:rPr>
                <w:rFonts w:hint="eastAsia" w:ascii="宋体" w:hAnsi="宋体" w:eastAsia="宋体" w:cs="宋体"/>
                <w:bCs/>
                <w:color w:val="auto"/>
                <w:sz w:val="21"/>
                <w:szCs w:val="21"/>
                <w:highlight w:val="none"/>
              </w:rPr>
              <w:t>，否则不得分</w:t>
            </w:r>
            <w:r>
              <w:rPr>
                <w:rFonts w:hint="eastAsia" w:ascii="宋体" w:hAnsi="宋体" w:eastAsia="宋体" w:cs="宋体"/>
                <w:bCs/>
                <w:color w:val="auto"/>
                <w:sz w:val="21"/>
                <w:szCs w:val="21"/>
                <w:highlight w:val="none"/>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36"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服务响应</w:t>
            </w:r>
          </w:p>
        </w:tc>
        <w:tc>
          <w:tcPr>
            <w:tcW w:w="668"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根据投标人提供的服务响应时间承诺进行评分</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投标人承诺在接到采购人通知后1小时内到现场，得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投标人承诺在接到采购人通知后2小时内到现场，得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投标人承诺在接到采购人通知后3小时内到现场，得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投标人未承诺或承诺在接到采购人通知后超过3小时到现场，不得分。</w:t>
            </w:r>
          </w:p>
          <w:p>
            <w:pPr>
              <w:pStyle w:val="33"/>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1</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rPr>
              <w:t>对项目的了解与认识及工作思路</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10</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根据投标人对本项目的了解与认识及工作思路情况进行综合评审：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对项目现状的认识准确透彻，基础资料调查成果详尽完整；工作思路清晰合理，得1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对项目现状的认识准确透彻性较好，基础资料调查成果详尽完整性较好；工作思路清晰合理性较强，得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对项目现状的认识准确透彻性一般，基础资料调查成果详尽完整性一般；工作思路清晰合理性一般，得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对项目现状的认识准确透彻性较差，基础资料调查成果详尽完整性较差；工作思路清晰合理性较差，得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2</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项目调研分析及设计方案</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rPr>
              <w:t>10</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根据投标人对项目概况，现状水质及周边环境分析，现状污染源调查及分析，生态修复方案设计依据，设计思路、原理，设计技术方案，技术工艺、流程等方案进行综合评审：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项目概况了解深刻，现状水质及周边环境分析，现状污染源调查及分析考察细致，生态修复方案设计依据，设计思路、原理，设计技术方案描述准确，专业性强，技术工艺、流程等方案针对性强，设计深度高，得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对项目概况有基本了解，现状水质及周边环境分析，现状污染源调查及分析，生态修复方案设计依据，设计思路、原理，设计技术方案合理专业，技术工艺、流程等方案科学有针对性，得</w:t>
            </w:r>
            <w:r>
              <w:rPr>
                <w:rFonts w:hint="eastAsia" w:ascii="宋体" w:cs="宋体"/>
                <w:color w:val="auto"/>
                <w:sz w:val="21"/>
                <w:szCs w:val="21"/>
                <w:highlight w:val="none"/>
                <w:lang w:val="en-US" w:eastAsia="zh-CN"/>
              </w:rPr>
              <w:t>6</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对项目概况有基本了解，现状水质及周边环境分析，现状污染源调查及分析考察致密，生态修复方案设计依据，设计思路、原理，设计技术方案合理专业，技术工艺、流程等方案科学有针对性得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对项目概况有基本了解，现状水质及周边环境分析，现状污染源调查及分析不够细致，生态修复方案设计依据，设计思路、原理，设计技术方案专业度不足得1分；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eastAsia="宋体" w:cs="宋体"/>
                <w:color w:val="auto"/>
                <w:sz w:val="21"/>
                <w:szCs w:val="21"/>
                <w:highlight w:val="none"/>
                <w:lang w:val="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3</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生态水体修复方案</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12</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根据投标人制定的生态水体修复方案所采用的技术路线、措施的合理性和先进性，水质目标可达性分析，分析是否充分等综合评审：</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制定的方案及措施可行性、完备性高，方案所采用的技术路线、措施先进，目标可达性分析充分，得1</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制定的方案及措施可行性、完备性较高，方案所采用的技术路线、措施合理，目标可达性分析比较全面，得</w:t>
            </w:r>
            <w:r>
              <w:rPr>
                <w:rFonts w:hint="eastAsia" w:ascii="宋体" w:cs="宋体"/>
                <w:color w:val="auto"/>
                <w:sz w:val="21"/>
                <w:szCs w:val="21"/>
                <w:highlight w:val="none"/>
                <w:lang w:val="en-US" w:eastAsia="zh-CN"/>
              </w:rPr>
              <w:t>8</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制定的方案及措施可行性、完备性一般，得</w:t>
            </w:r>
            <w:r>
              <w:rPr>
                <w:rFonts w:hint="eastAsia" w:ascii="宋体" w:cs="宋体"/>
                <w:color w:val="auto"/>
                <w:sz w:val="21"/>
                <w:szCs w:val="21"/>
                <w:highlight w:val="none"/>
                <w:lang w:val="en-US" w:eastAsia="zh-CN"/>
              </w:rPr>
              <w:t>4</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制定的方案及措施可行性、完备性差，无法实施的，得1分；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eastAsia="宋体" w:cs="宋体"/>
                <w:color w:val="auto"/>
                <w:sz w:val="21"/>
                <w:szCs w:val="21"/>
                <w:highlight w:val="none"/>
                <w:lang w:val="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4</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水环境提升方案</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12</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根据投标人制定的</w:t>
            </w:r>
            <w:r>
              <w:rPr>
                <w:rFonts w:hint="eastAsia" w:ascii="宋体" w:hAnsi="宋体" w:eastAsia="宋体" w:cs="宋体"/>
                <w:color w:val="auto"/>
                <w:sz w:val="21"/>
                <w:szCs w:val="21"/>
                <w:highlight w:val="none"/>
                <w:lang w:val="en-US" w:eastAsia="zh-CN"/>
              </w:rPr>
              <w:t>水环境提升方案</w:t>
            </w:r>
            <w:r>
              <w:rPr>
                <w:rFonts w:hint="eastAsia" w:ascii="宋体" w:eastAsia="宋体" w:cs="宋体"/>
                <w:color w:val="auto"/>
                <w:sz w:val="21"/>
                <w:szCs w:val="21"/>
                <w:highlight w:val="none"/>
                <w:lang w:val="zh-CN"/>
              </w:rPr>
              <w:t>所采用的设计思路、技术路线、措施的合理性和先进性等综合评审：</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制定的方案及措施可行性、完备性高，方案所采用的设计思路、技术路线、措施先进，得1</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制定的方案及措施可行性、完备性较高，方案所采用的设计思路、技术路线、措施合理，得</w:t>
            </w:r>
            <w:r>
              <w:rPr>
                <w:rFonts w:hint="eastAsia" w:ascii="宋体" w:cs="宋体"/>
                <w:color w:val="auto"/>
                <w:sz w:val="21"/>
                <w:szCs w:val="21"/>
                <w:highlight w:val="none"/>
                <w:lang w:val="en-US" w:eastAsia="zh-CN"/>
              </w:rPr>
              <w:t>8</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制定的方案及措施可行性、完备性一般，得</w:t>
            </w:r>
            <w:r>
              <w:rPr>
                <w:rFonts w:hint="eastAsia" w:ascii="宋体" w:cs="宋体"/>
                <w:color w:val="auto"/>
                <w:sz w:val="21"/>
                <w:szCs w:val="21"/>
                <w:highlight w:val="none"/>
                <w:lang w:val="en-US" w:eastAsia="zh-CN"/>
              </w:rPr>
              <w:t>4</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制定的方案及措施可行性、完备性差，得1分；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eastAsia="宋体" w:cs="宋体"/>
                <w:color w:val="auto"/>
                <w:sz w:val="21"/>
                <w:szCs w:val="21"/>
                <w:highlight w:val="none"/>
                <w:lang w:val="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eastAsia="宋体" w:cs="宋体"/>
                <w:color w:val="auto"/>
                <w:sz w:val="21"/>
                <w:szCs w:val="21"/>
                <w:highlight w:val="none"/>
                <w:lang w:val="en-US" w:eastAsia="zh-CN"/>
              </w:rPr>
              <w:t>5</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运营养护方案</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根据投标人制定的运营养护服务方案的先进性和可行性，修复养护人员安排及经验情况进行综合评审：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运营养护方案先进可行，运营维护人员安排合理，经验非常丰富，对本项目的顺利实施具有积极的作用，得 </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运营养护方案先进可行性较强，运营维护人员安排合理性较强，经验较为丰富，能保证本项目的顺利实施，得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运营养护方案先进可行性一般，运营维护人员安排合理性及经验一般，能基本保证本项目的完成，得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运营养护方案先进可行性较差，运营维护人员安排合理性较差，无任何经验的，对本项目的顺利实施无帮助，得1分；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6</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应急方案</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6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根据投标人对黑臭水及疑似黑臭水体修复及运营过程中可能出现的各种突发事件做出的预判和相应可操作的应急处理方法进行综合评审：</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方案科学合理，可操作性强，应急预案措施完善详细，得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color w:val="auto"/>
                <w:highlight w:val="none"/>
                <w:lang w:val="zh-CN"/>
              </w:rPr>
            </w:pPr>
            <w:r>
              <w:rPr>
                <w:rFonts w:hint="eastAsia" w:ascii="宋体" w:hAnsi="宋体" w:eastAsia="宋体" w:cs="宋体"/>
                <w:bCs/>
                <w:color w:val="auto"/>
                <w:kern w:val="2"/>
                <w:sz w:val="21"/>
                <w:szCs w:val="21"/>
                <w:highlight w:val="none"/>
                <w:lang w:val="zh-CN"/>
              </w:rPr>
              <w:t>方案基本合理，可操作性</w:t>
            </w:r>
            <w:r>
              <w:rPr>
                <w:rFonts w:hint="eastAsia" w:ascii="宋体" w:hAnsi="宋体" w:eastAsia="宋体" w:cs="宋体"/>
                <w:bCs/>
                <w:color w:val="auto"/>
                <w:kern w:val="2"/>
                <w:sz w:val="21"/>
                <w:szCs w:val="21"/>
                <w:highlight w:val="none"/>
                <w:lang w:val="en-US" w:eastAsia="zh-CN"/>
              </w:rPr>
              <w:t>较强</w:t>
            </w:r>
            <w:r>
              <w:rPr>
                <w:rFonts w:hint="eastAsia" w:ascii="宋体" w:hAnsi="宋体" w:eastAsia="宋体" w:cs="宋体"/>
                <w:bCs/>
                <w:color w:val="auto"/>
                <w:kern w:val="2"/>
                <w:sz w:val="21"/>
                <w:szCs w:val="21"/>
                <w:highlight w:val="none"/>
                <w:lang w:val="zh-CN"/>
              </w:rPr>
              <w:t>，应急预案措施完善详细性一般，得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方案基本合理，可操作性一般，应急预案措施完善详细性一般，得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方案不完整，存在瑕疵，应急预案措施完善详细性较差，得</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价格评审（10分）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w:t>
            </w:r>
          </w:p>
        </w:tc>
      </w:tr>
    </w:tbl>
    <w:p>
      <w:pPr>
        <w:pStyle w:val="2"/>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4"/>
        <w:keepNext/>
        <w:keepLines/>
        <w:pageBreakBefore w:val="0"/>
        <w:widowControl/>
        <w:kinsoku/>
        <w:wordWrap/>
        <w:overflowPunct/>
        <w:topLinePunct w:val="0"/>
        <w:autoSpaceDE/>
        <w:autoSpaceDN/>
        <w:bidi w:val="0"/>
        <w:adjustRightInd w:val="0"/>
        <w:snapToGrid w:val="0"/>
        <w:spacing w:before="0" w:after="0" w:line="360" w:lineRule="auto"/>
        <w:jc w:val="center"/>
        <w:textAlignment w:val="auto"/>
        <w:rPr>
          <w:rFonts w:hint="eastAsia"/>
          <w:color w:val="auto"/>
          <w:highlight w:val="none"/>
        </w:rPr>
      </w:pPr>
      <w:r>
        <w:rPr>
          <w:rFonts w:hint="eastAsia"/>
          <w:color w:val="auto"/>
          <w:highlight w:val="none"/>
        </w:rPr>
        <w:t>第一章 商务需求书</w:t>
      </w:r>
    </w:p>
    <w:tbl>
      <w:tblPr>
        <w:tblStyle w:val="21"/>
        <w:tblW w:w="859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66"/>
        <w:gridCol w:w="1485"/>
        <w:gridCol w:w="6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kern w:val="2"/>
                <w:sz w:val="21"/>
                <w:szCs w:val="21"/>
                <w:highlight w:val="none"/>
              </w:rPr>
            </w:pPr>
            <w:bookmarkStart w:id="5" w:name="_Toc23747"/>
            <w:r>
              <w:rPr>
                <w:rFonts w:hint="eastAsia" w:ascii="宋体" w:hAnsi="宋体" w:eastAsia="宋体" w:cs="宋体"/>
                <w:b/>
                <w:bCs/>
                <w:color w:val="auto"/>
                <w:kern w:val="2"/>
                <w:sz w:val="21"/>
                <w:szCs w:val="21"/>
                <w:highlight w:val="none"/>
              </w:rPr>
              <w:t>序号</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条款名称</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1485" w:type="dxa"/>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资格条件</w:t>
            </w:r>
          </w:p>
        </w:tc>
        <w:tc>
          <w:tcPr>
            <w:tcW w:w="6440" w:type="dxa"/>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详见第一部分 投标邀请  “二、投标人资格要求”。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6"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2</w:t>
            </w:r>
          </w:p>
        </w:tc>
        <w:tc>
          <w:tcPr>
            <w:tcW w:w="1485"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整治</w:t>
            </w:r>
            <w:r>
              <w:rPr>
                <w:rFonts w:hint="eastAsia" w:ascii="宋体" w:hAnsi="宋体" w:eastAsia="宋体" w:cs="宋体"/>
                <w:color w:val="auto"/>
                <w:sz w:val="21"/>
                <w:szCs w:val="21"/>
                <w:highlight w:val="none"/>
              </w:rPr>
              <w:t>期</w:t>
            </w:r>
          </w:p>
        </w:tc>
        <w:tc>
          <w:tcPr>
            <w:tcW w:w="6440" w:type="dxa"/>
            <w:vAlign w:val="center"/>
          </w:tcPr>
          <w:p>
            <w:pPr>
              <w:keepNext w:val="0"/>
              <w:keepLines w:val="0"/>
              <w:pageBreakBefore w:val="0"/>
              <w:kinsoku/>
              <w:wordWrap/>
              <w:overflowPunct/>
              <w:topLinePunct w:val="0"/>
              <w:autoSpaceDE/>
              <w:autoSpaceDN/>
              <w:bidi w:val="0"/>
              <w:spacing w:after="0" w:line="360" w:lineRule="auto"/>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整治期：90天</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rPr>
              <w:t>合同签订后90天内完成全部治理措施，大陂河，黑水陂，白庙水，三丫陂水， 白濠陂水，白濠北沟考核断面主要水质指标达到地表V类水标准</w:t>
            </w:r>
            <w:r>
              <w:rPr>
                <w:rFonts w:hint="eastAsia" w:ascii="宋体" w:hAnsi="宋体" w:cs="宋体"/>
                <w:color w:val="auto"/>
                <w:kern w:val="2"/>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6"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3</w:t>
            </w:r>
          </w:p>
        </w:tc>
        <w:tc>
          <w:tcPr>
            <w:tcW w:w="1485"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运营维护期</w:t>
            </w:r>
          </w:p>
        </w:tc>
        <w:tc>
          <w:tcPr>
            <w:tcW w:w="6440" w:type="dxa"/>
            <w:vAlign w:val="center"/>
          </w:tcPr>
          <w:p>
            <w:pPr>
              <w:keepNext w:val="0"/>
              <w:keepLines w:val="0"/>
              <w:pageBreakBefore w:val="0"/>
              <w:kinsoku/>
              <w:wordWrap/>
              <w:overflowPunct/>
              <w:topLinePunct w:val="0"/>
              <w:autoSpaceDE/>
              <w:autoSpaceDN/>
              <w:bidi w:val="0"/>
              <w:spacing w:after="0" w:line="360" w:lineRule="auto"/>
              <w:ind w:firstLine="422"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21个月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6"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4</w:t>
            </w:r>
          </w:p>
        </w:tc>
        <w:tc>
          <w:tcPr>
            <w:tcW w:w="1485"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治理目标</w:t>
            </w:r>
          </w:p>
        </w:tc>
        <w:tc>
          <w:tcPr>
            <w:tcW w:w="644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构建水下微生态系统，实现水体自我净化，效果持久；提高水生物多样性，提高水体活力；</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除暴雨、溢流、工业偷排、农田水倒灌等突发环境污染事件及其它不可抗力因素外，水体主要指标（氨氮、总磷、化学需氧量、溶解氧）达到地表水V类标准（GB 3838-2002）。</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突发环境污染事件及其他不可抗力影响消除后，7个日历日内，水质达标。</w:t>
            </w:r>
          </w:p>
          <w:p>
            <w:pPr>
              <w:keepNext w:val="0"/>
              <w:keepLines w:val="0"/>
              <w:pageBreakBefore w:val="0"/>
              <w:numPr>
                <w:ilvl w:val="0"/>
                <w:numId w:val="0"/>
              </w:numPr>
              <w:kinsoku/>
              <w:wordWrap/>
              <w:overflowPunct/>
              <w:topLinePunct w:val="0"/>
              <w:autoSpaceDE/>
              <w:autoSpaceDN/>
              <w:bidi w:val="0"/>
              <w:spacing w:after="0" w:line="360" w:lineRule="auto"/>
              <w:ind w:firstLine="420" w:firstLineChars="200"/>
              <w:textAlignment w:val="auto"/>
              <w:rPr>
                <w:rFonts w:hint="eastAsia"/>
                <w:color w:val="auto"/>
                <w:highlight w:val="none"/>
                <w:lang w:eastAsia="zh-CN"/>
              </w:rPr>
            </w:pPr>
            <w:r>
              <w:rPr>
                <w:rFonts w:hint="eastAsia"/>
                <w:color w:val="auto"/>
                <w:highlight w:val="none"/>
                <w:lang w:val="en-US" w:eastAsia="zh-CN"/>
              </w:rPr>
              <w:t>4、</w:t>
            </w:r>
            <w:r>
              <w:rPr>
                <w:rFonts w:hint="eastAsia"/>
                <w:color w:val="auto"/>
                <w:highlight w:val="none"/>
              </w:rPr>
              <w:t>治理措施需符合甲方提出的服务要求和技术要求</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9"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5</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付款方式</w:t>
            </w:r>
          </w:p>
        </w:tc>
        <w:tc>
          <w:tcPr>
            <w:tcW w:w="644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合同签订后，支付合同款的30%；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全部水环境提升措施完工验收后，支付至合同款的80%；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（3）进入运维期后，剩余的20%按月度水质考核成果分21个月进行支付</w:t>
            </w:r>
            <w:r>
              <w:rPr>
                <w:rFonts w:hint="eastAsia" w:ascii="宋体" w:hAnsi="宋体" w:cs="宋体"/>
                <w:color w:val="auto"/>
                <w:szCs w:val="21"/>
                <w:highlight w:val="none"/>
                <w:lang w:val="en-US" w:eastAsia="zh-CN"/>
              </w:rPr>
              <w:t>（如当月2次监测不达标的，扣除该河涌当月维护费）。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6</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服务地点</w:t>
            </w:r>
          </w:p>
        </w:tc>
        <w:tc>
          <w:tcPr>
            <w:tcW w:w="6440" w:type="dxa"/>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采购人指定地点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7</w:t>
            </w:r>
          </w:p>
        </w:tc>
        <w:tc>
          <w:tcPr>
            <w:tcW w:w="1485" w:type="dxa"/>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olor w:val="auto"/>
                <w:sz w:val="21"/>
                <w:szCs w:val="21"/>
                <w:highlight w:val="none"/>
              </w:rPr>
              <w:t>★</w:t>
            </w:r>
            <w:r>
              <w:rPr>
                <w:rFonts w:hint="eastAsia" w:ascii="宋体" w:hAnsi="宋体" w:eastAsia="宋体" w:cs="宋体"/>
                <w:color w:val="auto"/>
                <w:kern w:val="2"/>
                <w:sz w:val="21"/>
                <w:szCs w:val="21"/>
                <w:highlight w:val="none"/>
              </w:rPr>
              <w:t>报价要求</w:t>
            </w:r>
          </w:p>
        </w:tc>
        <w:tc>
          <w:tcPr>
            <w:tcW w:w="6440" w:type="dxa"/>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报价包含：</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color w:val="auto"/>
                <w:highlight w:val="none"/>
                <w:lang w:eastAsia="zh-CN"/>
              </w:rPr>
            </w:pPr>
            <w:r>
              <w:rPr>
                <w:rFonts w:hint="eastAsia"/>
                <w:color w:val="auto"/>
                <w:highlight w:val="none"/>
                <w:lang w:val="en-US" w:eastAsia="zh-CN"/>
              </w:rPr>
              <w:t>1、本次招标所有</w:t>
            </w:r>
            <w:r>
              <w:rPr>
                <w:rFonts w:hint="eastAsia"/>
                <w:color w:val="auto"/>
                <w:highlight w:val="none"/>
              </w:rPr>
              <w:t>人工费、材料费、设备使用费、各种税费、保险费及合同实施过程中的不可预见费用等全部费用</w:t>
            </w:r>
            <w:r>
              <w:rPr>
                <w:rFonts w:hint="eastAsia"/>
                <w:color w:val="auto"/>
                <w:highlight w:val="none"/>
                <w:lang w:eastAsia="zh-CN"/>
              </w:rPr>
              <w:t>。</w:t>
            </w:r>
          </w:p>
          <w:p>
            <w:pPr>
              <w:bidi w:val="0"/>
              <w:ind w:firstLine="420" w:firstLineChars="20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费用应包括因政策变动以及甲方根据实际情况提出的服务要求和技术要求所包含的费用。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c>
          <w:tcPr>
            <w:tcW w:w="1485" w:type="dxa"/>
            <w:vAlign w:val="center"/>
          </w:tcPr>
          <w:p>
            <w:pPr>
              <w:keepNext w:val="0"/>
              <w:keepLines w:val="0"/>
              <w:pageBreakBefore w:val="0"/>
              <w:kinsoku/>
              <w:wordWrap/>
              <w:overflowPunct/>
              <w:topLinePunct w:val="0"/>
              <w:autoSpaceDE/>
              <w:autoSpaceDN/>
              <w:bidi w:val="0"/>
              <w:spacing w:after="0"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cs="宋体"/>
                <w:color w:val="auto"/>
                <w:kern w:val="2"/>
                <w:sz w:val="21"/>
                <w:szCs w:val="21"/>
                <w:highlight w:val="none"/>
                <w:lang w:val="en-US" w:eastAsia="zh-CN"/>
              </w:rPr>
              <w:t>投标有效期</w:t>
            </w:r>
          </w:p>
        </w:tc>
        <w:tc>
          <w:tcPr>
            <w:tcW w:w="6440" w:type="dxa"/>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仿宋"/>
                <w:color w:val="auto"/>
                <w:sz w:val="21"/>
                <w:szCs w:val="21"/>
                <w:highlight w:val="none"/>
                <w:shd w:val="clear" w:color="auto" w:fill="FFFFFF"/>
                <w:lang w:val="en-US" w:eastAsia="zh-CN"/>
              </w:rPr>
            </w:pPr>
            <w:r>
              <w:rPr>
                <w:rFonts w:hint="eastAsia" w:ascii="宋体" w:hAnsi="宋体" w:eastAsia="宋体" w:cs="仿宋"/>
                <w:color w:val="auto"/>
                <w:sz w:val="21"/>
                <w:szCs w:val="21"/>
                <w:highlight w:val="none"/>
                <w:shd w:val="clear" w:color="auto" w:fill="FFFFFF"/>
                <w:lang w:val="en-US" w:eastAsia="zh-CN"/>
              </w:rPr>
              <w:t>九十天。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9</w:t>
            </w:r>
          </w:p>
        </w:tc>
        <w:tc>
          <w:tcPr>
            <w:tcW w:w="1485" w:type="dxa"/>
            <w:vAlign w:val="center"/>
          </w:tcPr>
          <w:p>
            <w:pPr>
              <w:keepNext w:val="0"/>
              <w:keepLines w:val="0"/>
              <w:pageBreakBefore w:val="0"/>
              <w:kinsoku/>
              <w:overflowPunct/>
              <w:autoSpaceDE/>
              <w:autoSpaceDN/>
              <w:bidi w:val="0"/>
              <w:spacing w:after="0" w:line="240" w:lineRule="auto"/>
              <w:jc w:val="center"/>
              <w:textAlignment w:val="auto"/>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合同条款</w:t>
            </w:r>
          </w:p>
        </w:tc>
        <w:tc>
          <w:tcPr>
            <w:tcW w:w="6440" w:type="dxa"/>
            <w:vAlign w:val="center"/>
          </w:tcPr>
          <w:p>
            <w:pPr>
              <w:pStyle w:val="36"/>
              <w:keepNext w:val="0"/>
              <w:keepLines w:val="0"/>
              <w:pageBreakBefore w:val="0"/>
              <w:numPr>
                <w:ilvl w:val="0"/>
                <w:numId w:val="1"/>
              </w:numPr>
              <w:kinsoku/>
              <w:overflowPunct/>
              <w:autoSpaceDE/>
              <w:autoSpaceDN/>
              <w:bidi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投标人实质响应合同各条款</w:t>
            </w:r>
            <w:r>
              <w:rPr>
                <w:rFonts w:hint="eastAsia" w:ascii="宋体" w:hAnsi="宋体" w:cs="宋体"/>
                <w:color w:val="auto"/>
                <w:szCs w:val="21"/>
                <w:highlight w:val="none"/>
                <w:lang w:eastAsia="zh-CN"/>
              </w:rPr>
              <w:t>；</w:t>
            </w:r>
          </w:p>
          <w:p>
            <w:pPr>
              <w:pStyle w:val="36"/>
              <w:keepNext w:val="0"/>
              <w:keepLines w:val="0"/>
              <w:pageBreakBefore w:val="0"/>
              <w:numPr>
                <w:ilvl w:val="0"/>
                <w:numId w:val="1"/>
              </w:numPr>
              <w:kinsoku/>
              <w:overflowPunct/>
              <w:autoSpaceDE/>
              <w:autoSpaceDN/>
              <w:bidi w:val="0"/>
              <w:spacing w:line="240" w:lineRule="auto"/>
              <w:ind w:firstLine="420" w:firstLineChars="200"/>
              <w:textAlignment w:val="auto"/>
              <w:rPr>
                <w:rFonts w:hint="eastAsia" w:ascii="宋体" w:hAnsi="宋体" w:eastAsia="宋体" w:cs="仿宋"/>
                <w:color w:val="auto"/>
                <w:sz w:val="21"/>
                <w:szCs w:val="21"/>
                <w:highlight w:val="none"/>
                <w:shd w:val="clear" w:color="auto" w:fill="FFFFFF"/>
                <w:lang w:val="en-US" w:eastAsia="zh-CN"/>
              </w:rPr>
            </w:pPr>
            <w:r>
              <w:rPr>
                <w:rFonts w:hint="default" w:ascii="宋体" w:hAnsi="宋体" w:cs="宋体"/>
                <w:color w:val="auto"/>
                <w:szCs w:val="21"/>
                <w:highlight w:val="none"/>
                <w:lang w:val="en-US" w:eastAsia="zh-CN"/>
              </w:rPr>
              <w:t>合同到期后资产无偿移交</w:t>
            </w:r>
            <w:r>
              <w:rPr>
                <w:rFonts w:hint="eastAsia" w:ascii="宋体" w:hAnsi="宋体" w:cs="宋体"/>
                <w:color w:val="auto"/>
                <w:szCs w:val="21"/>
                <w:highlight w:val="none"/>
                <w:lang w:val="en-US" w:eastAsia="zh-CN"/>
              </w:rPr>
              <w:t>采购人。</w:t>
            </w:r>
          </w:p>
        </w:tc>
      </w:tr>
      <w:bookmarkEnd w:id="5"/>
    </w:tbl>
    <w:p>
      <w:pPr>
        <w:bidi w:val="0"/>
        <w:rPr>
          <w:rFonts w:hint="eastAsia"/>
          <w:lang w:val="en-US" w:eastAsia="zh-CN"/>
        </w:rPr>
      </w:pPr>
    </w:p>
    <w:p>
      <w:pPr>
        <w:rPr>
          <w:rFonts w:hint="eastAsia"/>
          <w:color w:val="auto"/>
          <w:highlight w:val="no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pStyle w:val="4"/>
        <w:keepNext/>
        <w:keepLines/>
        <w:pageBreakBefore w:val="0"/>
        <w:widowControl/>
        <w:kinsoku/>
        <w:wordWrap/>
        <w:overflowPunct/>
        <w:topLinePunct w:val="0"/>
        <w:autoSpaceDE/>
        <w:autoSpaceDN/>
        <w:bidi w:val="0"/>
        <w:adjustRightInd w:val="0"/>
        <w:snapToGrid w:val="0"/>
        <w:spacing w:before="0" w:after="0" w:line="360" w:lineRule="auto"/>
        <w:jc w:val="center"/>
        <w:textAlignment w:val="auto"/>
        <w:rPr>
          <w:rFonts w:hint="eastAsia"/>
          <w:color w:val="auto"/>
          <w:highlight w:val="none"/>
        </w:rPr>
      </w:pPr>
      <w:r>
        <w:rPr>
          <w:rFonts w:hint="eastAsia"/>
          <w:color w:val="auto"/>
          <w:highlight w:val="none"/>
          <w:lang w:val="en-US" w:eastAsia="zh-CN"/>
        </w:rPr>
        <w:t xml:space="preserve">第二章 </w:t>
      </w:r>
      <w:r>
        <w:rPr>
          <w:rFonts w:hint="eastAsia"/>
          <w:color w:val="auto"/>
          <w:highlight w:val="none"/>
        </w:rPr>
        <w:t>技术需求书</w:t>
      </w:r>
    </w:p>
    <w:p>
      <w:pPr>
        <w:pStyle w:val="5"/>
        <w:bidi w:val="0"/>
        <w:rPr>
          <w:rFonts w:hint="default"/>
          <w:color w:val="auto"/>
          <w:highlight w:val="none"/>
          <w:lang w:val="en-US" w:eastAsia="zh-CN"/>
        </w:rPr>
      </w:pPr>
      <w:r>
        <w:rPr>
          <w:rFonts w:hint="eastAsia"/>
          <w:color w:val="auto"/>
          <w:highlight w:val="none"/>
          <w:lang w:val="en-US" w:eastAsia="zh-CN"/>
        </w:rPr>
        <w:t>一、项目背景</w:t>
      </w:r>
    </w:p>
    <w:p>
      <w:pPr>
        <w:ind w:firstLine="420" w:firstLineChars="200"/>
        <w:rPr>
          <w:rFonts w:hint="eastAsia"/>
          <w:color w:val="auto"/>
          <w:highlight w:val="none"/>
          <w:lang w:val="en-US" w:eastAsia="zh-CN"/>
        </w:rPr>
      </w:pPr>
      <w:r>
        <w:rPr>
          <w:rFonts w:hint="eastAsia"/>
          <w:color w:val="auto"/>
          <w:highlight w:val="none"/>
          <w:lang w:val="en-US" w:eastAsia="zh-CN"/>
        </w:rPr>
        <w:t>厚街位于穗莞深经济黄金通道中段，是粤港澳大湾区和广深港澳科技走廊的核 心区段、滨海湾片区的重点节点，区域中心位置突出。先后获得“珠三角工业重点 卫星镇”“全国乡镇企业百强镇”“全国出口创汇十强镇”“广东省家具专业镇”“中国会展名镇”“中国钻石餐饮名镇”和广东省中心镇、“中国产业会展示范 区”“广东省城乡融合发展省级试点”等荣誉称号。全镇总面积125.7平方千米，下辖24个社区，实有人口超76万人，其中户籍人口13.33万。2020年全年实现地区生产 总值（GDP）415.72亿元，同比增长0.2%，经济总量排名全市第六；镇本级可支配财 政收入77.7亿元、税收总额82.0亿元、固定资产投资总额73.72亿元，同比分别增长 95.0%、11.3%、36.2%；实现外贸进出口总额887.81亿元，全市排名第2。 厚街镇地势东高西低，主要河涌流向一般由东向西，镇内大部分河流最终均汇入东引运河。丰富的河涌水网为厚街镇经济的繁荣与发展提供了得天独厚的条件，但随着经济的迅速发展，水环境污染不断加剧。污染水体与居民生活息息相关，是百姓反映强烈的水环境问题，不仅损害了城市人居环境，也严重影响城市形象。 2021 年是东莞市水污染治理成效的巩固提升之年，东莞市水污染治理指挥部 《关于印发〈东莞市2021年各镇街（园区）水污染防治考核工作方案〉的通知》 （东水治[2021]4号）明确提出，要确保东莞市水污染治理的各项任务加快推进，促进城市水环境质量根本性改善，确保国考断面水质长期稳定达标。考核内容包括国省考断面及流域控制断面水环境质量、全市重点河涌水质、全市一般内河涌水质、 污水治理设施提质增效、奖罚情况等五个方面，其中河涌考核比重高。市政府要求 2021年厚街镇河涌消除黑臭，劣Ⅴ类河涌占比低于70%，其中大陂河，白濠陂水，白濠北沟为重点考核断面，生态补偿河涌，须常态化地表Ⅴ类水考核达标。</w:t>
      </w:r>
    </w:p>
    <w:p>
      <w:pPr>
        <w:ind w:firstLine="420" w:firstLineChars="200"/>
        <w:rPr>
          <w:rFonts w:hint="eastAsia"/>
          <w:color w:val="auto"/>
          <w:highlight w:val="none"/>
          <w:lang w:val="en-US" w:eastAsia="zh-CN"/>
        </w:rPr>
      </w:pPr>
      <w:r>
        <w:rPr>
          <w:rFonts w:hint="eastAsia"/>
          <w:color w:val="auto"/>
          <w:highlight w:val="none"/>
          <w:lang w:val="en-US" w:eastAsia="zh-CN"/>
        </w:rPr>
        <w:t>东莞市厚街镇大陂河等6条河涌水质综合治理提升服务项目大陂河，白濠陂水，白濠北沟水系复杂，大陂河水系包含大陂河，黑水陂， 白庙水，三丫陂水，大陂河支渠，河田水，三丫陂支渠 ，均为劣Ⅴ类。白濠水系包含白濠陂水，白濠北沟，白濠沟渠， 白濠支渠，下汴渠，均为劣Ⅴ类。为了提升厚街镇居民的生活品质，进一步达到省市对于河涌水质达标的考核要 求，针对大陂河水系，白濠水系及支流水质仍为劣Ⅴ类，部分支渠黑臭的现状，迫切需要对现状河道的污染情况进行调查、整理、分析，提出科学合理有效低碳的水质治理提升方案，提升大陂河等6条主要河涌水质，全面改善厚街镇整体水环境质量。</w:t>
      </w:r>
    </w:p>
    <w:p>
      <w:pPr>
        <w:bidi w:val="0"/>
        <w:rPr>
          <w:rFonts w:hint="eastAsia"/>
          <w:color w:val="auto"/>
          <w:highlight w:val="none"/>
          <w:lang w:val="en-US" w:eastAsia="zh-CN"/>
        </w:rPr>
      </w:pPr>
    </w:p>
    <w:p>
      <w:pPr>
        <w:pStyle w:val="5"/>
        <w:bidi w:val="0"/>
        <w:rPr>
          <w:rFonts w:hint="default"/>
          <w:color w:val="auto"/>
          <w:highlight w:val="none"/>
          <w:lang w:val="en-US" w:eastAsia="zh-CN"/>
        </w:rPr>
      </w:pPr>
      <w:r>
        <w:rPr>
          <w:rFonts w:hint="eastAsia"/>
          <w:color w:val="auto"/>
          <w:highlight w:val="none"/>
          <w:lang w:val="en-US" w:eastAsia="zh-CN"/>
        </w:rPr>
        <w:t xml:space="preserve">二、项目名称 </w:t>
      </w:r>
    </w:p>
    <w:p>
      <w:pPr>
        <w:bidi w:val="0"/>
        <w:ind w:firstLine="420" w:firstLineChars="200"/>
        <w:rPr>
          <w:rFonts w:hint="default"/>
          <w:color w:val="auto"/>
          <w:highlight w:val="none"/>
          <w:lang w:val="en-US" w:eastAsia="zh-CN"/>
        </w:rPr>
      </w:pPr>
      <w:r>
        <w:rPr>
          <w:rFonts w:hint="default"/>
          <w:color w:val="auto"/>
          <w:highlight w:val="none"/>
          <w:lang w:val="en-US" w:eastAsia="zh-CN"/>
        </w:rPr>
        <w:t xml:space="preserve">厚街镇大陂河等6条河涌水质综合治理提升服务项目 </w:t>
      </w:r>
    </w:p>
    <w:p>
      <w:pPr>
        <w:pStyle w:val="5"/>
        <w:bidi w:val="0"/>
        <w:rPr>
          <w:rFonts w:hint="default"/>
          <w:color w:val="auto"/>
          <w:highlight w:val="none"/>
          <w:lang w:val="en-US" w:eastAsia="zh-CN"/>
        </w:rPr>
      </w:pPr>
      <w:r>
        <w:rPr>
          <w:rFonts w:hint="eastAsia"/>
          <w:color w:val="auto"/>
          <w:highlight w:val="none"/>
          <w:lang w:val="en-US" w:eastAsia="zh-CN"/>
        </w:rPr>
        <w:t>三、项目范围</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① 大陂河：长9700m，面积271600㎡；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 黑水陂：长</w:t>
      </w:r>
      <w:r>
        <w:rPr>
          <w:rFonts w:hint="eastAsia" w:ascii="宋体" w:hAnsi="宋体" w:cs="宋体"/>
          <w:color w:val="auto"/>
          <w:highlight w:val="none"/>
          <w:lang w:val="en-US" w:eastAsia="zh-CN"/>
        </w:rPr>
        <w:t>51</w:t>
      </w:r>
      <w:r>
        <w:rPr>
          <w:rFonts w:hint="eastAsia" w:ascii="宋体" w:hAnsi="宋体" w:eastAsia="宋体" w:cs="宋体"/>
          <w:color w:val="auto"/>
          <w:highlight w:val="none"/>
          <w:lang w:val="en-US" w:eastAsia="zh-CN"/>
        </w:rPr>
        <w:t>00m，面积70200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 白庙水：长40</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0m，面积40000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 三丫陂水：长3500m，面积35000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⑤ 白濠陂水：长3300m，面积66000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⑥ 白濠北沟：长</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900m，面积49500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w:t>
      </w:r>
    </w:p>
    <w:p>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hint="eastAsia" w:ascii="宋体" w:hAnsi="宋体" w:cs="宋体"/>
          <w:b/>
          <w:bCs/>
          <w:color w:val="auto"/>
          <w:highlight w:val="none"/>
          <w:lang w:val="en-US" w:eastAsia="zh-CN"/>
        </w:rPr>
      </w:pPr>
      <w:r>
        <w:rPr>
          <w:rFonts w:hint="eastAsia" w:ascii="宋体" w:hAnsi="宋体" w:eastAsia="宋体" w:cs="宋体"/>
          <w:b/>
          <w:bCs/>
          <w:color w:val="auto"/>
          <w:highlight w:val="none"/>
          <w:lang w:val="en-US" w:eastAsia="zh-CN"/>
        </w:rPr>
        <w:t>河涌长度27.1km，水域面积532300㎡</w:t>
      </w:r>
      <w:r>
        <w:rPr>
          <w:rFonts w:hint="eastAsia" w:ascii="宋体" w:hAnsi="宋体" w:cs="宋体"/>
          <w:b/>
          <w:bCs/>
          <w:color w:val="auto"/>
          <w:highlight w:val="none"/>
          <w:lang w:val="en-US" w:eastAsia="zh-CN"/>
        </w:rPr>
        <w:t>，实际生态治理面积357700</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w:t>
      </w:r>
    </w:p>
    <w:p>
      <w:pPr>
        <w:bidi w:val="0"/>
        <w:rPr>
          <w:rFonts w:hint="eastAsia"/>
          <w:color w:val="auto"/>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四、六条河涌水质综合治理提升生态治理面积</w:t>
      </w:r>
    </w:p>
    <w:p>
      <w:pPr>
        <w:bidi w:val="0"/>
        <w:ind w:firstLine="420" w:firstLineChars="200"/>
        <w:rPr>
          <w:rFonts w:hint="default"/>
          <w:color w:val="auto"/>
          <w:highlight w:val="none"/>
          <w:lang w:val="en-US" w:eastAsia="zh-CN"/>
        </w:rPr>
      </w:pPr>
      <w:r>
        <w:rPr>
          <w:rFonts w:hint="eastAsia"/>
          <w:color w:val="auto"/>
          <w:highlight w:val="none"/>
          <w:lang w:val="en-US" w:eastAsia="zh-CN"/>
        </w:rPr>
        <w:t>1、六条河涌水系范围内6条小微水体支渠为流域综合治理，</w:t>
      </w:r>
      <w:r>
        <w:rPr>
          <w:rFonts w:hint="default"/>
          <w:color w:val="auto"/>
          <w:highlight w:val="none"/>
          <w:lang w:val="en-US" w:eastAsia="zh-CN"/>
        </w:rPr>
        <w:t>治理范围包括6条水质为劣V类的小微水体支渠</w:t>
      </w:r>
      <w:r>
        <w:rPr>
          <w:rFonts w:hint="eastAsia"/>
          <w:color w:val="auto"/>
          <w:highlight w:val="none"/>
          <w:lang w:val="en-US" w:eastAsia="zh-CN"/>
        </w:rPr>
        <w:t>，该部分为赠送治理面积，数据如下：</w:t>
      </w:r>
    </w:p>
    <w:tbl>
      <w:tblPr>
        <w:tblStyle w:val="21"/>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94"/>
        <w:gridCol w:w="1665"/>
        <w:gridCol w:w="1275"/>
        <w:gridCol w:w="168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河涌名称</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长度（km）</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平均宽度（m）</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水质提升面积（㎡）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大陂河支渠</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1.1</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三丫陂支渠</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0.65</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河田水</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2.3</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白濠沟渠</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1.3</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白濠支渠</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0.1</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下汴渠</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0.7</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094"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6条支渠</w:t>
            </w:r>
          </w:p>
        </w:tc>
        <w:tc>
          <w:tcPr>
            <w:tcW w:w="166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合计</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7.17</w:t>
            </w:r>
          </w:p>
        </w:tc>
        <w:tc>
          <w:tcPr>
            <w:tcW w:w="1680" w:type="dxa"/>
            <w:shd w:val="clear" w:color="auto" w:fill="auto"/>
            <w:tcMar>
              <w:top w:w="15" w:type="dxa"/>
              <w:left w:w="15" w:type="dxa"/>
              <w:right w:w="15" w:type="dxa"/>
            </w:tcMar>
            <w:vAlign w:val="center"/>
          </w:tcPr>
          <w:p>
            <w:pPr>
              <w:jc w:val="center"/>
              <w:rPr>
                <w:rFonts w:hint="eastAsia" w:ascii="宋体" w:hAnsi="宋体" w:eastAsia="宋体" w:cs="宋体"/>
                <w:b w:val="0"/>
                <w:bCs/>
                <w:i w:val="0"/>
                <w:color w:val="auto"/>
                <w:sz w:val="21"/>
                <w:szCs w:val="21"/>
                <w:highlight w:val="none"/>
                <w:u w:val="none"/>
              </w:rPr>
            </w:pPr>
          </w:p>
        </w:tc>
        <w:tc>
          <w:tcPr>
            <w:tcW w:w="2409"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56010</w:t>
            </w:r>
          </w:p>
        </w:tc>
      </w:tr>
    </w:tbl>
    <w:p>
      <w:pPr>
        <w:bidi w:val="0"/>
        <w:ind w:firstLine="420" w:firstLineChars="200"/>
        <w:rPr>
          <w:rFonts w:hint="default"/>
          <w:color w:val="auto"/>
          <w:highlight w:val="none"/>
          <w:lang w:val="en-US" w:eastAsia="zh-CN"/>
        </w:rPr>
      </w:pPr>
      <w:r>
        <w:rPr>
          <w:rFonts w:hint="eastAsia"/>
          <w:color w:val="auto"/>
          <w:highlight w:val="none"/>
          <w:lang w:val="en-US" w:eastAsia="zh-CN"/>
        </w:rPr>
        <w:t>2、六条河涌水质综合治理提升项目生态治理面积</w:t>
      </w:r>
    </w:p>
    <w:tbl>
      <w:tblPr>
        <w:tblStyle w:val="21"/>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64"/>
        <w:gridCol w:w="1223"/>
        <w:gridCol w:w="2400"/>
        <w:gridCol w:w="16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河涌名称</w:t>
            </w:r>
          </w:p>
        </w:tc>
        <w:tc>
          <w:tcPr>
            <w:tcW w:w="24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情况</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水域面积（㎡）</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生态治理面积（㎡）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大陂河</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长9.7公里，宽28米</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271600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黑水陂</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长5.1公里，宽26米</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70200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白庙水</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长4.04公里，宽10米</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40000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三丫陂水</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长3.5公里，宽10米</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35000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白濠陂水</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长3.3公里，宽20米</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66000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白濠北沟</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长4.9公里，宽10-20米</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49500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6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6条河涌</w:t>
            </w:r>
          </w:p>
        </w:tc>
        <w:tc>
          <w:tcPr>
            <w:tcW w:w="122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合计</w:t>
            </w:r>
          </w:p>
        </w:tc>
        <w:tc>
          <w:tcPr>
            <w:tcW w:w="24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kern w:val="0"/>
                <w:sz w:val="21"/>
                <w:szCs w:val="21"/>
                <w:highlight w:val="none"/>
                <w:u w:val="none"/>
                <w:lang w:val="en-US" w:eastAsia="zh-CN" w:bidi="ar"/>
              </w:rPr>
            </w:pP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532300</w:t>
            </w:r>
          </w:p>
        </w:tc>
        <w:tc>
          <w:tcPr>
            <w:tcW w:w="20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357700</w:t>
            </w:r>
          </w:p>
        </w:tc>
      </w:tr>
    </w:tbl>
    <w:p>
      <w:pPr>
        <w:bidi w:val="0"/>
        <w:rPr>
          <w:rFonts w:hint="default"/>
          <w:color w:val="auto"/>
          <w:highlight w:val="none"/>
          <w:lang w:val="en-US" w:eastAsia="zh-CN"/>
        </w:rPr>
      </w:pPr>
      <w:r>
        <w:rPr>
          <w:rFonts w:hint="default"/>
          <w:color w:val="auto"/>
          <w:highlight w:val="none"/>
          <w:lang w:val="en-US" w:eastAsia="zh-CN"/>
        </w:rPr>
        <w:t>注：治理</w:t>
      </w:r>
      <w:r>
        <w:rPr>
          <w:rFonts w:hint="eastAsia"/>
          <w:color w:val="auto"/>
          <w:highlight w:val="none"/>
          <w:lang w:val="en-US" w:eastAsia="zh-CN"/>
        </w:rPr>
        <w:t>应</w:t>
      </w:r>
      <w:r>
        <w:rPr>
          <w:rFonts w:hint="default"/>
          <w:color w:val="auto"/>
          <w:highlight w:val="none"/>
          <w:lang w:val="en-US" w:eastAsia="zh-CN"/>
        </w:rPr>
        <w:t>包括长度7.17km，水域面积56010㎡的6条支渠。</w:t>
      </w:r>
    </w:p>
    <w:p>
      <w:pPr>
        <w:bidi w:val="0"/>
        <w:rPr>
          <w:rFonts w:hint="default"/>
          <w:color w:val="auto"/>
          <w:highlight w:val="none"/>
          <w:lang w:val="en-US" w:eastAsia="zh-CN"/>
        </w:rPr>
      </w:pPr>
    </w:p>
    <w:p>
      <w:pPr>
        <w:pStyle w:val="5"/>
        <w:bidi w:val="0"/>
        <w:rPr>
          <w:rFonts w:hint="default"/>
          <w:color w:val="auto"/>
          <w:highlight w:val="none"/>
          <w:lang w:val="en-US" w:eastAsia="zh-CN"/>
        </w:rPr>
      </w:pPr>
      <w:r>
        <w:rPr>
          <w:rFonts w:hint="eastAsia"/>
          <w:color w:val="auto"/>
          <w:highlight w:val="none"/>
          <w:lang w:val="en-US" w:eastAsia="zh-CN"/>
        </w:rPr>
        <w:t>五、治理措施</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包括但不限于以下治理措施：</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（1）生态治理修复：</w:t>
      </w:r>
      <w:r>
        <w:rPr>
          <w:rFonts w:hint="default"/>
          <w:color w:val="auto"/>
          <w:highlight w:val="none"/>
          <w:lang w:val="en-US" w:eastAsia="zh-CN"/>
        </w:rPr>
        <w:t>生物还原净化系统</w:t>
      </w:r>
      <w:r>
        <w:rPr>
          <w:rFonts w:hint="eastAsia"/>
          <w:color w:val="auto"/>
          <w:highlight w:val="none"/>
          <w:lang w:val="en-US" w:eastAsia="zh-CN"/>
        </w:rPr>
        <w:t>、生态蓄水坝、</w:t>
      </w:r>
      <w:r>
        <w:rPr>
          <w:rFonts w:hint="default"/>
          <w:color w:val="auto"/>
          <w:highlight w:val="none"/>
          <w:lang w:val="en-US" w:eastAsia="zh-CN"/>
        </w:rPr>
        <w:t>二层生物过滤叠水坝</w:t>
      </w:r>
      <w:r>
        <w:rPr>
          <w:rFonts w:hint="eastAsia"/>
          <w:color w:val="auto"/>
          <w:highlight w:val="none"/>
          <w:lang w:val="en-US" w:eastAsia="zh-CN"/>
        </w:rPr>
        <w:t>、</w:t>
      </w:r>
      <w:r>
        <w:rPr>
          <w:rFonts w:hint="default"/>
          <w:color w:val="auto"/>
          <w:highlight w:val="none"/>
          <w:lang w:val="en-US" w:eastAsia="zh-CN"/>
        </w:rPr>
        <w:t>污水口生物拦截系统+美化</w:t>
      </w:r>
      <w:r>
        <w:rPr>
          <w:rFonts w:hint="eastAsia"/>
          <w:color w:val="auto"/>
          <w:highlight w:val="none"/>
          <w:lang w:val="en-US" w:eastAsia="zh-CN"/>
        </w:rPr>
        <w:t>、</w:t>
      </w:r>
      <w:r>
        <w:rPr>
          <w:rFonts w:hint="default"/>
          <w:color w:val="auto"/>
          <w:highlight w:val="none"/>
          <w:lang w:val="en-US" w:eastAsia="zh-CN"/>
        </w:rPr>
        <w:t>河道清淤</w:t>
      </w:r>
      <w:r>
        <w:rPr>
          <w:rFonts w:hint="eastAsia"/>
          <w:color w:val="auto"/>
          <w:highlight w:val="none"/>
          <w:lang w:val="en-US" w:eastAsia="zh-CN"/>
        </w:rPr>
        <w:t>、</w:t>
      </w:r>
      <w:r>
        <w:rPr>
          <w:rFonts w:hint="default"/>
          <w:color w:val="auto"/>
          <w:highlight w:val="none"/>
          <w:lang w:val="en-US" w:eastAsia="zh-CN"/>
        </w:rPr>
        <w:t>河岸清整</w:t>
      </w:r>
      <w:r>
        <w:rPr>
          <w:rFonts w:hint="eastAsia"/>
          <w:color w:val="auto"/>
          <w:highlight w:val="none"/>
          <w:lang w:val="en-US" w:eastAsia="zh-CN"/>
        </w:rPr>
        <w:t>、</w:t>
      </w:r>
      <w:r>
        <w:rPr>
          <w:rFonts w:hint="default"/>
          <w:color w:val="auto"/>
          <w:highlight w:val="none"/>
          <w:lang w:val="en-US" w:eastAsia="zh-CN"/>
        </w:rPr>
        <w:t>应急处理</w:t>
      </w:r>
      <w:r>
        <w:rPr>
          <w:rFonts w:hint="eastAsia"/>
          <w:color w:val="auto"/>
          <w:highlight w:val="none"/>
          <w:lang w:val="en-US" w:eastAsia="zh-CN"/>
        </w:rPr>
        <w:t>等；（2）引水系统；（3）水动力提升系统；（4）运营维护；（5）水质检测及数据分析；（6）在线监控系统：</w:t>
      </w:r>
      <w:r>
        <w:rPr>
          <w:rFonts w:hint="eastAsia" w:ascii="宋体" w:hAnsi="宋体" w:eastAsia="宋体" w:cs="宋体"/>
          <w:b w:val="0"/>
          <w:bCs w:val="0"/>
          <w:i w:val="0"/>
          <w:color w:val="auto"/>
          <w:kern w:val="0"/>
          <w:sz w:val="21"/>
          <w:szCs w:val="21"/>
          <w:highlight w:val="none"/>
          <w:u w:val="none"/>
          <w:lang w:val="en-US" w:eastAsia="zh-CN" w:bidi="ar"/>
        </w:rPr>
        <w:t>水质在线监控系统</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水位在线监控系统</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高清视频系统</w:t>
      </w:r>
      <w:r>
        <w:rPr>
          <w:rFonts w:hint="eastAsia" w:ascii="宋体" w:hAnsi="宋体" w:cs="宋体"/>
          <w:b w:val="0"/>
          <w:bCs w:val="0"/>
          <w:i w:val="0"/>
          <w:color w:val="auto"/>
          <w:kern w:val="0"/>
          <w:sz w:val="21"/>
          <w:szCs w:val="21"/>
          <w:highlight w:val="none"/>
          <w:u w:val="none"/>
          <w:lang w:val="en-US" w:eastAsia="zh-CN" w:bidi="ar"/>
        </w:rPr>
        <w:t>等。</w:t>
      </w:r>
    </w:p>
    <w:p>
      <w:pPr>
        <w:bidi w:val="0"/>
        <w:rPr>
          <w:rFonts w:hint="eastAsia"/>
          <w:color w:val="auto"/>
          <w:highlight w:val="none"/>
          <w:lang w:val="en-US" w:eastAsia="zh-CN"/>
        </w:rPr>
      </w:pPr>
    </w:p>
    <w:p>
      <w:pPr>
        <w:pStyle w:val="5"/>
        <w:bidi w:val="0"/>
        <w:rPr>
          <w:rFonts w:hint="default"/>
          <w:color w:val="auto"/>
          <w:highlight w:val="none"/>
          <w:lang w:val="en-US" w:eastAsia="zh-CN"/>
        </w:rPr>
      </w:pPr>
      <w:r>
        <w:rPr>
          <w:rFonts w:hint="eastAsia"/>
          <w:color w:val="auto"/>
          <w:highlight w:val="none"/>
          <w:lang w:val="en-US" w:eastAsia="zh-CN"/>
        </w:rPr>
        <w:t>六、水质检测及数据分析要求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为保障治理效果，及时发现问题治理单位应制定切实可行的水质检测方案:</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实验室监测：采用第三方有资质检测机构检测与中标单位实验室自检相结合的方式，确保实验检测结果的可靠性， 监测采样频率为每月2次（或临时增加采样次数），采样宜于晴天采样，且前7天内没有降水。</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快速检测：中标单位每天通过快速检测试剂 ，仪器设备等及时掌握水质情况，以便做出及时响应。 监测采样频率为每天一次，另外依据污染源、污染物排放等实际情况，应临时增加采样次数，力求以最低的采样频次，取得最有时间代表性的样品。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数据分析服务：每月提供一份综合水质数据分析报告，分析水质变化原因，针对偶发污水溢流，工业污水进行数据评估分析。</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监测指标：氨氮，总磷，COD，溶解氧。</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取样点：设置3个采样点，并根据实际治理及突发排污状况增加。</w:t>
      </w:r>
    </w:p>
    <w:p>
      <w:pPr>
        <w:bidi w:val="0"/>
        <w:rPr>
          <w:rFonts w:hint="eastAsia"/>
          <w:color w:val="auto"/>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七、项目运维</w:t>
      </w:r>
    </w:p>
    <w:p>
      <w:pPr>
        <w:bidi w:val="0"/>
        <w:ind w:firstLine="420" w:firstLineChars="200"/>
        <w:rPr>
          <w:rFonts w:hint="default"/>
          <w:color w:val="auto"/>
          <w:highlight w:val="none"/>
          <w:lang w:val="en-US" w:eastAsia="zh-CN"/>
        </w:rPr>
      </w:pPr>
      <w:r>
        <w:rPr>
          <w:rFonts w:hint="default"/>
          <w:color w:val="auto"/>
          <w:highlight w:val="none"/>
          <w:lang w:val="en-US" w:eastAsia="zh-CN"/>
        </w:rPr>
        <w:t>维护服务期内，按照质量管理程序严格执行，对水体水质进行日常运营维护，生态系统平衡调节，保证水体生态系统长期稳定。一旦水体生态系统出现异常，按照既定程序及时响应，做到预防为主，积极发现问题，及时处理。</w:t>
      </w:r>
    </w:p>
    <w:p>
      <w:pPr>
        <w:numPr>
          <w:ilvl w:val="0"/>
          <w:numId w:val="2"/>
        </w:numPr>
        <w:bidi w:val="0"/>
        <w:ind w:firstLine="420" w:firstLineChars="200"/>
        <w:rPr>
          <w:rFonts w:hint="eastAsia"/>
          <w:color w:val="auto"/>
          <w:highlight w:val="none"/>
          <w:lang w:val="en-US" w:eastAsia="zh-CN"/>
        </w:rPr>
      </w:pPr>
      <w:r>
        <w:rPr>
          <w:rFonts w:hint="eastAsia"/>
          <w:color w:val="auto"/>
          <w:highlight w:val="none"/>
          <w:lang w:val="en-US" w:eastAsia="zh-CN"/>
        </w:rPr>
        <w:t>主要养护内容：</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 xml:space="preserve">设备设施养护和运行启闭；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 xml:space="preserve"> 生态系统的养护；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 xml:space="preserve">巡查机制建立和工作情况上报；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 xml:space="preserve">水色、透明度、水质取样监控、调试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 xml:space="preserve">生态系统平衡调控；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color w:val="auto"/>
          <w:highlight w:val="none"/>
          <w:lang w:val="en-US" w:eastAsia="zh-CN"/>
        </w:rPr>
      </w:pPr>
      <w:r>
        <w:rPr>
          <w:rFonts w:hint="eastAsia"/>
          <w:color w:val="auto"/>
          <w:highlight w:val="none"/>
          <w:lang w:val="en-US" w:eastAsia="zh-CN"/>
        </w:rPr>
        <w:t>（6）</w:t>
      </w:r>
      <w:r>
        <w:rPr>
          <w:rFonts w:hint="default"/>
          <w:color w:val="auto"/>
          <w:highlight w:val="none"/>
          <w:lang w:val="en-US" w:eastAsia="zh-CN"/>
        </w:rPr>
        <w:t>对因气候条件和外来污染造成的水质突然恶化进行应急处理；</w:t>
      </w:r>
    </w:p>
    <w:p>
      <w:pPr>
        <w:numPr>
          <w:ilvl w:val="0"/>
          <w:numId w:val="0"/>
        </w:numPr>
        <w:bidi w:val="0"/>
        <w:ind w:firstLine="420" w:firstLineChars="200"/>
        <w:rPr>
          <w:rFonts w:hint="eastAsia"/>
          <w:color w:val="auto"/>
          <w:highlight w:val="none"/>
          <w:lang w:val="en-US" w:eastAsia="zh-CN"/>
        </w:rPr>
      </w:pPr>
      <w:r>
        <w:rPr>
          <w:rFonts w:hint="eastAsia"/>
          <w:color w:val="auto"/>
          <w:highlight w:val="none"/>
          <w:lang w:val="en-US" w:eastAsia="zh-CN"/>
        </w:rPr>
        <w:t>2、应急内容：</w:t>
      </w:r>
    </w:p>
    <w:p>
      <w:pPr>
        <w:bidi w:val="0"/>
        <w:ind w:firstLine="420" w:firstLineChars="200"/>
        <w:rPr>
          <w:rFonts w:hint="eastAsia"/>
          <w:color w:val="auto"/>
          <w:highlight w:val="none"/>
          <w:lang w:val="en-US" w:eastAsia="zh-CN"/>
        </w:rPr>
      </w:pPr>
      <w:r>
        <w:rPr>
          <w:rFonts w:hint="eastAsia"/>
          <w:color w:val="auto"/>
          <w:highlight w:val="none"/>
          <w:lang w:val="en-US" w:eastAsia="zh-CN"/>
        </w:rPr>
        <w:t xml:space="preserve">（1）突发性污水排入 </w:t>
      </w:r>
    </w:p>
    <w:p>
      <w:pPr>
        <w:bidi w:val="0"/>
        <w:ind w:firstLine="420" w:firstLineChars="200"/>
        <w:rPr>
          <w:rFonts w:hint="eastAsia"/>
          <w:color w:val="auto"/>
          <w:highlight w:val="none"/>
          <w:lang w:val="en-US" w:eastAsia="zh-CN"/>
        </w:rPr>
      </w:pPr>
      <w:r>
        <w:rPr>
          <w:rFonts w:hint="eastAsia"/>
          <w:color w:val="auto"/>
          <w:highlight w:val="none"/>
          <w:lang w:val="en-US" w:eastAsia="zh-CN"/>
        </w:rPr>
        <w:t xml:space="preserve">（2）突发性黑臭 </w:t>
      </w:r>
    </w:p>
    <w:p>
      <w:pPr>
        <w:bidi w:val="0"/>
        <w:ind w:firstLine="420" w:firstLineChars="200"/>
        <w:rPr>
          <w:rFonts w:hint="eastAsia"/>
          <w:color w:val="auto"/>
          <w:highlight w:val="none"/>
          <w:lang w:val="en-US" w:eastAsia="zh-CN"/>
        </w:rPr>
      </w:pPr>
      <w:r>
        <w:rPr>
          <w:rFonts w:hint="eastAsia"/>
          <w:color w:val="auto"/>
          <w:highlight w:val="none"/>
          <w:lang w:val="en-US" w:eastAsia="zh-CN"/>
        </w:rPr>
        <w:t xml:space="preserve">（3）突发性藻类爆发 </w:t>
      </w:r>
    </w:p>
    <w:p>
      <w:pPr>
        <w:bidi w:val="0"/>
        <w:ind w:firstLine="420" w:firstLineChars="200"/>
        <w:rPr>
          <w:rFonts w:hint="eastAsia"/>
          <w:color w:val="auto"/>
          <w:highlight w:val="none"/>
          <w:lang w:val="en-US" w:eastAsia="zh-CN"/>
        </w:rPr>
      </w:pPr>
      <w:r>
        <w:rPr>
          <w:rFonts w:hint="eastAsia"/>
          <w:color w:val="auto"/>
          <w:highlight w:val="none"/>
          <w:lang w:val="en-US" w:eastAsia="zh-CN"/>
        </w:rPr>
        <w:t>（4）其他应急事件</w:t>
      </w:r>
    </w:p>
    <w:p>
      <w:pPr>
        <w:bidi w:val="0"/>
        <w:ind w:firstLine="420" w:firstLineChars="200"/>
        <w:rPr>
          <w:rFonts w:hint="eastAsia"/>
          <w:color w:val="auto"/>
          <w:highlight w:val="none"/>
          <w:lang w:val="en-US" w:eastAsia="zh-CN"/>
        </w:rPr>
      </w:pPr>
      <w:r>
        <w:rPr>
          <w:rFonts w:hint="eastAsia"/>
          <w:color w:val="auto"/>
          <w:highlight w:val="none"/>
          <w:lang w:val="en-US" w:eastAsia="zh-CN"/>
        </w:rPr>
        <w:t>3、应急组织保障</w:t>
      </w:r>
    </w:p>
    <w:p>
      <w:pPr>
        <w:bidi w:val="0"/>
        <w:ind w:firstLine="420" w:firstLineChars="200"/>
        <w:rPr>
          <w:rFonts w:hint="eastAsia"/>
          <w:color w:val="auto"/>
          <w:highlight w:val="none"/>
          <w:lang w:val="en-US" w:eastAsia="zh-CN"/>
        </w:rPr>
      </w:pPr>
      <w:r>
        <w:rPr>
          <w:rFonts w:hint="eastAsia"/>
          <w:color w:val="auto"/>
          <w:highlight w:val="none"/>
          <w:lang w:val="en-US" w:eastAsia="zh-CN"/>
        </w:rPr>
        <w:t xml:space="preserve">（1）项目部常驻运维人员至少20人； </w:t>
      </w:r>
    </w:p>
    <w:p>
      <w:pPr>
        <w:bidi w:val="0"/>
        <w:ind w:firstLine="420" w:firstLineChars="200"/>
        <w:rPr>
          <w:rFonts w:hint="eastAsia"/>
          <w:color w:val="auto"/>
          <w:highlight w:val="none"/>
          <w:lang w:val="en-US" w:eastAsia="zh-CN"/>
        </w:rPr>
      </w:pPr>
      <w:r>
        <w:rPr>
          <w:rFonts w:hint="eastAsia"/>
          <w:color w:val="auto"/>
          <w:highlight w:val="none"/>
          <w:lang w:val="en-US" w:eastAsia="zh-CN"/>
        </w:rPr>
        <w:t>（2）具有专业检测机构、实验室及检测团队。</w:t>
      </w:r>
    </w:p>
    <w:p>
      <w:pPr>
        <w:bidi w:val="0"/>
        <w:ind w:firstLine="420" w:firstLineChars="200"/>
        <w:rPr>
          <w:rFonts w:hint="eastAsia"/>
          <w:color w:val="auto"/>
          <w:highlight w:val="none"/>
          <w:lang w:val="en-US" w:eastAsia="zh-CN"/>
        </w:rPr>
      </w:pPr>
      <w:r>
        <w:rPr>
          <w:rFonts w:hint="eastAsia"/>
          <w:color w:val="auto"/>
          <w:highlight w:val="none"/>
          <w:lang w:val="en-US" w:eastAsia="zh-CN"/>
        </w:rPr>
        <w:t>4、应急设施保障</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（1）水质快速检测设备及检测包；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（2）应急菌剂自动投加装置；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lang w:val="en-US" w:eastAsia="zh-CN"/>
        </w:rPr>
        <w:t>（3）项目部储备应急用各类菌剂及药剂：应急用的COD和氨氮快速降解菌剂、生物絮凝、生物除藻剂等。</w:t>
      </w:r>
    </w:p>
    <w:p>
      <w:pPr>
        <w:bidi w:val="0"/>
        <w:rPr>
          <w:rFonts w:hint="eastAsia"/>
          <w:color w:val="auto"/>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八、验收标准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构建水下微生态系统，实现水体自我净化，效果持久；提高水生物多样性，提高水体活力；</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除暴雨、溢流、工业偷排、农田水倒灌等突发环境污染事件及其它不可抗力因素外，水体主要指标（氨氮、总磷、化学需氧量、溶解氧）达到地表水V类标准（GB 3838-2002）。</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突发环境污染事件及其他不可抗力影响消除后，7个日历日内，水质达标。</w:t>
      </w:r>
    </w:p>
    <w:p>
      <w:pPr>
        <w:spacing w:after="0"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治理措施需符合甲方提出的服务要求和技术要求</w:t>
      </w:r>
      <w:r>
        <w:rPr>
          <w:rFonts w:hint="eastAsia" w:ascii="宋体" w:hAnsi="宋体" w:eastAsia="宋体" w:cs="宋体"/>
          <w:color w:val="auto"/>
          <w:highlight w:val="none"/>
          <w:lang w:eastAsia="zh-CN"/>
        </w:rPr>
        <w:t>。</w:t>
      </w:r>
    </w:p>
    <w:p>
      <w:pPr>
        <w:spacing w:line="240" w:lineRule="auto"/>
        <w:ind w:firstLine="422" w:firstLineChars="200"/>
        <w:jc w:val="center"/>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表</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.1水质目标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7" w:type="dxa"/>
          <w:bottom w:w="0" w:type="dxa"/>
          <w:right w:w="57" w:type="dxa"/>
        </w:tblCellMar>
      </w:tblPr>
      <w:tblGrid>
        <w:gridCol w:w="1794"/>
        <w:gridCol w:w="2004"/>
        <w:gridCol w:w="1374"/>
        <w:gridCol w:w="137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vertAlign w:val="subscript"/>
              </w:rPr>
            </w:pPr>
            <w:r>
              <w:rPr>
                <w:rFonts w:hint="eastAsia" w:ascii="宋体" w:hAnsi="宋体" w:eastAsia="宋体" w:cs="宋体"/>
                <w:color w:val="auto"/>
                <w:sz w:val="21"/>
                <w:szCs w:val="21"/>
                <w:highlight w:val="none"/>
              </w:rPr>
              <w:t>化学需氧量（mg/L）</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氨氮（mg/L）</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总磷（mg/L）</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溶解氧（mg/L）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地表V类水体标准</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bl>
    <w:p>
      <w:pPr>
        <w:pStyle w:val="30"/>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textAlignment w:val="auto"/>
        <w:rPr>
          <w:rFonts w:ascii="宋体" w:hAnsi="宋体" w:eastAsia="宋体"/>
          <w:b/>
          <w:color w:val="auto"/>
          <w:sz w:val="24"/>
          <w:highlight w:val="none"/>
        </w:rPr>
      </w:pPr>
    </w:p>
    <w:p>
      <w:pPr>
        <w:pStyle w:val="5"/>
        <w:numPr>
          <w:ilvl w:val="0"/>
          <w:numId w:val="0"/>
        </w:numPr>
        <w:bidi w:val="0"/>
        <w:rPr>
          <w:rFonts w:hint="eastAsia"/>
          <w:color w:val="auto"/>
          <w:highlight w:val="none"/>
          <w:lang w:val="en-US" w:eastAsia="zh-CN"/>
        </w:rPr>
      </w:pPr>
      <w:r>
        <w:rPr>
          <w:rFonts w:hint="eastAsia"/>
          <w:color w:val="auto"/>
          <w:highlight w:val="none"/>
          <w:lang w:val="en-US" w:eastAsia="zh-CN"/>
        </w:rPr>
        <w:t>九、运营维护期内的考核</w:t>
      </w:r>
    </w:p>
    <w:p>
      <w:pPr>
        <w:widowControl w:val="0"/>
        <w:adjustRightInd/>
        <w:snapToGrid/>
        <w:ind w:firstLine="420" w:firstLineChars="200"/>
        <w:rPr>
          <w:rFonts w:hint="eastAsia"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溶解氧、氨氮、总磷、化学需氧量等4项指标经采购人委托检测或市考核检测，如当月2次检测该河涌未能达到水质考核目标的（详见表8.1水质目标），则当月水质考核不合格，不予支付当月该河涌</w:t>
      </w:r>
      <w:r>
        <w:rPr>
          <w:rFonts w:hint="eastAsia" w:ascii="宋体" w:hAnsi="宋体" w:eastAsia="宋体" w:cs="宋体"/>
          <w:color w:val="auto"/>
          <w:kern w:val="2"/>
          <w:sz w:val="21"/>
          <w:szCs w:val="21"/>
          <w:highlight w:val="none"/>
          <w:lang w:val="en-US" w:eastAsia="zh-CN"/>
        </w:rPr>
        <w:t>运维费用</w:t>
      </w:r>
      <w:r>
        <w:rPr>
          <w:rFonts w:hint="eastAsia" w:ascii="宋体" w:hAnsi="宋体" w:cs="宋体"/>
          <w:color w:val="auto"/>
          <w:kern w:val="2"/>
          <w:szCs w:val="21"/>
          <w:highlight w:val="none"/>
          <w:lang w:val="en-US" w:eastAsia="zh-CN"/>
        </w:rPr>
        <w:t>。</w:t>
      </w:r>
    </w:p>
    <w:p>
      <w:pPr>
        <w:bidi w:val="0"/>
        <w:rPr>
          <w:rFonts w:hint="eastAsia"/>
          <w:color w:val="auto"/>
          <w:highlight w:val="none"/>
          <w:lang w:val="en-US" w:eastAsia="zh-CN"/>
        </w:rPr>
      </w:pPr>
    </w:p>
    <w:p>
      <w:pPr>
        <w:pStyle w:val="5"/>
        <w:bidi w:val="0"/>
        <w:rPr>
          <w:rFonts w:hint="default"/>
          <w:color w:val="auto"/>
          <w:highlight w:val="none"/>
          <w:lang w:val="en-US" w:eastAsia="zh-CN"/>
        </w:rPr>
      </w:pPr>
      <w:r>
        <w:rPr>
          <w:rFonts w:hint="eastAsia"/>
          <w:color w:val="auto"/>
          <w:highlight w:val="none"/>
          <w:lang w:val="en-US" w:eastAsia="zh-CN"/>
        </w:rPr>
        <w:t>十、服务要求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1、运行用水、用电</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采购人提供服务用电及用水接口，施工期及运维期水电费由中标人支付。</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2、采购人提供的场地</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包含设施及设备的用地面积（具体由协议双方协商确定），中标人须保证在采购人提供的场地内放置相应设施及设备并确保服务质量。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3、紧急情况处理</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在运维服务实施期间内发生危及安全的事件，中标人应进行抢救，中标人声明无能力或不愿立即执行的，采购人有权雇佣其他人员进行抢救。</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4、事故处理</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维过程中发生事故的，中标人应立即组织人员和设备进行紧急抢救和抢修，减少人员伤亡和财产损失，防止事故扩大，并保护事故现场。需要移动现场物品时，应作出标记和书面记录，妥善保管有关证据。中标人应按国家有关规定，及时如实地向有关部门报告事故发生的情况，以及正在采取的紧急措施等。</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5、劳动保障要求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中标人必须为全体作业员工购买社保或人身意外保险，必须重视安全生产工作，确保服务期内不出安全生产任责任事故。如发生安全生产事故或交通事故，由中标人承担一切责任及损失；</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6、环境管理要求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运维服务时，中标人应保证所用的技术为原位生态技术，不得对河道造成二次污染和生态破坏，同时需考虑对周边环境的影响（如噪声、废气、废水、臭气等），并负责解决相关问题。按照国家及东莞市相关规定做好余渣废物的处理，办理好有关施工场地交通、环境保护、安全文明施工等手续。</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7、污泥的处置</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若此项目工艺方案涉及污泥产出，中标人应根据剩余污泥管理计划，负责剩余污泥的处置，剩余污泥的处理必须符合环保及环境卫生管理要求，不得造成二次污染。</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2" w:firstLineChars="200"/>
        <w:jc w:val="both"/>
        <w:rPr>
          <w:rFonts w:hint="eastAsia" w:ascii="宋体" w:hAnsi="宋体" w:eastAsia="宋体" w:cs="宋体"/>
          <w:b/>
          <w:bCs/>
          <w:color w:val="auto"/>
          <w:kern w:val="2"/>
          <w:sz w:val="21"/>
          <w:szCs w:val="21"/>
        </w:rPr>
      </w:pPr>
      <w:r>
        <w:rPr>
          <w:rFonts w:hint="eastAsia" w:ascii="宋体" w:hAnsi="宋体" w:eastAsia="宋体"/>
          <w:b/>
          <w:bCs/>
          <w:color w:val="auto"/>
          <w:sz w:val="21"/>
          <w:szCs w:val="21"/>
        </w:rPr>
        <w:t>★</w:t>
      </w:r>
      <w:r>
        <w:rPr>
          <w:rFonts w:hint="eastAsia" w:ascii="宋体" w:hAnsi="宋体" w:cs="宋体"/>
          <w:b/>
          <w:bCs/>
          <w:color w:val="auto"/>
          <w:kern w:val="2"/>
          <w:sz w:val="21"/>
          <w:szCs w:val="21"/>
          <w:lang w:val="en-US" w:eastAsia="zh-CN"/>
        </w:rPr>
        <w:t>8</w:t>
      </w:r>
      <w:r>
        <w:rPr>
          <w:rFonts w:hint="eastAsia" w:ascii="宋体" w:hAnsi="宋体" w:eastAsia="宋体" w:cs="宋体"/>
          <w:b/>
          <w:bCs/>
          <w:color w:val="auto"/>
          <w:kern w:val="2"/>
          <w:sz w:val="21"/>
          <w:szCs w:val="21"/>
        </w:rPr>
        <w:t>、</w:t>
      </w:r>
      <w:r>
        <w:rPr>
          <w:rFonts w:hint="eastAsia" w:ascii="宋体" w:hAnsi="宋体" w:eastAsia="宋体" w:cs="宋体"/>
          <w:b/>
          <w:bCs/>
          <w:color w:val="auto"/>
          <w:sz w:val="21"/>
          <w:szCs w:val="21"/>
          <w:highlight w:val="none"/>
          <w:lang w:eastAsia="zh-CN"/>
        </w:rPr>
        <w:t>中标单位须承诺中标结果公示后</w:t>
      </w:r>
      <w:r>
        <w:rPr>
          <w:rFonts w:hint="eastAsia" w:ascii="宋体" w:hAnsi="宋体" w:eastAsia="宋体" w:cs="宋体"/>
          <w:b/>
          <w:bCs/>
          <w:color w:val="auto"/>
          <w:sz w:val="21"/>
          <w:szCs w:val="21"/>
          <w:highlight w:val="none"/>
          <w:lang w:val="en-US" w:eastAsia="zh-CN"/>
        </w:rPr>
        <w:t>20天内</w:t>
      </w:r>
      <w:r>
        <w:rPr>
          <w:rFonts w:hint="eastAsia" w:ascii="宋体" w:hAnsi="宋体" w:eastAsia="宋体" w:cs="宋体"/>
          <w:b/>
          <w:bCs/>
          <w:color w:val="auto"/>
          <w:sz w:val="21"/>
          <w:szCs w:val="21"/>
          <w:highlight w:val="none"/>
        </w:rPr>
        <w:t>在本项目范围内设立规范的办公场所</w:t>
      </w:r>
      <w:r>
        <w:rPr>
          <w:rFonts w:hint="eastAsia" w:ascii="宋体" w:hAnsi="宋体" w:eastAsia="宋体" w:cs="宋体"/>
          <w:b/>
          <w:bCs/>
          <w:color w:val="auto"/>
          <w:kern w:val="2"/>
          <w:sz w:val="21"/>
          <w:szCs w:val="21"/>
        </w:rPr>
        <w:t>（</w:t>
      </w:r>
      <w:r>
        <w:rPr>
          <w:rFonts w:hint="eastAsia" w:ascii="宋体" w:hAnsi="宋体" w:eastAsia="宋体" w:cs="宋体"/>
          <w:b/>
          <w:bCs/>
          <w:color w:val="auto"/>
          <w:kern w:val="2"/>
          <w:sz w:val="21"/>
          <w:szCs w:val="21"/>
          <w:lang w:val="en-US" w:eastAsia="zh-CN"/>
        </w:rPr>
        <w:t>凭</w:t>
      </w:r>
      <w:r>
        <w:rPr>
          <w:rFonts w:hint="eastAsia" w:ascii="宋体" w:hAnsi="宋体" w:eastAsia="宋体" w:cs="宋体"/>
          <w:b/>
          <w:bCs/>
          <w:color w:val="auto"/>
          <w:kern w:val="2"/>
          <w:sz w:val="21"/>
          <w:szCs w:val="21"/>
        </w:rPr>
        <w:t>项目所在镇街</w:t>
      </w:r>
      <w:r>
        <w:rPr>
          <w:rFonts w:hint="eastAsia" w:ascii="宋体" w:hAnsi="宋体" w:eastAsia="宋体" w:cs="宋体"/>
          <w:b/>
          <w:bCs/>
          <w:color w:val="auto"/>
          <w:kern w:val="2"/>
          <w:sz w:val="21"/>
          <w:szCs w:val="21"/>
          <w:lang w:val="en-US" w:eastAsia="zh-CN"/>
        </w:rPr>
        <w:t>税务部门开具的</w:t>
      </w:r>
      <w:r>
        <w:rPr>
          <w:rFonts w:hint="eastAsia" w:ascii="宋体" w:hAnsi="宋体" w:eastAsia="宋体" w:cs="宋体"/>
          <w:b/>
          <w:bCs/>
          <w:color w:val="auto"/>
          <w:kern w:val="2"/>
          <w:sz w:val="21"/>
          <w:szCs w:val="21"/>
        </w:rPr>
        <w:t>发票</w:t>
      </w:r>
      <w:r>
        <w:rPr>
          <w:rFonts w:hint="eastAsia" w:ascii="宋体" w:hAnsi="宋体" w:eastAsia="宋体" w:cs="宋体"/>
          <w:b/>
          <w:bCs/>
          <w:color w:val="auto"/>
          <w:kern w:val="2"/>
          <w:sz w:val="21"/>
          <w:szCs w:val="21"/>
          <w:lang w:val="en-US" w:eastAsia="zh-CN"/>
        </w:rPr>
        <w:t>申请服务费</w:t>
      </w:r>
      <w:r>
        <w:rPr>
          <w:rFonts w:hint="eastAsia" w:ascii="宋体" w:hAnsi="宋体" w:eastAsia="宋体" w:cs="宋体"/>
          <w:b/>
          <w:bCs/>
          <w:color w:val="auto"/>
          <w:kern w:val="2"/>
          <w:sz w:val="21"/>
          <w:szCs w:val="21"/>
        </w:rPr>
        <w:t>）</w:t>
      </w:r>
      <w:r>
        <w:rPr>
          <w:rFonts w:hint="eastAsia" w:ascii="宋体" w:hAnsi="宋体" w:eastAsia="宋体" w:cs="宋体"/>
          <w:b/>
          <w:bCs/>
          <w:color w:val="auto"/>
          <w:sz w:val="21"/>
          <w:szCs w:val="21"/>
          <w:highlight w:val="none"/>
        </w:rPr>
        <w:t>，配置完善的办公设施；要有足够的场地停放车辆及存放相关设备；相关费用由</w:t>
      </w:r>
      <w:r>
        <w:rPr>
          <w:rFonts w:hint="eastAsia" w:ascii="宋体" w:hAnsi="宋体" w:eastAsia="宋体" w:cs="宋体"/>
          <w:b/>
          <w:bCs/>
          <w:color w:val="auto"/>
          <w:sz w:val="21"/>
          <w:szCs w:val="21"/>
          <w:highlight w:val="none"/>
          <w:lang w:eastAsia="zh-CN"/>
        </w:rPr>
        <w:t>中标单位</w:t>
      </w:r>
      <w:r>
        <w:rPr>
          <w:rFonts w:hint="eastAsia" w:ascii="宋体" w:hAnsi="宋体" w:eastAsia="宋体" w:cs="宋体"/>
          <w:b/>
          <w:bCs/>
          <w:color w:val="auto"/>
          <w:sz w:val="21"/>
          <w:szCs w:val="21"/>
          <w:highlight w:val="none"/>
        </w:rPr>
        <w:t>自行承担。</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eastAsia="zh-CN"/>
        </w:rPr>
        <w:t>提供单独承诺函）</w:t>
      </w:r>
    </w:p>
    <w:p>
      <w:pPr>
        <w:bidi w:val="0"/>
        <w:rPr>
          <w:color w:val="auto"/>
          <w:highlight w:val="none"/>
        </w:rPr>
      </w:pPr>
    </w:p>
    <w:p>
      <w:pPr>
        <w:pStyle w:val="5"/>
        <w:bidi w:val="0"/>
        <w:rPr>
          <w:rFonts w:hint="eastAsia"/>
          <w:color w:val="auto"/>
          <w:highlight w:val="none"/>
          <w:lang w:val="en-US" w:eastAsia="zh-CN"/>
        </w:rPr>
      </w:pPr>
      <w:r>
        <w:rPr>
          <w:rFonts w:hint="eastAsia"/>
          <w:color w:val="auto"/>
          <w:highlight w:val="none"/>
          <w:lang w:val="en-US" w:eastAsia="zh-CN"/>
        </w:rPr>
        <w:t>十一、项目移交</w:t>
      </w:r>
    </w:p>
    <w:p>
      <w:pPr>
        <w:widowControl w:val="0"/>
        <w:adjustRightInd/>
        <w:snapToGrid/>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运行维护期满1个月前，由采购人和中标人各自派员组成移交小组，具体负责和办理移交工作；在运行维护期满后的第一日为移交日，中标人应向采购人无偿移交如下内容：</w:t>
      </w:r>
    </w:p>
    <w:p>
      <w:pPr>
        <w:widowControl w:val="0"/>
        <w:adjustRightInd/>
        <w:snapToGrid/>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①项目设施的建筑物和构筑物；</w:t>
      </w:r>
    </w:p>
    <w:p>
      <w:pPr>
        <w:widowControl w:val="0"/>
        <w:adjustRightInd/>
        <w:snapToGrid/>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②与项目设施使用相关的机械和设备；</w:t>
      </w:r>
    </w:p>
    <w:p>
      <w:pPr>
        <w:widowControl w:val="0"/>
        <w:adjustRightInd/>
        <w:snapToGrid/>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③项目设施相关的附属配套设施；</w:t>
      </w:r>
    </w:p>
    <w:p>
      <w:pPr>
        <w:widowControl w:val="0"/>
        <w:adjustRightInd/>
        <w:snapToGrid/>
        <w:ind w:firstLine="420" w:firstLineChars="200"/>
        <w:rPr>
          <w:rFonts w:hint="default"/>
          <w:color w:val="auto"/>
          <w:highlight w:val="none"/>
          <w:lang w:val="en-US" w:eastAsia="zh-CN"/>
        </w:rPr>
      </w:pPr>
      <w:r>
        <w:rPr>
          <w:rFonts w:hint="eastAsia" w:ascii="宋体" w:hAnsi="宋体" w:cs="宋体"/>
          <w:color w:val="auto"/>
          <w:kern w:val="2"/>
          <w:szCs w:val="21"/>
          <w:highlight w:val="none"/>
        </w:rPr>
        <w:t>④项目运营记录档案。</w:t>
      </w:r>
    </w:p>
    <w:p>
      <w:pPr>
        <w:spacing w:after="0" w:line="360" w:lineRule="auto"/>
        <w:ind w:firstLine="422" w:firstLineChars="200"/>
        <w:rPr>
          <w:rFonts w:ascii="宋体" w:hAnsi="宋体" w:eastAsia="宋体" w:cs="Times New Roman"/>
          <w:b/>
          <w:bCs/>
          <w:color w:val="auto"/>
          <w:sz w:val="21"/>
          <w:szCs w:val="21"/>
          <w:highlight w:val="none"/>
        </w:rPr>
      </w:pPr>
      <w:bookmarkStart w:id="6" w:name="_Toc13112"/>
      <w:bookmarkStart w:id="7" w:name="_Toc24679"/>
      <w:bookmarkStart w:id="8" w:name="_Toc14462"/>
      <w:bookmarkStart w:id="9" w:name="_Toc31278"/>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pStyle w:val="2"/>
        <w:spacing w:before="0" w:after="0" w:line="240" w:lineRule="auto"/>
        <w:rPr>
          <w:color w:val="auto"/>
          <w:sz w:val="24"/>
          <w:szCs w:val="24"/>
          <w:highlight w:val="none"/>
        </w:rPr>
      </w:pPr>
      <w:r>
        <w:rPr>
          <w:rFonts w:hint="eastAsia"/>
          <w:color w:val="auto"/>
          <w:sz w:val="24"/>
          <w:szCs w:val="24"/>
          <w:highlight w:val="none"/>
        </w:rPr>
        <w:br w:type="page"/>
      </w:r>
      <w:bookmarkStart w:id="10" w:name="_Toc2479"/>
      <w:r>
        <w:rPr>
          <w:rFonts w:hint="eastAsia"/>
          <w:color w:val="auto"/>
          <w:sz w:val="28"/>
          <w:szCs w:val="28"/>
          <w:highlight w:val="none"/>
        </w:rPr>
        <w:t>第四部分 投标人须知</w:t>
      </w:r>
      <w:bookmarkEnd w:id="10"/>
    </w:p>
    <w:p>
      <w:pPr>
        <w:pStyle w:val="4"/>
        <w:numPr>
          <w:ilvl w:val="0"/>
          <w:numId w:val="3"/>
        </w:numPr>
        <w:spacing w:before="0" w:after="0" w:line="480" w:lineRule="auto"/>
        <w:jc w:val="center"/>
        <w:rPr>
          <w:rFonts w:ascii="宋体" w:hAnsi="宋体" w:eastAsia="宋体"/>
          <w:color w:val="auto"/>
          <w:highlight w:val="none"/>
        </w:rPr>
      </w:pPr>
      <w:bookmarkStart w:id="11" w:name="_Toc19746"/>
      <w:r>
        <w:rPr>
          <w:rFonts w:hint="eastAsia" w:ascii="宋体" w:hAnsi="宋体" w:eastAsia="宋体"/>
          <w:color w:val="auto"/>
          <w:highlight w:val="none"/>
        </w:rPr>
        <w:t>说明</w:t>
      </w:r>
      <w:bookmarkEnd w:id="11"/>
    </w:p>
    <w:p>
      <w:pPr>
        <w:pStyle w:val="5"/>
        <w:widowControl w:val="0"/>
        <w:overflowPunct w:val="0"/>
        <w:spacing w:before="0" w:after="0" w:line="240" w:lineRule="auto"/>
        <w:rPr>
          <w:rFonts w:ascii="宋体" w:hAnsi="宋体" w:eastAsia="宋体"/>
          <w:color w:val="auto"/>
          <w:sz w:val="21"/>
          <w:szCs w:val="21"/>
          <w:highlight w:val="none"/>
        </w:rPr>
      </w:pPr>
      <w:bookmarkStart w:id="12" w:name="_Toc18488"/>
      <w:r>
        <w:rPr>
          <w:rFonts w:hint="eastAsia" w:ascii="宋体" w:hAnsi="宋体" w:eastAsia="宋体"/>
          <w:color w:val="auto"/>
          <w:sz w:val="21"/>
          <w:szCs w:val="21"/>
          <w:highlight w:val="none"/>
        </w:rPr>
        <w:t>1.适用范围</w:t>
      </w:r>
      <w:bookmarkEnd w:id="12"/>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3" w:name="_Toc13400"/>
      <w:r>
        <w:rPr>
          <w:rFonts w:hint="eastAsia" w:ascii="宋体" w:hAnsi="宋体" w:eastAsia="宋体"/>
          <w:color w:val="auto"/>
          <w:sz w:val="21"/>
          <w:szCs w:val="21"/>
          <w:highlight w:val="none"/>
        </w:rPr>
        <w:t>2.</w:t>
      </w:r>
      <w:bookmarkStart w:id="14" w:name="_Toc382049092"/>
      <w:bookmarkStart w:id="15" w:name="_Toc303084246"/>
      <w:bookmarkStart w:id="16" w:name="_Toc298847174"/>
      <w:bookmarkStart w:id="17" w:name="_Toc1530"/>
      <w:r>
        <w:rPr>
          <w:rFonts w:hint="eastAsia" w:ascii="宋体" w:hAnsi="宋体" w:eastAsia="宋体"/>
          <w:color w:val="auto"/>
          <w:sz w:val="21"/>
          <w:szCs w:val="21"/>
          <w:highlight w:val="none"/>
        </w:rPr>
        <w:t>定义</w:t>
      </w:r>
      <w:bookmarkEnd w:id="13"/>
      <w:bookmarkEnd w:id="14"/>
      <w:bookmarkEnd w:id="15"/>
      <w:bookmarkEnd w:id="16"/>
      <w:bookmarkEnd w:id="17"/>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8" w:name="_Toc3780"/>
      <w:r>
        <w:rPr>
          <w:rFonts w:hint="eastAsia" w:ascii="宋体" w:hAnsi="宋体" w:eastAsia="宋体"/>
          <w:color w:val="auto"/>
          <w:sz w:val="21"/>
          <w:szCs w:val="21"/>
          <w:highlight w:val="none"/>
        </w:rPr>
        <w:t>3.货物和服务</w:t>
      </w:r>
      <w:bookmarkEnd w:id="18"/>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9" w:name="_Toc15945"/>
      <w:r>
        <w:rPr>
          <w:rFonts w:hint="eastAsia" w:ascii="宋体" w:hAnsi="宋体" w:eastAsia="宋体"/>
          <w:color w:val="auto"/>
          <w:sz w:val="21"/>
          <w:szCs w:val="21"/>
          <w:highlight w:val="none"/>
        </w:rPr>
        <w:t>4.投标费用</w:t>
      </w:r>
      <w:bookmarkEnd w:id="19"/>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0" w:name="_Toc25040"/>
      <w:r>
        <w:rPr>
          <w:rFonts w:hint="eastAsia" w:ascii="宋体" w:hAnsi="宋体" w:eastAsia="宋体"/>
          <w:color w:val="auto"/>
          <w:sz w:val="21"/>
          <w:szCs w:val="21"/>
          <w:highlight w:val="none"/>
        </w:rPr>
        <w:t>5.知识产权</w:t>
      </w:r>
      <w:bookmarkEnd w:id="20"/>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21930"/>
      <w:r>
        <w:rPr>
          <w:rFonts w:hint="eastAsia" w:ascii="宋体" w:hAnsi="宋体" w:eastAsia="宋体"/>
          <w:color w:val="auto"/>
          <w:sz w:val="21"/>
          <w:szCs w:val="21"/>
          <w:highlight w:val="none"/>
        </w:rPr>
        <w:t>6.关于联合体投标</w:t>
      </w:r>
      <w:bookmarkEnd w:id="21"/>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16571"/>
      <w:r>
        <w:rPr>
          <w:rFonts w:hint="eastAsia" w:ascii="宋体" w:hAnsi="宋体" w:eastAsia="宋体"/>
          <w:color w:val="auto"/>
          <w:sz w:val="21"/>
          <w:szCs w:val="21"/>
          <w:highlight w:val="none"/>
        </w:rPr>
        <w:t>7.关于分支机构投标</w:t>
      </w:r>
      <w:bookmarkEnd w:id="22"/>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4"/>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24" w:name="_Toc17879"/>
      <w:r>
        <w:rPr>
          <w:rFonts w:hint="eastAsia" w:ascii="宋体" w:hAnsi="宋体" w:eastAsia="宋体"/>
          <w:color w:val="auto"/>
          <w:highlight w:val="none"/>
        </w:rPr>
        <w:t>招标文件</w:t>
      </w:r>
      <w:bookmarkEnd w:id="24"/>
    </w:p>
    <w:p>
      <w:pPr>
        <w:pStyle w:val="5"/>
        <w:widowControl w:val="0"/>
        <w:overflowPunct w:val="0"/>
        <w:spacing w:before="0" w:after="0" w:line="240" w:lineRule="auto"/>
        <w:rPr>
          <w:rFonts w:ascii="宋体" w:hAnsi="宋体" w:eastAsia="宋体"/>
          <w:color w:val="auto"/>
          <w:sz w:val="21"/>
          <w:szCs w:val="21"/>
          <w:highlight w:val="none"/>
        </w:rPr>
      </w:pPr>
      <w:bookmarkStart w:id="25" w:name="_Toc21771"/>
      <w:r>
        <w:rPr>
          <w:rFonts w:hint="eastAsia" w:ascii="宋体" w:hAnsi="宋体" w:eastAsia="宋体"/>
          <w:color w:val="auto"/>
          <w:sz w:val="21"/>
          <w:szCs w:val="21"/>
          <w:highlight w:val="none"/>
        </w:rPr>
        <w:t>8.招标文件的组成</w:t>
      </w:r>
      <w:bookmarkEnd w:id="25"/>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6" w:name="_Toc14217"/>
      <w:r>
        <w:rPr>
          <w:rFonts w:hint="eastAsia" w:ascii="宋体" w:hAnsi="宋体" w:eastAsia="宋体"/>
          <w:color w:val="auto"/>
          <w:sz w:val="21"/>
          <w:szCs w:val="21"/>
          <w:highlight w:val="none"/>
        </w:rPr>
        <w:t>9.招标文件的澄清或修改</w:t>
      </w:r>
      <w:bookmarkEnd w:id="26"/>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3"/>
        </w:numPr>
        <w:spacing w:before="0" w:after="0" w:line="480" w:lineRule="auto"/>
        <w:jc w:val="center"/>
        <w:rPr>
          <w:rFonts w:ascii="宋体" w:hAnsi="宋体" w:eastAsia="宋体"/>
          <w:color w:val="auto"/>
          <w:highlight w:val="none"/>
        </w:rPr>
      </w:pPr>
      <w:bookmarkStart w:id="27" w:name="_Toc23726"/>
      <w:r>
        <w:rPr>
          <w:rFonts w:hint="eastAsia" w:ascii="宋体" w:hAnsi="宋体" w:eastAsia="宋体"/>
          <w:color w:val="auto"/>
          <w:highlight w:val="none"/>
        </w:rPr>
        <w:t>投标文件的编制</w:t>
      </w:r>
      <w:bookmarkEnd w:id="27"/>
    </w:p>
    <w:p>
      <w:pPr>
        <w:pStyle w:val="5"/>
        <w:widowControl w:val="0"/>
        <w:overflowPunct w:val="0"/>
        <w:spacing w:before="0" w:after="0" w:line="240" w:lineRule="auto"/>
        <w:rPr>
          <w:rFonts w:ascii="宋体" w:hAnsi="宋体" w:eastAsia="宋体"/>
          <w:color w:val="auto"/>
          <w:sz w:val="21"/>
          <w:szCs w:val="21"/>
          <w:highlight w:val="none"/>
        </w:rPr>
      </w:pPr>
      <w:bookmarkStart w:id="28" w:name="_Toc20623"/>
      <w:r>
        <w:rPr>
          <w:rFonts w:hint="eastAsia" w:ascii="宋体" w:hAnsi="宋体" w:eastAsia="宋体"/>
          <w:color w:val="auto"/>
          <w:sz w:val="21"/>
          <w:szCs w:val="21"/>
          <w:highlight w:val="none"/>
        </w:rPr>
        <w:t>10.投标文件的语言及度量衡单位</w:t>
      </w:r>
      <w:bookmarkEnd w:id="28"/>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9" w:name="_Toc307934854"/>
      <w:bookmarkStart w:id="30" w:name="_Toc12145"/>
      <w:bookmarkStart w:id="31" w:name="_Toc382049103"/>
      <w:bookmarkStart w:id="32" w:name="_Toc28866"/>
      <w:bookmarkStart w:id="33" w:name="_Toc30308425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30189"/>
      <w:r>
        <w:rPr>
          <w:rFonts w:hint="eastAsia" w:ascii="宋体" w:hAnsi="宋体" w:eastAsia="宋体"/>
          <w:color w:val="auto"/>
          <w:sz w:val="21"/>
          <w:szCs w:val="21"/>
          <w:highlight w:val="none"/>
        </w:rPr>
        <w:t>12.投标文件编制</w:t>
      </w:r>
      <w:bookmarkEnd w:id="34"/>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30"/>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0"/>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5"/>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6" w:name="_Toc259"/>
      <w:r>
        <w:rPr>
          <w:rFonts w:hint="eastAsia" w:ascii="宋体" w:hAnsi="宋体" w:eastAsia="宋体"/>
          <w:color w:val="auto"/>
          <w:sz w:val="21"/>
          <w:szCs w:val="21"/>
          <w:highlight w:val="none"/>
        </w:rPr>
        <w:t>13.投标报价说明</w:t>
      </w:r>
      <w:bookmarkEnd w:id="36"/>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27724"/>
      <w:r>
        <w:rPr>
          <w:rFonts w:hint="eastAsia" w:ascii="宋体" w:hAnsi="宋体" w:eastAsia="宋体"/>
          <w:color w:val="auto"/>
          <w:sz w:val="21"/>
          <w:szCs w:val="21"/>
          <w:highlight w:val="none"/>
        </w:rPr>
        <w:t>14.投标人所提供的服务或货物的证明文件</w:t>
      </w:r>
      <w:bookmarkEnd w:id="37"/>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8" w:name="_Hlt107925638"/>
      <w:bookmarkEnd w:id="38"/>
      <w:bookmarkStart w:id="39" w:name="_Hlt10792566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0"/>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19520"/>
      <w:r>
        <w:rPr>
          <w:rFonts w:hint="eastAsia" w:ascii="宋体" w:hAnsi="宋体" w:eastAsia="宋体"/>
          <w:color w:val="auto"/>
          <w:sz w:val="21"/>
          <w:szCs w:val="21"/>
          <w:highlight w:val="none"/>
        </w:rPr>
        <w:t>15.★投标有效期</w:t>
      </w:r>
      <w:bookmarkEnd w:id="40"/>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1" w:name="_Toc12456"/>
      <w:r>
        <w:rPr>
          <w:rFonts w:hint="eastAsia" w:ascii="宋体" w:hAnsi="宋体" w:eastAsia="宋体"/>
          <w:color w:val="auto"/>
          <w:sz w:val="21"/>
          <w:szCs w:val="21"/>
          <w:highlight w:val="none"/>
        </w:rPr>
        <w:t>16.★投标保证金</w:t>
      </w:r>
      <w:bookmarkEnd w:id="41"/>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43" w:name="_Toc31124"/>
      <w:r>
        <w:rPr>
          <w:rFonts w:hint="eastAsia" w:ascii="宋体" w:hAnsi="宋体" w:eastAsia="宋体"/>
          <w:color w:val="auto"/>
          <w:highlight w:val="none"/>
        </w:rPr>
        <w:t>投标文件的递交</w:t>
      </w:r>
      <w:bookmarkEnd w:id="43"/>
    </w:p>
    <w:p>
      <w:pPr>
        <w:pStyle w:val="5"/>
        <w:widowControl w:val="0"/>
        <w:overflowPunct w:val="0"/>
        <w:spacing w:before="0" w:after="0" w:line="240" w:lineRule="auto"/>
        <w:rPr>
          <w:rFonts w:ascii="宋体" w:hAnsi="宋体" w:eastAsia="宋体"/>
          <w:color w:val="auto"/>
          <w:sz w:val="21"/>
          <w:szCs w:val="21"/>
          <w:highlight w:val="none"/>
        </w:rPr>
      </w:pPr>
      <w:bookmarkStart w:id="44" w:name="_Toc29590"/>
      <w:bookmarkStart w:id="45" w:name="_Toc24997"/>
      <w:bookmarkStart w:id="46" w:name="_Toc303084264"/>
      <w:bookmarkStart w:id="47" w:name="_Toc382049111"/>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8" w:name="_Toc8628"/>
      <w:r>
        <w:rPr>
          <w:rFonts w:hint="eastAsia" w:ascii="宋体" w:hAnsi="宋体" w:eastAsia="宋体"/>
          <w:color w:val="auto"/>
          <w:sz w:val="21"/>
          <w:szCs w:val="21"/>
          <w:highlight w:val="none"/>
        </w:rPr>
        <w:t>18.迟交的投标文件</w:t>
      </w:r>
      <w:bookmarkEnd w:id="48"/>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9" w:name="_Toc13212"/>
      <w:r>
        <w:rPr>
          <w:rFonts w:hint="eastAsia" w:ascii="宋体" w:hAnsi="宋体" w:eastAsia="宋体"/>
          <w:color w:val="auto"/>
          <w:sz w:val="21"/>
          <w:szCs w:val="21"/>
          <w:highlight w:val="none"/>
        </w:rPr>
        <w:t>19.投标样品（如需提交）</w:t>
      </w:r>
      <w:bookmarkEnd w:id="49"/>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0" w:name="_Toc303084265"/>
      <w:bookmarkStart w:id="51" w:name="_Toc382049112"/>
      <w:bookmarkStart w:id="52" w:name="_Toc5900"/>
      <w:bookmarkStart w:id="53" w:name="_Toc9777"/>
      <w:r>
        <w:rPr>
          <w:rFonts w:hint="eastAsia" w:ascii="宋体" w:hAnsi="宋体" w:eastAsia="宋体"/>
          <w:color w:val="auto"/>
          <w:sz w:val="21"/>
          <w:szCs w:val="21"/>
          <w:highlight w:val="none"/>
        </w:rPr>
        <w:t>20.投标截止期</w:t>
      </w:r>
      <w:bookmarkEnd w:id="50"/>
      <w:bookmarkEnd w:id="51"/>
      <w:bookmarkEnd w:id="52"/>
      <w:bookmarkEnd w:id="53"/>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4" w:name="_Toc6003"/>
      <w:r>
        <w:rPr>
          <w:rFonts w:hint="eastAsia" w:ascii="宋体" w:hAnsi="宋体" w:eastAsia="宋体"/>
          <w:color w:val="auto"/>
          <w:sz w:val="21"/>
          <w:szCs w:val="21"/>
          <w:highlight w:val="none"/>
        </w:rPr>
        <w:t>21.投标文件的补充、修改与撤回</w:t>
      </w:r>
      <w:bookmarkEnd w:id="54"/>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9"/>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55" w:name="_Toc29574"/>
      <w:r>
        <w:rPr>
          <w:rFonts w:hint="eastAsia" w:ascii="宋体" w:hAnsi="宋体" w:eastAsia="宋体"/>
          <w:color w:val="auto"/>
          <w:highlight w:val="none"/>
        </w:rPr>
        <w:t>开标与评标</w:t>
      </w:r>
      <w:bookmarkEnd w:id="55"/>
    </w:p>
    <w:p>
      <w:pPr>
        <w:pStyle w:val="5"/>
        <w:widowControl w:val="0"/>
        <w:overflowPunct w:val="0"/>
        <w:spacing w:before="0" w:after="0" w:line="240" w:lineRule="auto"/>
        <w:rPr>
          <w:rFonts w:ascii="宋体" w:hAnsi="宋体" w:eastAsia="宋体"/>
          <w:color w:val="auto"/>
          <w:sz w:val="21"/>
          <w:szCs w:val="21"/>
          <w:highlight w:val="none"/>
        </w:rPr>
      </w:pPr>
      <w:bookmarkStart w:id="56" w:name="_Toc28458"/>
      <w:r>
        <w:rPr>
          <w:rFonts w:hint="eastAsia" w:ascii="宋体" w:hAnsi="宋体" w:eastAsia="宋体"/>
          <w:color w:val="auto"/>
          <w:sz w:val="21"/>
          <w:szCs w:val="21"/>
          <w:highlight w:val="none"/>
        </w:rPr>
        <w:t>22.开标</w:t>
      </w:r>
      <w:bookmarkEnd w:id="56"/>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7" w:name="_Toc5524"/>
      <w:r>
        <w:rPr>
          <w:rFonts w:hint="eastAsia" w:ascii="宋体" w:hAnsi="宋体" w:eastAsia="宋体"/>
          <w:color w:val="auto"/>
          <w:sz w:val="21"/>
          <w:szCs w:val="21"/>
          <w:highlight w:val="none"/>
        </w:rPr>
        <w:t>23.评标委员会及评标方法</w:t>
      </w:r>
      <w:bookmarkEnd w:id="57"/>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8" w:name="_Toc15231"/>
      <w:r>
        <w:rPr>
          <w:rFonts w:hint="eastAsia" w:ascii="宋体" w:hAnsi="宋体" w:eastAsia="宋体"/>
          <w:color w:val="auto"/>
          <w:sz w:val="21"/>
          <w:szCs w:val="21"/>
          <w:highlight w:val="none"/>
        </w:rPr>
        <w:t>24.评审原则及评标过程的保密</w:t>
      </w:r>
      <w:bookmarkEnd w:id="58"/>
    </w:p>
    <w:p>
      <w:pPr>
        <w:pStyle w:val="30"/>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9" w:name="_Toc3762"/>
      <w:r>
        <w:rPr>
          <w:rFonts w:hint="eastAsia" w:ascii="宋体" w:hAnsi="宋体" w:eastAsia="宋体"/>
          <w:color w:val="auto"/>
          <w:sz w:val="21"/>
          <w:szCs w:val="21"/>
          <w:highlight w:val="none"/>
        </w:rPr>
        <w:t>25.投标文件的初审</w:t>
      </w:r>
      <w:bookmarkEnd w:id="59"/>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0" w:name="_Toc21742"/>
      <w:r>
        <w:rPr>
          <w:rFonts w:hint="eastAsia" w:ascii="宋体" w:hAnsi="宋体" w:eastAsia="宋体"/>
          <w:color w:val="auto"/>
          <w:sz w:val="21"/>
          <w:szCs w:val="21"/>
          <w:highlight w:val="none"/>
        </w:rPr>
        <w:t>26.商务、技术、价格评审（具体评审项目详见投标资料表）</w:t>
      </w:r>
      <w:bookmarkEnd w:id="60"/>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22192"/>
      <w:r>
        <w:rPr>
          <w:rFonts w:hint="eastAsia" w:ascii="宋体" w:hAnsi="宋体" w:eastAsia="宋体"/>
          <w:color w:val="auto"/>
          <w:sz w:val="21"/>
          <w:szCs w:val="21"/>
          <w:highlight w:val="none"/>
        </w:rPr>
        <w:t>27.优惠政策</w:t>
      </w:r>
      <w:bookmarkEnd w:id="61"/>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2" w:name="_Toc316375620"/>
      <w:bookmarkStart w:id="63" w:name="_Toc382049120"/>
      <w:bookmarkStart w:id="64" w:name="_Toc22591"/>
      <w:bookmarkStart w:id="65"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2"/>
      <w:r>
        <w:rPr>
          <w:rFonts w:hint="eastAsia" w:ascii="宋体" w:hAnsi="宋体" w:eastAsia="宋体"/>
          <w:color w:val="auto"/>
          <w:sz w:val="21"/>
          <w:szCs w:val="21"/>
          <w:highlight w:val="none"/>
        </w:rPr>
        <w:t>事项</w:t>
      </w:r>
      <w:bookmarkEnd w:id="63"/>
      <w:bookmarkEnd w:id="64"/>
      <w:bookmarkEnd w:id="65"/>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66" w:name="_Toc29310"/>
      <w:r>
        <w:rPr>
          <w:rFonts w:hint="eastAsia" w:ascii="宋体" w:hAnsi="宋体" w:eastAsia="宋体"/>
          <w:color w:val="auto"/>
          <w:highlight w:val="none"/>
        </w:rPr>
        <w:t>授予合同</w:t>
      </w:r>
      <w:bookmarkEnd w:id="66"/>
    </w:p>
    <w:p>
      <w:pPr>
        <w:pStyle w:val="5"/>
        <w:widowControl w:val="0"/>
        <w:overflowPunct w:val="0"/>
        <w:spacing w:before="0" w:after="0" w:line="240" w:lineRule="auto"/>
        <w:rPr>
          <w:rFonts w:ascii="宋体" w:hAnsi="宋体" w:eastAsia="宋体"/>
          <w:color w:val="auto"/>
          <w:sz w:val="21"/>
          <w:szCs w:val="21"/>
          <w:highlight w:val="none"/>
        </w:rPr>
      </w:pPr>
      <w:bookmarkStart w:id="67" w:name="_Toc508284011"/>
      <w:bookmarkStart w:id="68"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7"/>
      <w:bookmarkEnd w:id="68"/>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9" w:name="_Toc29283"/>
      <w:bookmarkStart w:id="70" w:name="_Toc508284013"/>
      <w:r>
        <w:rPr>
          <w:rFonts w:hint="eastAsia" w:ascii="宋体" w:hAnsi="宋体" w:eastAsia="宋体"/>
          <w:color w:val="auto"/>
          <w:sz w:val="21"/>
          <w:szCs w:val="21"/>
          <w:highlight w:val="none"/>
        </w:rPr>
        <w:t>30.发布采购结果</w:t>
      </w:r>
      <w:bookmarkEnd w:id="69"/>
      <w:bookmarkEnd w:id="70"/>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1" w:name="_Toc22451"/>
      <w:r>
        <w:rPr>
          <w:rFonts w:hint="eastAsia" w:ascii="宋体" w:hAnsi="宋体" w:eastAsia="宋体"/>
          <w:color w:val="auto"/>
          <w:sz w:val="21"/>
          <w:szCs w:val="21"/>
          <w:highlight w:val="none"/>
        </w:rPr>
        <w:t>31.合同的签订与履行</w:t>
      </w:r>
      <w:bookmarkEnd w:id="71"/>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303084277"/>
      <w:bookmarkStart w:id="73" w:name="_Toc382049124"/>
      <w:bookmarkStart w:id="74" w:name="_Toc29009"/>
      <w:bookmarkStart w:id="75" w:name="_Toc274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2"/>
      <w:bookmarkEnd w:id="73"/>
      <w:bookmarkEnd w:id="74"/>
      <w:bookmarkEnd w:id="75"/>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76" w:name="_Toc13694"/>
      <w:r>
        <w:rPr>
          <w:rFonts w:hint="eastAsia" w:ascii="宋体" w:hAnsi="宋体" w:eastAsia="宋体"/>
          <w:color w:val="auto"/>
          <w:highlight w:val="none"/>
        </w:rPr>
        <w:t>询问或质疑</w:t>
      </w:r>
      <w:bookmarkEnd w:id="76"/>
    </w:p>
    <w:p>
      <w:pPr>
        <w:pStyle w:val="5"/>
        <w:widowControl w:val="0"/>
        <w:overflowPunct w:val="0"/>
        <w:spacing w:before="0" w:after="0" w:line="240" w:lineRule="auto"/>
        <w:rPr>
          <w:rFonts w:ascii="宋体" w:hAnsi="宋体" w:eastAsia="宋体"/>
          <w:color w:val="auto"/>
          <w:sz w:val="21"/>
          <w:szCs w:val="21"/>
          <w:highlight w:val="none"/>
        </w:rPr>
      </w:pPr>
      <w:bookmarkStart w:id="77" w:name="_Toc25498"/>
      <w:r>
        <w:rPr>
          <w:rFonts w:hint="eastAsia" w:ascii="宋体" w:hAnsi="宋体" w:eastAsia="宋体"/>
          <w:color w:val="auto"/>
          <w:sz w:val="21"/>
          <w:szCs w:val="21"/>
          <w:highlight w:val="none"/>
        </w:rPr>
        <w:t>33.询问</w:t>
      </w:r>
      <w:bookmarkEnd w:id="77"/>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8" w:name="_Toc8234"/>
      <w:r>
        <w:rPr>
          <w:rFonts w:hint="eastAsia" w:ascii="宋体" w:hAnsi="宋体" w:eastAsia="宋体"/>
          <w:color w:val="auto"/>
          <w:sz w:val="21"/>
          <w:szCs w:val="21"/>
          <w:highlight w:val="none"/>
        </w:rPr>
        <w:t>34.质疑</w:t>
      </w:r>
      <w:bookmarkEnd w:id="78"/>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79" w:name="_Toc24383"/>
      <w:r>
        <w:rPr>
          <w:rFonts w:hint="eastAsia" w:ascii="宋体" w:hAnsi="宋体" w:eastAsia="宋体"/>
          <w:color w:val="auto"/>
          <w:highlight w:val="none"/>
        </w:rPr>
        <w:t>其他</w:t>
      </w:r>
      <w:bookmarkEnd w:id="79"/>
    </w:p>
    <w:p>
      <w:pPr>
        <w:pStyle w:val="5"/>
        <w:widowControl w:val="0"/>
        <w:overflowPunct w:val="0"/>
        <w:spacing w:before="0" w:after="0" w:line="240" w:lineRule="auto"/>
        <w:rPr>
          <w:rFonts w:ascii="宋体" w:hAnsi="宋体" w:eastAsia="宋体"/>
          <w:color w:val="auto"/>
          <w:sz w:val="21"/>
          <w:szCs w:val="21"/>
          <w:highlight w:val="none"/>
        </w:rPr>
      </w:pPr>
      <w:bookmarkStart w:id="80" w:name="_Toc10082"/>
      <w:r>
        <w:rPr>
          <w:rFonts w:hint="eastAsia" w:ascii="宋体" w:hAnsi="宋体" w:eastAsia="宋体"/>
          <w:color w:val="auto"/>
          <w:sz w:val="21"/>
          <w:szCs w:val="21"/>
          <w:highlight w:val="none"/>
        </w:rPr>
        <w:t>35.招标文件的解释权</w:t>
      </w:r>
      <w:bookmarkEnd w:id="80"/>
    </w:p>
    <w:p>
      <w:pPr>
        <w:pStyle w:val="30"/>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2"/>
        <w:spacing w:before="0" w:after="0" w:line="240" w:lineRule="auto"/>
        <w:rPr>
          <w:color w:val="auto"/>
          <w:sz w:val="28"/>
          <w:szCs w:val="28"/>
          <w:highlight w:val="none"/>
        </w:rPr>
      </w:pPr>
      <w:bookmarkStart w:id="81" w:name="_Toc21448"/>
      <w:r>
        <w:rPr>
          <w:rFonts w:hint="eastAsia"/>
          <w:color w:val="auto"/>
          <w:sz w:val="28"/>
          <w:szCs w:val="28"/>
          <w:highlight w:val="none"/>
        </w:rPr>
        <w:t>第五部分 合同格式（仅供参考）</w:t>
      </w:r>
      <w:bookmarkEnd w:id="81"/>
      <w:bookmarkStart w:id="82" w:name="_Toc13430"/>
      <w:bookmarkStart w:id="83" w:name="_Toc1534"/>
      <w:bookmarkStart w:id="84" w:name="_Toc21155"/>
    </w:p>
    <w:p>
      <w:pPr>
        <w:pStyle w:val="4"/>
        <w:spacing w:before="0" w:after="0" w:line="240" w:lineRule="auto"/>
        <w:jc w:val="center"/>
        <w:rPr>
          <w:rFonts w:ascii="宋体" w:hAnsi="宋体" w:eastAsia="宋体" w:cs="宋体"/>
          <w:color w:val="auto"/>
          <w:highlight w:val="none"/>
        </w:rPr>
      </w:pPr>
      <w:bookmarkStart w:id="85" w:name="_Toc16730"/>
      <w:r>
        <w:rPr>
          <w:rFonts w:hint="eastAsia" w:ascii="宋体" w:hAnsi="宋体" w:eastAsia="宋体" w:cs="宋体"/>
          <w:color w:val="auto"/>
          <w:highlight w:val="none"/>
        </w:rPr>
        <w:t>合同格式</w:t>
      </w:r>
      <w:bookmarkEnd w:id="82"/>
      <w:bookmarkEnd w:id="83"/>
      <w:bookmarkEnd w:id="84"/>
      <w:bookmarkEnd w:id="85"/>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6"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2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0"/>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0"/>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0"/>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color w:val="auto"/>
          <w:sz w:val="21"/>
          <w:szCs w:val="21"/>
          <w:highlight w:val="none"/>
        </w:rPr>
      </w:pPr>
      <w:bookmarkStart w:id="87"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8" w:name="_Toc86481569"/>
      <w:r>
        <w:rPr>
          <w:rFonts w:hint="eastAsia" w:ascii="宋体" w:hAnsi="宋体" w:eastAsia="宋体"/>
          <w:b/>
          <w:color w:val="auto"/>
          <w:sz w:val="21"/>
          <w:szCs w:val="21"/>
          <w:highlight w:val="none"/>
        </w:rPr>
        <w:t>第十二条 合同生效</w:t>
      </w:r>
      <w:bookmarkEnd w:id="88"/>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7"/>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89" w:name="_Toc23749"/>
      <w:r>
        <w:rPr>
          <w:rFonts w:hint="eastAsia"/>
          <w:color w:val="auto"/>
          <w:sz w:val="28"/>
          <w:szCs w:val="28"/>
          <w:highlight w:val="none"/>
        </w:rPr>
        <w:t>第六部分  附件－投标文件格式</w:t>
      </w:r>
      <w:bookmarkEnd w:id="89"/>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0" w:name="_Toc26830"/>
      <w:r>
        <w:rPr>
          <w:rFonts w:hint="eastAsia" w:ascii="宋体" w:hAnsi="宋体" w:eastAsia="宋体"/>
          <w:color w:val="auto"/>
          <w:sz w:val="21"/>
          <w:szCs w:val="21"/>
          <w:highlight w:val="none"/>
        </w:rPr>
        <w:t>附件1.投标文件目录</w:t>
      </w:r>
      <w:bookmarkEnd w:id="9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1" w:name="_Toc18893"/>
      <w:r>
        <w:rPr>
          <w:rFonts w:hint="eastAsia" w:ascii="宋体" w:hAnsi="宋体" w:eastAsia="宋体"/>
          <w:color w:val="auto"/>
          <w:sz w:val="21"/>
          <w:szCs w:val="21"/>
          <w:highlight w:val="none"/>
        </w:rPr>
        <w:t>附件1-1 评分标准索引表</w:t>
      </w:r>
      <w:bookmarkEnd w:id="91"/>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0"/>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9"/>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2" w:name="_Toc30640"/>
      <w:r>
        <w:rPr>
          <w:rFonts w:hint="eastAsia" w:ascii="宋体" w:hAnsi="宋体" w:eastAsia="宋体"/>
          <w:color w:val="auto"/>
          <w:sz w:val="21"/>
          <w:szCs w:val="21"/>
          <w:highlight w:val="none"/>
        </w:rPr>
        <w:t>附件2.投标书格式</w:t>
      </w:r>
      <w:bookmarkEnd w:id="92"/>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3" w:name="_Toc6866"/>
      <w:r>
        <w:rPr>
          <w:rFonts w:hint="eastAsia" w:ascii="宋体" w:hAnsi="宋体" w:eastAsia="宋体"/>
          <w:color w:val="auto"/>
          <w:sz w:val="21"/>
          <w:szCs w:val="21"/>
          <w:highlight w:val="none"/>
        </w:rPr>
        <w:t>附件3.开标一览表格式</w:t>
      </w:r>
      <w:bookmarkEnd w:id="93"/>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4"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40"/>
                <w:rFonts w:hint="eastAsia" w:ascii="宋体" w:hAnsi="宋体" w:eastAsia="宋体" w:cs="宋体"/>
                <w:b/>
                <w:color w:val="auto"/>
                <w:sz w:val="21"/>
                <w:szCs w:val="21"/>
                <w:highlight w:val="none"/>
              </w:rPr>
              <w:t>；</w:t>
            </w:r>
          </w:p>
          <w:p>
            <w:pPr>
              <w:tabs>
                <w:tab w:val="left" w:pos="284"/>
              </w:tabs>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0"/>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30"/>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40"/>
                <w:rFonts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0"/>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16412"/>
      <w:r>
        <w:rPr>
          <w:rFonts w:hint="eastAsia" w:ascii="宋体" w:hAnsi="宋体" w:eastAsia="宋体"/>
          <w:color w:val="auto"/>
          <w:sz w:val="21"/>
          <w:szCs w:val="21"/>
          <w:highlight w:val="none"/>
        </w:rPr>
        <w:t>附件5. 法定代表人证明书格式</w:t>
      </w:r>
      <w:bookmarkEnd w:id="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3"/>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3"/>
        <w:spacing w:line="420" w:lineRule="atLeast"/>
        <w:ind w:firstLine="433"/>
        <w:rPr>
          <w:rFonts w:ascii="宋体" w:eastAsia="宋体"/>
          <w:color w:val="auto"/>
          <w:sz w:val="21"/>
          <w:szCs w:val="21"/>
          <w:highlight w:val="none"/>
        </w:rPr>
      </w:pPr>
    </w:p>
    <w:p>
      <w:pPr>
        <w:pStyle w:val="33"/>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3"/>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3"/>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3"/>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3"/>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3"/>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3"/>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3"/>
        <w:spacing w:line="500" w:lineRule="atLeast"/>
        <w:ind w:firstLine="3517" w:firstLineChars="1675"/>
        <w:rPr>
          <w:rFonts w:ascii="宋体" w:eastAsia="宋体"/>
          <w:color w:val="auto"/>
          <w:sz w:val="21"/>
          <w:szCs w:val="21"/>
          <w:highlight w:val="none"/>
        </w:rPr>
      </w:pP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3"/>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3"/>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3"/>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3"/>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96" w:name="_Toc31205"/>
      <w:r>
        <w:rPr>
          <w:rFonts w:hint="eastAsia" w:ascii="宋体" w:hAnsi="宋体" w:eastAsia="宋体"/>
          <w:color w:val="auto"/>
          <w:sz w:val="21"/>
          <w:szCs w:val="21"/>
          <w:highlight w:val="none"/>
        </w:rPr>
        <w:t>附件6.法定代表人授权书格式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3"/>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3"/>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3"/>
        <w:spacing w:line="500" w:lineRule="atLeast"/>
        <w:ind w:firstLine="3517" w:firstLineChars="1675"/>
        <w:rPr>
          <w:rFonts w:ascii="宋体" w:eastAsia="宋体"/>
          <w:color w:val="auto"/>
          <w:sz w:val="21"/>
          <w:szCs w:val="21"/>
          <w:highlight w:val="none"/>
        </w:rPr>
      </w:pP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3"/>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3"/>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3"/>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3"/>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3"/>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3"/>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3"/>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7"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8" w:name="_Toc17164"/>
      <w:r>
        <w:rPr>
          <w:rFonts w:hint="eastAsia" w:ascii="宋体" w:hAnsi="宋体" w:eastAsia="宋体"/>
          <w:color w:val="auto"/>
          <w:sz w:val="21"/>
          <w:szCs w:val="21"/>
          <w:highlight w:val="none"/>
        </w:rPr>
        <w:t>附件7.资格申明</w:t>
      </w:r>
      <w:bookmarkEnd w:id="98"/>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3"/>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3"/>
        <w:spacing w:line="500" w:lineRule="atLeast"/>
        <w:ind w:firstLine="3517" w:firstLineChars="1675"/>
        <w:rPr>
          <w:rFonts w:ascii="宋体" w:eastAsia="宋体"/>
          <w:color w:val="auto"/>
          <w:sz w:val="21"/>
          <w:szCs w:val="21"/>
          <w:highlight w:val="none"/>
        </w:rPr>
      </w:pPr>
    </w:p>
    <w:p>
      <w:pPr>
        <w:pStyle w:val="33"/>
        <w:spacing w:line="500" w:lineRule="atLeast"/>
        <w:ind w:firstLine="3517" w:firstLineChars="1675"/>
        <w:rPr>
          <w:rFonts w:ascii="宋体" w:eastAsia="宋体"/>
          <w:color w:val="auto"/>
          <w:sz w:val="21"/>
          <w:szCs w:val="21"/>
          <w:highlight w:val="none"/>
        </w:rPr>
      </w:pPr>
    </w:p>
    <w:p>
      <w:pPr>
        <w:pStyle w:val="33"/>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3"/>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3"/>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3"/>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9" w:name="_Toc27839"/>
      <w:r>
        <w:rPr>
          <w:rFonts w:hint="eastAsia" w:ascii="宋体" w:hAnsi="宋体" w:eastAsia="宋体"/>
          <w:color w:val="auto"/>
          <w:sz w:val="21"/>
          <w:szCs w:val="21"/>
          <w:highlight w:val="none"/>
        </w:rPr>
        <w:t>附件8.营业执照</w:t>
      </w:r>
      <w:bookmarkEnd w:id="99"/>
    </w:p>
    <w:p>
      <w:pPr>
        <w:jc w:val="center"/>
        <w:rPr>
          <w:rFonts w:ascii="黑体" w:eastAsia="黑体"/>
          <w:color w:val="auto"/>
          <w:sz w:val="28"/>
          <w:szCs w:val="28"/>
          <w:highlight w:val="none"/>
        </w:rPr>
      </w:pPr>
      <w:bookmarkStart w:id="100" w:name="_Toc4926"/>
      <w:bookmarkStart w:id="101" w:name="_Toc17470"/>
      <w:bookmarkStart w:id="102" w:name="_Toc24210"/>
      <w:bookmarkStart w:id="103" w:name="_Toc1511"/>
      <w:bookmarkStart w:id="104" w:name="_Toc5919"/>
      <w:r>
        <w:rPr>
          <w:rFonts w:hint="eastAsia" w:ascii="黑体" w:eastAsia="黑体"/>
          <w:color w:val="auto"/>
          <w:sz w:val="28"/>
          <w:szCs w:val="28"/>
          <w:highlight w:val="none"/>
        </w:rPr>
        <w:t>营业执照</w:t>
      </w:r>
      <w:bookmarkEnd w:id="100"/>
      <w:bookmarkEnd w:id="101"/>
      <w:bookmarkEnd w:id="102"/>
      <w:bookmarkEnd w:id="103"/>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5" w:name="_Toc26141"/>
      <w:r>
        <w:rPr>
          <w:rFonts w:hint="eastAsia" w:ascii="宋体" w:hAnsi="宋体" w:eastAsia="宋体"/>
          <w:color w:val="auto"/>
          <w:sz w:val="21"/>
          <w:szCs w:val="21"/>
          <w:highlight w:val="none"/>
        </w:rPr>
        <w:t>附件9.相关资质证明文件</w:t>
      </w:r>
      <w:bookmarkEnd w:id="105"/>
    </w:p>
    <w:p>
      <w:pPr>
        <w:rPr>
          <w:color w:val="auto"/>
          <w:highlight w:val="none"/>
        </w:rPr>
      </w:pPr>
    </w:p>
    <w:p>
      <w:pPr>
        <w:jc w:val="center"/>
        <w:rPr>
          <w:rFonts w:ascii="黑体" w:eastAsia="黑体"/>
          <w:color w:val="auto"/>
          <w:sz w:val="28"/>
          <w:szCs w:val="28"/>
          <w:highlight w:val="none"/>
        </w:rPr>
      </w:pPr>
      <w:bookmarkStart w:id="106" w:name="_Toc16698"/>
      <w:bookmarkStart w:id="107" w:name="_Toc13458"/>
      <w:bookmarkStart w:id="108" w:name="_Toc16233"/>
      <w:bookmarkStart w:id="109" w:name="_Toc30307"/>
      <w:bookmarkStart w:id="110" w:name="_Toc9592"/>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1" w:name="_Toc17618"/>
      <w:r>
        <w:rPr>
          <w:rFonts w:hint="eastAsia" w:ascii="宋体" w:hAnsi="宋体" w:eastAsia="宋体"/>
          <w:color w:val="auto"/>
          <w:sz w:val="21"/>
          <w:szCs w:val="21"/>
          <w:highlight w:val="none"/>
        </w:rPr>
        <w:t>附件10. 商务条款偏离表格式</w:t>
      </w:r>
      <w:bookmarkEnd w:id="11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2" w:name="_Toc32183"/>
      <w:r>
        <w:rPr>
          <w:rFonts w:hint="eastAsia" w:ascii="宋体" w:hAnsi="宋体" w:eastAsia="宋体"/>
          <w:color w:val="auto"/>
          <w:sz w:val="21"/>
          <w:szCs w:val="21"/>
          <w:highlight w:val="none"/>
        </w:rPr>
        <w:t>附件11. 技术规格偏离表格式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3"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4" w:name="_Toc29613"/>
      <w:r>
        <w:rPr>
          <w:rFonts w:hint="eastAsia" w:ascii="宋体" w:hAnsi="宋体" w:eastAsia="宋体"/>
          <w:color w:val="auto"/>
          <w:sz w:val="21"/>
          <w:szCs w:val="21"/>
          <w:highlight w:val="none"/>
        </w:rPr>
        <w:t>附件12.重要技术参数（▲）响应表</w:t>
      </w:r>
      <w:bookmarkEnd w:id="113"/>
      <w:bookmarkEnd w:id="114"/>
    </w:p>
    <w:p>
      <w:pPr>
        <w:jc w:val="center"/>
        <w:rPr>
          <w:rFonts w:ascii="黑体" w:eastAsia="黑体"/>
          <w:color w:val="auto"/>
          <w:sz w:val="28"/>
          <w:szCs w:val="28"/>
          <w:highlight w:val="none"/>
        </w:rPr>
      </w:pPr>
      <w:bookmarkStart w:id="115" w:name="_Toc4464"/>
      <w:bookmarkStart w:id="116" w:name="_Toc18668"/>
      <w:bookmarkStart w:id="117" w:name="_Toc6080"/>
      <w:bookmarkStart w:id="118" w:name="_Toc1274"/>
      <w:bookmarkStart w:id="119" w:name="_Toc26078"/>
      <w:bookmarkStart w:id="120" w:name="_Toc4827"/>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21" w:name="_Toc22448"/>
            <w:bookmarkStart w:id="122" w:name="_Toc21739"/>
            <w:bookmarkStart w:id="123" w:name="_Toc12049"/>
            <w:bookmarkStart w:id="124" w:name="_Toc16872"/>
            <w:bookmarkStart w:id="125" w:name="_Toc15903"/>
            <w:bookmarkStart w:id="126" w:name="_Toc10045"/>
            <w:bookmarkStart w:id="127" w:name="_Toc14815"/>
            <w:bookmarkStart w:id="128" w:name="_Toc2700"/>
            <w:bookmarkStart w:id="129" w:name="_Toc27090"/>
            <w:bookmarkStart w:id="130" w:name="_Toc4304"/>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31" w:name="_Toc8312"/>
            <w:bookmarkStart w:id="132" w:name="_Toc27442"/>
            <w:bookmarkStart w:id="133" w:name="_Toc32531"/>
            <w:bookmarkStart w:id="134" w:name="_Toc19251"/>
            <w:bookmarkStart w:id="135" w:name="_Toc8490"/>
            <w:bookmarkStart w:id="136" w:name="_Toc22917"/>
            <w:bookmarkStart w:id="137" w:name="_Toc7333"/>
            <w:bookmarkStart w:id="138" w:name="_Toc22879"/>
            <w:bookmarkStart w:id="139" w:name="_Toc24662"/>
            <w:bookmarkStart w:id="140" w:name="_Toc21809"/>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41" w:name="_Toc17642"/>
            <w:bookmarkStart w:id="142" w:name="_Toc1912"/>
            <w:bookmarkStart w:id="143" w:name="_Toc5563"/>
            <w:bookmarkStart w:id="144" w:name="_Toc20139"/>
            <w:bookmarkStart w:id="145" w:name="_Toc27185"/>
            <w:bookmarkStart w:id="146" w:name="_Toc1330"/>
            <w:bookmarkStart w:id="147" w:name="_Toc20820"/>
            <w:bookmarkStart w:id="148" w:name="_Toc17296"/>
            <w:bookmarkStart w:id="149" w:name="_Toc3701"/>
            <w:bookmarkStart w:id="150" w:name="_Toc5992"/>
            <w:r>
              <w:rPr>
                <w:rFonts w:hint="eastAsia" w:ascii="宋体" w:hAnsi="宋体" w:eastAsia="宋体" w:cs="Times New Roman"/>
                <w:color w:val="auto"/>
                <w:sz w:val="21"/>
                <w:szCs w:val="21"/>
                <w:highlight w:val="none"/>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30"/>
        <w:spacing w:after="0" w:line="360" w:lineRule="auto"/>
        <w:rPr>
          <w:rFonts w:ascii="宋体" w:hAnsi="宋体" w:eastAsia="宋体"/>
          <w:color w:val="auto"/>
          <w:sz w:val="21"/>
          <w:szCs w:val="21"/>
          <w:highlight w:val="none"/>
        </w:rPr>
      </w:pPr>
    </w:p>
    <w:p>
      <w:pPr>
        <w:pStyle w:val="3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0"/>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0"/>
        <w:numPr>
          <w:ilvl w:val="0"/>
          <w:numId w:val="12"/>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30"/>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30"/>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30"/>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51" w:name="_Toc27674"/>
      <w:r>
        <w:rPr>
          <w:rFonts w:hint="eastAsia" w:ascii="宋体" w:hAnsi="宋体" w:eastAsia="宋体"/>
          <w:color w:val="auto"/>
          <w:sz w:val="21"/>
          <w:szCs w:val="21"/>
          <w:highlight w:val="none"/>
        </w:rPr>
        <w:t>附件13.业绩表</w:t>
      </w:r>
      <w:bookmarkEnd w:id="151"/>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0"/>
        <w:spacing w:after="0"/>
        <w:rPr>
          <w:rFonts w:ascii="宋体" w:hAnsi="宋体" w:eastAsia="宋体"/>
          <w:color w:val="auto"/>
          <w:sz w:val="21"/>
          <w:szCs w:val="21"/>
          <w:highlight w:val="none"/>
        </w:rPr>
      </w:pPr>
    </w:p>
    <w:p>
      <w:pPr>
        <w:pStyle w:val="30"/>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0"/>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0"/>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0"/>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2" w:name="_Toc7860"/>
      <w:r>
        <w:rPr>
          <w:rFonts w:hint="eastAsia" w:ascii="宋体" w:hAnsi="宋体" w:eastAsia="宋体"/>
          <w:color w:val="auto"/>
          <w:sz w:val="21"/>
          <w:szCs w:val="21"/>
          <w:highlight w:val="none"/>
        </w:rPr>
        <w:t>附件14. 项目实施方案格式</w:t>
      </w:r>
      <w:bookmarkEnd w:id="15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3" w:name="_Toc8596"/>
      <w:r>
        <w:rPr>
          <w:rFonts w:hint="eastAsia" w:ascii="宋体" w:hAnsi="宋体" w:eastAsia="宋体"/>
          <w:color w:val="auto"/>
          <w:sz w:val="21"/>
          <w:szCs w:val="21"/>
          <w:highlight w:val="none"/>
        </w:rPr>
        <w:t>附件15. 实施本项目的有关人员资料表格式</w:t>
      </w:r>
      <w:bookmarkEnd w:id="153"/>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1"/>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0"/>
        <w:numPr>
          <w:ilvl w:val="0"/>
          <w:numId w:val="1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30"/>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0"/>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4" w:name="_Toc21598"/>
      <w:r>
        <w:rPr>
          <w:rFonts w:hint="eastAsia" w:ascii="宋体" w:hAnsi="宋体" w:eastAsia="宋体"/>
          <w:color w:val="auto"/>
          <w:sz w:val="21"/>
          <w:szCs w:val="21"/>
          <w:highlight w:val="none"/>
        </w:rPr>
        <w:t>附件16.投标货物说明一览表格式</w:t>
      </w:r>
      <w:bookmarkEnd w:id="154"/>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30"/>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30"/>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30"/>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5" w:name="_Toc10094"/>
      <w:bookmarkStart w:id="156" w:name="_Toc417907703"/>
      <w:bookmarkStart w:id="157" w:name="_Toc21223"/>
      <w:r>
        <w:rPr>
          <w:rFonts w:hint="eastAsia" w:ascii="宋体" w:hAnsi="宋体" w:eastAsia="宋体"/>
          <w:color w:val="auto"/>
          <w:sz w:val="21"/>
          <w:szCs w:val="21"/>
          <w:highlight w:val="none"/>
        </w:rPr>
        <w:t>附件17.在经营活动中没有重大违法记录的书面声明格式</w:t>
      </w:r>
      <w:bookmarkEnd w:id="15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6"/>
      <w:bookmarkEnd w:id="157"/>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8" w:name="_Toc28081"/>
      <w:r>
        <w:rPr>
          <w:rFonts w:hint="eastAsia" w:ascii="宋体" w:hAnsi="宋体" w:eastAsia="宋体"/>
          <w:color w:val="auto"/>
          <w:sz w:val="21"/>
          <w:szCs w:val="21"/>
          <w:highlight w:val="none"/>
        </w:rPr>
        <w:t>附件19.《残疾人福利性单位声明函》（残疾人福利性单位适用）</w:t>
      </w:r>
      <w:bookmarkEnd w:id="158"/>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9" w:name="_Toc20910"/>
      <w:bookmarkStart w:id="160" w:name="_Toc508960153"/>
      <w:bookmarkStart w:id="161" w:name="_Toc509479530"/>
      <w:bookmarkStart w:id="162" w:name="_Toc30277"/>
      <w:bookmarkStart w:id="163" w:name="_Toc509927455"/>
      <w:bookmarkStart w:id="164" w:name="_Toc508958703"/>
      <w:bookmarkStart w:id="165" w:name="_Toc22970"/>
      <w:bookmarkStart w:id="166" w:name="_Toc509844825"/>
      <w:bookmarkStart w:id="167" w:name="_Toc508898066"/>
      <w:bookmarkStart w:id="168" w:name="_Toc17761"/>
      <w:bookmarkStart w:id="169" w:name="_Toc510171693"/>
      <w:bookmarkStart w:id="170" w:name="_Toc30247"/>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9"/>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1" w:name="_Toc508898067"/>
      <w:bookmarkStart w:id="172" w:name="_Toc509479531"/>
      <w:bookmarkStart w:id="173" w:name="_Toc28527"/>
      <w:bookmarkStart w:id="174" w:name="_Toc508958704"/>
      <w:bookmarkStart w:id="175" w:name="_Toc26216"/>
      <w:bookmarkStart w:id="176" w:name="_Toc31520"/>
      <w:bookmarkStart w:id="177" w:name="_Toc510171694"/>
      <w:bookmarkStart w:id="178" w:name="_Toc21053"/>
      <w:bookmarkStart w:id="179" w:name="_Toc508960154"/>
      <w:bookmarkStart w:id="180" w:name="_Toc509927456"/>
      <w:bookmarkStart w:id="181" w:name="_Toc509844826"/>
      <w:bookmarkStart w:id="182" w:name="_Toc5447"/>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color w:val="auto"/>
          <w:sz w:val="21"/>
          <w:szCs w:val="21"/>
          <w:highlight w:val="none"/>
        </w:rPr>
      </w:pPr>
      <w:bookmarkStart w:id="183" w:name="_Toc508960155"/>
      <w:bookmarkStart w:id="184" w:name="_Toc14653"/>
      <w:bookmarkStart w:id="185" w:name="_Toc28126"/>
      <w:bookmarkStart w:id="186" w:name="_Toc28626"/>
      <w:bookmarkStart w:id="187" w:name="_Toc509479532"/>
      <w:bookmarkStart w:id="188" w:name="_Toc24848"/>
      <w:bookmarkStart w:id="189" w:name="_Toc509927457"/>
      <w:bookmarkStart w:id="190" w:name="_Toc508958705"/>
      <w:bookmarkStart w:id="191" w:name="_Toc508898068"/>
      <w:bookmarkStart w:id="192" w:name="_Toc9148"/>
      <w:bookmarkStart w:id="193" w:name="_Toc510171695"/>
      <w:bookmarkStart w:id="194" w:name="_Toc509844827"/>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highlight w:val="none"/>
        </w:rPr>
      </w:pPr>
      <w:bookmarkStart w:id="195" w:name="_Toc28044"/>
      <w:bookmarkStart w:id="196" w:name="_Toc509927458"/>
      <w:bookmarkStart w:id="197" w:name="_Toc509844828"/>
      <w:bookmarkStart w:id="198" w:name="_Toc7858"/>
      <w:bookmarkStart w:id="199" w:name="_Toc510171696"/>
      <w:bookmarkStart w:id="200" w:name="_Toc508898069"/>
      <w:bookmarkStart w:id="201" w:name="_Toc509479533"/>
      <w:bookmarkStart w:id="202" w:name="_Toc9837"/>
      <w:bookmarkStart w:id="203" w:name="_Toc508960156"/>
      <w:bookmarkStart w:id="204" w:name="_Toc28686"/>
      <w:bookmarkStart w:id="205" w:name="_Toc22981"/>
      <w:bookmarkStart w:id="206" w:name="_Toc50895870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color w:val="auto"/>
          <w:sz w:val="21"/>
          <w:szCs w:val="21"/>
          <w:highlight w:val="none"/>
        </w:rPr>
      </w:pPr>
      <w:bookmarkStart w:id="207" w:name="_Toc509927459"/>
      <w:bookmarkStart w:id="208" w:name="_Toc509479534"/>
      <w:bookmarkStart w:id="209" w:name="_Toc5289"/>
      <w:bookmarkStart w:id="210" w:name="_Toc510171697"/>
      <w:bookmarkStart w:id="211" w:name="_Toc508960157"/>
      <w:bookmarkStart w:id="212" w:name="_Toc509844829"/>
      <w:bookmarkStart w:id="213" w:name="_Toc18843"/>
      <w:bookmarkStart w:id="214" w:name="_Toc508898070"/>
      <w:bookmarkStart w:id="215"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6" w:name="_Toc25634"/>
      <w:r>
        <w:rPr>
          <w:rFonts w:hint="eastAsia" w:ascii="宋体" w:hAnsi="宋体" w:eastAsia="宋体"/>
          <w:color w:val="auto"/>
          <w:sz w:val="21"/>
          <w:szCs w:val="21"/>
          <w:highlight w:val="none"/>
        </w:rPr>
        <w:t>附件20. 投标保证金汇入情况说明格式</w:t>
      </w:r>
      <w:bookmarkEnd w:id="21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217" w:name="_Toc4363"/>
      <w:r>
        <w:rPr>
          <w:rFonts w:hint="eastAsia" w:ascii="宋体" w:hAnsi="宋体" w:eastAsia="宋体"/>
          <w:color w:val="auto"/>
          <w:sz w:val="21"/>
          <w:szCs w:val="21"/>
          <w:highlight w:val="none"/>
        </w:rPr>
        <w:t>附件21.政府采购投标担保函</w:t>
      </w:r>
      <w:bookmarkEnd w:id="2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8" w:name="_Toc27534"/>
      <w:r>
        <w:rPr>
          <w:rFonts w:hint="eastAsia" w:ascii="宋体" w:hAnsi="宋体" w:eastAsia="宋体" w:cs="宋体"/>
          <w:b/>
          <w:bCs/>
          <w:color w:val="auto"/>
          <w:sz w:val="21"/>
          <w:szCs w:val="21"/>
          <w:highlight w:val="none"/>
          <w:lang w:val="en-US" w:eastAsia="zh-CN" w:bidi="ar-SA"/>
        </w:rPr>
        <w:t>附件22.政府采购履约担保函</w:t>
      </w:r>
      <w:bookmarkEnd w:id="218"/>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33"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5"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693"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9"/>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9"/>
        <w:rPr>
          <w:color w:val="auto"/>
          <w:highlight w:val="none"/>
        </w:rPr>
      </w:pPr>
    </w:p>
    <w:p>
      <w:pPr>
        <w:pStyle w:val="10"/>
        <w:rPr>
          <w:color w:val="auto"/>
          <w:highlight w:val="none"/>
        </w:rPr>
      </w:pPr>
    </w:p>
    <w:p>
      <w:pPr>
        <w:bidi w:val="0"/>
        <w:rPr>
          <w:color w:val="auto"/>
          <w:highlight w:val="none"/>
        </w:rPr>
      </w:pPr>
    </w:p>
    <w:p>
      <w:pPr>
        <w:pStyle w:val="5"/>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color w:val="auto"/>
          <w:highlight w:val="none"/>
          <w:lang w:val="en-US" w:eastAsia="zh-CN"/>
        </w:rPr>
      </w:pPr>
    </w:p>
    <w:p>
      <w:pPr>
        <w:jc w:val="center"/>
        <w:rPr>
          <w:rFonts w:hint="eastAsia"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以一个投标供应商的身份共同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的投标响应。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项目的投标响应和合同实施阶段的有关事务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2.联合体投标工作由联合体共同负责，由联合体各方组成的响应小组具体实施。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cs="宋体"/>
          <w:color w:val="auto"/>
          <w:sz w:val="21"/>
          <w:szCs w:val="21"/>
          <w:highlight w:val="none"/>
          <w:lang w:val="en-US" w:eastAsia="zh-CN"/>
        </w:rPr>
        <w:t>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p>
      <w:pPr>
        <w:bidi w:val="0"/>
        <w:rPr>
          <w:color w:val="auto"/>
          <w:highlight w:val="none"/>
        </w:rPr>
      </w:pPr>
      <w:r>
        <w:rPr>
          <w:color w:val="auto"/>
          <w:highlight w:val="none"/>
        </w:rPr>
        <w:br w:type="page"/>
      </w:r>
    </w:p>
    <w:p>
      <w:pPr>
        <w:pStyle w:val="5"/>
        <w:spacing w:before="0" w:after="0" w:line="240" w:lineRule="auto"/>
        <w:rPr>
          <w:rFonts w:ascii="宋体" w:hAnsi="宋体" w:eastAsia="宋体" w:cs="宋体"/>
          <w:color w:val="auto"/>
          <w:sz w:val="21"/>
          <w:szCs w:val="21"/>
          <w:highlight w:val="none"/>
        </w:rPr>
      </w:pPr>
      <w:bookmarkStart w:id="219" w:name="_Toc17023"/>
      <w:r>
        <w:rPr>
          <w:rFonts w:hint="eastAsia" w:eastAsiaTheme="minorEastAsia"/>
          <w:color w:val="auto"/>
          <w:highlight w:val="none"/>
          <w:lang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-464820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1"/>
                    <a:stretch>
                      <a:fillRect/>
                    </a:stretch>
                  </pic:blipFill>
                  <pic:spPr>
                    <a:xfrm>
                      <a:off x="0" y="0"/>
                      <a:ext cx="5264150" cy="444500"/>
                    </a:xfrm>
                    <a:prstGeom prst="rect">
                      <a:avLst/>
                    </a:prstGeom>
                  </pic:spPr>
                </pic:pic>
              </a:graphicData>
            </a:graphic>
          </wp:anchor>
        </w:drawing>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.获取招标文件登记表</w:t>
      </w:r>
      <w:bookmarkEnd w:id="219"/>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w:t>
      </w:r>
      <w:r>
        <w:rPr>
          <w:rFonts w:hint="eastAsia" w:ascii="黑体" w:hAnsi="黑体" w:eastAsia="黑体" w:cs="黑体"/>
          <w:color w:val="auto"/>
          <w:sz w:val="52"/>
          <w:szCs w:val="52"/>
          <w:highlight w:val="none"/>
          <w:lang w:eastAsia="zh-CN"/>
        </w:rPr>
        <w:t>招标文件</w:t>
      </w:r>
      <w:r>
        <w:rPr>
          <w:rFonts w:hint="eastAsia" w:ascii="黑体" w:hAnsi="黑体" w:eastAsia="黑体" w:cs="黑体"/>
          <w:color w:val="auto"/>
          <w:sz w:val="52"/>
          <w:szCs w:val="52"/>
          <w:highlight w:val="none"/>
        </w:rPr>
        <w:t>登记表</w:t>
      </w:r>
    </w:p>
    <w:tbl>
      <w:tblPr>
        <w:tblStyle w:val="21"/>
        <w:tblW w:w="4998" w:type="pct"/>
        <w:tblInd w:w="0" w:type="dxa"/>
        <w:shd w:val="clear" w:color="auto" w:fill="auto"/>
        <w:tblLayout w:type="fixed"/>
        <w:tblCellMar>
          <w:top w:w="0" w:type="dxa"/>
          <w:left w:w="108" w:type="dxa"/>
          <w:bottom w:w="0" w:type="dxa"/>
          <w:right w:w="108" w:type="dxa"/>
        </w:tblCellMar>
      </w:tblPr>
      <w:tblGrid>
        <w:gridCol w:w="2769"/>
        <w:gridCol w:w="2355"/>
        <w:gridCol w:w="1027"/>
        <w:gridCol w:w="2368"/>
      </w:tblGrid>
      <w:tr>
        <w:tblPrEx>
          <w:shd w:val="clear" w:color="auto" w:fill="auto"/>
          <w:tblCellMar>
            <w:top w:w="0" w:type="dxa"/>
            <w:left w:w="108" w:type="dxa"/>
            <w:bottom w:w="0" w:type="dxa"/>
            <w:right w:w="108" w:type="dxa"/>
          </w:tblCellMar>
        </w:tblPrEx>
        <w:trPr>
          <w:trHeight w:val="153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人民币150元/份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28"/>
                <w:szCs w:val="28"/>
                <w:highlight w:val="none"/>
              </w:rPr>
              <w:t>注：开完发票后请把报名表格交还至前台</w:t>
            </w:r>
          </w:p>
        </w:tc>
      </w:tr>
    </w:tbl>
    <w:p>
      <w:pPr>
        <w:rPr>
          <w:color w:val="auto"/>
          <w:highlight w:val="none"/>
        </w:rPr>
      </w:pPr>
      <w:r>
        <w:rPr>
          <w:color w:val="auto"/>
          <w:highlight w:val="none"/>
        </w:rPr>
        <w:br w:type="page"/>
      </w:r>
    </w:p>
    <w:p>
      <w:pPr>
        <w:pStyle w:val="5"/>
        <w:spacing w:before="0" w:after="0" w:line="240" w:lineRule="auto"/>
        <w:rPr>
          <w:rFonts w:ascii="宋体" w:hAnsi="宋体" w:eastAsia="宋体" w:cs="宋体"/>
          <w:color w:val="auto"/>
          <w:sz w:val="21"/>
          <w:szCs w:val="21"/>
          <w:highlight w:val="none"/>
        </w:rPr>
      </w:pPr>
      <w:bookmarkStart w:id="220" w:name="_Toc11182"/>
      <w:r>
        <w:rPr>
          <w:rFonts w:hint="eastAsia" w:ascii="宋体" w:hAnsi="宋体" w:eastAsia="宋体" w:cs="宋体"/>
          <w:color w:val="auto"/>
          <w:sz w:val="21"/>
          <w:szCs w:val="21"/>
          <w:highlight w:val="none"/>
        </w:rPr>
        <w:t>附件 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.质疑函范本</w:t>
      </w:r>
      <w:bookmarkEnd w:id="220"/>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9"/>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7" w:type="first"/>
      <w:footerReference r:id="rId6" w:type="default"/>
      <w:pgSz w:w="11906" w:h="16838"/>
      <w:pgMar w:top="1440" w:right="1800" w:bottom="1440" w:left="1800" w:header="708" w:footer="708" w:gutter="0"/>
      <w:pgNumType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vhcc3RAQAApwMAAA4AAAAAAAAAAQAgAAAAHgEAAGRy&#10;cy9lMm9Eb2MueG1sUEsFBgAAAAAGAAYAWQEAAGE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8"/>
        <w:snapToGrid w:val="0"/>
        <w:rPr>
          <w:rFonts w:hint="eastAsia" w:eastAsia="微软雅黑"/>
          <w:lang w:eastAsia="zh-CN"/>
        </w:rPr>
      </w:pPr>
      <w:r>
        <w:rPr>
          <w:rStyle w:val="27"/>
        </w:rPr>
        <w:footnoteRef/>
      </w:r>
      <w:r>
        <w:t xml:space="preserve"> </w:t>
      </w:r>
      <w:r>
        <w:rPr>
          <w:rFonts w:hint="eastAsia"/>
          <w:lang w:eastAsia="zh-CN"/>
        </w:rPr>
        <w:t>从业人员、营业人员、资产总额填报上一年度数据，无上一年度数据的新成立企业可不填报。</w:t>
      </w:r>
    </w:p>
  </w:footnote>
  <w:footnote w:id="1">
    <w:p>
      <w:pPr>
        <w:pStyle w:val="18"/>
        <w:snapToGrid w:val="0"/>
      </w:pPr>
      <w:r>
        <w:rPr>
          <w:rStyle w:val="27"/>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16010E5"/>
    <w:multiLevelType w:val="singleLevel"/>
    <w:tmpl w:val="316010E5"/>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69C9112"/>
    <w:multiLevelType w:val="singleLevel"/>
    <w:tmpl w:val="569C9112"/>
    <w:lvl w:ilvl="0" w:tentative="0">
      <w:start w:val="1"/>
      <w:numFmt w:val="decimal"/>
      <w:suff w:val="nothing"/>
      <w:lvlText w:val="（%1）"/>
      <w:lvlJc w:val="left"/>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86FA46"/>
    <w:multiLevelType w:val="singleLevel"/>
    <w:tmpl w:val="6A86FA46"/>
    <w:lvl w:ilvl="0" w:tentative="0">
      <w:start w:val="1"/>
      <w:numFmt w:val="decimal"/>
      <w:suff w:val="nothing"/>
      <w:lvlText w:val="%1、"/>
      <w:lvlJc w:val="left"/>
    </w:lvl>
  </w:abstractNum>
  <w:num w:numId="1">
    <w:abstractNumId w:val="11"/>
  </w:num>
  <w:num w:numId="2">
    <w:abstractNumId w:val="14"/>
  </w:num>
  <w:num w:numId="3">
    <w:abstractNumId w:val="12"/>
  </w:num>
  <w:num w:numId="4">
    <w:abstractNumId w:val="7"/>
  </w:num>
  <w:num w:numId="5">
    <w:abstractNumId w:val="10"/>
  </w:num>
  <w:num w:numId="6">
    <w:abstractNumId w:val="8"/>
  </w:num>
  <w:num w:numId="7">
    <w:abstractNumId w:val="4"/>
  </w:num>
  <w:num w:numId="8">
    <w:abstractNumId w:val="5"/>
  </w:num>
  <w:num w:numId="9">
    <w:abstractNumId w:val="1"/>
  </w:num>
  <w:num w:numId="10">
    <w:abstractNumId w:val="2"/>
  </w:num>
  <w:num w:numId="11">
    <w:abstractNumId w:val="6"/>
  </w:num>
  <w:num w:numId="12">
    <w:abstractNumId w:val="0"/>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3D60E0"/>
    <w:rsid w:val="018023CE"/>
    <w:rsid w:val="01881AD6"/>
    <w:rsid w:val="01B938AA"/>
    <w:rsid w:val="02126CDB"/>
    <w:rsid w:val="021832B7"/>
    <w:rsid w:val="023E2B2F"/>
    <w:rsid w:val="024E2E49"/>
    <w:rsid w:val="02A741FD"/>
    <w:rsid w:val="02C16E5D"/>
    <w:rsid w:val="02D964CF"/>
    <w:rsid w:val="0329201A"/>
    <w:rsid w:val="0340787C"/>
    <w:rsid w:val="03707410"/>
    <w:rsid w:val="037F03E3"/>
    <w:rsid w:val="03A0770F"/>
    <w:rsid w:val="03A27BF9"/>
    <w:rsid w:val="03A448B8"/>
    <w:rsid w:val="03AD071E"/>
    <w:rsid w:val="04A50E9B"/>
    <w:rsid w:val="04C6519F"/>
    <w:rsid w:val="04DF1036"/>
    <w:rsid w:val="05A97DEC"/>
    <w:rsid w:val="05C81981"/>
    <w:rsid w:val="06AD7367"/>
    <w:rsid w:val="06BC41F2"/>
    <w:rsid w:val="06DB5F40"/>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22A16"/>
    <w:rsid w:val="09182241"/>
    <w:rsid w:val="09343F58"/>
    <w:rsid w:val="093C069F"/>
    <w:rsid w:val="09855177"/>
    <w:rsid w:val="09870F93"/>
    <w:rsid w:val="09E34BA5"/>
    <w:rsid w:val="09F1637C"/>
    <w:rsid w:val="0A25628F"/>
    <w:rsid w:val="0AA534D5"/>
    <w:rsid w:val="0AA650EB"/>
    <w:rsid w:val="0AB8066A"/>
    <w:rsid w:val="0AF47339"/>
    <w:rsid w:val="0AFC373F"/>
    <w:rsid w:val="0B22594B"/>
    <w:rsid w:val="0B797387"/>
    <w:rsid w:val="0BC044BE"/>
    <w:rsid w:val="0BDF26F7"/>
    <w:rsid w:val="0C264099"/>
    <w:rsid w:val="0C2B4952"/>
    <w:rsid w:val="0C7B2220"/>
    <w:rsid w:val="0D4121DD"/>
    <w:rsid w:val="0D890E47"/>
    <w:rsid w:val="0DC64A00"/>
    <w:rsid w:val="0DFC60BA"/>
    <w:rsid w:val="0E4249F1"/>
    <w:rsid w:val="0F1D1A44"/>
    <w:rsid w:val="0F6D2156"/>
    <w:rsid w:val="0F7C5FF6"/>
    <w:rsid w:val="0FC63FBD"/>
    <w:rsid w:val="106C564D"/>
    <w:rsid w:val="107B7B8F"/>
    <w:rsid w:val="107C67CE"/>
    <w:rsid w:val="109D68CB"/>
    <w:rsid w:val="10A949B8"/>
    <w:rsid w:val="10AC1A6B"/>
    <w:rsid w:val="11200D07"/>
    <w:rsid w:val="11DA73AF"/>
    <w:rsid w:val="12073547"/>
    <w:rsid w:val="128551B4"/>
    <w:rsid w:val="12AB467C"/>
    <w:rsid w:val="12C60D80"/>
    <w:rsid w:val="131F7A3A"/>
    <w:rsid w:val="132645D0"/>
    <w:rsid w:val="13455ABC"/>
    <w:rsid w:val="1370322B"/>
    <w:rsid w:val="13B27845"/>
    <w:rsid w:val="141A03E1"/>
    <w:rsid w:val="143B2E0B"/>
    <w:rsid w:val="14672B11"/>
    <w:rsid w:val="14875CBE"/>
    <w:rsid w:val="14892735"/>
    <w:rsid w:val="14CC769D"/>
    <w:rsid w:val="15810BF2"/>
    <w:rsid w:val="15D359D7"/>
    <w:rsid w:val="15D81E0F"/>
    <w:rsid w:val="163C77BE"/>
    <w:rsid w:val="1679588C"/>
    <w:rsid w:val="16994962"/>
    <w:rsid w:val="16A71041"/>
    <w:rsid w:val="16AA24BF"/>
    <w:rsid w:val="16F72341"/>
    <w:rsid w:val="17680CAB"/>
    <w:rsid w:val="176E4128"/>
    <w:rsid w:val="1783371F"/>
    <w:rsid w:val="17E62B67"/>
    <w:rsid w:val="180F4499"/>
    <w:rsid w:val="18221ECE"/>
    <w:rsid w:val="18254C3F"/>
    <w:rsid w:val="18E13BF1"/>
    <w:rsid w:val="19A2789F"/>
    <w:rsid w:val="1A460CF5"/>
    <w:rsid w:val="1A5B7486"/>
    <w:rsid w:val="1A7F297D"/>
    <w:rsid w:val="1AB16AC1"/>
    <w:rsid w:val="1B034A52"/>
    <w:rsid w:val="1B1F34AD"/>
    <w:rsid w:val="1B8D5DC6"/>
    <w:rsid w:val="1BFE1D3B"/>
    <w:rsid w:val="1C2775EC"/>
    <w:rsid w:val="1C4E243E"/>
    <w:rsid w:val="1C750ECE"/>
    <w:rsid w:val="1D0836D7"/>
    <w:rsid w:val="1D196139"/>
    <w:rsid w:val="1DB85900"/>
    <w:rsid w:val="1E010AF7"/>
    <w:rsid w:val="1E0178EB"/>
    <w:rsid w:val="1E0212F0"/>
    <w:rsid w:val="1E301173"/>
    <w:rsid w:val="1E38333E"/>
    <w:rsid w:val="1EA40BB4"/>
    <w:rsid w:val="1F43381C"/>
    <w:rsid w:val="1FA4148D"/>
    <w:rsid w:val="20121621"/>
    <w:rsid w:val="201A421D"/>
    <w:rsid w:val="204E554F"/>
    <w:rsid w:val="20590035"/>
    <w:rsid w:val="208377CB"/>
    <w:rsid w:val="20FC799E"/>
    <w:rsid w:val="22154DDD"/>
    <w:rsid w:val="22213E42"/>
    <w:rsid w:val="22336873"/>
    <w:rsid w:val="223C3F95"/>
    <w:rsid w:val="228573B6"/>
    <w:rsid w:val="238C2182"/>
    <w:rsid w:val="239015D1"/>
    <w:rsid w:val="23BB4E7D"/>
    <w:rsid w:val="23C172D6"/>
    <w:rsid w:val="23F04F64"/>
    <w:rsid w:val="24814CBE"/>
    <w:rsid w:val="24AC168B"/>
    <w:rsid w:val="258C3BEC"/>
    <w:rsid w:val="25B8381F"/>
    <w:rsid w:val="260E3862"/>
    <w:rsid w:val="262569FC"/>
    <w:rsid w:val="26344C98"/>
    <w:rsid w:val="26F56CE2"/>
    <w:rsid w:val="27435D49"/>
    <w:rsid w:val="27A34F71"/>
    <w:rsid w:val="27B36A67"/>
    <w:rsid w:val="27EB0D9B"/>
    <w:rsid w:val="286602C8"/>
    <w:rsid w:val="28665C95"/>
    <w:rsid w:val="288A0DA7"/>
    <w:rsid w:val="290B3EB9"/>
    <w:rsid w:val="291418C2"/>
    <w:rsid w:val="2950768C"/>
    <w:rsid w:val="297A5FC4"/>
    <w:rsid w:val="29A92197"/>
    <w:rsid w:val="29AE147C"/>
    <w:rsid w:val="29B27FA9"/>
    <w:rsid w:val="29F4465E"/>
    <w:rsid w:val="2A1113BC"/>
    <w:rsid w:val="2A8D4F8F"/>
    <w:rsid w:val="2A911082"/>
    <w:rsid w:val="2A917B34"/>
    <w:rsid w:val="2AE3766F"/>
    <w:rsid w:val="2B7E4054"/>
    <w:rsid w:val="2BEB18C9"/>
    <w:rsid w:val="2BF22742"/>
    <w:rsid w:val="2C987C56"/>
    <w:rsid w:val="2CA72A79"/>
    <w:rsid w:val="2CFF149A"/>
    <w:rsid w:val="2D201865"/>
    <w:rsid w:val="2D4B5CEA"/>
    <w:rsid w:val="2D652658"/>
    <w:rsid w:val="2DB31EB9"/>
    <w:rsid w:val="2DC80C49"/>
    <w:rsid w:val="2DCA6355"/>
    <w:rsid w:val="2DF0699F"/>
    <w:rsid w:val="2E166748"/>
    <w:rsid w:val="2E2824EC"/>
    <w:rsid w:val="2E556F01"/>
    <w:rsid w:val="2E7118A1"/>
    <w:rsid w:val="2E8E20B4"/>
    <w:rsid w:val="2E906BAA"/>
    <w:rsid w:val="2ED06066"/>
    <w:rsid w:val="2ED1223D"/>
    <w:rsid w:val="2EE470F7"/>
    <w:rsid w:val="2F000139"/>
    <w:rsid w:val="2F561B8A"/>
    <w:rsid w:val="2F844368"/>
    <w:rsid w:val="2F9F42DC"/>
    <w:rsid w:val="2FF37AB3"/>
    <w:rsid w:val="30734387"/>
    <w:rsid w:val="30CA4570"/>
    <w:rsid w:val="30FF27D2"/>
    <w:rsid w:val="31170995"/>
    <w:rsid w:val="31264A30"/>
    <w:rsid w:val="31884E67"/>
    <w:rsid w:val="31A0275E"/>
    <w:rsid w:val="31B7357A"/>
    <w:rsid w:val="31ED6B08"/>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6B85D08"/>
    <w:rsid w:val="37A103ED"/>
    <w:rsid w:val="37E532A0"/>
    <w:rsid w:val="37EA5E6E"/>
    <w:rsid w:val="37F2550A"/>
    <w:rsid w:val="37FF016F"/>
    <w:rsid w:val="38427C0B"/>
    <w:rsid w:val="387C5ABE"/>
    <w:rsid w:val="389B3A1E"/>
    <w:rsid w:val="38EB6119"/>
    <w:rsid w:val="39FE0BE9"/>
    <w:rsid w:val="3A350D82"/>
    <w:rsid w:val="3A3C1AAF"/>
    <w:rsid w:val="3A51228C"/>
    <w:rsid w:val="3A552E60"/>
    <w:rsid w:val="3A5D642F"/>
    <w:rsid w:val="3A81276E"/>
    <w:rsid w:val="3AB210FC"/>
    <w:rsid w:val="3AD95C13"/>
    <w:rsid w:val="3B261E51"/>
    <w:rsid w:val="3BCD72F7"/>
    <w:rsid w:val="3C1B7A44"/>
    <w:rsid w:val="3C414142"/>
    <w:rsid w:val="3CF737A2"/>
    <w:rsid w:val="3D10295A"/>
    <w:rsid w:val="3D713830"/>
    <w:rsid w:val="3E0572FD"/>
    <w:rsid w:val="3E1A5292"/>
    <w:rsid w:val="3E3B436A"/>
    <w:rsid w:val="3E5A7FE7"/>
    <w:rsid w:val="3E8C7F8C"/>
    <w:rsid w:val="3EBC747A"/>
    <w:rsid w:val="3EC8179E"/>
    <w:rsid w:val="3EF66B2E"/>
    <w:rsid w:val="3F217914"/>
    <w:rsid w:val="3FD70BB0"/>
    <w:rsid w:val="3FFB55AC"/>
    <w:rsid w:val="401C5F9D"/>
    <w:rsid w:val="401C690C"/>
    <w:rsid w:val="401D7195"/>
    <w:rsid w:val="40CE3DC0"/>
    <w:rsid w:val="40D7455A"/>
    <w:rsid w:val="40E743E5"/>
    <w:rsid w:val="4110038E"/>
    <w:rsid w:val="41734CBA"/>
    <w:rsid w:val="41DD7057"/>
    <w:rsid w:val="41DE432C"/>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5041F3"/>
    <w:rsid w:val="479D1D34"/>
    <w:rsid w:val="47B609C0"/>
    <w:rsid w:val="482D31EA"/>
    <w:rsid w:val="485970A0"/>
    <w:rsid w:val="486C398E"/>
    <w:rsid w:val="48A41906"/>
    <w:rsid w:val="48A85C6B"/>
    <w:rsid w:val="48B65C71"/>
    <w:rsid w:val="48F303D7"/>
    <w:rsid w:val="490E11FB"/>
    <w:rsid w:val="492837FF"/>
    <w:rsid w:val="492E6A57"/>
    <w:rsid w:val="494A67B1"/>
    <w:rsid w:val="495339AD"/>
    <w:rsid w:val="4A0030EE"/>
    <w:rsid w:val="4AC36065"/>
    <w:rsid w:val="4B7501F5"/>
    <w:rsid w:val="4B8C2DEB"/>
    <w:rsid w:val="4BFA3C9F"/>
    <w:rsid w:val="4C0E3379"/>
    <w:rsid w:val="4C107F48"/>
    <w:rsid w:val="4C162333"/>
    <w:rsid w:val="4C3277BC"/>
    <w:rsid w:val="4CC353EB"/>
    <w:rsid w:val="4CF36F3C"/>
    <w:rsid w:val="4D4F67BA"/>
    <w:rsid w:val="4D603399"/>
    <w:rsid w:val="4D827376"/>
    <w:rsid w:val="4D867EE1"/>
    <w:rsid w:val="4DBC4C65"/>
    <w:rsid w:val="4DF6568D"/>
    <w:rsid w:val="4E274C1B"/>
    <w:rsid w:val="4E550010"/>
    <w:rsid w:val="4E5F14CB"/>
    <w:rsid w:val="4E6B22C2"/>
    <w:rsid w:val="4EEA416A"/>
    <w:rsid w:val="4F3705F8"/>
    <w:rsid w:val="4FAC3540"/>
    <w:rsid w:val="4FB654DF"/>
    <w:rsid w:val="4FBB12F4"/>
    <w:rsid w:val="4FCF1583"/>
    <w:rsid w:val="4FFA7625"/>
    <w:rsid w:val="501B0BF9"/>
    <w:rsid w:val="507D2599"/>
    <w:rsid w:val="5096229D"/>
    <w:rsid w:val="50DC4184"/>
    <w:rsid w:val="51475B39"/>
    <w:rsid w:val="514C3EA7"/>
    <w:rsid w:val="519849E5"/>
    <w:rsid w:val="51B36892"/>
    <w:rsid w:val="52506DA7"/>
    <w:rsid w:val="52A27E1D"/>
    <w:rsid w:val="52DD56C3"/>
    <w:rsid w:val="53072A92"/>
    <w:rsid w:val="533B2B84"/>
    <w:rsid w:val="537A7243"/>
    <w:rsid w:val="539C1B81"/>
    <w:rsid w:val="53AE750F"/>
    <w:rsid w:val="53F263AD"/>
    <w:rsid w:val="53F422D3"/>
    <w:rsid w:val="54693932"/>
    <w:rsid w:val="549A6BFA"/>
    <w:rsid w:val="54E72921"/>
    <w:rsid w:val="553847E0"/>
    <w:rsid w:val="55806F07"/>
    <w:rsid w:val="55FA2961"/>
    <w:rsid w:val="565E7F4F"/>
    <w:rsid w:val="56775789"/>
    <w:rsid w:val="56857D06"/>
    <w:rsid w:val="56914056"/>
    <w:rsid w:val="56A934AE"/>
    <w:rsid w:val="56DB613D"/>
    <w:rsid w:val="57F8398C"/>
    <w:rsid w:val="57FC2169"/>
    <w:rsid w:val="58096275"/>
    <w:rsid w:val="581C04F1"/>
    <w:rsid w:val="582E6EF7"/>
    <w:rsid w:val="583C6A8D"/>
    <w:rsid w:val="58434392"/>
    <w:rsid w:val="584E30E6"/>
    <w:rsid w:val="588273B5"/>
    <w:rsid w:val="58A43B0E"/>
    <w:rsid w:val="58D73C60"/>
    <w:rsid w:val="59014D02"/>
    <w:rsid w:val="597B384D"/>
    <w:rsid w:val="59996DA8"/>
    <w:rsid w:val="59B06B4D"/>
    <w:rsid w:val="59C30F1B"/>
    <w:rsid w:val="59D44A75"/>
    <w:rsid w:val="5A0D5854"/>
    <w:rsid w:val="5A20156F"/>
    <w:rsid w:val="5A4E6794"/>
    <w:rsid w:val="5AC7121C"/>
    <w:rsid w:val="5AD90B8D"/>
    <w:rsid w:val="5AE12927"/>
    <w:rsid w:val="5B2243E9"/>
    <w:rsid w:val="5B4E1A44"/>
    <w:rsid w:val="5B666742"/>
    <w:rsid w:val="5B873201"/>
    <w:rsid w:val="5B89551D"/>
    <w:rsid w:val="5B967767"/>
    <w:rsid w:val="5B9E55DE"/>
    <w:rsid w:val="5BA0504B"/>
    <w:rsid w:val="5BEB3D88"/>
    <w:rsid w:val="5C286807"/>
    <w:rsid w:val="5C446BC8"/>
    <w:rsid w:val="5C4C687B"/>
    <w:rsid w:val="5C7C2768"/>
    <w:rsid w:val="5CB23AE6"/>
    <w:rsid w:val="5CF55792"/>
    <w:rsid w:val="5CFD533A"/>
    <w:rsid w:val="5D893B14"/>
    <w:rsid w:val="5D9313F0"/>
    <w:rsid w:val="5E2B7D62"/>
    <w:rsid w:val="5EA06921"/>
    <w:rsid w:val="5ED5006A"/>
    <w:rsid w:val="5F025801"/>
    <w:rsid w:val="5F576E4B"/>
    <w:rsid w:val="5F7A2C30"/>
    <w:rsid w:val="5FBE370A"/>
    <w:rsid w:val="60292845"/>
    <w:rsid w:val="612E1A5D"/>
    <w:rsid w:val="61816046"/>
    <w:rsid w:val="61E501D3"/>
    <w:rsid w:val="621C5D00"/>
    <w:rsid w:val="62391564"/>
    <w:rsid w:val="627F628B"/>
    <w:rsid w:val="62816669"/>
    <w:rsid w:val="62BA0953"/>
    <w:rsid w:val="62D03A7C"/>
    <w:rsid w:val="62F16BCB"/>
    <w:rsid w:val="62F648FE"/>
    <w:rsid w:val="63341DB1"/>
    <w:rsid w:val="63A10995"/>
    <w:rsid w:val="63C23EFA"/>
    <w:rsid w:val="643A070A"/>
    <w:rsid w:val="644C573D"/>
    <w:rsid w:val="647B5AF9"/>
    <w:rsid w:val="648667A7"/>
    <w:rsid w:val="64DB383A"/>
    <w:rsid w:val="65032F85"/>
    <w:rsid w:val="65136B50"/>
    <w:rsid w:val="657E2A35"/>
    <w:rsid w:val="65A94E9D"/>
    <w:rsid w:val="65C60A92"/>
    <w:rsid w:val="662203DD"/>
    <w:rsid w:val="66DD6702"/>
    <w:rsid w:val="67016BC9"/>
    <w:rsid w:val="671F1011"/>
    <w:rsid w:val="67296940"/>
    <w:rsid w:val="679406CB"/>
    <w:rsid w:val="679D4520"/>
    <w:rsid w:val="67C35C0B"/>
    <w:rsid w:val="68652AB3"/>
    <w:rsid w:val="68AD17BB"/>
    <w:rsid w:val="68D94D22"/>
    <w:rsid w:val="691414E1"/>
    <w:rsid w:val="692B2E4A"/>
    <w:rsid w:val="694303FB"/>
    <w:rsid w:val="696A0B34"/>
    <w:rsid w:val="698D6A17"/>
    <w:rsid w:val="69EE3535"/>
    <w:rsid w:val="69F954C1"/>
    <w:rsid w:val="6A16708F"/>
    <w:rsid w:val="6A2031B6"/>
    <w:rsid w:val="6A381904"/>
    <w:rsid w:val="6A440C53"/>
    <w:rsid w:val="6AC61F6F"/>
    <w:rsid w:val="6ADE74F0"/>
    <w:rsid w:val="6AFC08DD"/>
    <w:rsid w:val="6B1002C0"/>
    <w:rsid w:val="6B723594"/>
    <w:rsid w:val="6B805156"/>
    <w:rsid w:val="6BD50977"/>
    <w:rsid w:val="6BEA2A9B"/>
    <w:rsid w:val="6C9C0875"/>
    <w:rsid w:val="6CAA3931"/>
    <w:rsid w:val="6D3933CA"/>
    <w:rsid w:val="6D7B61EC"/>
    <w:rsid w:val="6D9273E2"/>
    <w:rsid w:val="6DAA4761"/>
    <w:rsid w:val="6DD049FF"/>
    <w:rsid w:val="6DE9333E"/>
    <w:rsid w:val="6E09491E"/>
    <w:rsid w:val="6E0D3655"/>
    <w:rsid w:val="6E5F4465"/>
    <w:rsid w:val="6E8C54DA"/>
    <w:rsid w:val="6EA32EE4"/>
    <w:rsid w:val="6EF11E03"/>
    <w:rsid w:val="6F111C62"/>
    <w:rsid w:val="6F2176E5"/>
    <w:rsid w:val="6F3053CA"/>
    <w:rsid w:val="6F592303"/>
    <w:rsid w:val="6F5F5B74"/>
    <w:rsid w:val="6F8A6C45"/>
    <w:rsid w:val="6F9B1C65"/>
    <w:rsid w:val="6FD47A25"/>
    <w:rsid w:val="6FFB146E"/>
    <w:rsid w:val="70035B76"/>
    <w:rsid w:val="701A5C74"/>
    <w:rsid w:val="706516C3"/>
    <w:rsid w:val="7067694C"/>
    <w:rsid w:val="70896E68"/>
    <w:rsid w:val="715B60E9"/>
    <w:rsid w:val="71EA1FED"/>
    <w:rsid w:val="728948D0"/>
    <w:rsid w:val="72C16204"/>
    <w:rsid w:val="730313F6"/>
    <w:rsid w:val="731E1007"/>
    <w:rsid w:val="73370D24"/>
    <w:rsid w:val="73447841"/>
    <w:rsid w:val="7359268C"/>
    <w:rsid w:val="73774052"/>
    <w:rsid w:val="739503EB"/>
    <w:rsid w:val="73A05B28"/>
    <w:rsid w:val="73C07D69"/>
    <w:rsid w:val="73F50620"/>
    <w:rsid w:val="74B42AE4"/>
    <w:rsid w:val="750A429D"/>
    <w:rsid w:val="755D38A7"/>
    <w:rsid w:val="75614792"/>
    <w:rsid w:val="75784473"/>
    <w:rsid w:val="757E044C"/>
    <w:rsid w:val="75977BC3"/>
    <w:rsid w:val="75B161B3"/>
    <w:rsid w:val="75E470E3"/>
    <w:rsid w:val="76166884"/>
    <w:rsid w:val="76736B32"/>
    <w:rsid w:val="76E3765E"/>
    <w:rsid w:val="76FC2AFA"/>
    <w:rsid w:val="77653671"/>
    <w:rsid w:val="778546CC"/>
    <w:rsid w:val="77B56730"/>
    <w:rsid w:val="77C04A8B"/>
    <w:rsid w:val="77D85DB3"/>
    <w:rsid w:val="780252A0"/>
    <w:rsid w:val="78027772"/>
    <w:rsid w:val="78A50513"/>
    <w:rsid w:val="79074F32"/>
    <w:rsid w:val="796518DD"/>
    <w:rsid w:val="796E0C55"/>
    <w:rsid w:val="79AA0532"/>
    <w:rsid w:val="79FE1DDD"/>
    <w:rsid w:val="7A075767"/>
    <w:rsid w:val="7A212062"/>
    <w:rsid w:val="7A282A11"/>
    <w:rsid w:val="7AA818FA"/>
    <w:rsid w:val="7AC21562"/>
    <w:rsid w:val="7AD474A4"/>
    <w:rsid w:val="7B5350AD"/>
    <w:rsid w:val="7B697C89"/>
    <w:rsid w:val="7B8D34C3"/>
    <w:rsid w:val="7B971D84"/>
    <w:rsid w:val="7BF32F03"/>
    <w:rsid w:val="7C1724A5"/>
    <w:rsid w:val="7C8E3CCF"/>
    <w:rsid w:val="7CA54112"/>
    <w:rsid w:val="7CC65072"/>
    <w:rsid w:val="7CD67E30"/>
    <w:rsid w:val="7CE50CE4"/>
    <w:rsid w:val="7D2E5ABF"/>
    <w:rsid w:val="7D5E238C"/>
    <w:rsid w:val="7DAA6809"/>
    <w:rsid w:val="7E2142A2"/>
    <w:rsid w:val="7E4F5384"/>
    <w:rsid w:val="7E5A6DFA"/>
    <w:rsid w:val="7E7B0BF2"/>
    <w:rsid w:val="7E8D75B6"/>
    <w:rsid w:val="7EB2417D"/>
    <w:rsid w:val="7EF760EE"/>
    <w:rsid w:val="7F2A21E7"/>
    <w:rsid w:val="7FAF2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nhideWhenUsed="0" w:uiPriority="1" w:semiHidden="0" w:name="heading 6"/>
    <w:lsdException w:qFormat="1" w:uiPriority="9"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1"/>
    <w:pPr>
      <w:ind w:left="2163" w:hanging="680"/>
      <w:outlineLvl w:val="1"/>
    </w:pPr>
    <w:rPr>
      <w:rFonts w:ascii="微软雅黑" w:hAnsi="微软雅黑" w:eastAsia="微软雅黑" w:cs="微软雅黑"/>
      <w:b/>
      <w:bCs/>
      <w:sz w:val="56"/>
      <w:szCs w:val="56"/>
      <w:lang w:val="zh-CN" w:eastAsia="zh-CN" w:bidi="zh-CN"/>
    </w:rPr>
  </w:style>
  <w:style w:type="paragraph" w:styleId="2">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line="360" w:lineRule="auto"/>
      <w:outlineLvl w:val="3"/>
    </w:pPr>
    <w:rPr>
      <w:rFonts w:eastAsia="宋体" w:asciiTheme="majorAscii" w:hAnsiTheme="majorAscii" w:cstheme="majorBidi"/>
      <w:b/>
      <w:bCs/>
      <w:sz w:val="24"/>
      <w:szCs w:val="28"/>
    </w:rPr>
  </w:style>
  <w:style w:type="paragraph" w:styleId="6">
    <w:name w:val="heading 6"/>
    <w:basedOn w:val="1"/>
    <w:next w:val="1"/>
    <w:qFormat/>
    <w:uiPriority w:val="1"/>
    <w:pPr>
      <w:spacing w:before="38"/>
      <w:ind w:left="877"/>
      <w:outlineLvl w:val="6"/>
    </w:pPr>
    <w:rPr>
      <w:rFonts w:ascii="微软雅黑" w:hAnsi="微软雅黑" w:eastAsia="微软雅黑" w:cs="微软雅黑"/>
      <w:b/>
      <w:bCs/>
      <w:sz w:val="32"/>
      <w:szCs w:val="32"/>
      <w:lang w:val="zh-CN" w:eastAsia="zh-CN" w:bidi="zh-CN"/>
    </w:rPr>
  </w:style>
  <w:style w:type="paragraph" w:styleId="7">
    <w:name w:val="heading 9"/>
    <w:basedOn w:val="1"/>
    <w:next w:val="1"/>
    <w:qFormat/>
    <w:uiPriority w:val="1"/>
    <w:pPr>
      <w:ind w:left="982"/>
      <w:outlineLvl w:val="9"/>
    </w:pPr>
    <w:rPr>
      <w:rFonts w:ascii="微软雅黑" w:hAnsi="微软雅黑" w:eastAsia="微软雅黑" w:cs="微软雅黑"/>
      <w:sz w:val="30"/>
      <w:szCs w:val="30"/>
      <w:lang w:val="zh-CN" w:eastAsia="zh-CN" w:bidi="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style>
  <w:style w:type="paragraph" w:styleId="9">
    <w:name w:val="Body Text"/>
    <w:basedOn w:val="1"/>
    <w:next w:val="10"/>
    <w:qFormat/>
    <w:uiPriority w:val="1"/>
    <w:pPr>
      <w:spacing w:before="161"/>
      <w:ind w:left="120"/>
    </w:pPr>
    <w:rPr>
      <w:rFonts w:ascii="宋体" w:hAnsi="宋体" w:eastAsia="宋体" w:cs="宋体"/>
      <w:sz w:val="24"/>
      <w:lang w:val="zh-CN" w:bidi="zh-CN"/>
    </w:rPr>
  </w:style>
  <w:style w:type="paragraph" w:styleId="10">
    <w:name w:val="Body Text First Indent"/>
    <w:basedOn w:val="9"/>
    <w:unhideWhenUsed/>
    <w:qFormat/>
    <w:uiPriority w:val="99"/>
    <w:pPr>
      <w:ind w:firstLine="420" w:firstLineChars="100"/>
    </w:pPr>
    <w:rPr>
      <w:rFonts w:ascii="Times New Roman" w:hAnsi="Times New Roman" w:cs="Times New Roman"/>
    </w:rPr>
  </w:style>
  <w:style w:type="paragraph" w:styleId="11">
    <w:name w:val="toc 3"/>
    <w:basedOn w:val="1"/>
    <w:next w:val="1"/>
    <w:unhideWhenUsed/>
    <w:qFormat/>
    <w:uiPriority w:val="39"/>
    <w:pPr>
      <w:tabs>
        <w:tab w:val="right" w:leader="dot" w:pos="8296"/>
      </w:tabs>
      <w:ind w:left="838" w:leftChars="381"/>
    </w:pPr>
    <w:rPr>
      <w:sz w:val="21"/>
      <w:szCs w:val="21"/>
    </w:rPr>
  </w:style>
  <w:style w:type="paragraph" w:styleId="12">
    <w:name w:val="Plain Text"/>
    <w:basedOn w:val="1"/>
    <w:link w:val="42"/>
    <w:qFormat/>
    <w:uiPriority w:val="0"/>
    <w:pPr>
      <w:widowControl w:val="0"/>
      <w:adjustRightInd/>
      <w:snapToGrid/>
      <w:spacing w:after="0"/>
      <w:jc w:val="both"/>
    </w:pPr>
    <w:rPr>
      <w:rFonts w:ascii="宋体" w:hAnsi="Courier New" w:eastAsia="宋体" w:cs="Times New Roman"/>
      <w:b/>
      <w:kern w:val="2"/>
      <w:sz w:val="21"/>
      <w:szCs w:val="20"/>
    </w:rPr>
  </w:style>
  <w:style w:type="paragraph" w:styleId="13">
    <w:name w:val="Balloon Text"/>
    <w:basedOn w:val="1"/>
    <w:link w:val="45"/>
    <w:semiHidden/>
    <w:unhideWhenUsed/>
    <w:qFormat/>
    <w:uiPriority w:val="99"/>
    <w:pPr>
      <w:spacing w:after="0"/>
    </w:pPr>
    <w:rPr>
      <w:sz w:val="18"/>
      <w:szCs w:val="18"/>
    </w:rPr>
  </w:style>
  <w:style w:type="paragraph" w:styleId="14">
    <w:name w:val="footer"/>
    <w:basedOn w:val="1"/>
    <w:link w:val="44"/>
    <w:unhideWhenUsed/>
    <w:qFormat/>
    <w:uiPriority w:val="99"/>
    <w:pPr>
      <w:tabs>
        <w:tab w:val="center" w:pos="4153"/>
        <w:tab w:val="right" w:pos="8306"/>
      </w:tabs>
    </w:pPr>
    <w:rPr>
      <w:sz w:val="18"/>
      <w:szCs w:val="18"/>
    </w:rPr>
  </w:style>
  <w:style w:type="paragraph" w:styleId="15">
    <w:name w:val="header"/>
    <w:basedOn w:val="1"/>
    <w:link w:val="43"/>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semiHidden/>
    <w:unhideWhenUsed/>
    <w:qFormat/>
    <w:uiPriority w:val="39"/>
  </w:style>
  <w:style w:type="paragraph" w:styleId="17">
    <w:name w:val="toc 4"/>
    <w:basedOn w:val="1"/>
    <w:next w:val="1"/>
    <w:unhideWhenUsed/>
    <w:qFormat/>
    <w:uiPriority w:val="39"/>
    <w:pPr>
      <w:tabs>
        <w:tab w:val="right" w:leader="dot" w:pos="8296"/>
      </w:tabs>
      <w:spacing w:after="120"/>
      <w:ind w:left="1320" w:leftChars="600"/>
    </w:pPr>
  </w:style>
  <w:style w:type="paragraph" w:styleId="18">
    <w:name w:val="footnote text"/>
    <w:basedOn w:val="1"/>
    <w:semiHidden/>
    <w:unhideWhenUsed/>
    <w:qFormat/>
    <w:uiPriority w:val="99"/>
    <w:pPr>
      <w:snapToGrid w:val="0"/>
      <w:jc w:val="left"/>
    </w:pPr>
    <w:rPr>
      <w:sz w:val="18"/>
    </w:rPr>
  </w:style>
  <w:style w:type="paragraph" w:styleId="19">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0">
    <w:name w:val="Normal (Web)"/>
    <w:basedOn w:val="1"/>
    <w:link w:val="47"/>
    <w:qFormat/>
    <w:uiPriority w:val="0"/>
    <w:pPr>
      <w:widowControl w:val="0"/>
      <w:adjustRightInd/>
      <w:snapToGrid/>
      <w:spacing w:after="0"/>
      <w:jc w:val="both"/>
    </w:pPr>
    <w:rPr>
      <w:rFonts w:eastAsia="宋体" w:asciiTheme="minorHAnsi" w:hAnsiTheme="minorHAnsi"/>
      <w:kern w:val="2"/>
      <w:sz w:val="24"/>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20"/>
    <w:rPr>
      <w:i/>
      <w:iCs/>
    </w:rPr>
  </w:style>
  <w:style w:type="character" w:styleId="25">
    <w:name w:val="Hyperlink"/>
    <w:qFormat/>
    <w:uiPriority w:val="99"/>
    <w:rPr>
      <w:rFonts w:hint="eastAsia" w:ascii="宋体" w:hAnsi="宋体" w:eastAsia="宋体" w:cs="宋体"/>
      <w:b/>
      <w:color w:val="0031C1"/>
      <w:kern w:val="0"/>
      <w:sz w:val="18"/>
      <w:szCs w:val="18"/>
      <w:u w:val="none"/>
      <w:lang w:eastAsia="en-US"/>
    </w:rPr>
  </w:style>
  <w:style w:type="character" w:styleId="26">
    <w:name w:val="annotation reference"/>
    <w:basedOn w:val="23"/>
    <w:semiHidden/>
    <w:unhideWhenUsed/>
    <w:qFormat/>
    <w:uiPriority w:val="99"/>
    <w:rPr>
      <w:sz w:val="21"/>
      <w:szCs w:val="21"/>
    </w:rPr>
  </w:style>
  <w:style w:type="character" w:styleId="27">
    <w:name w:val="footnote reference"/>
    <w:basedOn w:val="23"/>
    <w:semiHidden/>
    <w:unhideWhenUsed/>
    <w:qFormat/>
    <w:uiPriority w:val="99"/>
    <w:rPr>
      <w:vertAlign w:val="superscript"/>
    </w:rPr>
  </w:style>
  <w:style w:type="character" w:customStyle="1" w:styleId="28">
    <w:name w:val="标题 2 Char"/>
    <w:basedOn w:val="23"/>
    <w:link w:val="2"/>
    <w:qFormat/>
    <w:uiPriority w:val="9"/>
    <w:rPr>
      <w:rFonts w:asciiTheme="majorHAnsi" w:hAnsiTheme="majorHAnsi" w:eastAsiaTheme="majorEastAsia" w:cstheme="majorBidi"/>
      <w:b/>
      <w:bCs/>
      <w:sz w:val="32"/>
      <w:szCs w:val="32"/>
    </w:rPr>
  </w:style>
  <w:style w:type="character" w:customStyle="1" w:styleId="29">
    <w:name w:val="标题 3 Char"/>
    <w:basedOn w:val="23"/>
    <w:link w:val="4"/>
    <w:qFormat/>
    <w:uiPriority w:val="9"/>
    <w:rPr>
      <w:rFonts w:ascii="Tahoma" w:hAnsi="Tahoma"/>
      <w:b/>
      <w:bCs/>
      <w:sz w:val="32"/>
      <w:szCs w:val="32"/>
    </w:rPr>
  </w:style>
  <w:style w:type="paragraph" w:styleId="30">
    <w:name w:val="List Paragraph"/>
    <w:basedOn w:val="1"/>
    <w:qFormat/>
    <w:uiPriority w:val="34"/>
    <w:pPr>
      <w:ind w:firstLine="420" w:firstLineChars="200"/>
    </w:pPr>
  </w:style>
  <w:style w:type="character" w:customStyle="1" w:styleId="31">
    <w:name w:val="标题 4 Char"/>
    <w:basedOn w:val="23"/>
    <w:link w:val="5"/>
    <w:qFormat/>
    <w:uiPriority w:val="9"/>
    <w:rPr>
      <w:rFonts w:eastAsia="宋体" w:asciiTheme="majorAscii" w:hAnsiTheme="majorAscii" w:cstheme="majorBidi"/>
      <w:b/>
      <w:bCs/>
      <w:sz w:val="24"/>
      <w:szCs w:val="28"/>
    </w:rPr>
  </w:style>
  <w:style w:type="character" w:customStyle="1" w:styleId="32">
    <w:name w:val="正文缩进2格 Char"/>
    <w:link w:val="33"/>
    <w:qFormat/>
    <w:uiPriority w:val="0"/>
    <w:rPr>
      <w:rFonts w:ascii="仿宋_GB2312" w:hAnsi="宋体" w:eastAsia="仿宋_GB2312"/>
      <w:kern w:val="2"/>
      <w:sz w:val="31"/>
    </w:rPr>
  </w:style>
  <w:style w:type="paragraph" w:customStyle="1" w:styleId="33">
    <w:name w:val="正文缩进2格"/>
    <w:basedOn w:val="1"/>
    <w:link w:val="32"/>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4">
    <w:name w:val="正文缩进4格"/>
    <w:basedOn w:val="33"/>
    <w:qFormat/>
    <w:uiPriority w:val="0"/>
    <w:pPr>
      <w:ind w:left="2" w:firstLine="538" w:firstLineChars="192"/>
    </w:pPr>
    <w:rPr>
      <w:color w:val="0000FF"/>
      <w:sz w:val="28"/>
    </w:rPr>
  </w:style>
  <w:style w:type="character" w:customStyle="1" w:styleId="35">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6">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7">
    <w:name w:val="标题1"/>
    <w:qFormat/>
    <w:uiPriority w:val="0"/>
    <w:rPr>
      <w:rFonts w:ascii="Times New Roman" w:hAnsi="Times New Roman" w:eastAsia="宋体" w:cs="Times New Roman"/>
      <w:b/>
      <w:kern w:val="0"/>
      <w:sz w:val="24"/>
      <w:szCs w:val="20"/>
      <w:lang w:eastAsia="en-US"/>
    </w:rPr>
  </w:style>
  <w:style w:type="character" w:customStyle="1" w:styleId="38">
    <w:name w:val="标题 3.1 Char"/>
    <w:link w:val="39"/>
    <w:qFormat/>
    <w:uiPriority w:val="0"/>
    <w:rPr>
      <w:rFonts w:ascii="宋体" w:hAnsi="宋体" w:eastAsia="宋体"/>
      <w:b/>
      <w:color w:val="FF0000"/>
      <w:kern w:val="2"/>
      <w:sz w:val="32"/>
    </w:rPr>
  </w:style>
  <w:style w:type="paragraph" w:customStyle="1" w:styleId="39">
    <w:name w:val="标题 3.1"/>
    <w:basedOn w:val="4"/>
    <w:link w:val="38"/>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0">
    <w:name w:val="样式 楷体_GB2312 小四"/>
    <w:qFormat/>
    <w:uiPriority w:val="0"/>
    <w:rPr>
      <w:rFonts w:ascii="楷体_GB2312" w:hAnsi="楷体_GB2312" w:eastAsia="仿宋_GB2312"/>
      <w:sz w:val="24"/>
    </w:rPr>
  </w:style>
  <w:style w:type="character" w:customStyle="1" w:styleId="41">
    <w:name w:val="纯文本 Char"/>
    <w:qFormat/>
    <w:uiPriority w:val="0"/>
    <w:rPr>
      <w:rFonts w:ascii="宋体" w:hAnsi="Courier New" w:eastAsia="宋体" w:cs="Times New Roman"/>
      <w:b/>
      <w:kern w:val="2"/>
      <w:sz w:val="21"/>
      <w:szCs w:val="20"/>
    </w:rPr>
  </w:style>
  <w:style w:type="character" w:customStyle="1" w:styleId="42">
    <w:name w:val="纯文本 Char1"/>
    <w:basedOn w:val="23"/>
    <w:link w:val="12"/>
    <w:semiHidden/>
    <w:qFormat/>
    <w:uiPriority w:val="99"/>
    <w:rPr>
      <w:rFonts w:ascii="宋体" w:hAnsi="Courier New" w:eastAsia="宋体" w:cs="Courier New"/>
      <w:sz w:val="21"/>
      <w:szCs w:val="21"/>
    </w:rPr>
  </w:style>
  <w:style w:type="character" w:customStyle="1" w:styleId="43">
    <w:name w:val="页眉 Char"/>
    <w:basedOn w:val="23"/>
    <w:link w:val="15"/>
    <w:qFormat/>
    <w:uiPriority w:val="99"/>
    <w:rPr>
      <w:rFonts w:ascii="Tahoma" w:hAnsi="Tahoma"/>
      <w:sz w:val="18"/>
      <w:szCs w:val="18"/>
    </w:rPr>
  </w:style>
  <w:style w:type="character" w:customStyle="1" w:styleId="44">
    <w:name w:val="页脚 Char"/>
    <w:basedOn w:val="23"/>
    <w:link w:val="14"/>
    <w:qFormat/>
    <w:uiPriority w:val="99"/>
    <w:rPr>
      <w:rFonts w:ascii="Tahoma" w:hAnsi="Tahoma"/>
      <w:sz w:val="18"/>
      <w:szCs w:val="18"/>
    </w:rPr>
  </w:style>
  <w:style w:type="character" w:customStyle="1" w:styleId="45">
    <w:name w:val="批注框文本 Char"/>
    <w:basedOn w:val="23"/>
    <w:link w:val="13"/>
    <w:semiHidden/>
    <w:qFormat/>
    <w:uiPriority w:val="99"/>
    <w:rPr>
      <w:rFonts w:ascii="Tahoma" w:hAnsi="Tahoma"/>
      <w:sz w:val="18"/>
      <w:szCs w:val="18"/>
    </w:rPr>
  </w:style>
  <w:style w:type="paragraph" w:customStyle="1" w:styleId="46">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7">
    <w:name w:val="普通(网站) Char"/>
    <w:link w:val="20"/>
    <w:qFormat/>
    <w:uiPriority w:val="0"/>
    <w:rPr>
      <w:rFonts w:eastAsia="宋体"/>
      <w:kern w:val="2"/>
      <w:sz w:val="24"/>
      <w:szCs w:val="24"/>
    </w:rPr>
  </w:style>
  <w:style w:type="paragraph" w:customStyle="1" w:styleId="48">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9">
    <w:name w:val="p141"/>
    <w:qFormat/>
    <w:uiPriority w:val="0"/>
    <w:rPr>
      <w:sz w:val="21"/>
      <w:szCs w:val="21"/>
    </w:rPr>
  </w:style>
  <w:style w:type="character" w:customStyle="1" w:styleId="50">
    <w:name w:val="font11"/>
    <w:basedOn w:val="23"/>
    <w:qFormat/>
    <w:uiPriority w:val="0"/>
    <w:rPr>
      <w:rFonts w:hint="default" w:ascii="Tahoma" w:hAnsi="Tahoma" w:eastAsia="Tahoma" w:cs="Tahoma"/>
      <w:color w:val="000000"/>
      <w:sz w:val="21"/>
      <w:szCs w:val="21"/>
      <w:u w:val="none"/>
    </w:rPr>
  </w:style>
  <w:style w:type="character" w:customStyle="1" w:styleId="51">
    <w:name w:val="font21"/>
    <w:basedOn w:val="23"/>
    <w:qFormat/>
    <w:uiPriority w:val="0"/>
    <w:rPr>
      <w:rFonts w:hint="eastAsia" w:ascii="宋体" w:hAnsi="宋体" w:eastAsia="宋体" w:cs="宋体"/>
      <w:color w:val="000000"/>
      <w:sz w:val="21"/>
      <w:szCs w:val="21"/>
      <w:u w:val="none"/>
    </w:rPr>
  </w:style>
  <w:style w:type="character" w:customStyle="1" w:styleId="52">
    <w:name w:val="font71"/>
    <w:basedOn w:val="23"/>
    <w:qFormat/>
    <w:uiPriority w:val="0"/>
    <w:rPr>
      <w:rFonts w:hint="eastAsia" w:ascii="微软雅黑" w:hAnsi="微软雅黑" w:eastAsia="微软雅黑" w:cs="微软雅黑"/>
      <w:b/>
      <w:color w:val="FFFFFF"/>
      <w:sz w:val="28"/>
      <w:szCs w:val="28"/>
      <w:u w:val="none"/>
    </w:rPr>
  </w:style>
  <w:style w:type="character" w:customStyle="1" w:styleId="53">
    <w:name w:val="font111"/>
    <w:basedOn w:val="23"/>
    <w:qFormat/>
    <w:uiPriority w:val="0"/>
    <w:rPr>
      <w:rFonts w:hint="eastAsia" w:ascii="微软雅黑" w:hAnsi="微软雅黑" w:eastAsia="微软雅黑" w:cs="微软雅黑"/>
      <w:color w:val="000000"/>
      <w:sz w:val="22"/>
      <w:szCs w:val="22"/>
      <w:u w:val="none"/>
    </w:rPr>
  </w:style>
  <w:style w:type="character" w:customStyle="1" w:styleId="54">
    <w:name w:val="font61"/>
    <w:basedOn w:val="23"/>
    <w:qFormat/>
    <w:uiPriority w:val="0"/>
    <w:rPr>
      <w:rFonts w:hint="eastAsia" w:ascii="微软雅黑" w:hAnsi="微软雅黑" w:eastAsia="微软雅黑" w:cs="微软雅黑"/>
      <w:color w:val="FF0000"/>
      <w:sz w:val="22"/>
      <w:szCs w:val="22"/>
      <w:u w:val="none"/>
    </w:rPr>
  </w:style>
  <w:style w:type="character" w:customStyle="1" w:styleId="55">
    <w:name w:val="font91"/>
    <w:basedOn w:val="23"/>
    <w:qFormat/>
    <w:uiPriority w:val="0"/>
    <w:rPr>
      <w:rFonts w:hint="eastAsia" w:ascii="微软雅黑" w:hAnsi="微软雅黑" w:eastAsia="微软雅黑" w:cs="微软雅黑"/>
      <w:color w:val="000000"/>
      <w:sz w:val="20"/>
      <w:szCs w:val="20"/>
      <w:u w:val="none"/>
    </w:rPr>
  </w:style>
  <w:style w:type="character" w:customStyle="1" w:styleId="56">
    <w:name w:val="font41"/>
    <w:basedOn w:val="23"/>
    <w:qFormat/>
    <w:uiPriority w:val="0"/>
    <w:rPr>
      <w:rFonts w:hint="eastAsia" w:ascii="微软雅黑" w:hAnsi="微软雅黑" w:eastAsia="微软雅黑" w:cs="微软雅黑"/>
      <w:color w:val="000000"/>
      <w:sz w:val="20"/>
      <w:szCs w:val="20"/>
      <w:u w:val="none"/>
    </w:rPr>
  </w:style>
  <w:style w:type="character" w:customStyle="1" w:styleId="57">
    <w:name w:val="font01"/>
    <w:basedOn w:val="23"/>
    <w:qFormat/>
    <w:uiPriority w:val="0"/>
    <w:rPr>
      <w:rFonts w:hint="eastAsia" w:ascii="微软雅黑" w:hAnsi="微软雅黑" w:eastAsia="微软雅黑" w:cs="微软雅黑"/>
      <w:b/>
      <w:color w:val="000000"/>
      <w:sz w:val="20"/>
      <w:szCs w:val="20"/>
      <w:u w:val="none"/>
    </w:rPr>
  </w:style>
  <w:style w:type="character" w:customStyle="1" w:styleId="58">
    <w:name w:val="font112"/>
    <w:basedOn w:val="23"/>
    <w:qFormat/>
    <w:uiPriority w:val="0"/>
    <w:rPr>
      <w:rFonts w:hint="eastAsia" w:ascii="微软雅黑" w:hAnsi="微软雅黑" w:eastAsia="微软雅黑" w:cs="微软雅黑"/>
      <w:color w:val="000000"/>
      <w:sz w:val="22"/>
      <w:szCs w:val="22"/>
      <w:u w:val="none"/>
    </w:rPr>
  </w:style>
  <w:style w:type="character" w:customStyle="1" w:styleId="59">
    <w:name w:val="font51"/>
    <w:basedOn w:val="23"/>
    <w:qFormat/>
    <w:uiPriority w:val="0"/>
    <w:rPr>
      <w:rFonts w:hint="eastAsia" w:ascii="微软雅黑" w:hAnsi="微软雅黑" w:eastAsia="微软雅黑" w:cs="微软雅黑"/>
      <w:color w:val="FF0000"/>
      <w:sz w:val="22"/>
      <w:szCs w:val="22"/>
      <w:u w:val="none"/>
    </w:rPr>
  </w:style>
  <w:style w:type="character" w:customStyle="1" w:styleId="60">
    <w:name w:val="font31"/>
    <w:basedOn w:val="23"/>
    <w:qFormat/>
    <w:uiPriority w:val="0"/>
    <w:rPr>
      <w:rFonts w:hint="eastAsia" w:ascii="微软雅黑" w:hAnsi="微软雅黑" w:eastAsia="微软雅黑" w:cs="微软雅黑"/>
      <w:color w:val="000000"/>
      <w:sz w:val="20"/>
      <w:szCs w:val="20"/>
      <w:u w:val="none"/>
    </w:rPr>
  </w:style>
  <w:style w:type="character" w:customStyle="1" w:styleId="61">
    <w:name w:val="font131"/>
    <w:basedOn w:val="23"/>
    <w:qFormat/>
    <w:uiPriority w:val="0"/>
    <w:rPr>
      <w:rFonts w:hint="eastAsia" w:ascii="微软雅黑" w:hAnsi="微软雅黑" w:eastAsia="微软雅黑" w:cs="微软雅黑"/>
      <w:color w:val="000000"/>
      <w:sz w:val="18"/>
      <w:szCs w:val="18"/>
      <w:u w:val="none"/>
    </w:rPr>
  </w:style>
  <w:style w:type="character" w:customStyle="1" w:styleId="62">
    <w:name w:val="font122"/>
    <w:basedOn w:val="23"/>
    <w:qFormat/>
    <w:uiPriority w:val="0"/>
    <w:rPr>
      <w:rFonts w:hint="eastAsia" w:ascii="微软雅黑" w:hAnsi="微软雅黑" w:eastAsia="微软雅黑" w:cs="微软雅黑"/>
      <w:color w:val="000000"/>
      <w:sz w:val="20"/>
      <w:szCs w:val="20"/>
      <w:u w:val="none"/>
    </w:rPr>
  </w:style>
  <w:style w:type="character" w:customStyle="1" w:styleId="63">
    <w:name w:val="font121"/>
    <w:basedOn w:val="23"/>
    <w:qFormat/>
    <w:uiPriority w:val="0"/>
    <w:rPr>
      <w:rFonts w:hint="eastAsia" w:ascii="微软雅黑" w:hAnsi="微软雅黑" w:eastAsia="微软雅黑" w:cs="微软雅黑"/>
      <w:color w:val="000000"/>
      <w:sz w:val="18"/>
      <w:szCs w:val="18"/>
      <w:u w:val="none"/>
    </w:rPr>
  </w:style>
  <w:style w:type="character" w:customStyle="1" w:styleId="64">
    <w:name w:val="font101"/>
    <w:basedOn w:val="23"/>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68</Pages>
  <Words>5566</Words>
  <Characters>31731</Characters>
  <Lines>264</Lines>
  <Paragraphs>74</Paragraphs>
  <TotalTime>4</TotalTime>
  <ScaleCrop>false</ScaleCrop>
  <LinksUpToDate>false</LinksUpToDate>
  <CharactersWithSpaces>37223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2019-04-01T01:49:00Z</cp:lastPrinted>
  <dcterms:modified xsi:type="dcterms:W3CDTF">2021-09-07T07:08:34Z</dcterms:modified>
  <dc:subject>公开招标文件版本</dc:subject>
  <dc:title>公开招标文件版本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8DF0D33D69EC4C18BA150674719191F7</vt:lpwstr>
  </property>
</Properties>
</file>