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highlight w:val="none"/>
        </w:rPr>
      </w:pPr>
      <w:r>
        <w:rPr>
          <w:rFonts w:hint="eastAsia" w:ascii="黑体" w:eastAsia="黑体"/>
          <w:color w:val="auto"/>
          <w:szCs w:val="21"/>
          <w:highlight w:val="none"/>
          <w:lang w:eastAsia="zh-CN"/>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9"/>
                    <a:srcRect l="6233" t="18358" r="67326" b="19339"/>
                    <a:stretch>
                      <a:fillRect/>
                    </a:stretch>
                  </pic:blipFill>
                  <pic:spPr>
                    <a:xfrm>
                      <a:off x="0" y="0"/>
                      <a:ext cx="682625" cy="652145"/>
                    </a:xfrm>
                    <a:prstGeom prst="rect">
                      <a:avLst/>
                    </a:prstGeom>
                  </pic:spPr>
                </pic:pic>
              </a:graphicData>
            </a:graphic>
          </wp:inline>
        </w:drawing>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ind w:right="-28"/>
        <w:jc w:val="center"/>
        <w:textAlignment w:val="bottom"/>
        <w:rPr>
          <w:rFonts w:hint="eastAsia" w:ascii="黑体" w:hAnsi="黑体" w:eastAsia="黑体" w:cs="黑体"/>
          <w:b w:val="0"/>
          <w:bCs/>
          <w:color w:val="auto"/>
          <w:spacing w:val="57"/>
          <w:sz w:val="72"/>
          <w:szCs w:val="72"/>
          <w:highlight w:val="none"/>
        </w:rPr>
      </w:pPr>
      <w:r>
        <w:rPr>
          <w:rFonts w:hint="eastAsia" w:ascii="黑体" w:hAnsi="黑体" w:eastAsia="黑体" w:cs="黑体"/>
          <w:b w:val="0"/>
          <w:bCs/>
          <w:color w:val="auto"/>
          <w:spacing w:val="57"/>
          <w:sz w:val="72"/>
          <w:szCs w:val="72"/>
          <w:highlight w:val="none"/>
        </w:rPr>
        <w:t>公开招标文件</w:t>
      </w:r>
    </w:p>
    <w:p>
      <w:pPr>
        <w:jc w:val="center"/>
        <w:rPr>
          <w:rFonts w:hint="eastAsia" w:ascii="黑体" w:hAnsi="黑体" w:eastAsia="黑体" w:cs="黑体"/>
          <w:color w:val="auto"/>
          <w:highlight w:val="none"/>
        </w:rPr>
      </w:pPr>
      <w:r>
        <w:rPr>
          <w:rFonts w:hint="eastAsia" w:ascii="黑体" w:hAnsi="黑体" w:eastAsia="黑体" w:cs="黑体"/>
          <w:b w:val="0"/>
          <w:bCs/>
          <w:color w:val="auto"/>
          <w:spacing w:val="57"/>
          <w:sz w:val="72"/>
          <w:szCs w:val="72"/>
          <w:highlight w:val="none"/>
        </w:rPr>
        <w:t>东莞市政府采购</w:t>
      </w:r>
    </w:p>
    <w:p>
      <w:pPr>
        <w:jc w:val="center"/>
        <w:rPr>
          <w:color w:val="auto"/>
          <w:highlight w:val="none"/>
        </w:rPr>
      </w:pPr>
    </w:p>
    <w:p>
      <w:pPr>
        <w:rPr>
          <w:color w:val="auto"/>
          <w:highlight w:val="none"/>
        </w:rPr>
      </w:pPr>
    </w:p>
    <w:tbl>
      <w:tblPr>
        <w:tblStyle w:val="20"/>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清溪镇行政办事中心饭堂食材配送服务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项目采购编号：</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441900023-2021-00639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p>
        </w:tc>
        <w:tc>
          <w:tcPr>
            <w:tcW w:w="6203" w:type="dxa"/>
            <w:noWrap/>
            <w:vAlign w:val="center"/>
          </w:tcPr>
          <w:p>
            <w:pPr>
              <w:spacing w:before="200"/>
              <w:jc w:val="both"/>
              <w:rPr>
                <w:rFonts w:ascii="黑体" w:hAnsi="黑体" w:eastAsia="黑体" w:cs="黑体"/>
                <w:bCs/>
                <w:color w:val="auto"/>
                <w:sz w:val="32"/>
                <w:szCs w:val="24"/>
                <w:highlight w:val="none"/>
              </w:rPr>
            </w:pPr>
            <w:r>
              <w:rPr>
                <w:rFonts w:ascii="黑体" w:hAnsi="黑体" w:eastAsia="黑体" w:cs="黑体"/>
                <w:bCs/>
                <w:color w:val="auto"/>
                <w:sz w:val="32"/>
                <w:szCs w:val="24"/>
                <w:highlight w:val="none"/>
              </w:rPr>
              <w:t>东莞市清溪镇党政综合办公室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hint="eastAsia"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val="en-US" w:eastAsia="zh-CN"/>
              </w:rPr>
              <w:t>招标代理：</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eastAsia="zh-CN"/>
              </w:rPr>
              <w:t>广东政通招标有限公司</w:t>
            </w:r>
          </w:p>
        </w:tc>
      </w:tr>
    </w:tbl>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pStyle w:val="16"/>
        <w:rPr>
          <w:color w:val="auto"/>
          <w:sz w:val="32"/>
          <w:szCs w:val="32"/>
          <w:highlight w:val="none"/>
        </w:rPr>
        <w:sectPr>
          <w:headerReference r:id="rId5" w:type="default"/>
          <w:pgSz w:w="11906" w:h="16838"/>
          <w:pgMar w:top="1440" w:right="1800" w:bottom="1440" w:left="1800" w:header="708" w:footer="708" w:gutter="0"/>
          <w:pgNumType w:start="0"/>
          <w:cols w:space="708" w:num="1"/>
          <w:titlePg/>
          <w:docGrid w:type="lines" w:linePitch="360" w:charSpace="0"/>
        </w:sectPr>
      </w:pPr>
      <w:r>
        <w:rPr>
          <w:rFonts w:hint="eastAsia" w:ascii="黑体" w:eastAsia="黑体"/>
          <w:color w:val="auto"/>
          <w:szCs w:val="21"/>
          <w:highlight w:val="none"/>
          <w:lang w:eastAsia="zh-CN"/>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10"/>
                    <a:srcRect l="6033" t="52170" r="5754" b="9299"/>
                    <a:stretch>
                      <a:fillRect/>
                    </a:stretch>
                  </pic:blipFill>
                  <pic:spPr>
                    <a:xfrm>
                      <a:off x="0" y="0"/>
                      <a:ext cx="3716020" cy="633730"/>
                    </a:xfrm>
                    <a:prstGeom prst="rect">
                      <a:avLst/>
                    </a:prstGeom>
                  </pic:spPr>
                </pic:pic>
              </a:graphicData>
            </a:graphic>
          </wp:inline>
        </w:drawing>
      </w:r>
    </w:p>
    <w:p>
      <w:pPr>
        <w:pStyle w:val="16"/>
        <w:rPr>
          <w:color w:val="auto"/>
          <w:sz w:val="40"/>
          <w:szCs w:val="40"/>
          <w:highlight w:val="none"/>
        </w:rPr>
      </w:pPr>
      <w:r>
        <w:rPr>
          <w:rFonts w:hint="eastAsia"/>
          <w:color w:val="auto"/>
          <w:sz w:val="40"/>
          <w:szCs w:val="40"/>
          <w:highlight w:val="none"/>
        </w:rPr>
        <w:t>目录</w:t>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"1-4" \h \z \u </w:instrText>
      </w:r>
      <w:r>
        <w:rPr>
          <w:rFonts w:hint="eastAsia" w:ascii="宋体" w:hAns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"_Toc1420" </w:instrText>
      </w:r>
      <w:r>
        <w:rPr>
          <w:color w:val="auto"/>
          <w:highlight w:val="none"/>
        </w:rPr>
        <w:fldChar w:fldCharType="separate"/>
      </w:r>
      <w:r>
        <w:rPr>
          <w:rFonts w:hint="eastAsia" w:ascii="宋体" w:hAnsi="宋体" w:eastAsia="宋体" w:cs="宋体"/>
          <w:color w:val="auto"/>
          <w:highlight w:val="none"/>
        </w:rPr>
        <w:t>投标邀请书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"_Toc14146" </w:instrText>
      </w:r>
      <w:r>
        <w:rPr>
          <w:color w:val="auto"/>
          <w:highlight w:val="none"/>
        </w:rPr>
        <w:fldChar w:fldCharType="separate"/>
      </w:r>
      <w:r>
        <w:rPr>
          <w:rFonts w:hint="eastAsia" w:cs="宋体"/>
          <w:color w:val="auto"/>
          <w:sz w:val="21"/>
          <w:szCs w:val="21"/>
          <w:highlight w:val="none"/>
        </w:rPr>
        <w:t>第二部分 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_Toc14146 </w:instrText>
      </w:r>
      <w:r>
        <w:rPr>
          <w:rFonts w:hint="eastAsia" w:cs="宋体"/>
          <w:color w:val="auto"/>
          <w:sz w:val="21"/>
          <w:szCs w:val="21"/>
          <w:highlight w:val="none"/>
        </w:rPr>
        <w:fldChar w:fldCharType="separate"/>
      </w:r>
      <w:r>
        <w:rPr>
          <w:rFonts w:hint="eastAsia" w:cs="宋体"/>
          <w:color w:val="auto"/>
          <w:sz w:val="21"/>
          <w:szCs w:val="21"/>
          <w:highlight w:val="none"/>
        </w:rPr>
        <w:t>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"_Toc20683" </w:instrText>
      </w:r>
      <w:r>
        <w:rPr>
          <w:color w:val="auto"/>
          <w:highlight w:val="none"/>
        </w:rPr>
        <w:fldChar w:fldCharType="separate"/>
      </w:r>
      <w:r>
        <w:rPr>
          <w:rFonts w:hint="eastAsia" w:ascii="宋体" w:hAnsi="宋体" w:eastAsia="宋体" w:cs="宋体"/>
          <w:color w:val="auto"/>
          <w:highlight w:val="none"/>
        </w:rPr>
        <w:t>附表一：投标资料表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"_Toc9572" </w:instrText>
      </w:r>
      <w:r>
        <w:rPr>
          <w:color w:val="auto"/>
          <w:highlight w:val="none"/>
        </w:rPr>
        <w:fldChar w:fldCharType="separate"/>
      </w:r>
      <w:r>
        <w:rPr>
          <w:rFonts w:hint="eastAsia" w:ascii="宋体" w:hAnsi="宋体" w:eastAsia="宋体" w:cs="宋体"/>
          <w:color w:val="auto"/>
          <w:highlight w:val="none"/>
        </w:rPr>
        <w:t>附表二：商务技术评分及价格权重表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"_Toc31854" </w:instrText>
      </w:r>
      <w:r>
        <w:rPr>
          <w:color w:val="auto"/>
          <w:highlight w:val="none"/>
        </w:rPr>
        <w:fldChar w:fldCharType="separate"/>
      </w:r>
      <w:r>
        <w:rPr>
          <w:rFonts w:hint="eastAsia" w:cs="宋体"/>
          <w:color w:val="auto"/>
          <w:sz w:val="21"/>
          <w:szCs w:val="21"/>
          <w:highlight w:val="none"/>
        </w:rPr>
        <w:t>第三部分 用户需求书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_Toc31854 </w:instrText>
      </w:r>
      <w:r>
        <w:rPr>
          <w:rFonts w:hint="eastAsia" w:cs="宋体"/>
          <w:color w:val="auto"/>
          <w:sz w:val="21"/>
          <w:szCs w:val="21"/>
          <w:highlight w:val="none"/>
        </w:rPr>
        <w:fldChar w:fldCharType="separate"/>
      </w:r>
      <w:r>
        <w:rPr>
          <w:rFonts w:hint="eastAsia" w:cs="宋体"/>
          <w:color w:val="auto"/>
          <w:sz w:val="21"/>
          <w:szCs w:val="21"/>
          <w:highlight w:val="none"/>
        </w:rPr>
        <w:t>13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"_Toc3968" </w:instrText>
      </w:r>
      <w:r>
        <w:rPr>
          <w:color w:val="auto"/>
          <w:highlight w:val="none"/>
        </w:rPr>
        <w:fldChar w:fldCharType="separate"/>
      </w:r>
      <w:r>
        <w:rPr>
          <w:rFonts w:hint="eastAsia" w:ascii="宋体" w:hAnsi="宋体" w:eastAsia="宋体" w:cs="宋体"/>
          <w:color w:val="auto"/>
          <w:highlight w:val="none"/>
        </w:rPr>
        <w:t>用户需求明细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_Toc3968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"_Toc2479" </w:instrText>
      </w:r>
      <w:r>
        <w:rPr>
          <w:color w:val="auto"/>
          <w:highlight w:val="none"/>
        </w:rPr>
        <w:fldChar w:fldCharType="separate"/>
      </w:r>
      <w:r>
        <w:rPr>
          <w:rFonts w:hint="eastAsia" w:cs="宋体"/>
          <w:color w:val="auto"/>
          <w:sz w:val="21"/>
          <w:szCs w:val="21"/>
          <w:highlight w:val="none"/>
        </w:rPr>
        <w:t>第四部分 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_Toc2479 </w:instrText>
      </w:r>
      <w:r>
        <w:rPr>
          <w:rFonts w:hint="eastAsia" w:cs="宋体"/>
          <w:color w:val="auto"/>
          <w:sz w:val="21"/>
          <w:szCs w:val="21"/>
          <w:highlight w:val="none"/>
        </w:rPr>
        <w:fldChar w:fldCharType="separate"/>
      </w:r>
      <w:r>
        <w:rPr>
          <w:rFonts w:hint="eastAsia" w:cs="宋体"/>
          <w:color w:val="auto"/>
          <w:sz w:val="21"/>
          <w:szCs w:val="21"/>
          <w:highlight w:val="none"/>
        </w:rPr>
        <w:t>17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"_Toc19746" </w:instrText>
      </w:r>
      <w:r>
        <w:rPr>
          <w:color w:val="auto"/>
          <w:highlight w:val="none"/>
        </w:rPr>
        <w:fldChar w:fldCharType="separate"/>
      </w:r>
      <w:r>
        <w:rPr>
          <w:rFonts w:hint="eastAsia" w:ascii="宋体" w:hAnsi="宋体" w:eastAsia="宋体" w:cs="宋体"/>
          <w:color w:val="auto"/>
          <w:highlight w:val="none"/>
        </w:rPr>
        <w:t>一、 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"_Toc18488" </w:instrText>
      </w:r>
      <w:r>
        <w:rPr>
          <w:color w:val="auto"/>
          <w:highlight w:val="none"/>
        </w:rPr>
        <w:fldChar w:fldCharType="separate"/>
      </w:r>
      <w:r>
        <w:rPr>
          <w:rFonts w:hint="eastAsia" w:ascii="宋体" w:hAnsi="宋体" w:eastAsia="宋体" w:cs="宋体"/>
          <w:color w:val="auto"/>
          <w:sz w:val="21"/>
          <w:szCs w:val="21"/>
          <w:highlight w:val="none"/>
        </w:rPr>
        <w:t>1.适用范围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_Toc18488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"_Toc13400" </w:instrText>
      </w:r>
      <w:r>
        <w:rPr>
          <w:color w:val="auto"/>
          <w:highlight w:val="none"/>
        </w:rPr>
        <w:fldChar w:fldCharType="separate"/>
      </w:r>
      <w:r>
        <w:rPr>
          <w:rFonts w:hint="eastAsia" w:ascii="宋体" w:hAnsi="宋体" w:eastAsia="宋体" w:cs="宋体"/>
          <w:color w:val="auto"/>
          <w:sz w:val="21"/>
          <w:szCs w:val="21"/>
          <w:highlight w:val="none"/>
        </w:rPr>
        <w:t>2.定义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"_Toc3780" </w:instrText>
      </w:r>
      <w:r>
        <w:rPr>
          <w:color w:val="auto"/>
          <w:highlight w:val="none"/>
        </w:rPr>
        <w:fldChar w:fldCharType="separate"/>
      </w:r>
      <w:r>
        <w:rPr>
          <w:rFonts w:hint="eastAsia" w:ascii="宋体" w:hAnsi="宋体" w:eastAsia="宋体" w:cs="宋体"/>
          <w:color w:val="auto"/>
          <w:sz w:val="21"/>
          <w:szCs w:val="21"/>
          <w:highlight w:val="none"/>
        </w:rPr>
        <w:t>3.货物和服务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"_Toc15945" </w:instrText>
      </w:r>
      <w:r>
        <w:rPr>
          <w:color w:val="auto"/>
          <w:highlight w:val="none"/>
        </w:rPr>
        <w:fldChar w:fldCharType="separate"/>
      </w:r>
      <w:r>
        <w:rPr>
          <w:rFonts w:hint="eastAsia" w:ascii="宋体" w:hAnsi="宋体" w:eastAsia="宋体" w:cs="宋体"/>
          <w:color w:val="auto"/>
          <w:sz w:val="21"/>
          <w:szCs w:val="21"/>
          <w:highlight w:val="none"/>
        </w:rPr>
        <w:t>4.投标费用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"_Toc25040" </w:instrText>
      </w:r>
      <w:r>
        <w:rPr>
          <w:color w:val="auto"/>
          <w:highlight w:val="none"/>
        </w:rPr>
        <w:fldChar w:fldCharType="separate"/>
      </w:r>
      <w:r>
        <w:rPr>
          <w:rFonts w:hint="eastAsia" w:ascii="宋体" w:hAnsi="宋体" w:eastAsia="宋体" w:cs="宋体"/>
          <w:color w:val="auto"/>
          <w:sz w:val="21"/>
          <w:szCs w:val="21"/>
          <w:highlight w:val="none"/>
        </w:rPr>
        <w:t>5.知识产权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_Toc25040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"_Toc21930" </w:instrText>
      </w:r>
      <w:r>
        <w:rPr>
          <w:color w:val="auto"/>
          <w:highlight w:val="none"/>
        </w:rPr>
        <w:fldChar w:fldCharType="separate"/>
      </w:r>
      <w:r>
        <w:rPr>
          <w:rFonts w:hint="eastAsia" w:ascii="宋体" w:hAnsi="宋体" w:eastAsia="宋体" w:cs="宋体"/>
          <w:color w:val="auto"/>
          <w:sz w:val="21"/>
          <w:szCs w:val="21"/>
          <w:highlight w:val="none"/>
        </w:rPr>
        <w:t>6.关于联合体投标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"_Toc16571" </w:instrText>
      </w:r>
      <w:r>
        <w:rPr>
          <w:color w:val="auto"/>
          <w:highlight w:val="none"/>
        </w:rPr>
        <w:fldChar w:fldCharType="separate"/>
      </w:r>
      <w:r>
        <w:rPr>
          <w:rFonts w:hint="eastAsia" w:ascii="宋体" w:hAnsi="宋体" w:eastAsia="宋体" w:cs="宋体"/>
          <w:color w:val="auto"/>
          <w:sz w:val="21"/>
          <w:szCs w:val="21"/>
          <w:highlight w:val="none"/>
        </w:rPr>
        <w:t>7.关于分支机构投标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_Toc16571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"_Toc17879" </w:instrText>
      </w:r>
      <w:r>
        <w:rPr>
          <w:color w:val="auto"/>
          <w:highlight w:val="none"/>
        </w:rPr>
        <w:fldChar w:fldCharType="separate"/>
      </w:r>
      <w:r>
        <w:rPr>
          <w:rFonts w:hint="eastAsia" w:ascii="宋体" w:hAnsi="宋体" w:eastAsia="宋体" w:cs="宋体"/>
          <w:color w:val="auto"/>
          <w:highlight w:val="none"/>
        </w:rPr>
        <w:t>二、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"_Toc21771" </w:instrText>
      </w:r>
      <w:r>
        <w:rPr>
          <w:color w:val="auto"/>
          <w:highlight w:val="none"/>
        </w:rPr>
        <w:fldChar w:fldCharType="separate"/>
      </w:r>
      <w:r>
        <w:rPr>
          <w:rFonts w:hint="eastAsia" w:ascii="宋体" w:hAnsi="宋体" w:eastAsia="宋体" w:cs="宋体"/>
          <w:color w:val="auto"/>
          <w:sz w:val="21"/>
          <w:szCs w:val="21"/>
          <w:highlight w:val="none"/>
        </w:rPr>
        <w:t>8.招标文件的组成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"_Toc14217" </w:instrText>
      </w:r>
      <w:r>
        <w:rPr>
          <w:color w:val="auto"/>
          <w:highlight w:val="none"/>
        </w:rPr>
        <w:fldChar w:fldCharType="separate"/>
      </w:r>
      <w:r>
        <w:rPr>
          <w:rFonts w:hint="eastAsia" w:ascii="宋体" w:hAnsi="宋体" w:eastAsia="宋体" w:cs="宋体"/>
          <w:color w:val="auto"/>
          <w:sz w:val="21"/>
          <w:szCs w:val="21"/>
          <w:highlight w:val="none"/>
        </w:rPr>
        <w:t>9.招标文件的澄清或修改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"_Toc23726" </w:instrText>
      </w:r>
      <w:r>
        <w:rPr>
          <w:color w:val="auto"/>
          <w:highlight w:val="none"/>
        </w:rPr>
        <w:fldChar w:fldCharType="separate"/>
      </w:r>
      <w:r>
        <w:rPr>
          <w:rFonts w:hint="eastAsia" w:ascii="宋体" w:hAnsi="宋体" w:eastAsia="宋体" w:cs="宋体"/>
          <w:color w:val="auto"/>
          <w:highlight w:val="none"/>
        </w:rPr>
        <w:t>三、 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_Toc23726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"_Toc20623" </w:instrText>
      </w:r>
      <w:r>
        <w:rPr>
          <w:color w:val="auto"/>
          <w:highlight w:val="none"/>
        </w:rPr>
        <w:fldChar w:fldCharType="separate"/>
      </w:r>
      <w:r>
        <w:rPr>
          <w:rFonts w:hint="eastAsia" w:ascii="宋体" w:hAnsi="宋体" w:eastAsia="宋体" w:cs="宋体"/>
          <w:color w:val="auto"/>
          <w:sz w:val="21"/>
          <w:szCs w:val="21"/>
          <w:highlight w:val="none"/>
        </w:rPr>
        <w:t>10.投标文件的语言及度量衡单位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"_Toc12145" </w:instrText>
      </w:r>
      <w:r>
        <w:rPr>
          <w:color w:val="auto"/>
          <w:highlight w:val="none"/>
        </w:rPr>
        <w:fldChar w:fldCharType="separate"/>
      </w:r>
      <w:r>
        <w:rPr>
          <w:rFonts w:hint="eastAsia" w:ascii="宋体" w:hAnsi="宋体" w:eastAsia="宋体" w:cs="宋体"/>
          <w:color w:val="auto"/>
          <w:sz w:val="21"/>
          <w:szCs w:val="21"/>
          <w:highlight w:val="none"/>
        </w:rPr>
        <w:t>11.投标文件的组成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"_Toc30189" </w:instrText>
      </w:r>
      <w:r>
        <w:rPr>
          <w:color w:val="auto"/>
          <w:highlight w:val="none"/>
        </w:rPr>
        <w:fldChar w:fldCharType="separate"/>
      </w:r>
      <w:r>
        <w:rPr>
          <w:rFonts w:hint="eastAsia" w:ascii="宋体" w:hAnsi="宋体" w:eastAsia="宋体" w:cs="宋体"/>
          <w:color w:val="auto"/>
          <w:sz w:val="21"/>
          <w:szCs w:val="21"/>
          <w:highlight w:val="none"/>
        </w:rPr>
        <w:t>12.投标文件编制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_Toc30189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"_Toc259" </w:instrText>
      </w:r>
      <w:r>
        <w:rPr>
          <w:color w:val="auto"/>
          <w:highlight w:val="none"/>
        </w:rPr>
        <w:fldChar w:fldCharType="separate"/>
      </w:r>
      <w:r>
        <w:rPr>
          <w:rFonts w:hint="eastAsia" w:ascii="宋体" w:hAnsi="宋体" w:eastAsia="宋体" w:cs="宋体"/>
          <w:color w:val="auto"/>
          <w:sz w:val="21"/>
          <w:szCs w:val="21"/>
          <w:highlight w:val="none"/>
        </w:rPr>
        <w:t>13.投标报价说明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"_Toc27724" </w:instrText>
      </w:r>
      <w:r>
        <w:rPr>
          <w:color w:val="auto"/>
          <w:highlight w:val="none"/>
        </w:rPr>
        <w:fldChar w:fldCharType="separate"/>
      </w:r>
      <w:r>
        <w:rPr>
          <w:rFonts w:hint="eastAsia" w:ascii="宋体" w:hAnsi="宋体" w:eastAsia="宋体" w:cs="宋体"/>
          <w:color w:val="auto"/>
          <w:sz w:val="21"/>
          <w:szCs w:val="21"/>
          <w:highlight w:val="none"/>
        </w:rPr>
        <w:t>14.投标人所提供的服务或货物的证明文件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"_Toc19520" </w:instrText>
      </w:r>
      <w:r>
        <w:rPr>
          <w:color w:val="auto"/>
          <w:highlight w:val="none"/>
        </w:rPr>
        <w:fldChar w:fldCharType="separate"/>
      </w:r>
      <w:r>
        <w:rPr>
          <w:rFonts w:hint="eastAsia" w:ascii="宋体" w:hAnsi="宋体" w:eastAsia="宋体" w:cs="宋体"/>
          <w:color w:val="auto"/>
          <w:sz w:val="21"/>
          <w:szCs w:val="21"/>
          <w:highlight w:val="none"/>
        </w:rPr>
        <w:t>15.投标有效期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_Toc19520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"_Toc12456" </w:instrText>
      </w:r>
      <w:r>
        <w:rPr>
          <w:color w:val="auto"/>
          <w:highlight w:val="none"/>
        </w:rPr>
        <w:fldChar w:fldCharType="separate"/>
      </w:r>
      <w:r>
        <w:rPr>
          <w:rFonts w:hint="eastAsia" w:ascii="宋体" w:hAnsi="宋体" w:eastAsia="宋体" w:cs="宋体"/>
          <w:color w:val="auto"/>
          <w:sz w:val="21"/>
          <w:szCs w:val="21"/>
          <w:highlight w:val="none"/>
        </w:rPr>
        <w:t>16.投标保证金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"_Toc31124" </w:instrText>
      </w:r>
      <w:r>
        <w:rPr>
          <w:color w:val="auto"/>
          <w:highlight w:val="none"/>
        </w:rPr>
        <w:fldChar w:fldCharType="separate"/>
      </w:r>
      <w:r>
        <w:rPr>
          <w:rFonts w:hint="eastAsia" w:ascii="宋体" w:hAnsi="宋体" w:eastAsia="宋体" w:cs="宋体"/>
          <w:color w:val="auto"/>
          <w:highlight w:val="none"/>
        </w:rPr>
        <w:t>四、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_Toc31124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"_Toc29590" </w:instrText>
      </w:r>
      <w:r>
        <w:rPr>
          <w:color w:val="auto"/>
          <w:highlight w:val="none"/>
        </w:rPr>
        <w:fldChar w:fldCharType="separate"/>
      </w:r>
      <w:r>
        <w:rPr>
          <w:rFonts w:hint="eastAsia" w:ascii="宋体" w:hAnsi="宋体" w:eastAsia="宋体" w:cs="宋体"/>
          <w:color w:val="auto"/>
          <w:sz w:val="21"/>
          <w:szCs w:val="21"/>
          <w:highlight w:val="none"/>
        </w:rPr>
        <w:t>17.投标文件的装订，签署，密封和标记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"_Toc8628" </w:instrText>
      </w:r>
      <w:r>
        <w:rPr>
          <w:color w:val="auto"/>
          <w:highlight w:val="none"/>
        </w:rPr>
        <w:fldChar w:fldCharType="separate"/>
      </w:r>
      <w:r>
        <w:rPr>
          <w:rFonts w:hint="eastAsia" w:ascii="宋体" w:hAnsi="宋体" w:eastAsia="宋体" w:cs="宋体"/>
          <w:color w:val="auto"/>
          <w:sz w:val="21"/>
          <w:szCs w:val="21"/>
          <w:highlight w:val="none"/>
        </w:rPr>
        <w:t>18.迟交的投标文件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"_Toc13212" </w:instrText>
      </w:r>
      <w:r>
        <w:rPr>
          <w:color w:val="auto"/>
          <w:highlight w:val="none"/>
        </w:rPr>
        <w:fldChar w:fldCharType="separate"/>
      </w:r>
      <w:r>
        <w:rPr>
          <w:rFonts w:hint="eastAsia" w:ascii="宋体" w:hAnsi="宋体" w:eastAsia="宋体" w:cs="宋体"/>
          <w:color w:val="auto"/>
          <w:sz w:val="21"/>
          <w:szCs w:val="21"/>
          <w:highlight w:val="none"/>
        </w:rPr>
        <w:t>19.投标样品（如需提交）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"_Toc5900" </w:instrText>
      </w:r>
      <w:r>
        <w:rPr>
          <w:color w:val="auto"/>
          <w:highlight w:val="none"/>
        </w:rPr>
        <w:fldChar w:fldCharType="separate"/>
      </w:r>
      <w:r>
        <w:rPr>
          <w:rFonts w:hint="eastAsia" w:ascii="宋体" w:hAnsi="宋体" w:eastAsia="宋体" w:cs="宋体"/>
          <w:color w:val="auto"/>
          <w:sz w:val="21"/>
          <w:szCs w:val="21"/>
          <w:highlight w:val="none"/>
        </w:rPr>
        <w:t>20.投标截止期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"_Toc6003" </w:instrText>
      </w:r>
      <w:r>
        <w:rPr>
          <w:color w:val="auto"/>
          <w:highlight w:val="none"/>
        </w:rPr>
        <w:fldChar w:fldCharType="separate"/>
      </w:r>
      <w:r>
        <w:rPr>
          <w:rFonts w:hint="eastAsia" w:ascii="宋体" w:hAnsi="宋体" w:eastAsia="宋体" w:cs="宋体"/>
          <w:color w:val="auto"/>
          <w:sz w:val="21"/>
          <w:szCs w:val="21"/>
          <w:highlight w:val="none"/>
        </w:rPr>
        <w:t>21.投标文件的补充、修改与撤回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_Toc6003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"_Toc29574" </w:instrText>
      </w:r>
      <w:r>
        <w:rPr>
          <w:color w:val="auto"/>
          <w:highlight w:val="none"/>
        </w:rPr>
        <w:fldChar w:fldCharType="separate"/>
      </w:r>
      <w:r>
        <w:rPr>
          <w:rFonts w:hint="eastAsia" w:ascii="宋体" w:hAnsi="宋体" w:eastAsia="宋体" w:cs="宋体"/>
          <w:color w:val="auto"/>
          <w:highlight w:val="none"/>
        </w:rPr>
        <w:t>五、 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"_Toc28458" </w:instrText>
      </w:r>
      <w:r>
        <w:rPr>
          <w:color w:val="auto"/>
          <w:highlight w:val="none"/>
        </w:rPr>
        <w:fldChar w:fldCharType="separate"/>
      </w:r>
      <w:r>
        <w:rPr>
          <w:rFonts w:hint="eastAsia" w:ascii="宋体" w:hAnsi="宋体" w:eastAsia="宋体" w:cs="宋体"/>
          <w:color w:val="auto"/>
          <w:sz w:val="21"/>
          <w:szCs w:val="21"/>
          <w:highlight w:val="none"/>
        </w:rPr>
        <w:t>22.开标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"_Toc5524" </w:instrText>
      </w:r>
      <w:r>
        <w:rPr>
          <w:color w:val="auto"/>
          <w:highlight w:val="none"/>
        </w:rPr>
        <w:fldChar w:fldCharType="separate"/>
      </w:r>
      <w:r>
        <w:rPr>
          <w:rFonts w:hint="eastAsia" w:ascii="宋体" w:hAnsi="宋体" w:eastAsia="宋体" w:cs="宋体"/>
          <w:color w:val="auto"/>
          <w:sz w:val="21"/>
          <w:szCs w:val="21"/>
          <w:highlight w:val="none"/>
        </w:rPr>
        <w:t>23.评标委员会及评标方法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"_Toc15231" </w:instrText>
      </w:r>
      <w:r>
        <w:rPr>
          <w:color w:val="auto"/>
          <w:highlight w:val="none"/>
        </w:rPr>
        <w:fldChar w:fldCharType="separate"/>
      </w:r>
      <w:r>
        <w:rPr>
          <w:rFonts w:hint="eastAsia" w:ascii="宋体" w:hAnsi="宋体" w:eastAsia="宋体" w:cs="宋体"/>
          <w:color w:val="auto"/>
          <w:sz w:val="21"/>
          <w:szCs w:val="21"/>
          <w:highlight w:val="none"/>
        </w:rPr>
        <w:t>24.评审原则及评标过程的保密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"_Toc3762" </w:instrText>
      </w:r>
      <w:r>
        <w:rPr>
          <w:color w:val="auto"/>
          <w:highlight w:val="none"/>
        </w:rPr>
        <w:fldChar w:fldCharType="separate"/>
      </w:r>
      <w:r>
        <w:rPr>
          <w:rFonts w:hint="eastAsia" w:ascii="宋体" w:hAnsi="宋体" w:eastAsia="宋体" w:cs="宋体"/>
          <w:color w:val="auto"/>
          <w:sz w:val="21"/>
          <w:szCs w:val="21"/>
          <w:highlight w:val="none"/>
        </w:rPr>
        <w:t>25.投标文件的初审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"_Toc21742" </w:instrText>
      </w:r>
      <w:r>
        <w:rPr>
          <w:color w:val="auto"/>
          <w:highlight w:val="none"/>
        </w:rPr>
        <w:fldChar w:fldCharType="separate"/>
      </w:r>
      <w:r>
        <w:rPr>
          <w:rFonts w:hint="eastAsia" w:ascii="宋体" w:hAnsi="宋体" w:eastAsia="宋体" w:cs="宋体"/>
          <w:color w:val="auto"/>
          <w:sz w:val="21"/>
          <w:szCs w:val="21"/>
          <w:highlight w:val="none"/>
        </w:rPr>
        <w:t>26.商务、技术、价格评审（具体评审项目详见投标资料表）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"_Toc22192" </w:instrText>
      </w:r>
      <w:r>
        <w:rPr>
          <w:color w:val="auto"/>
          <w:highlight w:val="none"/>
        </w:rPr>
        <w:fldChar w:fldCharType="separate"/>
      </w:r>
      <w:r>
        <w:rPr>
          <w:rFonts w:hint="eastAsia" w:ascii="宋体" w:hAnsi="宋体" w:eastAsia="宋体" w:cs="宋体"/>
          <w:color w:val="auto"/>
          <w:sz w:val="21"/>
          <w:szCs w:val="21"/>
          <w:highlight w:val="none"/>
        </w:rPr>
        <w:t>27.优惠政策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_Toc22192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"_Toc22591" </w:instrText>
      </w:r>
      <w:r>
        <w:rPr>
          <w:color w:val="auto"/>
          <w:highlight w:val="none"/>
        </w:rPr>
        <w:fldChar w:fldCharType="separate"/>
      </w:r>
      <w:r>
        <w:rPr>
          <w:rFonts w:hint="eastAsia" w:ascii="宋体" w:hAnsi="宋体" w:eastAsia="宋体" w:cs="宋体"/>
          <w:color w:val="auto"/>
          <w:sz w:val="21"/>
          <w:szCs w:val="21"/>
          <w:highlight w:val="none"/>
        </w:rPr>
        <w:t>28.纪律和保密事项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_Toc22591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"_Toc29310" </w:instrText>
      </w:r>
      <w:r>
        <w:rPr>
          <w:color w:val="auto"/>
          <w:highlight w:val="none"/>
        </w:rPr>
        <w:fldChar w:fldCharType="separate"/>
      </w:r>
      <w:r>
        <w:rPr>
          <w:rFonts w:hint="eastAsia" w:ascii="宋体" w:hAnsi="宋体" w:eastAsia="宋体" w:cs="宋体"/>
          <w:color w:val="auto"/>
          <w:highlight w:val="none"/>
        </w:rPr>
        <w:t>六、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"_Toc27817" </w:instrText>
      </w:r>
      <w:r>
        <w:rPr>
          <w:color w:val="auto"/>
          <w:highlight w:val="none"/>
        </w:rPr>
        <w:fldChar w:fldCharType="separate"/>
      </w:r>
      <w:r>
        <w:rPr>
          <w:rFonts w:hint="eastAsia" w:ascii="宋体" w:hAnsi="宋体" w:eastAsia="宋体" w:cs="宋体"/>
          <w:color w:val="auto"/>
          <w:sz w:val="21"/>
          <w:szCs w:val="21"/>
          <w:highlight w:val="none"/>
        </w:rPr>
        <w:t>29.合同授予标准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"_Toc29283" </w:instrText>
      </w:r>
      <w:r>
        <w:rPr>
          <w:color w:val="auto"/>
          <w:highlight w:val="none"/>
        </w:rPr>
        <w:fldChar w:fldCharType="separate"/>
      </w:r>
      <w:r>
        <w:rPr>
          <w:rFonts w:hint="eastAsia" w:ascii="宋体" w:hAnsi="宋体" w:eastAsia="宋体" w:cs="宋体"/>
          <w:color w:val="auto"/>
          <w:sz w:val="21"/>
          <w:szCs w:val="21"/>
          <w:highlight w:val="none"/>
        </w:rPr>
        <w:t>30.发布采购结果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"_Toc22451" </w:instrText>
      </w:r>
      <w:r>
        <w:rPr>
          <w:color w:val="auto"/>
          <w:highlight w:val="none"/>
        </w:rPr>
        <w:fldChar w:fldCharType="separate"/>
      </w:r>
      <w:r>
        <w:rPr>
          <w:rFonts w:hint="eastAsia" w:ascii="宋体" w:hAnsi="宋体" w:eastAsia="宋体" w:cs="宋体"/>
          <w:color w:val="auto"/>
          <w:sz w:val="21"/>
          <w:szCs w:val="21"/>
          <w:highlight w:val="none"/>
        </w:rPr>
        <w:t>31.合同的签订与履行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_Toc22451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"_Toc2744" </w:instrText>
      </w:r>
      <w:r>
        <w:rPr>
          <w:color w:val="auto"/>
          <w:highlight w:val="none"/>
        </w:rPr>
        <w:fldChar w:fldCharType="separate"/>
      </w:r>
      <w:r>
        <w:rPr>
          <w:rFonts w:hint="eastAsia" w:ascii="宋体" w:hAnsi="宋体" w:eastAsia="宋体" w:cs="宋体"/>
          <w:color w:val="auto"/>
          <w:sz w:val="21"/>
          <w:szCs w:val="21"/>
          <w:highlight w:val="none"/>
        </w:rPr>
        <w:t>32.履约保证金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"_Toc13694" </w:instrText>
      </w:r>
      <w:r>
        <w:rPr>
          <w:color w:val="auto"/>
          <w:highlight w:val="none"/>
        </w:rPr>
        <w:fldChar w:fldCharType="separate"/>
      </w:r>
      <w:r>
        <w:rPr>
          <w:rFonts w:hint="eastAsia" w:ascii="宋体" w:hAnsi="宋体" w:eastAsia="宋体" w:cs="宋体"/>
          <w:color w:val="auto"/>
          <w:highlight w:val="none"/>
        </w:rPr>
        <w:t>七、询问或质疑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"_Toc25498" </w:instrText>
      </w:r>
      <w:r>
        <w:rPr>
          <w:color w:val="auto"/>
          <w:highlight w:val="none"/>
        </w:rPr>
        <w:fldChar w:fldCharType="separate"/>
      </w:r>
      <w:r>
        <w:rPr>
          <w:rFonts w:hint="eastAsia" w:ascii="宋体" w:hAnsi="宋体" w:eastAsia="宋体" w:cs="宋体"/>
          <w:color w:val="auto"/>
          <w:sz w:val="21"/>
          <w:szCs w:val="21"/>
          <w:highlight w:val="none"/>
        </w:rPr>
        <w:t>33.询问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"_Toc8234" </w:instrText>
      </w:r>
      <w:r>
        <w:rPr>
          <w:color w:val="auto"/>
          <w:highlight w:val="none"/>
        </w:rPr>
        <w:fldChar w:fldCharType="separate"/>
      </w:r>
      <w:r>
        <w:rPr>
          <w:rFonts w:hint="eastAsia" w:ascii="宋体" w:hAnsi="宋体" w:eastAsia="宋体" w:cs="宋体"/>
          <w:color w:val="auto"/>
          <w:sz w:val="21"/>
          <w:szCs w:val="21"/>
          <w:highlight w:val="none"/>
        </w:rPr>
        <w:t>34.质疑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_Toc8234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"_Toc24383" </w:instrText>
      </w:r>
      <w:r>
        <w:rPr>
          <w:color w:val="auto"/>
          <w:highlight w:val="none"/>
        </w:rPr>
        <w:fldChar w:fldCharType="separate"/>
      </w:r>
      <w:r>
        <w:rPr>
          <w:rFonts w:hint="eastAsia" w:ascii="宋体" w:hAnsi="宋体" w:eastAsia="宋体" w:cs="宋体"/>
          <w:color w:val="auto"/>
          <w:highlight w:val="none"/>
        </w:rPr>
        <w:t>八、其他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"_Toc10082" </w:instrText>
      </w:r>
      <w:r>
        <w:rPr>
          <w:color w:val="auto"/>
          <w:highlight w:val="none"/>
        </w:rPr>
        <w:fldChar w:fldCharType="separate"/>
      </w:r>
      <w:r>
        <w:rPr>
          <w:rFonts w:hint="eastAsia" w:ascii="宋体" w:hAnsi="宋体" w:eastAsia="宋体" w:cs="宋体"/>
          <w:color w:val="auto"/>
          <w:sz w:val="21"/>
          <w:szCs w:val="21"/>
          <w:highlight w:val="none"/>
        </w:rPr>
        <w:t>35.招标文件的解释权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"_Toc21448" </w:instrText>
      </w:r>
      <w:r>
        <w:rPr>
          <w:color w:val="auto"/>
          <w:highlight w:val="none"/>
        </w:rPr>
        <w:fldChar w:fldCharType="separate"/>
      </w:r>
      <w:r>
        <w:rPr>
          <w:rFonts w:hint="eastAsia" w:cs="宋体"/>
          <w:color w:val="auto"/>
          <w:sz w:val="21"/>
          <w:szCs w:val="21"/>
          <w:highlight w:val="none"/>
        </w:rPr>
        <w:t>第五部分 合同格式（仅供参考）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_Toc21448 </w:instrText>
      </w:r>
      <w:r>
        <w:rPr>
          <w:rFonts w:hint="eastAsia" w:cs="宋体"/>
          <w:color w:val="auto"/>
          <w:sz w:val="21"/>
          <w:szCs w:val="21"/>
          <w:highlight w:val="none"/>
        </w:rPr>
        <w:fldChar w:fldCharType="separate"/>
      </w:r>
      <w:r>
        <w:rPr>
          <w:rFonts w:hint="eastAsia" w:cs="宋体"/>
          <w:color w:val="auto"/>
          <w:sz w:val="21"/>
          <w:szCs w:val="21"/>
          <w:highlight w:val="none"/>
        </w:rPr>
        <w:t>34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"_Toc16730" </w:instrText>
      </w:r>
      <w:r>
        <w:rPr>
          <w:color w:val="auto"/>
          <w:highlight w:val="none"/>
        </w:rPr>
        <w:fldChar w:fldCharType="separate"/>
      </w:r>
      <w:r>
        <w:rPr>
          <w:rFonts w:hint="eastAsia" w:ascii="宋体" w:hAnsi="宋体" w:eastAsia="宋体" w:cs="宋体"/>
          <w:color w:val="auto"/>
          <w:highlight w:val="none"/>
        </w:rPr>
        <w:t>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_Toc16730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"_Toc23749" </w:instrText>
      </w:r>
      <w:r>
        <w:rPr>
          <w:color w:val="auto"/>
          <w:highlight w:val="none"/>
        </w:rPr>
        <w:fldChar w:fldCharType="separate"/>
      </w:r>
      <w:r>
        <w:rPr>
          <w:rFonts w:hint="eastAsia" w:cs="宋体"/>
          <w:color w:val="auto"/>
          <w:sz w:val="21"/>
          <w:szCs w:val="21"/>
          <w:highlight w:val="none"/>
        </w:rPr>
        <w:t>第六部分  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_Toc23749 </w:instrText>
      </w:r>
      <w:r>
        <w:rPr>
          <w:rFonts w:hint="eastAsia" w:cs="宋体"/>
          <w:color w:val="auto"/>
          <w:sz w:val="21"/>
          <w:szCs w:val="21"/>
          <w:highlight w:val="none"/>
        </w:rPr>
        <w:fldChar w:fldCharType="separate"/>
      </w:r>
      <w:r>
        <w:rPr>
          <w:rFonts w:hint="eastAsia" w:cs="宋体"/>
          <w:color w:val="auto"/>
          <w:sz w:val="21"/>
          <w:szCs w:val="21"/>
          <w:highlight w:val="none"/>
        </w:rPr>
        <w:t>37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"_Toc26830" </w:instrText>
      </w:r>
      <w:r>
        <w:rPr>
          <w:color w:val="auto"/>
          <w:highlight w:val="none"/>
        </w:rPr>
        <w:fldChar w:fldCharType="separate"/>
      </w:r>
      <w:r>
        <w:rPr>
          <w:rFonts w:hint="eastAsia" w:ascii="宋体" w:hAnsi="宋体" w:eastAsia="宋体" w:cs="宋体"/>
          <w:color w:val="auto"/>
          <w:sz w:val="21"/>
          <w:szCs w:val="21"/>
          <w:highlight w:val="none"/>
        </w:rPr>
        <w:t>附件1.投标文件目录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"_Toc18893" </w:instrText>
      </w:r>
      <w:r>
        <w:rPr>
          <w:color w:val="auto"/>
          <w:highlight w:val="none"/>
        </w:rPr>
        <w:fldChar w:fldCharType="separate"/>
      </w:r>
      <w:r>
        <w:rPr>
          <w:rFonts w:hint="eastAsia" w:ascii="宋体" w:hAnsi="宋体" w:eastAsia="宋体" w:cs="宋体"/>
          <w:color w:val="auto"/>
          <w:sz w:val="21"/>
          <w:szCs w:val="21"/>
          <w:highlight w:val="none"/>
        </w:rPr>
        <w:t>附件1-1 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"_Toc30640" </w:instrText>
      </w:r>
      <w:r>
        <w:rPr>
          <w:color w:val="auto"/>
          <w:highlight w:val="none"/>
        </w:rPr>
        <w:fldChar w:fldCharType="separate"/>
      </w:r>
      <w:r>
        <w:rPr>
          <w:rFonts w:hint="eastAsia" w:ascii="宋体" w:hAnsi="宋体" w:eastAsia="宋体" w:cs="宋体"/>
          <w:color w:val="auto"/>
          <w:sz w:val="21"/>
          <w:szCs w:val="21"/>
          <w:highlight w:val="none"/>
        </w:rPr>
        <w:t>附件2.投标书格式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"_Toc6866" </w:instrText>
      </w:r>
      <w:r>
        <w:rPr>
          <w:color w:val="auto"/>
          <w:highlight w:val="none"/>
        </w:rPr>
        <w:fldChar w:fldCharType="separate"/>
      </w:r>
      <w:r>
        <w:rPr>
          <w:rFonts w:hint="eastAsia" w:ascii="宋体" w:hAnsi="宋体" w:eastAsia="宋体" w:cs="宋体"/>
          <w:color w:val="auto"/>
          <w:sz w:val="21"/>
          <w:szCs w:val="21"/>
          <w:highlight w:val="none"/>
        </w:rPr>
        <w:t>附件3.开标一览表格式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_Toc6866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"_Toc3254" </w:instrText>
      </w:r>
      <w:r>
        <w:rPr>
          <w:color w:val="auto"/>
          <w:highlight w:val="none"/>
        </w:rPr>
        <w:fldChar w:fldCharType="separate"/>
      </w:r>
      <w:r>
        <w:rPr>
          <w:rFonts w:hint="eastAsia" w:ascii="宋体" w:hAnsi="宋体" w:eastAsia="宋体" w:cs="宋体"/>
          <w:color w:val="auto"/>
          <w:sz w:val="21"/>
          <w:szCs w:val="21"/>
          <w:highlight w:val="none"/>
        </w:rPr>
        <w:t>附件4.投标分项报价表格式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"_Toc16412" </w:instrText>
      </w:r>
      <w:r>
        <w:rPr>
          <w:color w:val="auto"/>
          <w:highlight w:val="none"/>
        </w:rPr>
        <w:fldChar w:fldCharType="separate"/>
      </w:r>
      <w:r>
        <w:rPr>
          <w:rFonts w:hint="eastAsia" w:ascii="宋体" w:hAnsi="宋体" w:eastAsia="宋体" w:cs="宋体"/>
          <w:color w:val="auto"/>
          <w:sz w:val="21"/>
          <w:szCs w:val="21"/>
          <w:highlight w:val="none"/>
        </w:rPr>
        <w:t>附件5.法定代表人证明书格式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_Toc16412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"_Toc31205" </w:instrText>
      </w:r>
      <w:r>
        <w:rPr>
          <w:color w:val="auto"/>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"_Toc17164" </w:instrText>
      </w:r>
      <w:r>
        <w:rPr>
          <w:color w:val="auto"/>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"_Toc27839" </w:instrText>
      </w:r>
      <w:r>
        <w:rPr>
          <w:color w:val="auto"/>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"_Toc26141" </w:instrText>
      </w:r>
      <w:r>
        <w:rPr>
          <w:color w:val="auto"/>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_Toc26141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"_Toc17618" </w:instrText>
      </w:r>
      <w:r>
        <w:rPr>
          <w:color w:val="auto"/>
          <w:highlight w:val="none"/>
        </w:rPr>
        <w:fldChar w:fldCharType="separate"/>
      </w:r>
      <w:r>
        <w:rPr>
          <w:rFonts w:hint="eastAsia" w:ascii="宋体" w:hAnsi="宋体" w:eastAsia="宋体" w:cs="宋体"/>
          <w:color w:val="auto"/>
          <w:sz w:val="21"/>
          <w:szCs w:val="21"/>
          <w:highlight w:val="none"/>
        </w:rPr>
        <w:t>附件10.商务条款偏离表格式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_Toc17618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"_Toc32183" </w:instrText>
      </w:r>
      <w:r>
        <w:rPr>
          <w:color w:val="auto"/>
          <w:highlight w:val="none"/>
        </w:rPr>
        <w:fldChar w:fldCharType="separate"/>
      </w:r>
      <w:r>
        <w:rPr>
          <w:rFonts w:hint="eastAsia" w:ascii="宋体" w:hAnsi="宋体" w:eastAsia="宋体" w:cs="宋体"/>
          <w:color w:val="auto"/>
          <w:sz w:val="21"/>
          <w:szCs w:val="21"/>
          <w:highlight w:val="none"/>
        </w:rPr>
        <w:t>附件11.技术规格偏离表格式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_Toc32183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"_Toc29613" </w:instrText>
      </w:r>
      <w:r>
        <w:rPr>
          <w:color w:val="auto"/>
          <w:highlight w:val="none"/>
        </w:rPr>
        <w:fldChar w:fldCharType="separate"/>
      </w:r>
      <w:r>
        <w:rPr>
          <w:rFonts w:hint="eastAsia" w:ascii="宋体" w:hAnsi="宋体" w:eastAsia="宋体" w:cs="宋体"/>
          <w:color w:val="auto"/>
          <w:sz w:val="21"/>
          <w:szCs w:val="21"/>
          <w:highlight w:val="none"/>
        </w:rPr>
        <w:t>附件12.重要技术参数（▲）响应表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_Toc29613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"_Toc27674" </w:instrText>
      </w:r>
      <w:r>
        <w:rPr>
          <w:color w:val="auto"/>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"_Toc7860" </w:instrText>
      </w:r>
      <w:r>
        <w:rPr>
          <w:color w:val="auto"/>
          <w:highlight w:val="none"/>
        </w:rPr>
        <w:fldChar w:fldCharType="separate"/>
      </w:r>
      <w:r>
        <w:rPr>
          <w:rFonts w:hint="eastAsia" w:ascii="宋体" w:hAnsi="宋体" w:eastAsia="宋体" w:cs="宋体"/>
          <w:color w:val="auto"/>
          <w:sz w:val="21"/>
          <w:szCs w:val="21"/>
          <w:highlight w:val="none"/>
        </w:rPr>
        <w:t>附件14.项目实施方案格式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"_Toc8596" </w:instrText>
      </w:r>
      <w:r>
        <w:rPr>
          <w:color w:val="auto"/>
          <w:highlight w:val="none"/>
        </w:rPr>
        <w:fldChar w:fldCharType="separate"/>
      </w:r>
      <w:r>
        <w:rPr>
          <w:rFonts w:hint="eastAsia" w:ascii="宋体" w:hAnsi="宋体" w:eastAsia="宋体" w:cs="宋体"/>
          <w:color w:val="auto"/>
          <w:sz w:val="21"/>
          <w:szCs w:val="21"/>
          <w:highlight w:val="none"/>
        </w:rPr>
        <w:t>附件15.实施本项目的有关人员资料表格式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_Toc8596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"_Toc21598" </w:instrText>
      </w:r>
      <w:r>
        <w:rPr>
          <w:color w:val="auto"/>
          <w:highlight w:val="none"/>
        </w:rPr>
        <w:fldChar w:fldCharType="separate"/>
      </w:r>
      <w:r>
        <w:rPr>
          <w:rFonts w:hint="eastAsia" w:ascii="宋体" w:hAnsi="宋体" w:eastAsia="宋体" w:cs="宋体"/>
          <w:color w:val="auto"/>
          <w:sz w:val="21"/>
          <w:szCs w:val="21"/>
          <w:highlight w:val="none"/>
        </w:rPr>
        <w:t>附件16.投标货物说明一览表格式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"_Toc10094" </w:instrText>
      </w:r>
      <w:r>
        <w:rPr>
          <w:color w:val="auto"/>
          <w:highlight w:val="none"/>
        </w:rPr>
        <w:fldChar w:fldCharType="separate"/>
      </w:r>
      <w:r>
        <w:rPr>
          <w:rFonts w:hint="eastAsia" w:ascii="宋体" w:hAnsi="宋体" w:eastAsia="宋体" w:cs="宋体"/>
          <w:color w:val="auto"/>
          <w:sz w:val="21"/>
          <w:szCs w:val="21"/>
          <w:highlight w:val="none"/>
        </w:rPr>
        <w:t>附件17.在经营活动中没有重大违法记录的书面声明格式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"_Toc21223" </w:instrText>
      </w:r>
      <w:r>
        <w:rPr>
          <w:color w:val="auto"/>
          <w:highlight w:val="none"/>
        </w:rPr>
        <w:fldChar w:fldCharType="separate"/>
      </w:r>
      <w:r>
        <w:rPr>
          <w:rFonts w:hint="eastAsia" w:ascii="宋体" w:hAnsi="宋体" w:eastAsia="宋体" w:cs="宋体"/>
          <w:color w:val="auto"/>
          <w:sz w:val="21"/>
          <w:szCs w:val="21"/>
          <w:highlight w:val="none"/>
        </w:rPr>
        <w:t>附件18.中小企业声明函（投标人为中小企业时适用）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"_Toc28081" </w:instrText>
      </w:r>
      <w:r>
        <w:rPr>
          <w:color w:val="auto"/>
          <w:highlight w:val="none"/>
        </w:rPr>
        <w:fldChar w:fldCharType="separate"/>
      </w:r>
      <w:r>
        <w:rPr>
          <w:rFonts w:hint="eastAsia" w:ascii="宋体" w:hAnsi="宋体" w:eastAsia="宋体" w:cs="宋体"/>
          <w:color w:val="auto"/>
          <w:sz w:val="21"/>
          <w:szCs w:val="21"/>
          <w:highlight w:val="none"/>
        </w:rPr>
        <w:t>附件19.《残疾人福利性单位声明函》（残疾人福利性单位适用）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"_Toc25634" </w:instrText>
      </w:r>
      <w:r>
        <w:rPr>
          <w:color w:val="auto"/>
          <w:highlight w:val="none"/>
        </w:rPr>
        <w:fldChar w:fldCharType="separate"/>
      </w:r>
      <w:r>
        <w:rPr>
          <w:rFonts w:hint="eastAsia" w:ascii="宋体" w:hAnsi="宋体" w:eastAsia="宋体" w:cs="宋体"/>
          <w:color w:val="auto"/>
          <w:sz w:val="21"/>
          <w:szCs w:val="21"/>
          <w:highlight w:val="none"/>
        </w:rPr>
        <w:t>附件20.投标保证金汇入情况说明格式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"_Toc4363" </w:instrText>
      </w:r>
      <w:r>
        <w:rPr>
          <w:color w:val="auto"/>
          <w:highlight w:val="none"/>
        </w:rPr>
        <w:fldChar w:fldCharType="separate"/>
      </w:r>
      <w:r>
        <w:rPr>
          <w:rFonts w:hint="eastAsia" w:ascii="宋体" w:hAnsi="宋体" w:eastAsia="宋体" w:cs="宋体"/>
          <w:color w:val="auto"/>
          <w:sz w:val="21"/>
          <w:szCs w:val="21"/>
          <w:highlight w:val="none"/>
        </w:rPr>
        <w:t>附件21.政府采购投标担保函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hint="eastAsia"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"_Toc27534" </w:instrText>
      </w:r>
      <w:r>
        <w:rPr>
          <w:color w:val="auto"/>
          <w:highlight w:val="none"/>
        </w:rPr>
        <w:fldChar w:fldCharType="separate"/>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.政府采购履约担保函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"_Toc27534" </w:instrText>
      </w:r>
      <w:r>
        <w:rPr>
          <w:color w:val="auto"/>
          <w:highlight w:val="none"/>
        </w:rPr>
        <w:fldChar w:fldCharType="separate"/>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联合体共同投标协议书（如有需要）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fldChar w:fldCharType="end"/>
      </w:r>
      <w:r>
        <w:rPr>
          <w:rFonts w:hint="eastAsia" w:ascii="宋体" w:hAnsi="宋体" w:cs="宋体"/>
          <w:color w:val="auto"/>
          <w:sz w:val="21"/>
          <w:szCs w:val="21"/>
          <w:highlight w:val="none"/>
          <w:lang w:val="en-US" w:eastAsia="zh-CN"/>
        </w:rPr>
        <w:t>9</w:t>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"_Toc17023" </w:instrText>
      </w:r>
      <w:r>
        <w:rPr>
          <w:color w:val="auto"/>
          <w:highlight w:val="none"/>
        </w:rPr>
        <w:fldChar w:fldCharType="separate"/>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.获取招标文件登记表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_Toc17023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"_Toc11182" </w:instrText>
      </w:r>
      <w:r>
        <w:rPr>
          <w:color w:val="auto"/>
          <w:highlight w:val="none"/>
        </w:rPr>
        <w:fldChar w:fldCharType="separate"/>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.质疑函范本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jc w:val="both"/>
        <w:rPr>
          <w:rFonts w:cs="宋体"/>
          <w:color w:val="auto"/>
          <w:szCs w:val="21"/>
          <w:highlight w:val="none"/>
        </w:rPr>
      </w:pPr>
      <w:r>
        <w:rPr>
          <w:rFonts w:hint="eastAsia" w:ascii="宋体" w:hAnsi="宋体" w:eastAsia="宋体" w:cs="宋体"/>
          <w:color w:val="auto"/>
          <w:sz w:val="21"/>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4"/>
        <w:spacing w:before="0" w:after="0" w:line="240" w:lineRule="auto"/>
        <w:rPr>
          <w:color w:val="auto"/>
          <w:sz w:val="28"/>
          <w:szCs w:val="28"/>
          <w:highlight w:val="none"/>
        </w:rPr>
      </w:pPr>
      <w:r>
        <w:rPr>
          <w:rFonts w:hint="eastAsia"/>
          <w:color w:val="auto"/>
          <w:sz w:val="28"/>
          <w:szCs w:val="28"/>
          <w:highlight w:val="none"/>
        </w:rPr>
        <w:t>第一部分 投标邀请</w:t>
      </w:r>
    </w:p>
    <w:p>
      <w:pPr>
        <w:pStyle w:val="5"/>
        <w:spacing w:before="0" w:after="0" w:line="360" w:lineRule="auto"/>
        <w:jc w:val="center"/>
        <w:rPr>
          <w:rFonts w:ascii="宋体" w:hAnsi="宋体" w:eastAsia="宋体" w:cs="宋体"/>
          <w:color w:val="auto"/>
          <w:highlight w:val="none"/>
        </w:rPr>
      </w:pPr>
      <w:bookmarkStart w:id="0" w:name="_Toc1420"/>
      <w:r>
        <w:rPr>
          <w:rFonts w:hint="eastAsia" w:ascii="宋体" w:hAnsi="宋体" w:eastAsia="宋体" w:cs="宋体"/>
          <w:color w:val="auto"/>
          <w:highlight w:val="none"/>
        </w:rPr>
        <w:t>投标邀请书</w:t>
      </w:r>
      <w:bookmarkEnd w:id="0"/>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ascii="宋体" w:hAnsi="宋体" w:eastAsia="宋体"/>
          <w:b/>
          <w:bCs/>
          <w:color w:val="auto"/>
          <w:sz w:val="21"/>
          <w:szCs w:val="21"/>
          <w:highlight w:val="none"/>
          <w:u w:val="single"/>
        </w:rPr>
        <w:t>东莞市清溪镇党政综合办公室</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eastAsia="宋体"/>
          <w:b/>
          <w:bCs/>
          <w:color w:val="auto"/>
          <w:sz w:val="21"/>
          <w:szCs w:val="21"/>
          <w:highlight w:val="none"/>
          <w:u w:val="single"/>
        </w:rPr>
        <w:t>清溪镇行政办事中心饭堂食材配送服务</w:t>
      </w:r>
      <w:r>
        <w:rPr>
          <w:rFonts w:hint="eastAsia" w:ascii="宋体" w:hAnsi="宋体" w:eastAsia="宋体"/>
          <w:color w:val="auto"/>
          <w:sz w:val="21"/>
          <w:szCs w:val="21"/>
          <w:highlight w:val="none"/>
        </w:rPr>
        <w:t>（采购项目编号：441900023-2021-00639）</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1、项目内容：</w:t>
      </w:r>
      <w:r>
        <w:rPr>
          <w:rFonts w:hint="eastAsia" w:ascii="宋体" w:hAnsi="宋体" w:eastAsia="宋体"/>
          <w:b/>
          <w:bCs/>
          <w:color w:val="auto"/>
          <w:sz w:val="21"/>
          <w:szCs w:val="21"/>
          <w:highlight w:val="none"/>
          <w:u w:val="single"/>
        </w:rPr>
        <w:t>清溪镇行政办事中心饭堂食材配送服务</w:t>
      </w:r>
      <w:r>
        <w:rPr>
          <w:rFonts w:hint="eastAsia" w:ascii="宋体" w:hAnsi="宋体" w:eastAsia="宋体"/>
          <w:color w:val="auto"/>
          <w:sz w:val="21"/>
          <w:szCs w:val="21"/>
          <w:highlight w:val="none"/>
        </w:rPr>
        <w:t>采购一项，预算：</w:t>
      </w:r>
      <w:r>
        <w:rPr>
          <w:rFonts w:hint="eastAsia" w:ascii="宋体" w:hAnsi="宋体" w:eastAsia="宋体"/>
          <w:b/>
          <w:bCs/>
          <w:color w:val="auto"/>
          <w:sz w:val="21"/>
          <w:szCs w:val="21"/>
          <w:highlight w:val="none"/>
          <w:u w:val="single"/>
        </w:rPr>
        <w:t>2,868,000.00</w:t>
      </w:r>
      <w:r>
        <w:rPr>
          <w:rFonts w:hint="eastAsia" w:ascii="宋体" w:hAnsi="宋体" w:eastAsia="宋体"/>
          <w:color w:val="auto"/>
          <w:sz w:val="21"/>
          <w:szCs w:val="21"/>
          <w:highlight w:val="none"/>
        </w:rPr>
        <w:t>元。</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2、简要技术要求或招标项目的性质：详细内容请参阅招标文件第三部分《用户需求书》。</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（1）须符合《中华人民共和国政府采购法》第二十二条规定（需提供书面承诺）；</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（2）参加采购活动前三年内，在经营活动中没有重大违法记录（须提供书面声明）；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2、特殊要求：</w:t>
      </w:r>
    </w:p>
    <w:p>
      <w:pPr>
        <w:spacing w:after="0" w:line="360" w:lineRule="auto"/>
        <w:ind w:firstLine="411" w:firstLineChars="196"/>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（1）投标人</w:t>
      </w:r>
      <w:r>
        <w:rPr>
          <w:rFonts w:hint="eastAsia" w:ascii="宋体" w:hAnsi="宋体"/>
          <w:color w:val="auto"/>
          <w:sz w:val="21"/>
          <w:szCs w:val="21"/>
          <w:highlight w:val="none"/>
          <w:lang w:val="en-US" w:eastAsia="zh-CN"/>
        </w:rPr>
        <w:t>须</w:t>
      </w:r>
      <w:r>
        <w:rPr>
          <w:rFonts w:hint="eastAsia" w:ascii="宋体" w:hAnsi="宋体" w:eastAsia="宋体"/>
          <w:color w:val="auto"/>
          <w:sz w:val="21"/>
          <w:szCs w:val="21"/>
          <w:highlight w:val="none"/>
        </w:rPr>
        <w:t>具有行政主管部门颁发有效期内的《食品流通许可证》或《食品经营许可证》。</w:t>
      </w:r>
    </w:p>
    <w:p>
      <w:pPr>
        <w:bidi w:val="0"/>
        <w:rPr>
          <w:color w:val="auto"/>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三、项目公示时间、招标文件领购时间、地点、方式</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10</w:t>
      </w:r>
      <w:r>
        <w:rPr>
          <w:rFonts w:hint="eastAsia" w:ascii="宋体" w:hAnsi="宋体" w:eastAsia="宋体"/>
          <w:color w:val="auto"/>
          <w:sz w:val="21"/>
          <w:szCs w:val="21"/>
          <w:highlight w:val="none"/>
        </w:rPr>
        <w:t>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2、招标文件领购</w:t>
      </w:r>
      <w:r>
        <w:rPr>
          <w:rFonts w:ascii="宋体" w:hAnsi="宋体" w:eastAsia="宋体"/>
          <w:color w:val="auto"/>
          <w:sz w:val="21"/>
          <w:szCs w:val="21"/>
          <w:highlight w:val="none"/>
        </w:rPr>
        <w:t>时间：</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10</w:t>
      </w:r>
      <w:r>
        <w:rPr>
          <w:rFonts w:hint="eastAsia" w:ascii="宋体" w:hAnsi="宋体" w:eastAsia="宋体"/>
          <w:color w:val="auto"/>
          <w:sz w:val="21"/>
          <w:szCs w:val="21"/>
          <w:highlight w:val="none"/>
        </w:rPr>
        <w:t xml:space="preserve">日（节假日除外），上午9：00～12：00，下午14：30～17：30（北京时间）。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注：（1）投标人可自行打印招标文件中的“附件</w:t>
      </w:r>
      <w:r>
        <w:rPr>
          <w:rFonts w:hint="eastAsia" w:ascii="宋体" w:hAnsi="宋体"/>
          <w:color w:val="auto"/>
          <w:sz w:val="21"/>
          <w:szCs w:val="21"/>
          <w:highlight w:val="none"/>
          <w:lang w:val="en-US" w:eastAsia="zh-CN"/>
        </w:rPr>
        <w:t>24</w:t>
      </w:r>
      <w:r>
        <w:rPr>
          <w:rFonts w:hint="eastAsia" w:ascii="宋体" w:hAnsi="宋体" w:eastAsia="宋体"/>
          <w:color w:val="auto"/>
          <w:sz w:val="21"/>
          <w:szCs w:val="21"/>
          <w:highlight w:val="none"/>
        </w:rPr>
        <w:t xml:space="preserve"> 获取招标文件登记表”进行填写并带到现场进行领购，并现场领取发票。（招标文件领购价：人民币150元整）</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（2）现场支持现金支付、微信支付、支付宝支付等支付方式，请将相应表格交予我司</w:t>
      </w:r>
      <w:r>
        <w:rPr>
          <w:rFonts w:hint="eastAsia" w:ascii="宋体" w:hAnsi="宋体" w:eastAsia="宋体"/>
          <w:color w:val="auto"/>
          <w:sz w:val="21"/>
          <w:szCs w:val="21"/>
          <w:highlight w:val="none"/>
          <w:lang w:val="en-US" w:eastAsia="zh-CN"/>
        </w:rPr>
        <w:t>简小姐</w:t>
      </w:r>
      <w:r>
        <w:rPr>
          <w:rFonts w:hint="eastAsia" w:ascii="宋体" w:hAnsi="宋体" w:eastAsia="宋体"/>
          <w:color w:val="auto"/>
          <w:sz w:val="21"/>
          <w:szCs w:val="21"/>
          <w:highlight w:val="none"/>
        </w:rPr>
        <w:t>。</w:t>
      </w:r>
    </w:p>
    <w:p>
      <w:pPr>
        <w:spacing w:after="0" w:line="360" w:lineRule="auto"/>
        <w:ind w:firstLine="420" w:firstLineChars="200"/>
        <w:rPr>
          <w:color w:val="auto"/>
          <w:highlight w:val="none"/>
        </w:rPr>
      </w:pPr>
      <w:r>
        <w:rPr>
          <w:rFonts w:hint="eastAsia" w:ascii="宋体" w:hAnsi="宋体" w:eastAsia="宋体"/>
          <w:color w:val="auto"/>
          <w:sz w:val="21"/>
          <w:szCs w:val="21"/>
          <w:highlight w:val="none"/>
        </w:rPr>
        <w:t>（3）招标文件电子版可在广东省政府采购网（https://gdgpo.czt.gd.gov.cn/）相关</w:t>
      </w:r>
      <w:bookmarkStart w:id="238" w:name="_GoBack"/>
      <w:bookmarkEnd w:id="238"/>
      <w:r>
        <w:rPr>
          <w:rFonts w:hint="eastAsia" w:ascii="宋体" w:hAnsi="宋体" w:eastAsia="宋体"/>
          <w:color w:val="auto"/>
          <w:sz w:val="21"/>
          <w:szCs w:val="21"/>
          <w:highlight w:val="none"/>
        </w:rPr>
        <w:t>招标信息公告下自行下载。</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3、招标文件领购地点：东莞市南城街道鸿福西路81号国际商会大厦</w:t>
      </w:r>
      <w:r>
        <w:rPr>
          <w:rFonts w:hint="eastAsia" w:ascii="宋体" w:hAnsi="宋体" w:eastAsia="宋体"/>
          <w:color w:val="auto"/>
          <w:sz w:val="21"/>
          <w:szCs w:val="21"/>
          <w:highlight w:val="none"/>
          <w:lang w:eastAsia="zh-CN"/>
        </w:rPr>
        <w:t>1</w:t>
      </w:r>
      <w:r>
        <w:rPr>
          <w:rFonts w:hint="eastAsia" w:ascii="宋体" w:hAnsi="宋体" w:eastAsia="宋体"/>
          <w:color w:val="auto"/>
          <w:sz w:val="21"/>
          <w:szCs w:val="21"/>
          <w:highlight w:val="none"/>
          <w:lang w:val="en-US" w:eastAsia="zh-CN"/>
        </w:rPr>
        <w:t>3A</w:t>
      </w:r>
      <w:r>
        <w:rPr>
          <w:rFonts w:hint="eastAsia" w:ascii="宋体" w:hAnsi="宋体" w:eastAsia="宋体"/>
          <w:color w:val="auto"/>
          <w:sz w:val="21"/>
          <w:szCs w:val="21"/>
          <w:highlight w:val="none"/>
          <w:lang w:eastAsia="zh-CN"/>
        </w:rPr>
        <w:t>01</w:t>
      </w:r>
      <w:r>
        <w:rPr>
          <w:rFonts w:hint="eastAsia" w:ascii="宋体" w:hAnsi="宋体" w:eastAsia="宋体"/>
          <w:color w:val="auto"/>
          <w:sz w:val="21"/>
          <w:szCs w:val="21"/>
          <w:highlight w:val="none"/>
        </w:rPr>
        <w:t>室。</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lang w:eastAsia="zh-CN"/>
        </w:rPr>
        <w:t>简海欣</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w:t>
      </w:r>
      <w:r>
        <w:rPr>
          <w:rFonts w:hint="eastAsia" w:ascii="宋体" w:hAnsi="宋体" w:eastAsia="宋体"/>
          <w:color w:val="auto"/>
          <w:sz w:val="21"/>
          <w:szCs w:val="21"/>
          <w:highlight w:val="none"/>
          <w:lang w:eastAsia="zh-CN"/>
        </w:rPr>
        <w:t>0769-22881803</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4、招标文件领购方式：现场领购。</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w:t>
      </w:r>
    </w:p>
    <w:p>
      <w:pPr>
        <w:pStyle w:val="2"/>
        <w:keepNext w:val="0"/>
        <w:keepLines w:val="0"/>
        <w:pageBreakBefore w:val="0"/>
        <w:widowControl/>
        <w:kinsoku/>
        <w:wordWrap/>
        <w:overflowPunct/>
        <w:topLinePunct w:val="0"/>
        <w:autoSpaceDE/>
        <w:autoSpaceDN/>
        <w:bidi w:val="0"/>
        <w:adjustRightInd w:val="0"/>
        <w:snapToGrid w:val="0"/>
        <w:spacing w:before="0" w:after="0" w:line="360" w:lineRule="auto"/>
        <w:ind w:left="0"/>
        <w:textAlignment w:val="auto"/>
        <w:rPr>
          <w:color w:val="auto"/>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四、其他事宜</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凡参与本项目政府采购活动的供应商需访问并登录广东省政府采购网的广东政府采购智慧云平台（https://gdgpo.czt.gd.gov.cn/）进行注册建档入库，投标供应商在使用过程中遇到涉及系统使用的任何问题，可致电云平台技术支持热线400-183-2999进行咨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Pr>
        <w:spacing w:after="0" w:line="360" w:lineRule="auto"/>
        <w:ind w:firstLine="411" w:firstLineChars="196"/>
        <w:rPr>
          <w:rFonts w:ascii="宋体" w:hAnsi="宋体" w:eastAsia="宋体"/>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五</w:t>
      </w:r>
      <w:r>
        <w:rPr>
          <w:rFonts w:hint="eastAsia" w:ascii="宋体" w:hAnsi="宋体" w:eastAsia="宋体"/>
          <w:b/>
          <w:color w:val="auto"/>
          <w:sz w:val="21"/>
          <w:szCs w:val="21"/>
          <w:highlight w:val="none"/>
        </w:rPr>
        <w:t>、投标截止时间、开标时间及地点</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1、递交投标文件时间：202</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年</w:t>
      </w:r>
      <w:r>
        <w:rPr>
          <w:rFonts w:hint="eastAsia" w:ascii="宋体" w:hAnsi="宋体"/>
          <w:bCs/>
          <w:color w:val="auto"/>
          <w:sz w:val="21"/>
          <w:szCs w:val="21"/>
          <w:highlight w:val="none"/>
          <w:lang w:val="en-US" w:eastAsia="zh-CN"/>
        </w:rPr>
        <w:t>9</w:t>
      </w:r>
      <w:r>
        <w:rPr>
          <w:rFonts w:hint="eastAsia" w:ascii="宋体" w:hAnsi="宋体" w:eastAsia="宋体"/>
          <w:bCs/>
          <w:color w:val="auto"/>
          <w:sz w:val="21"/>
          <w:szCs w:val="21"/>
          <w:highlight w:val="none"/>
        </w:rPr>
        <w:t>月</w:t>
      </w:r>
      <w:r>
        <w:rPr>
          <w:rFonts w:hint="eastAsia" w:ascii="宋体" w:hAnsi="宋体"/>
          <w:bCs/>
          <w:color w:val="auto"/>
          <w:sz w:val="21"/>
          <w:szCs w:val="21"/>
          <w:highlight w:val="none"/>
          <w:lang w:val="en-US" w:eastAsia="zh-CN"/>
        </w:rPr>
        <w:t>24</w:t>
      </w:r>
      <w:r>
        <w:rPr>
          <w:rFonts w:hint="eastAsia" w:ascii="宋体" w:hAnsi="宋体" w:eastAsia="宋体"/>
          <w:bCs/>
          <w:color w:val="auto"/>
          <w:sz w:val="21"/>
          <w:szCs w:val="21"/>
          <w:highlight w:val="none"/>
        </w:rPr>
        <w:t>日上午9：00～9：30。</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及开标时间：202</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年</w:t>
      </w:r>
      <w:r>
        <w:rPr>
          <w:rFonts w:hint="eastAsia" w:ascii="宋体" w:hAnsi="宋体"/>
          <w:bCs/>
          <w:color w:val="auto"/>
          <w:sz w:val="21"/>
          <w:szCs w:val="21"/>
          <w:highlight w:val="none"/>
          <w:lang w:val="en-US" w:eastAsia="zh-CN"/>
        </w:rPr>
        <w:t>9</w:t>
      </w:r>
      <w:r>
        <w:rPr>
          <w:rFonts w:hint="eastAsia" w:ascii="宋体" w:hAnsi="宋体" w:eastAsia="宋体"/>
          <w:bCs/>
          <w:color w:val="auto"/>
          <w:sz w:val="21"/>
          <w:szCs w:val="21"/>
          <w:highlight w:val="none"/>
        </w:rPr>
        <w:t>月</w:t>
      </w:r>
      <w:r>
        <w:rPr>
          <w:rFonts w:hint="eastAsia" w:ascii="宋体" w:hAnsi="宋体"/>
          <w:bCs/>
          <w:color w:val="auto"/>
          <w:sz w:val="21"/>
          <w:szCs w:val="21"/>
          <w:highlight w:val="none"/>
          <w:lang w:val="en-US" w:eastAsia="zh-CN"/>
        </w:rPr>
        <w:t>24</w:t>
      </w:r>
      <w:r>
        <w:rPr>
          <w:rFonts w:hint="eastAsia" w:ascii="宋体" w:hAnsi="宋体" w:eastAsia="宋体"/>
          <w:bCs/>
          <w:color w:val="auto"/>
          <w:sz w:val="21"/>
          <w:szCs w:val="21"/>
          <w:highlight w:val="none"/>
        </w:rPr>
        <w:t>日上午9时30分。</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w:t>
      </w:r>
      <w:r>
        <w:rPr>
          <w:rFonts w:hint="eastAsia" w:ascii="宋体" w:hAnsi="宋体" w:eastAsia="宋体"/>
          <w:color w:val="auto"/>
          <w:sz w:val="21"/>
          <w:szCs w:val="21"/>
          <w:highlight w:val="none"/>
        </w:rPr>
        <w:t>东莞市南城街道鸿福西路81号国际商会大厦</w:t>
      </w:r>
      <w:r>
        <w:rPr>
          <w:rFonts w:hint="eastAsia" w:ascii="宋体" w:hAnsi="宋体" w:eastAsia="宋体"/>
          <w:color w:val="auto"/>
          <w:sz w:val="21"/>
          <w:szCs w:val="21"/>
          <w:highlight w:val="none"/>
          <w:lang w:val="en-US" w:eastAsia="zh-CN"/>
        </w:rPr>
        <w:t>13A</w:t>
      </w:r>
      <w:r>
        <w:rPr>
          <w:rFonts w:hint="eastAsia" w:ascii="宋体" w:hAnsi="宋体" w:eastAsia="宋体"/>
          <w:color w:val="auto"/>
          <w:sz w:val="21"/>
          <w:szCs w:val="21"/>
          <w:highlight w:val="none"/>
        </w:rPr>
        <w:t>01室</w:t>
      </w:r>
      <w:r>
        <w:rPr>
          <w:rFonts w:hint="eastAsia" w:ascii="宋体" w:hAnsi="宋体" w:eastAsia="宋体"/>
          <w:bCs/>
          <w:color w:val="auto"/>
          <w:sz w:val="21"/>
          <w:szCs w:val="21"/>
          <w:highlight w:val="none"/>
        </w:rPr>
        <w:t>。</w:t>
      </w:r>
    </w:p>
    <w:p>
      <w:pPr>
        <w:spacing w:after="0" w:line="360" w:lineRule="auto"/>
        <w:ind w:firstLine="411" w:firstLineChars="196"/>
        <w:rPr>
          <w:rFonts w:ascii="宋体" w:hAnsi="宋体" w:eastAsia="宋体"/>
          <w:bCs/>
          <w:color w:val="auto"/>
          <w:sz w:val="21"/>
          <w:szCs w:val="21"/>
          <w:highlight w:val="none"/>
        </w:rPr>
      </w:pPr>
    </w:p>
    <w:p>
      <w:pPr>
        <w:spacing w:after="0" w:line="360" w:lineRule="auto"/>
        <w:ind w:firstLine="413" w:firstLineChars="196"/>
        <w:rPr>
          <w:rFonts w:ascii="宋体" w:hAnsi="宋体" w:eastAsia="宋体"/>
          <w:bCs/>
          <w:color w:val="auto"/>
          <w:sz w:val="21"/>
          <w:szCs w:val="21"/>
          <w:highlight w:val="none"/>
        </w:rPr>
      </w:pPr>
      <w:r>
        <w:rPr>
          <w:rFonts w:hint="eastAsia" w:ascii="宋体" w:hAnsi="宋体" w:eastAsia="宋体"/>
          <w:b/>
          <w:color w:val="auto"/>
          <w:sz w:val="21"/>
          <w:szCs w:val="21"/>
          <w:highlight w:val="none"/>
          <w:lang w:val="en-US" w:eastAsia="zh-CN"/>
        </w:rPr>
        <w:t>六</w:t>
      </w:r>
      <w:r>
        <w:rPr>
          <w:rFonts w:hint="eastAsia" w:ascii="宋体" w:hAnsi="宋体" w:eastAsia="宋体"/>
          <w:b/>
          <w:color w:val="auto"/>
          <w:sz w:val="21"/>
          <w:szCs w:val="21"/>
          <w:highlight w:val="none"/>
        </w:rPr>
        <w:t>、采购人及采购代理机构的名称、地址和联系方法：</w:t>
      </w:r>
    </w:p>
    <w:p>
      <w:pPr>
        <w:spacing w:after="0" w:line="360" w:lineRule="auto"/>
        <w:ind w:firstLine="420" w:firstLineChars="200"/>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采购人联系人：</w:t>
      </w:r>
      <w:r>
        <w:rPr>
          <w:rFonts w:hint="eastAsia" w:ascii="宋体" w:hAnsi="宋体"/>
          <w:bCs/>
          <w:color w:val="auto"/>
          <w:sz w:val="21"/>
          <w:szCs w:val="21"/>
          <w:highlight w:val="none"/>
          <w:lang w:val="en-US" w:eastAsia="zh-CN"/>
        </w:rPr>
        <w:t>刘工</w:t>
      </w:r>
    </w:p>
    <w:p>
      <w:pPr>
        <w:spacing w:after="0" w:line="360" w:lineRule="auto"/>
        <w:ind w:firstLine="420" w:firstLineChars="200"/>
        <w:rPr>
          <w:rFonts w:hint="eastAsia"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地址：东莞市清溪镇香芒东路222号</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联系电话：0769-87368699</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采购代理机构名称：</w:t>
      </w:r>
      <w:r>
        <w:rPr>
          <w:rFonts w:hint="eastAsia" w:ascii="宋体" w:hAnsi="宋体" w:eastAsia="宋体"/>
          <w:color w:val="auto"/>
          <w:sz w:val="21"/>
          <w:szCs w:val="21"/>
          <w:highlight w:val="none"/>
          <w:lang w:eastAsia="zh-CN"/>
        </w:rPr>
        <w:t>广东政通招标有限公司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w:t>
      </w:r>
      <w:r>
        <w:rPr>
          <w:rFonts w:hint="eastAsia" w:ascii="宋体" w:hAnsi="宋体" w:eastAsia="宋体"/>
          <w:color w:val="auto"/>
          <w:sz w:val="21"/>
          <w:szCs w:val="21"/>
          <w:highlight w:val="none"/>
          <w:lang w:val="en-US" w:eastAsia="zh-CN"/>
        </w:rPr>
        <w:t>13A01</w:t>
      </w:r>
      <w:r>
        <w:rPr>
          <w:rFonts w:hint="eastAsia" w:ascii="宋体" w:hAnsi="宋体" w:eastAsia="宋体"/>
          <w:color w:val="auto"/>
          <w:sz w:val="21"/>
          <w:szCs w:val="21"/>
          <w:highlight w:val="none"/>
        </w:rPr>
        <w:t>室。</w:t>
      </w:r>
    </w:p>
    <w:p>
      <w:pPr>
        <w:spacing w:after="0"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val="en-US" w:eastAsia="zh-CN"/>
        </w:rPr>
        <w:t>杨</w:t>
      </w:r>
      <w:r>
        <w:rPr>
          <w:rFonts w:hint="eastAsia" w:ascii="宋体" w:hAnsi="宋体"/>
          <w:color w:val="auto"/>
          <w:sz w:val="21"/>
          <w:szCs w:val="21"/>
          <w:highlight w:val="none"/>
          <w:lang w:val="en-US" w:eastAsia="zh-CN"/>
        </w:rPr>
        <w:t>先生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hint="default" w:eastAsia="宋体"/>
          <w:color w:val="auto"/>
          <w:highlight w:val="none"/>
          <w:lang w:val="en-US" w:eastAsia="zh-CN"/>
        </w:rPr>
      </w:pPr>
      <w:r>
        <w:rPr>
          <w:rFonts w:hint="eastAsia" w:ascii="宋体" w:hAnsi="宋体" w:eastAsia="宋体"/>
          <w:color w:val="auto"/>
          <w:sz w:val="21"/>
          <w:szCs w:val="21"/>
          <w:highlight w:val="none"/>
        </w:rPr>
        <w:t>E－ mail：</w:t>
      </w:r>
      <w:r>
        <w:rPr>
          <w:rFonts w:hint="eastAsia" w:ascii="宋体" w:hAnsi="宋体" w:eastAsia="宋体"/>
          <w:color w:val="auto"/>
          <w:sz w:val="21"/>
          <w:szCs w:val="21"/>
          <w:highlight w:val="none"/>
          <w:lang w:val="en-US" w:eastAsia="zh-CN"/>
        </w:rPr>
        <w:t>471539976@qq.com</w:t>
      </w:r>
    </w:p>
    <w:p>
      <w:pPr>
        <w:rPr>
          <w:color w:val="auto"/>
          <w:highlight w:val="none"/>
        </w:rPr>
      </w:pPr>
    </w:p>
    <w:p>
      <w:pPr>
        <w:ind w:right="752" w:rightChars="358"/>
        <w:jc w:val="both"/>
        <w:rPr>
          <w:color w:val="auto"/>
          <w:highlight w:val="none"/>
        </w:rPr>
      </w:pPr>
    </w:p>
    <w:p>
      <w:pPr>
        <w:ind w:right="752" w:rightChars="358"/>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广东政通招标有限公司</w:t>
      </w:r>
    </w:p>
    <w:p>
      <w:pPr>
        <w:ind w:left="6205" w:leftChars="2755" w:hanging="420" w:hanging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p>
    <w:p>
      <w:pPr>
        <w:ind w:left="6205"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pPr>
        <w:pStyle w:val="4"/>
        <w:spacing w:before="0" w:after="0" w:line="240" w:lineRule="auto"/>
        <w:rPr>
          <w:color w:val="auto"/>
          <w:sz w:val="28"/>
          <w:szCs w:val="28"/>
          <w:highlight w:val="none"/>
        </w:rPr>
      </w:pPr>
      <w:bookmarkStart w:id="1" w:name="_Toc14146"/>
      <w:r>
        <w:rPr>
          <w:rFonts w:hint="eastAsia"/>
          <w:color w:val="auto"/>
          <w:sz w:val="28"/>
          <w:szCs w:val="28"/>
          <w:highlight w:val="none"/>
        </w:rPr>
        <w:t>第二部分 相关资料表格</w:t>
      </w:r>
      <w:bookmarkEnd w:id="1"/>
    </w:p>
    <w:p>
      <w:pPr>
        <w:pStyle w:val="5"/>
        <w:spacing w:before="0" w:after="0" w:line="240" w:lineRule="auto"/>
        <w:jc w:val="center"/>
        <w:rPr>
          <w:rFonts w:ascii="宋体" w:hAnsi="宋体" w:eastAsia="宋体" w:cs="宋体"/>
          <w:color w:val="auto"/>
          <w:sz w:val="24"/>
          <w:szCs w:val="24"/>
          <w:highlight w:val="none"/>
        </w:rPr>
      </w:pPr>
      <w:bookmarkStart w:id="2" w:name="_Toc20683"/>
      <w:r>
        <w:rPr>
          <w:rFonts w:hint="eastAsia" w:ascii="宋体" w:hAnsi="宋体" w:eastAsia="宋体" w:cs="宋体"/>
          <w:color w:val="auto"/>
          <w:sz w:val="24"/>
          <w:szCs w:val="24"/>
          <w:highlight w:val="none"/>
        </w:rPr>
        <w:t>附表一：投标资料表</w:t>
      </w:r>
      <w:bookmarkEnd w:id="2"/>
    </w:p>
    <w:tbl>
      <w:tblPr>
        <w:tblStyle w:val="19"/>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7532" w:type="dxa"/>
            <w:gridSpan w:val="4"/>
            <w:vAlign w:val="center"/>
          </w:tcPr>
          <w:p>
            <w:pPr>
              <w:spacing w:after="0"/>
              <w:rPr>
                <w:rFonts w:hint="eastAsia" w:ascii="宋体" w:hAnsi="宋体" w:eastAsia="宋体"/>
                <w:bCs/>
                <w:color w:val="auto"/>
                <w:sz w:val="21"/>
                <w:szCs w:val="21"/>
                <w:highlight w:val="none"/>
              </w:rPr>
            </w:pPr>
            <w:r>
              <w:rPr>
                <w:rFonts w:hint="eastAsia" w:ascii="宋体" w:hAnsi="宋体" w:eastAsia="宋体"/>
                <w:b/>
                <w:bCs/>
                <w:color w:val="auto"/>
                <w:sz w:val="21"/>
                <w:szCs w:val="21"/>
                <w:highlight w:val="none"/>
                <w:lang w:eastAsia="zh-CN"/>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lang w:eastAsia="zh-CN"/>
              </w:rPr>
              <w:t>货物</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工程</w:t>
            </w:r>
            <w:r>
              <w:rPr>
                <w:rFonts w:hint="eastAsia" w:ascii="宋体" w:hAnsi="宋体" w:eastAsia="宋体"/>
                <w:bCs/>
                <w:color w:val="auto"/>
                <w:sz w:val="21"/>
                <w:szCs w:val="21"/>
                <w:highlight w:val="none"/>
                <w:lang w:val="en-US" w:eastAsia="zh-CN"/>
              </w:rPr>
              <w:sym w:font="Wingdings" w:char="00A8"/>
            </w:r>
            <w:r>
              <w:rPr>
                <w:rFonts w:hint="eastAsia" w:ascii="宋体" w:hAnsi="宋体" w:eastAsia="宋体"/>
                <w:bCs/>
                <w:color w:val="auto"/>
                <w:sz w:val="21"/>
                <w:szCs w:val="21"/>
                <w:highlight w:val="none"/>
                <w:lang w:val="en-US" w:eastAsia="zh-CN"/>
              </w:rPr>
              <w:t xml:space="preserve">   服务</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lang w:val="en-US" w:eastAsia="zh-CN"/>
              </w:rPr>
              <w:t>所属行业：餐饮业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color w:val="auto"/>
                <w:sz w:val="21"/>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hint="eastAsia" w:ascii="宋体" w:hAnsi="宋体" w:eastAsia="宋体"/>
                <w:color w:val="auto"/>
                <w:sz w:val="21"/>
                <w:szCs w:val="21"/>
                <w:highlight w:val="none"/>
              </w:rPr>
            </w:pPr>
          </w:p>
        </w:tc>
        <w:tc>
          <w:tcPr>
            <w:tcW w:w="7532" w:type="dxa"/>
            <w:gridSpan w:val="4"/>
            <w:vAlign w:val="center"/>
          </w:tcPr>
          <w:p>
            <w:pPr>
              <w:spacing w:after="0"/>
              <w:rPr>
                <w:rFonts w:hint="default" w:ascii="宋体" w:hAnsi="宋体" w:eastAsia="宋体"/>
                <w:b/>
                <w:color w:val="auto"/>
                <w:sz w:val="21"/>
                <w:szCs w:val="21"/>
                <w:highlight w:val="none"/>
                <w:lang w:val="en-US" w:eastAsia="zh-CN"/>
              </w:rPr>
            </w:pPr>
            <w:r>
              <w:rPr>
                <w:rFonts w:hint="eastAsia" w:ascii="宋体" w:hAnsi="宋体" w:eastAsia="宋体"/>
                <w:bCs/>
                <w:color w:val="auto"/>
                <w:sz w:val="21"/>
                <w:szCs w:val="21"/>
                <w:highlight w:val="none"/>
                <w:lang w:eastAsia="zh-CN"/>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否</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5</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6</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广东省政府采购网</w:t>
            </w:r>
          </w:p>
        </w:tc>
        <w:tc>
          <w:tcPr>
            <w:tcW w:w="3691"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color w:val="auto"/>
                <w:sz w:val="21"/>
                <w:szCs w:val="21"/>
                <w:highlight w:val="none"/>
              </w:rPr>
              <w:t>https://gdgpo.czt.gd.gov.cn/</w:t>
            </w:r>
          </w:p>
        </w:tc>
        <w:tc>
          <w:tcPr>
            <w:tcW w:w="3691" w:type="dxa"/>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10</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4"/>
            <w:vAlign w:val="center"/>
          </w:tcPr>
          <w:p>
            <w:pPr>
              <w:spacing w:after="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“●”为核心产品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本项目为服务项目，无核心产品</w:t>
            </w:r>
            <w:r>
              <w:rPr>
                <w:rFonts w:hint="eastAsia" w:ascii="宋体" w:hAnsi="宋体"/>
                <w:color w:val="auto"/>
                <w:sz w:val="21"/>
                <w:szCs w:val="21"/>
                <w:highlight w:val="none"/>
                <w:lang w:eastAsia="zh-CN"/>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11</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（1）投标保证金金额：人民币</w:t>
            </w:r>
            <w:r>
              <w:rPr>
                <w:rFonts w:hint="eastAsia" w:ascii="宋体" w:hAnsi="宋体"/>
                <w:b/>
                <w:color w:val="auto"/>
                <w:sz w:val="21"/>
                <w:szCs w:val="21"/>
                <w:highlight w:val="none"/>
                <w:lang w:val="en-US" w:eastAsia="zh-CN"/>
              </w:rPr>
              <w:t>贰万捌仟</w:t>
            </w:r>
            <w:r>
              <w:rPr>
                <w:rFonts w:hint="eastAsia" w:ascii="宋体" w:hAnsi="宋体" w:eastAsia="宋体"/>
                <w:color w:val="auto"/>
                <w:sz w:val="21"/>
                <w:szCs w:val="21"/>
                <w:highlight w:val="none"/>
              </w:rPr>
              <w:t>元整（￥</w:t>
            </w:r>
            <w:r>
              <w:rPr>
                <w:rFonts w:hint="eastAsia" w:ascii="宋体" w:hAnsi="宋体"/>
                <w:b/>
                <w:color w:val="auto"/>
                <w:sz w:val="21"/>
                <w:szCs w:val="21"/>
                <w:highlight w:val="none"/>
                <w:lang w:val="en-US" w:eastAsia="zh-CN"/>
              </w:rPr>
              <w:t>28,000.00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投标保证金须严格按“招标文件第</w:t>
            </w:r>
            <w:r>
              <w:rPr>
                <w:rFonts w:hint="eastAsia" w:ascii="宋体" w:hAnsi="宋体" w:eastAsia="宋体"/>
                <w:color w:val="auto"/>
                <w:sz w:val="21"/>
                <w:szCs w:val="21"/>
                <w:highlight w:val="none"/>
              </w:rPr>
              <w:t>四部分</w:t>
            </w:r>
            <w:r>
              <w:rPr>
                <w:rFonts w:hint="eastAsia" w:ascii="宋体" w:hAnsi="宋体" w:eastAsia="宋体"/>
                <w:color w:val="auto"/>
                <w:sz w:val="21"/>
                <w:szCs w:val="21"/>
                <w:highlight w:val="none"/>
                <w:lang w:val="en-US" w:eastAsia="zh-CN"/>
              </w:rPr>
              <w:t>投</w:t>
            </w:r>
            <w:r>
              <w:rPr>
                <w:rFonts w:hint="eastAsia" w:ascii="宋体" w:hAnsi="宋体" w:eastAsia="宋体"/>
                <w:color w:val="auto"/>
                <w:sz w:val="21"/>
                <w:szCs w:val="21"/>
                <w:highlight w:val="none"/>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（3）保证金递交账户：</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收款人：广东政通招标有限公司</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开户行：广发银行股份有限公司东莞新城支行</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号：6232590699050038270</w:t>
            </w:r>
          </w:p>
          <w:p>
            <w:pPr>
              <w:spacing w:after="0"/>
              <w:jc w:val="both"/>
              <w:rPr>
                <w:color w:val="auto"/>
                <w:highlight w:val="none"/>
              </w:rPr>
            </w:pPr>
            <w:r>
              <w:rPr>
                <w:rFonts w:hint="eastAsia" w:ascii="宋体" w:hAnsi="宋体" w:eastAsia="宋体"/>
                <w:color w:val="auto"/>
                <w:sz w:val="21"/>
                <w:szCs w:val="21"/>
                <w:highlight w:val="none"/>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12</w:t>
            </w:r>
          </w:p>
        </w:tc>
        <w:tc>
          <w:tcPr>
            <w:tcW w:w="7532" w:type="dxa"/>
            <w:gridSpan w:val="4"/>
            <w:vAlign w:val="center"/>
          </w:tcPr>
          <w:p>
            <w:pPr>
              <w:spacing w:after="0"/>
              <w:jc w:val="both"/>
              <w:rPr>
                <w:rFonts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）为方便退还未中标的投保人的保证金，投标人应制作《投标保证金汇入情况说明》随开标文件一并递交。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）投标保证金退还联系电话：</w:t>
            </w:r>
            <w:r>
              <w:rPr>
                <w:rFonts w:hint="eastAsia" w:ascii="宋体" w:hAnsi="宋体" w:eastAsia="宋体"/>
                <w:color w:val="auto"/>
                <w:sz w:val="21"/>
                <w:szCs w:val="21"/>
                <w:highlight w:val="none"/>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jc w:val="center"/>
              <w:rPr>
                <w:rFonts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信用中国</w:t>
            </w: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gridSpan w:val="2"/>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5</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开标文件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val="en-US" w:eastAsia="zh-CN"/>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6</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7</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8</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对于联合协议或者分包意向协议约定小微企业的合同份额占到合同总金额30%以上的，报价给予</w:t>
            </w:r>
            <w:r>
              <w:rPr>
                <w:rFonts w:hint="default" w:ascii="宋体" w:hAnsi="宋体" w:eastAsia="宋体"/>
                <w:b/>
                <w:bCs/>
                <w:color w:val="auto"/>
                <w:sz w:val="21"/>
                <w:szCs w:val="21"/>
                <w:highlight w:val="none"/>
                <w:u w:val="single"/>
              </w:rPr>
              <w:t>2%</w:t>
            </w:r>
            <w:r>
              <w:rPr>
                <w:rFonts w:hint="eastAsia" w:ascii="宋体" w:hAnsi="宋体" w:eastAsia="宋体"/>
                <w:color w:val="auto"/>
                <w:sz w:val="21"/>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9</w:t>
            </w: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20</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收 款 人：</w:t>
            </w:r>
            <w:r>
              <w:rPr>
                <w:rFonts w:hint="eastAsia" w:ascii="宋体" w:hAnsi="宋体" w:eastAsia="宋体"/>
                <w:color w:val="auto"/>
                <w:sz w:val="21"/>
                <w:szCs w:val="21"/>
                <w:highlight w:val="none"/>
                <w:lang w:eastAsia="zh-CN"/>
              </w:rPr>
              <w:t>广东政通招标有限公司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jc w:val="center"/>
        <w:rPr>
          <w:color w:val="auto"/>
          <w:highlight w:val="none"/>
        </w:rPr>
      </w:pPr>
      <w:r>
        <w:rPr>
          <w:rFonts w:hint="eastAsia"/>
          <w:color w:val="auto"/>
          <w:highlight w:val="none"/>
        </w:rPr>
        <w:br w:type="page"/>
      </w:r>
    </w:p>
    <w:p>
      <w:pPr>
        <w:pStyle w:val="5"/>
        <w:spacing w:before="0" w:after="0" w:line="240" w:lineRule="auto"/>
        <w:jc w:val="center"/>
        <w:rPr>
          <w:rFonts w:ascii="宋体" w:hAnsi="宋体" w:eastAsia="宋体" w:cs="宋体"/>
          <w:color w:val="auto"/>
          <w:sz w:val="24"/>
          <w:szCs w:val="24"/>
          <w:highlight w:val="none"/>
        </w:rPr>
      </w:pPr>
      <w:bookmarkStart w:id="3" w:name="_Toc9572"/>
      <w:r>
        <w:rPr>
          <w:rFonts w:hint="eastAsia" w:ascii="宋体" w:hAnsi="宋体" w:eastAsia="宋体" w:cs="宋体"/>
          <w:color w:val="auto"/>
          <w:sz w:val="24"/>
          <w:szCs w:val="24"/>
          <w:highlight w:val="none"/>
        </w:rPr>
        <w:t>附表二：商务技术评分及价格权重表</w:t>
      </w:r>
      <w:bookmarkEnd w:id="3"/>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15"/>
        <w:gridCol w:w="660"/>
        <w:gridCol w:w="6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15"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66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6057"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30分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690" w:type="dxa"/>
            <w:vMerge w:val="restart"/>
            <w:tcBorders>
              <w:top w:val="single" w:color="auto" w:sz="4" w:space="0"/>
              <w:left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15" w:type="dxa"/>
            <w:vMerge w:val="restart"/>
            <w:tcBorders>
              <w:top w:val="single" w:color="auto" w:sz="4" w:space="0"/>
              <w:left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企业实力</w:t>
            </w:r>
          </w:p>
        </w:tc>
        <w:tc>
          <w:tcPr>
            <w:tcW w:w="66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6057"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pageBreakBefore w:val="0"/>
              <w:numPr>
                <w:ilvl w:val="0"/>
                <w:numId w:val="0"/>
              </w:numPr>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投标人具有由国家认证认可监督管理部门批准设立的认证机构颁发并在有效期内的</w:t>
            </w:r>
            <w:r>
              <w:rPr>
                <w:rFonts w:hint="eastAsia" w:ascii="宋体" w:hAnsi="宋体" w:eastAsia="宋体" w:cs="宋体"/>
                <w:color w:val="auto"/>
                <w:sz w:val="21"/>
                <w:szCs w:val="21"/>
                <w:highlight w:val="none"/>
                <w:lang w:val="en-US" w:eastAsia="zh-CN"/>
              </w:rPr>
              <w:t>以下</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进行评审</w:t>
            </w:r>
            <w:r>
              <w:rPr>
                <w:rFonts w:hint="eastAsia" w:ascii="宋体" w:hAnsi="宋体" w:eastAsia="宋体" w:cs="宋体"/>
                <w:color w:val="auto"/>
                <w:sz w:val="21"/>
                <w:szCs w:val="21"/>
                <w:highlight w:val="none"/>
                <w:lang w:eastAsia="zh-CN"/>
              </w:rPr>
              <w:t>：</w:t>
            </w:r>
          </w:p>
          <w:p>
            <w:pPr>
              <w:pStyle w:val="48"/>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（1）质量管理体系认证证书；</w:t>
            </w:r>
          </w:p>
          <w:p>
            <w:pPr>
              <w:pStyle w:val="48"/>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（2）食品安全管理体系认证证书；</w:t>
            </w:r>
          </w:p>
          <w:p>
            <w:pPr>
              <w:pStyle w:val="48"/>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（3）环境管理体系认证证书；</w:t>
            </w:r>
          </w:p>
          <w:p>
            <w:pPr>
              <w:pStyle w:val="48"/>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（4）职业健康安全管理体系认证证书；</w:t>
            </w:r>
          </w:p>
          <w:p>
            <w:pPr>
              <w:pStyle w:val="48"/>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（5）危害分析与关键控制点体系认证证书；</w:t>
            </w:r>
          </w:p>
          <w:p>
            <w:pPr>
              <w:pStyle w:val="48"/>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（6）供应链安全管理体系认证证书；</w:t>
            </w:r>
          </w:p>
          <w:p>
            <w:pPr>
              <w:pStyle w:val="48"/>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（7）社会责任管理体系认证证书；</w:t>
            </w:r>
          </w:p>
          <w:p>
            <w:pPr>
              <w:pStyle w:val="48"/>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以上证书每具有一个得1分，本项最高得7分。</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注：</w:t>
            </w:r>
            <w:r>
              <w:rPr>
                <w:rFonts w:hint="eastAsia" w:ascii="宋体" w:hAnsi="宋体" w:eastAsia="宋体" w:cs="宋体"/>
                <w:bCs/>
                <w:color w:val="auto"/>
                <w:sz w:val="21"/>
                <w:szCs w:val="21"/>
                <w:highlight w:val="none"/>
                <w:lang w:val="zh-CN"/>
              </w:rPr>
              <w:t>须提供</w:t>
            </w:r>
            <w:r>
              <w:rPr>
                <w:rFonts w:hint="eastAsia" w:ascii="宋体" w:hAnsi="宋体" w:eastAsia="宋体" w:cs="宋体"/>
                <w:color w:val="auto"/>
                <w:sz w:val="21"/>
                <w:szCs w:val="21"/>
                <w:highlight w:val="none"/>
              </w:rPr>
              <w:t>有效期内</w:t>
            </w:r>
            <w:r>
              <w:rPr>
                <w:rFonts w:hint="eastAsia" w:ascii="宋体" w:hAnsi="宋体" w:eastAsia="宋体" w:cs="宋体"/>
                <w:bCs/>
                <w:color w:val="auto"/>
                <w:sz w:val="21"/>
                <w:szCs w:val="21"/>
                <w:highlight w:val="none"/>
                <w:lang w:val="zh-CN"/>
              </w:rPr>
              <w:t>证书</w:t>
            </w:r>
            <w:r>
              <w:rPr>
                <w:rFonts w:hint="eastAsia" w:ascii="宋体" w:hAnsi="宋体" w:eastAsia="宋体" w:cs="宋体"/>
                <w:bCs/>
                <w:color w:val="auto"/>
                <w:sz w:val="21"/>
                <w:szCs w:val="21"/>
                <w:highlight w:val="none"/>
                <w:lang w:val="en-US" w:eastAsia="zh-CN"/>
              </w:rPr>
              <w:t>复印件</w:t>
            </w:r>
            <w:r>
              <w:rPr>
                <w:rFonts w:hint="eastAsia" w:ascii="宋体" w:hAnsi="宋体" w:eastAsia="宋体" w:cs="宋体"/>
                <w:bCs/>
                <w:color w:val="auto"/>
                <w:sz w:val="21"/>
                <w:szCs w:val="21"/>
                <w:highlight w:val="none"/>
                <w:lang w:val="zh-CN"/>
              </w:rPr>
              <w:t>及“全国认证认可信息公共服务平台”网站（</w:t>
            </w:r>
            <w:r>
              <w:rPr>
                <w:rFonts w:hint="eastAsia" w:ascii="宋体" w:hAnsi="宋体" w:eastAsia="宋体" w:cs="宋体"/>
                <w:bCs/>
                <w:color w:val="auto"/>
                <w:sz w:val="21"/>
                <w:szCs w:val="21"/>
                <w:highlight w:val="none"/>
                <w:lang w:val="zh-CN"/>
              </w:rPr>
              <w:fldChar w:fldCharType="begin"/>
            </w:r>
            <w:r>
              <w:rPr>
                <w:rFonts w:hint="eastAsia" w:ascii="宋体" w:hAnsi="宋体" w:eastAsia="宋体" w:cs="宋体"/>
                <w:bCs/>
                <w:color w:val="auto"/>
                <w:sz w:val="21"/>
                <w:szCs w:val="21"/>
                <w:highlight w:val="none"/>
                <w:lang w:val="zh-CN"/>
              </w:rPr>
              <w:instrText xml:space="preserve"> HYPERLINK "http://cx.cnca.cn/" </w:instrText>
            </w:r>
            <w:r>
              <w:rPr>
                <w:rFonts w:hint="eastAsia" w:ascii="宋体" w:hAnsi="宋体" w:eastAsia="宋体" w:cs="宋体"/>
                <w:bCs/>
                <w:color w:val="auto"/>
                <w:sz w:val="21"/>
                <w:szCs w:val="21"/>
                <w:highlight w:val="none"/>
                <w:lang w:val="zh-CN"/>
              </w:rPr>
              <w:fldChar w:fldCharType="separate"/>
            </w:r>
            <w:r>
              <w:rPr>
                <w:rFonts w:hint="eastAsia" w:ascii="宋体" w:hAnsi="宋体" w:eastAsia="宋体" w:cs="宋体"/>
                <w:bCs/>
                <w:color w:val="auto"/>
                <w:sz w:val="21"/>
                <w:szCs w:val="21"/>
                <w:highlight w:val="none"/>
                <w:lang w:val="zh-CN"/>
              </w:rPr>
              <w:t>http://cx.cnca.cn/</w:t>
            </w:r>
            <w:r>
              <w:rPr>
                <w:rFonts w:hint="eastAsia" w:ascii="宋体" w:hAnsi="宋体" w:eastAsia="宋体" w:cs="宋体"/>
                <w:bCs/>
                <w:color w:val="auto"/>
                <w:sz w:val="21"/>
                <w:szCs w:val="21"/>
                <w:highlight w:val="none"/>
                <w:lang w:val="zh-CN"/>
              </w:rPr>
              <w:fldChar w:fldCharType="end"/>
            </w:r>
            <w:r>
              <w:rPr>
                <w:rFonts w:hint="eastAsia" w:ascii="宋体" w:hAnsi="宋体" w:eastAsia="宋体" w:cs="宋体"/>
                <w:bCs/>
                <w:color w:val="auto"/>
                <w:sz w:val="21"/>
                <w:szCs w:val="21"/>
                <w:highlight w:val="none"/>
                <w:lang w:val="zh-CN"/>
              </w:rPr>
              <w:t>）的查询截图【证书状态为有效】，</w:t>
            </w:r>
            <w:r>
              <w:rPr>
                <w:rFonts w:hint="eastAsia" w:ascii="宋体" w:hAnsi="宋体" w:eastAsia="宋体" w:cs="宋体"/>
                <w:bCs/>
                <w:color w:val="auto"/>
                <w:sz w:val="21"/>
                <w:szCs w:val="21"/>
                <w:highlight w:val="none"/>
                <w:lang w:val="en-US" w:eastAsia="zh-CN"/>
              </w:rPr>
              <w:t>并</w:t>
            </w:r>
            <w:r>
              <w:rPr>
                <w:rFonts w:hint="eastAsia" w:ascii="宋体" w:hAnsi="宋体" w:eastAsia="宋体" w:cs="宋体"/>
                <w:bCs/>
                <w:color w:val="auto"/>
                <w:sz w:val="21"/>
                <w:szCs w:val="21"/>
                <w:highlight w:val="none"/>
                <w:lang w:val="zh-CN"/>
              </w:rPr>
              <w:t>加盖投标人公章，</w:t>
            </w:r>
            <w:r>
              <w:rPr>
                <w:rFonts w:hint="eastAsia" w:ascii="宋体" w:hAnsi="宋体" w:eastAsia="宋体" w:cs="宋体"/>
                <w:bCs/>
                <w:color w:val="auto"/>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690" w:type="dxa"/>
            <w:vMerge w:val="continue"/>
            <w:tcBorders>
              <w:left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p>
        </w:tc>
        <w:tc>
          <w:tcPr>
            <w:tcW w:w="1115" w:type="dxa"/>
            <w:vMerge w:val="continue"/>
            <w:tcBorders>
              <w:left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66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057"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pageBreakBefore w:val="0"/>
              <w:numPr>
                <w:ilvl w:val="0"/>
                <w:numId w:val="0"/>
              </w:numPr>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投标人具有</w:t>
            </w:r>
            <w:r>
              <w:rPr>
                <w:rFonts w:hint="eastAsia" w:ascii="宋体" w:hAnsi="宋体" w:eastAsia="宋体" w:cs="宋体"/>
                <w:color w:val="auto"/>
                <w:sz w:val="21"/>
                <w:szCs w:val="21"/>
                <w:highlight w:val="none"/>
                <w:lang w:val="en-US" w:eastAsia="zh-CN"/>
              </w:rPr>
              <w:t>售后服务认证证书进行评审：为五星级（或以上）的，得3分；为四星级的，得2分；为三星级的，得1分；其他不得分。</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w:t>
            </w:r>
            <w:r>
              <w:rPr>
                <w:rFonts w:hint="eastAsia" w:ascii="宋体" w:hAnsi="宋体" w:eastAsia="宋体" w:cs="宋体"/>
                <w:bCs/>
                <w:color w:val="auto"/>
                <w:sz w:val="21"/>
                <w:szCs w:val="21"/>
                <w:highlight w:val="none"/>
                <w:lang w:val="zh-CN"/>
              </w:rPr>
              <w:t>须提供</w:t>
            </w:r>
            <w:r>
              <w:rPr>
                <w:rFonts w:hint="eastAsia" w:ascii="宋体" w:hAnsi="宋体" w:eastAsia="宋体" w:cs="宋体"/>
                <w:color w:val="auto"/>
                <w:sz w:val="21"/>
                <w:szCs w:val="21"/>
                <w:highlight w:val="none"/>
              </w:rPr>
              <w:t>有效期内</w:t>
            </w:r>
            <w:r>
              <w:rPr>
                <w:rFonts w:hint="eastAsia" w:ascii="宋体" w:hAnsi="宋体" w:eastAsia="宋体" w:cs="宋体"/>
                <w:bCs/>
                <w:color w:val="auto"/>
                <w:sz w:val="21"/>
                <w:szCs w:val="21"/>
                <w:highlight w:val="none"/>
                <w:lang w:val="zh-CN"/>
              </w:rPr>
              <w:t>证书</w:t>
            </w:r>
            <w:r>
              <w:rPr>
                <w:rFonts w:hint="eastAsia" w:ascii="宋体" w:hAnsi="宋体" w:eastAsia="宋体" w:cs="宋体"/>
                <w:bCs/>
                <w:color w:val="auto"/>
                <w:sz w:val="21"/>
                <w:szCs w:val="21"/>
                <w:highlight w:val="none"/>
                <w:lang w:val="en-US" w:eastAsia="zh-CN"/>
              </w:rPr>
              <w:t>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left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15" w:type="dxa"/>
            <w:tcBorders>
              <w:left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66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057"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en-US" w:eastAsia="zh-CN"/>
              </w:rPr>
              <w:t>根据</w:t>
            </w:r>
            <w:r>
              <w:rPr>
                <w:rFonts w:hint="eastAsia" w:ascii="宋体" w:hAnsi="宋体" w:eastAsia="宋体" w:cs="宋体"/>
                <w:bCs/>
                <w:color w:val="auto"/>
                <w:sz w:val="21"/>
                <w:szCs w:val="21"/>
                <w:highlight w:val="none"/>
                <w:lang w:val="pt-BR"/>
              </w:rPr>
              <w:t>投标人具有食堂（饭堂）食材配送项目业绩</w:t>
            </w:r>
            <w:r>
              <w:rPr>
                <w:rFonts w:hint="eastAsia" w:ascii="宋体" w:hAnsi="宋体" w:eastAsia="宋体" w:cs="宋体"/>
                <w:bCs/>
                <w:color w:val="auto"/>
                <w:sz w:val="21"/>
                <w:szCs w:val="21"/>
                <w:highlight w:val="none"/>
                <w:lang w:val="en-US" w:eastAsia="zh-CN"/>
              </w:rPr>
              <w:t>进行评审</w:t>
            </w:r>
            <w:r>
              <w:rPr>
                <w:rFonts w:hint="eastAsia" w:ascii="宋体" w:hAnsi="宋体" w:eastAsia="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每</w:t>
            </w:r>
            <w:r>
              <w:rPr>
                <w:rFonts w:hint="eastAsia" w:ascii="宋体" w:hAnsi="宋体" w:eastAsia="宋体" w:cs="宋体"/>
                <w:bCs/>
                <w:color w:val="auto"/>
                <w:sz w:val="21"/>
                <w:szCs w:val="21"/>
                <w:highlight w:val="none"/>
                <w:lang w:val="en-US" w:eastAsia="zh-CN"/>
              </w:rPr>
              <w:t>提供一个</w:t>
            </w:r>
            <w:r>
              <w:rPr>
                <w:rFonts w:hint="eastAsia" w:ascii="宋体" w:hAnsi="宋体" w:eastAsia="宋体" w:cs="宋体"/>
                <w:bCs/>
                <w:color w:val="auto"/>
                <w:sz w:val="21"/>
                <w:szCs w:val="21"/>
                <w:highlight w:val="none"/>
                <w:lang w:val="pt-BR"/>
              </w:rPr>
              <w:t>业绩得</w:t>
            </w:r>
            <w:r>
              <w:rPr>
                <w:rFonts w:hint="eastAsia" w:ascii="宋体" w:hAnsi="宋体" w:eastAsia="宋体" w:cs="宋体"/>
                <w:bCs/>
                <w:color w:val="auto"/>
                <w:sz w:val="21"/>
                <w:szCs w:val="21"/>
                <w:highlight w:val="none"/>
                <w:lang w:val="pt-BR" w:eastAsia="zh-CN"/>
              </w:rPr>
              <w:t>1</w:t>
            </w:r>
            <w:r>
              <w:rPr>
                <w:rFonts w:hint="eastAsia" w:ascii="宋体" w:hAnsi="宋体" w:eastAsia="宋体" w:cs="宋体"/>
                <w:bCs/>
                <w:color w:val="auto"/>
                <w:sz w:val="21"/>
                <w:szCs w:val="21"/>
                <w:highlight w:val="none"/>
                <w:lang w:val="pt-BR"/>
              </w:rPr>
              <w:t>分，</w:t>
            </w:r>
            <w:r>
              <w:rPr>
                <w:rFonts w:hint="eastAsia" w:ascii="宋体" w:hAnsi="宋体" w:eastAsia="宋体" w:cs="宋体"/>
                <w:bCs/>
                <w:color w:val="auto"/>
                <w:sz w:val="21"/>
                <w:szCs w:val="21"/>
                <w:highlight w:val="none"/>
                <w:lang w:val="en-US" w:eastAsia="zh-CN"/>
              </w:rPr>
              <w:t>本项最高得</w:t>
            </w:r>
            <w:r>
              <w:rPr>
                <w:rFonts w:hint="eastAsia" w:ascii="宋体" w:hAnsi="宋体" w:eastAsia="宋体" w:cs="宋体"/>
                <w:bCs/>
                <w:color w:val="auto"/>
                <w:sz w:val="21"/>
                <w:szCs w:val="21"/>
                <w:highlight w:val="none"/>
                <w:lang w:val="pt-BR" w:eastAsia="zh-CN"/>
              </w:rPr>
              <w:t>10</w:t>
            </w:r>
            <w:r>
              <w:rPr>
                <w:rFonts w:hint="eastAsia" w:ascii="宋体" w:hAnsi="宋体" w:eastAsia="宋体" w:cs="宋体"/>
                <w:bCs/>
                <w:color w:val="auto"/>
                <w:sz w:val="21"/>
                <w:szCs w:val="21"/>
                <w:highlight w:val="none"/>
                <w:lang w:val="pt-BR"/>
              </w:rPr>
              <w:t>分。</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pt-BR"/>
              </w:rPr>
              <w:t>注：须同时提供以下证明材料：①中标通知书</w:t>
            </w:r>
            <w:r>
              <w:rPr>
                <w:rFonts w:hint="eastAsia" w:ascii="宋体" w:hAnsi="宋体" w:eastAsia="宋体" w:cs="宋体"/>
                <w:bCs/>
                <w:color w:val="auto"/>
                <w:sz w:val="21"/>
                <w:szCs w:val="21"/>
                <w:highlight w:val="none"/>
                <w:lang w:val="en-US" w:eastAsia="zh-CN"/>
              </w:rPr>
              <w:t>复印件</w:t>
            </w:r>
            <w:r>
              <w:rPr>
                <w:rFonts w:hint="eastAsia" w:ascii="宋体" w:hAnsi="宋体" w:eastAsia="宋体" w:cs="宋体"/>
                <w:bCs/>
                <w:color w:val="auto"/>
                <w:sz w:val="21"/>
                <w:szCs w:val="21"/>
                <w:highlight w:val="none"/>
                <w:lang w:val="pt-BR"/>
              </w:rPr>
              <w:t>；②合同</w:t>
            </w:r>
            <w:r>
              <w:rPr>
                <w:rFonts w:hint="eastAsia" w:ascii="宋体" w:hAnsi="宋体" w:eastAsia="宋体" w:cs="宋体"/>
                <w:bCs/>
                <w:color w:val="auto"/>
                <w:sz w:val="21"/>
                <w:szCs w:val="21"/>
                <w:highlight w:val="none"/>
                <w:lang w:val="en-US" w:eastAsia="zh-CN"/>
              </w:rPr>
              <w:t>复印件</w:t>
            </w:r>
            <w:r>
              <w:rPr>
                <w:rFonts w:hint="eastAsia" w:ascii="宋体" w:hAnsi="宋体" w:eastAsia="宋体" w:cs="宋体"/>
                <w:bCs/>
                <w:color w:val="auto"/>
                <w:sz w:val="21"/>
                <w:szCs w:val="21"/>
                <w:highlight w:val="none"/>
                <w:lang w:val="pt-BR"/>
              </w:rPr>
              <w:t>；③合同期内任意1个月发票复印件或税控系统截图，</w:t>
            </w:r>
            <w:r>
              <w:rPr>
                <w:rFonts w:hint="eastAsia" w:ascii="宋体" w:hAnsi="宋体" w:eastAsia="宋体" w:cs="宋体"/>
                <w:bCs/>
                <w:color w:val="auto"/>
                <w:sz w:val="21"/>
                <w:szCs w:val="21"/>
                <w:highlight w:val="none"/>
                <w:lang w:val="en-US" w:eastAsia="zh-CN"/>
              </w:rPr>
              <w:t>并</w:t>
            </w:r>
            <w:r>
              <w:rPr>
                <w:rFonts w:hint="eastAsia" w:ascii="宋体" w:hAnsi="宋体" w:eastAsia="宋体" w:cs="宋体"/>
                <w:bCs/>
                <w:color w:val="auto"/>
                <w:sz w:val="21"/>
                <w:szCs w:val="21"/>
                <w:highlight w:val="none"/>
                <w:lang w:val="pt-BR"/>
              </w:rPr>
              <w:t>加盖投标人公章</w:t>
            </w:r>
            <w:r>
              <w:rPr>
                <w:rFonts w:hint="eastAsia" w:ascii="宋体" w:hAnsi="宋体" w:eastAsia="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690" w:type="dxa"/>
            <w:vMerge w:val="restart"/>
            <w:tcBorders>
              <w:left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15" w:type="dxa"/>
            <w:vMerge w:val="restart"/>
            <w:tcBorders>
              <w:left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拟投入本项目的配套设施</w:t>
            </w:r>
          </w:p>
        </w:tc>
        <w:tc>
          <w:tcPr>
            <w:tcW w:w="66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057"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eastAsia="zh-CN"/>
              </w:rPr>
              <w:t>投标人</w:t>
            </w:r>
            <w:r>
              <w:rPr>
                <w:rFonts w:hint="eastAsia" w:ascii="宋体" w:hAnsi="宋体" w:eastAsia="宋体" w:cs="宋体"/>
                <w:bCs/>
                <w:color w:val="auto"/>
                <w:sz w:val="21"/>
                <w:szCs w:val="21"/>
                <w:highlight w:val="none"/>
                <w:lang w:val="pt-BR"/>
              </w:rPr>
              <w:t>具有食品</w:t>
            </w:r>
            <w:r>
              <w:rPr>
                <w:rFonts w:hint="eastAsia" w:ascii="宋体" w:hAnsi="宋体" w:eastAsia="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en-US" w:eastAsia="zh-CN"/>
              </w:rPr>
              <w:t>或食材</w:t>
            </w:r>
            <w:r>
              <w:rPr>
                <w:rFonts w:hint="eastAsia" w:ascii="宋体" w:hAnsi="宋体" w:eastAsia="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安全可追溯</w:t>
            </w:r>
            <w:r>
              <w:rPr>
                <w:rFonts w:hint="eastAsia" w:ascii="宋体" w:hAnsi="宋体" w:eastAsia="宋体" w:cs="宋体"/>
                <w:bCs/>
                <w:color w:val="auto"/>
                <w:sz w:val="21"/>
                <w:szCs w:val="21"/>
                <w:highlight w:val="none"/>
                <w:lang w:val="en-US" w:eastAsia="zh-CN"/>
              </w:rPr>
              <w:t>类软件</w:t>
            </w:r>
            <w:r>
              <w:rPr>
                <w:rFonts w:hint="eastAsia" w:ascii="宋体" w:hAnsi="宋体" w:eastAsia="宋体" w:cs="宋体"/>
                <w:bCs/>
                <w:color w:val="auto"/>
                <w:sz w:val="21"/>
                <w:szCs w:val="21"/>
                <w:highlight w:val="none"/>
                <w:lang w:val="pt-BR"/>
              </w:rPr>
              <w:t>系统的，得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pt-BR"/>
              </w:rPr>
              <w:t>分，无不得分。</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注：须提供软件著作版权登记证书复印件加盖投标人公章；若软件为投标人购买的，须同时提供购买合同及发票复印件加盖投标人公章</w:t>
            </w:r>
            <w:r>
              <w:rPr>
                <w:rFonts w:hint="eastAsia" w:ascii="宋体" w:hAnsi="宋体" w:eastAsia="宋体" w:cs="宋体"/>
                <w:bCs/>
                <w:color w:val="auto"/>
                <w:sz w:val="21"/>
                <w:szCs w:val="21"/>
                <w:highlight w:val="none"/>
                <w:lang w:val="pt-BR"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90" w:type="dxa"/>
            <w:vMerge w:val="continue"/>
            <w:tcBorders>
              <w:left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1115" w:type="dxa"/>
            <w:vMerge w:val="continue"/>
            <w:tcBorders>
              <w:left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p>
        </w:tc>
        <w:tc>
          <w:tcPr>
            <w:tcW w:w="66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057"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投标人具有拟投入本项目的配送场所</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pt-BR"/>
              </w:rPr>
              <w:t>得3分，无不得分。</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w:t>
            </w:r>
            <w:r>
              <w:rPr>
                <w:rFonts w:hint="eastAsia" w:ascii="宋体" w:hAnsi="宋体" w:eastAsia="宋体" w:cs="宋体"/>
                <w:bCs/>
                <w:color w:val="auto"/>
                <w:sz w:val="21"/>
                <w:szCs w:val="21"/>
                <w:highlight w:val="none"/>
                <w:lang w:val="pt-BR"/>
              </w:rPr>
              <w:t>投标人</w:t>
            </w:r>
            <w:r>
              <w:rPr>
                <w:rFonts w:hint="eastAsia" w:ascii="宋体" w:hAnsi="宋体" w:eastAsia="宋体" w:cs="宋体"/>
                <w:bCs/>
                <w:color w:val="auto"/>
                <w:sz w:val="21"/>
                <w:szCs w:val="21"/>
                <w:highlight w:val="none"/>
                <w:lang w:val="en-US" w:eastAsia="zh-CN"/>
              </w:rPr>
              <w:t>须</w:t>
            </w:r>
            <w:r>
              <w:rPr>
                <w:rFonts w:hint="eastAsia" w:ascii="宋体" w:hAnsi="宋体" w:eastAsia="宋体" w:cs="宋体"/>
                <w:bCs/>
                <w:color w:val="auto"/>
                <w:sz w:val="21"/>
                <w:szCs w:val="21"/>
                <w:highlight w:val="none"/>
                <w:lang w:val="pt-BR"/>
              </w:rPr>
              <w:t>提供其配送场所的使用权证明文件，如产权证明或租赁合同复印件，并加盖投标人公章</w:t>
            </w:r>
            <w:r>
              <w:rPr>
                <w:rFonts w:hint="eastAsia" w:ascii="宋体" w:hAnsi="宋体" w:eastAsia="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en-US" w:eastAsia="zh-CN"/>
              </w:rPr>
              <w:t>否则不得分</w:t>
            </w:r>
            <w:r>
              <w:rPr>
                <w:rFonts w:hint="eastAsia" w:ascii="宋体" w:eastAsia="宋体" w:cs="宋体"/>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90" w:type="dxa"/>
            <w:vMerge w:val="continue"/>
            <w:tcBorders>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p>
        </w:tc>
        <w:tc>
          <w:tcPr>
            <w:tcW w:w="1115" w:type="dxa"/>
            <w:vMerge w:val="continue"/>
            <w:tcBorders>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p>
        </w:tc>
        <w:tc>
          <w:tcPr>
            <w:tcW w:w="66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6057"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投标人具有拟投入本项目的配送场所内配置自有食品冷藏库的</w:t>
            </w:r>
            <w:r>
              <w:rPr>
                <w:rFonts w:hint="eastAsia" w:ascii="宋体" w:hAnsi="宋体" w:eastAsia="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en-US" w:eastAsia="zh-CN"/>
              </w:rPr>
              <w:t>得</w:t>
            </w:r>
            <w:r>
              <w:rPr>
                <w:rFonts w:hint="eastAsia" w:ascii="宋体" w:hAnsi="宋体" w:eastAsia="宋体" w:cs="宋体"/>
                <w:bCs/>
                <w:color w:val="auto"/>
                <w:sz w:val="21"/>
                <w:szCs w:val="21"/>
                <w:highlight w:val="none"/>
                <w:lang w:val="pt-BR"/>
              </w:rPr>
              <w:t>3分，无不得分。</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注：</w:t>
            </w:r>
            <w:r>
              <w:rPr>
                <w:rFonts w:hint="eastAsia" w:ascii="宋体" w:hAnsi="宋体" w:eastAsia="宋体" w:cs="宋体"/>
                <w:bCs/>
                <w:color w:val="auto"/>
                <w:sz w:val="21"/>
                <w:szCs w:val="21"/>
                <w:highlight w:val="none"/>
                <w:lang w:val="pt-BR"/>
              </w:rPr>
              <w:t>投标人</w:t>
            </w:r>
            <w:r>
              <w:rPr>
                <w:rFonts w:hint="eastAsia" w:ascii="宋体" w:hAnsi="宋体" w:eastAsia="宋体" w:cs="宋体"/>
                <w:bCs/>
                <w:color w:val="auto"/>
                <w:sz w:val="21"/>
                <w:szCs w:val="21"/>
                <w:highlight w:val="none"/>
                <w:lang w:val="en-US" w:eastAsia="zh-CN"/>
              </w:rPr>
              <w:t>须</w:t>
            </w:r>
            <w:r>
              <w:rPr>
                <w:rFonts w:hint="eastAsia" w:ascii="宋体" w:hAnsi="宋体" w:eastAsia="宋体" w:cs="宋体"/>
                <w:bCs/>
                <w:color w:val="auto"/>
                <w:sz w:val="21"/>
                <w:szCs w:val="21"/>
                <w:highlight w:val="none"/>
                <w:lang w:val="pt-BR"/>
              </w:rPr>
              <w:t>提供其冷藏库的使用权证明文件，如建设冷藏库的合同</w:t>
            </w:r>
            <w:r>
              <w:rPr>
                <w:rFonts w:hint="eastAsia" w:ascii="宋体" w:eastAsia="宋体" w:cs="宋体"/>
                <w:bCs/>
                <w:color w:val="auto"/>
                <w:sz w:val="21"/>
                <w:szCs w:val="21"/>
                <w:highlight w:val="none"/>
                <w:lang w:val="en-US" w:eastAsia="zh-CN"/>
              </w:rPr>
              <w:t>复印件</w:t>
            </w:r>
            <w:r>
              <w:rPr>
                <w:rFonts w:hint="eastAsia" w:ascii="宋体" w:hAnsi="宋体" w:eastAsia="宋体" w:cs="宋体"/>
                <w:bCs/>
                <w:color w:val="auto"/>
                <w:sz w:val="21"/>
                <w:szCs w:val="21"/>
                <w:highlight w:val="none"/>
                <w:lang w:val="pt-BR"/>
              </w:rPr>
              <w:t>，并加盖投标人公章</w:t>
            </w:r>
            <w:r>
              <w:rPr>
                <w:rFonts w:hint="eastAsia" w:ascii="宋体" w:hAnsi="宋体" w:eastAsia="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60分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115"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配送服务实施方案</w:t>
            </w:r>
          </w:p>
        </w:tc>
        <w:tc>
          <w:tcPr>
            <w:tcW w:w="66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6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根据</w:t>
            </w:r>
            <w:r>
              <w:rPr>
                <w:rFonts w:hint="eastAsia" w:ascii="宋体" w:hAnsi="宋体" w:eastAsia="宋体" w:cs="宋体"/>
                <w:color w:val="auto"/>
                <w:sz w:val="21"/>
                <w:szCs w:val="21"/>
                <w:highlight w:val="none"/>
              </w:rPr>
              <w:t>所有涉及本项目配送服务的各方面方案（包括但不限于货源、采购渠道、物流配送方案及各种规章制度等），进行综合评审：</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（1）配送服务的各方面实施方案完整齐全、科学合理、可行性强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（2）配送服务的各方面实施方案完整、科学合理、可行性较强</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（3）配送服务的各方面实施方案基本完整、科学合理、可行性一般</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（4）配送服务的各方面实施方案不完整、不合理、可行性差，得1分；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610"/>
              </w:tabs>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产品的质量及安全保证措施</w:t>
            </w:r>
          </w:p>
        </w:tc>
        <w:tc>
          <w:tcPr>
            <w:tcW w:w="66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6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投标人提供产品的质量及安全保证措施（包含但不仅限于：①产品的来源追溯；②企业内部监管机制；③食品生长环境、加工、包装、保存、运输等各环节的质量安全保证措施），与产品质量问题退换货承诺（包含但不限于：①退换货流程；②退换货时间；③退换货对接部门联系方式）</w:t>
            </w:r>
            <w:r>
              <w:rPr>
                <w:rFonts w:hint="eastAsia" w:ascii="宋体" w:hAnsi="宋体" w:eastAsia="宋体" w:cs="宋体"/>
                <w:color w:val="auto"/>
                <w:sz w:val="21"/>
                <w:szCs w:val="21"/>
                <w:highlight w:val="none"/>
              </w:rPr>
              <w:t>进行综合评审：</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（1）来源合法具体，质量及安全保证措施具体、完善，得</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val="zh-CN"/>
              </w:rPr>
              <w:t>分；</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（2）来源合法较具体，质量及安全保证措施较具体、完善，得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分；</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（3）来源合法较具体，质量及安全保证措施不够具体、完善，得</w:t>
            </w:r>
            <w:r>
              <w:rPr>
                <w:rFonts w:hint="eastAsia" w:ascii="宋体" w:hAnsi="宋体" w:eastAsia="宋体" w:cs="宋体"/>
                <w:color w:val="auto"/>
                <w:sz w:val="21"/>
                <w:szCs w:val="21"/>
                <w:highlight w:val="none"/>
                <w:lang w:val="zh-CN" w:eastAsia="zh-CN"/>
              </w:rPr>
              <w:t>4</w:t>
            </w:r>
            <w:r>
              <w:rPr>
                <w:rFonts w:hint="eastAsia" w:ascii="宋体" w:hAnsi="宋体" w:eastAsia="宋体" w:cs="宋体"/>
                <w:color w:val="auto"/>
                <w:sz w:val="21"/>
                <w:szCs w:val="21"/>
                <w:highlight w:val="none"/>
                <w:lang w:val="zh-CN"/>
              </w:rPr>
              <w:t>分；</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）来源不清晰，质量及安全保证措施较差，得1分；</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115"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应急保障措施</w:t>
            </w:r>
          </w:p>
        </w:tc>
        <w:tc>
          <w:tcPr>
            <w:tcW w:w="66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根据各投标人对重大或突发事件应急保障方案措施</w:t>
            </w:r>
            <w:r>
              <w:rPr>
                <w:rFonts w:hint="eastAsia" w:ascii="宋体" w:hAnsi="宋体" w:eastAsia="宋体" w:cs="宋体"/>
                <w:color w:val="auto"/>
                <w:sz w:val="21"/>
                <w:szCs w:val="21"/>
                <w:highlight w:val="none"/>
              </w:rPr>
              <w:t>进行综合评审：</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）针对本项目拟定的突发事件的处理措施和应急预案全面、科学、合理、可行且详细的得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）针对本项目拟定的突发事件的处理措施和应急预案不够全面、科学、合理和可行的，有一定欠缺</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zh-CN" w:eastAsia="zh-CN"/>
              </w:rPr>
              <w:t>6</w:t>
            </w:r>
            <w:r>
              <w:rPr>
                <w:rFonts w:hint="eastAsia" w:ascii="宋体" w:hAnsi="宋体" w:eastAsia="宋体" w:cs="宋体"/>
                <w:color w:val="auto"/>
                <w:sz w:val="21"/>
                <w:szCs w:val="21"/>
                <w:highlight w:val="none"/>
                <w:lang w:val="zh-CN"/>
              </w:rPr>
              <w:t>分；</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）针对本项目拟定的突发事件的处理措施和应急预案不全面、科学、合理和可行的，有</w:t>
            </w:r>
            <w:r>
              <w:rPr>
                <w:rFonts w:hint="eastAsia" w:ascii="宋体" w:hAnsi="宋体" w:eastAsia="宋体" w:cs="宋体"/>
                <w:color w:val="auto"/>
                <w:sz w:val="21"/>
                <w:szCs w:val="21"/>
                <w:highlight w:val="none"/>
                <w:lang w:val="zh-CN" w:eastAsia="zh-CN"/>
              </w:rPr>
              <w:t>较大</w:t>
            </w:r>
            <w:r>
              <w:rPr>
                <w:rFonts w:hint="eastAsia" w:ascii="宋体" w:hAnsi="宋体" w:eastAsia="宋体" w:cs="宋体"/>
                <w:color w:val="auto"/>
                <w:sz w:val="21"/>
                <w:szCs w:val="21"/>
                <w:highlight w:val="none"/>
                <w:lang w:val="zh-CN"/>
              </w:rPr>
              <w:t>欠缺</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）针对本项目拟定的突发事件的处理措施和应急预案缺漏较多、可行</w:t>
            </w:r>
            <w:r>
              <w:rPr>
                <w:rFonts w:hint="eastAsia" w:ascii="宋体" w:hAnsi="宋体" w:eastAsia="宋体" w:cs="宋体"/>
                <w:color w:val="auto"/>
                <w:sz w:val="21"/>
                <w:szCs w:val="21"/>
                <w:highlight w:val="none"/>
                <w:lang w:val="zh-CN" w:eastAsia="zh-CN"/>
              </w:rPr>
              <w:t>较差</w:t>
            </w:r>
            <w:r>
              <w:rPr>
                <w:rFonts w:hint="eastAsia" w:ascii="宋体" w:hAnsi="宋体" w:eastAsia="宋体" w:cs="宋体"/>
                <w:color w:val="auto"/>
                <w:sz w:val="21"/>
                <w:szCs w:val="21"/>
                <w:highlight w:val="none"/>
                <w:lang w:val="zh-CN"/>
              </w:rPr>
              <w:t>的，有</w:t>
            </w:r>
            <w:r>
              <w:rPr>
                <w:rFonts w:hint="eastAsia" w:ascii="宋体" w:hAnsi="宋体" w:eastAsia="宋体" w:cs="宋体"/>
                <w:color w:val="auto"/>
                <w:sz w:val="21"/>
                <w:szCs w:val="21"/>
                <w:highlight w:val="none"/>
                <w:lang w:val="zh-CN" w:eastAsia="zh-CN"/>
              </w:rPr>
              <w:t>严重</w:t>
            </w:r>
            <w:r>
              <w:rPr>
                <w:rFonts w:hint="eastAsia" w:ascii="宋体" w:hAnsi="宋体" w:eastAsia="宋体" w:cs="宋体"/>
                <w:color w:val="auto"/>
                <w:sz w:val="21"/>
                <w:szCs w:val="21"/>
                <w:highlight w:val="none"/>
                <w:lang w:val="zh-CN"/>
              </w:rPr>
              <w:t>欠缺</w:t>
            </w:r>
            <w:r>
              <w:rPr>
                <w:rFonts w:hint="eastAsia" w:ascii="宋体" w:hAnsi="宋体" w:eastAsia="宋体" w:cs="宋体"/>
                <w:color w:val="auto"/>
                <w:sz w:val="21"/>
                <w:szCs w:val="21"/>
                <w:highlight w:val="none"/>
                <w:lang w:val="zh-CN" w:eastAsia="zh-CN"/>
              </w:rPr>
              <w:t>的</w:t>
            </w:r>
            <w:r>
              <w:rPr>
                <w:rFonts w:hint="eastAsia" w:ascii="宋体" w:hAnsi="宋体" w:eastAsia="宋体" w:cs="宋体"/>
                <w:color w:val="auto"/>
                <w:sz w:val="21"/>
                <w:szCs w:val="21"/>
                <w:highlight w:val="none"/>
                <w:lang w:val="zh-CN"/>
              </w:rPr>
              <w:t>得</w:t>
            </w: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zh-CN"/>
              </w:rPr>
              <w:t>分；</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115"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售后服务方案</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6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根据各投标人提供的售后服务方案、服务承诺、保质期、售后服务点技术力量等</w:t>
            </w:r>
            <w:r>
              <w:rPr>
                <w:rFonts w:hint="eastAsia" w:ascii="宋体" w:hAnsi="宋体" w:eastAsia="宋体" w:cs="宋体"/>
                <w:color w:val="auto"/>
                <w:sz w:val="21"/>
                <w:szCs w:val="21"/>
                <w:highlight w:val="none"/>
              </w:rPr>
              <w:t>进行综合评审：</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（1）方案完整</w:t>
            </w:r>
            <w:r>
              <w:rPr>
                <w:rFonts w:hint="eastAsia" w:ascii="宋体" w:hAnsi="宋体" w:eastAsia="宋体" w:cs="宋体"/>
                <w:color w:val="auto"/>
                <w:sz w:val="21"/>
                <w:szCs w:val="21"/>
                <w:highlight w:val="none"/>
                <w:lang w:val="zh-CN" w:eastAsia="zh-CN"/>
              </w:rPr>
              <w:t>优异</w:t>
            </w:r>
            <w:r>
              <w:rPr>
                <w:rFonts w:hint="eastAsia" w:ascii="宋体" w:hAnsi="宋体" w:eastAsia="宋体" w:cs="宋体"/>
                <w:color w:val="auto"/>
                <w:sz w:val="21"/>
                <w:szCs w:val="21"/>
                <w:highlight w:val="none"/>
                <w:lang w:val="zh-CN"/>
              </w:rPr>
              <w:t>、可行性强，得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（2）方案完整合理、可行性较好，得</w:t>
            </w:r>
            <w:r>
              <w:rPr>
                <w:rFonts w:hint="eastAsia" w:ascii="宋体" w:hAnsi="宋体" w:eastAsia="宋体" w:cs="宋体"/>
                <w:color w:val="auto"/>
                <w:sz w:val="21"/>
                <w:szCs w:val="21"/>
                <w:highlight w:val="none"/>
                <w:lang w:val="zh-CN" w:eastAsia="zh-CN"/>
              </w:rPr>
              <w:t>6</w:t>
            </w:r>
            <w:r>
              <w:rPr>
                <w:rFonts w:hint="eastAsia" w:ascii="宋体" w:hAnsi="宋体" w:eastAsia="宋体" w:cs="宋体"/>
                <w:color w:val="auto"/>
                <w:sz w:val="21"/>
                <w:szCs w:val="21"/>
                <w:highlight w:val="none"/>
                <w:lang w:val="zh-CN"/>
              </w:rPr>
              <w:t>分；</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（3）有提供方案，具有可行性的，得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4</w:t>
            </w:r>
            <w:r>
              <w:rPr>
                <w:rFonts w:hint="eastAsia" w:ascii="宋体" w:hAnsi="宋体" w:eastAsia="宋体" w:cs="宋体"/>
                <w:color w:val="auto"/>
                <w:sz w:val="21"/>
                <w:szCs w:val="21"/>
                <w:highlight w:val="none"/>
                <w:lang w:val="zh-CN"/>
              </w:rPr>
              <w:t>）方案缺漏较多，可行性差，得</w:t>
            </w: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zh-CN"/>
              </w:rPr>
              <w:t>分；</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115"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拟投入本项目人员情况</w:t>
            </w:r>
          </w:p>
        </w:tc>
        <w:tc>
          <w:tcPr>
            <w:tcW w:w="66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p>
        </w:tc>
        <w:tc>
          <w:tcPr>
            <w:tcW w:w="6057"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根据投标人</w:t>
            </w:r>
            <w:r>
              <w:rPr>
                <w:rFonts w:hint="eastAsia" w:ascii="宋体" w:hAnsi="宋体" w:eastAsia="宋体" w:cs="宋体"/>
                <w:bCs/>
                <w:color w:val="auto"/>
                <w:sz w:val="21"/>
                <w:szCs w:val="21"/>
                <w:highlight w:val="none"/>
                <w:lang w:val="zh-CN"/>
              </w:rPr>
              <w:t>拟投入本项目的人员</w:t>
            </w:r>
            <w:r>
              <w:rPr>
                <w:rFonts w:hint="eastAsia" w:ascii="宋体" w:hAnsi="宋体" w:eastAsia="宋体" w:cs="宋体"/>
                <w:bCs/>
                <w:color w:val="auto"/>
                <w:sz w:val="21"/>
                <w:szCs w:val="21"/>
                <w:highlight w:val="none"/>
                <w:lang w:val="en-US" w:eastAsia="zh-CN"/>
              </w:rPr>
              <w:t>进行评审：</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具有食品药品监督管理部门颁发的</w:t>
            </w:r>
            <w:r>
              <w:rPr>
                <w:rFonts w:hint="eastAsia" w:ascii="宋体" w:hAnsi="宋体" w:eastAsia="宋体" w:cs="宋体"/>
                <w:bCs/>
                <w:color w:val="auto"/>
                <w:sz w:val="21"/>
                <w:szCs w:val="21"/>
                <w:highlight w:val="none"/>
                <w:lang w:val="zh-CN" w:eastAsia="zh-CN"/>
              </w:rPr>
              <w:t>高级</w:t>
            </w:r>
            <w:r>
              <w:rPr>
                <w:rFonts w:hint="eastAsia" w:ascii="宋体" w:hAnsi="宋体" w:eastAsia="宋体" w:cs="宋体"/>
                <w:bCs/>
                <w:color w:val="auto"/>
                <w:sz w:val="21"/>
                <w:szCs w:val="21"/>
                <w:highlight w:val="none"/>
                <w:lang w:val="zh-CN"/>
              </w:rPr>
              <w:t>食品安全管理员证书的，每</w:t>
            </w:r>
            <w:r>
              <w:rPr>
                <w:rFonts w:hint="eastAsia" w:ascii="宋体" w:hAnsi="宋体" w:eastAsia="宋体" w:cs="宋体"/>
                <w:bCs/>
                <w:color w:val="auto"/>
                <w:sz w:val="21"/>
                <w:szCs w:val="21"/>
                <w:highlight w:val="none"/>
                <w:lang w:val="en-US" w:eastAsia="zh-CN"/>
              </w:rPr>
              <w:t>提供一个</w:t>
            </w:r>
            <w:r>
              <w:rPr>
                <w:rFonts w:hint="eastAsia" w:ascii="宋体" w:hAnsi="宋体" w:eastAsia="宋体" w:cs="宋体"/>
                <w:bCs/>
                <w:color w:val="auto"/>
                <w:sz w:val="21"/>
                <w:szCs w:val="21"/>
                <w:highlight w:val="none"/>
                <w:lang w:val="zh-CN"/>
              </w:rPr>
              <w:t>得</w:t>
            </w:r>
            <w:r>
              <w:rPr>
                <w:rFonts w:hint="eastAsia" w:ascii="宋体" w:hAnsi="宋体" w:eastAsia="宋体" w:cs="宋体"/>
                <w:bCs/>
                <w:color w:val="auto"/>
                <w:sz w:val="21"/>
                <w:szCs w:val="21"/>
                <w:highlight w:val="none"/>
                <w:lang w:val="zh-CN" w:eastAsia="zh-CN"/>
              </w:rPr>
              <w:t>1</w:t>
            </w:r>
            <w:r>
              <w:rPr>
                <w:rFonts w:hint="eastAsia" w:ascii="宋体" w:hAnsi="宋体" w:eastAsia="宋体" w:cs="宋体"/>
                <w:bCs/>
                <w:color w:val="auto"/>
                <w:sz w:val="21"/>
                <w:szCs w:val="21"/>
                <w:highlight w:val="none"/>
                <w:lang w:val="zh-CN"/>
              </w:rPr>
              <w:t>分，</w:t>
            </w:r>
            <w:r>
              <w:rPr>
                <w:rFonts w:hint="eastAsia" w:ascii="宋体" w:hAnsi="宋体" w:eastAsia="宋体" w:cs="宋体"/>
                <w:bCs/>
                <w:color w:val="auto"/>
                <w:sz w:val="21"/>
                <w:szCs w:val="21"/>
                <w:highlight w:val="none"/>
                <w:lang w:val="en-US" w:eastAsia="zh-CN"/>
              </w:rPr>
              <w:t>本项</w:t>
            </w:r>
            <w:r>
              <w:rPr>
                <w:rFonts w:hint="eastAsia" w:ascii="宋体" w:hAnsi="宋体" w:eastAsia="宋体" w:cs="宋体"/>
                <w:bCs/>
                <w:color w:val="auto"/>
                <w:sz w:val="21"/>
                <w:szCs w:val="21"/>
                <w:highlight w:val="none"/>
                <w:lang w:val="zh-CN"/>
              </w:rPr>
              <w:t>最高得</w:t>
            </w:r>
            <w:r>
              <w:rPr>
                <w:rFonts w:hint="eastAsia" w:ascii="宋体" w:hAnsi="宋体" w:eastAsia="宋体" w:cs="宋体"/>
                <w:bCs/>
                <w:color w:val="auto"/>
                <w:sz w:val="21"/>
                <w:szCs w:val="21"/>
                <w:highlight w:val="none"/>
                <w:lang w:val="zh-CN" w:eastAsia="zh-CN"/>
              </w:rPr>
              <w:t>4</w:t>
            </w:r>
            <w:r>
              <w:rPr>
                <w:rFonts w:hint="eastAsia" w:ascii="宋体" w:hAnsi="宋体" w:eastAsia="宋体" w:cs="宋体"/>
                <w:bCs/>
                <w:color w:val="auto"/>
                <w:sz w:val="21"/>
                <w:szCs w:val="21"/>
                <w:highlight w:val="none"/>
                <w:lang w:val="zh-CN"/>
              </w:rPr>
              <w:t>分。</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具有人力资源和社会保障部门颁发的</w:t>
            </w:r>
            <w:r>
              <w:rPr>
                <w:rFonts w:hint="eastAsia" w:ascii="宋体" w:hAnsi="宋体" w:eastAsia="宋体" w:cs="宋体"/>
                <w:bCs/>
                <w:color w:val="auto"/>
                <w:sz w:val="21"/>
                <w:szCs w:val="21"/>
                <w:highlight w:val="none"/>
                <w:lang w:val="zh-CN" w:eastAsia="zh-CN"/>
              </w:rPr>
              <w:t>高级</w:t>
            </w:r>
            <w:r>
              <w:rPr>
                <w:rFonts w:hint="eastAsia" w:ascii="宋体" w:hAnsi="宋体" w:eastAsia="宋体" w:cs="宋体"/>
                <w:bCs/>
                <w:color w:val="auto"/>
                <w:sz w:val="21"/>
                <w:szCs w:val="21"/>
                <w:highlight w:val="none"/>
                <w:lang w:val="zh-CN"/>
              </w:rPr>
              <w:t>食品检验工证书的，每</w:t>
            </w:r>
            <w:r>
              <w:rPr>
                <w:rFonts w:hint="eastAsia" w:ascii="宋体" w:hAnsi="宋体" w:eastAsia="宋体" w:cs="宋体"/>
                <w:bCs/>
                <w:color w:val="auto"/>
                <w:sz w:val="21"/>
                <w:szCs w:val="21"/>
                <w:highlight w:val="none"/>
                <w:lang w:val="en-US" w:eastAsia="zh-CN"/>
              </w:rPr>
              <w:t>提供一个</w:t>
            </w:r>
            <w:r>
              <w:rPr>
                <w:rFonts w:hint="eastAsia" w:ascii="宋体" w:hAnsi="宋体" w:eastAsia="宋体" w:cs="宋体"/>
                <w:bCs/>
                <w:color w:val="auto"/>
                <w:sz w:val="21"/>
                <w:szCs w:val="21"/>
                <w:highlight w:val="none"/>
                <w:lang w:val="zh-CN"/>
              </w:rPr>
              <w:t>得</w:t>
            </w:r>
            <w:r>
              <w:rPr>
                <w:rFonts w:hint="eastAsia" w:ascii="宋体" w:hAnsi="宋体" w:eastAsia="宋体" w:cs="宋体"/>
                <w:bCs/>
                <w:color w:val="auto"/>
                <w:sz w:val="21"/>
                <w:szCs w:val="21"/>
                <w:highlight w:val="none"/>
                <w:lang w:val="zh-CN" w:eastAsia="zh-CN"/>
              </w:rPr>
              <w:t>1</w:t>
            </w:r>
            <w:r>
              <w:rPr>
                <w:rFonts w:hint="eastAsia" w:ascii="宋体" w:hAnsi="宋体" w:eastAsia="宋体" w:cs="宋体"/>
                <w:bCs/>
                <w:color w:val="auto"/>
                <w:sz w:val="21"/>
                <w:szCs w:val="21"/>
                <w:highlight w:val="none"/>
                <w:lang w:val="zh-CN"/>
              </w:rPr>
              <w:t>分，</w:t>
            </w:r>
            <w:r>
              <w:rPr>
                <w:rFonts w:hint="eastAsia" w:ascii="宋体" w:hAnsi="宋体" w:eastAsia="宋体" w:cs="宋体"/>
                <w:bCs/>
                <w:color w:val="auto"/>
                <w:sz w:val="21"/>
                <w:szCs w:val="21"/>
                <w:highlight w:val="none"/>
                <w:lang w:val="en-US" w:eastAsia="zh-CN"/>
              </w:rPr>
              <w:t>本项</w:t>
            </w:r>
            <w:r>
              <w:rPr>
                <w:rFonts w:hint="eastAsia" w:ascii="宋体" w:hAnsi="宋体" w:eastAsia="宋体" w:cs="宋体"/>
                <w:bCs/>
                <w:color w:val="auto"/>
                <w:sz w:val="21"/>
                <w:szCs w:val="21"/>
                <w:highlight w:val="none"/>
                <w:lang w:val="zh-CN"/>
              </w:rPr>
              <w:t>最高得</w:t>
            </w:r>
            <w:r>
              <w:rPr>
                <w:rFonts w:hint="eastAsia" w:ascii="宋体" w:hAnsi="宋体" w:eastAsia="宋体" w:cs="宋体"/>
                <w:bCs/>
                <w:color w:val="auto"/>
                <w:sz w:val="21"/>
                <w:szCs w:val="21"/>
                <w:highlight w:val="none"/>
                <w:lang w:val="zh-CN" w:eastAsia="zh-CN"/>
              </w:rPr>
              <w:t>4</w:t>
            </w:r>
            <w:r>
              <w:rPr>
                <w:rFonts w:hint="eastAsia" w:ascii="宋体" w:hAnsi="宋体" w:eastAsia="宋体" w:cs="宋体"/>
                <w:bCs/>
                <w:color w:val="auto"/>
                <w:sz w:val="21"/>
                <w:szCs w:val="21"/>
                <w:highlight w:val="none"/>
                <w:lang w:val="zh-CN"/>
              </w:rPr>
              <w:t>分。</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注：须提供以上人员有效证书及</w:t>
            </w:r>
            <w:r>
              <w:rPr>
                <w:rFonts w:hint="eastAsia" w:ascii="宋体" w:hAnsi="宋体" w:eastAsia="宋体" w:cs="宋体"/>
                <w:bCs/>
                <w:color w:val="auto"/>
                <w:sz w:val="21"/>
                <w:szCs w:val="21"/>
                <w:highlight w:val="none"/>
              </w:rPr>
              <w:t>投标人</w:t>
            </w:r>
            <w:r>
              <w:rPr>
                <w:rFonts w:hint="eastAsia" w:ascii="宋体" w:hAnsi="宋体" w:eastAsia="宋体" w:cs="宋体"/>
                <w:bCs/>
                <w:color w:val="auto"/>
                <w:sz w:val="21"/>
                <w:szCs w:val="21"/>
                <w:highlight w:val="none"/>
                <w:lang w:val="zh-CN"/>
              </w:rPr>
              <w:t>为其缴纳的近</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个月</w:t>
            </w:r>
            <w:r>
              <w:rPr>
                <w:rFonts w:hint="eastAsia" w:ascii="宋体" w:hAnsi="宋体" w:eastAsia="宋体" w:cs="宋体"/>
                <w:bCs/>
                <w:color w:val="auto"/>
                <w:sz w:val="21"/>
                <w:szCs w:val="21"/>
                <w:highlight w:val="none"/>
                <w:lang w:val="en-US" w:eastAsia="zh-CN"/>
              </w:rPr>
              <w:t>内</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rPr>
              <w:t>不含开标当月</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lang w:val="en-US" w:eastAsia="zh-CN"/>
              </w:rPr>
              <w:t>任意3个月的</w:t>
            </w:r>
            <w:r>
              <w:rPr>
                <w:rFonts w:hint="eastAsia" w:ascii="宋体" w:hAnsi="宋体" w:eastAsia="宋体" w:cs="宋体"/>
                <w:bCs/>
                <w:color w:val="auto"/>
                <w:sz w:val="21"/>
                <w:szCs w:val="21"/>
                <w:highlight w:val="none"/>
                <w:lang w:val="zh-CN"/>
              </w:rPr>
              <w:t>社保证明复印件加盖</w:t>
            </w:r>
            <w:r>
              <w:rPr>
                <w:rFonts w:hint="eastAsia" w:ascii="宋体" w:hAnsi="宋体" w:eastAsia="宋体" w:cs="宋体"/>
                <w:bCs/>
                <w:color w:val="auto"/>
                <w:sz w:val="21"/>
                <w:szCs w:val="21"/>
                <w:highlight w:val="none"/>
              </w:rPr>
              <w:t>投标人</w:t>
            </w:r>
            <w:r>
              <w:rPr>
                <w:rFonts w:hint="eastAsia" w:ascii="宋体" w:hAnsi="宋体" w:eastAsia="宋体" w:cs="宋体"/>
                <w:bCs/>
                <w:color w:val="auto"/>
                <w:sz w:val="21"/>
                <w:szCs w:val="21"/>
                <w:highlight w:val="none"/>
                <w:lang w:val="zh-CN"/>
              </w:rPr>
              <w:t>公章，</w:t>
            </w:r>
            <w:r>
              <w:rPr>
                <w:rFonts w:hint="eastAsia" w:ascii="宋体" w:hAnsi="宋体" w:eastAsia="宋体" w:cs="宋体"/>
                <w:bCs/>
                <w:color w:val="auto"/>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115"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拟投入本项目车辆情况</w:t>
            </w:r>
          </w:p>
        </w:tc>
        <w:tc>
          <w:tcPr>
            <w:tcW w:w="66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6057"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根据投标人拟投入本项目的冷链（或冷藏或冷冻）车辆情况进行评审</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自有车每台车计1分，租赁车每台车计0.5分，</w:t>
            </w:r>
            <w:r>
              <w:rPr>
                <w:rFonts w:hint="eastAsia" w:ascii="宋体" w:hAnsi="宋体" w:eastAsia="宋体" w:cs="宋体"/>
                <w:color w:val="auto"/>
                <w:sz w:val="21"/>
                <w:szCs w:val="21"/>
                <w:highlight w:val="none"/>
                <w:lang w:val="en-US" w:eastAsia="zh-CN"/>
              </w:rPr>
              <w:t>本项</w:t>
            </w:r>
            <w:r>
              <w:rPr>
                <w:rFonts w:hint="eastAsia" w:ascii="宋体" w:hAnsi="宋体" w:eastAsia="宋体" w:cs="宋体"/>
                <w:color w:val="auto"/>
                <w:sz w:val="21"/>
                <w:szCs w:val="21"/>
                <w:highlight w:val="none"/>
                <w:lang w:val="zh-CN"/>
              </w:rPr>
              <w:t>最高</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eastAsia="zh-CN"/>
              </w:rPr>
              <w:t>5</w:t>
            </w:r>
            <w:r>
              <w:rPr>
                <w:rFonts w:hint="eastAsia" w:ascii="宋体" w:hAnsi="宋体" w:eastAsia="宋体" w:cs="宋体"/>
                <w:color w:val="auto"/>
                <w:sz w:val="21"/>
                <w:szCs w:val="21"/>
                <w:highlight w:val="none"/>
                <w:lang w:val="zh-CN"/>
              </w:rPr>
              <w:t>分。</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自有车辆须</w:t>
            </w:r>
            <w:r>
              <w:rPr>
                <w:rFonts w:hint="eastAsia" w:ascii="宋体" w:hAnsi="宋体" w:eastAsia="宋体" w:cs="宋体"/>
                <w:bCs/>
                <w:color w:val="auto"/>
                <w:sz w:val="21"/>
                <w:szCs w:val="21"/>
                <w:highlight w:val="none"/>
                <w:lang w:val="pt-BR"/>
              </w:rPr>
              <w:t>同时</w:t>
            </w:r>
            <w:r>
              <w:rPr>
                <w:rFonts w:hint="eastAsia" w:ascii="宋体" w:hAnsi="宋体" w:eastAsia="宋体" w:cs="宋体"/>
                <w:color w:val="auto"/>
                <w:sz w:val="21"/>
                <w:szCs w:val="21"/>
                <w:highlight w:val="none"/>
                <w:lang w:val="zh-CN"/>
              </w:rPr>
              <w:t>提供以下证明材料：①</w:t>
            </w:r>
            <w:r>
              <w:rPr>
                <w:rFonts w:hint="eastAsia" w:ascii="宋体" w:hAnsi="宋体" w:eastAsia="宋体" w:cs="宋体"/>
                <w:color w:val="auto"/>
                <w:sz w:val="21"/>
                <w:szCs w:val="21"/>
                <w:highlight w:val="none"/>
                <w:lang w:val="en-US" w:eastAsia="zh-CN"/>
              </w:rPr>
              <w:t>有效期内</w:t>
            </w:r>
            <w:r>
              <w:rPr>
                <w:rFonts w:hint="eastAsia" w:ascii="宋体" w:hAnsi="宋体" w:eastAsia="宋体" w:cs="宋体"/>
                <w:color w:val="auto"/>
                <w:sz w:val="21"/>
                <w:szCs w:val="21"/>
                <w:highlight w:val="none"/>
                <w:lang w:val="zh-CN"/>
              </w:rPr>
              <w:t>车辆行驶证；②购车发票；③车辆照片，复印件加盖投标人公章，</w:t>
            </w:r>
            <w:r>
              <w:rPr>
                <w:rFonts w:hint="eastAsia" w:ascii="宋体" w:hAnsi="宋体" w:eastAsia="宋体" w:cs="宋体"/>
                <w:color w:val="auto"/>
                <w:sz w:val="21"/>
                <w:szCs w:val="21"/>
                <w:highlight w:val="none"/>
                <w:lang w:val="en-US" w:eastAsia="zh-CN"/>
              </w:rPr>
              <w:t>否则不得分。</w:t>
            </w:r>
          </w:p>
          <w:p>
            <w:pPr>
              <w:pStyle w:val="31"/>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租赁车辆须</w:t>
            </w:r>
            <w:r>
              <w:rPr>
                <w:rFonts w:hint="eastAsia" w:ascii="宋体" w:hAnsi="宋体" w:eastAsia="宋体" w:cs="宋体"/>
                <w:bCs/>
                <w:color w:val="auto"/>
                <w:sz w:val="21"/>
                <w:szCs w:val="21"/>
                <w:highlight w:val="none"/>
                <w:lang w:val="pt-BR"/>
              </w:rPr>
              <w:t>同时</w:t>
            </w:r>
            <w:r>
              <w:rPr>
                <w:rFonts w:hint="eastAsia" w:ascii="宋体" w:hAnsi="宋体" w:eastAsia="宋体" w:cs="宋体"/>
                <w:color w:val="auto"/>
                <w:sz w:val="21"/>
                <w:szCs w:val="21"/>
                <w:highlight w:val="none"/>
                <w:lang w:val="zh-CN"/>
              </w:rPr>
              <w:t>提供以下证明材料：①</w:t>
            </w:r>
            <w:r>
              <w:rPr>
                <w:rFonts w:hint="eastAsia" w:ascii="宋体" w:hAnsi="宋体" w:eastAsia="宋体" w:cs="宋体"/>
                <w:color w:val="auto"/>
                <w:sz w:val="21"/>
                <w:szCs w:val="21"/>
                <w:highlight w:val="none"/>
                <w:lang w:val="en-US" w:eastAsia="zh-CN"/>
              </w:rPr>
              <w:t>有效期内</w:t>
            </w:r>
            <w:r>
              <w:rPr>
                <w:rFonts w:hint="eastAsia" w:ascii="宋体" w:hAnsi="宋体" w:eastAsia="宋体" w:cs="宋体"/>
                <w:color w:val="auto"/>
                <w:sz w:val="21"/>
                <w:szCs w:val="21"/>
                <w:highlight w:val="none"/>
                <w:lang w:val="zh-CN"/>
              </w:rPr>
              <w:t>车辆行驶证；②租赁合同；③车辆照片，复印件加盖投标人公章，</w:t>
            </w:r>
            <w:r>
              <w:rPr>
                <w:rFonts w:hint="eastAsia" w:ascii="宋体" w:hAnsi="宋体" w:eastAsia="宋体" w:cs="宋体"/>
                <w:color w:val="auto"/>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07"/>
              </w:tabs>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pPr>
              <w:keepNext w:val="0"/>
              <w:keepLines w:val="0"/>
              <w:pageBreakBefore w:val="0"/>
              <w:widowControl w:val="0"/>
              <w:tabs>
                <w:tab w:val="left" w:pos="907"/>
              </w:tabs>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除</w:t>
            </w:r>
            <w:r>
              <w:rPr>
                <w:rFonts w:hint="eastAsia" w:ascii="宋体" w:hAnsi="宋体" w:eastAsia="宋体" w:cs="宋体"/>
                <w:b/>
                <w:color w:val="auto"/>
                <w:sz w:val="21"/>
                <w:szCs w:val="21"/>
                <w:highlight w:val="none"/>
              </w:rPr>
              <w:t>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（2）投标人根据以上评分要求提供的投标材料因模糊不清导致评标委员会无法清晰辨认进行评审的，视为无效材料。</w:t>
            </w:r>
          </w:p>
          <w:p>
            <w:pPr>
              <w:keepNext w:val="0"/>
              <w:keepLines w:val="0"/>
              <w:pageBreakBefore w:val="0"/>
              <w:widowControl w:val="0"/>
              <w:tabs>
                <w:tab w:val="left" w:pos="907"/>
              </w:tabs>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价格评审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价格分计算方法：满足招标文件要求且投标报价最低（即最大下浮率）的投标报价为评标基准价，其价格分为满分。其他投标人的价格分统一按照下列公式计算：投标报价得分=[(1-最大下浮率)／(1-投标下浮率)] ×价格权重</w:t>
            </w:r>
          </w:p>
        </w:tc>
      </w:tr>
    </w:tbl>
    <w:p>
      <w:pPr>
        <w:pStyle w:val="4"/>
        <w:spacing w:before="0" w:after="0" w:line="240" w:lineRule="auto"/>
        <w:rPr>
          <w:color w:val="auto"/>
          <w:sz w:val="36"/>
          <w:szCs w:val="36"/>
          <w:highlight w:val="none"/>
        </w:rPr>
      </w:pPr>
      <w:r>
        <w:rPr>
          <w:rFonts w:hint="eastAsia"/>
          <w:color w:val="auto"/>
          <w:sz w:val="28"/>
          <w:szCs w:val="28"/>
          <w:highlight w:val="none"/>
        </w:rPr>
        <w:br w:type="page"/>
      </w:r>
      <w:bookmarkStart w:id="4" w:name="_Toc31854"/>
      <w:r>
        <w:rPr>
          <w:rFonts w:hint="eastAsia"/>
          <w:color w:val="auto"/>
          <w:sz w:val="28"/>
          <w:szCs w:val="28"/>
          <w:highlight w:val="none"/>
        </w:rPr>
        <w:t>第三部分 用户需求书</w:t>
      </w:r>
      <w:bookmarkEnd w:id="4"/>
    </w:p>
    <w:p>
      <w:pPr>
        <w:pStyle w:val="5"/>
        <w:spacing w:before="0" w:after="0" w:line="240" w:lineRule="auto"/>
        <w:jc w:val="center"/>
        <w:rPr>
          <w:rFonts w:ascii="宋体" w:hAnsi="宋体" w:eastAsia="宋体" w:cs="宋体"/>
          <w:color w:val="auto"/>
          <w:sz w:val="24"/>
          <w:szCs w:val="24"/>
          <w:highlight w:val="none"/>
        </w:rPr>
      </w:pPr>
      <w:bookmarkStart w:id="5" w:name="_Toc3968"/>
      <w:r>
        <w:rPr>
          <w:rFonts w:hint="eastAsia" w:ascii="宋体" w:hAnsi="宋体" w:eastAsia="宋体" w:cs="宋体"/>
          <w:color w:val="auto"/>
          <w:sz w:val="24"/>
          <w:szCs w:val="24"/>
          <w:highlight w:val="none"/>
        </w:rPr>
        <w:t>用户需求明细</w:t>
      </w:r>
      <w:bookmarkEnd w:id="5"/>
    </w:p>
    <w:p>
      <w:pPr>
        <w:pStyle w:val="6"/>
        <w:bidi w:val="0"/>
        <w:rPr>
          <w:rFonts w:hint="eastAsia"/>
          <w:color w:val="auto"/>
          <w:highlight w:val="none"/>
        </w:rPr>
      </w:pPr>
      <w:bookmarkStart w:id="6" w:name="_Toc13112"/>
      <w:bookmarkStart w:id="7" w:name="_Toc31278"/>
      <w:bookmarkStart w:id="8" w:name="_Toc14462"/>
      <w:bookmarkStart w:id="9" w:name="_Toc24679"/>
      <w:r>
        <w:rPr>
          <w:rFonts w:hint="eastAsia"/>
          <w:color w:val="auto"/>
          <w:highlight w:val="none"/>
          <w:lang w:val="en-US" w:eastAsia="zh-CN"/>
        </w:rPr>
        <w:t>一、</w:t>
      </w:r>
      <w:r>
        <w:rPr>
          <w:rFonts w:hint="eastAsia"/>
          <w:color w:val="auto"/>
          <w:highlight w:val="none"/>
        </w:rPr>
        <w:t>项目概况</w:t>
      </w:r>
    </w:p>
    <w:p>
      <w:pPr>
        <w:keepNext w:val="0"/>
        <w:keepLines w:val="0"/>
        <w:pageBreakBefore w:val="0"/>
        <w:widowControl/>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b w:val="0"/>
          <w:bCs/>
          <w:color w:val="auto"/>
          <w:highlight w:val="none"/>
        </w:rPr>
      </w:pPr>
      <w:r>
        <w:rPr>
          <w:rFonts w:hint="eastAsia" w:ascii="宋体" w:hAnsi="宋体" w:cs="宋体"/>
          <w:b w:val="0"/>
          <w:bCs/>
          <w:color w:val="auto"/>
          <w:highlight w:val="none"/>
          <w:lang w:val="en-US" w:eastAsia="zh-CN"/>
        </w:rPr>
        <w:t>1、</w:t>
      </w:r>
      <w:r>
        <w:rPr>
          <w:rFonts w:hint="eastAsia" w:ascii="宋体" w:hAnsi="宋体" w:eastAsia="宋体" w:cs="宋体"/>
          <w:b w:val="0"/>
          <w:bCs/>
          <w:color w:val="auto"/>
          <w:highlight w:val="none"/>
        </w:rPr>
        <w:t>为了规范</w:t>
      </w:r>
      <w:r>
        <w:rPr>
          <w:rFonts w:hint="eastAsia" w:ascii="宋体" w:hAnsi="宋体" w:eastAsia="宋体" w:cs="宋体"/>
          <w:b w:val="0"/>
          <w:bCs/>
          <w:color w:val="auto"/>
          <w:highlight w:val="none"/>
          <w:lang w:eastAsia="zh-CN"/>
        </w:rPr>
        <w:t>东莞市清溪镇人民政府</w:t>
      </w:r>
      <w:r>
        <w:rPr>
          <w:rFonts w:hint="eastAsia" w:ascii="宋体" w:hAnsi="宋体" w:eastAsia="宋体" w:cs="宋体"/>
          <w:b w:val="0"/>
          <w:bCs/>
          <w:color w:val="auto"/>
          <w:highlight w:val="none"/>
        </w:rPr>
        <w:t>饭堂日常食品供应工作，确保食品安全、卫生，提升饭堂服务水平，加强饭堂的管理，促进廉政建设。拟对</w:t>
      </w:r>
      <w:r>
        <w:rPr>
          <w:rFonts w:hint="eastAsia" w:ascii="宋体" w:hAnsi="宋体" w:eastAsia="宋体" w:cs="宋体"/>
          <w:b w:val="0"/>
          <w:bCs/>
          <w:color w:val="auto"/>
          <w:highlight w:val="none"/>
          <w:lang w:eastAsia="zh-CN"/>
        </w:rPr>
        <w:t>东莞市清溪镇人民政府</w:t>
      </w:r>
      <w:r>
        <w:rPr>
          <w:rFonts w:hint="eastAsia" w:ascii="宋体" w:hAnsi="宋体" w:eastAsia="宋体" w:cs="宋体"/>
          <w:b w:val="0"/>
          <w:bCs/>
          <w:color w:val="auto"/>
          <w:highlight w:val="none"/>
        </w:rPr>
        <w:t>饭堂的食品原材料配送的供货资格采用公开招标方式进行招标。</w:t>
      </w:r>
    </w:p>
    <w:p>
      <w:pPr>
        <w:keepNext w:val="0"/>
        <w:keepLines w:val="0"/>
        <w:pageBreakBefore w:val="0"/>
        <w:widowControl/>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cs="宋体"/>
          <w:b w:val="0"/>
          <w:bCs/>
          <w:color w:val="auto"/>
          <w:highlight w:val="none"/>
          <w:lang w:val="en-US" w:eastAsia="zh-CN"/>
        </w:rPr>
      </w:pPr>
      <w:r>
        <w:rPr>
          <w:rFonts w:hint="eastAsia" w:ascii="宋体" w:hAnsi="宋体" w:eastAsia="宋体" w:cs="宋体"/>
          <w:b w:val="0"/>
          <w:bCs/>
          <w:color w:val="auto"/>
          <w:highlight w:val="none"/>
          <w:lang w:val="en-US" w:eastAsia="zh-CN"/>
        </w:rPr>
        <w:t>2、</w:t>
      </w:r>
      <w:r>
        <w:rPr>
          <w:rFonts w:hint="eastAsia" w:ascii="宋体" w:hAnsi="宋体" w:eastAsia="宋体" w:cs="宋体"/>
          <w:b w:val="0"/>
          <w:bCs/>
          <w:color w:val="auto"/>
          <w:highlight w:val="none"/>
        </w:rPr>
        <w:t>就餐人</w:t>
      </w:r>
      <w:r>
        <w:rPr>
          <w:rFonts w:hint="eastAsia" w:ascii="宋体" w:hAnsi="宋体" w:eastAsia="宋体" w:cs="宋体"/>
          <w:b w:val="0"/>
          <w:bCs/>
          <w:color w:val="auto"/>
          <w:highlight w:val="none"/>
          <w:lang w:val="en-US" w:eastAsia="zh-CN"/>
        </w:rPr>
        <w:t>数：</w:t>
      </w:r>
      <w:r>
        <w:rPr>
          <w:rFonts w:hint="eastAsia" w:ascii="宋体" w:hAnsi="宋体" w:cs="宋体"/>
          <w:b w:val="0"/>
          <w:bCs/>
          <w:color w:val="auto"/>
          <w:highlight w:val="none"/>
          <w:lang w:val="en-US" w:eastAsia="zh-CN"/>
        </w:rPr>
        <w:t>约200人。</w:t>
      </w:r>
    </w:p>
    <w:p>
      <w:pPr>
        <w:bidi w:val="0"/>
        <w:rPr>
          <w:rFonts w:hint="default"/>
          <w:color w:val="auto"/>
          <w:highlight w:val="none"/>
          <w:lang w:val="en-US" w:eastAsia="zh-CN"/>
        </w:rPr>
      </w:pPr>
    </w:p>
    <w:p>
      <w:pPr>
        <w:pStyle w:val="6"/>
        <w:bidi w:val="0"/>
        <w:rPr>
          <w:rFonts w:hint="eastAsia" w:eastAsia="宋体"/>
          <w:color w:val="auto"/>
          <w:highlight w:val="none"/>
        </w:rPr>
      </w:pPr>
      <w:r>
        <w:rPr>
          <w:rFonts w:hint="eastAsia" w:eastAsia="宋体"/>
          <w:color w:val="auto"/>
          <w:highlight w:val="none"/>
          <w:lang w:val="en-US" w:eastAsia="zh-CN"/>
        </w:rPr>
        <w:t>二、</w:t>
      </w:r>
      <w:r>
        <w:rPr>
          <w:rFonts w:hint="eastAsia" w:eastAsia="宋体"/>
          <w:color w:val="auto"/>
          <w:highlight w:val="none"/>
        </w:rPr>
        <w:t>项目内容及需求</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auto"/>
          <w:highlight w:val="none"/>
        </w:rPr>
      </w:pPr>
      <w:r>
        <w:rPr>
          <w:rFonts w:hint="eastAsia" w:ascii="宋体" w:hAnsi="宋体" w:cs="宋体"/>
          <w:b w:val="0"/>
          <w:bCs/>
          <w:color w:val="auto"/>
          <w:highlight w:val="none"/>
          <w:lang w:val="en-US" w:eastAsia="zh-CN"/>
        </w:rPr>
        <w:t>1、</w:t>
      </w:r>
      <w:r>
        <w:rPr>
          <w:rFonts w:hint="eastAsia" w:ascii="宋体" w:hAnsi="宋体" w:eastAsia="宋体" w:cs="宋体"/>
          <w:b w:val="0"/>
          <w:bCs/>
          <w:color w:val="auto"/>
          <w:highlight w:val="none"/>
        </w:rPr>
        <w:t>项目内容：中标人为采购人提出的物品订货清单，不论数量多少，保证在规定的时间（以采购人下的供货通知为依据）、地点送货；中标人对采购人提出的临时性服务要求应按时、按质、按量将货品送到指定地点；中标人所供应的货品必须安全卫生，量足价平，承担送货途中的一切风险并提供完善的售后服务。</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auto"/>
          <w:highlight w:val="none"/>
        </w:rPr>
      </w:pPr>
      <w:r>
        <w:rPr>
          <w:rFonts w:hint="eastAsia" w:ascii="宋体" w:hAnsi="宋体" w:cs="宋体"/>
          <w:b w:val="0"/>
          <w:bCs/>
          <w:color w:val="auto"/>
          <w:highlight w:val="none"/>
          <w:lang w:val="en-US" w:eastAsia="zh-CN"/>
        </w:rPr>
        <w:t>2、</w:t>
      </w:r>
      <w:r>
        <w:rPr>
          <w:rFonts w:hint="eastAsia" w:ascii="宋体" w:hAnsi="宋体" w:eastAsia="宋体" w:cs="宋体"/>
          <w:b w:val="0"/>
          <w:bCs/>
          <w:color w:val="auto"/>
          <w:highlight w:val="none"/>
        </w:rPr>
        <w:t>质量要求：</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auto"/>
          <w:highlight w:val="none"/>
        </w:rPr>
      </w:pPr>
      <w:r>
        <w:rPr>
          <w:rFonts w:hint="eastAsia" w:ascii="宋体" w:hAnsi="宋体" w:cs="宋体"/>
          <w:b w:val="0"/>
          <w:bCs/>
          <w:color w:val="auto"/>
          <w:highlight w:val="none"/>
          <w:lang w:eastAsia="zh-CN"/>
        </w:rPr>
        <w:t>（</w:t>
      </w:r>
      <w:r>
        <w:rPr>
          <w:rFonts w:hint="eastAsia" w:ascii="宋体" w:hAnsi="宋体" w:cs="宋体"/>
          <w:b w:val="0"/>
          <w:bCs/>
          <w:color w:val="auto"/>
          <w:highlight w:val="none"/>
          <w:lang w:val="en-US" w:eastAsia="zh-CN"/>
        </w:rPr>
        <w:t>1</w:t>
      </w:r>
      <w:r>
        <w:rPr>
          <w:rFonts w:hint="eastAsia" w:ascii="宋体" w:hAnsi="宋体" w:cs="宋体"/>
          <w:b w:val="0"/>
          <w:bCs/>
          <w:color w:val="auto"/>
          <w:highlight w:val="none"/>
          <w:lang w:eastAsia="zh-CN"/>
        </w:rPr>
        <w:t>）</w:t>
      </w:r>
      <w:r>
        <w:rPr>
          <w:rFonts w:hint="eastAsia" w:ascii="宋体" w:hAnsi="宋体" w:eastAsia="宋体" w:cs="宋体"/>
          <w:b w:val="0"/>
          <w:bCs/>
          <w:color w:val="auto"/>
          <w:highlight w:val="none"/>
        </w:rPr>
        <w:t>货物符合相应的国家现行有效的食品卫生、质量标准要求，标识要完整、真实；</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auto"/>
          <w:highlight w:val="none"/>
        </w:rPr>
      </w:pPr>
      <w:r>
        <w:rPr>
          <w:rFonts w:hint="eastAsia" w:ascii="宋体" w:hAnsi="宋体" w:cs="宋体"/>
          <w:b w:val="0"/>
          <w:bCs/>
          <w:color w:val="auto"/>
          <w:highlight w:val="none"/>
          <w:lang w:eastAsia="zh-CN"/>
        </w:rPr>
        <w:t>（</w:t>
      </w:r>
      <w:r>
        <w:rPr>
          <w:rFonts w:hint="eastAsia" w:ascii="宋体" w:hAnsi="宋体" w:cs="宋体"/>
          <w:b w:val="0"/>
          <w:bCs/>
          <w:color w:val="auto"/>
          <w:highlight w:val="none"/>
          <w:lang w:val="en-US" w:eastAsia="zh-CN"/>
        </w:rPr>
        <w:t>2</w:t>
      </w:r>
      <w:r>
        <w:rPr>
          <w:rFonts w:hint="eastAsia" w:ascii="宋体" w:hAnsi="宋体" w:cs="宋体"/>
          <w:b w:val="0"/>
          <w:bCs/>
          <w:color w:val="auto"/>
          <w:highlight w:val="none"/>
          <w:lang w:eastAsia="zh-CN"/>
        </w:rPr>
        <w:t>）</w:t>
      </w:r>
      <w:r>
        <w:rPr>
          <w:rFonts w:hint="eastAsia" w:ascii="宋体" w:hAnsi="宋体" w:eastAsia="宋体" w:cs="宋体"/>
          <w:b w:val="0"/>
          <w:bCs/>
          <w:color w:val="auto"/>
          <w:highlight w:val="none"/>
          <w:lang w:eastAsia="zh-CN"/>
        </w:rPr>
        <w:t>预包装食品</w:t>
      </w:r>
      <w:r>
        <w:rPr>
          <w:rFonts w:hint="eastAsia" w:ascii="宋体" w:hAnsi="宋体" w:eastAsia="宋体" w:cs="宋体"/>
          <w:b w:val="0"/>
          <w:bCs/>
          <w:color w:val="auto"/>
          <w:highlight w:val="none"/>
        </w:rPr>
        <w:t>产地明确、厂名明确、生产日期明确；</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auto"/>
          <w:highlight w:val="none"/>
        </w:rPr>
      </w:pPr>
      <w:r>
        <w:rPr>
          <w:rFonts w:hint="eastAsia" w:ascii="宋体" w:hAnsi="宋体" w:cs="宋体"/>
          <w:b w:val="0"/>
          <w:bCs/>
          <w:color w:val="auto"/>
          <w:highlight w:val="none"/>
          <w:lang w:eastAsia="zh-CN"/>
        </w:rPr>
        <w:t>（</w:t>
      </w:r>
      <w:r>
        <w:rPr>
          <w:rFonts w:hint="eastAsia" w:ascii="宋体" w:hAnsi="宋体" w:cs="宋体"/>
          <w:b w:val="0"/>
          <w:bCs/>
          <w:color w:val="auto"/>
          <w:highlight w:val="none"/>
          <w:lang w:val="en-US" w:eastAsia="zh-CN"/>
        </w:rPr>
        <w:t>3</w:t>
      </w:r>
      <w:r>
        <w:rPr>
          <w:rFonts w:hint="eastAsia" w:ascii="宋体" w:hAnsi="宋体" w:cs="宋体"/>
          <w:b w:val="0"/>
          <w:bCs/>
          <w:color w:val="auto"/>
          <w:highlight w:val="none"/>
          <w:lang w:eastAsia="zh-CN"/>
        </w:rPr>
        <w:t>）</w:t>
      </w:r>
      <w:r>
        <w:rPr>
          <w:rFonts w:hint="eastAsia" w:ascii="宋体" w:hAnsi="宋体" w:eastAsia="宋体" w:cs="宋体"/>
          <w:b w:val="0"/>
          <w:bCs/>
          <w:color w:val="auto"/>
          <w:highlight w:val="none"/>
        </w:rPr>
        <w:t>蔬果类应保持较好的色泽和新鲜度，符合国家食品卫生标准，农药等化学物不得超标，并提供农药残留检测证明（蔬菜利用率不低于95%）；</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auto"/>
          <w:highlight w:val="none"/>
        </w:rPr>
      </w:pPr>
      <w:r>
        <w:rPr>
          <w:rFonts w:hint="eastAsia" w:ascii="宋体" w:hAnsi="宋体" w:cs="宋体"/>
          <w:b w:val="0"/>
          <w:bCs/>
          <w:color w:val="auto"/>
          <w:highlight w:val="none"/>
          <w:lang w:eastAsia="zh-CN"/>
        </w:rPr>
        <w:t>（</w:t>
      </w:r>
      <w:r>
        <w:rPr>
          <w:rFonts w:hint="eastAsia" w:ascii="宋体" w:hAnsi="宋体" w:cs="宋体"/>
          <w:b w:val="0"/>
          <w:bCs/>
          <w:color w:val="auto"/>
          <w:highlight w:val="none"/>
          <w:lang w:val="en-US" w:eastAsia="zh-CN"/>
        </w:rPr>
        <w:t>4</w:t>
      </w:r>
      <w:r>
        <w:rPr>
          <w:rFonts w:hint="eastAsia" w:ascii="宋体" w:hAnsi="宋体" w:cs="宋体"/>
          <w:b w:val="0"/>
          <w:bCs/>
          <w:color w:val="auto"/>
          <w:highlight w:val="none"/>
          <w:lang w:eastAsia="zh-CN"/>
        </w:rPr>
        <w:t>）</w:t>
      </w:r>
      <w:r>
        <w:rPr>
          <w:rFonts w:hint="eastAsia" w:ascii="宋体" w:hAnsi="宋体" w:eastAsia="宋体" w:cs="宋体"/>
          <w:b w:val="0"/>
          <w:bCs/>
          <w:color w:val="auto"/>
          <w:highlight w:val="none"/>
        </w:rPr>
        <w:t>保质期标注明确且物品剩余保质期不得少于标注保质期的75%；</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auto"/>
          <w:highlight w:val="none"/>
        </w:rPr>
      </w:pPr>
      <w:r>
        <w:rPr>
          <w:rFonts w:hint="eastAsia" w:ascii="宋体" w:hAnsi="宋体" w:cs="宋体"/>
          <w:b w:val="0"/>
          <w:bCs/>
          <w:color w:val="auto"/>
          <w:highlight w:val="none"/>
          <w:lang w:eastAsia="zh-CN"/>
        </w:rPr>
        <w:t>（</w:t>
      </w:r>
      <w:r>
        <w:rPr>
          <w:rFonts w:hint="eastAsia" w:ascii="宋体" w:hAnsi="宋体" w:cs="宋体"/>
          <w:b w:val="0"/>
          <w:bCs/>
          <w:color w:val="auto"/>
          <w:highlight w:val="none"/>
          <w:lang w:val="en-US" w:eastAsia="zh-CN"/>
        </w:rPr>
        <w:t>5</w:t>
      </w:r>
      <w:r>
        <w:rPr>
          <w:rFonts w:hint="eastAsia" w:ascii="宋体" w:hAnsi="宋体" w:cs="宋体"/>
          <w:b w:val="0"/>
          <w:bCs/>
          <w:color w:val="auto"/>
          <w:highlight w:val="none"/>
          <w:lang w:eastAsia="zh-CN"/>
        </w:rPr>
        <w:t>）</w:t>
      </w:r>
      <w:r>
        <w:rPr>
          <w:rFonts w:hint="eastAsia" w:ascii="宋体" w:hAnsi="宋体" w:eastAsia="宋体" w:cs="宋体"/>
          <w:b w:val="0"/>
          <w:bCs/>
          <w:color w:val="auto"/>
          <w:highlight w:val="none"/>
        </w:rPr>
        <w:t>无杂质；</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auto"/>
          <w:highlight w:val="none"/>
        </w:rPr>
      </w:pPr>
      <w:r>
        <w:rPr>
          <w:rFonts w:hint="eastAsia" w:ascii="宋体" w:hAnsi="宋体" w:cs="宋体"/>
          <w:b w:val="0"/>
          <w:bCs/>
          <w:color w:val="auto"/>
          <w:highlight w:val="none"/>
          <w:lang w:eastAsia="zh-CN"/>
        </w:rPr>
        <w:t>（</w:t>
      </w:r>
      <w:r>
        <w:rPr>
          <w:rFonts w:hint="eastAsia" w:ascii="宋体" w:hAnsi="宋体" w:cs="宋体"/>
          <w:b w:val="0"/>
          <w:bCs/>
          <w:color w:val="auto"/>
          <w:highlight w:val="none"/>
          <w:lang w:val="en-US" w:eastAsia="zh-CN"/>
        </w:rPr>
        <w:t>6</w:t>
      </w:r>
      <w:r>
        <w:rPr>
          <w:rFonts w:hint="eastAsia" w:ascii="宋体" w:hAnsi="宋体" w:cs="宋体"/>
          <w:b w:val="0"/>
          <w:bCs/>
          <w:color w:val="auto"/>
          <w:highlight w:val="none"/>
          <w:lang w:eastAsia="zh-CN"/>
        </w:rPr>
        <w:t>）</w:t>
      </w:r>
      <w:r>
        <w:rPr>
          <w:rFonts w:hint="eastAsia" w:ascii="宋体" w:hAnsi="宋体" w:eastAsia="宋体" w:cs="宋体"/>
          <w:b w:val="0"/>
          <w:bCs/>
          <w:color w:val="auto"/>
          <w:highlight w:val="none"/>
        </w:rPr>
        <w:t>无毒、无害、无注水、无辐射；</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auto"/>
          <w:highlight w:val="none"/>
        </w:rPr>
      </w:pPr>
      <w:r>
        <w:rPr>
          <w:rFonts w:hint="eastAsia" w:ascii="宋体" w:hAnsi="宋体" w:cs="宋体"/>
          <w:b w:val="0"/>
          <w:bCs/>
          <w:color w:val="auto"/>
          <w:highlight w:val="none"/>
          <w:lang w:eastAsia="zh-CN"/>
        </w:rPr>
        <w:t>（</w:t>
      </w:r>
      <w:r>
        <w:rPr>
          <w:rFonts w:hint="eastAsia" w:ascii="宋体" w:hAnsi="宋体" w:cs="宋体"/>
          <w:b w:val="0"/>
          <w:bCs/>
          <w:color w:val="auto"/>
          <w:highlight w:val="none"/>
          <w:lang w:val="en-US" w:eastAsia="zh-CN"/>
        </w:rPr>
        <w:t>7</w:t>
      </w:r>
      <w:r>
        <w:rPr>
          <w:rFonts w:hint="eastAsia" w:ascii="宋体" w:hAnsi="宋体" w:cs="宋体"/>
          <w:b w:val="0"/>
          <w:bCs/>
          <w:color w:val="auto"/>
          <w:highlight w:val="none"/>
          <w:lang w:eastAsia="zh-CN"/>
        </w:rPr>
        <w:t>）</w:t>
      </w:r>
      <w:r>
        <w:rPr>
          <w:rFonts w:hint="eastAsia" w:ascii="宋体" w:hAnsi="宋体" w:eastAsia="宋体" w:cs="宋体"/>
          <w:b w:val="0"/>
          <w:bCs/>
          <w:color w:val="auto"/>
          <w:highlight w:val="none"/>
        </w:rPr>
        <w:t>规格、数量、重量符合采购人要求。</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auto"/>
          <w:highlight w:val="none"/>
        </w:rPr>
      </w:pPr>
      <w:r>
        <w:rPr>
          <w:rFonts w:hint="eastAsia" w:ascii="宋体" w:hAnsi="宋体" w:cs="宋体"/>
          <w:b w:val="0"/>
          <w:bCs/>
          <w:color w:val="auto"/>
          <w:highlight w:val="none"/>
          <w:lang w:eastAsia="zh-CN"/>
        </w:rPr>
        <w:t>（</w:t>
      </w:r>
      <w:r>
        <w:rPr>
          <w:rFonts w:hint="eastAsia" w:ascii="宋体" w:hAnsi="宋体" w:cs="宋体"/>
          <w:b w:val="0"/>
          <w:bCs/>
          <w:color w:val="auto"/>
          <w:highlight w:val="none"/>
          <w:lang w:val="en-US" w:eastAsia="zh-CN"/>
        </w:rPr>
        <w:t>8</w:t>
      </w:r>
      <w:r>
        <w:rPr>
          <w:rFonts w:hint="eastAsia" w:ascii="宋体" w:hAnsi="宋体" w:cs="宋体"/>
          <w:b w:val="0"/>
          <w:bCs/>
          <w:color w:val="auto"/>
          <w:highlight w:val="none"/>
          <w:lang w:eastAsia="zh-CN"/>
        </w:rPr>
        <w:t>）</w:t>
      </w:r>
      <w:r>
        <w:rPr>
          <w:rFonts w:hint="eastAsia" w:ascii="宋体" w:hAnsi="宋体" w:eastAsia="宋体" w:cs="宋体"/>
          <w:b w:val="0"/>
          <w:bCs/>
          <w:color w:val="auto"/>
          <w:highlight w:val="none"/>
        </w:rPr>
        <w:t>提供的果蔬、肉类（禽畜、海鲜）、干货等食品材料，必须达到净菜标准和要求；提供的猪、牛、羊肉均为定点屠宰厂（场）经检疫和肉品品质检验合格的产品，具有由定点屠宰厂（场）加盖验讫印章并出具《畜产品检验证明》或《动物检疫合格证明》，所有产品可追溯。中标人提供的蔬菜必须保证每日新鲜，并符合食品卫生安全法要求要求并出具有效的《农产品检验报告》。采购人使用“农药测试卡”检验蔬菜农药含量，如含量超标要求中标人无条件退货或换货。</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color w:val="auto"/>
          <w:highlight w:val="none"/>
        </w:rPr>
      </w:pPr>
      <w:r>
        <w:rPr>
          <w:rFonts w:hint="eastAsia" w:ascii="宋体" w:hAnsi="宋体" w:cs="宋体"/>
          <w:b w:val="0"/>
          <w:bCs/>
          <w:color w:val="auto"/>
          <w:highlight w:val="none"/>
          <w:lang w:eastAsia="zh-CN"/>
        </w:rPr>
        <w:t>（</w:t>
      </w:r>
      <w:r>
        <w:rPr>
          <w:rFonts w:hint="eastAsia" w:ascii="宋体" w:hAnsi="宋体" w:cs="宋体"/>
          <w:b w:val="0"/>
          <w:bCs/>
          <w:color w:val="auto"/>
          <w:highlight w:val="none"/>
          <w:lang w:val="en-US" w:eastAsia="zh-CN"/>
        </w:rPr>
        <w:t>9</w:t>
      </w:r>
      <w:r>
        <w:rPr>
          <w:rFonts w:hint="eastAsia" w:ascii="宋体" w:hAnsi="宋体" w:cs="宋体"/>
          <w:b w:val="0"/>
          <w:bCs/>
          <w:color w:val="auto"/>
          <w:highlight w:val="none"/>
          <w:lang w:eastAsia="zh-CN"/>
        </w:rPr>
        <w:t>）</w:t>
      </w:r>
      <w:r>
        <w:rPr>
          <w:rFonts w:hint="eastAsia" w:ascii="宋体" w:hAnsi="宋体" w:eastAsia="宋体" w:cs="宋体"/>
          <w:b w:val="0"/>
          <w:bCs/>
          <w:color w:val="auto"/>
          <w:highlight w:val="none"/>
        </w:rPr>
        <w:t>采购人发现商品出现损坏（包括包装不完整、表面损坏），或出现串味、受潮等导致货物性质改变等情况，中标人应无条件退货或更换商品，如换货中标人应在采购人规定时间内按时、按质送达目的地。</w:t>
      </w:r>
    </w:p>
    <w:p>
      <w:pPr>
        <w:bidi w:val="0"/>
        <w:rPr>
          <w:rFonts w:hint="eastAsia"/>
          <w:color w:val="auto"/>
          <w:highlight w:val="none"/>
        </w:rPr>
      </w:pPr>
    </w:p>
    <w:p>
      <w:pPr>
        <w:pStyle w:val="6"/>
        <w:bidi w:val="0"/>
        <w:rPr>
          <w:rFonts w:hint="eastAsia" w:eastAsia="宋体"/>
          <w:color w:val="auto"/>
          <w:highlight w:val="none"/>
        </w:rPr>
      </w:pPr>
      <w:r>
        <w:rPr>
          <w:rFonts w:hint="eastAsia" w:eastAsia="宋体"/>
          <w:color w:val="auto"/>
          <w:highlight w:val="none"/>
          <w:lang w:val="en-US" w:eastAsia="zh-CN"/>
        </w:rPr>
        <w:t>三、</w:t>
      </w:r>
      <w:r>
        <w:rPr>
          <w:rFonts w:hint="eastAsia" w:eastAsia="宋体"/>
          <w:color w:val="auto"/>
          <w:highlight w:val="none"/>
        </w:rPr>
        <w:t xml:space="preserve">配送服务标准及要求 </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val="0"/>
          <w:bCs/>
          <w:color w:val="auto"/>
          <w:highlight w:val="none"/>
        </w:rPr>
      </w:pPr>
      <w:r>
        <w:rPr>
          <w:rFonts w:hint="eastAsia" w:ascii="宋体" w:hAnsi="宋体" w:cs="宋体"/>
          <w:b w:val="0"/>
          <w:bCs/>
          <w:color w:val="auto"/>
          <w:highlight w:val="none"/>
          <w:lang w:val="en-US" w:eastAsia="zh-CN"/>
        </w:rPr>
        <w:t>1、</w:t>
      </w:r>
      <w:r>
        <w:rPr>
          <w:rFonts w:hint="eastAsia" w:ascii="宋体" w:hAnsi="宋体" w:eastAsia="宋体" w:cs="宋体"/>
          <w:b w:val="0"/>
          <w:bCs/>
          <w:color w:val="auto"/>
          <w:highlight w:val="none"/>
        </w:rPr>
        <w:t>中标人</w:t>
      </w:r>
      <w:r>
        <w:rPr>
          <w:rFonts w:hint="eastAsia" w:ascii="宋体" w:hAnsi="宋体" w:eastAsia="宋体" w:cs="宋体"/>
          <w:b w:val="0"/>
          <w:bCs/>
          <w:color w:val="auto"/>
          <w:szCs w:val="21"/>
          <w:highlight w:val="none"/>
        </w:rPr>
        <w:t>应</w:t>
      </w:r>
      <w:r>
        <w:rPr>
          <w:rFonts w:hint="eastAsia" w:ascii="宋体" w:hAnsi="宋体" w:eastAsia="宋体" w:cs="宋体"/>
          <w:b w:val="0"/>
          <w:bCs/>
          <w:color w:val="auto"/>
          <w:highlight w:val="none"/>
        </w:rPr>
        <w:t>根据采购人要求提出配送服务管理方案，平时保持有采购员跟进服务，并确定配送服务达到的标准，及车辆运输达到标准要求。</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val="0"/>
          <w:bCs/>
          <w:color w:val="auto"/>
          <w:highlight w:val="none"/>
        </w:rPr>
      </w:pPr>
      <w:r>
        <w:rPr>
          <w:rFonts w:hint="eastAsia" w:ascii="宋体" w:hAnsi="宋体" w:cs="宋体"/>
          <w:b w:val="0"/>
          <w:bCs/>
          <w:color w:val="auto"/>
          <w:highlight w:val="none"/>
          <w:lang w:val="en-US" w:eastAsia="zh-CN"/>
        </w:rPr>
        <w:t>2、</w:t>
      </w:r>
      <w:r>
        <w:rPr>
          <w:rFonts w:hint="eastAsia" w:ascii="宋体" w:hAnsi="宋体" w:eastAsia="宋体" w:cs="宋体"/>
          <w:b w:val="0"/>
          <w:bCs/>
          <w:color w:val="auto"/>
          <w:highlight w:val="none"/>
        </w:rPr>
        <w:t>中标人必须遵守国家规定的《食品安全法》、《农产品质量安全法》等法律和行政法规的规定，所提供的货物必须符合国家有关卫生标准和营养要求、无毒、无害、具有良好的感官性状以及满足采购人的要求，每次送交的所有货品都要注明来源。否则，采购人有权退货，且中标人必须在2小时内予以退换补货。</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val="en-US" w:eastAsia="zh-CN"/>
        </w:rPr>
        <w:t>3、</w:t>
      </w:r>
      <w:r>
        <w:rPr>
          <w:rFonts w:hint="eastAsia" w:ascii="宋体" w:hAnsi="宋体" w:eastAsia="宋体" w:cs="宋体"/>
          <w:b w:val="0"/>
          <w:bCs/>
          <w:color w:val="auto"/>
          <w:szCs w:val="21"/>
          <w:highlight w:val="none"/>
        </w:rPr>
        <w:t>中标人在每一次送货时，要将肉菜等的卫生检验报告和货物供货清单随同交到采购人指定的负责人手中。</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val="en-US" w:eastAsia="zh-CN"/>
        </w:rPr>
        <w:t>4、</w:t>
      </w:r>
      <w:r>
        <w:rPr>
          <w:rFonts w:hint="eastAsia" w:ascii="宋体" w:hAnsi="宋体" w:eastAsia="宋体" w:cs="宋体"/>
          <w:b w:val="0"/>
          <w:bCs/>
          <w:color w:val="auto"/>
          <w:szCs w:val="21"/>
          <w:highlight w:val="none"/>
        </w:rPr>
        <w:t>每次送货，中标人应委派一名专门负责人，负责货物的运输、过秤，并协助采购人验收货品，货品的品种和重量以采购人验收的结果为准。</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val="en-US" w:eastAsia="zh-CN"/>
        </w:rPr>
        <w:t>5、</w:t>
      </w:r>
      <w:r>
        <w:rPr>
          <w:rFonts w:hint="eastAsia" w:ascii="宋体" w:hAnsi="宋体" w:eastAsia="宋体" w:cs="宋体"/>
          <w:b w:val="0"/>
          <w:bCs/>
          <w:color w:val="auto"/>
          <w:szCs w:val="21"/>
          <w:highlight w:val="none"/>
        </w:rPr>
        <w:t>中标人应在投标文件中列明货物详细清单并详细列明拟供货品的品牌、规格、供货价等。</w:t>
      </w:r>
    </w:p>
    <w:p>
      <w:pPr>
        <w:bidi w:val="0"/>
        <w:rPr>
          <w:rFonts w:hint="eastAsia"/>
          <w:color w:val="auto"/>
          <w:highlight w:val="none"/>
        </w:rPr>
      </w:pPr>
    </w:p>
    <w:p>
      <w:pPr>
        <w:pStyle w:val="6"/>
        <w:bidi w:val="0"/>
        <w:rPr>
          <w:rFonts w:hint="eastAsia" w:eastAsia="宋体"/>
          <w:color w:val="auto"/>
          <w:highlight w:val="none"/>
        </w:rPr>
      </w:pPr>
      <w:r>
        <w:rPr>
          <w:rFonts w:hint="eastAsia" w:eastAsia="宋体"/>
          <w:color w:val="auto"/>
          <w:highlight w:val="none"/>
          <w:lang w:val="en-US" w:eastAsia="zh-CN"/>
        </w:rPr>
        <w:t>四、</w:t>
      </w:r>
      <w:r>
        <w:rPr>
          <w:rFonts w:hint="eastAsia" w:eastAsia="宋体"/>
          <w:color w:val="auto"/>
          <w:highlight w:val="none"/>
        </w:rPr>
        <w:t>配送特殊事项</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val="en-US" w:eastAsia="zh-CN"/>
        </w:rPr>
        <w:t>1、</w:t>
      </w:r>
      <w:r>
        <w:rPr>
          <w:rFonts w:hint="eastAsia" w:ascii="宋体" w:hAnsi="宋体" w:eastAsia="宋体" w:cs="宋体"/>
          <w:b w:val="0"/>
          <w:bCs/>
          <w:color w:val="auto"/>
          <w:szCs w:val="21"/>
          <w:highlight w:val="none"/>
        </w:rPr>
        <w:t>如采购人因特殊需求，需临时配送餐饮材料，中标人必须在规定时间3小时内送达；对小量常用品的临时需求、对不合格产品，需及时更换，2小时内送到。如遇客观不可抗因素造成配送延误时，中标人应提前通知采购人，并配合采购人共同解决。除发生客观不可抗力的情况外，中标人不得推迟送货。如确需延迟送货，中标人应在得知情况的同时告知采购人并征得采购人同意，若由于中标人拖沓造成采购人利益受损的情况，采购人有权要求中标人赔偿。</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val="0"/>
          <w:bCs/>
          <w:color w:val="auto"/>
          <w:highlight w:val="none"/>
        </w:rPr>
      </w:pPr>
      <w:r>
        <w:rPr>
          <w:rFonts w:hint="eastAsia" w:ascii="宋体" w:hAnsi="宋体" w:cs="宋体"/>
          <w:b w:val="0"/>
          <w:bCs/>
          <w:color w:val="auto"/>
          <w:szCs w:val="21"/>
          <w:highlight w:val="none"/>
          <w:lang w:val="en-US" w:eastAsia="zh-CN"/>
        </w:rPr>
        <w:t>2、</w:t>
      </w:r>
      <w:r>
        <w:rPr>
          <w:rFonts w:hint="eastAsia" w:ascii="宋体" w:hAnsi="宋体" w:eastAsia="宋体" w:cs="宋体"/>
          <w:b w:val="0"/>
          <w:bCs/>
          <w:color w:val="auto"/>
          <w:szCs w:val="21"/>
          <w:highlight w:val="none"/>
        </w:rPr>
        <w:t>中标人提供配送食品必须符合《中华人民共和国食品安全法》的要求，严格执行各项食品安全检验，</w:t>
      </w:r>
      <w:r>
        <w:rPr>
          <w:rFonts w:hint="eastAsia" w:ascii="宋体" w:hAnsi="宋体" w:eastAsia="宋体" w:cs="宋体"/>
          <w:b w:val="0"/>
          <w:bCs/>
          <w:color w:val="auto"/>
          <w:highlight w:val="none"/>
        </w:rPr>
        <w:t>中标人若提供假冒伪劣、过期、变质的、有毒的食品，一经发现，按采购人要求无条件退货或换货，若因提供变质、有毒的食品造成食品安全事故，经有关部门鉴定后，如确实为中标人提供的食品问题，中标人负担全数的医药费用，且采购人将取消该中标人的供货资格，中标人同时承担相应的民事及刑事法律责任及放弃先诉抗辩权。</w:t>
      </w:r>
    </w:p>
    <w:p>
      <w:pPr>
        <w:bidi w:val="0"/>
        <w:rPr>
          <w:rFonts w:hint="eastAsia"/>
          <w:color w:val="auto"/>
          <w:highlight w:val="none"/>
        </w:rPr>
      </w:pPr>
    </w:p>
    <w:p>
      <w:pPr>
        <w:pStyle w:val="6"/>
        <w:bidi w:val="0"/>
        <w:rPr>
          <w:rFonts w:hint="eastAsia" w:eastAsia="宋体"/>
          <w:color w:val="auto"/>
          <w:highlight w:val="none"/>
        </w:rPr>
      </w:pPr>
      <w:bookmarkStart w:id="10" w:name="_Toc179887080"/>
      <w:bookmarkStart w:id="11" w:name="_Toc188440062"/>
      <w:bookmarkStart w:id="12" w:name="_Toc179699996"/>
      <w:bookmarkStart w:id="13" w:name="_Toc298414136"/>
      <w:r>
        <w:rPr>
          <w:rFonts w:hint="eastAsia" w:eastAsia="宋体"/>
          <w:color w:val="auto"/>
          <w:highlight w:val="none"/>
          <w:lang w:val="en-US" w:eastAsia="zh-CN"/>
        </w:rPr>
        <w:t>五、</w:t>
      </w:r>
      <w:r>
        <w:rPr>
          <w:rFonts w:hint="eastAsia" w:eastAsia="宋体"/>
          <w:color w:val="auto"/>
          <w:highlight w:val="none"/>
        </w:rPr>
        <w:t>到货要求</w:t>
      </w:r>
      <w:bookmarkEnd w:id="10"/>
      <w:bookmarkEnd w:id="11"/>
      <w:bookmarkEnd w:id="12"/>
      <w:bookmarkEnd w:id="13"/>
    </w:p>
    <w:p>
      <w:pPr>
        <w:keepNext w:val="0"/>
        <w:keepLines w:val="0"/>
        <w:pageBreakBefore w:val="0"/>
        <w:widowControl/>
        <w:numPr>
          <w:ilvl w:val="0"/>
          <w:numId w:val="0"/>
        </w:numPr>
        <w:tabs>
          <w:tab w:val="left" w:pos="426"/>
          <w:tab w:val="left" w:pos="709"/>
        </w:tabs>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val="0"/>
          <w:bCs/>
          <w:color w:val="auto"/>
          <w:highlight w:val="none"/>
        </w:rPr>
      </w:pPr>
      <w:bookmarkStart w:id="14" w:name="_Toc188440063"/>
      <w:bookmarkStart w:id="15" w:name="_Toc231642047"/>
      <w:bookmarkStart w:id="16" w:name="_Toc231641775"/>
      <w:r>
        <w:rPr>
          <w:rFonts w:hint="eastAsia" w:ascii="宋体" w:hAnsi="宋体" w:cs="宋体"/>
          <w:b w:val="0"/>
          <w:bCs/>
          <w:color w:val="auto"/>
          <w:highlight w:val="none"/>
          <w:lang w:val="en-US" w:eastAsia="zh-CN"/>
        </w:rPr>
        <w:t>1、</w:t>
      </w:r>
      <w:r>
        <w:rPr>
          <w:rFonts w:hint="eastAsia" w:ascii="宋体" w:hAnsi="宋体" w:eastAsia="宋体" w:cs="宋体"/>
          <w:b w:val="0"/>
          <w:bCs/>
          <w:color w:val="auto"/>
          <w:highlight w:val="none"/>
        </w:rPr>
        <w:t>配送时间要求</w:t>
      </w:r>
      <w:bookmarkEnd w:id="14"/>
      <w:bookmarkEnd w:id="15"/>
      <w:bookmarkEnd w:id="16"/>
    </w:p>
    <w:p>
      <w:pPr>
        <w:keepNext w:val="0"/>
        <w:keepLines w:val="0"/>
        <w:pageBreakBefore w:val="0"/>
        <w:widowControl/>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采购人每天以电话、传真、订货单等方式向中标人提出第二天（特殊情况除外）需配送物品，订单上应注明品名、数量、规格、时间、质量标准和特殊要求等，中标人须按照采购人订货单要求按时保质保量，送货至指定地点。</w:t>
      </w:r>
    </w:p>
    <w:p>
      <w:pPr>
        <w:keepNext w:val="0"/>
        <w:keepLines w:val="0"/>
        <w:pageBreakBefore w:val="0"/>
        <w:widowControl/>
        <w:numPr>
          <w:ilvl w:val="0"/>
          <w:numId w:val="0"/>
        </w:numPr>
        <w:tabs>
          <w:tab w:val="left" w:pos="426"/>
          <w:tab w:val="left" w:pos="709"/>
        </w:tabs>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val="0"/>
          <w:bCs/>
          <w:color w:val="auto"/>
          <w:highlight w:val="none"/>
        </w:rPr>
      </w:pPr>
      <w:r>
        <w:rPr>
          <w:rFonts w:hint="eastAsia" w:ascii="宋体" w:hAnsi="宋体" w:cs="宋体"/>
          <w:b w:val="0"/>
          <w:bCs/>
          <w:color w:val="auto"/>
          <w:highlight w:val="none"/>
          <w:lang w:val="en-US" w:eastAsia="zh-CN"/>
        </w:rPr>
        <w:t>2、</w:t>
      </w:r>
      <w:r>
        <w:rPr>
          <w:rFonts w:hint="eastAsia" w:ascii="宋体" w:hAnsi="宋体" w:eastAsia="宋体" w:cs="宋体"/>
          <w:b w:val="0"/>
          <w:bCs/>
          <w:color w:val="auto"/>
          <w:highlight w:val="none"/>
        </w:rPr>
        <w:t>货源组织</w:t>
      </w:r>
    </w:p>
    <w:p>
      <w:pPr>
        <w:keepNext w:val="0"/>
        <w:keepLines w:val="0"/>
        <w:pageBreakBefore w:val="0"/>
        <w:widowControl/>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 xml:space="preserve">   </w:t>
      </w:r>
      <w:r>
        <w:rPr>
          <w:rFonts w:hint="eastAsia" w:ascii="宋体" w:hAnsi="宋体" w:cs="宋体"/>
          <w:b w:val="0"/>
          <w:bCs/>
          <w:color w:val="auto"/>
          <w:highlight w:val="none"/>
          <w:lang w:val="en-US" w:eastAsia="zh-CN"/>
        </w:rPr>
        <w:t xml:space="preserve"> </w:t>
      </w:r>
      <w:r>
        <w:rPr>
          <w:rFonts w:hint="eastAsia" w:ascii="宋体" w:hAnsi="宋体" w:eastAsia="宋体" w:cs="宋体"/>
          <w:b w:val="0"/>
          <w:bCs/>
          <w:color w:val="auto"/>
          <w:highlight w:val="none"/>
        </w:rPr>
        <w:t>中标人应根据采购人的采购计划组织货源，如因市场流通问题等特殊情况，确实需要变更供货内容，中标人应在得知情况同时告知采购人并征得同意后方可实施，若中标人存在私自更改供货清单中的货品以及数量等情况，采购人有权拒收，且由此产生的一切损失和费用由中标人承担。</w:t>
      </w:r>
    </w:p>
    <w:p>
      <w:pPr>
        <w:keepNext w:val="0"/>
        <w:keepLines w:val="0"/>
        <w:pageBreakBefore w:val="0"/>
        <w:widowControl/>
        <w:numPr>
          <w:ilvl w:val="0"/>
          <w:numId w:val="0"/>
        </w:numPr>
        <w:tabs>
          <w:tab w:val="left" w:pos="426"/>
          <w:tab w:val="left" w:pos="709"/>
        </w:tabs>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val="0"/>
          <w:bCs/>
          <w:color w:val="auto"/>
          <w:highlight w:val="none"/>
        </w:rPr>
      </w:pPr>
      <w:r>
        <w:rPr>
          <w:rFonts w:hint="eastAsia" w:ascii="宋体" w:hAnsi="宋体" w:cs="宋体"/>
          <w:b w:val="0"/>
          <w:bCs/>
          <w:color w:val="auto"/>
          <w:highlight w:val="none"/>
          <w:lang w:val="en-US" w:eastAsia="zh-CN"/>
        </w:rPr>
        <w:t>3、</w:t>
      </w:r>
      <w:r>
        <w:rPr>
          <w:rFonts w:hint="eastAsia" w:ascii="宋体" w:hAnsi="宋体" w:eastAsia="宋体" w:cs="宋体"/>
          <w:b w:val="0"/>
          <w:bCs/>
          <w:color w:val="auto"/>
          <w:highlight w:val="none"/>
        </w:rPr>
        <w:t>货物验收</w:t>
      </w:r>
    </w:p>
    <w:p>
      <w:pPr>
        <w:keepNext w:val="0"/>
        <w:keepLines w:val="0"/>
        <w:pageBreakBefore w:val="0"/>
        <w:widowControl/>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 xml:space="preserve">    采购人对中标人提供的货物进行现场验收，若发现数量不足、质量等级不符合要求，采购人有权责令中标人退货、换货；未经采购人同意采购的计划外货物，采购人有权拒收。</w:t>
      </w:r>
    </w:p>
    <w:p>
      <w:pPr>
        <w:keepNext w:val="0"/>
        <w:keepLines w:val="0"/>
        <w:pageBreakBefore w:val="0"/>
        <w:widowControl/>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highlight w:val="none"/>
        </w:rPr>
        <w:t>（1）</w:t>
      </w:r>
      <w:r>
        <w:rPr>
          <w:rFonts w:hint="eastAsia" w:ascii="宋体" w:hAnsi="宋体" w:eastAsia="宋体" w:cs="宋体"/>
          <w:b w:val="0"/>
          <w:bCs/>
          <w:color w:val="auto"/>
          <w:szCs w:val="21"/>
          <w:highlight w:val="none"/>
        </w:rPr>
        <w:t xml:space="preserve">检验流程 </w:t>
      </w:r>
    </w:p>
    <w:p>
      <w:pPr>
        <w:keepNext w:val="0"/>
        <w:keepLines w:val="0"/>
        <w:pageBreakBefore w:val="0"/>
        <w:widowControl/>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    1.要作好卸货前的检查。验收人员卸货前应对场地和验收设备做好准备，并对商品的外观质量进行初步了解。</w:t>
      </w:r>
    </w:p>
    <w:p>
      <w:pPr>
        <w:keepNext w:val="0"/>
        <w:keepLines w:val="0"/>
        <w:pageBreakBefore w:val="0"/>
        <w:widowControl/>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    2.应采取当场验收的方式，验收人须认真检验食品的质量要求，按索证→过磅→入库的程序完成验收；须进行抽查验收，抽查样本数视实际情况而定，一般不超过5%。 </w:t>
      </w:r>
    </w:p>
    <w:p>
      <w:pPr>
        <w:keepNext w:val="0"/>
        <w:keepLines w:val="0"/>
        <w:pageBreakBefore w:val="0"/>
        <w:widowControl/>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（2）退（补）货流程 </w:t>
      </w:r>
    </w:p>
    <w:p>
      <w:pPr>
        <w:keepNext w:val="0"/>
        <w:keepLines w:val="0"/>
        <w:pageBreakBefore w:val="0"/>
        <w:widowControl/>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对不符合采购要求的食品由验收人员提出清退，退货前应实行留板备案，如双方对质量争议可送国家质监部门检测。对缺斤短两（或含水量超标）的应按实际重量扣减。在退货过程中，对有碍公共卫生安全的蔬菜，应按国家有关规定处理或进行协议销毁，而不是退货给供应商。 </w:t>
      </w:r>
    </w:p>
    <w:p>
      <w:pPr>
        <w:keepNext w:val="0"/>
        <w:keepLines w:val="0"/>
        <w:pageBreakBefore w:val="0"/>
        <w:widowControl/>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（3）验收记录 </w:t>
      </w:r>
    </w:p>
    <w:p>
      <w:pPr>
        <w:keepNext w:val="0"/>
        <w:keepLines w:val="0"/>
        <w:pageBreakBefore w:val="0"/>
        <w:widowControl/>
        <w:kinsoku/>
        <w:wordWrap/>
        <w:overflowPunct/>
        <w:topLinePunct w:val="0"/>
        <w:autoSpaceDE/>
        <w:autoSpaceDN/>
        <w:bidi w:val="0"/>
        <w:adjustRightInd w:val="0"/>
        <w:snapToGrid w:val="0"/>
        <w:spacing w:line="360" w:lineRule="auto"/>
        <w:ind w:left="0" w:firstLine="420" w:firstLineChars="0"/>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每次采购的食品都要登记记录，注明名称、数量等事项并在采购登记记录上签明意见和验收人的名字及日期。</w:t>
      </w:r>
    </w:p>
    <w:p>
      <w:pPr>
        <w:bidi w:val="0"/>
        <w:rPr>
          <w:rFonts w:hint="eastAsia"/>
          <w:color w:val="auto"/>
          <w:highlight w:val="none"/>
        </w:rPr>
      </w:pPr>
      <w:r>
        <w:rPr>
          <w:rFonts w:hint="eastAsia"/>
          <w:color w:val="auto"/>
          <w:highlight w:val="none"/>
        </w:rPr>
        <w:t xml:space="preserve"> </w:t>
      </w:r>
    </w:p>
    <w:p>
      <w:pPr>
        <w:pStyle w:val="6"/>
        <w:bidi w:val="0"/>
        <w:rPr>
          <w:rFonts w:hint="eastAsia" w:eastAsia="宋体"/>
          <w:color w:val="auto"/>
          <w:highlight w:val="none"/>
        </w:rPr>
      </w:pPr>
      <w:bookmarkStart w:id="17" w:name="_Toc298414137"/>
      <w:bookmarkStart w:id="18" w:name="_Toc231641776"/>
      <w:bookmarkStart w:id="19" w:name="_Toc188440064"/>
      <w:bookmarkStart w:id="20" w:name="_Toc179887081"/>
      <w:r>
        <w:rPr>
          <w:rFonts w:hint="eastAsia" w:eastAsia="宋体"/>
          <w:color w:val="auto"/>
          <w:highlight w:val="none"/>
          <w:lang w:val="en-US" w:eastAsia="zh-CN"/>
        </w:rPr>
        <w:t>六、</w:t>
      </w:r>
      <w:r>
        <w:rPr>
          <w:rFonts w:hint="eastAsia" w:eastAsia="宋体"/>
          <w:color w:val="auto"/>
          <w:highlight w:val="none"/>
        </w:rPr>
        <w:t>报价要求</w:t>
      </w:r>
      <w:bookmarkEnd w:id="17"/>
      <w:bookmarkEnd w:id="18"/>
      <w:bookmarkEnd w:id="19"/>
      <w:bookmarkEnd w:id="20"/>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★本项目</w:t>
      </w:r>
      <w:r>
        <w:rPr>
          <w:rFonts w:hint="eastAsia" w:ascii="宋体" w:hAnsi="宋体" w:cs="宋体"/>
          <w:b w:val="0"/>
          <w:bCs/>
          <w:color w:val="auto"/>
          <w:szCs w:val="21"/>
          <w:highlight w:val="none"/>
          <w:lang w:val="en-US" w:eastAsia="zh-CN"/>
        </w:rPr>
        <w:t>采用</w:t>
      </w:r>
      <w:r>
        <w:rPr>
          <w:rFonts w:hint="eastAsia" w:ascii="宋体" w:hAnsi="宋体" w:eastAsia="宋体" w:cs="宋体"/>
          <w:b w:val="0"/>
          <w:bCs/>
          <w:color w:val="auto"/>
          <w:szCs w:val="21"/>
          <w:highlight w:val="none"/>
        </w:rPr>
        <w:t>下浮率</w:t>
      </w:r>
      <w:r>
        <w:rPr>
          <w:rFonts w:hint="eastAsia" w:ascii="宋体" w:hAnsi="宋体" w:cs="宋体"/>
          <w:b w:val="0"/>
          <w:bCs/>
          <w:color w:val="auto"/>
          <w:szCs w:val="21"/>
          <w:highlight w:val="none"/>
          <w:lang w:val="en-US" w:eastAsia="zh-CN"/>
        </w:rPr>
        <w:t>报价</w:t>
      </w:r>
      <w:r>
        <w:rPr>
          <w:rFonts w:hint="eastAsia" w:ascii="宋体" w:hAnsi="宋体" w:eastAsia="宋体" w:cs="宋体"/>
          <w:b w:val="0"/>
          <w:bCs/>
          <w:color w:val="auto"/>
          <w:szCs w:val="21"/>
          <w:highlight w:val="none"/>
        </w:rPr>
        <w:t>，结算时统一采用以下方式计算费用：供货单价=（1-中标下浮率）*基准价。</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基准价：原则上以东莞物价专栏(http://jgxx.dgdp.dg.gov.cn/)中《广东省城市居民食品零售价格监测表》（东莞市菜篮子价格监测日报表）最新公布本期价格作为基准价；若东莞物价专栏无采购人所需的相同品种，则采购人将15天对邻近市场的市场零售价（精品零售价）进行抽样调查，对比相同品种的市场平均价格（则基准价=市场平均价=3个市场抽样价格之和÷3）。</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 xml:space="preserve">采购人、中标人双方每15天进行一次协商定价，中标人在每周四前将下周的报价以书面的形式报给采购人，采购人、中标人双方协商，一经定价后双方不得以任何理由加价或减价，由于市场因素单价上涨或下浮超过百分二十双方可以协商解决。 </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各类食品的单价以不得高于市场同等级同规格的市场零售价。</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具体采购金额、数量以采购人实际需求为准。</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val="0"/>
          <w:bCs/>
          <w:color w:val="auto"/>
          <w:highlight w:val="none"/>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本项目须预留金额用于扶贫农副产品购置。</w:t>
      </w:r>
    </w:p>
    <w:p>
      <w:pPr>
        <w:bidi w:val="0"/>
        <w:rPr>
          <w:rFonts w:hint="eastAsia"/>
          <w:color w:val="auto"/>
          <w:highlight w:val="none"/>
        </w:rPr>
      </w:pPr>
    </w:p>
    <w:p>
      <w:pPr>
        <w:pStyle w:val="6"/>
        <w:bidi w:val="0"/>
        <w:rPr>
          <w:rFonts w:hint="eastAsia" w:eastAsia="宋体"/>
          <w:color w:val="auto"/>
          <w:highlight w:val="none"/>
        </w:rPr>
      </w:pPr>
      <w:bookmarkStart w:id="21" w:name="_Toc231641777"/>
      <w:bookmarkStart w:id="22" w:name="_Toc179887082"/>
      <w:bookmarkStart w:id="23" w:name="_Toc81369080"/>
      <w:bookmarkStart w:id="24" w:name="_Toc298414138"/>
      <w:bookmarkStart w:id="25" w:name="_Toc188440065"/>
      <w:r>
        <w:rPr>
          <w:rFonts w:hint="eastAsia" w:eastAsia="宋体"/>
          <w:color w:val="auto"/>
          <w:highlight w:val="none"/>
          <w:lang w:val="en-US" w:eastAsia="zh-CN"/>
        </w:rPr>
        <w:t>七、</w:t>
      </w:r>
      <w:r>
        <w:rPr>
          <w:rFonts w:hint="eastAsia" w:eastAsia="宋体"/>
          <w:color w:val="auto"/>
          <w:highlight w:val="none"/>
        </w:rPr>
        <w:t>服务期</w:t>
      </w:r>
    </w:p>
    <w:p>
      <w:pPr>
        <w:keepNext w:val="0"/>
        <w:keepLines w:val="0"/>
        <w:pageBreakBefore w:val="0"/>
        <w:widowControl/>
        <w:tabs>
          <w:tab w:val="left" w:pos="426"/>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lang w:eastAsia="zh-CN"/>
        </w:rPr>
        <w:t>一</w:t>
      </w:r>
      <w:r>
        <w:rPr>
          <w:rFonts w:hint="eastAsia" w:ascii="宋体" w:hAnsi="宋体" w:eastAsia="宋体" w:cs="宋体"/>
          <w:b w:val="0"/>
          <w:bCs/>
          <w:color w:val="auto"/>
          <w:highlight w:val="none"/>
        </w:rPr>
        <w:t>年</w:t>
      </w:r>
      <w:r>
        <w:rPr>
          <w:rFonts w:hint="eastAsia" w:ascii="宋体" w:hAnsi="宋体" w:cs="宋体"/>
          <w:b w:val="0"/>
          <w:bCs/>
          <w:color w:val="auto"/>
          <w:highlight w:val="none"/>
          <w:lang w:eastAsia="zh-CN"/>
        </w:rPr>
        <w:t>。</w:t>
      </w:r>
      <w:r>
        <w:rPr>
          <w:rFonts w:hint="eastAsia" w:ascii="宋体" w:hAnsi="宋体" w:eastAsia="宋体" w:cs="宋体"/>
          <w:b w:val="0"/>
          <w:bCs/>
          <w:color w:val="auto"/>
          <w:highlight w:val="none"/>
        </w:rPr>
        <w:t>(具体起止时间</w:t>
      </w:r>
      <w:r>
        <w:rPr>
          <w:rFonts w:hint="eastAsia" w:ascii="宋体" w:hAnsi="宋体" w:cs="宋体"/>
          <w:b w:val="0"/>
          <w:bCs/>
          <w:color w:val="auto"/>
          <w:highlight w:val="none"/>
          <w:lang w:val="en-US" w:eastAsia="zh-CN"/>
        </w:rPr>
        <w:t>以合同签订时间为准</w:t>
      </w:r>
      <w:r>
        <w:rPr>
          <w:rFonts w:hint="eastAsia" w:ascii="宋体" w:hAnsi="宋体" w:eastAsia="宋体" w:cs="宋体"/>
          <w:b w:val="0"/>
          <w:bCs/>
          <w:color w:val="auto"/>
          <w:highlight w:val="none"/>
        </w:rPr>
        <w:t>)。</w:t>
      </w:r>
    </w:p>
    <w:p>
      <w:pPr>
        <w:bidi w:val="0"/>
        <w:rPr>
          <w:rFonts w:hint="eastAsia"/>
          <w:color w:val="auto"/>
          <w:highlight w:val="none"/>
        </w:rPr>
      </w:pPr>
    </w:p>
    <w:p>
      <w:pPr>
        <w:pStyle w:val="6"/>
        <w:bidi w:val="0"/>
        <w:rPr>
          <w:rFonts w:hint="eastAsia" w:eastAsia="宋体"/>
          <w:color w:val="auto"/>
          <w:highlight w:val="none"/>
        </w:rPr>
      </w:pPr>
      <w:r>
        <w:rPr>
          <w:rFonts w:hint="eastAsia" w:eastAsia="宋体"/>
          <w:color w:val="auto"/>
          <w:highlight w:val="none"/>
          <w:lang w:val="en-US" w:eastAsia="zh-CN"/>
        </w:rPr>
        <w:t>八、</w:t>
      </w:r>
      <w:r>
        <w:rPr>
          <w:rFonts w:hint="eastAsia" w:eastAsia="宋体"/>
          <w:color w:val="auto"/>
          <w:highlight w:val="none"/>
        </w:rPr>
        <w:t>付款方式</w:t>
      </w:r>
      <w:bookmarkEnd w:id="21"/>
      <w:bookmarkEnd w:id="22"/>
      <w:bookmarkEnd w:id="23"/>
      <w:bookmarkEnd w:id="24"/>
      <w:bookmarkEnd w:id="25"/>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货款按月进行结算，中标人每月15号前根据上月的收货凭证与采购人对上月货款进行确认，并向采购人开具相应数额的含税发票。采购人收到中标人的有效发票后，根据有关结算规定，以转账付款方式结算。</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val="0"/>
          <w:bCs/>
          <w:color w:val="auto"/>
          <w:highlight w:val="none"/>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收款方、发票的销售方、合同乙方均必须与中标人名称一致。</w:t>
      </w:r>
    </w:p>
    <w:p>
      <w:pPr>
        <w:keepNext w:val="0"/>
        <w:keepLines w:val="0"/>
        <w:pageBreakBefore w:val="0"/>
        <w:widowControl/>
        <w:numPr>
          <w:ilvl w:val="0"/>
          <w:numId w:val="0"/>
        </w:numPr>
        <w:tabs>
          <w:tab w:val="left" w:pos="426"/>
        </w:tabs>
        <w:kinsoku/>
        <w:wordWrap/>
        <w:overflowPunct/>
        <w:topLinePunct w:val="0"/>
        <w:autoSpaceDE/>
        <w:autoSpaceDN/>
        <w:bidi w:val="0"/>
        <w:adjustRightInd w:val="0"/>
        <w:snapToGrid w:val="0"/>
        <w:spacing w:line="360" w:lineRule="auto"/>
        <w:ind w:leftChars="0" w:firstLine="420" w:firstLineChars="200"/>
        <w:textAlignment w:val="auto"/>
        <w:rPr>
          <w:rFonts w:hint="eastAsia" w:ascii="宋体" w:hAnsi="宋体" w:eastAsia="宋体" w:cs="宋体"/>
          <w:b w:val="0"/>
          <w:bCs/>
          <w:color w:val="auto"/>
          <w:szCs w:val="21"/>
          <w:highlight w:val="none"/>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lang w:eastAsia="zh-CN"/>
        </w:rPr>
        <w:t>）</w:t>
      </w:r>
      <w:r>
        <w:rPr>
          <w:rFonts w:hint="eastAsia" w:ascii="宋体" w:hAnsi="宋体" w:eastAsia="宋体" w:cs="宋体"/>
          <w:b w:val="0"/>
          <w:bCs/>
          <w:color w:val="auto"/>
          <w:szCs w:val="21"/>
          <w:highlight w:val="none"/>
        </w:rPr>
        <w:t>因特殊原因需要提早或延迟结算的，经采购人和中标人双方协商一致后执行。</w:t>
      </w:r>
    </w:p>
    <w:p>
      <w:pPr>
        <w:bidi w:val="0"/>
        <w:rPr>
          <w:color w:val="auto"/>
          <w:highlight w:val="none"/>
        </w:rPr>
      </w:pPr>
    </w:p>
    <w:p>
      <w:pPr>
        <w:spacing w:after="0" w:line="360" w:lineRule="auto"/>
        <w:ind w:firstLine="422" w:firstLineChars="200"/>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注：不满足招标文件中 “★”条款的投标文件将作无效投标处理。</w:t>
      </w:r>
      <w:bookmarkEnd w:id="6"/>
      <w:bookmarkEnd w:id="7"/>
      <w:bookmarkEnd w:id="8"/>
      <w:bookmarkEnd w:id="9"/>
    </w:p>
    <w:p>
      <w:pPr>
        <w:pStyle w:val="4"/>
        <w:spacing w:before="0" w:after="0" w:line="240" w:lineRule="auto"/>
        <w:rPr>
          <w:color w:val="auto"/>
          <w:sz w:val="24"/>
          <w:szCs w:val="24"/>
          <w:highlight w:val="none"/>
        </w:rPr>
      </w:pPr>
      <w:r>
        <w:rPr>
          <w:rFonts w:hint="eastAsia"/>
          <w:color w:val="auto"/>
          <w:sz w:val="24"/>
          <w:szCs w:val="24"/>
          <w:highlight w:val="none"/>
        </w:rPr>
        <w:br w:type="page"/>
      </w:r>
      <w:bookmarkStart w:id="26" w:name="_Toc2479"/>
      <w:r>
        <w:rPr>
          <w:rFonts w:hint="eastAsia"/>
          <w:color w:val="auto"/>
          <w:sz w:val="28"/>
          <w:szCs w:val="28"/>
          <w:highlight w:val="none"/>
        </w:rPr>
        <w:t>第四部分 投标人须知</w:t>
      </w:r>
      <w:bookmarkEnd w:id="26"/>
    </w:p>
    <w:p>
      <w:pPr>
        <w:pStyle w:val="5"/>
        <w:numPr>
          <w:ilvl w:val="0"/>
          <w:numId w:val="2"/>
        </w:numPr>
        <w:spacing w:before="0" w:after="0" w:line="480" w:lineRule="auto"/>
        <w:jc w:val="center"/>
        <w:rPr>
          <w:rFonts w:ascii="宋体" w:hAnsi="宋体" w:eastAsia="宋体"/>
          <w:color w:val="auto"/>
          <w:highlight w:val="none"/>
        </w:rPr>
      </w:pPr>
      <w:bookmarkStart w:id="27" w:name="_Toc19746"/>
      <w:r>
        <w:rPr>
          <w:rFonts w:hint="eastAsia" w:ascii="宋体" w:hAnsi="宋体" w:eastAsia="宋体"/>
          <w:color w:val="auto"/>
          <w:highlight w:val="none"/>
        </w:rPr>
        <w:t>说明</w:t>
      </w:r>
      <w:bookmarkEnd w:id="27"/>
    </w:p>
    <w:p>
      <w:pPr>
        <w:pStyle w:val="6"/>
        <w:widowControl w:val="0"/>
        <w:overflowPunct w:val="0"/>
        <w:spacing w:before="0" w:after="0" w:line="240" w:lineRule="auto"/>
        <w:rPr>
          <w:rFonts w:ascii="宋体" w:hAnsi="宋体" w:eastAsia="宋体"/>
          <w:color w:val="auto"/>
          <w:sz w:val="21"/>
          <w:szCs w:val="21"/>
          <w:highlight w:val="none"/>
        </w:rPr>
      </w:pPr>
      <w:bookmarkStart w:id="28" w:name="_Toc18488"/>
      <w:r>
        <w:rPr>
          <w:rFonts w:hint="eastAsia" w:ascii="宋体" w:hAnsi="宋体" w:eastAsia="宋体"/>
          <w:color w:val="auto"/>
          <w:sz w:val="21"/>
          <w:szCs w:val="21"/>
          <w:highlight w:val="none"/>
        </w:rPr>
        <w:t>1.适用范围</w:t>
      </w:r>
      <w:bookmarkEnd w:id="28"/>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9" w:name="_Toc13400"/>
      <w:r>
        <w:rPr>
          <w:rFonts w:hint="eastAsia" w:ascii="宋体" w:hAnsi="宋体" w:eastAsia="宋体"/>
          <w:color w:val="auto"/>
          <w:sz w:val="21"/>
          <w:szCs w:val="21"/>
          <w:highlight w:val="none"/>
        </w:rPr>
        <w:t>2.</w:t>
      </w:r>
      <w:bookmarkStart w:id="30" w:name="_Toc382049092"/>
      <w:bookmarkStart w:id="31" w:name="_Toc1530"/>
      <w:bookmarkStart w:id="32" w:name="_Toc298847174"/>
      <w:bookmarkStart w:id="33" w:name="_Toc303084246"/>
      <w:r>
        <w:rPr>
          <w:rFonts w:hint="eastAsia" w:ascii="宋体" w:hAnsi="宋体" w:eastAsia="宋体"/>
          <w:color w:val="auto"/>
          <w:sz w:val="21"/>
          <w:szCs w:val="21"/>
          <w:highlight w:val="none"/>
        </w:rPr>
        <w:t>定义</w:t>
      </w:r>
      <w:bookmarkEnd w:id="29"/>
      <w:bookmarkEnd w:id="30"/>
      <w:bookmarkEnd w:id="31"/>
      <w:bookmarkEnd w:id="32"/>
      <w:bookmarkEnd w:id="33"/>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34" w:name="_Toc3780"/>
      <w:r>
        <w:rPr>
          <w:rFonts w:hint="eastAsia" w:ascii="宋体" w:hAnsi="宋体" w:eastAsia="宋体"/>
          <w:color w:val="auto"/>
          <w:sz w:val="21"/>
          <w:szCs w:val="21"/>
          <w:highlight w:val="none"/>
        </w:rPr>
        <w:t>3.货物和服务</w:t>
      </w:r>
      <w:bookmarkEnd w:id="34"/>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除货物和工程以外的其他政府采购对象</w:t>
      </w:r>
      <w:r>
        <w:rPr>
          <w:rFonts w:hint="eastAsia" w:ascii="宋体" w:hAnsi="宋体" w:eastAsia="宋体"/>
          <w:color w:val="auto"/>
          <w:sz w:val="21"/>
          <w:szCs w:val="21"/>
          <w:highlight w:val="none"/>
        </w:rPr>
        <w:t>。</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35" w:name="_Toc15945"/>
      <w:r>
        <w:rPr>
          <w:rFonts w:hint="eastAsia" w:ascii="宋体" w:hAnsi="宋体" w:eastAsia="宋体"/>
          <w:color w:val="auto"/>
          <w:sz w:val="21"/>
          <w:szCs w:val="21"/>
          <w:highlight w:val="none"/>
        </w:rPr>
        <w:t>4.投标费用</w:t>
      </w:r>
      <w:bookmarkEnd w:id="35"/>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36" w:name="_Toc25040"/>
      <w:r>
        <w:rPr>
          <w:rFonts w:hint="eastAsia" w:ascii="宋体" w:hAnsi="宋体" w:eastAsia="宋体"/>
          <w:color w:val="auto"/>
          <w:sz w:val="21"/>
          <w:szCs w:val="21"/>
          <w:highlight w:val="none"/>
        </w:rPr>
        <w:t>5.知识产权</w:t>
      </w:r>
      <w:bookmarkEnd w:id="36"/>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采购货物为计算机办公设备时，投标人提供的产品必须是预装正版操作系统软件的计算机产品。</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投标人提供的服务、货物经认定存在侵权行为的，其投标无效，并上报相关监管部门。</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37" w:name="_Toc21930"/>
      <w:r>
        <w:rPr>
          <w:rFonts w:hint="eastAsia" w:ascii="宋体" w:hAnsi="宋体" w:eastAsia="宋体"/>
          <w:color w:val="auto"/>
          <w:sz w:val="21"/>
          <w:szCs w:val="21"/>
          <w:highlight w:val="none"/>
        </w:rPr>
        <w:t>6.关于联合体投标</w:t>
      </w:r>
      <w:bookmarkEnd w:id="37"/>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以联合体形式参与项目的供应商在领购招标文件时，应提供所有联合体组成成员的营业执照复印件，并加盖各联合体组成成员的公章。</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以联合体形式参加政府采购活动，联合体各方均为中小企业的，联合体视同中小企业。其中，联合体各方均为小微企业的，联合体视同小微企业。</w:t>
      </w:r>
      <w:r>
        <w:rPr>
          <w:rFonts w:hint="eastAsia" w:ascii="宋体" w:hAnsi="宋体" w:eastAsia="宋体"/>
          <w:color w:val="auto"/>
          <w:sz w:val="21"/>
          <w:szCs w:val="21"/>
          <w:highlight w:val="none"/>
          <w:lang w:eastAsia="zh-CN"/>
        </w:rPr>
        <w:t>双方均应提供《中小企业声明函》。</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38" w:name="_Toc16571"/>
      <w:r>
        <w:rPr>
          <w:rFonts w:hint="eastAsia" w:ascii="宋体" w:hAnsi="宋体" w:eastAsia="宋体"/>
          <w:color w:val="auto"/>
          <w:sz w:val="21"/>
          <w:szCs w:val="21"/>
          <w:highlight w:val="none"/>
        </w:rPr>
        <w:t>7.关于分支机构投标</w:t>
      </w:r>
      <w:bookmarkEnd w:id="38"/>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bookmarkStart w:id="39" w:name="EB389f116341dd4693875bc7987e7327f3"/>
    </w:p>
    <w:p>
      <w:pPr>
        <w:widowControl w:val="0"/>
        <w:numPr>
          <w:ilvl w:val="1"/>
          <w:numId w:val="3"/>
        </w:numPr>
        <w:adjustRightInd/>
        <w:snapToGrid/>
        <w:spacing w:after="0"/>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39"/>
    </w:p>
    <w:p>
      <w:pPr>
        <w:rPr>
          <w:color w:val="auto"/>
          <w:highlight w:val="none"/>
        </w:rPr>
      </w:pPr>
    </w:p>
    <w:p>
      <w:pPr>
        <w:pStyle w:val="5"/>
        <w:numPr>
          <w:ilvl w:val="0"/>
          <w:numId w:val="2"/>
        </w:numPr>
        <w:spacing w:before="0" w:after="0" w:line="480" w:lineRule="auto"/>
        <w:jc w:val="center"/>
        <w:rPr>
          <w:rFonts w:ascii="宋体" w:hAnsi="宋体" w:eastAsia="宋体"/>
          <w:color w:val="auto"/>
          <w:highlight w:val="none"/>
        </w:rPr>
      </w:pPr>
      <w:bookmarkStart w:id="40" w:name="_Toc17879"/>
      <w:r>
        <w:rPr>
          <w:rFonts w:hint="eastAsia" w:ascii="宋体" w:hAnsi="宋体" w:eastAsia="宋体"/>
          <w:color w:val="auto"/>
          <w:highlight w:val="none"/>
        </w:rPr>
        <w:t>招标文件</w:t>
      </w:r>
      <w:bookmarkEnd w:id="40"/>
    </w:p>
    <w:p>
      <w:pPr>
        <w:pStyle w:val="6"/>
        <w:widowControl w:val="0"/>
        <w:overflowPunct w:val="0"/>
        <w:spacing w:before="0" w:after="0" w:line="240" w:lineRule="auto"/>
        <w:rPr>
          <w:rFonts w:ascii="宋体" w:hAnsi="宋体" w:eastAsia="宋体"/>
          <w:color w:val="auto"/>
          <w:sz w:val="21"/>
          <w:szCs w:val="21"/>
          <w:highlight w:val="none"/>
        </w:rPr>
      </w:pPr>
      <w:bookmarkStart w:id="41" w:name="_Toc21771"/>
      <w:r>
        <w:rPr>
          <w:rFonts w:hint="eastAsia" w:ascii="宋体" w:hAnsi="宋体" w:eastAsia="宋体"/>
          <w:color w:val="auto"/>
          <w:sz w:val="21"/>
          <w:szCs w:val="21"/>
          <w:highlight w:val="none"/>
        </w:rPr>
        <w:t>8.招标文件的组成</w:t>
      </w:r>
      <w:bookmarkEnd w:id="41"/>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（1）投标邀请书；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（2）投标资料表；</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（3）用户需求书；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（4）投标人须知；</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（5）合同文本参考格式；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（6）投标文件参考格式；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（7）在招标过程中由采购代理机构发出的澄清更正文件等。</w:t>
      </w:r>
    </w:p>
    <w:p>
      <w:pPr>
        <w:spacing w:after="0"/>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2" w:name="_Toc14217"/>
      <w:r>
        <w:rPr>
          <w:rFonts w:hint="eastAsia" w:ascii="宋体" w:hAnsi="宋体" w:eastAsia="宋体"/>
          <w:color w:val="auto"/>
          <w:sz w:val="21"/>
          <w:szCs w:val="21"/>
          <w:highlight w:val="none"/>
        </w:rPr>
        <w:t>9.招标文件的澄清或修改</w:t>
      </w:r>
      <w:bookmarkEnd w:id="42"/>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widowControl w:val="0"/>
        <w:numPr>
          <w:ilvl w:val="1"/>
          <w:numId w:val="3"/>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numPr>
          <w:ilvl w:val="0"/>
          <w:numId w:val="2"/>
        </w:numPr>
        <w:spacing w:before="0" w:after="0" w:line="480" w:lineRule="auto"/>
        <w:jc w:val="center"/>
        <w:rPr>
          <w:rFonts w:ascii="宋体" w:hAnsi="宋体" w:eastAsia="宋体"/>
          <w:color w:val="auto"/>
          <w:highlight w:val="none"/>
        </w:rPr>
      </w:pPr>
      <w:bookmarkStart w:id="43" w:name="_Toc23726"/>
      <w:r>
        <w:rPr>
          <w:rFonts w:hint="eastAsia" w:ascii="宋体" w:hAnsi="宋体" w:eastAsia="宋体"/>
          <w:color w:val="auto"/>
          <w:highlight w:val="none"/>
        </w:rPr>
        <w:t>投标文件的编制</w:t>
      </w:r>
      <w:bookmarkEnd w:id="43"/>
    </w:p>
    <w:p>
      <w:pPr>
        <w:pStyle w:val="6"/>
        <w:widowControl w:val="0"/>
        <w:overflowPunct w:val="0"/>
        <w:spacing w:before="0" w:after="0" w:line="240" w:lineRule="auto"/>
        <w:rPr>
          <w:rFonts w:ascii="宋体" w:hAnsi="宋体" w:eastAsia="宋体"/>
          <w:color w:val="auto"/>
          <w:sz w:val="21"/>
          <w:szCs w:val="21"/>
          <w:highlight w:val="none"/>
        </w:rPr>
      </w:pPr>
      <w:bookmarkStart w:id="44" w:name="_Toc20623"/>
      <w:r>
        <w:rPr>
          <w:rFonts w:hint="eastAsia" w:ascii="宋体" w:hAnsi="宋体" w:eastAsia="宋体"/>
          <w:color w:val="auto"/>
          <w:sz w:val="21"/>
          <w:szCs w:val="21"/>
          <w:highlight w:val="none"/>
        </w:rPr>
        <w:t>10.投标文件的语言及度量衡单位</w:t>
      </w:r>
      <w:bookmarkEnd w:id="44"/>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5" w:name="_Toc303084256"/>
      <w:bookmarkStart w:id="46" w:name="_Toc12145"/>
      <w:bookmarkStart w:id="47" w:name="_Toc307934854"/>
      <w:bookmarkStart w:id="48" w:name="_Toc28866"/>
      <w:bookmarkStart w:id="49" w:name="_Toc382049103"/>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45"/>
      <w:bookmarkEnd w:id="46"/>
      <w:bookmarkEnd w:id="47"/>
      <w:bookmarkEnd w:id="48"/>
      <w:bookmarkEnd w:id="49"/>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widowControl w:val="0"/>
        <w:numPr>
          <w:ilvl w:val="1"/>
          <w:numId w:val="3"/>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0" w:name="_Toc30189"/>
      <w:r>
        <w:rPr>
          <w:rFonts w:hint="eastAsia" w:ascii="宋体" w:hAnsi="宋体" w:eastAsia="宋体"/>
          <w:color w:val="auto"/>
          <w:sz w:val="21"/>
          <w:szCs w:val="21"/>
          <w:highlight w:val="none"/>
        </w:rPr>
        <w:t>12.投标文件编制</w:t>
      </w:r>
      <w:bookmarkEnd w:id="50"/>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bookmarkStart w:id="51" w:name="_Toc303084258"/>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投标文件若出现以下内容，经评标委员会认定有可能间接影响评审秩序，其投标无效：</w:t>
      </w:r>
    </w:p>
    <w:p>
      <w:pPr>
        <w:pStyle w:val="28"/>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28"/>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有下列情形之一的，视为投标人串通投标，其投标无效：</w:t>
      </w:r>
    </w:p>
    <w:bookmarkEnd w:id="51"/>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（一）不同投标人的投标文件由同一单位或者个人编制；</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（二）不同投标人委托同一单位或者个人办理投标事宜；</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（三）不同投标人的投标文件载明的项目管理成员或者联系人员为同一人；</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（四）不同投标人的投标文件异常一致或者投标报价呈规律性差异；</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（五）不同投标人的投标文件相互混装；</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（六）不同投标人的投标保证金从同一单位或者个人的账户转出。</w:t>
      </w:r>
    </w:p>
    <w:p>
      <w:pPr>
        <w:widowControl w:val="0"/>
        <w:adjustRightInd/>
        <w:snapToGrid/>
        <w:spacing w:after="0" w:line="360" w:lineRule="exact"/>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2" w:name="_Toc259"/>
      <w:r>
        <w:rPr>
          <w:rFonts w:hint="eastAsia" w:ascii="宋体" w:hAnsi="宋体" w:eastAsia="宋体"/>
          <w:color w:val="auto"/>
          <w:sz w:val="21"/>
          <w:szCs w:val="21"/>
          <w:highlight w:val="none"/>
        </w:rPr>
        <w:t>13.投标报价说明</w:t>
      </w:r>
      <w:bookmarkEnd w:id="52"/>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投标人所提供的货物或服务均以人民币（或相关费率）报价。</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3" w:name="_Toc27724"/>
      <w:r>
        <w:rPr>
          <w:rFonts w:hint="eastAsia" w:ascii="宋体" w:hAnsi="宋体" w:eastAsia="宋体"/>
          <w:color w:val="auto"/>
          <w:sz w:val="21"/>
          <w:szCs w:val="21"/>
          <w:highlight w:val="none"/>
        </w:rPr>
        <w:t>14.投标人所提供的服务或货物的证明文件</w:t>
      </w:r>
      <w:bookmarkEnd w:id="53"/>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bookmarkStart w:id="54" w:name="_Hlt107925638"/>
      <w:bookmarkEnd w:id="54"/>
      <w:bookmarkStart w:id="55" w:name="_Hlt107925668"/>
      <w:bookmarkEnd w:id="55"/>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28"/>
        <w:widowControl w:val="0"/>
        <w:adjustRightInd/>
        <w:snapToGrid/>
        <w:spacing w:after="0" w:line="360" w:lineRule="exact"/>
        <w:ind w:left="425" w:firstLine="0" w:firstLineChars="0"/>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6" w:name="_Toc19520"/>
      <w:r>
        <w:rPr>
          <w:rFonts w:hint="eastAsia" w:ascii="宋体" w:hAnsi="宋体" w:eastAsia="宋体"/>
          <w:color w:val="auto"/>
          <w:sz w:val="21"/>
          <w:szCs w:val="21"/>
          <w:highlight w:val="none"/>
        </w:rPr>
        <w:t>15.★投标有效期</w:t>
      </w:r>
      <w:bookmarkEnd w:id="56"/>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widowControl w:val="0"/>
        <w:adjustRightInd/>
        <w:snapToGrid/>
        <w:spacing w:after="0" w:line="360" w:lineRule="exact"/>
        <w:ind w:left="567"/>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7" w:name="_Toc12456"/>
      <w:r>
        <w:rPr>
          <w:rFonts w:hint="eastAsia" w:ascii="宋体" w:hAnsi="宋体" w:eastAsia="宋体"/>
          <w:color w:val="auto"/>
          <w:sz w:val="21"/>
          <w:szCs w:val="21"/>
          <w:highlight w:val="none"/>
        </w:rPr>
        <w:t>16.★投标保证金</w:t>
      </w:r>
      <w:bookmarkEnd w:id="57"/>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bookmarkStart w:id="58" w:name="_Ref179619405"/>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58"/>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投标保证金金额与招标文件要求金额保持一致（详见投标资料表）。</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投标保证金有效期与投标有效期保持一致。</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投标人应一次性缴交招标文件规定数额的投标保证金，投标人与交款人名称必须一致，非投标人缴纳的投标保证金无效。</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(详见投标人资料表)</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采用《政府采购投标担保函》提交的，应符合下列规定：</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保证金不接受现金方式（包括以存现方式）提交，未按要求提交投标保证金的将导致废标。</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未中标的投标人的保证金在采购结果公示发出后5个工作日内退还，中标投标人的保证金在采购合同签订后5个工作日内退还。</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为方便退还未中标的投保人的保证金，投标人应制作《投标保证金汇入情况说明》随开标文件一并递交。</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有下列情形之一的，投标保证金将不予退还：</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（2）投标人在响应文件中提供虚假材料的；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（4）投标人与采购人、其他供应商或者采购代理机构恶意串通的；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（5）招标文件规定的其他情形。</w:t>
      </w:r>
    </w:p>
    <w:p>
      <w:pPr>
        <w:rPr>
          <w:color w:val="auto"/>
          <w:highlight w:val="none"/>
        </w:rPr>
      </w:pPr>
    </w:p>
    <w:p>
      <w:pPr>
        <w:pStyle w:val="5"/>
        <w:numPr>
          <w:ilvl w:val="0"/>
          <w:numId w:val="2"/>
        </w:numPr>
        <w:spacing w:before="0" w:after="0" w:line="480" w:lineRule="auto"/>
        <w:jc w:val="center"/>
        <w:rPr>
          <w:rFonts w:ascii="宋体" w:hAnsi="宋体" w:eastAsia="宋体"/>
          <w:color w:val="auto"/>
          <w:highlight w:val="none"/>
        </w:rPr>
      </w:pPr>
      <w:bookmarkStart w:id="59" w:name="_Toc31124"/>
      <w:r>
        <w:rPr>
          <w:rFonts w:hint="eastAsia" w:ascii="宋体" w:hAnsi="宋体" w:eastAsia="宋体"/>
          <w:color w:val="auto"/>
          <w:highlight w:val="none"/>
        </w:rPr>
        <w:t>投标文件的递交</w:t>
      </w:r>
      <w:bookmarkEnd w:id="59"/>
    </w:p>
    <w:p>
      <w:pPr>
        <w:pStyle w:val="6"/>
        <w:widowControl w:val="0"/>
        <w:overflowPunct w:val="0"/>
        <w:spacing w:before="0" w:after="0" w:line="240" w:lineRule="auto"/>
        <w:rPr>
          <w:rFonts w:ascii="宋体" w:hAnsi="宋体" w:eastAsia="宋体"/>
          <w:color w:val="auto"/>
          <w:sz w:val="21"/>
          <w:szCs w:val="21"/>
          <w:highlight w:val="none"/>
        </w:rPr>
      </w:pPr>
      <w:bookmarkStart w:id="60" w:name="_Toc29590"/>
      <w:bookmarkStart w:id="61" w:name="_Toc303084264"/>
      <w:bookmarkStart w:id="62" w:name="_Toc382049111"/>
      <w:bookmarkStart w:id="63" w:name="_Toc24997"/>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60"/>
      <w:bookmarkEnd w:id="61"/>
      <w:bookmarkEnd w:id="62"/>
      <w:bookmarkEnd w:id="63"/>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为方便评标委员会对投标文件进行评审</w:t>
      </w:r>
      <w:r>
        <w:rPr>
          <w:rFonts w:ascii="宋体" w:hAnsi="宋体" w:eastAsia="宋体"/>
          <w:color w:val="auto"/>
          <w:sz w:val="21"/>
          <w:szCs w:val="21"/>
          <w:highlight w:val="none"/>
        </w:rPr>
        <w:t>，</w:t>
      </w:r>
      <w:r>
        <w:rPr>
          <w:rFonts w:hint="eastAsia" w:ascii="宋体" w:hAnsi="宋体" w:eastAsia="宋体"/>
          <w:color w:val="auto"/>
          <w:sz w:val="21"/>
          <w:szCs w:val="21"/>
          <w:highlight w:val="none"/>
        </w:rPr>
        <w:t>建议投标人对投标文件进行装订，</w:t>
      </w:r>
      <w:r>
        <w:rPr>
          <w:rFonts w:ascii="宋体" w:hAnsi="宋体" w:eastAsia="宋体"/>
          <w:color w:val="auto"/>
          <w:sz w:val="21"/>
          <w:szCs w:val="21"/>
          <w:highlight w:val="none"/>
        </w:rPr>
        <w:t>对未经装订的投标文件可能发生的文件缺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，由此产生的后果由投标人承担。</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建议投标人将投标文件正本和所有的副本分开密封装在单独的信封中，且在信封上标明“正本”“副本”字样。然后再将所有信封封装在一个外层信封中。电子文件与正本密封包装，随正本提交。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，并注明投标人名称及项目名称、采购项目编号，随投标文件一同密封提交。</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4"/>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w:t>
      </w:r>
      <w:r>
        <w:rPr>
          <w:rFonts w:hint="eastAsia" w:ascii="宋体" w:hAnsi="宋体" w:eastAsia="宋体"/>
          <w:color w:val="auto"/>
          <w:sz w:val="21"/>
          <w:szCs w:val="21"/>
          <w:highlight w:val="none"/>
          <w:lang w:eastAsia="zh-CN"/>
        </w:rPr>
        <w:t>广东政通招标有限公司</w:t>
      </w:r>
    </w:p>
    <w:p>
      <w:pPr>
        <w:widowControl w:val="0"/>
        <w:numPr>
          <w:ilvl w:val="0"/>
          <w:numId w:val="4"/>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widowControl w:val="0"/>
        <w:numPr>
          <w:ilvl w:val="0"/>
          <w:numId w:val="4"/>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4"/>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采购代理机构将拒绝接收出现以下情况的投标文件：</w:t>
      </w:r>
    </w:p>
    <w:p>
      <w:pPr>
        <w:widowControl w:val="0"/>
        <w:numPr>
          <w:ilvl w:val="0"/>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采用透明包装进行密封或未进行密封的投标文件；</w:t>
      </w:r>
    </w:p>
    <w:p>
      <w:pPr>
        <w:widowControl w:val="0"/>
        <w:numPr>
          <w:ilvl w:val="0"/>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w:t>
      </w:r>
    </w:p>
    <w:p>
      <w:pPr>
        <w:widowControl w:val="0"/>
        <w:numPr>
          <w:ilvl w:val="0"/>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密封信封上项目编号错误的投标文件；</w:t>
      </w:r>
    </w:p>
    <w:p>
      <w:pPr>
        <w:widowControl w:val="0"/>
        <w:numPr>
          <w:ilvl w:val="0"/>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未在规定时间内领购文件的投标人的投标文件；</w:t>
      </w:r>
    </w:p>
    <w:p>
      <w:pPr>
        <w:widowControl w:val="0"/>
        <w:numPr>
          <w:ilvl w:val="0"/>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项目名称出现严重歧义或未标注所投项目信息导致无法分辨所投项目为本项目的投标文件；</w:t>
      </w:r>
    </w:p>
    <w:p>
      <w:pPr>
        <w:widowControl w:val="0"/>
        <w:numPr>
          <w:ilvl w:val="0"/>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采用传真、电传的投标文件；</w:t>
      </w:r>
    </w:p>
    <w:p>
      <w:pPr>
        <w:widowControl w:val="0"/>
        <w:numPr>
          <w:ilvl w:val="0"/>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招标文件规定的其他情形。</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4" w:name="_Toc8628"/>
      <w:r>
        <w:rPr>
          <w:rFonts w:hint="eastAsia" w:ascii="宋体" w:hAnsi="宋体" w:eastAsia="宋体"/>
          <w:color w:val="auto"/>
          <w:sz w:val="21"/>
          <w:szCs w:val="21"/>
          <w:highlight w:val="none"/>
        </w:rPr>
        <w:t>18.迟交的投标文件</w:t>
      </w:r>
      <w:bookmarkEnd w:id="64"/>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5" w:name="_Toc13212"/>
      <w:r>
        <w:rPr>
          <w:rFonts w:hint="eastAsia" w:ascii="宋体" w:hAnsi="宋体" w:eastAsia="宋体"/>
          <w:color w:val="auto"/>
          <w:sz w:val="21"/>
          <w:szCs w:val="21"/>
          <w:highlight w:val="none"/>
        </w:rPr>
        <w:t>19.投标样品（如需提交）</w:t>
      </w:r>
      <w:bookmarkEnd w:id="65"/>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为方便评标，投标人在提供样品时，应在所提供的样品表面显著位置标注投标人的名称、包号、样品名称、招标文件规定的服务或货物编号。</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6" w:name="_Toc303084265"/>
      <w:bookmarkStart w:id="67" w:name="_Toc9777"/>
      <w:bookmarkStart w:id="68" w:name="_Toc382049112"/>
      <w:bookmarkStart w:id="69" w:name="_Toc5900"/>
      <w:r>
        <w:rPr>
          <w:rFonts w:hint="eastAsia" w:ascii="宋体" w:hAnsi="宋体" w:eastAsia="宋体"/>
          <w:color w:val="auto"/>
          <w:sz w:val="21"/>
          <w:szCs w:val="21"/>
          <w:highlight w:val="none"/>
        </w:rPr>
        <w:t>20.投标截止期</w:t>
      </w:r>
      <w:bookmarkEnd w:id="66"/>
      <w:bookmarkEnd w:id="67"/>
      <w:bookmarkEnd w:id="68"/>
      <w:bookmarkEnd w:id="69"/>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投标人应在招标文件规定的截止日期和时间内，将投标文件送达到指定地点。</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0" w:name="_Toc6003"/>
      <w:r>
        <w:rPr>
          <w:rFonts w:hint="eastAsia" w:ascii="宋体" w:hAnsi="宋体" w:eastAsia="宋体"/>
          <w:color w:val="auto"/>
          <w:sz w:val="21"/>
          <w:szCs w:val="21"/>
          <w:highlight w:val="none"/>
        </w:rPr>
        <w:t>21.投标文件的补充、修改与撤回</w:t>
      </w:r>
      <w:bookmarkEnd w:id="70"/>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2"/>
        <w:rPr>
          <w:color w:val="auto"/>
          <w:highlight w:val="none"/>
        </w:rPr>
      </w:pPr>
    </w:p>
    <w:p>
      <w:pPr>
        <w:pStyle w:val="5"/>
        <w:numPr>
          <w:ilvl w:val="0"/>
          <w:numId w:val="2"/>
        </w:numPr>
        <w:spacing w:before="0" w:after="0" w:line="480" w:lineRule="auto"/>
        <w:jc w:val="center"/>
        <w:rPr>
          <w:rFonts w:ascii="宋体" w:hAnsi="宋体" w:eastAsia="宋体"/>
          <w:color w:val="auto"/>
          <w:highlight w:val="none"/>
        </w:rPr>
      </w:pPr>
      <w:bookmarkStart w:id="71" w:name="_Toc29574"/>
      <w:r>
        <w:rPr>
          <w:rFonts w:hint="eastAsia" w:ascii="宋体" w:hAnsi="宋体" w:eastAsia="宋体"/>
          <w:color w:val="auto"/>
          <w:highlight w:val="none"/>
        </w:rPr>
        <w:t>开标与评标</w:t>
      </w:r>
      <w:bookmarkEnd w:id="71"/>
    </w:p>
    <w:p>
      <w:pPr>
        <w:pStyle w:val="6"/>
        <w:widowControl w:val="0"/>
        <w:overflowPunct w:val="0"/>
        <w:spacing w:before="0" w:after="0" w:line="240" w:lineRule="auto"/>
        <w:rPr>
          <w:rFonts w:ascii="宋体" w:hAnsi="宋体" w:eastAsia="宋体"/>
          <w:color w:val="auto"/>
          <w:sz w:val="21"/>
          <w:szCs w:val="21"/>
          <w:highlight w:val="none"/>
        </w:rPr>
      </w:pPr>
      <w:bookmarkStart w:id="72" w:name="_Toc28458"/>
      <w:r>
        <w:rPr>
          <w:rFonts w:hint="eastAsia" w:ascii="宋体" w:hAnsi="宋体" w:eastAsia="宋体"/>
          <w:color w:val="auto"/>
          <w:sz w:val="21"/>
          <w:szCs w:val="21"/>
          <w:highlight w:val="none"/>
        </w:rPr>
        <w:t>22.开标</w:t>
      </w:r>
      <w:bookmarkEnd w:id="72"/>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widowControl w:val="0"/>
        <w:numPr>
          <w:ilvl w:val="2"/>
          <w:numId w:val="3"/>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widowControl w:val="0"/>
        <w:numPr>
          <w:ilvl w:val="2"/>
          <w:numId w:val="3"/>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2"/>
          <w:numId w:val="3"/>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合格投标人不足3家的，不得开标；</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3" w:name="_Toc5524"/>
      <w:r>
        <w:rPr>
          <w:rFonts w:hint="eastAsia" w:ascii="宋体" w:hAnsi="宋体" w:eastAsia="宋体"/>
          <w:color w:val="auto"/>
          <w:sz w:val="21"/>
          <w:szCs w:val="21"/>
          <w:highlight w:val="none"/>
        </w:rPr>
        <w:t>23.评标委员会及评标方法</w:t>
      </w:r>
      <w:bookmarkEnd w:id="73"/>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通过资格性和符合性审查的有效</w:t>
      </w:r>
      <w:r>
        <w:rPr>
          <w:rFonts w:hint="eastAsia" w:ascii="宋体" w:hAnsi="宋体" w:eastAsia="宋体"/>
          <w:color w:val="auto"/>
          <w:sz w:val="21"/>
          <w:szCs w:val="21"/>
          <w:highlight w:val="none"/>
          <w:lang w:val="en-US" w:eastAsia="zh-CN"/>
        </w:rPr>
        <w:t>投标人</w:t>
      </w:r>
      <w:r>
        <w:rPr>
          <w:rFonts w:hint="eastAsia" w:ascii="宋体" w:hAnsi="宋体" w:eastAsia="宋体"/>
          <w:color w:val="auto"/>
          <w:sz w:val="21"/>
          <w:szCs w:val="21"/>
          <w:highlight w:val="none"/>
        </w:rPr>
        <w:t>方有资格提交最终报价及进入综合评审。</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4" w:name="_Toc15231"/>
      <w:r>
        <w:rPr>
          <w:rFonts w:hint="eastAsia" w:ascii="宋体" w:hAnsi="宋体" w:eastAsia="宋体"/>
          <w:color w:val="auto"/>
          <w:sz w:val="21"/>
          <w:szCs w:val="21"/>
          <w:highlight w:val="none"/>
        </w:rPr>
        <w:t>24.评审原则及评标过程的保密</w:t>
      </w:r>
      <w:bookmarkEnd w:id="74"/>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评审的基本原则：评标委员会将依据《中华人民共和国政府采购法》及国家和地方政府有关法规的规定，遵循“客观、公正、审慎”的原则进行评审工作。</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招标</w:t>
      </w:r>
      <w:r>
        <w:rPr>
          <w:rFonts w:hint="eastAsia" w:ascii="宋体" w:hAnsi="宋体" w:eastAsia="宋体"/>
          <w:color w:val="auto"/>
          <w:sz w:val="21"/>
          <w:szCs w:val="21"/>
          <w:highlight w:val="none"/>
        </w:rPr>
        <w:t>文件中要求</w:t>
      </w:r>
      <w:r>
        <w:rPr>
          <w:rFonts w:hint="eastAsia" w:ascii="宋体" w:hAnsi="宋体" w:eastAsia="宋体"/>
          <w:color w:val="auto"/>
          <w:sz w:val="21"/>
          <w:szCs w:val="21"/>
          <w:highlight w:val="none"/>
          <w:lang w:val="en-US" w:eastAsia="zh-CN"/>
        </w:rPr>
        <w:t>投标人</w:t>
      </w:r>
      <w:r>
        <w:rPr>
          <w:rFonts w:hint="eastAsia" w:ascii="宋体" w:hAnsi="宋体" w:eastAsia="宋体"/>
          <w:color w:val="auto"/>
          <w:sz w:val="21"/>
          <w:szCs w:val="21"/>
          <w:highlight w:val="none"/>
        </w:rPr>
        <w:t>提供的相关资质证书证明材料因国家政策变动导致新旧证书名称不一致</w:t>
      </w:r>
      <w:r>
        <w:rPr>
          <w:rFonts w:hint="eastAsia" w:ascii="宋体" w:hAnsi="宋体" w:eastAsia="宋体"/>
          <w:color w:val="auto"/>
          <w:sz w:val="21"/>
          <w:szCs w:val="21"/>
          <w:highlight w:val="none"/>
          <w:lang w:val="en-US" w:eastAsia="zh-CN"/>
        </w:rPr>
        <w:t>的</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投标人</w:t>
      </w:r>
      <w:r>
        <w:rPr>
          <w:rFonts w:hint="eastAsia" w:ascii="宋体" w:hAnsi="宋体" w:eastAsia="宋体"/>
          <w:color w:val="auto"/>
          <w:sz w:val="21"/>
          <w:szCs w:val="21"/>
          <w:highlight w:val="none"/>
        </w:rPr>
        <w:t>提供新证书</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提供在有效期内的旧证书</w:t>
      </w:r>
      <w:r>
        <w:rPr>
          <w:rFonts w:hint="eastAsia" w:ascii="宋体" w:hAnsi="宋体" w:eastAsia="宋体"/>
          <w:color w:val="auto"/>
          <w:sz w:val="21"/>
          <w:szCs w:val="21"/>
          <w:highlight w:val="none"/>
          <w:lang w:val="en-US" w:eastAsia="zh-CN"/>
        </w:rPr>
        <w:t>经评审委员会认定后，均具有同等效力，</w:t>
      </w:r>
      <w:r>
        <w:rPr>
          <w:rFonts w:hint="eastAsia" w:ascii="宋体" w:hAnsi="宋体" w:eastAsia="宋体"/>
          <w:color w:val="auto"/>
          <w:sz w:val="21"/>
          <w:szCs w:val="21"/>
          <w:highlight w:val="none"/>
        </w:rPr>
        <w:t>给予同等认可。</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5" w:name="_Toc3762"/>
      <w:r>
        <w:rPr>
          <w:rFonts w:hint="eastAsia" w:ascii="宋体" w:hAnsi="宋体" w:eastAsia="宋体"/>
          <w:color w:val="auto"/>
          <w:sz w:val="21"/>
          <w:szCs w:val="21"/>
          <w:highlight w:val="none"/>
        </w:rPr>
        <w:t>25.投标文件的初审</w:t>
      </w:r>
      <w:bookmarkEnd w:id="75"/>
    </w:p>
    <w:p>
      <w:pPr>
        <w:pStyle w:val="28"/>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eastAsia="宋体"/>
          <w:b/>
          <w:color w:val="auto"/>
          <w:sz w:val="21"/>
          <w:szCs w:val="21"/>
          <w:highlight w:val="none"/>
        </w:rPr>
        <w:t>资格性检查中发现下列情形之一的，其投标作无效处理：</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eastAsia="宋体"/>
          <w:b/>
          <w:color w:val="auto"/>
          <w:sz w:val="21"/>
          <w:szCs w:val="21"/>
          <w:highlight w:val="none"/>
        </w:rPr>
        <w:t>发现下列情况之一的，其投标将作无效处理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投标方案不唯一；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widowControl w:val="0"/>
        <w:numPr>
          <w:ilvl w:val="1"/>
          <w:numId w:val="3"/>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6" w:name="_Toc21742"/>
      <w:r>
        <w:rPr>
          <w:rFonts w:hint="eastAsia" w:ascii="宋体" w:hAnsi="宋体" w:eastAsia="宋体"/>
          <w:color w:val="auto"/>
          <w:sz w:val="21"/>
          <w:szCs w:val="21"/>
          <w:highlight w:val="none"/>
        </w:rPr>
        <w:t>26.商务、技术、价格评审（具体评审项目详见投标资料表）</w:t>
      </w:r>
      <w:bookmarkEnd w:id="76"/>
    </w:p>
    <w:p>
      <w:pPr>
        <w:pStyle w:val="28"/>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对通过符合性检查的投标人进行商务技术综合评议，针对投标文件对招标文件的响应情况对各个投标人进行商务和技术评分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投标文件中开标一览表（报价表）内容与投标文件中相应内容不一致的，以开标一览表（报价表）为准；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7" w:name="_Toc22192"/>
      <w:r>
        <w:rPr>
          <w:rFonts w:hint="eastAsia" w:ascii="宋体" w:hAnsi="宋体" w:eastAsia="宋体"/>
          <w:color w:val="auto"/>
          <w:sz w:val="21"/>
          <w:szCs w:val="21"/>
          <w:highlight w:val="none"/>
        </w:rPr>
        <w:t>27.优惠政策</w:t>
      </w:r>
      <w:bookmarkEnd w:id="77"/>
    </w:p>
    <w:p>
      <w:pPr>
        <w:pStyle w:val="28"/>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w:t>
      </w:r>
      <w:r>
        <w:rPr>
          <w:rFonts w:hint="eastAsia" w:ascii="宋体" w:hAnsi="宋体" w:eastAsia="宋体"/>
          <w:color w:val="auto"/>
          <w:sz w:val="21"/>
          <w:szCs w:val="21"/>
          <w:highlight w:val="none"/>
          <w:lang w:eastAsia="zh-CN"/>
        </w:rPr>
        <w:t>政府采购促进中小企业发展管理办法</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（财库〔2020〕46号）</w:t>
      </w:r>
      <w:r>
        <w:rPr>
          <w:rFonts w:hint="eastAsia" w:ascii="宋体" w:hAnsi="宋体" w:eastAsia="宋体"/>
          <w:color w:val="auto"/>
          <w:sz w:val="21"/>
          <w:szCs w:val="21"/>
          <w:highlight w:val="none"/>
        </w:rPr>
        <w:t>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投标人为小型或微型企业且投标产品含小型或微型企业产品时，其对应产品价格的扣除详见投标资料表。</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w:t>
      </w:r>
      <w:r>
        <w:rPr>
          <w:rFonts w:hint="eastAsia" w:ascii="宋体" w:hAnsi="宋体" w:eastAsia="宋体"/>
          <w:color w:val="auto"/>
          <w:sz w:val="21"/>
          <w:szCs w:val="21"/>
          <w:highlight w:val="none"/>
          <w:lang w:eastAsia="zh-CN"/>
        </w:rPr>
        <w:t>“财政部 工业和信息化部关于印发《政府采购促进中小企业发展管理办法》的通知（财库〔2020〕46号）”</w:t>
      </w:r>
      <w:r>
        <w:rPr>
          <w:rFonts w:hint="eastAsia" w:ascii="宋体" w:hAnsi="宋体" w:eastAsia="宋体"/>
          <w:color w:val="auto"/>
          <w:sz w:val="21"/>
          <w:szCs w:val="21"/>
          <w:highlight w:val="none"/>
        </w:rPr>
        <w:t>规定的中小企业扶持政策。</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pPr>
        <w:widowControl w:val="0"/>
        <w:numPr>
          <w:ilvl w:val="1"/>
          <w:numId w:val="3"/>
        </w:numPr>
        <w:tabs>
          <w:tab w:val="left" w:pos="907"/>
        </w:tabs>
        <w:adjustRightInd/>
        <w:snapToGrid/>
        <w:spacing w:after="0" w:line="360" w:lineRule="exact"/>
        <w:jc w:val="both"/>
        <w:rPr>
          <w:rFonts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中标、成交供应商享受本办法（财库〔2020〕46号）规定的中小企业扶持政策的，采购代理机构</w:t>
      </w:r>
      <w:r>
        <w:rPr>
          <w:rFonts w:hint="eastAsia" w:ascii="宋体" w:hAnsi="宋体" w:eastAsia="宋体"/>
          <w:b/>
          <w:bCs/>
          <w:color w:val="auto"/>
          <w:sz w:val="21"/>
          <w:szCs w:val="21"/>
          <w:highlight w:val="none"/>
          <w:u w:val="single"/>
          <w:lang w:eastAsia="zh-CN"/>
        </w:rPr>
        <w:t>将</w:t>
      </w:r>
      <w:r>
        <w:rPr>
          <w:rFonts w:hint="eastAsia" w:ascii="宋体" w:hAnsi="宋体" w:eastAsia="宋体"/>
          <w:b/>
          <w:bCs/>
          <w:color w:val="auto"/>
          <w:sz w:val="21"/>
          <w:szCs w:val="21"/>
          <w:highlight w:val="none"/>
          <w:u w:val="single"/>
        </w:rPr>
        <w:t>随中标、成交结果公开中标、成交供应商的《中小企业声明函》。</w:t>
      </w:r>
      <w:r>
        <w:rPr>
          <w:rFonts w:hint="eastAsia" w:ascii="宋体" w:hAnsi="宋体" w:eastAsia="宋体"/>
          <w:b/>
          <w:bCs/>
          <w:color w:val="auto"/>
          <w:sz w:val="21"/>
          <w:szCs w:val="21"/>
          <w:highlight w:val="none"/>
          <w:u w:val="single"/>
          <w:lang w:eastAsia="zh-CN"/>
        </w:rPr>
        <w:t>各供应商不得提供虚假声明，提供虚假声明取消中标、成交资格，并追究其法律责任。</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pPr>
        <w:widowControl w:val="0"/>
        <w:numPr>
          <w:ilvl w:val="0"/>
          <w:numId w:val="6"/>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6"/>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6"/>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8" w:name="_Toc316375620"/>
      <w:bookmarkStart w:id="79" w:name="_Toc20328"/>
      <w:bookmarkStart w:id="80" w:name="_Toc382049120"/>
      <w:bookmarkStart w:id="81" w:name="_Toc22591"/>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78"/>
      <w:r>
        <w:rPr>
          <w:rFonts w:hint="eastAsia" w:ascii="宋体" w:hAnsi="宋体" w:eastAsia="宋体"/>
          <w:color w:val="auto"/>
          <w:sz w:val="21"/>
          <w:szCs w:val="21"/>
          <w:highlight w:val="none"/>
        </w:rPr>
        <w:t>事项</w:t>
      </w:r>
      <w:bookmarkEnd w:id="79"/>
      <w:bookmarkEnd w:id="80"/>
      <w:bookmarkEnd w:id="81"/>
    </w:p>
    <w:p>
      <w:pPr>
        <w:pStyle w:val="28"/>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numPr>
          <w:ilvl w:val="0"/>
          <w:numId w:val="2"/>
        </w:numPr>
        <w:spacing w:before="0" w:after="0" w:line="480" w:lineRule="auto"/>
        <w:jc w:val="center"/>
        <w:rPr>
          <w:rFonts w:ascii="宋体" w:hAnsi="宋体" w:eastAsia="宋体"/>
          <w:color w:val="auto"/>
          <w:highlight w:val="none"/>
        </w:rPr>
      </w:pPr>
      <w:bookmarkStart w:id="82" w:name="_Toc29310"/>
      <w:r>
        <w:rPr>
          <w:rFonts w:hint="eastAsia" w:ascii="宋体" w:hAnsi="宋体" w:eastAsia="宋体"/>
          <w:color w:val="auto"/>
          <w:highlight w:val="none"/>
        </w:rPr>
        <w:t>授予合同</w:t>
      </w:r>
      <w:bookmarkEnd w:id="82"/>
    </w:p>
    <w:p>
      <w:pPr>
        <w:pStyle w:val="6"/>
        <w:widowControl w:val="0"/>
        <w:overflowPunct w:val="0"/>
        <w:spacing w:before="0" w:after="0" w:line="240" w:lineRule="auto"/>
        <w:rPr>
          <w:rFonts w:ascii="宋体" w:hAnsi="宋体" w:eastAsia="宋体"/>
          <w:color w:val="auto"/>
          <w:sz w:val="21"/>
          <w:szCs w:val="21"/>
          <w:highlight w:val="none"/>
        </w:rPr>
      </w:pPr>
      <w:bookmarkStart w:id="83" w:name="_Toc27817"/>
      <w:bookmarkStart w:id="84" w:name="_Toc508284011"/>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83"/>
      <w:bookmarkEnd w:id="84"/>
    </w:p>
    <w:p>
      <w:pPr>
        <w:pStyle w:val="28"/>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85" w:name="_Toc29283"/>
      <w:bookmarkStart w:id="86" w:name="_Toc508284013"/>
      <w:r>
        <w:rPr>
          <w:rFonts w:hint="eastAsia" w:ascii="宋体" w:hAnsi="宋体" w:eastAsia="宋体"/>
          <w:color w:val="auto"/>
          <w:sz w:val="21"/>
          <w:szCs w:val="21"/>
          <w:highlight w:val="none"/>
        </w:rPr>
        <w:t>30.发布采购结果</w:t>
      </w:r>
      <w:bookmarkEnd w:id="85"/>
      <w:bookmarkEnd w:id="86"/>
    </w:p>
    <w:p>
      <w:pPr>
        <w:pStyle w:val="28"/>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结果公示发布后，中标单位应及时领取中标通知书。《中标通知书》是合同的一个组成部分，《中标通知书》对采购人和中标人均具有同等法律效力。</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中标人无正当理由不得放弃中标，因中标人放弃中标而对采购人造成的损失由放弃中标的中标人承担。</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widowControl w:val="0"/>
        <w:numPr>
          <w:ilvl w:val="1"/>
          <w:numId w:val="3"/>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原件核查</w:t>
      </w:r>
    </w:p>
    <w:p>
      <w:pPr>
        <w:widowControl w:val="0"/>
        <w:numPr>
          <w:ilvl w:val="2"/>
          <w:numId w:val="3"/>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采购结果发布后，采购代理机构或采购人有权对中标单位进行原件核查，中标单位应在五个工作日内把相关原件递交至采购代理机构办公地址或采购人指定地址进行核查。</w:t>
      </w:r>
    </w:p>
    <w:p>
      <w:pPr>
        <w:widowControl w:val="0"/>
        <w:numPr>
          <w:ilvl w:val="2"/>
          <w:numId w:val="3"/>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中标单位有下列情形之一的，取消中标资格：</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在规定时间内递交的原件数量、内容与采购人、采购代理机构要求不一致的；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3"/>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3"/>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投标人有下列情形之一的，投标文件作无效处理，其投标无效：</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在规定时间内递交的原件数量、内容不符合采购人、采购代理机构要求的；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3"/>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若投标人出现虚假应标情况，投标文件作无效处理，其投标、中标无效。并根据相关法律上报相关监管部门。</w:t>
      </w:r>
    </w:p>
    <w:p>
      <w:pPr>
        <w:widowControl w:val="0"/>
        <w:numPr>
          <w:ilvl w:val="2"/>
          <w:numId w:val="3"/>
        </w:numPr>
        <w:tabs>
          <w:tab w:val="left" w:pos="567"/>
          <w:tab w:val="left" w:pos="907"/>
          <w:tab w:val="clear" w:pos="794"/>
        </w:tabs>
        <w:adjustRightInd/>
        <w:snapToGrid/>
        <w:spacing w:after="0" w:line="360" w:lineRule="exact"/>
        <w:jc w:val="both"/>
        <w:rPr>
          <w:color w:val="auto"/>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87" w:name="_Toc22451"/>
      <w:r>
        <w:rPr>
          <w:rFonts w:hint="eastAsia" w:ascii="宋体" w:hAnsi="宋体" w:eastAsia="宋体"/>
          <w:color w:val="auto"/>
          <w:sz w:val="21"/>
          <w:szCs w:val="21"/>
          <w:highlight w:val="none"/>
        </w:rPr>
        <w:t>31.合同的签订与履行</w:t>
      </w:r>
      <w:bookmarkEnd w:id="87"/>
    </w:p>
    <w:p>
      <w:pPr>
        <w:pStyle w:val="28"/>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政府采购合同的履行、违约责任和解决争议的方法等适用《中华人民共和国</w:t>
      </w:r>
      <w:r>
        <w:rPr>
          <w:rFonts w:hint="eastAsia" w:ascii="宋体" w:hAnsi="宋体" w:eastAsia="宋体"/>
          <w:color w:val="auto"/>
          <w:sz w:val="21"/>
          <w:szCs w:val="21"/>
          <w:highlight w:val="none"/>
          <w:lang w:eastAsia="zh-CN"/>
        </w:rPr>
        <w:t>民法典</w:t>
      </w:r>
      <w:r>
        <w:rPr>
          <w:rFonts w:hint="eastAsia" w:ascii="宋体" w:hAnsi="宋体" w:eastAsia="宋体"/>
          <w:color w:val="auto"/>
          <w:sz w:val="21"/>
          <w:szCs w:val="21"/>
          <w:highlight w:val="none"/>
        </w:rPr>
        <w:t>》。</w:t>
      </w:r>
    </w:p>
    <w:p>
      <w:pPr>
        <w:widowControl w:val="0"/>
        <w:numPr>
          <w:ilvl w:val="1"/>
          <w:numId w:val="3"/>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合同签订之日起2个工作日内，中标人应将所签订的合同副本（加盖公章）交至</w:t>
      </w:r>
      <w:r>
        <w:rPr>
          <w:rFonts w:hint="eastAsia" w:ascii="宋体" w:hAnsi="宋体" w:eastAsia="宋体"/>
          <w:b/>
          <w:color w:val="auto"/>
          <w:sz w:val="21"/>
          <w:szCs w:val="21"/>
          <w:highlight w:val="none"/>
          <w:lang w:eastAsia="zh-CN"/>
        </w:rPr>
        <w:t>广东政通招标有限公司</w:t>
      </w:r>
      <w:r>
        <w:rPr>
          <w:rFonts w:hint="eastAsia" w:ascii="宋体" w:hAnsi="宋体" w:eastAsia="宋体"/>
          <w:b/>
          <w:color w:val="auto"/>
          <w:sz w:val="21"/>
          <w:szCs w:val="21"/>
          <w:highlight w:val="none"/>
        </w:rPr>
        <w:t>归档。</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中标人拒绝与采购人签订合同的，采购人可以按照评审报告推荐的中标候选人名单排序，确定下一候选人为中标人，也可以重新开展政府采购活动。</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88" w:name="_Toc303084277"/>
      <w:bookmarkStart w:id="89" w:name="_Toc382049124"/>
      <w:bookmarkStart w:id="90" w:name="_Toc29009"/>
      <w:bookmarkStart w:id="91" w:name="_Toc2744"/>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88"/>
      <w:bookmarkEnd w:id="89"/>
      <w:bookmarkEnd w:id="90"/>
      <w:bookmarkEnd w:id="91"/>
    </w:p>
    <w:p>
      <w:pPr>
        <w:pStyle w:val="28"/>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采用保证金（银行转帐、电汇）方式：中标人必须保证资金在签订合同前到帐。履约保证金账户采购人另行通知，到期后无息退还。</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highlight w:val="none"/>
        </w:rPr>
      </w:pPr>
    </w:p>
    <w:p>
      <w:pPr>
        <w:pStyle w:val="5"/>
        <w:numPr>
          <w:ilvl w:val="0"/>
          <w:numId w:val="2"/>
        </w:numPr>
        <w:spacing w:before="0" w:after="0" w:line="480" w:lineRule="auto"/>
        <w:jc w:val="center"/>
        <w:rPr>
          <w:rFonts w:ascii="宋体" w:hAnsi="宋体" w:eastAsia="宋体"/>
          <w:color w:val="auto"/>
          <w:highlight w:val="none"/>
        </w:rPr>
      </w:pPr>
      <w:bookmarkStart w:id="92" w:name="_Toc13694"/>
      <w:r>
        <w:rPr>
          <w:rFonts w:hint="eastAsia" w:ascii="宋体" w:hAnsi="宋体" w:eastAsia="宋体"/>
          <w:color w:val="auto"/>
          <w:highlight w:val="none"/>
        </w:rPr>
        <w:t>询问或质疑</w:t>
      </w:r>
      <w:bookmarkEnd w:id="92"/>
    </w:p>
    <w:p>
      <w:pPr>
        <w:pStyle w:val="6"/>
        <w:widowControl w:val="0"/>
        <w:overflowPunct w:val="0"/>
        <w:spacing w:before="0" w:after="0" w:line="240" w:lineRule="auto"/>
        <w:rPr>
          <w:rFonts w:ascii="宋体" w:hAnsi="宋体" w:eastAsia="宋体"/>
          <w:color w:val="auto"/>
          <w:sz w:val="21"/>
          <w:szCs w:val="21"/>
          <w:highlight w:val="none"/>
        </w:rPr>
      </w:pPr>
      <w:bookmarkStart w:id="93" w:name="_Toc25498"/>
      <w:r>
        <w:rPr>
          <w:rFonts w:hint="eastAsia" w:ascii="宋体" w:hAnsi="宋体" w:eastAsia="宋体"/>
          <w:color w:val="auto"/>
          <w:sz w:val="21"/>
          <w:szCs w:val="21"/>
          <w:highlight w:val="none"/>
        </w:rPr>
        <w:t>33.询问</w:t>
      </w:r>
      <w:bookmarkEnd w:id="93"/>
    </w:p>
    <w:p>
      <w:pPr>
        <w:pStyle w:val="28"/>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投标人对政府采购活动事项（招标文件、采购过程和采购结果）有疑问的，可以按规定向采购代理机构提出询问。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94" w:name="_Toc8234"/>
      <w:r>
        <w:rPr>
          <w:rFonts w:hint="eastAsia" w:ascii="宋体" w:hAnsi="宋体" w:eastAsia="宋体"/>
          <w:color w:val="auto"/>
          <w:sz w:val="21"/>
          <w:szCs w:val="21"/>
          <w:highlight w:val="none"/>
        </w:rPr>
        <w:t>34.质疑</w:t>
      </w:r>
      <w:bookmarkEnd w:id="94"/>
    </w:p>
    <w:p>
      <w:pPr>
        <w:pStyle w:val="28"/>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提出质疑的投标人应当是参与所质疑项目采购活动的供应商或是在规定的时间内已依法获取其可质疑的招标文件的潜在供应商。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投诉人在全国范围12个月内三次以上投诉查无实据的，由财政部门列入不良行为记录名单。</w:t>
      </w:r>
    </w:p>
    <w:p>
      <w:pPr>
        <w:widowControl w:val="0"/>
        <w:numPr>
          <w:ilvl w:val="1"/>
          <w:numId w:val="3"/>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投诉人有下列行为之一的，属于虚假、恶意投诉，由财政部门列入不良行为记录名单，禁止其1至3年内参加全国范围内的政府采购活动：</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（一）捏造事实;</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（二）提供虚假材料;</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（三）以非法手段取得证明材料。证据来源的合法性存在明显疑问，投诉人无法证明其取得方式合法的，视为以非法手段取得证明材料。</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以联合体形式参加政府采购活动的，其质疑应当由组成联合体的所有投标人共同提出。</w:t>
      </w:r>
    </w:p>
    <w:p>
      <w:pPr>
        <w:rPr>
          <w:color w:val="auto"/>
          <w:highlight w:val="none"/>
        </w:rPr>
      </w:pPr>
    </w:p>
    <w:p>
      <w:pPr>
        <w:pStyle w:val="5"/>
        <w:numPr>
          <w:ilvl w:val="0"/>
          <w:numId w:val="2"/>
        </w:numPr>
        <w:spacing w:before="0" w:after="0" w:line="480" w:lineRule="auto"/>
        <w:jc w:val="center"/>
        <w:rPr>
          <w:rFonts w:ascii="宋体" w:hAnsi="宋体" w:eastAsia="宋体"/>
          <w:color w:val="auto"/>
          <w:highlight w:val="none"/>
        </w:rPr>
      </w:pPr>
      <w:bookmarkStart w:id="95" w:name="_Toc24383"/>
      <w:r>
        <w:rPr>
          <w:rFonts w:hint="eastAsia" w:ascii="宋体" w:hAnsi="宋体" w:eastAsia="宋体"/>
          <w:color w:val="auto"/>
          <w:highlight w:val="none"/>
        </w:rPr>
        <w:t>其他</w:t>
      </w:r>
      <w:bookmarkEnd w:id="95"/>
    </w:p>
    <w:p>
      <w:pPr>
        <w:pStyle w:val="6"/>
        <w:widowControl w:val="0"/>
        <w:overflowPunct w:val="0"/>
        <w:spacing w:before="0" w:after="0" w:line="240" w:lineRule="auto"/>
        <w:rPr>
          <w:rFonts w:ascii="宋体" w:hAnsi="宋体" w:eastAsia="宋体"/>
          <w:color w:val="auto"/>
          <w:sz w:val="21"/>
          <w:szCs w:val="21"/>
          <w:highlight w:val="none"/>
        </w:rPr>
      </w:pPr>
      <w:bookmarkStart w:id="96" w:name="_Toc10082"/>
      <w:r>
        <w:rPr>
          <w:rFonts w:hint="eastAsia" w:ascii="宋体" w:hAnsi="宋体" w:eastAsia="宋体"/>
          <w:color w:val="auto"/>
          <w:sz w:val="21"/>
          <w:szCs w:val="21"/>
          <w:highlight w:val="none"/>
        </w:rPr>
        <w:t>35.招标文件的解释权</w:t>
      </w:r>
      <w:bookmarkEnd w:id="96"/>
    </w:p>
    <w:p>
      <w:pPr>
        <w:pStyle w:val="28"/>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招标文件版本号：</w:t>
      </w:r>
      <w:r>
        <w:rPr>
          <w:rFonts w:hint="eastAsia" w:ascii="宋体" w:hAnsi="宋体" w:eastAsia="宋体"/>
          <w:color w:val="auto"/>
          <w:sz w:val="21"/>
          <w:szCs w:val="21"/>
          <w:highlight w:val="none"/>
          <w:lang w:val="en-US" w:eastAsia="zh-CN"/>
        </w:rPr>
        <w:t>广东政通</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0</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01。</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本招标文件是根据国家有关法律、法规以及政府采购管理有关规定和参照国际惯例编制，解释权属本采购代理机构。</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4"/>
        <w:spacing w:before="0" w:after="0" w:line="240" w:lineRule="auto"/>
        <w:rPr>
          <w:color w:val="auto"/>
          <w:sz w:val="28"/>
          <w:szCs w:val="28"/>
          <w:highlight w:val="none"/>
        </w:rPr>
      </w:pPr>
      <w:bookmarkStart w:id="97" w:name="_Toc21448"/>
      <w:r>
        <w:rPr>
          <w:rFonts w:hint="eastAsia"/>
          <w:color w:val="auto"/>
          <w:sz w:val="28"/>
          <w:szCs w:val="28"/>
          <w:highlight w:val="none"/>
        </w:rPr>
        <w:t>第五部分 合同格式（仅供参考）</w:t>
      </w:r>
      <w:bookmarkEnd w:id="97"/>
      <w:bookmarkStart w:id="98" w:name="_Toc13430"/>
      <w:bookmarkStart w:id="99" w:name="_Toc21155"/>
      <w:bookmarkStart w:id="100" w:name="_Toc1534"/>
    </w:p>
    <w:p>
      <w:pPr>
        <w:pStyle w:val="5"/>
        <w:spacing w:before="0" w:after="0" w:line="240" w:lineRule="auto"/>
        <w:jc w:val="center"/>
        <w:rPr>
          <w:rFonts w:ascii="宋体" w:hAnsi="宋体" w:eastAsia="宋体" w:cs="宋体"/>
          <w:color w:val="auto"/>
          <w:highlight w:val="none"/>
        </w:rPr>
      </w:pPr>
      <w:bookmarkStart w:id="101" w:name="_Toc16730"/>
      <w:r>
        <w:rPr>
          <w:rFonts w:hint="eastAsia" w:ascii="宋体" w:hAnsi="宋体" w:eastAsia="宋体" w:cs="宋体"/>
          <w:color w:val="auto"/>
          <w:highlight w:val="none"/>
        </w:rPr>
        <w:t>合同格式</w:t>
      </w:r>
      <w:bookmarkEnd w:id="98"/>
      <w:bookmarkEnd w:id="99"/>
      <w:bookmarkEnd w:id="100"/>
      <w:bookmarkEnd w:id="101"/>
    </w:p>
    <w:p>
      <w:pPr>
        <w:spacing w:line="420" w:lineRule="atLeas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乙方：“ ”为中标单位</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采购项目（采购项目编号为）进行采购，于年月日通过公开招标，经评标委员会评定乙方为中标单位。为了保护甲、乙双方合法权益，根据《中华人民共和国政府采购法》及其实施条例、《中华人民共和国</w:t>
      </w:r>
      <w:r>
        <w:rPr>
          <w:rFonts w:hint="eastAsia" w:eastAsia="宋体"/>
          <w:color w:val="auto"/>
          <w:highlight w:val="none"/>
          <w:lang w:val="en-US" w:eastAsia="zh-CN"/>
        </w:rPr>
        <w:t>民法典</w:t>
      </w:r>
      <w:r>
        <w:rPr>
          <w:rFonts w:hint="eastAsia" w:ascii="宋体" w:hAnsi="宋体" w:eastAsia="宋体"/>
          <w:color w:val="auto"/>
          <w:sz w:val="21"/>
          <w:szCs w:val="21"/>
          <w:highlight w:val="none"/>
        </w:rPr>
        <w:t>》，在平等自愿的基础上，按照下面的条款和条件，签署本合同。</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2、采购项目编号：                   。</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highlight w:val="none"/>
        </w:rPr>
      </w:pPr>
      <w:bookmarkStart w:id="102" w:name="_Toc86481558"/>
      <w:r>
        <w:rPr>
          <w:rFonts w:hint="eastAsia" w:ascii="宋体" w:hAnsi="宋体" w:eastAsia="宋体"/>
          <w:b/>
          <w:color w:val="auto"/>
          <w:sz w:val="21"/>
          <w:szCs w:val="21"/>
          <w:highlight w:val="none"/>
        </w:rPr>
        <w:t>第三条 服务内容、标准及要求</w:t>
      </w:r>
    </w:p>
    <w:p>
      <w:pPr>
        <w:spacing w:after="0" w:line="360" w:lineRule="auto"/>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2、合同总价：（人民币）大写 （¥）</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pPr>
        <w:pStyle w:val="17"/>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p>
    <w:p>
      <w:pPr>
        <w:pStyle w:val="17"/>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pPr>
        <w:pStyle w:val="17"/>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17"/>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17"/>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pPr>
        <w:pStyle w:val="17"/>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17"/>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17"/>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pPr>
        <w:spacing w:after="0"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1、合同双方任何一方不履行合同条款或不按合同约定履行条款的其它情况，均属违约，由违约方承担违约责任，赔偿因其违约造成的损失，并支付合同价款总额%的违约金。</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p>
    <w:bookmarkEnd w:id="102"/>
    <w:p>
      <w:pPr>
        <w:spacing w:after="0" w:line="360" w:lineRule="auto"/>
        <w:ind w:firstLine="422" w:firstLineChars="200"/>
        <w:rPr>
          <w:rFonts w:ascii="宋体" w:hAnsi="宋体" w:eastAsia="宋体"/>
          <w:b/>
          <w:color w:val="auto"/>
          <w:sz w:val="21"/>
          <w:szCs w:val="21"/>
          <w:highlight w:val="none"/>
        </w:rPr>
      </w:pPr>
      <w:bookmarkStart w:id="103" w:name="_Toc86481570"/>
      <w:r>
        <w:rPr>
          <w:rFonts w:hint="eastAsia" w:ascii="宋体" w:hAnsi="宋体" w:eastAsia="宋体"/>
          <w:b/>
          <w:color w:val="auto"/>
          <w:sz w:val="21"/>
          <w:szCs w:val="21"/>
          <w:highlight w:val="none"/>
        </w:rPr>
        <w:t>第十一条 争议的解决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pPr>
        <w:spacing w:after="0" w:line="360" w:lineRule="auto"/>
        <w:ind w:firstLine="422" w:firstLineChars="200"/>
        <w:rPr>
          <w:rFonts w:ascii="宋体" w:hAnsi="宋体" w:eastAsia="宋体"/>
          <w:b/>
          <w:color w:val="auto"/>
          <w:sz w:val="21"/>
          <w:szCs w:val="21"/>
          <w:highlight w:val="none"/>
        </w:rPr>
      </w:pPr>
      <w:bookmarkStart w:id="104" w:name="_Toc86481569"/>
      <w:r>
        <w:rPr>
          <w:rFonts w:hint="eastAsia" w:ascii="宋体" w:hAnsi="宋体" w:eastAsia="宋体"/>
          <w:b/>
          <w:color w:val="auto"/>
          <w:sz w:val="21"/>
          <w:szCs w:val="21"/>
          <w:highlight w:val="none"/>
        </w:rPr>
        <w:t>第十二条 合同生效</w:t>
      </w:r>
      <w:bookmarkEnd w:id="104"/>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103"/>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法定代表(签字)：                   法定代表(签字)：</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                             电话：</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开户银行：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账号：                             账号：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4"/>
        <w:spacing w:before="0" w:after="0" w:line="240" w:lineRule="auto"/>
        <w:rPr>
          <w:color w:val="auto"/>
          <w:sz w:val="28"/>
          <w:szCs w:val="28"/>
          <w:highlight w:val="none"/>
        </w:rPr>
      </w:pPr>
      <w:bookmarkStart w:id="105" w:name="_Toc23749"/>
      <w:r>
        <w:rPr>
          <w:rFonts w:hint="eastAsia"/>
          <w:color w:val="auto"/>
          <w:sz w:val="28"/>
          <w:szCs w:val="28"/>
          <w:highlight w:val="none"/>
        </w:rPr>
        <w:t>第六部分  附件－投标文件格式</w:t>
      </w:r>
      <w:bookmarkEnd w:id="105"/>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106" w:name="_Toc26830"/>
      <w:r>
        <w:rPr>
          <w:rFonts w:hint="eastAsia" w:ascii="宋体" w:hAnsi="宋体" w:eastAsia="宋体"/>
          <w:color w:val="auto"/>
          <w:sz w:val="21"/>
          <w:szCs w:val="21"/>
          <w:highlight w:val="none"/>
        </w:rPr>
        <w:t>附件1.投标文件目录</w:t>
      </w:r>
      <w:bookmarkEnd w:id="106"/>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07" w:name="_Toc18893"/>
      <w:r>
        <w:rPr>
          <w:rFonts w:hint="eastAsia" w:ascii="宋体" w:hAnsi="宋体" w:eastAsia="宋体"/>
          <w:color w:val="auto"/>
          <w:sz w:val="21"/>
          <w:szCs w:val="21"/>
          <w:highlight w:val="none"/>
        </w:rPr>
        <w:t>附件1-1 评分标准索引表</w:t>
      </w:r>
      <w:bookmarkEnd w:id="107"/>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9"/>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2"/>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08" w:name="_Toc30640"/>
      <w:r>
        <w:rPr>
          <w:rFonts w:hint="eastAsia" w:ascii="宋体" w:hAnsi="宋体" w:eastAsia="宋体"/>
          <w:color w:val="auto"/>
          <w:sz w:val="21"/>
          <w:szCs w:val="21"/>
          <w:highlight w:val="none"/>
        </w:rPr>
        <w:t>附件2.投标书格式</w:t>
      </w:r>
      <w:bookmarkEnd w:id="108"/>
    </w:p>
    <w:p>
      <w:pPr>
        <w:jc w:val="center"/>
        <w:rPr>
          <w:rFonts w:ascii="宋体" w:hAnsi="宋体" w:eastAsia="宋体"/>
          <w:color w:val="auto"/>
          <w:sz w:val="21"/>
          <w:szCs w:val="21"/>
          <w:highlight w:val="none"/>
        </w:rPr>
      </w:pPr>
      <w:r>
        <w:rPr>
          <w:rFonts w:hint="eastAsia" w:ascii="黑体" w:eastAsia="黑体"/>
          <w:color w:val="auto"/>
          <w:sz w:val="32"/>
          <w:szCs w:val="32"/>
          <w:highlight w:val="none"/>
        </w:rPr>
        <w:t>投标书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360" w:lineRule="auto"/>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 xml:space="preserve">个日历日。 </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spacing w:after="0" w:line="360" w:lineRule="auto"/>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投标人名称（全称）：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投标人银行帐号：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6"/>
        <w:widowControl w:val="0"/>
        <w:overflowPunct w:val="0"/>
        <w:spacing w:before="0" w:after="0" w:line="240" w:lineRule="auto"/>
        <w:rPr>
          <w:rFonts w:ascii="宋体" w:hAnsi="宋体" w:eastAsia="宋体"/>
          <w:color w:val="auto"/>
          <w:sz w:val="21"/>
          <w:szCs w:val="21"/>
          <w:highlight w:val="none"/>
        </w:rPr>
      </w:pPr>
      <w:bookmarkStart w:id="109" w:name="_Toc6866"/>
      <w:r>
        <w:rPr>
          <w:rFonts w:hint="eastAsia" w:ascii="宋体" w:hAnsi="宋体" w:eastAsia="宋体"/>
          <w:color w:val="auto"/>
          <w:sz w:val="21"/>
          <w:szCs w:val="21"/>
          <w:highlight w:val="none"/>
        </w:rPr>
        <w:t>附件3.开标一览表格式</w:t>
      </w:r>
      <w:bookmarkEnd w:id="109"/>
    </w:p>
    <w:p>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tbl>
      <w:tblPr>
        <w:tblStyle w:val="19"/>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投标</w:t>
            </w:r>
            <w:r>
              <w:rPr>
                <w:rFonts w:hint="eastAsia" w:ascii="宋体" w:hAnsi="宋体"/>
                <w:color w:val="auto"/>
                <w:sz w:val="21"/>
                <w:szCs w:val="21"/>
                <w:highlight w:val="none"/>
                <w:lang w:val="en-US" w:eastAsia="zh-CN"/>
              </w:rPr>
              <w:t>下浮率</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tc>
        <w:tc>
          <w:tcPr>
            <w:tcW w:w="3262"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color w:val="auto"/>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3262"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57"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2、此表应按投标人须知的规定密封标记并与《授权委托书》、《投标保证金汇入情况说明》同密封单独提交。</w:t>
      </w:r>
    </w:p>
    <w:p>
      <w:pPr>
        <w:spacing w:after="0" w:line="360" w:lineRule="auto"/>
        <w:ind w:left="357"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3、未按招标文件要求报价、填写开标一览表是导致投标人废标的常见问题，请投标人仔细填写，认真核对。</w:t>
      </w: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10" w:name="_Toc3254"/>
      <w:r>
        <w:rPr>
          <w:rFonts w:hint="eastAsia" w:ascii="宋体" w:hAnsi="宋体" w:eastAsia="宋体"/>
          <w:color w:val="auto"/>
          <w:sz w:val="21"/>
          <w:szCs w:val="21"/>
          <w:highlight w:val="none"/>
        </w:rPr>
        <w:t xml:space="preserve">附件4. </w:t>
      </w:r>
      <w:r>
        <w:rPr>
          <w:rFonts w:hint="eastAsia" w:ascii="宋体" w:hAnsi="宋体" w:eastAsia="宋体" w:cs="Times New Roman"/>
          <w:color w:val="auto"/>
          <w:sz w:val="21"/>
          <w:szCs w:val="21"/>
          <w:highlight w:val="none"/>
        </w:rPr>
        <w:t>投标分项报价表格式</w:t>
      </w:r>
      <w:bookmarkEnd w:id="110"/>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货物（服务）分项报价表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7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服务要求</w:t>
            </w: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pPr>
        <w:rPr>
          <w:rFonts w:ascii="宋体" w:hAnsi="宋体" w:eastAsia="宋体" w:cs="宋体"/>
          <w:b/>
          <w:color w:val="auto"/>
          <w:sz w:val="21"/>
          <w:szCs w:val="21"/>
          <w:highlight w:val="none"/>
        </w:rPr>
      </w:pPr>
    </w:p>
    <w:p>
      <w:pP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小型和微型企业（货物、承担的工程或者服务）列价表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75" w:type="dxa"/>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品牌及原产地</w:t>
            </w:r>
          </w:p>
        </w:tc>
        <w:tc>
          <w:tcPr>
            <w:tcW w:w="118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7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972"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60" w:type="dxa"/>
            <w:gridSpan w:val="6"/>
            <w:vAlign w:val="center"/>
          </w:tcPr>
          <w:p>
            <w:pPr>
              <w:spacing w:after="0"/>
              <w:rPr>
                <w:rFonts w:ascii="宋体" w:hAnsi="宋体" w:eastAsia="宋体" w:cs="宋体"/>
                <w:color w:val="auto"/>
                <w:sz w:val="21"/>
                <w:szCs w:val="21"/>
                <w:highlight w:val="none"/>
              </w:rPr>
            </w:pPr>
            <w:r>
              <w:rPr>
                <w:rStyle w:val="38"/>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注：1、投标人在“货物（服务）分项报价表”中的报价内容中，如有属于</w:t>
            </w:r>
            <w:r>
              <w:rPr>
                <w:rFonts w:hint="eastAsia" w:ascii="宋体" w:hAnsi="宋体" w:eastAsia="宋体" w:cs="宋体"/>
                <w:b/>
                <w:color w:val="auto"/>
                <w:sz w:val="21"/>
                <w:szCs w:val="21"/>
                <w:highlight w:val="none"/>
              </w:rPr>
              <w:t>小型和微型企业产品（货物、承担的工程或者服务）的，必须在此表单独列明，否则在计算价格得分时不予以相应的扣除</w:t>
            </w:r>
            <w:r>
              <w:rPr>
                <w:rStyle w:val="38"/>
                <w:rFonts w:hint="eastAsia" w:ascii="宋体" w:hAnsi="宋体" w:eastAsia="宋体" w:cs="宋体"/>
                <w:b/>
                <w:color w:val="auto"/>
                <w:sz w:val="21"/>
                <w:szCs w:val="21"/>
                <w:highlight w:val="none"/>
              </w:rPr>
              <w:t>；</w:t>
            </w:r>
          </w:p>
          <w:p>
            <w:pPr>
              <w:tabs>
                <w:tab w:val="left" w:pos="284"/>
              </w:tabs>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8"/>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pStyle w:val="28"/>
        <w:spacing w:after="0" w:line="36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节能产品或环境标志产品列价表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vAlign w:val="center"/>
          </w:tcPr>
          <w:p>
            <w:pPr>
              <w:spacing w:after="0"/>
              <w:rPr>
                <w:rFonts w:ascii="宋体" w:hAnsi="宋体" w:eastAsia="宋体" w:cs="宋体"/>
                <w:color w:val="auto"/>
                <w:sz w:val="21"/>
                <w:szCs w:val="21"/>
                <w:highlight w:val="none"/>
              </w:rPr>
            </w:pPr>
            <w:r>
              <w:rPr>
                <w:rStyle w:val="38"/>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8"/>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11" w:name="_Toc16412"/>
      <w:r>
        <w:rPr>
          <w:rFonts w:hint="eastAsia" w:ascii="宋体" w:hAnsi="宋体" w:eastAsia="宋体"/>
          <w:color w:val="auto"/>
          <w:sz w:val="21"/>
          <w:szCs w:val="21"/>
          <w:highlight w:val="none"/>
        </w:rPr>
        <w:t>附件5. 法定代表人证明书格式</w:t>
      </w:r>
      <w:bookmarkEnd w:id="111"/>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31"/>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1"/>
        <w:spacing w:line="420" w:lineRule="atLeast"/>
        <w:ind w:firstLine="433"/>
        <w:rPr>
          <w:rFonts w:ascii="宋体" w:eastAsia="宋体"/>
          <w:color w:val="auto"/>
          <w:sz w:val="21"/>
          <w:szCs w:val="21"/>
          <w:highlight w:val="none"/>
        </w:rPr>
      </w:pPr>
    </w:p>
    <w:p>
      <w:pPr>
        <w:pStyle w:val="31"/>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31"/>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31"/>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31"/>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pPr>
        <w:pStyle w:val="31"/>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19"/>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6"/>
        <w:widowControl w:val="0"/>
        <w:overflowPunct w:val="0"/>
        <w:spacing w:before="0" w:after="0" w:line="240" w:lineRule="auto"/>
        <w:rPr>
          <w:color w:val="auto"/>
          <w:highlight w:val="none"/>
        </w:rPr>
      </w:pPr>
      <w:bookmarkStart w:id="112" w:name="_Toc31205"/>
      <w:r>
        <w:rPr>
          <w:rFonts w:hint="eastAsia" w:ascii="宋体" w:hAnsi="宋体" w:eastAsia="宋体"/>
          <w:color w:val="auto"/>
          <w:sz w:val="21"/>
          <w:szCs w:val="21"/>
          <w:highlight w:val="none"/>
        </w:rPr>
        <w:t>附件6.法定代表人授权书格式</w:t>
      </w:r>
      <w:bookmarkEnd w:id="112"/>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31"/>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1"/>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1"/>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31"/>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31"/>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1"/>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19"/>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113" w:name="_Toc22486"/>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14" w:name="_Toc17164"/>
      <w:r>
        <w:rPr>
          <w:rFonts w:hint="eastAsia" w:ascii="宋体" w:hAnsi="宋体" w:eastAsia="宋体"/>
          <w:color w:val="auto"/>
          <w:sz w:val="21"/>
          <w:szCs w:val="21"/>
          <w:highlight w:val="none"/>
        </w:rPr>
        <w:t>附件7.资格申明</w:t>
      </w:r>
      <w:bookmarkEnd w:id="114"/>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31"/>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lang w:eastAsia="zh-CN"/>
        </w:rPr>
        <w:t>广东政通招标有限公司</w:t>
      </w:r>
      <w:r>
        <w:rPr>
          <w:rFonts w:hint="eastAsia" w:ascii="宋体" w:eastAsia="宋体"/>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15" w:name="_Toc27839"/>
      <w:r>
        <w:rPr>
          <w:rFonts w:hint="eastAsia" w:ascii="宋体" w:hAnsi="宋体" w:eastAsia="宋体"/>
          <w:color w:val="auto"/>
          <w:sz w:val="21"/>
          <w:szCs w:val="21"/>
          <w:highlight w:val="none"/>
        </w:rPr>
        <w:t>附件8.营业执照</w:t>
      </w:r>
      <w:bookmarkEnd w:id="115"/>
    </w:p>
    <w:p>
      <w:pPr>
        <w:jc w:val="center"/>
        <w:rPr>
          <w:rFonts w:ascii="黑体" w:eastAsia="黑体"/>
          <w:color w:val="auto"/>
          <w:sz w:val="28"/>
          <w:szCs w:val="28"/>
          <w:highlight w:val="none"/>
        </w:rPr>
      </w:pPr>
      <w:bookmarkStart w:id="116" w:name="_Toc24210"/>
      <w:bookmarkStart w:id="117" w:name="_Toc5919"/>
      <w:bookmarkStart w:id="118" w:name="_Toc1511"/>
      <w:bookmarkStart w:id="119" w:name="_Toc4926"/>
      <w:bookmarkStart w:id="120" w:name="_Toc17470"/>
      <w:r>
        <w:rPr>
          <w:rFonts w:hint="eastAsia" w:ascii="黑体" w:eastAsia="黑体"/>
          <w:color w:val="auto"/>
          <w:sz w:val="28"/>
          <w:szCs w:val="28"/>
          <w:highlight w:val="none"/>
        </w:rPr>
        <w:t>营业执照</w:t>
      </w:r>
      <w:bookmarkEnd w:id="116"/>
      <w:bookmarkEnd w:id="117"/>
      <w:bookmarkEnd w:id="118"/>
      <w:bookmarkEnd w:id="119"/>
      <w:bookmarkEnd w:id="120"/>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21" w:name="_Toc26141"/>
      <w:r>
        <w:rPr>
          <w:rFonts w:hint="eastAsia" w:ascii="宋体" w:hAnsi="宋体" w:eastAsia="宋体"/>
          <w:color w:val="auto"/>
          <w:sz w:val="21"/>
          <w:szCs w:val="21"/>
          <w:highlight w:val="none"/>
        </w:rPr>
        <w:t>附件9.相关资质证明文件</w:t>
      </w:r>
      <w:bookmarkEnd w:id="121"/>
    </w:p>
    <w:p>
      <w:pPr>
        <w:rPr>
          <w:color w:val="auto"/>
          <w:highlight w:val="none"/>
        </w:rPr>
      </w:pPr>
    </w:p>
    <w:p>
      <w:pPr>
        <w:jc w:val="center"/>
        <w:rPr>
          <w:rFonts w:ascii="黑体" w:eastAsia="黑体"/>
          <w:color w:val="auto"/>
          <w:sz w:val="28"/>
          <w:szCs w:val="28"/>
          <w:highlight w:val="none"/>
        </w:rPr>
      </w:pPr>
      <w:bookmarkStart w:id="122" w:name="_Toc30307"/>
      <w:bookmarkStart w:id="123" w:name="_Toc16233"/>
      <w:bookmarkStart w:id="124" w:name="_Toc16698"/>
      <w:bookmarkStart w:id="125" w:name="_Toc9592"/>
      <w:bookmarkStart w:id="126" w:name="_Toc13458"/>
      <w:r>
        <w:rPr>
          <w:rFonts w:hint="eastAsia" w:ascii="黑体" w:eastAsia="黑体"/>
          <w:color w:val="auto"/>
          <w:sz w:val="28"/>
          <w:szCs w:val="28"/>
          <w:highlight w:val="none"/>
        </w:rPr>
        <w:t>相关资质证明文件</w:t>
      </w:r>
      <w:bookmarkEnd w:id="113"/>
      <w:bookmarkEnd w:id="122"/>
      <w:bookmarkEnd w:id="123"/>
      <w:bookmarkEnd w:id="124"/>
      <w:bookmarkEnd w:id="125"/>
      <w:bookmarkEnd w:id="126"/>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27" w:name="_Toc17618"/>
      <w:r>
        <w:rPr>
          <w:rFonts w:hint="eastAsia" w:ascii="宋体" w:hAnsi="宋体" w:eastAsia="宋体"/>
          <w:color w:val="auto"/>
          <w:sz w:val="21"/>
          <w:szCs w:val="21"/>
          <w:highlight w:val="none"/>
        </w:rPr>
        <w:t>附件10. 商务条款偏离表格式</w:t>
      </w:r>
      <w:bookmarkEnd w:id="127"/>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19"/>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2、商务条款包括但不限于合格投标人资格、付款方式、履约保证金、完工期、售后服务、检验及验收等要求。</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3、若文件有具体要求的，应按照文件要求进行逐一响应，并提供相应的证明材料。</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28" w:name="_Toc32183"/>
      <w:r>
        <w:rPr>
          <w:rFonts w:hint="eastAsia" w:ascii="宋体" w:hAnsi="宋体" w:eastAsia="宋体"/>
          <w:color w:val="auto"/>
          <w:sz w:val="21"/>
          <w:szCs w:val="21"/>
          <w:highlight w:val="none"/>
        </w:rPr>
        <w:t>附件11. 技术规格偏离表格式</w:t>
      </w:r>
      <w:bookmarkEnd w:id="128"/>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90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技术规格</w:t>
            </w:r>
          </w:p>
        </w:tc>
        <w:tc>
          <w:tcPr>
            <w:tcW w:w="137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129" w:name="_Toc17691"/>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s="Times New Roman"/>
          <w:b w:val="0"/>
          <w:bCs w:val="0"/>
          <w:color w:val="auto"/>
          <w:sz w:val="32"/>
          <w:szCs w:val="32"/>
          <w:highlight w:val="none"/>
        </w:rPr>
      </w:pPr>
      <w:bookmarkStart w:id="130" w:name="_Toc29613"/>
      <w:r>
        <w:rPr>
          <w:rFonts w:hint="eastAsia" w:ascii="宋体" w:hAnsi="宋体" w:eastAsia="宋体"/>
          <w:color w:val="auto"/>
          <w:sz w:val="21"/>
          <w:szCs w:val="21"/>
          <w:highlight w:val="none"/>
        </w:rPr>
        <w:t>附件12.重要技术参数（▲）响应表</w:t>
      </w:r>
      <w:bookmarkEnd w:id="129"/>
      <w:bookmarkEnd w:id="130"/>
    </w:p>
    <w:p>
      <w:pPr>
        <w:jc w:val="center"/>
        <w:rPr>
          <w:rFonts w:ascii="黑体" w:eastAsia="黑体"/>
          <w:color w:val="auto"/>
          <w:sz w:val="28"/>
          <w:szCs w:val="28"/>
          <w:highlight w:val="none"/>
        </w:rPr>
      </w:pPr>
      <w:bookmarkStart w:id="131" w:name="_Toc1274"/>
      <w:bookmarkStart w:id="132" w:name="_Toc26078"/>
      <w:bookmarkStart w:id="133" w:name="_Toc4464"/>
      <w:bookmarkStart w:id="134" w:name="_Toc6080"/>
      <w:bookmarkStart w:id="135" w:name="_Toc18668"/>
      <w:bookmarkStart w:id="136" w:name="_Toc4827"/>
    </w:p>
    <w:p>
      <w:pPr>
        <w:jc w:val="center"/>
        <w:rPr>
          <w:rFonts w:ascii="黑体" w:eastAsia="黑体"/>
          <w:color w:val="auto"/>
          <w:sz w:val="28"/>
          <w:szCs w:val="28"/>
          <w:highlight w:val="none"/>
        </w:rPr>
      </w:pPr>
      <w:r>
        <w:rPr>
          <w:rFonts w:hint="eastAsia" w:ascii="黑体" w:eastAsia="黑体"/>
          <w:color w:val="auto"/>
          <w:sz w:val="28"/>
          <w:szCs w:val="28"/>
          <w:highlight w:val="none"/>
        </w:rPr>
        <w:t>重要技术参数（▲）响应表</w:t>
      </w:r>
      <w:bookmarkEnd w:id="131"/>
      <w:bookmarkEnd w:id="132"/>
      <w:bookmarkEnd w:id="133"/>
      <w:bookmarkEnd w:id="134"/>
      <w:bookmarkEnd w:id="135"/>
      <w:bookmarkEnd w:id="136"/>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bookmarkStart w:id="137" w:name="_Toc27090"/>
            <w:bookmarkStart w:id="138" w:name="_Toc2700"/>
            <w:bookmarkStart w:id="139" w:name="_Toc12049"/>
            <w:bookmarkStart w:id="140" w:name="_Toc21739"/>
            <w:bookmarkStart w:id="141" w:name="_Toc16872"/>
            <w:bookmarkStart w:id="142" w:name="_Toc10045"/>
            <w:bookmarkStart w:id="143" w:name="_Toc4304"/>
            <w:bookmarkStart w:id="144" w:name="_Toc22448"/>
            <w:bookmarkStart w:id="145" w:name="_Toc14815"/>
            <w:bookmarkStart w:id="146" w:name="_Toc15903"/>
            <w:r>
              <w:rPr>
                <w:rFonts w:hint="eastAsia" w:ascii="宋体" w:hAnsi="宋体" w:eastAsia="宋体" w:cs="Times New Roman"/>
                <w:color w:val="auto"/>
                <w:sz w:val="21"/>
                <w:szCs w:val="21"/>
                <w:highlight w:val="none"/>
              </w:rPr>
              <w:t>技术参数（▲）</w:t>
            </w:r>
            <w:bookmarkEnd w:id="137"/>
            <w:bookmarkEnd w:id="138"/>
            <w:bookmarkEnd w:id="139"/>
            <w:bookmarkEnd w:id="140"/>
            <w:bookmarkEnd w:id="141"/>
            <w:bookmarkEnd w:id="142"/>
            <w:bookmarkEnd w:id="143"/>
            <w:bookmarkEnd w:id="144"/>
            <w:bookmarkEnd w:id="145"/>
            <w:bookmarkEnd w:id="146"/>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bookmarkStart w:id="147" w:name="_Toc27442"/>
            <w:bookmarkStart w:id="148" w:name="_Toc24662"/>
            <w:bookmarkStart w:id="149" w:name="_Toc21809"/>
            <w:bookmarkStart w:id="150" w:name="_Toc22879"/>
            <w:bookmarkStart w:id="151" w:name="_Toc19251"/>
            <w:bookmarkStart w:id="152" w:name="_Toc7333"/>
            <w:bookmarkStart w:id="153" w:name="_Toc8490"/>
            <w:bookmarkStart w:id="154" w:name="_Toc32531"/>
            <w:bookmarkStart w:id="155" w:name="_Toc22917"/>
            <w:bookmarkStart w:id="156" w:name="_Toc8312"/>
            <w:r>
              <w:rPr>
                <w:rFonts w:hint="eastAsia" w:ascii="宋体" w:hAnsi="宋体" w:eastAsia="宋体" w:cs="Times New Roman"/>
                <w:color w:val="auto"/>
                <w:sz w:val="21"/>
                <w:szCs w:val="21"/>
                <w:highlight w:val="none"/>
              </w:rPr>
              <w:t>是否响应</w:t>
            </w:r>
            <w:bookmarkEnd w:id="147"/>
            <w:bookmarkEnd w:id="148"/>
            <w:bookmarkEnd w:id="149"/>
            <w:bookmarkEnd w:id="150"/>
            <w:bookmarkEnd w:id="151"/>
            <w:bookmarkEnd w:id="152"/>
            <w:bookmarkEnd w:id="153"/>
            <w:bookmarkEnd w:id="154"/>
            <w:bookmarkEnd w:id="155"/>
            <w:bookmarkEnd w:id="156"/>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bookmarkStart w:id="157" w:name="_Toc17296"/>
            <w:bookmarkStart w:id="158" w:name="_Toc1330"/>
            <w:bookmarkStart w:id="159" w:name="_Toc20820"/>
            <w:bookmarkStart w:id="160" w:name="_Toc20139"/>
            <w:bookmarkStart w:id="161" w:name="_Toc5992"/>
            <w:bookmarkStart w:id="162" w:name="_Toc3701"/>
            <w:bookmarkStart w:id="163" w:name="_Toc5563"/>
            <w:bookmarkStart w:id="164" w:name="_Toc27185"/>
            <w:bookmarkStart w:id="165" w:name="_Toc1912"/>
            <w:bookmarkStart w:id="166" w:name="_Toc17642"/>
            <w:r>
              <w:rPr>
                <w:rFonts w:hint="eastAsia" w:ascii="宋体" w:hAnsi="宋体" w:eastAsia="宋体" w:cs="Times New Roman"/>
                <w:color w:val="auto"/>
                <w:sz w:val="21"/>
                <w:szCs w:val="21"/>
                <w:highlight w:val="none"/>
              </w:rPr>
              <w:t>页码范围</w:t>
            </w:r>
            <w:bookmarkEnd w:id="157"/>
            <w:bookmarkEnd w:id="158"/>
            <w:bookmarkEnd w:id="159"/>
            <w:bookmarkEnd w:id="160"/>
            <w:bookmarkEnd w:id="161"/>
            <w:bookmarkEnd w:id="162"/>
            <w:bookmarkEnd w:id="163"/>
            <w:bookmarkEnd w:id="164"/>
            <w:bookmarkEnd w:id="165"/>
            <w:bookmarkEnd w:id="1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bl>
    <w:p>
      <w:pPr>
        <w:pStyle w:val="28"/>
        <w:spacing w:after="0" w:line="360" w:lineRule="auto"/>
        <w:rPr>
          <w:rFonts w:ascii="宋体" w:hAnsi="宋体" w:eastAsia="宋体"/>
          <w:color w:val="auto"/>
          <w:sz w:val="21"/>
          <w:szCs w:val="21"/>
          <w:highlight w:val="none"/>
        </w:rPr>
      </w:pPr>
    </w:p>
    <w:p>
      <w:pPr>
        <w:pStyle w:val="28"/>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8"/>
        <w:numPr>
          <w:ilvl w:val="0"/>
          <w:numId w:val="11"/>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8"/>
        <w:numPr>
          <w:ilvl w:val="0"/>
          <w:numId w:val="11"/>
        </w:numPr>
        <w:spacing w:after="0" w:line="360" w:lineRule="auto"/>
        <w:ind w:firstLine="42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投标人可按项目的实际需要提供本表格。招标文件内未涉及▲参数的，此表可以不用提供。</w:t>
      </w:r>
    </w:p>
    <w:p>
      <w:pPr>
        <w:pStyle w:val="28"/>
        <w:numPr>
          <w:ilvl w:val="0"/>
          <w:numId w:val="11"/>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响应表所列出的材料应为真实准确的，若文件需要，应提供相关证明材料复印件加盖公章。请勿提供虚假、过期材料，否则将依据相关规定严肃处理</w:t>
      </w:r>
    </w:p>
    <w:p>
      <w:pPr>
        <w:pStyle w:val="28"/>
        <w:numPr>
          <w:ilvl w:val="0"/>
          <w:numId w:val="11"/>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若招标文件有需求，投标文件未提供重要技术参数（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）响应表对投标人投标产生负面影响的，投标人自行承担后果。</w:t>
      </w:r>
    </w:p>
    <w:p>
      <w:pPr>
        <w:pStyle w:val="28"/>
        <w:numPr>
          <w:ilvl w:val="0"/>
          <w:numId w:val="11"/>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30"/>
          <w:szCs w:val="30"/>
          <w:highlight w:val="none"/>
        </w:rPr>
      </w:pPr>
      <w:bookmarkStart w:id="167" w:name="_Toc27674"/>
      <w:r>
        <w:rPr>
          <w:rFonts w:hint="eastAsia" w:ascii="宋体" w:hAnsi="宋体" w:eastAsia="宋体"/>
          <w:color w:val="auto"/>
          <w:sz w:val="21"/>
          <w:szCs w:val="21"/>
          <w:highlight w:val="none"/>
        </w:rPr>
        <w:t>附件13.业绩表</w:t>
      </w:r>
      <w:bookmarkEnd w:id="167"/>
    </w:p>
    <w:p>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20"/>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697"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706"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697" w:type="dxa"/>
            <w:vAlign w:val="center"/>
          </w:tcPr>
          <w:p>
            <w:pPr>
              <w:adjustRightInd/>
              <w:snapToGrid/>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bl>
    <w:p>
      <w:pPr>
        <w:pStyle w:val="28"/>
        <w:spacing w:after="0"/>
        <w:rPr>
          <w:rFonts w:ascii="宋体" w:hAnsi="宋体" w:eastAsia="宋体"/>
          <w:color w:val="auto"/>
          <w:sz w:val="21"/>
          <w:szCs w:val="21"/>
          <w:highlight w:val="none"/>
        </w:rPr>
      </w:pPr>
    </w:p>
    <w:p>
      <w:pPr>
        <w:pStyle w:val="28"/>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8"/>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8"/>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28"/>
        <w:numPr>
          <w:ilvl w:val="0"/>
          <w:numId w:val="12"/>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68" w:name="_Toc7860"/>
      <w:r>
        <w:rPr>
          <w:rFonts w:hint="eastAsia" w:ascii="宋体" w:hAnsi="宋体" w:eastAsia="宋体"/>
          <w:color w:val="auto"/>
          <w:sz w:val="21"/>
          <w:szCs w:val="21"/>
          <w:highlight w:val="none"/>
        </w:rPr>
        <w:t>附件14. 项目实施方案格式</w:t>
      </w:r>
      <w:bookmarkEnd w:id="168"/>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1、为完成本项目投标人临时投入的设备</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2、为完成本项目投标人投入的人员以及具体工作安排</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3、投标人为本项目制定的具体项目实施方案与项目实施流程</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after="0" w:line="360" w:lineRule="auto"/>
        <w:ind w:left="71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自行编写。</w:t>
      </w: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69" w:name="_Toc8596"/>
      <w:r>
        <w:rPr>
          <w:rFonts w:hint="eastAsia" w:ascii="宋体" w:hAnsi="宋体" w:eastAsia="宋体"/>
          <w:color w:val="auto"/>
          <w:sz w:val="21"/>
          <w:szCs w:val="21"/>
          <w:highlight w:val="none"/>
        </w:rPr>
        <w:t>附件15. 实施本项目的有关人员资料表格式</w:t>
      </w:r>
      <w:bookmarkEnd w:id="169"/>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19"/>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2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39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76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7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851"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85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78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1090" w:type="dxa"/>
            <w:tcBorders>
              <w:right w:val="single" w:color="auto" w:sz="6" w:space="0"/>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8"/>
        <w:numPr>
          <w:ilvl w:val="0"/>
          <w:numId w:val="1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投标人可按项目的实际需要或招标文件的要求提供本表格。</w:t>
      </w:r>
    </w:p>
    <w:p>
      <w:pPr>
        <w:pStyle w:val="28"/>
        <w:numPr>
          <w:ilvl w:val="0"/>
          <w:numId w:val="13"/>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8"/>
        <w:numPr>
          <w:ilvl w:val="0"/>
          <w:numId w:val="13"/>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如本项目不涉及此表内容，则无需提供此表。</w:t>
      </w: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70" w:name="_Toc21598"/>
      <w:r>
        <w:rPr>
          <w:rFonts w:hint="eastAsia" w:ascii="宋体" w:hAnsi="宋体" w:eastAsia="宋体"/>
          <w:color w:val="auto"/>
          <w:sz w:val="21"/>
          <w:szCs w:val="21"/>
          <w:highlight w:val="none"/>
        </w:rPr>
        <w:t>附件16.投标货物说明一览表格式</w:t>
      </w:r>
      <w:bookmarkEnd w:id="170"/>
    </w:p>
    <w:p>
      <w:pPr>
        <w:jc w:val="center"/>
        <w:rPr>
          <w:rFonts w:ascii="黑体" w:eastAsia="黑体"/>
          <w:color w:val="auto"/>
          <w:sz w:val="28"/>
          <w:szCs w:val="28"/>
          <w:highlight w:val="none"/>
        </w:rPr>
      </w:pPr>
    </w:p>
    <w:p>
      <w:pPr>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投标货物说明一览表</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177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货物名称</w:t>
            </w:r>
          </w:p>
        </w:tc>
        <w:tc>
          <w:tcPr>
            <w:tcW w:w="1618"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规格型号</w:t>
            </w:r>
          </w:p>
        </w:tc>
        <w:tc>
          <w:tcPr>
            <w:tcW w:w="1217"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1656"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单价</w:t>
            </w:r>
          </w:p>
        </w:tc>
        <w:tc>
          <w:tcPr>
            <w:tcW w:w="130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bl>
    <w:p>
      <w:pPr>
        <w:spacing w:after="0"/>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投标人盖章：</w:t>
      </w:r>
    </w:p>
    <w:p>
      <w:pPr>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pPr>
        <w:pStyle w:val="28"/>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1、投标人可按项目的实际需要提供本表格。</w:t>
      </w:r>
    </w:p>
    <w:p>
      <w:pPr>
        <w:pStyle w:val="28"/>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2、该表格为参考格式，投标人可按实际情况自行制订。</w:t>
      </w:r>
    </w:p>
    <w:p>
      <w:pPr>
        <w:pStyle w:val="28"/>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3、如本项目不涉及此表内容，则无需提供此表。</w:t>
      </w: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楷体_GB2312" w:eastAsia="楷体_GB2312"/>
          <w:color w:val="auto"/>
          <w:sz w:val="24"/>
          <w:highlight w:val="none"/>
        </w:rPr>
      </w:pPr>
      <w:bookmarkStart w:id="171" w:name="_Toc10094"/>
      <w:bookmarkStart w:id="172" w:name="_Toc417907703"/>
      <w:bookmarkStart w:id="173" w:name="_Toc21223"/>
      <w:r>
        <w:rPr>
          <w:rFonts w:hint="eastAsia" w:ascii="宋体" w:hAnsi="宋体" w:eastAsia="宋体"/>
          <w:color w:val="auto"/>
          <w:sz w:val="21"/>
          <w:szCs w:val="21"/>
          <w:highlight w:val="none"/>
        </w:rPr>
        <w:t>附件17.在经营活动中没有重大违法记录的书面声明格式</w:t>
      </w:r>
      <w:bookmarkEnd w:id="171"/>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投标人在参与政府采购活动前三年未有重大违法记录、没有不良信用记录的声明函</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广东政通招标有限公司</w:t>
      </w:r>
      <w:r>
        <w:rPr>
          <w:rFonts w:hint="eastAsia" w:ascii="宋体" w:hAnsi="宋体" w:eastAsia="宋体" w:cs="宋体"/>
          <w:color w:val="auto"/>
          <w:sz w:val="21"/>
          <w:szCs w:val="21"/>
          <w:highlight w:val="none"/>
        </w:rPr>
        <w:t>：</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6"/>
        <w:widowControl w:val="0"/>
        <w:overflowPunct w:val="0"/>
        <w:spacing w:before="0" w:after="0" w:line="240" w:lineRule="auto"/>
        <w:rPr>
          <w:color w:val="auto"/>
          <w:highlight w:val="none"/>
        </w:rPr>
      </w:pPr>
      <w:r>
        <w:rPr>
          <w:rFonts w:hint="eastAsia" w:ascii="宋体" w:hAnsi="宋体" w:eastAsia="宋体"/>
          <w:color w:val="auto"/>
          <w:sz w:val="21"/>
          <w:szCs w:val="21"/>
          <w:highlight w:val="none"/>
        </w:rPr>
        <w:t>附件18. 中小企业声明函（投标人为中小企业时适用）</w:t>
      </w:r>
      <w:bookmarkEnd w:id="172"/>
      <w:bookmarkEnd w:id="173"/>
    </w:p>
    <w:p>
      <w:pPr>
        <w:jc w:val="center"/>
        <w:rPr>
          <w:rFonts w:ascii="微软雅黑" w:hAnsi="微软雅黑" w:cs="微软雅黑"/>
          <w:b/>
          <w:color w:val="auto"/>
          <w:sz w:val="28"/>
          <w:szCs w:val="28"/>
          <w:highlight w:val="none"/>
        </w:rPr>
      </w:pPr>
    </w:p>
    <w:p>
      <w:pPr>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（货物）</w:t>
      </w:r>
    </w:p>
    <w:p>
      <w:pPr>
        <w:keepNext w:val="0"/>
        <w:keepLines w:val="0"/>
        <w:pageBreakBefore w:val="0"/>
        <w:widowControl/>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lang w:val="en-US" w:eastAsia="zh-CN"/>
        </w:rPr>
        <w:t>（含联合体中的中小企业、签订分包意向协议的中小企业）</w:t>
      </w:r>
      <w:r>
        <w:rPr>
          <w:rFonts w:hint="eastAsia" w:asciiTheme="minorEastAsia" w:hAnsiTheme="minorEastAsia" w:eastAsiaTheme="minorEastAsia" w:cstheme="minorEastAsia"/>
          <w:color w:val="auto"/>
          <w:sz w:val="21"/>
          <w:szCs w:val="21"/>
          <w:highlight w:val="none"/>
          <w:u w:val="none"/>
          <w:lang w:val="en-US" w:eastAsia="zh-CN"/>
        </w:rPr>
        <w:t>的具体情况如下：</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5"/>
          <w:rFonts w:hint="eastAsia" w:asciiTheme="minorEastAsia" w:hAnsiTheme="minorEastAsia" w:eastAsiaTheme="minorEastAsia" w:cstheme="minorEastAsia"/>
          <w:color w:val="auto"/>
          <w:sz w:val="21"/>
          <w:szCs w:val="21"/>
          <w:highlight w:val="none"/>
          <w:u w:val="none"/>
          <w:lang w:val="en-US" w:eastAsia="zh-CN"/>
        </w:rPr>
        <w:footnoteReference w:id="0"/>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本企业对上诉声明内容的真实性负责。如有虚假，将依法承担相应责任。</w:t>
      </w:r>
    </w:p>
    <w:p>
      <w:pPr>
        <w:pStyle w:val="2"/>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（工程、服务）</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eastAsiaTheme="minorEastAsia"/>
          <w:color w:val="auto"/>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5"/>
          <w:rFonts w:hint="eastAsia" w:asciiTheme="minorEastAsia" w:hAnsiTheme="minorEastAsia" w:eastAsiaTheme="minorEastAsia" w:cstheme="minorEastAsia"/>
          <w:color w:val="auto"/>
          <w:sz w:val="21"/>
          <w:szCs w:val="21"/>
          <w:highlight w:val="none"/>
          <w:u w:val="none"/>
          <w:lang w:val="en-US" w:eastAsia="zh-CN"/>
        </w:rPr>
        <w:footnoteReference w:id="1"/>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本企业对上诉声明内容的真实性负责。如有虚假，将依法承担相应责任。</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lef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1、投标人应根据</w:t>
      </w:r>
      <w:r>
        <w:rPr>
          <w:rFonts w:hint="eastAsia" w:ascii="宋体" w:hAnsi="宋体" w:eastAsia="宋体"/>
          <w:color w:val="auto"/>
          <w:sz w:val="21"/>
          <w:szCs w:val="21"/>
          <w:highlight w:val="none"/>
          <w:lang w:eastAsia="zh-CN"/>
        </w:rPr>
        <w:t>《政府采购促进中小企业发展管理办法》的通知（财库〔2020〕46号）</w:t>
      </w:r>
      <w:r>
        <w:rPr>
          <w:rFonts w:hint="eastAsia" w:ascii="宋体" w:hAnsi="宋体" w:eastAsia="宋体"/>
          <w:color w:val="auto"/>
          <w:sz w:val="21"/>
          <w:szCs w:val="21"/>
          <w:highlight w:val="none"/>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2、若投标人不属于规定的中小企业范围，或提供的产品不是中小企业制造的，则无需提供此表。</w:t>
      </w:r>
    </w:p>
    <w:p>
      <w:pPr>
        <w:spacing w:after="0" w:line="480" w:lineRule="auto"/>
        <w:ind w:firstLine="420" w:firstLineChars="200"/>
        <w:rPr>
          <w:rFonts w:ascii="楷体_GB2312" w:eastAsia="楷体_GB2312"/>
          <w:color w:val="auto"/>
          <w:sz w:val="24"/>
          <w:highlight w:val="none"/>
        </w:rPr>
      </w:pPr>
      <w:r>
        <w:rPr>
          <w:rFonts w:hint="eastAsia" w:ascii="宋体" w:hAnsi="宋体" w:eastAsia="宋体"/>
          <w:color w:val="auto"/>
          <w:sz w:val="21"/>
          <w:szCs w:val="21"/>
          <w:highlight w:val="none"/>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color w:val="auto"/>
          <w:sz w:val="24"/>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6"/>
        <w:widowControl w:val="0"/>
        <w:overflowPunct w:val="0"/>
        <w:spacing w:before="0" w:after="0" w:line="240" w:lineRule="auto"/>
        <w:rPr>
          <w:rFonts w:ascii="楷体_GB2312" w:eastAsia="楷体_GB2312"/>
          <w:color w:val="auto"/>
          <w:sz w:val="24"/>
          <w:highlight w:val="none"/>
        </w:rPr>
      </w:pPr>
      <w:bookmarkStart w:id="174" w:name="_Toc28081"/>
      <w:r>
        <w:rPr>
          <w:rFonts w:hint="eastAsia" w:ascii="宋体" w:hAnsi="宋体" w:eastAsia="宋体"/>
          <w:color w:val="auto"/>
          <w:sz w:val="21"/>
          <w:szCs w:val="21"/>
          <w:highlight w:val="none"/>
        </w:rPr>
        <w:t>附件19.《残疾人福利性单位声明函》（残疾人福利性单位适用）</w:t>
      </w:r>
      <w:bookmarkEnd w:id="174"/>
    </w:p>
    <w:p>
      <w:pPr>
        <w:jc w:val="cente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残疾人福利性单位声明函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单位名称（盖章）：</w:t>
      </w:r>
      <w:bookmarkStart w:id="175" w:name="_Toc510171693"/>
      <w:bookmarkStart w:id="176" w:name="_Toc509927455"/>
      <w:bookmarkStart w:id="177" w:name="_Toc508960153"/>
      <w:bookmarkStart w:id="178" w:name="_Toc508898066"/>
      <w:bookmarkStart w:id="179" w:name="_Toc509479530"/>
      <w:bookmarkStart w:id="180" w:name="_Toc508958703"/>
      <w:bookmarkStart w:id="181" w:name="_Toc30247"/>
      <w:bookmarkStart w:id="182" w:name="_Toc509844825"/>
      <w:bookmarkStart w:id="183" w:name="_Toc20910"/>
      <w:bookmarkStart w:id="184" w:name="_Toc22970"/>
      <w:bookmarkStart w:id="185" w:name="_Toc17761"/>
      <w:bookmarkStart w:id="186" w:name="_Toc30277"/>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bookmarkEnd w:id="175"/>
      <w:bookmarkEnd w:id="176"/>
      <w:bookmarkEnd w:id="177"/>
      <w:bookmarkEnd w:id="178"/>
      <w:bookmarkEnd w:id="179"/>
      <w:bookmarkEnd w:id="180"/>
      <w:bookmarkEnd w:id="181"/>
      <w:bookmarkEnd w:id="182"/>
      <w:bookmarkEnd w:id="183"/>
      <w:bookmarkEnd w:id="184"/>
      <w:bookmarkEnd w:id="185"/>
      <w:bookmarkEnd w:id="186"/>
    </w:p>
    <w:p>
      <w:pPr>
        <w:pStyle w:val="2"/>
        <w:rPr>
          <w:color w:val="auto"/>
          <w:highlight w:val="none"/>
        </w:rPr>
      </w:pPr>
    </w:p>
    <w:p>
      <w:pPr>
        <w:spacing w:after="0" w:line="480" w:lineRule="auto"/>
        <w:ind w:firstLine="420" w:firstLineChars="200"/>
        <w:rPr>
          <w:rFonts w:ascii="宋体" w:hAnsi="宋体" w:eastAsia="宋体"/>
          <w:color w:val="auto"/>
          <w:sz w:val="21"/>
          <w:szCs w:val="21"/>
          <w:highlight w:val="none"/>
        </w:rPr>
      </w:pPr>
      <w:bookmarkStart w:id="187" w:name="_Toc21053"/>
      <w:bookmarkStart w:id="188" w:name="_Toc510171694"/>
      <w:bookmarkStart w:id="189" w:name="_Toc508898067"/>
      <w:bookmarkStart w:id="190" w:name="_Toc31520"/>
      <w:bookmarkStart w:id="191" w:name="_Toc509844826"/>
      <w:bookmarkStart w:id="192" w:name="_Toc28527"/>
      <w:bookmarkStart w:id="193" w:name="_Toc508960154"/>
      <w:bookmarkStart w:id="194" w:name="_Toc5447"/>
      <w:bookmarkStart w:id="195" w:name="_Toc508958704"/>
      <w:bookmarkStart w:id="196" w:name="_Toc509479531"/>
      <w:bookmarkStart w:id="197" w:name="_Toc509927456"/>
      <w:bookmarkStart w:id="198" w:name="_Toc26216"/>
      <w:r>
        <w:rPr>
          <w:rFonts w:hint="eastAsia" w:ascii="宋体" w:hAnsi="宋体" w:eastAsia="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bookmarkEnd w:id="187"/>
      <w:bookmarkEnd w:id="188"/>
      <w:bookmarkEnd w:id="189"/>
      <w:bookmarkEnd w:id="190"/>
      <w:bookmarkEnd w:id="191"/>
      <w:bookmarkEnd w:id="192"/>
      <w:bookmarkEnd w:id="193"/>
      <w:bookmarkEnd w:id="194"/>
      <w:bookmarkEnd w:id="195"/>
      <w:bookmarkEnd w:id="196"/>
      <w:bookmarkEnd w:id="197"/>
      <w:bookmarkEnd w:id="198"/>
    </w:p>
    <w:p>
      <w:pPr>
        <w:spacing w:after="0" w:line="480" w:lineRule="auto"/>
        <w:ind w:firstLine="420" w:firstLineChars="200"/>
        <w:rPr>
          <w:rFonts w:ascii="宋体" w:hAnsi="宋体" w:eastAsia="宋体"/>
          <w:color w:val="auto"/>
          <w:sz w:val="21"/>
          <w:szCs w:val="21"/>
          <w:highlight w:val="none"/>
        </w:rPr>
      </w:pPr>
      <w:bookmarkStart w:id="199" w:name="_Toc24848"/>
      <w:bookmarkStart w:id="200" w:name="_Toc28126"/>
      <w:bookmarkStart w:id="201" w:name="_Toc509927457"/>
      <w:bookmarkStart w:id="202" w:name="_Toc508960155"/>
      <w:bookmarkStart w:id="203" w:name="_Toc14653"/>
      <w:bookmarkStart w:id="204" w:name="_Toc509844827"/>
      <w:bookmarkStart w:id="205" w:name="_Toc509479532"/>
      <w:bookmarkStart w:id="206" w:name="_Toc9148"/>
      <w:bookmarkStart w:id="207" w:name="_Toc510171695"/>
      <w:bookmarkStart w:id="208" w:name="_Toc508898068"/>
      <w:bookmarkStart w:id="209" w:name="_Toc508958705"/>
      <w:bookmarkStart w:id="210" w:name="_Toc28626"/>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199"/>
      <w:bookmarkEnd w:id="200"/>
      <w:bookmarkEnd w:id="201"/>
      <w:bookmarkEnd w:id="202"/>
      <w:bookmarkEnd w:id="203"/>
      <w:bookmarkEnd w:id="204"/>
      <w:bookmarkEnd w:id="205"/>
      <w:bookmarkEnd w:id="206"/>
      <w:bookmarkEnd w:id="207"/>
      <w:bookmarkEnd w:id="208"/>
      <w:bookmarkEnd w:id="209"/>
      <w:bookmarkEnd w:id="210"/>
    </w:p>
    <w:p>
      <w:pPr>
        <w:spacing w:after="0" w:line="480" w:lineRule="auto"/>
        <w:ind w:firstLine="420" w:firstLineChars="200"/>
        <w:rPr>
          <w:rFonts w:ascii="宋体" w:hAnsi="宋体" w:eastAsia="宋体"/>
          <w:color w:val="auto"/>
          <w:sz w:val="21"/>
          <w:szCs w:val="21"/>
          <w:highlight w:val="none"/>
        </w:rPr>
      </w:pPr>
      <w:bookmarkStart w:id="211" w:name="_Toc508958706"/>
      <w:bookmarkStart w:id="212" w:name="_Toc509479533"/>
      <w:bookmarkStart w:id="213" w:name="_Toc510171696"/>
      <w:bookmarkStart w:id="214" w:name="_Toc509844828"/>
      <w:bookmarkStart w:id="215" w:name="_Toc508898069"/>
      <w:bookmarkStart w:id="216" w:name="_Toc22981"/>
      <w:bookmarkStart w:id="217" w:name="_Toc508960156"/>
      <w:bookmarkStart w:id="218" w:name="_Toc9837"/>
      <w:bookmarkStart w:id="219" w:name="_Toc28044"/>
      <w:bookmarkStart w:id="220" w:name="_Toc28686"/>
      <w:bookmarkStart w:id="221" w:name="_Toc7858"/>
      <w:bookmarkStart w:id="222" w:name="_Toc509927458"/>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211"/>
      <w:bookmarkEnd w:id="212"/>
      <w:bookmarkEnd w:id="213"/>
      <w:bookmarkEnd w:id="214"/>
      <w:bookmarkEnd w:id="215"/>
      <w:bookmarkEnd w:id="216"/>
      <w:bookmarkEnd w:id="217"/>
      <w:bookmarkEnd w:id="218"/>
      <w:bookmarkEnd w:id="219"/>
      <w:bookmarkEnd w:id="220"/>
      <w:bookmarkEnd w:id="221"/>
      <w:bookmarkEnd w:id="222"/>
    </w:p>
    <w:p>
      <w:pPr>
        <w:spacing w:after="0" w:line="480" w:lineRule="auto"/>
        <w:ind w:firstLine="420" w:firstLineChars="200"/>
        <w:rPr>
          <w:rFonts w:ascii="宋体" w:hAnsi="宋体" w:eastAsia="宋体"/>
          <w:color w:val="auto"/>
          <w:sz w:val="21"/>
          <w:szCs w:val="21"/>
          <w:highlight w:val="none"/>
        </w:rPr>
      </w:pPr>
      <w:bookmarkStart w:id="223" w:name="_Toc5289"/>
      <w:bookmarkStart w:id="224" w:name="_Toc508898070"/>
      <w:bookmarkStart w:id="225" w:name="_Toc509844829"/>
      <w:bookmarkStart w:id="226" w:name="_Toc509479534"/>
      <w:bookmarkStart w:id="227" w:name="_Toc509927459"/>
      <w:bookmarkStart w:id="228" w:name="_Toc510171697"/>
      <w:bookmarkStart w:id="229" w:name="_Toc508958707"/>
      <w:bookmarkStart w:id="230" w:name="_Toc18843"/>
      <w:bookmarkStart w:id="231" w:name="_Toc508960157"/>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23"/>
      <w:bookmarkEnd w:id="224"/>
      <w:bookmarkEnd w:id="225"/>
      <w:bookmarkEnd w:id="226"/>
      <w:bookmarkEnd w:id="227"/>
      <w:bookmarkEnd w:id="228"/>
      <w:bookmarkEnd w:id="229"/>
      <w:bookmarkEnd w:id="230"/>
      <w:bookmarkEnd w:id="231"/>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（5）若投标人不属于规定的残疾人福利性单位，或提供的产品不是残疾人福利单位制造的，则无需提供此表。</w:t>
      </w:r>
    </w:p>
    <w:p>
      <w:pPr>
        <w:adjustRightInd/>
        <w:snapToGrid/>
        <w:spacing w:line="276"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br w:type="page"/>
      </w:r>
    </w:p>
    <w:p>
      <w:pPr>
        <w:pStyle w:val="6"/>
        <w:widowControl w:val="0"/>
        <w:overflowPunct w:val="0"/>
        <w:spacing w:before="0" w:after="0" w:line="240" w:lineRule="auto"/>
        <w:rPr>
          <w:color w:val="auto"/>
          <w:highlight w:val="none"/>
        </w:rPr>
      </w:pPr>
      <w:bookmarkStart w:id="232" w:name="_Toc25634"/>
      <w:r>
        <w:rPr>
          <w:rFonts w:hint="eastAsia" w:ascii="宋体" w:hAnsi="宋体" w:eastAsia="宋体"/>
          <w:color w:val="auto"/>
          <w:sz w:val="21"/>
          <w:szCs w:val="21"/>
          <w:highlight w:val="none"/>
        </w:rPr>
        <w:t>附件20. 投标保证金汇入情况说明格式</w:t>
      </w:r>
      <w:bookmarkEnd w:id="232"/>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本单位已按项目包（采购项目编号：）的招标文件要求，于年月日前以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方式汇入指定帐户（帐户名称：，帐号： ,开户银行：）。</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本单位投标保证金的汇款情况：（详见附件－投标保证金进帐单）</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汇出时间：年月日；</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汇款金额：（大写）人民币元（小写：￥元），</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（必须是投标时使用的帐户名）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（必须是投标时使用的帐号）     </w:t>
      </w:r>
    </w:p>
    <w:p>
      <w:pPr>
        <w:spacing w:after="0" w:line="48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投标保证金退回时，请按上述资料退回。</w:t>
      </w:r>
    </w:p>
    <w:p>
      <w:pPr>
        <w:spacing w:after="0" w:line="480" w:lineRule="auto"/>
        <w:ind w:right="84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28" w:rightChars="299"/>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p>
    <w:p>
      <w:pPr>
        <w:spacing w:after="0" w:line="48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单位电话：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联系人手机：</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附：我方投标保证金汇款凭证</w:t>
      </w:r>
    </w:p>
    <w:tbl>
      <w:tblPr>
        <w:tblStyle w:val="19"/>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复印件，并在骑缝上加盖投标人公章，或是直接把转账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233" w:name="_Toc4363"/>
      <w:r>
        <w:rPr>
          <w:rFonts w:hint="eastAsia" w:ascii="宋体" w:hAnsi="宋体" w:eastAsia="宋体"/>
          <w:color w:val="auto"/>
          <w:sz w:val="21"/>
          <w:szCs w:val="21"/>
          <w:highlight w:val="none"/>
        </w:rPr>
        <w:t>附件21.政府采购投标担保函</w:t>
      </w:r>
      <w:bookmarkEnd w:id="233"/>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政府采购投标担保函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 编号：</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鉴于（以下简称“投标人”）拟参加编号为</w:t>
      </w:r>
      <w:r>
        <w:rPr>
          <w:rFonts w:hint="eastAsia" w:ascii="宋体" w:hAnsi="宋体" w:eastAsia="宋体" w:cs="宋体"/>
          <w:color w:val="auto"/>
          <w:sz w:val="21"/>
          <w:szCs w:val="21"/>
          <w:highlight w:val="none"/>
          <w:u w:val="single"/>
        </w:rPr>
        <w:t xml:space="preserve">            的</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（一）在投标人出现下列情形之一时，我方承担保证责任：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1．中标后投标人无正当理由不与采购人或者采购代理机构签订《政府采购合同》；</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2．招标文件规定的投标人应当缴纳保证金的其他情形。</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（二）我方承担保证责任的最高金额为人民币元（大写），即本项目的投标保证金金额。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我方的保证期间为：自本保函生效之日起个月止。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个工作日内进行审查，符合应承担保证责任情形的，我方应按照你方的要求代投标人向你方支付投标保证金。</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1．依照法律规定或你方与投标人的另行约定，全部或者部分免除投标人投标保证金义务时，我方亦免除相应的保证责任。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2．因你方原因致使投标人发生本保函第一条第（一）款约定情形的，我方不承担保证责任。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3．因不可抗力造成投标人发生本保函第一条约定情形的，我方不承担保证责任。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4．你方或其他有权机关对招标文件进行任何澄清或修改，加重我方保证责任的，我方对加重部分不承担保证责任，但该澄清或修改经我方事先书面同意的除外。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jc w:val="right"/>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（1）若投标人不以投标担保函形式提交投标保证金，则无需在投标文件中提供此格式。</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（2）若投标人以投标担保函形式提交投标保证金，则应将投标担保函原件交予采购代理机构。</w:t>
      </w:r>
    </w:p>
    <w:p>
      <w:pPr>
        <w:spacing w:after="0"/>
        <w:rPr>
          <w:rFonts w:ascii="黑体" w:eastAsia="黑体"/>
          <w:color w:val="auto"/>
          <w:sz w:val="30"/>
          <w:szCs w:val="30"/>
          <w:highlight w:val="none"/>
        </w:rPr>
      </w:pPr>
      <w:r>
        <w:rPr>
          <w:rFonts w:hint="eastAsia" w:ascii="宋体" w:hAnsi="宋体" w:eastAsia="宋体"/>
          <w:color w:val="auto"/>
          <w:sz w:val="21"/>
          <w:szCs w:val="21"/>
          <w:highlight w:val="none"/>
        </w:rPr>
        <w:br w:type="page"/>
      </w:r>
      <w:bookmarkStart w:id="234" w:name="_Toc27534"/>
      <w:r>
        <w:rPr>
          <w:rFonts w:hint="eastAsia" w:ascii="宋体" w:hAnsi="宋体" w:eastAsia="宋体" w:cs="宋体"/>
          <w:b/>
          <w:bCs/>
          <w:color w:val="auto"/>
          <w:sz w:val="21"/>
          <w:szCs w:val="21"/>
          <w:highlight w:val="none"/>
          <w:lang w:val="en-US" w:eastAsia="zh-CN" w:bidi="ar-SA"/>
        </w:rPr>
        <w:t>附件22.政府采购履约担保函</w:t>
      </w:r>
      <w:bookmarkEnd w:id="234"/>
    </w:p>
    <w:p>
      <w:pPr>
        <w:jc w:val="center"/>
        <w:rPr>
          <w:rFonts w:ascii="黑体" w:eastAsia="黑体"/>
          <w:color w:val="auto"/>
          <w:sz w:val="28"/>
          <w:szCs w:val="28"/>
          <w:highlight w:val="none"/>
        </w:rPr>
      </w:pPr>
      <w:r>
        <w:rPr>
          <w:rFonts w:hint="eastAsia" w:ascii="黑体" w:eastAsia="黑体"/>
          <w:color w:val="auto"/>
          <w:sz w:val="28"/>
          <w:szCs w:val="28"/>
          <w:highlight w:val="none"/>
        </w:rPr>
        <w:t>政府采购履约担保函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编号：  </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（一）在供应商出现下列情形之一时，我方承担保证责任：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1．将中标项目转让给他人，或者在投标文件中未说明，且未经采购招标机构人同意，将中标项目分包给他人的；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2．主合同约定的应当缴纳履约保证金的情形: </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spacing w:after="0" w:line="480" w:lineRule="auto"/>
        <w:ind w:right="-1233" w:rightChars="-587"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w:t>
      </w:r>
    </w:p>
    <w:p>
      <w:pPr>
        <w:spacing w:after="0" w:line="480" w:lineRule="auto"/>
        <w:ind w:right="25" w:rightChars="1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%数额为元（大写），为。（即主合同履约保证金金额）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我方保证的期间为：自本合同生效之日起至供应商按照主合同约定的供货/完工期限届满后日内。</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after="0" w:line="480" w:lineRule="auto"/>
        <w:ind w:right="-693" w:rightChars="-330"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2．我方收到你方的书面索赔通知及相应证明材料，在</w:t>
      </w:r>
    </w:p>
    <w:p>
      <w:pPr>
        <w:spacing w:after="0" w:line="480" w:lineRule="auto"/>
        <w:ind w:right="-693" w:rightChars="-33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工作日内进行核定后按照本保函的承诺承担保证责任。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1．因你方违反主合同约定致使供应商不能履行义务的，我方不承担保证责任。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rPr>
          <w:rFonts w:ascii="宋体" w:hAnsi="宋体" w:eastAsia="宋体" w:cs="宋体"/>
          <w:color w:val="auto"/>
          <w:sz w:val="21"/>
          <w:szCs w:val="21"/>
          <w:highlight w:val="none"/>
        </w:rPr>
      </w:pPr>
    </w:p>
    <w:p>
      <w:pPr>
        <w:spacing w:after="0" w:line="480" w:lineRule="auto"/>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（1）此格式为履约担保函格式，无需在投标文件中提供此格式。</w:t>
      </w:r>
    </w:p>
    <w:p>
      <w:pPr>
        <w:pStyle w:val="2"/>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pStyle w:val="2"/>
        <w:rPr>
          <w:color w:val="auto"/>
          <w:highlight w:val="none"/>
        </w:rPr>
      </w:pPr>
    </w:p>
    <w:p>
      <w:pPr>
        <w:rPr>
          <w:color w:val="auto"/>
          <w:highlight w:val="none"/>
        </w:rPr>
      </w:pPr>
    </w:p>
    <w:p>
      <w:pPr>
        <w:pStyle w:val="2"/>
        <w:rPr>
          <w:color w:val="auto"/>
          <w:highlight w:val="none"/>
        </w:rPr>
      </w:pPr>
    </w:p>
    <w:p>
      <w:pPr>
        <w:bidi w:val="0"/>
        <w:rPr>
          <w:color w:val="auto"/>
          <w:highlight w:val="none"/>
        </w:rPr>
      </w:pPr>
    </w:p>
    <w:p>
      <w:pPr>
        <w:bidi w:val="0"/>
        <w:rPr>
          <w:color w:val="auto"/>
          <w:highlight w:val="none"/>
        </w:rPr>
      </w:pPr>
    </w:p>
    <w:p>
      <w:pPr>
        <w:pStyle w:val="6"/>
        <w:spacing w:before="0" w:after="0"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联合体共同投标协议书（如有需要）</w:t>
      </w:r>
    </w:p>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color w:val="auto"/>
          <w:highlight w:val="none"/>
          <w:lang w:val="en-US" w:eastAsia="zh-CN"/>
        </w:rPr>
      </w:pPr>
    </w:p>
    <w:p>
      <w:pPr>
        <w:jc w:val="center"/>
        <w:rPr>
          <w:rFonts w:hint="eastAsia" w:ascii="黑体" w:eastAsia="黑体"/>
          <w:color w:val="auto"/>
          <w:sz w:val="28"/>
          <w:szCs w:val="28"/>
          <w:highlight w:val="none"/>
          <w:lang w:val="en-US" w:eastAsia="zh-CN"/>
        </w:rPr>
      </w:pPr>
      <w:r>
        <w:rPr>
          <w:rFonts w:hint="eastAsia" w:ascii="黑体" w:eastAsia="黑体"/>
          <w:color w:val="auto"/>
          <w:sz w:val="28"/>
          <w:szCs w:val="28"/>
          <w:highlight w:val="none"/>
          <w:lang w:val="en-US" w:eastAsia="zh-CN"/>
        </w:rPr>
        <w:t>联合体共同投标协议书（如有需要）</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u w:val="single"/>
        </w:rPr>
        <w:t>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采购人</w:t>
      </w:r>
      <w:r>
        <w:rPr>
          <w:rFonts w:hint="eastAsia" w:ascii="宋体" w:hAnsi="宋体" w:eastAsia="宋体" w:cs="宋体"/>
          <w:color w:val="auto"/>
          <w:kern w:val="0"/>
          <w:sz w:val="21"/>
          <w:szCs w:val="21"/>
          <w:highlight w:val="none"/>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（甲公司全称）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（乙公司全称）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（……公司全称）</w:t>
      </w:r>
      <w:r>
        <w:rPr>
          <w:rFonts w:hint="eastAsia" w:ascii="宋体" w:hAnsi="宋体" w:eastAsia="宋体" w:cs="宋体"/>
          <w:color w:val="auto"/>
          <w:kern w:val="0"/>
          <w:sz w:val="21"/>
          <w:szCs w:val="21"/>
          <w:highlight w:val="none"/>
        </w:rPr>
        <w:t>共同组成一个联合体，</w:t>
      </w:r>
      <w:r>
        <w:rPr>
          <w:rFonts w:hint="eastAsia" w:ascii="宋体" w:hAnsi="宋体" w:eastAsia="宋体" w:cs="宋体"/>
          <w:color w:val="auto"/>
          <w:kern w:val="10"/>
          <w:sz w:val="21"/>
          <w:szCs w:val="21"/>
          <w:highlight w:val="none"/>
        </w:rPr>
        <w:t>以一个投标供应商的身份共同</w:t>
      </w:r>
      <w:r>
        <w:rPr>
          <w:rFonts w:hint="eastAsia" w:ascii="宋体" w:hAnsi="宋体" w:eastAsia="宋体" w:cs="宋体"/>
          <w:color w:val="auto"/>
          <w:kern w:val="0"/>
          <w:sz w:val="21"/>
          <w:szCs w:val="21"/>
          <w:highlight w:val="none"/>
        </w:rPr>
        <w:t>参加</w:t>
      </w:r>
      <w:r>
        <w:rPr>
          <w:rFonts w:hint="eastAsia" w:ascii="宋体" w:hAnsi="宋体" w:eastAsia="宋体" w:cs="宋体"/>
          <w:color w:val="auto"/>
          <w:kern w:val="0"/>
          <w:sz w:val="21"/>
          <w:szCs w:val="21"/>
          <w:highlight w:val="none"/>
          <w:u w:val="single"/>
        </w:rPr>
        <w:t>（采购项目名称）</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（采购项目编号）</w:t>
      </w:r>
      <w:r>
        <w:rPr>
          <w:rFonts w:hint="eastAsia" w:ascii="宋体" w:hAnsi="宋体" w:eastAsia="宋体" w:cs="宋体"/>
          <w:color w:val="auto"/>
          <w:kern w:val="0"/>
          <w:sz w:val="21"/>
          <w:szCs w:val="21"/>
          <w:highlight w:val="none"/>
        </w:rPr>
        <w:t>的投标响应。</w:t>
      </w:r>
      <w:r>
        <w:rPr>
          <w:rFonts w:hint="eastAsia" w:ascii="宋体" w:hAnsi="宋体" w:eastAsia="宋体" w:cs="宋体"/>
          <w:color w:val="auto"/>
          <w:sz w:val="21"/>
          <w:szCs w:val="21"/>
          <w:highlight w:val="none"/>
        </w:rPr>
        <w:t>经协商一致，就本</w:t>
      </w:r>
      <w:r>
        <w:rPr>
          <w:rFonts w:hint="eastAsia" w:ascii="宋体" w:hAnsi="宋体" w:eastAsia="宋体" w:cs="宋体"/>
          <w:color w:val="auto"/>
          <w:kern w:val="10"/>
          <w:sz w:val="21"/>
          <w:szCs w:val="21"/>
          <w:highlight w:val="none"/>
        </w:rPr>
        <w:t>项目的投标响应和合同实施阶段的有关事务</w:t>
      </w:r>
      <w:r>
        <w:rPr>
          <w:rFonts w:hint="eastAsia" w:ascii="宋体" w:hAnsi="宋体" w:eastAsia="宋体" w:cs="宋体"/>
          <w:color w:val="auto"/>
          <w:kern w:val="0"/>
          <w:sz w:val="21"/>
          <w:szCs w:val="21"/>
          <w:highlight w:val="none"/>
        </w:rPr>
        <w:t>订立协议如下</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一、联合体各方关系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（甲公司全称）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（乙公司全称）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（……公司全称）</w:t>
      </w:r>
      <w:r>
        <w:rPr>
          <w:rFonts w:hint="eastAsia" w:ascii="宋体" w:hAnsi="宋体" w:eastAsia="宋体" w:cs="宋体"/>
          <w:color w:val="auto"/>
          <w:sz w:val="21"/>
          <w:szCs w:val="21"/>
          <w:highlight w:val="none"/>
        </w:rPr>
        <w:t>作为联合体成员，若中标、成交，联合体各方共同与采购人签订政府采购合同。其中</w:t>
      </w:r>
      <w:r>
        <w:rPr>
          <w:rFonts w:hint="eastAsia" w:ascii="宋体" w:hAnsi="宋体" w:eastAsia="宋体" w:cs="宋体"/>
          <w:color w:val="auto"/>
          <w:sz w:val="21"/>
          <w:szCs w:val="21"/>
          <w:highlight w:val="none"/>
          <w:u w:val="single"/>
        </w:rPr>
        <w:t xml:space="preserve">（…公司全称）   </w:t>
      </w:r>
      <w:r>
        <w:rPr>
          <w:rFonts w:hint="eastAsia" w:ascii="宋体" w:hAnsi="宋体" w:eastAsia="宋体" w:cs="宋体"/>
          <w:color w:val="auto"/>
          <w:sz w:val="21"/>
          <w:szCs w:val="21"/>
          <w:highlight w:val="none"/>
        </w:rPr>
        <w:t>是联合体牵头方，</w:t>
      </w:r>
      <w:r>
        <w:rPr>
          <w:rFonts w:hint="eastAsia" w:ascii="宋体" w:hAnsi="宋体" w:eastAsia="宋体" w:cs="宋体"/>
          <w:color w:val="auto"/>
          <w:sz w:val="21"/>
          <w:szCs w:val="21"/>
          <w:highlight w:val="none"/>
          <w:u w:val="single"/>
        </w:rPr>
        <w:t xml:space="preserve">（…公司全称）   </w:t>
      </w:r>
      <w:r>
        <w:rPr>
          <w:rFonts w:hint="eastAsia" w:ascii="宋体" w:hAnsi="宋体" w:eastAsia="宋体" w:cs="宋体"/>
          <w:color w:val="auto"/>
          <w:sz w:val="21"/>
          <w:szCs w:val="21"/>
          <w:highlight w:val="none"/>
        </w:rPr>
        <w:t>是联合体其他成员方。</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二、联合体内部有关事项约定如下：</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1.联合体由联合体共同授权人员负责与采购人联系。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2.联合体投标工作由联合体共同负责，由联合体各方组成的响应小组具体实施。</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3.联合体将严格按照文件的各项要求，递交响应文件，切实执行一切合同文件，共同承担合同规定的一切义务和责任，同时按照内部职责的划分，承担自身所负的责任和风险，在法律在承担连带责任。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4.联合体内部各自按下列分工负责项目工作：</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5.联合体成员</w:t>
      </w:r>
      <w:r>
        <w:rPr>
          <w:rFonts w:hint="eastAsia" w:ascii="宋体" w:hAnsi="宋体" w:eastAsia="宋体" w:cs="宋体"/>
          <w:color w:val="auto"/>
          <w:sz w:val="21"/>
          <w:szCs w:val="21"/>
          <w:highlight w:val="none"/>
          <w:u w:val="single"/>
        </w:rPr>
        <w:t>　（公司全称）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（请填写：小型、微型）</w:t>
      </w:r>
      <w:r>
        <w:rPr>
          <w:rFonts w:hint="eastAsia" w:ascii="宋体" w:hAnsi="宋体" w:eastAsia="宋体" w:cs="宋体"/>
          <w:color w:val="auto"/>
          <w:sz w:val="21"/>
          <w:szCs w:val="21"/>
          <w:highlight w:val="none"/>
        </w:rPr>
        <w:t>企业，将承担合同总金额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%的工作内容（联合体成员中有小型、微型企业时适用）。</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四、联合体如因违约过失责任而导致采购人经济损失或被索赔时，本联合体任何一方均同意无条件优先清偿采购人的一切债务和经济赔偿。</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五、</w:t>
      </w:r>
      <w:r>
        <w:rPr>
          <w:rFonts w:hint="eastAsia" w:ascii="宋体" w:hAnsi="宋体" w:eastAsia="宋体" w:cs="宋体"/>
          <w:color w:val="auto"/>
          <w:sz w:val="21"/>
          <w:szCs w:val="21"/>
          <w:highlight w:val="none"/>
        </w:rPr>
        <w:t>本协议在自签署之日起生效，响应有效期内有效。如获中标、成交资格，本协议有效期延续至采购合同履行完毕之日。</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六、本协议书一式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份，随响应文件装订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份，联合体成员各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甲公司全称：（盖章） </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乙公司全称：（盖章）</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……公司全称（盖章）</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盖章</w:t>
      </w: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盖章</w:t>
      </w: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w:t>
      </w:r>
      <w:r>
        <w:rPr>
          <w:rFonts w:hint="eastAsia" w:ascii="宋体" w:hAnsi="宋体" w:cs="宋体"/>
          <w:color w:val="auto"/>
          <w:sz w:val="21"/>
          <w:szCs w:val="21"/>
          <w:highlight w:val="none"/>
          <w:lang w:val="en-US" w:eastAsia="zh-CN"/>
        </w:rPr>
        <w:t>章）</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月　　日</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年　　月　　日</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年　　月　　日</w:t>
      </w:r>
    </w:p>
    <w:p>
      <w:pPr>
        <w:bidi w:val="0"/>
        <w:rPr>
          <w:color w:val="auto"/>
          <w:highlight w:val="none"/>
        </w:rPr>
      </w:pPr>
      <w:r>
        <w:rPr>
          <w:color w:val="auto"/>
          <w:highlight w:val="none"/>
        </w:rPr>
        <w:br w:type="page"/>
      </w:r>
    </w:p>
    <w:p>
      <w:pPr>
        <w:pStyle w:val="6"/>
        <w:spacing w:before="0" w:after="0" w:line="240" w:lineRule="auto"/>
        <w:rPr>
          <w:color w:val="auto"/>
          <w:highlight w:val="none"/>
        </w:rPr>
      </w:pPr>
      <w:bookmarkStart w:id="235" w:name="_Toc17023"/>
      <w:r>
        <w:rPr>
          <w:rFonts w:hint="eastAsia" w:eastAsiaTheme="minorEastAsia"/>
          <w:color w:val="auto"/>
          <w:highlight w:val="none"/>
          <w:lang w:eastAsia="zh-CN"/>
        </w:rPr>
        <w:drawing>
          <wp:anchor distT="0" distB="0" distL="114300" distR="114300" simplePos="0" relativeHeight="251661312" behindDoc="0" locked="0" layoutInCell="1" allowOverlap="1">
            <wp:simplePos x="0" y="0"/>
            <wp:positionH relativeFrom="column">
              <wp:posOffset>8255</wp:posOffset>
            </wp:positionH>
            <wp:positionV relativeFrom="paragraph">
              <wp:posOffset>-464820</wp:posOffset>
            </wp:positionV>
            <wp:extent cx="5264150" cy="444500"/>
            <wp:effectExtent l="0" t="0" r="12700" b="12700"/>
            <wp:wrapSquare wrapText="bothSides"/>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1"/>
                    <a:stretch>
                      <a:fillRect/>
                    </a:stretch>
                  </pic:blipFill>
                  <pic:spPr>
                    <a:xfrm>
                      <a:off x="0" y="0"/>
                      <a:ext cx="5264150" cy="444500"/>
                    </a:xfrm>
                    <a:prstGeom prst="rect">
                      <a:avLst/>
                    </a:prstGeom>
                  </pic:spPr>
                </pic:pic>
              </a:graphicData>
            </a:graphic>
          </wp:anchor>
        </w:drawing>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.获取招标文件登记表</w:t>
      </w:r>
      <w:bookmarkEnd w:id="235"/>
      <w:bookmarkStart w:id="236" w:name="_Toc1968"/>
    </w:p>
    <w:bookmarkEnd w:id="236"/>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rPr>
        <w:t>获取</w:t>
      </w:r>
      <w:r>
        <w:rPr>
          <w:rFonts w:hint="eastAsia" w:ascii="黑体" w:hAnsi="黑体" w:eastAsia="黑体" w:cs="黑体"/>
          <w:color w:val="auto"/>
          <w:sz w:val="52"/>
          <w:szCs w:val="52"/>
          <w:highlight w:val="none"/>
          <w:lang w:eastAsia="zh-CN"/>
        </w:rPr>
        <w:t>招标文件</w:t>
      </w:r>
      <w:r>
        <w:rPr>
          <w:rFonts w:hint="eastAsia" w:ascii="黑体" w:hAnsi="黑体" w:eastAsia="黑体" w:cs="黑体"/>
          <w:color w:val="auto"/>
          <w:sz w:val="52"/>
          <w:szCs w:val="52"/>
          <w:highlight w:val="none"/>
        </w:rPr>
        <w:t>登记表</w:t>
      </w:r>
    </w:p>
    <w:tbl>
      <w:tblPr>
        <w:tblStyle w:val="19"/>
        <w:tblW w:w="4998" w:type="pct"/>
        <w:tblInd w:w="0" w:type="dxa"/>
        <w:shd w:val="clear" w:color="auto" w:fill="auto"/>
        <w:tblLayout w:type="fixed"/>
        <w:tblCellMar>
          <w:top w:w="0" w:type="dxa"/>
          <w:left w:w="108" w:type="dxa"/>
          <w:bottom w:w="0" w:type="dxa"/>
          <w:right w:w="108" w:type="dxa"/>
        </w:tblCellMar>
      </w:tblPr>
      <w:tblGrid>
        <w:gridCol w:w="2769"/>
        <w:gridCol w:w="2355"/>
        <w:gridCol w:w="1027"/>
        <w:gridCol w:w="2368"/>
      </w:tblGrid>
      <w:tr>
        <w:tblPrEx>
          <w:shd w:val="clear" w:color="auto" w:fill="auto"/>
          <w:tblCellMar>
            <w:top w:w="0" w:type="dxa"/>
            <w:left w:w="108" w:type="dxa"/>
            <w:bottom w:w="0" w:type="dxa"/>
            <w:right w:w="108" w:type="dxa"/>
          </w:tblCellMar>
        </w:tblPrEx>
        <w:trPr>
          <w:trHeight w:val="153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拟报名项目名称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103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项目编号</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包号</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136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供应商全称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供应商联系人</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电话</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手机</w:t>
            </w:r>
          </w:p>
        </w:tc>
        <w:tc>
          <w:tcPr>
            <w:tcW w:w="1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电子邮箱</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获取招标文件时间</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年    月    日    时    分</w:t>
            </w:r>
          </w:p>
        </w:tc>
      </w:tr>
      <w:tr>
        <w:tblPrEx>
          <w:shd w:val="clear" w:color="auto" w:fill="auto"/>
          <w:tblCellMar>
            <w:top w:w="0" w:type="dxa"/>
            <w:left w:w="108" w:type="dxa"/>
            <w:bottom w:w="0" w:type="dxa"/>
            <w:right w:w="108" w:type="dxa"/>
          </w:tblCellMar>
        </w:tblPrEx>
        <w:trPr>
          <w:trHeight w:val="85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承诺:</w:t>
            </w:r>
          </w:p>
          <w:p>
            <w:pPr>
              <w:keepNext w:val="0"/>
              <w:keepLines w:val="0"/>
              <w:pageBreakBefore w:val="0"/>
              <w:widowControl/>
              <w:numPr>
                <w:ilvl w:val="0"/>
                <w:numId w:val="14"/>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本公司对招标文件的内容已经了解，并自愿购买该招标文件。</w:t>
            </w:r>
          </w:p>
          <w:p>
            <w:pPr>
              <w:keepNext w:val="0"/>
              <w:keepLines w:val="0"/>
              <w:pageBreakBefore w:val="0"/>
              <w:widowControl/>
              <w:numPr>
                <w:ilvl w:val="0"/>
                <w:numId w:val="14"/>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本公司对提供的所有资料的真实性、有效性承担责任。</w:t>
            </w:r>
          </w:p>
          <w:p>
            <w:pPr>
              <w:keepNext w:val="0"/>
              <w:keepLines w:val="0"/>
              <w:pageBreakBefore w:val="0"/>
              <w:widowControl/>
              <w:numPr>
                <w:ilvl w:val="0"/>
                <w:numId w:val="14"/>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招标文件售后不退。</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360" w:lineRule="auto"/>
              <w:ind w:left="0" w:leftChars="0" w:firstLine="3738" w:firstLineChars="1335"/>
              <w:jc w:val="both"/>
              <w:textAlignment w:val="center"/>
              <w:rPr>
                <w:rFonts w:hint="default"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 xml:space="preserve">招标文件领取人签名: </w:t>
            </w:r>
            <w:r>
              <w:rPr>
                <w:rFonts w:hint="eastAsia" w:ascii="宋体" w:hAnsi="宋体" w:eastAsia="宋体" w:cs="宋体"/>
                <w:i w:val="0"/>
                <w:iCs w:val="0"/>
                <w:color w:val="auto"/>
                <w:kern w:val="0"/>
                <w:sz w:val="28"/>
                <w:szCs w:val="28"/>
                <w:highlight w:val="none"/>
                <w:u w:val="single"/>
                <w:lang w:val="en-US" w:eastAsia="zh-CN" w:bidi="ar"/>
              </w:rPr>
              <w:t xml:space="preserve">  </w:t>
            </w:r>
            <w:r>
              <w:rPr>
                <w:rFonts w:hint="eastAsia" w:ascii="宋体" w:hAnsi="宋体" w:cs="宋体"/>
                <w:i w:val="0"/>
                <w:iCs w:val="0"/>
                <w:color w:val="auto"/>
                <w:kern w:val="0"/>
                <w:sz w:val="28"/>
                <w:szCs w:val="28"/>
                <w:highlight w:val="none"/>
                <w:u w:val="single"/>
                <w:lang w:val="en-US" w:eastAsia="zh-CN" w:bidi="ar"/>
              </w:rPr>
              <w:t xml:space="preserve">      </w:t>
            </w:r>
            <w:r>
              <w:rPr>
                <w:rFonts w:hint="eastAsia" w:ascii="宋体" w:hAnsi="宋体" w:eastAsia="宋体" w:cs="宋体"/>
                <w:i w:val="0"/>
                <w:iCs w:val="0"/>
                <w:color w:val="auto"/>
                <w:kern w:val="0"/>
                <w:sz w:val="28"/>
                <w:szCs w:val="28"/>
                <w:highlight w:val="none"/>
                <w:u w:val="single"/>
                <w:lang w:val="en-US" w:eastAsia="zh-CN" w:bidi="ar"/>
              </w:rPr>
              <w:t xml:space="preserve">   </w:t>
            </w:r>
            <w:r>
              <w:rPr>
                <w:rFonts w:hint="eastAsia" w:ascii="宋体" w:hAnsi="宋体" w:eastAsia="宋体" w:cs="宋体"/>
                <w:i w:val="0"/>
                <w:iCs w:val="0"/>
                <w:color w:val="auto"/>
                <w:kern w:val="0"/>
                <w:sz w:val="28"/>
                <w:szCs w:val="28"/>
                <w:highlight w:val="none"/>
                <w:u w:val="none"/>
                <w:vertAlign w:val="subscript"/>
                <w:lang w:val="en-US" w:eastAsia="zh-CN" w:bidi="ar"/>
              </w:rPr>
              <w:t xml:space="preserve"> </w:t>
            </w:r>
            <w:r>
              <w:rPr>
                <w:rFonts w:hint="eastAsia" w:ascii="宋体" w:hAnsi="宋体" w:eastAsia="宋体" w:cs="宋体"/>
                <w:i w:val="0"/>
                <w:iCs w:val="0"/>
                <w:color w:val="auto"/>
                <w:kern w:val="0"/>
                <w:sz w:val="28"/>
                <w:szCs w:val="28"/>
                <w:highlight w:val="none"/>
                <w:u w:val="none"/>
                <w:lang w:val="en-US" w:eastAsia="zh-CN" w:bidi="ar"/>
              </w:rPr>
              <w:t xml:space="preserve">              </w:t>
            </w:r>
            <w:r>
              <w:rPr>
                <w:rFonts w:hint="eastAsia" w:ascii="宋体" w:hAnsi="宋体" w:eastAsia="宋体" w:cs="宋体"/>
                <w:i w:val="0"/>
                <w:iCs w:val="0"/>
                <w:color w:val="auto"/>
                <w:kern w:val="0"/>
                <w:sz w:val="28"/>
                <w:szCs w:val="28"/>
                <w:highlight w:val="none"/>
                <w:u w:val="single"/>
                <w:lang w:val="en-US" w:eastAsia="zh-CN" w:bidi="ar"/>
              </w:rPr>
              <w:t xml:space="preserve">                </w:t>
            </w:r>
          </w:p>
        </w:tc>
      </w:tr>
      <w:tr>
        <w:tblPrEx>
          <w:shd w:val="clear" w:color="auto" w:fill="auto"/>
          <w:tblCellMar>
            <w:top w:w="0" w:type="dxa"/>
            <w:left w:w="108" w:type="dxa"/>
            <w:bottom w:w="0" w:type="dxa"/>
            <w:right w:w="108" w:type="dxa"/>
          </w:tblCellMar>
        </w:tblPrEx>
        <w:trPr>
          <w:trHeight w:val="82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招标文件售价</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人民币150元/份</w:t>
            </w:r>
          </w:p>
        </w:tc>
      </w:tr>
      <w:tr>
        <w:tblPrEx>
          <w:shd w:val="clear" w:color="auto" w:fill="auto"/>
          <w:tblCellMar>
            <w:top w:w="0" w:type="dxa"/>
            <w:left w:w="108" w:type="dxa"/>
            <w:bottom w:w="0" w:type="dxa"/>
            <w:right w:w="108" w:type="dxa"/>
          </w:tblCellMar>
        </w:tblPrEx>
        <w:trPr>
          <w:trHeight w:val="10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b/>
                <w:bCs/>
                <w:color w:val="auto"/>
                <w:sz w:val="28"/>
                <w:szCs w:val="28"/>
                <w:highlight w:val="none"/>
              </w:rPr>
              <w:t>注：开完发票后请把报名表格交还至前台</w:t>
            </w:r>
          </w:p>
        </w:tc>
      </w:tr>
    </w:tbl>
    <w:p>
      <w:pPr>
        <w:rPr>
          <w:color w:val="auto"/>
          <w:highlight w:val="none"/>
        </w:rPr>
      </w:pPr>
      <w:r>
        <w:rPr>
          <w:color w:val="auto"/>
          <w:highlight w:val="none"/>
        </w:rPr>
        <w:br w:type="page"/>
      </w:r>
    </w:p>
    <w:p>
      <w:pPr>
        <w:pStyle w:val="6"/>
        <w:spacing w:before="0" w:after="0" w:line="240" w:lineRule="auto"/>
        <w:rPr>
          <w:rFonts w:ascii="宋体" w:hAnsi="宋体" w:eastAsia="宋体" w:cs="宋体"/>
          <w:color w:val="auto"/>
          <w:sz w:val="21"/>
          <w:szCs w:val="21"/>
          <w:highlight w:val="none"/>
        </w:rPr>
      </w:pPr>
      <w:bookmarkStart w:id="237" w:name="_Toc11182"/>
      <w:r>
        <w:rPr>
          <w:rFonts w:hint="eastAsia" w:ascii="宋体" w:hAnsi="宋体" w:eastAsia="宋体" w:cs="宋体"/>
          <w:color w:val="auto"/>
          <w:sz w:val="21"/>
          <w:szCs w:val="21"/>
          <w:highlight w:val="none"/>
        </w:rPr>
        <w:t>附件 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.质疑函范本</w:t>
      </w:r>
      <w:bookmarkEnd w:id="237"/>
    </w:p>
    <w:p>
      <w:pPr>
        <w:spacing w:after="0" w:line="360" w:lineRule="auto"/>
        <w:jc w:val="center"/>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1.质疑函</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一、质疑供应商基本信息</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质疑供应商：</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联系人：联系电话：</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二、质疑项目基本情况</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质疑项目的编号：包号：</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采购文件获取日期：</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三、质疑事项具体内容</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质疑事项1：</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事实依据：</w:t>
      </w:r>
    </w:p>
    <w:p>
      <w:pPr>
        <w:spacing w:after="0" w:line="360" w:lineRule="auto"/>
        <w:rPr>
          <w:rFonts w:ascii="宋体" w:hAnsi="宋体" w:eastAsia="宋体" w:cs="宋体"/>
          <w:color w:val="auto"/>
          <w:sz w:val="21"/>
          <w:szCs w:val="21"/>
          <w:highlight w:val="none"/>
          <w:u w:val="single"/>
        </w:rPr>
      </w:pP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请求：</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8.质疑函递交地址为采购代理机构办公地址，详细地址详见投标邀请书。</w:t>
      </w:r>
    </w:p>
    <w:p>
      <w:pPr>
        <w:pStyle w:val="2"/>
        <w:rPr>
          <w:color w:val="auto"/>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2.询问函、质疑函授权书参考格式</w:t>
      </w:r>
    </w:p>
    <w:p>
      <w:pPr>
        <w:spacing w:after="0" w:line="360" w:lineRule="auto"/>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法定代表人或负责人授权委托书</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本委托书声明：在下面签字的</w:t>
      </w:r>
      <w:r>
        <w:rPr>
          <w:rFonts w:hint="eastAsia" w:ascii="宋体" w:hAnsi="宋体" w:eastAsia="宋体" w:cs="宋体"/>
          <w:color w:val="auto"/>
          <w:sz w:val="21"/>
          <w:szCs w:val="21"/>
          <w:highlight w:val="none"/>
          <w:u w:val="single"/>
        </w:rPr>
        <w:t xml:space="preserve">           （法定代表人或负责人姓名、职务）</w:t>
      </w:r>
      <w:r>
        <w:rPr>
          <w:rFonts w:hint="eastAsia" w:ascii="宋体" w:hAnsi="宋体" w:eastAsia="宋体" w:cs="宋体"/>
          <w:color w:val="auto"/>
          <w:sz w:val="21"/>
          <w:szCs w:val="21"/>
          <w:highlight w:val="none"/>
        </w:rPr>
        <w:t xml:space="preserve">代表 </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委托在下面签字的</w:t>
      </w:r>
      <w:r>
        <w:rPr>
          <w:rFonts w:hint="eastAsia" w:ascii="宋体" w:hAnsi="宋体" w:eastAsia="宋体" w:cs="宋体"/>
          <w:color w:val="auto"/>
          <w:sz w:val="21"/>
          <w:szCs w:val="21"/>
          <w:highlight w:val="none"/>
          <w:u w:val="single"/>
        </w:rPr>
        <w:t xml:space="preserve">          （授权代表的姓名、职务）</w:t>
      </w:r>
      <w:r>
        <w:rPr>
          <w:rFonts w:hint="eastAsia" w:ascii="宋体" w:hAnsi="宋体" w:eastAsia="宋体" w:cs="宋体"/>
          <w:color w:val="auto"/>
          <w:sz w:val="21"/>
          <w:szCs w:val="21"/>
          <w:highlight w:val="none"/>
        </w:rPr>
        <w:t>为本公司的合法代表人，就采购项目（采购编号：</w:t>
      </w:r>
      <w:r>
        <w:rPr>
          <w:rFonts w:hint="eastAsia" w:ascii="宋体" w:hAnsi="宋体" w:eastAsia="宋体" w:cs="宋体"/>
          <w:color w:val="auto"/>
          <w:sz w:val="21"/>
          <w:szCs w:val="21"/>
          <w:highlight w:val="none"/>
          <w:u w:val="single"/>
        </w:rPr>
        <w:t xml:space="preserve">          ）             （填写授权内容）</w:t>
      </w:r>
      <w:r>
        <w:rPr>
          <w:rFonts w:hint="eastAsia" w:ascii="宋体" w:hAnsi="宋体" w:eastAsia="宋体" w:cs="宋体"/>
          <w:color w:val="auto"/>
          <w:sz w:val="21"/>
          <w:szCs w:val="21"/>
          <w:highlight w:val="none"/>
        </w:rPr>
        <w:t>，以本公司的名义处理一切与之有关的事宜</w:t>
      </w:r>
      <w:r>
        <w:rPr>
          <w:rFonts w:hint="eastAsia" w:ascii="宋体" w:hAnsi="宋体" w:eastAsia="宋体" w:cs="宋体"/>
          <w:color w:val="auto"/>
          <w:sz w:val="21"/>
          <w:szCs w:val="21"/>
          <w:highlight w:val="none"/>
          <w:u w:val="single"/>
        </w:rPr>
        <w:t>（须提供法定代表人或负责人、授权代表身份证复印件）。</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本委托书于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法定代表人或负责人（签名或盖私章）：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授权代表（签名或盖私章）：</w:t>
      </w:r>
    </w:p>
    <w:p>
      <w:pPr>
        <w:spacing w:after="0" w:line="360" w:lineRule="auto"/>
        <w:rPr>
          <w:rFonts w:ascii="仿宋" w:hAnsi="仿宋" w:eastAsia="仿宋"/>
          <w:color w:val="auto"/>
          <w:sz w:val="24"/>
          <w:highlight w:val="none"/>
        </w:rPr>
      </w:pPr>
      <w:r>
        <w:rPr>
          <w:rFonts w:hint="eastAsia" w:ascii="宋体" w:hAnsi="宋体" w:eastAsia="宋体" w:cs="宋体"/>
          <w:color w:val="auto"/>
          <w:sz w:val="21"/>
          <w:szCs w:val="21"/>
          <w:highlight w:val="none"/>
        </w:rPr>
        <w:t>日期：</w:t>
      </w:r>
    </w:p>
    <w:p>
      <w:pPr>
        <w:rPr>
          <w:color w:val="auto"/>
          <w:highlight w:val="none"/>
        </w:rPr>
      </w:pPr>
    </w:p>
    <w:sectPr>
      <w:footerReference r:id="rId7" w:type="first"/>
      <w:footerReference r:id="rId6" w:type="default"/>
      <w:pgSz w:w="11906" w:h="16838"/>
      <w:pgMar w:top="1440" w:right="1800" w:bottom="1440" w:left="1800" w:header="708" w:footer="708" w:gutter="0"/>
      <w:pgNumType w:start="1"/>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文本框 1026"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LhhMEKz&#10;AQAASwMAAA4AAAAAAAAAAQAgAAAAHgEAAGRycy9lMm9Eb2MueG1sUEsFBgAAAAAGAAYAWQEAAEMF&#10;AAAAAA==&#10;">
          <v:path/>
          <v:fill on="f" focussize="0,0"/>
          <v:stroke on="f" joinstyle="miter"/>
          <v:imagedata o:title=""/>
          <o:lock v:ext="edit"/>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68</w:instrText>
                </w:r>
                <w:r>
                  <w:fldChar w:fldCharType="end"/>
                </w:r>
                <w:r>
                  <w:rPr>
                    <w:rFonts w:hint="eastAsia"/>
                  </w:rPr>
                  <w:instrText xml:space="preserve">-1</w:instrText>
                </w:r>
                <w:r>
                  <w:fldChar w:fldCharType="separate"/>
                </w:r>
                <w:r>
                  <w:t>67</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c97CcLIB&#10;AABLAwAADgAAAAAAAAABACAAAAAeAQAAZHJzL2Uyb0RvYy54bWxQSwUGAAAAAAYABgBZAQAAQgUA&#10;AAAA&#10;">
          <v:path/>
          <v:fill on="f" focussize="0,0"/>
          <v:stroke on="f" joinstyle="miter"/>
          <v:imagedata o:title=""/>
          <o:lock v:ext="edit"/>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4</w:instrText>
                </w:r>
                <w:r>
                  <w:fldChar w:fldCharType="end"/>
                </w:r>
                <w:r>
                  <w:rPr>
                    <w:rFonts w:hint="eastAsia"/>
                  </w:rPr>
                  <w:instrText xml:space="preserve">-1</w:instrText>
                </w:r>
                <w:r>
                  <w:fldChar w:fldCharType="separate"/>
                </w:r>
                <w:r>
                  <w:t>3</w:t>
                </w:r>
                <w:r>
                  <w:fldChar w:fldCharType="end"/>
                </w:r>
                <w:r>
                  <w:rPr>
                    <w:rFonts w:hint="eastAsia"/>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pStyle w:val="15"/>
        <w:snapToGrid w:val="0"/>
        <w:rPr>
          <w:rFonts w:hint="eastAsia" w:eastAsia="微软雅黑"/>
          <w:lang w:eastAsia="zh-CN"/>
        </w:rPr>
      </w:pPr>
      <w:r>
        <w:rPr>
          <w:rStyle w:val="25"/>
        </w:rPr>
        <w:footnoteRef/>
      </w:r>
      <w:r>
        <w:t xml:space="preserve"> </w:t>
      </w:r>
      <w:r>
        <w:rPr>
          <w:rFonts w:hint="eastAsia"/>
          <w:lang w:eastAsia="zh-CN"/>
        </w:rPr>
        <w:t>从业人员、营业人员、资产总额填报上一年度数据，无上一年度数据的新成立企业可不填报。</w:t>
      </w:r>
    </w:p>
  </w:footnote>
  <w:footnote w:id="1">
    <w:p>
      <w:pPr>
        <w:pStyle w:val="15"/>
        <w:snapToGrid w:val="0"/>
      </w:pPr>
      <w:r>
        <w:rPr>
          <w:rStyle w:val="25"/>
        </w:rPr>
        <w:footnoteRef/>
      </w:r>
      <w:r>
        <w:t xml:space="preserve">  </w:t>
      </w:r>
      <w:r>
        <w:rPr>
          <w:rFonts w:hint="eastAsia"/>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东莞市政府采购公开招标文件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E09EF6E1"/>
    <w:multiLevelType w:val="singleLevel"/>
    <w:tmpl w:val="E09EF6E1"/>
    <w:lvl w:ilvl="0" w:tentative="0">
      <w:start w:val="1"/>
      <w:numFmt w:val="decimal"/>
      <w:suff w:val="nothing"/>
      <w:lvlText w:val="（%1）"/>
      <w:lvlJc w:val="left"/>
    </w:lvl>
  </w:abstractNum>
  <w:abstractNum w:abstractNumId="5">
    <w:nsid w:val="F73DC5D7"/>
    <w:multiLevelType w:val="singleLevel"/>
    <w:tmpl w:val="F73DC5D7"/>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06CABF7"/>
    <w:multiLevelType w:val="singleLevel"/>
    <w:tmpl w:val="206CABF7"/>
    <w:lvl w:ilvl="0" w:tentative="0">
      <w:start w:val="1"/>
      <w:numFmt w:val="decimal"/>
      <w:suff w:val="nothing"/>
      <w:lvlText w:val="（%1）"/>
      <w:lvlJc w:val="left"/>
    </w:lvl>
  </w:abstractNum>
  <w:abstractNum w:abstractNumId="9">
    <w:nsid w:val="316010E5"/>
    <w:multiLevelType w:val="singleLevel"/>
    <w:tmpl w:val="316010E5"/>
    <w:lvl w:ilvl="0" w:tentative="0">
      <w:start w:val="1"/>
      <w:numFmt w:val="decimal"/>
      <w:suff w:val="nothing"/>
      <w:lvlText w:val="%1．"/>
      <w:lvlJc w:val="left"/>
    </w:lvl>
  </w:abstractNum>
  <w:abstractNum w:abstractNumId="10">
    <w:nsid w:val="3F88662E"/>
    <w:multiLevelType w:val="singleLevel"/>
    <w:tmpl w:val="3F88662E"/>
    <w:lvl w:ilvl="0" w:tentative="0">
      <w:start w:val="1"/>
      <w:numFmt w:val="decimal"/>
      <w:suff w:val="space"/>
      <w:lvlText w:val="%1)"/>
      <w:lvlJc w:val="left"/>
    </w:lvl>
  </w:abstractNum>
  <w:abstractNum w:abstractNumId="11">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CCF6F8F"/>
    <w:multiLevelType w:val="multilevel"/>
    <w:tmpl w:val="7CCF6F8F"/>
    <w:lvl w:ilvl="0" w:tentative="0">
      <w:start w:val="1"/>
      <w:numFmt w:val="none"/>
      <w:pStyle w:val="3"/>
      <w:suff w:val="nothing"/>
      <w:lvlText w:val=""/>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3"/>
  </w:num>
  <w:num w:numId="2">
    <w:abstractNumId w:val="11"/>
  </w:num>
  <w:num w:numId="3">
    <w:abstractNumId w:val="7"/>
  </w:num>
  <w:num w:numId="4">
    <w:abstractNumId w:val="10"/>
  </w:num>
  <w:num w:numId="5">
    <w:abstractNumId w:val="8"/>
  </w:num>
  <w:num w:numId="6">
    <w:abstractNumId w:val="4"/>
  </w:num>
  <w:num w:numId="7">
    <w:abstractNumId w:val="5"/>
  </w:num>
  <w:num w:numId="8">
    <w:abstractNumId w:val="1"/>
  </w:num>
  <w:num w:numId="9">
    <w:abstractNumId w:val="2"/>
  </w:num>
  <w:num w:numId="10">
    <w:abstractNumId w:val="6"/>
  </w:num>
  <w:num w:numId="11">
    <w:abstractNumId w:val="0"/>
  </w:num>
  <w:num w:numId="12">
    <w:abstractNumId w:val="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footnotePr>
    <w:footnote w:id="4"/>
    <w:footnote w:id="5"/>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796"/>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8023CE"/>
    <w:rsid w:val="01881AD6"/>
    <w:rsid w:val="01B938AA"/>
    <w:rsid w:val="02126CDB"/>
    <w:rsid w:val="021832B7"/>
    <w:rsid w:val="024E2E49"/>
    <w:rsid w:val="02A741FD"/>
    <w:rsid w:val="02C16E5D"/>
    <w:rsid w:val="02D964CF"/>
    <w:rsid w:val="0340787C"/>
    <w:rsid w:val="03707410"/>
    <w:rsid w:val="037F03E3"/>
    <w:rsid w:val="03A0770F"/>
    <w:rsid w:val="03A27BF9"/>
    <w:rsid w:val="03A448B8"/>
    <w:rsid w:val="03AD071E"/>
    <w:rsid w:val="04536D0C"/>
    <w:rsid w:val="04DF1036"/>
    <w:rsid w:val="05A97DEC"/>
    <w:rsid w:val="05C81981"/>
    <w:rsid w:val="06BC41F2"/>
    <w:rsid w:val="07197D08"/>
    <w:rsid w:val="071C2CFD"/>
    <w:rsid w:val="071E5C55"/>
    <w:rsid w:val="073F7319"/>
    <w:rsid w:val="07536A42"/>
    <w:rsid w:val="07595F41"/>
    <w:rsid w:val="07615EC0"/>
    <w:rsid w:val="077005AB"/>
    <w:rsid w:val="078848EC"/>
    <w:rsid w:val="078F4581"/>
    <w:rsid w:val="07995C5E"/>
    <w:rsid w:val="079B0BBE"/>
    <w:rsid w:val="07B0128C"/>
    <w:rsid w:val="07BE179A"/>
    <w:rsid w:val="07BF027F"/>
    <w:rsid w:val="08031A31"/>
    <w:rsid w:val="081A5CC7"/>
    <w:rsid w:val="08A276E5"/>
    <w:rsid w:val="09061A75"/>
    <w:rsid w:val="09182241"/>
    <w:rsid w:val="093C069F"/>
    <w:rsid w:val="09855177"/>
    <w:rsid w:val="09870F93"/>
    <w:rsid w:val="09F1637C"/>
    <w:rsid w:val="0A25628F"/>
    <w:rsid w:val="0AA534D5"/>
    <w:rsid w:val="0AA650EB"/>
    <w:rsid w:val="0AB8066A"/>
    <w:rsid w:val="0AF47339"/>
    <w:rsid w:val="0B22594B"/>
    <w:rsid w:val="0B797387"/>
    <w:rsid w:val="0BC044BE"/>
    <w:rsid w:val="0BDF26F7"/>
    <w:rsid w:val="0C264099"/>
    <w:rsid w:val="0C2B4952"/>
    <w:rsid w:val="0C7B2220"/>
    <w:rsid w:val="0D4121DD"/>
    <w:rsid w:val="0D890E47"/>
    <w:rsid w:val="0DC64A00"/>
    <w:rsid w:val="0DFC60BA"/>
    <w:rsid w:val="0E4249F1"/>
    <w:rsid w:val="0F7C5FF6"/>
    <w:rsid w:val="0FC63FBD"/>
    <w:rsid w:val="106C564D"/>
    <w:rsid w:val="107B7B8F"/>
    <w:rsid w:val="107C67CE"/>
    <w:rsid w:val="109D68CB"/>
    <w:rsid w:val="10A949B8"/>
    <w:rsid w:val="11200D07"/>
    <w:rsid w:val="11DA73AF"/>
    <w:rsid w:val="128551B4"/>
    <w:rsid w:val="12C60D80"/>
    <w:rsid w:val="131F7A3A"/>
    <w:rsid w:val="132645D0"/>
    <w:rsid w:val="13455ABC"/>
    <w:rsid w:val="1370322B"/>
    <w:rsid w:val="13B27845"/>
    <w:rsid w:val="141A03E1"/>
    <w:rsid w:val="143B2E0B"/>
    <w:rsid w:val="143F54A9"/>
    <w:rsid w:val="14672B11"/>
    <w:rsid w:val="14892735"/>
    <w:rsid w:val="14CC769D"/>
    <w:rsid w:val="15D359D7"/>
    <w:rsid w:val="15D81E0F"/>
    <w:rsid w:val="163C77BE"/>
    <w:rsid w:val="1679588C"/>
    <w:rsid w:val="16994962"/>
    <w:rsid w:val="16A71041"/>
    <w:rsid w:val="16AA24BF"/>
    <w:rsid w:val="16F72341"/>
    <w:rsid w:val="17680CAB"/>
    <w:rsid w:val="176E4128"/>
    <w:rsid w:val="1783371F"/>
    <w:rsid w:val="17E62B67"/>
    <w:rsid w:val="180F4499"/>
    <w:rsid w:val="18221ECE"/>
    <w:rsid w:val="19A2789F"/>
    <w:rsid w:val="1A460CF5"/>
    <w:rsid w:val="1A7F297D"/>
    <w:rsid w:val="1AB16AC1"/>
    <w:rsid w:val="1B034A52"/>
    <w:rsid w:val="1B1F34AD"/>
    <w:rsid w:val="1B8D5DC6"/>
    <w:rsid w:val="1BFE1D3B"/>
    <w:rsid w:val="1C2775EC"/>
    <w:rsid w:val="1C750ECE"/>
    <w:rsid w:val="1D0836D7"/>
    <w:rsid w:val="1D196139"/>
    <w:rsid w:val="1DB85900"/>
    <w:rsid w:val="1E010AF7"/>
    <w:rsid w:val="1E0178EB"/>
    <w:rsid w:val="1E301173"/>
    <w:rsid w:val="1E38333E"/>
    <w:rsid w:val="1EA40BB4"/>
    <w:rsid w:val="1F43381C"/>
    <w:rsid w:val="1FA4148D"/>
    <w:rsid w:val="20121621"/>
    <w:rsid w:val="201A421D"/>
    <w:rsid w:val="204E554F"/>
    <w:rsid w:val="20590035"/>
    <w:rsid w:val="20FC799E"/>
    <w:rsid w:val="212A6803"/>
    <w:rsid w:val="218578F1"/>
    <w:rsid w:val="22154DDD"/>
    <w:rsid w:val="22213E42"/>
    <w:rsid w:val="22336873"/>
    <w:rsid w:val="238C2182"/>
    <w:rsid w:val="239015D1"/>
    <w:rsid w:val="23BB4E7D"/>
    <w:rsid w:val="23C172D6"/>
    <w:rsid w:val="23D51A29"/>
    <w:rsid w:val="23F04F64"/>
    <w:rsid w:val="24814CBE"/>
    <w:rsid w:val="24AC168B"/>
    <w:rsid w:val="258C3BEC"/>
    <w:rsid w:val="260E3862"/>
    <w:rsid w:val="2617610A"/>
    <w:rsid w:val="262569FC"/>
    <w:rsid w:val="26344C98"/>
    <w:rsid w:val="26F56CE2"/>
    <w:rsid w:val="27435D49"/>
    <w:rsid w:val="27A34F71"/>
    <w:rsid w:val="27B36A67"/>
    <w:rsid w:val="27EB0D9B"/>
    <w:rsid w:val="27F90D46"/>
    <w:rsid w:val="286602C8"/>
    <w:rsid w:val="28665C95"/>
    <w:rsid w:val="28A5142A"/>
    <w:rsid w:val="290B3EB9"/>
    <w:rsid w:val="291418C2"/>
    <w:rsid w:val="2950768C"/>
    <w:rsid w:val="297A5FC4"/>
    <w:rsid w:val="2A1113BC"/>
    <w:rsid w:val="2A8D4F8F"/>
    <w:rsid w:val="2A911082"/>
    <w:rsid w:val="2A917B34"/>
    <w:rsid w:val="2AE3766F"/>
    <w:rsid w:val="2B7E4054"/>
    <w:rsid w:val="2BF22742"/>
    <w:rsid w:val="2C987C56"/>
    <w:rsid w:val="2CC51B9E"/>
    <w:rsid w:val="2CFF149A"/>
    <w:rsid w:val="2D201865"/>
    <w:rsid w:val="2D4B5CEA"/>
    <w:rsid w:val="2D652658"/>
    <w:rsid w:val="2DC80C49"/>
    <w:rsid w:val="2DCA6355"/>
    <w:rsid w:val="2DF0699F"/>
    <w:rsid w:val="2E166748"/>
    <w:rsid w:val="2E556F01"/>
    <w:rsid w:val="2E8E20B4"/>
    <w:rsid w:val="2ED06066"/>
    <w:rsid w:val="2ED1223D"/>
    <w:rsid w:val="2EE470F7"/>
    <w:rsid w:val="2F000139"/>
    <w:rsid w:val="2F561B8A"/>
    <w:rsid w:val="2F9F42DC"/>
    <w:rsid w:val="2FF37AB3"/>
    <w:rsid w:val="30FF27D2"/>
    <w:rsid w:val="31170995"/>
    <w:rsid w:val="31264A30"/>
    <w:rsid w:val="31884E67"/>
    <w:rsid w:val="31A0275E"/>
    <w:rsid w:val="31B7357A"/>
    <w:rsid w:val="31ED6B08"/>
    <w:rsid w:val="328464CE"/>
    <w:rsid w:val="32AB70C5"/>
    <w:rsid w:val="32DC33E0"/>
    <w:rsid w:val="335D0AF5"/>
    <w:rsid w:val="3370088C"/>
    <w:rsid w:val="33A3154A"/>
    <w:rsid w:val="33DC2F78"/>
    <w:rsid w:val="3428227C"/>
    <w:rsid w:val="35260F83"/>
    <w:rsid w:val="35602226"/>
    <w:rsid w:val="356B72E7"/>
    <w:rsid w:val="3572424F"/>
    <w:rsid w:val="35FC3844"/>
    <w:rsid w:val="36852B44"/>
    <w:rsid w:val="36AD519D"/>
    <w:rsid w:val="36B57705"/>
    <w:rsid w:val="36E351DF"/>
    <w:rsid w:val="3798664B"/>
    <w:rsid w:val="37A103ED"/>
    <w:rsid w:val="37EA5E6E"/>
    <w:rsid w:val="37FF016F"/>
    <w:rsid w:val="38427C0B"/>
    <w:rsid w:val="387C5ABE"/>
    <w:rsid w:val="389B3A1E"/>
    <w:rsid w:val="38EB6119"/>
    <w:rsid w:val="39FE0BE9"/>
    <w:rsid w:val="3A3C1AAF"/>
    <w:rsid w:val="3A51228C"/>
    <w:rsid w:val="3A552E60"/>
    <w:rsid w:val="3A5D642F"/>
    <w:rsid w:val="3AB210FC"/>
    <w:rsid w:val="3AD95C13"/>
    <w:rsid w:val="3B261E51"/>
    <w:rsid w:val="3BCD72F7"/>
    <w:rsid w:val="3C414142"/>
    <w:rsid w:val="3CF737A2"/>
    <w:rsid w:val="3D10295A"/>
    <w:rsid w:val="3E0572FD"/>
    <w:rsid w:val="3E1A5292"/>
    <w:rsid w:val="3E5A7FE7"/>
    <w:rsid w:val="3E703A03"/>
    <w:rsid w:val="3EC8179E"/>
    <w:rsid w:val="3EF66B2E"/>
    <w:rsid w:val="3F217914"/>
    <w:rsid w:val="3FD70BB0"/>
    <w:rsid w:val="3FFB55AC"/>
    <w:rsid w:val="401C5F9D"/>
    <w:rsid w:val="401C690C"/>
    <w:rsid w:val="401D7195"/>
    <w:rsid w:val="40CE3DC0"/>
    <w:rsid w:val="40D140E0"/>
    <w:rsid w:val="40D7455A"/>
    <w:rsid w:val="40E743E5"/>
    <w:rsid w:val="4110038E"/>
    <w:rsid w:val="41734CBA"/>
    <w:rsid w:val="41DD7057"/>
    <w:rsid w:val="420F7A65"/>
    <w:rsid w:val="4216611A"/>
    <w:rsid w:val="423E300F"/>
    <w:rsid w:val="425656C8"/>
    <w:rsid w:val="4257273C"/>
    <w:rsid w:val="425D7213"/>
    <w:rsid w:val="42677B61"/>
    <w:rsid w:val="42756DB0"/>
    <w:rsid w:val="42B21AD2"/>
    <w:rsid w:val="42FD694D"/>
    <w:rsid w:val="434A6D8F"/>
    <w:rsid w:val="43FA5777"/>
    <w:rsid w:val="44044D92"/>
    <w:rsid w:val="441C1611"/>
    <w:rsid w:val="443C440B"/>
    <w:rsid w:val="443F7DBF"/>
    <w:rsid w:val="44514F52"/>
    <w:rsid w:val="448965CB"/>
    <w:rsid w:val="44F952F1"/>
    <w:rsid w:val="44FA2D53"/>
    <w:rsid w:val="4571374F"/>
    <w:rsid w:val="458B1BB0"/>
    <w:rsid w:val="4611075B"/>
    <w:rsid w:val="46214818"/>
    <w:rsid w:val="467A0297"/>
    <w:rsid w:val="468B7125"/>
    <w:rsid w:val="46C4691F"/>
    <w:rsid w:val="479D1D34"/>
    <w:rsid w:val="47B609C0"/>
    <w:rsid w:val="47C01601"/>
    <w:rsid w:val="47CD3EC3"/>
    <w:rsid w:val="482D31EA"/>
    <w:rsid w:val="485970A0"/>
    <w:rsid w:val="486C398E"/>
    <w:rsid w:val="48A41906"/>
    <w:rsid w:val="48B65C71"/>
    <w:rsid w:val="48F303D7"/>
    <w:rsid w:val="492837FF"/>
    <w:rsid w:val="492E6A57"/>
    <w:rsid w:val="4A0030EE"/>
    <w:rsid w:val="4AAC238C"/>
    <w:rsid w:val="4AC36065"/>
    <w:rsid w:val="4B7501F5"/>
    <w:rsid w:val="4B8C2DEB"/>
    <w:rsid w:val="4BFA3C9F"/>
    <w:rsid w:val="4C0E3379"/>
    <w:rsid w:val="4C107F48"/>
    <w:rsid w:val="4C3277BC"/>
    <w:rsid w:val="4CC353EB"/>
    <w:rsid w:val="4CF36F3C"/>
    <w:rsid w:val="4D4F67BA"/>
    <w:rsid w:val="4D603399"/>
    <w:rsid w:val="4D867EE1"/>
    <w:rsid w:val="4DBC4C65"/>
    <w:rsid w:val="4DF6568D"/>
    <w:rsid w:val="4E550010"/>
    <w:rsid w:val="4E5F14CB"/>
    <w:rsid w:val="4F3705F8"/>
    <w:rsid w:val="4FAC3540"/>
    <w:rsid w:val="4FBB12F4"/>
    <w:rsid w:val="4FCF1583"/>
    <w:rsid w:val="4FDB0E59"/>
    <w:rsid w:val="4FFA7625"/>
    <w:rsid w:val="501B0BF9"/>
    <w:rsid w:val="507D2599"/>
    <w:rsid w:val="5096229D"/>
    <w:rsid w:val="50DC4184"/>
    <w:rsid w:val="51475B39"/>
    <w:rsid w:val="514C3EA7"/>
    <w:rsid w:val="519849E5"/>
    <w:rsid w:val="51B36892"/>
    <w:rsid w:val="52506DA7"/>
    <w:rsid w:val="52A27E1D"/>
    <w:rsid w:val="533B2B84"/>
    <w:rsid w:val="537A7243"/>
    <w:rsid w:val="539C1B81"/>
    <w:rsid w:val="53AE750F"/>
    <w:rsid w:val="53F263AD"/>
    <w:rsid w:val="54693932"/>
    <w:rsid w:val="549A6BFA"/>
    <w:rsid w:val="54E72921"/>
    <w:rsid w:val="55806F07"/>
    <w:rsid w:val="55FA2961"/>
    <w:rsid w:val="565E7F4F"/>
    <w:rsid w:val="56775789"/>
    <w:rsid w:val="56857D06"/>
    <w:rsid w:val="56914056"/>
    <w:rsid w:val="56DB613D"/>
    <w:rsid w:val="57FC2169"/>
    <w:rsid w:val="58096275"/>
    <w:rsid w:val="581C04F1"/>
    <w:rsid w:val="582E6EF7"/>
    <w:rsid w:val="58434392"/>
    <w:rsid w:val="584E30E6"/>
    <w:rsid w:val="58D73C60"/>
    <w:rsid w:val="59014D02"/>
    <w:rsid w:val="597B384D"/>
    <w:rsid w:val="59996DA8"/>
    <w:rsid w:val="59C30F1B"/>
    <w:rsid w:val="5A0D5854"/>
    <w:rsid w:val="5A20156F"/>
    <w:rsid w:val="5AC7121C"/>
    <w:rsid w:val="5AD90B8D"/>
    <w:rsid w:val="5AE12927"/>
    <w:rsid w:val="5B2243E9"/>
    <w:rsid w:val="5B4E1A44"/>
    <w:rsid w:val="5B666742"/>
    <w:rsid w:val="5B873201"/>
    <w:rsid w:val="5B89551D"/>
    <w:rsid w:val="5B967767"/>
    <w:rsid w:val="5B9E55DE"/>
    <w:rsid w:val="5C286807"/>
    <w:rsid w:val="5C446BC8"/>
    <w:rsid w:val="5C4C687B"/>
    <w:rsid w:val="5C7C2768"/>
    <w:rsid w:val="5CB23AE6"/>
    <w:rsid w:val="5CF55792"/>
    <w:rsid w:val="5CFD533A"/>
    <w:rsid w:val="5D893B14"/>
    <w:rsid w:val="5E2B7D62"/>
    <w:rsid w:val="5EA06921"/>
    <w:rsid w:val="5ED5006A"/>
    <w:rsid w:val="5F576E4B"/>
    <w:rsid w:val="5F7A2C30"/>
    <w:rsid w:val="5FBE370A"/>
    <w:rsid w:val="60292845"/>
    <w:rsid w:val="606528A3"/>
    <w:rsid w:val="612E1A5D"/>
    <w:rsid w:val="61816046"/>
    <w:rsid w:val="61862854"/>
    <w:rsid w:val="62391564"/>
    <w:rsid w:val="62816669"/>
    <w:rsid w:val="62BA0953"/>
    <w:rsid w:val="62C6228A"/>
    <w:rsid w:val="62D03A7C"/>
    <w:rsid w:val="62F16BCB"/>
    <w:rsid w:val="62F648FE"/>
    <w:rsid w:val="63341DB1"/>
    <w:rsid w:val="63A10995"/>
    <w:rsid w:val="63C23EFA"/>
    <w:rsid w:val="63C673E2"/>
    <w:rsid w:val="643A070A"/>
    <w:rsid w:val="644C573D"/>
    <w:rsid w:val="648667A7"/>
    <w:rsid w:val="64DB383A"/>
    <w:rsid w:val="65032F85"/>
    <w:rsid w:val="65136B50"/>
    <w:rsid w:val="657E2A35"/>
    <w:rsid w:val="65A94E9D"/>
    <w:rsid w:val="65C60A92"/>
    <w:rsid w:val="662203DD"/>
    <w:rsid w:val="66DD6702"/>
    <w:rsid w:val="679406CB"/>
    <w:rsid w:val="67C35C0B"/>
    <w:rsid w:val="68652AB3"/>
    <w:rsid w:val="68AD17BB"/>
    <w:rsid w:val="68CB4E7E"/>
    <w:rsid w:val="68D94D22"/>
    <w:rsid w:val="6903188B"/>
    <w:rsid w:val="692B2E4A"/>
    <w:rsid w:val="694303FB"/>
    <w:rsid w:val="696A0B34"/>
    <w:rsid w:val="698D6A17"/>
    <w:rsid w:val="69EE3535"/>
    <w:rsid w:val="69F954C1"/>
    <w:rsid w:val="6A16708F"/>
    <w:rsid w:val="6A2031B6"/>
    <w:rsid w:val="6A440C53"/>
    <w:rsid w:val="6AC61F6F"/>
    <w:rsid w:val="6ADE74F0"/>
    <w:rsid w:val="6B1002C0"/>
    <w:rsid w:val="6B723594"/>
    <w:rsid w:val="6B805156"/>
    <w:rsid w:val="6BD50977"/>
    <w:rsid w:val="6BEA2A9B"/>
    <w:rsid w:val="6C9C0875"/>
    <w:rsid w:val="6CAA3931"/>
    <w:rsid w:val="6D3933CA"/>
    <w:rsid w:val="6D7B61EC"/>
    <w:rsid w:val="6DD049FF"/>
    <w:rsid w:val="6E09491E"/>
    <w:rsid w:val="6E0D3655"/>
    <w:rsid w:val="6E5F4465"/>
    <w:rsid w:val="6E8C54DA"/>
    <w:rsid w:val="6EAD26AC"/>
    <w:rsid w:val="6EF11E03"/>
    <w:rsid w:val="6F111C62"/>
    <w:rsid w:val="6F2176E5"/>
    <w:rsid w:val="6F3053CA"/>
    <w:rsid w:val="6F592303"/>
    <w:rsid w:val="6F5F5B74"/>
    <w:rsid w:val="6F790814"/>
    <w:rsid w:val="6F9B1C65"/>
    <w:rsid w:val="6FD47A25"/>
    <w:rsid w:val="6FE07A84"/>
    <w:rsid w:val="6FFB146E"/>
    <w:rsid w:val="701A5C74"/>
    <w:rsid w:val="706516C3"/>
    <w:rsid w:val="70896E68"/>
    <w:rsid w:val="715B60E9"/>
    <w:rsid w:val="71EA1FED"/>
    <w:rsid w:val="72C16204"/>
    <w:rsid w:val="730313F6"/>
    <w:rsid w:val="731E1007"/>
    <w:rsid w:val="73370D24"/>
    <w:rsid w:val="73447841"/>
    <w:rsid w:val="7359268C"/>
    <w:rsid w:val="739503EB"/>
    <w:rsid w:val="73A05B28"/>
    <w:rsid w:val="73C07D69"/>
    <w:rsid w:val="74B42AE4"/>
    <w:rsid w:val="750A429D"/>
    <w:rsid w:val="755D38A7"/>
    <w:rsid w:val="75614792"/>
    <w:rsid w:val="75784473"/>
    <w:rsid w:val="757E044C"/>
    <w:rsid w:val="75977BC3"/>
    <w:rsid w:val="75B161B3"/>
    <w:rsid w:val="75E470E3"/>
    <w:rsid w:val="76736B32"/>
    <w:rsid w:val="76E3765E"/>
    <w:rsid w:val="76FC2AFA"/>
    <w:rsid w:val="77653671"/>
    <w:rsid w:val="778546CC"/>
    <w:rsid w:val="77B56730"/>
    <w:rsid w:val="77C04A8B"/>
    <w:rsid w:val="77D85DB3"/>
    <w:rsid w:val="77DD0ABA"/>
    <w:rsid w:val="780252A0"/>
    <w:rsid w:val="78027772"/>
    <w:rsid w:val="78A50513"/>
    <w:rsid w:val="796518DD"/>
    <w:rsid w:val="796E0C55"/>
    <w:rsid w:val="79AA0532"/>
    <w:rsid w:val="79FE1DDD"/>
    <w:rsid w:val="7A075767"/>
    <w:rsid w:val="7A212062"/>
    <w:rsid w:val="7A282A11"/>
    <w:rsid w:val="7A7D7F27"/>
    <w:rsid w:val="7AC21562"/>
    <w:rsid w:val="7AD474A4"/>
    <w:rsid w:val="7B5350AD"/>
    <w:rsid w:val="7B697C89"/>
    <w:rsid w:val="7B8D34C3"/>
    <w:rsid w:val="7B971D84"/>
    <w:rsid w:val="7BF32F03"/>
    <w:rsid w:val="7C1724A5"/>
    <w:rsid w:val="7C8E3CCF"/>
    <w:rsid w:val="7CA54112"/>
    <w:rsid w:val="7CE50CE4"/>
    <w:rsid w:val="7D2E5ABF"/>
    <w:rsid w:val="7D794C47"/>
    <w:rsid w:val="7E2142A2"/>
    <w:rsid w:val="7E4F5384"/>
    <w:rsid w:val="7E5A6DFA"/>
    <w:rsid w:val="7E7B0BF2"/>
    <w:rsid w:val="7E8D75B6"/>
    <w:rsid w:val="7EB2417D"/>
    <w:rsid w:val="7EF760EE"/>
    <w:rsid w:val="7F2A2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9"/>
    <w:unhideWhenUsed/>
    <w:qFormat/>
    <w:uiPriority w:val="9"/>
    <w:pPr>
      <w:keepNext/>
      <w:keepLines/>
      <w:spacing w:line="360" w:lineRule="auto"/>
      <w:outlineLvl w:val="3"/>
    </w:pPr>
    <w:rPr>
      <w:rFonts w:eastAsia="宋体" w:asciiTheme="majorAscii" w:hAnsiTheme="majorAscii" w:cstheme="majorBidi"/>
      <w:b/>
      <w:bCs/>
      <w:sz w:val="24"/>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eastAsia="宋体" w:cs="宋体"/>
      <w:sz w:val="24"/>
      <w:lang w:val="zh-CN" w:bidi="zh-CN"/>
    </w:rPr>
  </w:style>
  <w:style w:type="paragraph" w:styleId="7">
    <w:name w:val="annotation text"/>
    <w:basedOn w:val="1"/>
    <w:semiHidden/>
    <w:unhideWhenUsed/>
    <w:qFormat/>
    <w:uiPriority w:val="99"/>
  </w:style>
  <w:style w:type="paragraph" w:styleId="8">
    <w:name w:val="toc 3"/>
    <w:basedOn w:val="1"/>
    <w:next w:val="1"/>
    <w:unhideWhenUsed/>
    <w:qFormat/>
    <w:uiPriority w:val="39"/>
    <w:pPr>
      <w:tabs>
        <w:tab w:val="right" w:leader="dot" w:pos="8296"/>
      </w:tabs>
      <w:ind w:left="838" w:leftChars="381"/>
    </w:pPr>
    <w:rPr>
      <w:sz w:val="21"/>
      <w:szCs w:val="21"/>
    </w:rPr>
  </w:style>
  <w:style w:type="paragraph" w:styleId="9">
    <w:name w:val="Plain Text"/>
    <w:basedOn w:val="1"/>
    <w:link w:val="40"/>
    <w:qFormat/>
    <w:uiPriority w:val="0"/>
    <w:pPr>
      <w:widowControl w:val="0"/>
      <w:adjustRightInd/>
      <w:snapToGrid/>
      <w:spacing w:after="0"/>
      <w:jc w:val="both"/>
    </w:pPr>
    <w:rPr>
      <w:rFonts w:ascii="宋体" w:hAnsi="Courier New" w:eastAsia="宋体" w:cs="Times New Roman"/>
      <w:b/>
      <w:kern w:val="2"/>
      <w:sz w:val="21"/>
      <w:szCs w:val="20"/>
    </w:rPr>
  </w:style>
  <w:style w:type="paragraph" w:styleId="10">
    <w:name w:val="Balloon Text"/>
    <w:basedOn w:val="1"/>
    <w:link w:val="43"/>
    <w:semiHidden/>
    <w:unhideWhenUsed/>
    <w:qFormat/>
    <w:uiPriority w:val="99"/>
    <w:pPr>
      <w:spacing w:after="0"/>
    </w:pPr>
    <w:rPr>
      <w:sz w:val="18"/>
      <w:szCs w:val="18"/>
    </w:rPr>
  </w:style>
  <w:style w:type="paragraph" w:styleId="11">
    <w:name w:val="footer"/>
    <w:basedOn w:val="1"/>
    <w:link w:val="42"/>
    <w:unhideWhenUsed/>
    <w:qFormat/>
    <w:uiPriority w:val="99"/>
    <w:pPr>
      <w:tabs>
        <w:tab w:val="center" w:pos="4153"/>
        <w:tab w:val="right" w:pos="8306"/>
      </w:tabs>
    </w:pPr>
    <w:rPr>
      <w:sz w:val="18"/>
      <w:szCs w:val="18"/>
    </w:rPr>
  </w:style>
  <w:style w:type="paragraph" w:styleId="12">
    <w:name w:val="header"/>
    <w:basedOn w:val="1"/>
    <w:link w:val="41"/>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semiHidden/>
    <w:unhideWhenUsed/>
    <w:qFormat/>
    <w:uiPriority w:val="39"/>
  </w:style>
  <w:style w:type="paragraph" w:styleId="14">
    <w:name w:val="toc 4"/>
    <w:basedOn w:val="1"/>
    <w:next w:val="1"/>
    <w:unhideWhenUsed/>
    <w:qFormat/>
    <w:uiPriority w:val="39"/>
    <w:pPr>
      <w:tabs>
        <w:tab w:val="right" w:leader="dot" w:pos="8296"/>
      </w:tabs>
      <w:spacing w:after="120"/>
      <w:ind w:left="1320" w:leftChars="600"/>
    </w:pPr>
  </w:style>
  <w:style w:type="paragraph" w:styleId="15">
    <w:name w:val="footnote text"/>
    <w:basedOn w:val="1"/>
    <w:semiHidden/>
    <w:unhideWhenUsed/>
    <w:qFormat/>
    <w:uiPriority w:val="99"/>
    <w:pPr>
      <w:snapToGrid w:val="0"/>
      <w:jc w:val="left"/>
    </w:pPr>
    <w:rPr>
      <w:sz w:val="18"/>
    </w:rPr>
  </w:style>
  <w:style w:type="paragraph" w:styleId="16">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7">
    <w:name w:val="Normal (Web)"/>
    <w:basedOn w:val="1"/>
    <w:link w:val="45"/>
    <w:qFormat/>
    <w:uiPriority w:val="0"/>
    <w:pPr>
      <w:widowControl w:val="0"/>
      <w:adjustRightInd/>
      <w:snapToGrid/>
      <w:spacing w:after="0"/>
      <w:jc w:val="both"/>
    </w:pPr>
    <w:rPr>
      <w:rFonts w:eastAsia="宋体" w:asciiTheme="minorHAnsi" w:hAnsiTheme="minorHAnsi"/>
      <w:kern w:val="2"/>
      <w:sz w:val="24"/>
      <w:szCs w:val="24"/>
    </w:rPr>
  </w:style>
  <w:style w:type="paragraph" w:styleId="18">
    <w:name w:val="Body Text First Indent"/>
    <w:basedOn w:val="2"/>
    <w:unhideWhenUsed/>
    <w:qFormat/>
    <w:uiPriority w:val="99"/>
    <w:pPr>
      <w:ind w:firstLine="420" w:firstLineChars="100"/>
    </w:pPr>
    <w:rPr>
      <w:rFonts w:ascii="Times New Roman" w:hAnsi="Times New Roman" w:cs="Times New Roman"/>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Emphasis"/>
    <w:basedOn w:val="21"/>
    <w:qFormat/>
    <w:uiPriority w:val="20"/>
    <w:rPr>
      <w:i/>
      <w:iCs/>
    </w:rPr>
  </w:style>
  <w:style w:type="character" w:styleId="23">
    <w:name w:val="Hyperlink"/>
    <w:qFormat/>
    <w:uiPriority w:val="99"/>
    <w:rPr>
      <w:rFonts w:hint="eastAsia" w:ascii="宋体" w:hAnsi="宋体" w:eastAsia="宋体" w:cs="宋体"/>
      <w:b/>
      <w:color w:val="0031C1"/>
      <w:kern w:val="0"/>
      <w:sz w:val="18"/>
      <w:szCs w:val="18"/>
      <w:u w:val="none"/>
      <w:lang w:eastAsia="en-US"/>
    </w:rPr>
  </w:style>
  <w:style w:type="character" w:styleId="24">
    <w:name w:val="annotation reference"/>
    <w:basedOn w:val="21"/>
    <w:semiHidden/>
    <w:unhideWhenUsed/>
    <w:qFormat/>
    <w:uiPriority w:val="99"/>
    <w:rPr>
      <w:sz w:val="21"/>
      <w:szCs w:val="21"/>
    </w:rPr>
  </w:style>
  <w:style w:type="character" w:styleId="25">
    <w:name w:val="footnote reference"/>
    <w:basedOn w:val="21"/>
    <w:semiHidden/>
    <w:unhideWhenUsed/>
    <w:qFormat/>
    <w:uiPriority w:val="99"/>
    <w:rPr>
      <w:vertAlign w:val="superscript"/>
    </w:rPr>
  </w:style>
  <w:style w:type="character" w:customStyle="1" w:styleId="26">
    <w:name w:val="标题 2 Char"/>
    <w:basedOn w:val="21"/>
    <w:link w:val="4"/>
    <w:qFormat/>
    <w:uiPriority w:val="9"/>
    <w:rPr>
      <w:rFonts w:asciiTheme="majorHAnsi" w:hAnsiTheme="majorHAnsi" w:eastAsiaTheme="majorEastAsia" w:cstheme="majorBidi"/>
      <w:b/>
      <w:bCs/>
      <w:sz w:val="32"/>
      <w:szCs w:val="32"/>
    </w:rPr>
  </w:style>
  <w:style w:type="character" w:customStyle="1" w:styleId="27">
    <w:name w:val="标题 3 Char"/>
    <w:basedOn w:val="21"/>
    <w:link w:val="5"/>
    <w:qFormat/>
    <w:uiPriority w:val="9"/>
    <w:rPr>
      <w:rFonts w:ascii="Tahoma" w:hAnsi="Tahoma"/>
      <w:b/>
      <w:bCs/>
      <w:sz w:val="32"/>
      <w:szCs w:val="32"/>
    </w:rPr>
  </w:style>
  <w:style w:type="paragraph" w:styleId="28">
    <w:name w:val="List Paragraph"/>
    <w:basedOn w:val="1"/>
    <w:qFormat/>
    <w:uiPriority w:val="34"/>
    <w:pPr>
      <w:ind w:firstLine="420" w:firstLineChars="200"/>
    </w:pPr>
  </w:style>
  <w:style w:type="character" w:customStyle="1" w:styleId="29">
    <w:name w:val="标题 4 Char"/>
    <w:basedOn w:val="21"/>
    <w:link w:val="6"/>
    <w:qFormat/>
    <w:uiPriority w:val="9"/>
    <w:rPr>
      <w:rFonts w:eastAsia="宋体" w:asciiTheme="majorAscii" w:hAnsiTheme="majorAscii" w:cstheme="majorBidi"/>
      <w:b/>
      <w:bCs/>
      <w:sz w:val="24"/>
      <w:szCs w:val="28"/>
    </w:rPr>
  </w:style>
  <w:style w:type="character" w:customStyle="1" w:styleId="30">
    <w:name w:val="正文缩进2格 Char"/>
    <w:link w:val="31"/>
    <w:qFormat/>
    <w:uiPriority w:val="0"/>
    <w:rPr>
      <w:rFonts w:ascii="仿宋_GB2312" w:hAnsi="宋体" w:eastAsia="仿宋_GB2312"/>
      <w:kern w:val="2"/>
      <w:sz w:val="31"/>
    </w:rPr>
  </w:style>
  <w:style w:type="paragraph" w:customStyle="1" w:styleId="31">
    <w:name w:val="正文缩进2格"/>
    <w:basedOn w:val="1"/>
    <w:link w:val="30"/>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2">
    <w:name w:val="正文缩进4格"/>
    <w:basedOn w:val="31"/>
    <w:qFormat/>
    <w:uiPriority w:val="0"/>
    <w:pPr>
      <w:ind w:left="2" w:firstLine="538" w:firstLineChars="192"/>
    </w:pPr>
    <w:rPr>
      <w:color w:val="0000FF"/>
      <w:sz w:val="28"/>
    </w:rPr>
  </w:style>
  <w:style w:type="character" w:customStyle="1" w:styleId="33">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4">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5">
    <w:name w:val="标题1"/>
    <w:qFormat/>
    <w:uiPriority w:val="0"/>
    <w:rPr>
      <w:rFonts w:ascii="Times New Roman" w:hAnsi="Times New Roman" w:eastAsia="宋体" w:cs="Times New Roman"/>
      <w:b/>
      <w:kern w:val="0"/>
      <w:sz w:val="24"/>
      <w:szCs w:val="20"/>
      <w:lang w:eastAsia="en-US"/>
    </w:rPr>
  </w:style>
  <w:style w:type="character" w:customStyle="1" w:styleId="36">
    <w:name w:val="标题 3.1 Char"/>
    <w:link w:val="37"/>
    <w:qFormat/>
    <w:uiPriority w:val="0"/>
    <w:rPr>
      <w:rFonts w:ascii="宋体" w:hAnsi="宋体" w:eastAsia="宋体"/>
      <w:b/>
      <w:color w:val="FF0000"/>
      <w:kern w:val="2"/>
      <w:sz w:val="32"/>
    </w:rPr>
  </w:style>
  <w:style w:type="paragraph" w:customStyle="1" w:styleId="37">
    <w:name w:val="标题 3.1"/>
    <w:basedOn w:val="5"/>
    <w:link w:val="36"/>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38">
    <w:name w:val="样式 楷体_GB2312 小四"/>
    <w:qFormat/>
    <w:uiPriority w:val="0"/>
    <w:rPr>
      <w:rFonts w:ascii="楷体_GB2312" w:hAnsi="楷体_GB2312" w:eastAsia="仿宋_GB2312"/>
      <w:sz w:val="24"/>
    </w:rPr>
  </w:style>
  <w:style w:type="character" w:customStyle="1" w:styleId="39">
    <w:name w:val="纯文本 Char"/>
    <w:qFormat/>
    <w:uiPriority w:val="0"/>
    <w:rPr>
      <w:rFonts w:ascii="宋体" w:hAnsi="Courier New" w:eastAsia="宋体" w:cs="Times New Roman"/>
      <w:b/>
      <w:kern w:val="2"/>
      <w:sz w:val="21"/>
      <w:szCs w:val="20"/>
    </w:rPr>
  </w:style>
  <w:style w:type="character" w:customStyle="1" w:styleId="40">
    <w:name w:val="纯文本 Char1"/>
    <w:basedOn w:val="21"/>
    <w:link w:val="9"/>
    <w:semiHidden/>
    <w:qFormat/>
    <w:uiPriority w:val="99"/>
    <w:rPr>
      <w:rFonts w:ascii="宋体" w:hAnsi="Courier New" w:eastAsia="宋体" w:cs="Courier New"/>
      <w:sz w:val="21"/>
      <w:szCs w:val="21"/>
    </w:rPr>
  </w:style>
  <w:style w:type="character" w:customStyle="1" w:styleId="41">
    <w:name w:val="页眉 Char"/>
    <w:basedOn w:val="21"/>
    <w:link w:val="12"/>
    <w:qFormat/>
    <w:uiPriority w:val="99"/>
    <w:rPr>
      <w:rFonts w:ascii="Tahoma" w:hAnsi="Tahoma"/>
      <w:sz w:val="18"/>
      <w:szCs w:val="18"/>
    </w:rPr>
  </w:style>
  <w:style w:type="character" w:customStyle="1" w:styleId="42">
    <w:name w:val="页脚 Char"/>
    <w:basedOn w:val="21"/>
    <w:link w:val="11"/>
    <w:qFormat/>
    <w:uiPriority w:val="99"/>
    <w:rPr>
      <w:rFonts w:ascii="Tahoma" w:hAnsi="Tahoma"/>
      <w:sz w:val="18"/>
      <w:szCs w:val="18"/>
    </w:rPr>
  </w:style>
  <w:style w:type="character" w:customStyle="1" w:styleId="43">
    <w:name w:val="批注框文本 Char"/>
    <w:basedOn w:val="21"/>
    <w:link w:val="10"/>
    <w:semiHidden/>
    <w:qFormat/>
    <w:uiPriority w:val="99"/>
    <w:rPr>
      <w:rFonts w:ascii="Tahoma" w:hAnsi="Tahoma"/>
      <w:sz w:val="18"/>
      <w:szCs w:val="18"/>
    </w:rPr>
  </w:style>
  <w:style w:type="paragraph" w:customStyle="1" w:styleId="44">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5">
    <w:name w:val="普通(网站) Char"/>
    <w:link w:val="17"/>
    <w:qFormat/>
    <w:uiPriority w:val="0"/>
    <w:rPr>
      <w:rFonts w:eastAsia="宋体"/>
      <w:kern w:val="2"/>
      <w:sz w:val="24"/>
      <w:szCs w:val="24"/>
    </w:rPr>
  </w:style>
  <w:style w:type="paragraph" w:customStyle="1" w:styleId="46">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7">
    <w:name w:val="p141"/>
    <w:qFormat/>
    <w:uiPriority w:val="0"/>
    <w:rPr>
      <w:sz w:val="21"/>
      <w:szCs w:val="21"/>
    </w:rPr>
  </w:style>
  <w:style w:type="paragraph" w:customStyle="1" w:styleId="4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BD83C-2A9B-4E6F-A772-FE212356A246}">
  <ds:schemaRefs/>
</ds:datastoreItem>
</file>

<file path=docProps/app.xml><?xml version="1.0" encoding="utf-8"?>
<Properties xmlns="http://schemas.openxmlformats.org/officeDocument/2006/extended-properties" xmlns:vt="http://schemas.openxmlformats.org/officeDocument/2006/docPropsVTypes">
  <Template>Normal</Template>
  <Pages>68</Pages>
  <Words>5566</Words>
  <Characters>31731</Characters>
  <Lines>264</Lines>
  <Paragraphs>74</Paragraphs>
  <TotalTime>4</TotalTime>
  <ScaleCrop>false</ScaleCrop>
  <LinksUpToDate>false</LinksUpToDate>
  <CharactersWithSpaces>37223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MyPC</dc:creator>
  <cp:keywords>文件格式版本</cp:keywords>
  <cp:lastModifiedBy>Lu</cp:lastModifiedBy>
  <cp:lastPrinted>2019-04-01T01:49:00Z</cp:lastPrinted>
  <dcterms:modified xsi:type="dcterms:W3CDTF">2021-09-03T09:45:41Z</dcterms:modified>
  <dc:subject>公开招标文件版本</dc:subject>
  <dc:title>公开招标文件版本</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14E79B9A8F62439B9831AB62B8FE38AC</vt:lpwstr>
  </property>
</Properties>
</file>