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eastAsia="黑体"/>
          <w:b/>
          <w:color w:val="auto"/>
          <w:sz w:val="36"/>
          <w:highlight w:val="none"/>
          <w:lang w:val="en-US"/>
        </w:rPr>
      </w:pPr>
      <w:r>
        <w:rPr>
          <w:rFonts w:hint="eastAsia" w:ascii="黑体" w:hAnsi="Tahoma" w:eastAsia="黑体" w:cs="黑体"/>
          <w:color w:val="auto"/>
          <w:sz w:val="22"/>
          <w:szCs w:val="21"/>
          <w:highlight w:val="none"/>
          <w:lang w:val="en-US" w:eastAsia="zh-CN" w:bidi="ar-SA"/>
        </w:rPr>
        <w:drawing>
          <wp:inline distT="0" distB="0" distL="114300" distR="114300">
            <wp:extent cx="682625" cy="652145"/>
            <wp:effectExtent l="0" t="0" r="317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lum/>
                    </a:blip>
                    <a:srcRect l="6233" t="18358" r="67326" b="19339"/>
                    <a:stretch>
                      <a:fillRect/>
                    </a:stretch>
                  </pic:blipFill>
                  <pic:spPr>
                    <a:xfrm>
                      <a:off x="0" y="0"/>
                      <a:ext cx="682625" cy="652145"/>
                    </a:xfrm>
                    <a:prstGeom prst="rect">
                      <a:avLst/>
                    </a:prstGeom>
                    <a:noFill/>
                    <a:ln>
                      <a:noFill/>
                    </a:ln>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widowControl/>
        <w:wordWrap/>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eastAsia" w:ascii="黑体" w:hAnsi="黑体" w:eastAsia="黑体" w:cs="黑体"/>
          <w:color w:val="auto"/>
          <w:highlight w:val="none"/>
        </w:rPr>
      </w:pPr>
      <w:r>
        <w:rPr>
          <w:rFonts w:hint="eastAsia" w:ascii="黑体" w:hAnsi="黑体" w:eastAsia="黑体" w:cs="黑体"/>
          <w:b w:val="0"/>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0"/>
        <w:tblW w:w="8816"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东莞市寮步镇原环卫二三片区“牛皮癣”清理项目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vAlign w:val="center"/>
          </w:tcPr>
          <w:p>
            <w:pPr>
              <w:spacing w:before="200"/>
              <w:jc w:val="both"/>
              <w:rPr>
                <w:rFonts w:ascii="黑体" w:hAnsi="黑体" w:eastAsia="黑体" w:cs="黑体"/>
                <w:bCs/>
                <w:color w:val="auto"/>
                <w:sz w:val="32"/>
                <w:szCs w:val="24"/>
                <w:highlight w:val="none"/>
              </w:rPr>
            </w:pPr>
            <w:r>
              <w:rPr>
                <w:rFonts w:ascii="黑体" w:hAnsi="黑体" w:eastAsia="黑体" w:cs="黑体"/>
                <w:bCs/>
                <w:color w:val="auto"/>
                <w:sz w:val="32"/>
                <w:szCs w:val="24"/>
                <w:highlight w:val="none"/>
              </w:rPr>
              <w:t>441900019-2021-00768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东莞市城市管理和综合执法局寮步分局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招标代理：</w:t>
            </w:r>
          </w:p>
        </w:tc>
        <w:tc>
          <w:tcPr>
            <w:tcW w:w="6203" w:type="dxa"/>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广东政通招标有限公司</w:t>
            </w:r>
          </w:p>
        </w:tc>
      </w:tr>
    </w:tbl>
    <w:p>
      <w:pPr>
        <w:jc w:val="center"/>
        <w:rPr>
          <w:rFonts w:ascii="黑体" w:eastAsia="黑体"/>
          <w:color w:val="auto"/>
          <w:szCs w:val="21"/>
          <w:highlight w:val="none"/>
        </w:rPr>
      </w:pPr>
    </w:p>
    <w:p>
      <w:pPr>
        <w:jc w:val="both"/>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16"/>
        <w:rPr>
          <w:color w:val="auto"/>
          <w:sz w:val="32"/>
          <w:szCs w:val="32"/>
          <w:highlight w:val="none"/>
        </w:rPr>
        <w:sectPr>
          <w:headerReference r:id="rId4" w:type="default"/>
          <w:pgSz w:w="11906" w:h="16838"/>
          <w:pgMar w:top="1440" w:right="1800" w:bottom="1440" w:left="1800" w:header="708" w:footer="708" w:gutter="0"/>
          <w:pgNumType w:start="0"/>
          <w:cols w:space="720" w:num="1"/>
          <w:titlePg/>
          <w:docGrid w:type="lines" w:linePitch="360" w:charSpace="0"/>
        </w:sectPr>
      </w:pPr>
      <w:r>
        <w:rPr>
          <w:rFonts w:hint="eastAsia" w:ascii="黑体" w:hAnsi="宋体" w:eastAsia="黑体" w:cs="黑体"/>
          <w:color w:val="auto"/>
          <w:sz w:val="30"/>
          <w:szCs w:val="21"/>
          <w:highlight w:val="none"/>
          <w:lang w:val="en-US" w:eastAsia="zh-CN" w:bidi="ar-SA"/>
        </w:rPr>
        <w:drawing>
          <wp:inline distT="0" distB="0" distL="114300" distR="114300">
            <wp:extent cx="3716020" cy="633730"/>
            <wp:effectExtent l="0" t="0" r="1778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lum/>
                    </a:blip>
                    <a:srcRect l="6033" t="52170" r="5754" b="9299"/>
                    <a:stretch>
                      <a:fillRect/>
                    </a:stretch>
                  </pic:blipFill>
                  <pic:spPr>
                    <a:xfrm>
                      <a:off x="0" y="0"/>
                      <a:ext cx="3716020" cy="633730"/>
                    </a:xfrm>
                    <a:prstGeom prst="rect">
                      <a:avLst/>
                    </a:prstGeom>
                    <a:noFill/>
                    <a:ln>
                      <a:noFill/>
                    </a:ln>
                  </pic:spPr>
                </pic:pic>
              </a:graphicData>
            </a:graphic>
          </wp:inline>
        </w:drawing>
      </w:r>
    </w:p>
    <w:p>
      <w:pPr>
        <w:pStyle w:val="16"/>
        <w:rPr>
          <w:color w:val="auto"/>
          <w:sz w:val="40"/>
          <w:szCs w:val="40"/>
          <w:highlight w:val="none"/>
        </w:rPr>
      </w:pPr>
      <w:r>
        <w:rPr>
          <w:rFonts w:hint="eastAsia"/>
          <w:color w:val="auto"/>
          <w:sz w:val="40"/>
          <w:szCs w:val="40"/>
          <w:highlight w:val="none"/>
        </w:rPr>
        <w:t>目录</w:t>
      </w:r>
    </w:p>
    <w:p>
      <w:pPr>
        <w:pStyle w:val="8"/>
        <w:tabs>
          <w:tab w:val="right" w:leader="dot" w:pos="8306"/>
          <w:tab w:val="clear" w:pos="8296"/>
        </w:tabs>
        <w:spacing w:after="0"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部分 投标邀请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3</w:t>
      </w:r>
    </w:p>
    <w:p>
      <w:pPr>
        <w:pStyle w:val="8"/>
        <w:tabs>
          <w:tab w:val="right" w:leader="dot" w:pos="8306"/>
          <w:tab w:val="clear" w:pos="8296"/>
        </w:tabs>
        <w:spacing w:after="0" w:line="360" w:lineRule="auto"/>
        <w:ind w:left="0" w:leftChars="0"/>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ascii="宋体" w:hAnsi="宋体" w:eastAsia="宋体" w:cs="宋体"/>
          <w:color w:val="auto"/>
          <w:highlight w:val="none"/>
          <w:lang w:eastAsia="zh-CN"/>
        </w:rPr>
        <w:t>商务需求书</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3</w:t>
      </w:r>
    </w:p>
    <w:p>
      <w:pPr>
        <w:pStyle w:val="8"/>
        <w:tabs>
          <w:tab w:val="right" w:leader="dot" w:pos="8306"/>
          <w:tab w:val="clear" w:pos="8296"/>
        </w:tabs>
        <w:spacing w:after="0" w:line="360" w:lineRule="auto"/>
        <w:ind w:left="0" w:leftChars="0"/>
        <w:rPr>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技术需求书</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5</w:t>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24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40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附件22.</w:t>
      </w:r>
      <w:r>
        <w:rPr>
          <w:rFonts w:hint="eastAsia" w:ascii="宋体" w:hAnsi="宋体" w:eastAsia="宋体" w:cs="宋体"/>
          <w:color w:val="auto"/>
          <w:sz w:val="21"/>
          <w:szCs w:val="21"/>
          <w:highlight w:val="none"/>
          <w:lang w:val="en-US" w:eastAsia="zh-CN"/>
        </w:rPr>
        <w:t>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附件24.质疑函范本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
        <w:spacing w:before="0" w:after="0" w:line="240" w:lineRule="auto"/>
        <w:rPr>
          <w:color w:val="auto"/>
          <w:sz w:val="28"/>
          <w:szCs w:val="28"/>
          <w:highlight w:val="none"/>
        </w:rPr>
      </w:pPr>
      <w:r>
        <w:rPr>
          <w:rFonts w:hint="eastAsia"/>
          <w:color w:val="auto"/>
          <w:sz w:val="28"/>
          <w:szCs w:val="28"/>
          <w:highlight w:val="none"/>
        </w:rPr>
        <w:t>第一部分 投标邀请</w:t>
      </w:r>
    </w:p>
    <w:p>
      <w:pPr>
        <w:pStyle w:val="4"/>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color w:val="auto"/>
          <w:sz w:val="21"/>
          <w:szCs w:val="21"/>
          <w:highlight w:val="none"/>
          <w:u w:val="single"/>
        </w:rPr>
        <w:t>东莞市城市管理和综合执法局寮步分局</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color w:val="auto"/>
          <w:sz w:val="21"/>
          <w:szCs w:val="21"/>
          <w:highlight w:val="none"/>
          <w:u w:val="single"/>
        </w:rPr>
        <w:t>东莞市寮步镇原环卫二三片区“牛皮癣”清理项目</w:t>
      </w:r>
      <w:r>
        <w:rPr>
          <w:rFonts w:hint="eastAsia" w:ascii="宋体" w:hAnsi="宋体" w:eastAsia="宋体"/>
          <w:color w:val="auto"/>
          <w:sz w:val="21"/>
          <w:szCs w:val="21"/>
          <w:highlight w:val="none"/>
        </w:rPr>
        <w:t>（采购项目编号：</w:t>
      </w:r>
      <w:r>
        <w:rPr>
          <w:rFonts w:hint="eastAsia" w:ascii="宋体" w:hAnsi="宋体" w:eastAsia="宋体"/>
          <w:b/>
          <w:color w:val="auto"/>
          <w:sz w:val="21"/>
          <w:szCs w:val="21"/>
          <w:highlight w:val="none"/>
          <w:u w:val="single"/>
        </w:rPr>
        <w:t>441900019-2021-00768</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color w:val="auto"/>
          <w:sz w:val="21"/>
          <w:szCs w:val="21"/>
          <w:highlight w:val="none"/>
          <w:u w:val="single"/>
        </w:rPr>
        <w:t>东莞市寮步镇原环卫二三片区“牛皮癣”清理项目</w:t>
      </w:r>
      <w:r>
        <w:rPr>
          <w:rFonts w:hint="eastAsia" w:ascii="宋体" w:hAnsi="宋体" w:eastAsia="宋体"/>
          <w:color w:val="auto"/>
          <w:sz w:val="21"/>
          <w:szCs w:val="21"/>
          <w:highlight w:val="none"/>
        </w:rPr>
        <w:t>采购一项，预算：预算：</w:t>
      </w:r>
      <w:r>
        <w:rPr>
          <w:rFonts w:hint="eastAsia" w:ascii="宋体" w:hAnsi="宋体" w:eastAsia="宋体"/>
          <w:b/>
          <w:color w:val="auto"/>
          <w:sz w:val="21"/>
          <w:szCs w:val="21"/>
          <w:highlight w:val="none"/>
          <w:u w:val="single"/>
          <w:lang w:val="en-US" w:eastAsia="zh-CN"/>
        </w:rPr>
        <w:t>6,270,127.71</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11" w:firstLineChars="196"/>
        <w:rPr>
          <w:rFonts w:hint="eastAsia" w:ascii="宋体" w:hAnsi="宋体" w:eastAsia="宋体"/>
          <w:b/>
          <w:color w:val="auto"/>
          <w:sz w:val="21"/>
          <w:szCs w:val="21"/>
          <w:highlight w:val="none"/>
          <w:lang w:eastAsia="zh-CN"/>
        </w:rPr>
      </w:pPr>
      <w:r>
        <w:rPr>
          <w:rFonts w:hint="eastAsia" w:ascii="宋体" w:hAnsi="宋体" w:eastAsia="宋体"/>
          <w:color w:val="auto"/>
          <w:sz w:val="21"/>
          <w:szCs w:val="21"/>
          <w:highlight w:val="none"/>
          <w:lang w:val="en-US" w:eastAsia="zh-CN"/>
        </w:rPr>
        <w:t>无</w:t>
      </w: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08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13</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08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20</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08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13</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08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20</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w:t>
      </w: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3A</w:t>
      </w:r>
      <w:r>
        <w:rPr>
          <w:rFonts w:hint="eastAsia" w:ascii="宋体" w:hAnsi="宋体" w:eastAsia="宋体"/>
          <w:color w:val="auto"/>
          <w:sz w:val="21"/>
          <w:szCs w:val="21"/>
          <w:highlight w:val="none"/>
          <w:lang w:eastAsia="zh-CN"/>
        </w:rPr>
        <w:t>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7"/>
        <w:widowControl/>
        <w:wordWrap/>
        <w:adjustRightInd w:val="0"/>
        <w:snapToGrid w:val="0"/>
        <w:spacing w:before="0" w:after="0" w:line="360" w:lineRule="auto"/>
        <w:ind w:left="0"/>
        <w:textAlignment w:val="auto"/>
        <w:rPr>
          <w:color w:val="auto"/>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09</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03</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：00～</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bookmarkStart w:id="222" w:name="_GoBack"/>
      <w:bookmarkEnd w:id="222"/>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09</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03</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开标地点：东莞市寮步镇莞樟路寮步段888号三楼（原政府釆购中心）</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采购人联系人：祁远文</w:t>
      </w:r>
    </w:p>
    <w:p>
      <w:pPr>
        <w:spacing w:after="0" w:line="360" w:lineRule="auto"/>
        <w:ind w:firstLine="420" w:firstLineChars="20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地址：东莞市寮步镇香市路1号</w:t>
      </w:r>
    </w:p>
    <w:p>
      <w:pPr>
        <w:spacing w:after="0" w:line="360" w:lineRule="auto"/>
        <w:ind w:firstLine="420" w:firstLineChars="20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联系电话：0769-82313111</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杨俊平</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769552785@qq.com</w:t>
      </w:r>
    </w:p>
    <w:p>
      <w:pPr>
        <w:rPr>
          <w:color w:val="auto"/>
          <w:highlight w:val="none"/>
        </w:rPr>
      </w:pPr>
    </w:p>
    <w:p>
      <w:pPr>
        <w:ind w:right="788" w:rightChars="358"/>
        <w:jc w:val="both"/>
        <w:rPr>
          <w:color w:val="auto"/>
          <w:highlight w:val="none"/>
        </w:rPr>
      </w:pPr>
    </w:p>
    <w:p>
      <w:pPr>
        <w:ind w:right="788"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481"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2"/>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4"/>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19"/>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val="en-US" w:eastAsia="zh-CN"/>
              </w:rPr>
              <w:t>所属行业：其他未列明行业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“●”为核心产品</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本项目为服务项目，无核心产品</w:t>
            </w:r>
            <w:r>
              <w:rPr>
                <w:rFonts w:hint="eastAsia" w:ascii="宋体" w:hAnsi="宋体" w:eastAsia="宋体"/>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lang w:val="en-US" w:eastAsia="zh-CN"/>
              </w:rPr>
              <w:t>陆万叁仟</w:t>
            </w:r>
            <w:r>
              <w:rPr>
                <w:rFonts w:hint="eastAsia" w:ascii="宋体" w:hAnsi="宋体" w:eastAsia="宋体"/>
                <w:color w:val="auto"/>
                <w:sz w:val="21"/>
                <w:szCs w:val="21"/>
                <w:highlight w:val="none"/>
              </w:rPr>
              <w:t>元整（￥</w:t>
            </w:r>
            <w:r>
              <w:rPr>
                <w:rFonts w:hint="eastAsia" w:ascii="宋体" w:hAnsi="宋体" w:eastAsia="宋体"/>
                <w:b/>
                <w:color w:val="auto"/>
                <w:sz w:val="21"/>
                <w:szCs w:val="21"/>
                <w:highlight w:val="none"/>
                <w:lang w:val="en-US" w:eastAsia="zh-CN"/>
              </w:rPr>
              <w:t>63,000.00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en-US" w:eastAsia="zh-CN"/>
              </w:rPr>
              <w:t>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号：6232590699050037181</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20</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4"/>
        <w:spacing w:before="0" w:after="0" w:line="240" w:lineRule="auto"/>
        <w:jc w:val="center"/>
        <w:rPr>
          <w:rFonts w:hint="eastAsia"/>
          <w:color w:val="auto"/>
          <w:sz w:val="28"/>
          <w:szCs w:val="28"/>
          <w:highlight w:val="none"/>
        </w:rPr>
      </w:pPr>
      <w:bookmarkStart w:id="3" w:name="_Toc23529"/>
      <w:bookmarkStart w:id="4" w:name="_Toc9572"/>
      <w:r>
        <w:rPr>
          <w:rFonts w:hint="eastAsia" w:ascii="宋体" w:hAnsi="宋体" w:eastAsia="宋体" w:cs="宋体"/>
          <w:color w:val="auto"/>
          <w:sz w:val="24"/>
          <w:szCs w:val="24"/>
          <w:highlight w:val="none"/>
        </w:rPr>
        <w:t>附表二：商务技术评分及价格权重表</w:t>
      </w:r>
      <w:bookmarkEnd w:id="3"/>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20分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690" w:type="dxa"/>
            <w:tcBorders>
              <w:top w:val="single" w:color="auto" w:sz="4" w:space="0"/>
              <w:left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投标人实力</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before="109" w:beforeLines="30" w:after="109" w:afterLines="30" w:line="240" w:lineRule="auto"/>
              <w:ind w:firstLine="420" w:firstLineChars="200"/>
              <w:textAlignment w:val="auto"/>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投标人具有国家认证认可监督管理部门批准设立的认证机构颁发的有效期内的质量管理体系认证证书，环境管理体系认证证书，职业健康安全管理体系认证证书，诚信管理体系认证</w:t>
            </w:r>
            <w:r>
              <w:rPr>
                <w:rFonts w:hint="eastAsia" w:ascii="宋体" w:eastAsia="宋体" w:cs="宋体"/>
                <w:bCs/>
                <w:color w:val="auto"/>
                <w:sz w:val="21"/>
                <w:szCs w:val="21"/>
                <w:highlight w:val="none"/>
                <w:lang w:val="en-US" w:eastAsia="zh-CN"/>
              </w:rPr>
              <w:t>证书，</w:t>
            </w:r>
            <w:r>
              <w:rPr>
                <w:rFonts w:hint="eastAsia" w:ascii="宋体" w:eastAsia="宋体" w:cs="宋体"/>
                <w:bCs/>
                <w:color w:val="auto"/>
                <w:sz w:val="21"/>
                <w:szCs w:val="21"/>
                <w:highlight w:val="none"/>
                <w:lang w:val="zh-CN"/>
              </w:rPr>
              <w:t>每个得</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分，最高得</w:t>
            </w: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分</w:t>
            </w:r>
          </w:p>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相关业绩</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before="109" w:beforeLines="30" w:after="109" w:afterLines="30" w:line="240" w:lineRule="auto"/>
              <w:ind w:firstLine="420" w:firstLineChars="200"/>
              <w:textAlignment w:val="auto"/>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w:t>
            </w:r>
            <w:r>
              <w:rPr>
                <w:rFonts w:hint="eastAsia" w:ascii="宋体" w:eastAsia="宋体" w:cs="宋体"/>
                <w:bCs/>
                <w:color w:val="auto"/>
                <w:sz w:val="21"/>
                <w:szCs w:val="21"/>
                <w:highlight w:val="none"/>
                <w:lang w:val="en-US" w:eastAsia="zh-CN"/>
              </w:rPr>
              <w:t>具有</w:t>
            </w:r>
            <w:r>
              <w:rPr>
                <w:rFonts w:hint="eastAsia" w:ascii="宋体" w:eastAsia="宋体" w:cs="宋体"/>
                <w:bCs/>
                <w:color w:val="auto"/>
                <w:sz w:val="21"/>
                <w:szCs w:val="21"/>
                <w:highlight w:val="none"/>
                <w:lang w:val="zh-CN"/>
              </w:rPr>
              <w:t>的</w:t>
            </w:r>
            <w:r>
              <w:rPr>
                <w:rFonts w:hint="eastAsia" w:ascii="宋体" w:eastAsia="宋体" w:cs="宋体"/>
                <w:bCs/>
                <w:color w:val="auto"/>
                <w:sz w:val="21"/>
                <w:szCs w:val="21"/>
                <w:highlight w:val="none"/>
                <w:lang w:val="en-US" w:eastAsia="zh-CN"/>
              </w:rPr>
              <w:t>牛皮癣</w:t>
            </w:r>
            <w:r>
              <w:rPr>
                <w:rFonts w:hint="eastAsia" w:ascii="宋体" w:hAnsi="宋体" w:eastAsia="宋体" w:cs="宋体"/>
                <w:bCs/>
                <w:color w:val="auto"/>
                <w:sz w:val="21"/>
                <w:szCs w:val="21"/>
                <w:highlight w:val="none"/>
                <w:lang w:val="zh-CN"/>
              </w:rPr>
              <w:t>清</w:t>
            </w:r>
            <w:r>
              <w:rPr>
                <w:rFonts w:hint="eastAsia" w:ascii="宋体" w:eastAsia="宋体" w:cs="宋体"/>
                <w:bCs/>
                <w:color w:val="auto"/>
                <w:sz w:val="21"/>
                <w:szCs w:val="21"/>
                <w:highlight w:val="none"/>
                <w:lang w:val="en-US" w:eastAsia="zh-CN"/>
              </w:rPr>
              <w:t>理</w:t>
            </w:r>
            <w:r>
              <w:rPr>
                <w:rFonts w:hint="eastAsia" w:ascii="宋体" w:eastAsia="宋体" w:cs="宋体"/>
                <w:bCs/>
                <w:color w:val="auto"/>
                <w:sz w:val="21"/>
                <w:szCs w:val="21"/>
                <w:highlight w:val="none"/>
                <w:lang w:val="zh-CN"/>
              </w:rPr>
              <w:t>类业绩的</w:t>
            </w:r>
            <w:r>
              <w:rPr>
                <w:rFonts w:hint="eastAsia" w:ascii="宋体" w:eastAsia="宋体" w:cs="宋体"/>
                <w:bCs/>
                <w:color w:val="auto"/>
                <w:sz w:val="21"/>
                <w:szCs w:val="21"/>
                <w:highlight w:val="none"/>
              </w:rPr>
              <w:t>,</w:t>
            </w:r>
            <w:r>
              <w:rPr>
                <w:rFonts w:hint="eastAsia" w:ascii="宋体" w:eastAsia="宋体" w:cs="宋体"/>
                <w:bCs/>
                <w:color w:val="auto"/>
                <w:sz w:val="21"/>
                <w:szCs w:val="21"/>
                <w:highlight w:val="none"/>
                <w:lang w:val="zh-CN"/>
              </w:rPr>
              <w:t>每提供一个合同得</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分，本项目最高得</w:t>
            </w:r>
            <w:r>
              <w:rPr>
                <w:rFonts w:hint="eastAsia" w:ascii="宋体" w:eastAsia="宋体" w:cs="宋体"/>
                <w:bCs/>
                <w:color w:val="auto"/>
                <w:sz w:val="21"/>
                <w:szCs w:val="21"/>
                <w:highlight w:val="none"/>
                <w:lang w:val="en-US" w:eastAsia="zh-CN"/>
              </w:rPr>
              <w:t>5</w:t>
            </w:r>
            <w:r>
              <w:rPr>
                <w:rFonts w:hint="eastAsia" w:ascii="宋体" w:eastAsia="宋体" w:cs="宋体"/>
                <w:bCs/>
                <w:color w:val="auto"/>
                <w:sz w:val="21"/>
                <w:szCs w:val="21"/>
                <w:highlight w:val="none"/>
                <w:lang w:val="zh-CN"/>
              </w:rPr>
              <w:t>分。</w:t>
            </w:r>
          </w:p>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注：须提供合同复印件加盖公章，否则不得分。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90" w:type="dxa"/>
            <w:vMerge w:val="restart"/>
            <w:tcBorders>
              <w:top w:val="single" w:color="auto" w:sz="4" w:space="0"/>
              <w:left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vMerge w:val="restart"/>
            <w:tcBorders>
              <w:top w:val="single" w:color="auto" w:sz="4" w:space="0"/>
              <w:left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拟投入人员</w:t>
            </w:r>
            <w:r>
              <w:rPr>
                <w:rFonts w:hint="eastAsia" w:ascii="宋体" w:eastAsia="宋体" w:cs="宋体"/>
                <w:color w:val="auto"/>
                <w:sz w:val="21"/>
                <w:szCs w:val="21"/>
                <w:highlight w:val="none"/>
                <w:lang w:eastAsia="zh-CN"/>
              </w:rPr>
              <w:t>（同一人员不得重复计分）</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投标人拟派项目人员</w:t>
            </w:r>
            <w:r>
              <w:rPr>
                <w:rFonts w:hint="eastAsia" w:ascii="宋体" w:eastAsia="宋体" w:cs="宋体"/>
                <w:bCs/>
                <w:color w:val="auto"/>
                <w:sz w:val="21"/>
                <w:szCs w:val="21"/>
                <w:highlight w:val="none"/>
                <w:lang w:val="zh-CN"/>
              </w:rPr>
              <w:t>中</w:t>
            </w:r>
            <w:r>
              <w:rPr>
                <w:rFonts w:hint="eastAsia" w:ascii="宋体" w:hAnsi="宋体" w:eastAsia="宋体" w:cs="宋体"/>
                <w:bCs/>
                <w:color w:val="auto"/>
                <w:sz w:val="21"/>
                <w:szCs w:val="21"/>
                <w:highlight w:val="none"/>
                <w:lang w:val="zh-CN"/>
              </w:rPr>
              <w:t>每具有一名</w:t>
            </w:r>
            <w:r>
              <w:rPr>
                <w:rFonts w:hint="eastAsia" w:ascii="宋体" w:eastAsia="宋体" w:cs="宋体"/>
                <w:bCs/>
                <w:color w:val="auto"/>
                <w:sz w:val="21"/>
                <w:szCs w:val="21"/>
                <w:highlight w:val="none"/>
                <w:lang w:val="zh-CN"/>
              </w:rPr>
              <w:t>环卫类</w:t>
            </w:r>
            <w:r>
              <w:rPr>
                <w:rFonts w:hint="eastAsia" w:ascii="宋体" w:hAnsi="宋体" w:eastAsia="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级</w:t>
            </w:r>
            <w:r>
              <w:rPr>
                <w:rFonts w:hint="eastAsia" w:ascii="宋体" w:eastAsia="宋体" w:cs="宋体"/>
                <w:bCs/>
                <w:color w:val="auto"/>
                <w:sz w:val="21"/>
                <w:szCs w:val="21"/>
                <w:highlight w:val="none"/>
                <w:lang w:val="zh-CN"/>
              </w:rPr>
              <w:t>管理师</w:t>
            </w:r>
            <w:r>
              <w:rPr>
                <w:rFonts w:hint="eastAsia" w:ascii="宋体" w:hAnsi="宋体" w:eastAsia="宋体" w:cs="宋体"/>
                <w:bCs/>
                <w:color w:val="auto"/>
                <w:sz w:val="21"/>
                <w:szCs w:val="21"/>
                <w:highlight w:val="none"/>
                <w:lang w:val="zh-CN"/>
              </w:rPr>
              <w:t>得</w:t>
            </w:r>
            <w:r>
              <w:rPr>
                <w:rFonts w:hint="eastAsia" w:asci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分,最高得</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注:需提供相关证件及</w:t>
            </w:r>
            <w:r>
              <w:rPr>
                <w:rFonts w:hint="eastAsia" w:ascii="宋体" w:hAnsi="宋体" w:eastAsia="宋体" w:cs="宋体"/>
                <w:bCs/>
                <w:color w:val="auto"/>
                <w:sz w:val="21"/>
                <w:szCs w:val="21"/>
                <w:highlight w:val="none"/>
                <w:lang w:val="en-US" w:eastAsia="zh-CN"/>
              </w:rPr>
              <w:t>近</w:t>
            </w:r>
            <w:r>
              <w:rPr>
                <w:rFonts w:hint="eastAsia" w:ascii="宋体" w:hAnsi="宋体" w:eastAsia="宋体" w:cs="宋体"/>
                <w:bCs/>
                <w:color w:val="auto"/>
                <w:sz w:val="21"/>
                <w:szCs w:val="21"/>
                <w:highlight w:val="none"/>
                <w:lang w:val="zh-CN"/>
              </w:rPr>
              <w:t>1年内任意三个月投标人为其缴纳的社会保险作为证明材料，不提供不得分。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1607" w:type="dxa"/>
            <w:vMerge w:val="continue"/>
            <w:tcBorders>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eastAsia" w:ascii="宋体" w:eastAsia="宋体" w:cs="宋体"/>
                <w:color w:val="auto"/>
                <w:sz w:val="21"/>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投标人拟派项目人员</w:t>
            </w:r>
            <w:r>
              <w:rPr>
                <w:rFonts w:hint="eastAsia" w:ascii="宋体" w:eastAsia="宋体" w:cs="宋体"/>
                <w:bCs/>
                <w:color w:val="auto"/>
                <w:sz w:val="21"/>
                <w:szCs w:val="21"/>
                <w:highlight w:val="none"/>
                <w:lang w:val="zh-CN"/>
              </w:rPr>
              <w:t>中</w:t>
            </w:r>
            <w:r>
              <w:rPr>
                <w:rFonts w:hint="eastAsia" w:ascii="宋体" w:hAnsi="宋体" w:eastAsia="宋体" w:cs="宋体"/>
                <w:bCs/>
                <w:color w:val="auto"/>
                <w:sz w:val="21"/>
                <w:szCs w:val="21"/>
                <w:highlight w:val="none"/>
                <w:lang w:val="zh-CN"/>
              </w:rPr>
              <w:t>每具有一名</w:t>
            </w:r>
            <w:r>
              <w:rPr>
                <w:rFonts w:hint="eastAsia" w:ascii="宋体" w:eastAsia="宋体" w:cs="宋体"/>
                <w:bCs/>
                <w:color w:val="auto"/>
                <w:sz w:val="21"/>
                <w:szCs w:val="21"/>
                <w:highlight w:val="none"/>
                <w:lang w:val="zh-CN"/>
              </w:rPr>
              <w:t>清洁管理师</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分,最高得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注:需提供相关证件及</w:t>
            </w:r>
            <w:r>
              <w:rPr>
                <w:rFonts w:hint="eastAsia" w:ascii="宋体" w:hAnsi="宋体" w:eastAsia="宋体" w:cs="宋体"/>
                <w:bCs/>
                <w:color w:val="auto"/>
                <w:sz w:val="21"/>
                <w:szCs w:val="21"/>
                <w:highlight w:val="none"/>
                <w:lang w:val="en-US" w:eastAsia="zh-CN"/>
              </w:rPr>
              <w:t>近</w:t>
            </w:r>
            <w:r>
              <w:rPr>
                <w:rFonts w:hint="eastAsia" w:ascii="宋体" w:hAnsi="宋体" w:eastAsia="宋体" w:cs="宋体"/>
                <w:bCs/>
                <w:color w:val="auto"/>
                <w:sz w:val="21"/>
                <w:szCs w:val="21"/>
                <w:highlight w:val="none"/>
                <w:lang w:val="zh-CN"/>
              </w:rPr>
              <w:t>1年内任意三个月投标人为其缴纳的社会保险作为证明材料，不提供不得分。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售后服务</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根据投标人提供的服务响应时间承诺进行评分。</w:t>
            </w:r>
          </w:p>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rPr>
              <w:t>1</w:t>
            </w:r>
            <w:r>
              <w:rPr>
                <w:rFonts w:hint="eastAsia" w:asci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rPr>
              <w:t>投标人承诺在接到采购人通知后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小时内到现场，得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rPr>
              <w:t>2</w:t>
            </w:r>
            <w:r>
              <w:rPr>
                <w:rFonts w:hint="eastAsia" w:asci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rPr>
              <w:t>投标人承诺在接到采购人通知后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小时内到现场，得3分；</w:t>
            </w:r>
          </w:p>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rPr>
              <w:t>3</w:t>
            </w:r>
            <w:r>
              <w:rPr>
                <w:rFonts w:hint="eastAsia" w:asci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rPr>
              <w:t>投标人承诺在接到采购人通知后</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小时内到现场，得1分；</w:t>
            </w:r>
          </w:p>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rPr>
              <w:t>4</w:t>
            </w:r>
            <w:r>
              <w:rPr>
                <w:rFonts w:hint="eastAsia" w:asci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rPr>
              <w:t>投标人</w:t>
            </w:r>
            <w:r>
              <w:rPr>
                <w:rFonts w:hint="eastAsia" w:ascii="宋体" w:eastAsia="宋体" w:cs="宋体"/>
                <w:bCs/>
                <w:color w:val="auto"/>
                <w:sz w:val="21"/>
                <w:szCs w:val="21"/>
                <w:highlight w:val="none"/>
                <w:lang w:val="en-US" w:eastAsia="zh-CN"/>
              </w:rPr>
              <w:t>未提供承诺或</w:t>
            </w:r>
            <w:r>
              <w:rPr>
                <w:rFonts w:hint="eastAsia" w:ascii="宋体" w:hAnsi="宋体" w:eastAsia="宋体" w:cs="宋体"/>
                <w:bCs/>
                <w:color w:val="auto"/>
                <w:sz w:val="21"/>
                <w:szCs w:val="21"/>
                <w:highlight w:val="none"/>
                <w:lang w:val="zh-CN"/>
              </w:rPr>
              <w:t>承诺在接到采购人通知后超过</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小时到现场，不得分。</w:t>
            </w:r>
          </w:p>
          <w:p>
            <w:pPr>
              <w:pStyle w:val="27"/>
              <w:widowControl w:val="0"/>
              <w:wordWrap/>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注:须</w:t>
            </w:r>
            <w:r>
              <w:rPr>
                <w:rFonts w:hint="eastAsia" w:ascii="宋体" w:hAnsi="宋体" w:eastAsia="宋体" w:cs="宋体"/>
                <w:bCs/>
                <w:color w:val="auto"/>
                <w:sz w:val="21"/>
                <w:szCs w:val="21"/>
                <w:highlight w:val="none"/>
                <w:lang w:val="zh-CN"/>
              </w:rPr>
              <w:t>提供服务承诺书并加盖投标人公章</w:t>
            </w:r>
            <w:r>
              <w:rPr>
                <w:rFonts w:hint="eastAsia" w:ascii="宋体" w:eastAsia="宋体" w:cs="宋体"/>
                <w:bCs/>
                <w:color w:val="auto"/>
                <w:sz w:val="21"/>
                <w:szCs w:val="21"/>
                <w:highlight w:val="none"/>
                <w:lang w:val="zh-CN"/>
              </w:rPr>
              <w:t>，</w:t>
            </w:r>
            <w:r>
              <w:rPr>
                <w:rFonts w:hint="eastAsia" w:asci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65分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tabs>
                <w:tab w:val="left" w:pos="8610"/>
              </w:tabs>
              <w:wordWrap/>
              <w:adjustRightInd w:val="0"/>
              <w:snapToGrid w:val="0"/>
              <w:spacing w:after="0" w:line="240" w:lineRule="auto"/>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项目总体方案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atLeas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根据各投标人的服务方案、服务安排、验收方案等的科学性、合理性、可靠性进行综合评价：</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投标人的投标方案详细、全面，投标方案</w:t>
            </w:r>
            <w:r>
              <w:rPr>
                <w:rFonts w:hint="eastAsia" w:ascii="宋体" w:hAnsi="宋体" w:eastAsia="宋体" w:cs="宋体"/>
                <w:bCs/>
                <w:color w:val="auto"/>
                <w:sz w:val="21"/>
                <w:szCs w:val="21"/>
                <w:highlight w:val="none"/>
                <w:lang w:eastAsia="zh-CN"/>
              </w:rPr>
              <w:t>非常合理</w:t>
            </w:r>
            <w:r>
              <w:rPr>
                <w:rFonts w:hint="eastAsia" w:ascii="宋体" w:hAnsi="宋体" w:eastAsia="宋体" w:cs="宋体"/>
                <w:bCs/>
                <w:color w:val="auto"/>
                <w:sz w:val="21"/>
                <w:szCs w:val="21"/>
                <w:highlight w:val="none"/>
              </w:rPr>
              <w:t>，可行性、科学性及可靠性</w:t>
            </w:r>
            <w:r>
              <w:rPr>
                <w:rFonts w:hint="eastAsia" w:ascii="宋体" w:hAnsi="宋体" w:eastAsia="宋体" w:cs="宋体"/>
                <w:bCs/>
                <w:color w:val="auto"/>
                <w:sz w:val="21"/>
                <w:szCs w:val="21"/>
                <w:highlight w:val="none"/>
                <w:lang w:eastAsia="zh-CN"/>
              </w:rPr>
              <w:t>强</w:t>
            </w:r>
            <w:r>
              <w:rPr>
                <w:rFonts w:hint="eastAsia" w:ascii="宋体" w:hAnsi="宋体" w:eastAsia="宋体" w:cs="宋体"/>
                <w:bCs/>
                <w:color w:val="auto"/>
                <w:sz w:val="21"/>
                <w:szCs w:val="21"/>
                <w:highlight w:val="none"/>
              </w:rPr>
              <w:t>，得1</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投标人的投标方案能满足项目要求，投标方案</w:t>
            </w:r>
            <w:r>
              <w:rPr>
                <w:rFonts w:hint="eastAsia" w:ascii="宋体" w:hAnsi="宋体" w:eastAsia="宋体" w:cs="宋体"/>
                <w:bCs/>
                <w:color w:val="auto"/>
                <w:sz w:val="21"/>
                <w:szCs w:val="21"/>
                <w:highlight w:val="none"/>
                <w:lang w:eastAsia="zh-CN"/>
              </w:rPr>
              <w:t>较合理</w:t>
            </w:r>
            <w:r>
              <w:rPr>
                <w:rFonts w:hint="eastAsia" w:ascii="宋体" w:hAnsi="宋体" w:eastAsia="宋体" w:cs="宋体"/>
                <w:bCs/>
                <w:color w:val="auto"/>
                <w:sz w:val="21"/>
                <w:szCs w:val="21"/>
                <w:highlight w:val="none"/>
              </w:rPr>
              <w:t>，可行性、科学性及可靠性</w:t>
            </w:r>
            <w:r>
              <w:rPr>
                <w:rFonts w:hint="eastAsia" w:ascii="宋体" w:hAnsi="宋体" w:eastAsia="宋体" w:cs="宋体"/>
                <w:bCs/>
                <w:color w:val="auto"/>
                <w:sz w:val="21"/>
                <w:szCs w:val="21"/>
                <w:highlight w:val="none"/>
                <w:lang w:eastAsia="zh-CN"/>
              </w:rPr>
              <w:t>较强</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投标人的投标方案基本满足项目要求，投标方案一般，可行性、科学性及可靠性一般，得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投标人的投标方案无法满足项目要求</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得</w:t>
            </w:r>
            <w:r>
              <w:rPr>
                <w:rFonts w:hint="eastAsia" w:ascii="宋体" w:hAnsi="宋体" w:eastAsia="宋体" w:cs="宋体"/>
                <w:bCs/>
                <w:color w:val="auto"/>
                <w:sz w:val="21"/>
                <w:szCs w:val="21"/>
                <w:highlight w:val="none"/>
                <w:lang w:val="en-US" w:eastAsia="zh-CN"/>
              </w:rPr>
              <w:t>1分；</w:t>
            </w:r>
          </w:p>
          <w:p>
            <w:pPr>
              <w:wordWrap/>
              <w:adjustRightInd/>
              <w:snapToGrid/>
              <w:spacing w:before="73" w:beforeLines="20" w:after="73" w:afterLines="20" w:line="240" w:lineRule="auto"/>
              <w:ind w:firstLine="420" w:firstLineChars="200"/>
              <w:textAlignment w:val="auto"/>
              <w:rPr>
                <w:rFonts w:ascii="宋体" w:eastAsia="宋体" w:cs="宋体"/>
                <w:color w:val="auto"/>
                <w:sz w:val="21"/>
                <w:szCs w:val="21"/>
                <w:highlight w:val="none"/>
              </w:rPr>
            </w:pPr>
            <w:r>
              <w:rPr>
                <w:rFonts w:hint="eastAsia" w:ascii="宋体" w:hAnsi="宋体" w:eastAsia="宋体" w:cs="宋体"/>
                <w:bCs/>
                <w:color w:val="auto"/>
                <w:sz w:val="21"/>
                <w:szCs w:val="21"/>
                <w:highlight w:val="none"/>
                <w:lang w:eastAsia="zh-CN"/>
              </w:rPr>
              <w:t>无提供总体</w:t>
            </w:r>
            <w:r>
              <w:rPr>
                <w:rFonts w:hint="eastAsia" w:ascii="宋体" w:hAnsi="宋体" w:eastAsia="宋体" w:cs="宋体"/>
                <w:bCs/>
                <w:color w:val="auto"/>
                <w:sz w:val="21"/>
                <w:szCs w:val="21"/>
                <w:highlight w:val="none"/>
              </w:rPr>
              <w:t>方案不可行，得0分。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tabs>
                <w:tab w:val="left" w:pos="8610"/>
              </w:tabs>
              <w:wordWrap/>
              <w:adjustRightInd w:val="0"/>
              <w:snapToGrid w:val="0"/>
              <w:spacing w:after="0" w:line="240" w:lineRule="auto"/>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zh-CN" w:eastAsia="zh-CN" w:bidi="ar-SA"/>
              </w:rPr>
              <w:t>规章管理制度</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根据各投标人是否具有完善的企业规章管理制度进行综合评价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包括但不限于人员管理、设备管理、人员培训、人员保障等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投标人的规章管理制度全面、完整性高，得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投标人的规章管理制度较全面、完整性较高，得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投标人的规章管理制度基本合理、实施方法一般可行，得3分；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投标人的规章管理制度不合理、实施方法不可行，得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eastAsia" w:asci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无提供</w:t>
            </w:r>
            <w:r>
              <w:rPr>
                <w:rFonts w:hint="eastAsia" w:ascii="宋体" w:hAnsi="宋体" w:eastAsia="宋体" w:cs="宋体"/>
                <w:color w:val="auto"/>
                <w:kern w:val="2"/>
                <w:sz w:val="21"/>
                <w:szCs w:val="21"/>
                <w:highlight w:val="none"/>
                <w:lang w:val="zh-CN" w:eastAsia="zh-CN" w:bidi="ar-SA"/>
              </w:rPr>
              <w:t>规章管理制度</w:t>
            </w:r>
            <w:r>
              <w:rPr>
                <w:rFonts w:hint="eastAsia" w:ascii="宋体" w:hAnsi="宋体" w:eastAsia="宋体" w:cs="宋体"/>
                <w:bCs/>
                <w:color w:val="auto"/>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after="0" w:line="240" w:lineRule="auto"/>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质量保证措施</w:t>
            </w:r>
          </w:p>
        </w:tc>
        <w:tc>
          <w:tcPr>
            <w:tcW w:w="7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根据各投标人提供的服务标准及质量保证措施的合理性、可行性、完善性进行综合评价（包括但不限于清拆方式、清拆效果、质量标准等）：</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服务标准及质量保证措施全面、科学合理、实施方法可行性高，得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服务标准及质量保证措施较为全面合理、实施方法可行，得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服务标准及质量保证措施基本合理、实施方法一般可行，得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服务标准及质量保证措施不合理、实施方法不可行，得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wordWrap/>
              <w:adjustRightInd/>
              <w:snapToGrid/>
              <w:spacing w:before="73" w:beforeLines="20" w:after="73" w:afterLines="20" w:line="240" w:lineRule="auto"/>
              <w:ind w:firstLine="420" w:firstLineChars="200"/>
              <w:textAlignment w:val="auto"/>
              <w:rPr>
                <w:rFonts w:hint="default" w:asci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无提供质量保证措施</w:t>
            </w:r>
            <w:r>
              <w:rPr>
                <w:rFonts w:hint="eastAsia" w:ascii="宋体" w:hAnsi="宋体" w:eastAsia="宋体" w:cs="宋体"/>
                <w:bCs/>
                <w:color w:val="auto"/>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项目人员管理及配置安排</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根据投标人所提供的人员管理实施方案(包括但不限于管理组织架构、人员分工、岗位责任、责任监督制度等)进行综合评分: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实施方案规范性、明确性、完整性较强,得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实施方案规范性、明确性、完整性一般,得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实施方案规范性、明确性、完整性较差,得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rPr>
              <w:t>无实施方案</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after="0" w:line="240" w:lineRule="auto"/>
              <w:jc w:val="center"/>
              <w:textAlignment w:val="auto"/>
              <w:rPr>
                <w:rFonts w:hint="eastAsia" w:ascii="宋体" w:hAnsi="Tahoma"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应急保障方案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top"/>
          </w:tcPr>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根据各投标人提供的非正常情况或突发情况下的应急保障方案及承诺响应程度进行综合评价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包括但不限于储备人员调配、储备设备调配、应对群众事件方案等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投标人应急保障方案实际、高效、响应级别高，得10分；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投标人应急保障方案实际、高效、响应级别较高，得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投标人应急保障方案实际、高效、响应级别一般，得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投标人应急保障方案实际、高效、响应级别差，得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wordWrap/>
              <w:adjustRightInd/>
              <w:snapToGrid/>
              <w:spacing w:before="73" w:beforeLines="20" w:after="73" w:afterLines="20" w:line="240"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无提供应急保障方案</w:t>
            </w:r>
            <w:r>
              <w:rPr>
                <w:rFonts w:hint="eastAsia" w:ascii="宋体" w:hAnsi="宋体" w:eastAsia="宋体" w:cs="宋体"/>
                <w:bCs/>
                <w:color w:val="auto"/>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服务承诺及合理化建议</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wordWrap/>
              <w:spacing w:before="73" w:beforeLines="20" w:after="73" w:afterLines="20" w:line="240" w:lineRule="auto"/>
              <w:ind w:firstLine="420" w:firstLineChars="200"/>
              <w:textAlignment w:val="auto"/>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根据投标人的服务承诺、对本项目提出的合理化建议进行</w:t>
            </w:r>
            <w:r>
              <w:rPr>
                <w:rFonts w:hint="eastAsia" w:ascii="宋体" w:hAnsi="宋体" w:eastAsia="宋体" w:cs="宋体"/>
                <w:bCs/>
                <w:color w:val="auto"/>
                <w:sz w:val="21"/>
                <w:szCs w:val="21"/>
                <w:highlight w:val="none"/>
                <w:lang w:val="en-US" w:eastAsia="zh-CN"/>
              </w:rPr>
              <w:t>综合评价：</w:t>
            </w:r>
          </w:p>
          <w:p>
            <w:pPr>
              <w:wordWrap/>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服务承诺优于文件要求，能对本项目提出科学的合理化建议，针对性强，得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wordWrap/>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服务承诺基本满足文件要求，能对本项目提出一定的合理化建议，针对性一般，得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wordWrap/>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服务承诺简单，不能对本项目提出合理化建议，得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wordWrap/>
              <w:spacing w:before="73" w:beforeLines="20" w:after="73" w:afterLines="20" w:line="24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Cs/>
                <w:color w:val="auto"/>
                <w:sz w:val="21"/>
                <w:szCs w:val="21"/>
                <w:highlight w:val="none"/>
              </w:rPr>
              <w:t>无提供服务承诺及合理化建议说明，得0分。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1</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2</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投标人根据以上评分要求提供的</w:t>
            </w:r>
            <w:r>
              <w:rPr>
                <w:rFonts w:hint="eastAsia" w:ascii="宋体" w:hAnsi="宋体" w:eastAsia="宋体"/>
                <w:b/>
                <w:color w:val="auto"/>
                <w:sz w:val="21"/>
                <w:szCs w:val="21"/>
                <w:highlight w:val="none"/>
                <w:lang w:eastAsia="zh-CN"/>
              </w:rPr>
              <w:t>投标材料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widowControl w:val="0"/>
              <w:tabs>
                <w:tab w:val="left" w:pos="907"/>
              </w:tabs>
              <w:adjustRightInd/>
              <w:snapToGrid/>
              <w:spacing w:after="0" w:line="360" w:lineRule="exact"/>
              <w:ind w:firstLine="422" w:firstLineChars="200"/>
              <w:jc w:val="both"/>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价格评审（15分）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widowControl w:val="0"/>
              <w:wordWrap/>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投标报价得分=(评标基准价／投标报价)×价格权值</w:t>
            </w:r>
          </w:p>
        </w:tc>
      </w:tr>
    </w:tbl>
    <w:p>
      <w:pPr>
        <w:rPr>
          <w:rFonts w:hint="eastAsia"/>
          <w:color w:val="auto"/>
          <w:highlight w:val="none"/>
        </w:rPr>
      </w:pPr>
    </w:p>
    <w:bookmarkEnd w:id="4"/>
    <w:p>
      <w:pPr>
        <w:pStyle w:val="2"/>
        <w:spacing w:before="0" w:after="0" w:line="240" w:lineRule="auto"/>
        <w:rPr>
          <w:color w:val="auto"/>
          <w:sz w:val="36"/>
          <w:szCs w:val="36"/>
          <w:highlight w:val="none"/>
        </w:rPr>
      </w:pPr>
      <w:r>
        <w:rPr>
          <w:rFonts w:hint="eastAsia"/>
          <w:color w:val="auto"/>
          <w:sz w:val="28"/>
          <w:szCs w:val="28"/>
          <w:highlight w:val="none"/>
        </w:rPr>
        <w:br w:type="page"/>
      </w:r>
      <w:bookmarkStart w:id="5" w:name="_Toc31854"/>
      <w:r>
        <w:rPr>
          <w:rFonts w:hint="eastAsia"/>
          <w:color w:val="auto"/>
          <w:sz w:val="28"/>
          <w:szCs w:val="28"/>
          <w:highlight w:val="none"/>
        </w:rPr>
        <w:t>第三部分 用户需求书</w:t>
      </w:r>
      <w:bookmarkEnd w:id="5"/>
    </w:p>
    <w:p>
      <w:pPr>
        <w:pStyle w:val="4"/>
        <w:spacing w:before="0" w:after="0" w:line="240" w:lineRule="auto"/>
        <w:jc w:val="center"/>
        <w:rPr>
          <w:rFonts w:ascii="宋体" w:hAnsi="宋体" w:eastAsia="宋体" w:cs="宋体"/>
          <w:color w:val="auto"/>
          <w:sz w:val="24"/>
          <w:szCs w:val="24"/>
          <w:highlight w:val="none"/>
        </w:rPr>
      </w:pPr>
      <w:bookmarkStart w:id="6" w:name="_Toc22907"/>
      <w:bookmarkStart w:id="7" w:name="_Toc14462"/>
      <w:bookmarkStart w:id="8" w:name="_Toc31278"/>
      <w:bookmarkStart w:id="9" w:name="_Toc24679"/>
      <w:bookmarkStart w:id="10" w:name="_Toc13112"/>
      <w:r>
        <w:rPr>
          <w:rFonts w:hint="eastAsia" w:ascii="宋体" w:hAnsi="宋体" w:eastAsia="宋体" w:cs="宋体"/>
          <w:color w:val="auto"/>
          <w:sz w:val="24"/>
          <w:szCs w:val="24"/>
          <w:highlight w:val="none"/>
        </w:rPr>
        <w:t>用户需求明细</w:t>
      </w:r>
      <w:bookmarkEnd w:id="6"/>
    </w:p>
    <w:p>
      <w:pPr>
        <w:spacing w:after="0"/>
        <w:jc w:val="both"/>
        <w:rPr>
          <w:rFonts w:ascii="宋体" w:hAnsi="宋体" w:eastAsia="宋体"/>
          <w:b/>
          <w:color w:val="auto"/>
          <w:sz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第一部分 商务需求书</w:t>
      </w:r>
    </w:p>
    <w:tbl>
      <w:tblPr>
        <w:tblStyle w:val="19"/>
        <w:tblW w:w="852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9"/>
        <w:gridCol w:w="1393"/>
        <w:gridCol w:w="63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9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条款名称</w:t>
            </w:r>
          </w:p>
        </w:tc>
        <w:tc>
          <w:tcPr>
            <w:tcW w:w="634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p>
        </w:tc>
        <w:tc>
          <w:tcPr>
            <w:tcW w:w="139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合格投标人</w:t>
            </w:r>
          </w:p>
        </w:tc>
        <w:tc>
          <w:tcPr>
            <w:tcW w:w="6348"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360" w:lineRule="auto"/>
              <w:ind w:left="0" w:right="0" w:hanging="210" w:hangingChars="1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详见“第一部分 投标邀请”中“二、投标人资格要求”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p>
        </w:tc>
        <w:tc>
          <w:tcPr>
            <w:tcW w:w="139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634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叁年</w:t>
            </w:r>
            <w:r>
              <w:rPr>
                <w:rFonts w:hint="eastAsia" w:ascii="宋体" w:hAnsi="宋体" w:eastAsia="宋体" w:cs="宋体"/>
                <w:bCs/>
                <w:color w:val="auto"/>
                <w:sz w:val="21"/>
                <w:szCs w:val="21"/>
                <w:highlight w:val="none"/>
              </w:rPr>
              <w:t>（以合</w:t>
            </w:r>
            <w:r>
              <w:rPr>
                <w:rFonts w:hint="eastAsia" w:ascii="宋体" w:hAnsi="宋体" w:eastAsia="宋体" w:cs="宋体"/>
                <w:bCs/>
                <w:color w:val="auto"/>
                <w:sz w:val="21"/>
                <w:szCs w:val="21"/>
                <w:highlight w:val="none"/>
                <w:lang w:eastAsia="zh-CN"/>
              </w:rPr>
              <w:t>同</w:t>
            </w:r>
            <w:r>
              <w:rPr>
                <w:rFonts w:hint="eastAsia" w:ascii="宋体" w:hAnsi="宋体" w:eastAsia="宋体" w:cs="宋体"/>
                <w:bCs/>
                <w:color w:val="auto"/>
                <w:sz w:val="21"/>
                <w:szCs w:val="21"/>
                <w:highlight w:val="none"/>
              </w:rPr>
              <w:t>签订时间为准）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p>
        </w:tc>
        <w:tc>
          <w:tcPr>
            <w:tcW w:w="139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付款</w:t>
            </w:r>
            <w:r>
              <w:rPr>
                <w:rFonts w:hint="eastAsia" w:ascii="宋体" w:hAnsi="宋体" w:eastAsia="宋体" w:cs="宋体"/>
                <w:color w:val="auto"/>
                <w:sz w:val="21"/>
                <w:szCs w:val="21"/>
                <w:highlight w:val="none"/>
                <w:lang w:eastAsia="zh-CN"/>
              </w:rPr>
              <w:t>方式</w:t>
            </w:r>
          </w:p>
        </w:tc>
        <w:tc>
          <w:tcPr>
            <w:tcW w:w="6348" w:type="dxa"/>
            <w:vAlign w:val="center"/>
          </w:tcPr>
          <w:p>
            <w:pPr>
              <w:keepNext w:val="0"/>
              <w:keepLines w:val="0"/>
              <w:pageBreakBefore w:val="0"/>
              <w:widowControl/>
              <w:tabs>
                <w:tab w:val="left" w:pos="-28"/>
              </w:tabs>
              <w:kinsoku/>
              <w:wordWrap/>
              <w:overflowPunct/>
              <w:topLinePunct w:val="0"/>
              <w:autoSpaceDE/>
              <w:autoSpaceDN/>
              <w:bidi w:val="0"/>
              <w:adjustRightInd w:val="0"/>
              <w:snapToGrid w:val="0"/>
              <w:spacing w:after="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采购人在合同生效后第二个月起每月15日前向中标人支付上个月的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费用。</w:t>
            </w:r>
          </w:p>
          <w:p>
            <w:pPr>
              <w:keepNext w:val="0"/>
              <w:keepLines w:val="0"/>
              <w:pageBreakBefore w:val="0"/>
              <w:widowControl/>
              <w:tabs>
                <w:tab w:val="left" w:pos="-28"/>
              </w:tabs>
              <w:kinsoku/>
              <w:wordWrap/>
              <w:overflowPunct/>
              <w:topLinePunct w:val="0"/>
              <w:autoSpaceDE/>
              <w:autoSpaceDN/>
              <w:bidi w:val="0"/>
              <w:adjustRightInd w:val="0"/>
              <w:snapToGrid w:val="0"/>
              <w:spacing w:after="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当月支付上月的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费用根据日常监督、月检等综合考核评分结果而定，具体考核方案及细则由采购人制定和调整。若按评分标准有扣分情况，所扣款项从上月应付的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费</w:t>
            </w:r>
            <w:r>
              <w:rPr>
                <w:rFonts w:hint="eastAsia" w:ascii="宋体" w:hAnsi="宋体" w:eastAsia="宋体" w:cs="宋体"/>
                <w:color w:val="auto"/>
                <w:sz w:val="21"/>
                <w:szCs w:val="21"/>
                <w:highlight w:val="none"/>
                <w:lang w:val="en-US" w:eastAsia="zh-CN"/>
              </w:rPr>
              <w:t>中相应扣除。中标人应于每月10号前将上月应付款的金额相符的发票交到给采购人办理付款手续，否则造成不能按时付款的责任由中标人自行承担。</w:t>
            </w:r>
            <w:r>
              <w:rPr>
                <w:rFonts w:hint="eastAsia" w:ascii="宋体" w:hAnsi="宋体" w:eastAsia="宋体" w:cs="宋体"/>
                <w:color w:val="auto"/>
                <w:sz w:val="21"/>
                <w:szCs w:val="21"/>
                <w:highlight w:val="none"/>
              </w:rPr>
              <w:t>中标人中标后开出的所有发票都须与中标人名称一致，不得以其分支机构名义开具发票。</w:t>
            </w:r>
          </w:p>
          <w:p>
            <w:pPr>
              <w:keepNext w:val="0"/>
              <w:keepLines w:val="0"/>
              <w:pageBreakBefore w:val="0"/>
              <w:widowControl/>
              <w:tabs>
                <w:tab w:val="left" w:pos="-28"/>
              </w:tabs>
              <w:kinsoku/>
              <w:wordWrap/>
              <w:overflowPunct/>
              <w:topLinePunct w:val="0"/>
              <w:autoSpaceDE/>
              <w:autoSpaceDN/>
              <w:bidi w:val="0"/>
              <w:adjustRightInd w:val="0"/>
              <w:snapToGrid w:val="0"/>
              <w:spacing w:after="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③除采购人同意分包的项目内容外，中标人不能把中标项目转包或分包给其他单位实施。</w:t>
            </w:r>
          </w:p>
          <w:p>
            <w:pPr>
              <w:keepNext w:val="0"/>
              <w:keepLines w:val="0"/>
              <w:pageBreakBefore w:val="0"/>
              <w:widowControl/>
              <w:tabs>
                <w:tab w:val="left" w:pos="-28"/>
              </w:tabs>
              <w:kinsoku/>
              <w:wordWrap/>
              <w:overflowPunct/>
              <w:topLinePunct w:val="0"/>
              <w:autoSpaceDE/>
              <w:autoSpaceDN/>
              <w:bidi w:val="0"/>
              <w:adjustRightInd w:val="0"/>
              <w:snapToGrid w:val="0"/>
              <w:spacing w:after="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本项目的服务经费由财政拨款，如因政策的影响，拨款未能及时到位，中标人承诺不得以此为由主张采购人违约而不履行本合同规定的义务，中标人不得以此为由要求采购人承担违约责任。</w:t>
            </w:r>
          </w:p>
          <w:p>
            <w:pPr>
              <w:keepNext w:val="0"/>
              <w:keepLines w:val="0"/>
              <w:pageBreakBefore w:val="0"/>
              <w:widowControl/>
              <w:tabs>
                <w:tab w:val="left" w:pos="-28"/>
              </w:tabs>
              <w:kinsoku/>
              <w:wordWrap/>
              <w:overflowPunct/>
              <w:topLinePunct w:val="0"/>
              <w:autoSpaceDE/>
              <w:autoSpaceDN/>
              <w:bidi w:val="0"/>
              <w:adjustRightInd w:val="0"/>
              <w:snapToGrid w:val="0"/>
              <w:spacing w:after="0" w:line="360" w:lineRule="auto"/>
              <w:ind w:left="0" w:right="0"/>
              <w:jc w:val="left"/>
              <w:textAlignment w:val="auto"/>
              <w:rPr>
                <w:rFonts w:hint="eastAsia"/>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如有</w:t>
            </w:r>
            <w:r>
              <w:rPr>
                <w:rFonts w:hint="eastAsia" w:ascii="宋体" w:hAnsi="宋体" w:eastAsia="宋体" w:cs="宋体"/>
                <w:bCs/>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员工工资未结清或有</w:t>
            </w:r>
            <w:r>
              <w:rPr>
                <w:rFonts w:hint="eastAsia" w:ascii="宋体" w:hAnsi="宋体" w:eastAsia="宋体" w:cs="宋体"/>
                <w:bCs/>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员工工伤、非因工死亡等事件及</w:t>
            </w:r>
            <w:r>
              <w:rPr>
                <w:rFonts w:hint="eastAsia" w:ascii="宋体" w:hAnsi="宋体" w:eastAsia="宋体" w:cs="宋体"/>
                <w:bCs/>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供应商货款纠纷、</w:t>
            </w:r>
            <w:r>
              <w:rPr>
                <w:rFonts w:hint="eastAsia" w:ascii="宋体" w:hAnsi="宋体" w:eastAsia="宋体" w:cs="宋体"/>
                <w:bCs/>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侵权赔偿纠纷未处理完毕前，采购人有权拒付当月服务费。如采购人已代为支付前述费用，或因相关部门责令采购人代付的，采购人有权从服务费中足额扣除该部分费用。因此而给采购人造成的损失（包括但不限于诉讼费、保全费、鉴定费、评估费、拍卖费、律师费、执行费、行政罚款等）需由</w:t>
            </w:r>
            <w:r>
              <w:rPr>
                <w:rFonts w:hint="eastAsia" w:ascii="宋体" w:hAnsi="宋体" w:eastAsia="宋体" w:cs="宋体"/>
                <w:bCs/>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全部赔偿。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p>
        </w:tc>
        <w:tc>
          <w:tcPr>
            <w:tcW w:w="139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34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中标人必须承诺在中标后一个月内在服务范围内设立</w:t>
            </w:r>
            <w:r>
              <w:rPr>
                <w:rFonts w:hint="eastAsia" w:ascii="宋体" w:hAnsi="宋体" w:eastAsia="宋体" w:cs="宋体"/>
                <w:color w:val="auto"/>
                <w:sz w:val="21"/>
                <w:szCs w:val="21"/>
                <w:highlight w:val="none"/>
              </w:rPr>
              <w:t>固定的</w:t>
            </w:r>
            <w:r>
              <w:rPr>
                <w:rFonts w:hint="eastAsia" w:ascii="宋体" w:hAnsi="宋体" w:eastAsia="宋体" w:cs="宋体"/>
                <w:bCs/>
                <w:color w:val="auto"/>
                <w:sz w:val="21"/>
                <w:szCs w:val="21"/>
                <w:highlight w:val="none"/>
                <w:lang w:eastAsia="zh-CN"/>
              </w:rPr>
              <w:t>办公场所（提供单独承诺函）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p>
        </w:tc>
        <w:tc>
          <w:tcPr>
            <w:tcW w:w="139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报价内容</w:t>
            </w:r>
          </w:p>
        </w:tc>
        <w:tc>
          <w:tcPr>
            <w:tcW w:w="6348" w:type="dxa"/>
            <w:vAlign w:val="center"/>
          </w:tcPr>
          <w:p>
            <w:pPr>
              <w:keepNext w:val="0"/>
              <w:keepLines w:val="0"/>
              <w:pageBreakBefore w:val="0"/>
              <w:widowControl/>
              <w:tabs>
                <w:tab w:val="left" w:pos="-28"/>
              </w:tabs>
              <w:kinsoku/>
              <w:wordWrap/>
              <w:overflowPunct/>
              <w:topLinePunct w:val="0"/>
              <w:autoSpaceDE/>
              <w:autoSpaceDN/>
              <w:bidi w:val="0"/>
              <w:adjustRightInd w:val="0"/>
              <w:snapToGrid w:val="0"/>
              <w:spacing w:after="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报价应包含完成本次招标所有服务内容的费用，包括人工费、劳保费、保险费、材料费、设备使用费、各种税务费、必须的辅助材料费及合同实施过程中不可预见费用等全部费用。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9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34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投标人实质响应合同各条款。</w:t>
            </w:r>
          </w:p>
        </w:tc>
      </w:tr>
    </w:tbl>
    <w:p>
      <w:pPr>
        <w:spacing w:line="360" w:lineRule="auto"/>
        <w:jc w:val="center"/>
        <w:rPr>
          <w:rFonts w:hint="eastAsia" w:ascii="宋体" w:hAnsi="宋体"/>
          <w:b/>
          <w:color w:val="auto"/>
          <w:sz w:val="30"/>
          <w:szCs w:val="30"/>
          <w:highlight w:val="none"/>
        </w:rPr>
      </w:pPr>
    </w:p>
    <w:p>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 xml:space="preserve">部分 </w:t>
      </w:r>
      <w:r>
        <w:rPr>
          <w:rFonts w:hint="eastAsia" w:ascii="宋体" w:hAnsi="宋体" w:eastAsia="宋体" w:cs="宋体"/>
          <w:b/>
          <w:color w:val="auto"/>
          <w:sz w:val="24"/>
          <w:szCs w:val="24"/>
          <w:highlight w:val="none"/>
          <w:lang w:eastAsia="zh-CN"/>
        </w:rPr>
        <w:t>技术</w:t>
      </w:r>
      <w:r>
        <w:rPr>
          <w:rFonts w:hint="eastAsia" w:ascii="宋体" w:hAnsi="宋体" w:eastAsia="宋体" w:cs="宋体"/>
          <w:b/>
          <w:color w:val="auto"/>
          <w:sz w:val="24"/>
          <w:szCs w:val="24"/>
          <w:highlight w:val="none"/>
        </w:rPr>
        <w:t>需求书</w:t>
      </w:r>
    </w:p>
    <w:p>
      <w:pPr>
        <w:pStyle w:val="5"/>
        <w:keepNext/>
        <w:keepLines/>
        <w:widowControl/>
        <w:numPr>
          <w:ilvl w:val="0"/>
          <w:numId w:val="0"/>
        </w:numPr>
        <w:wordWrap/>
        <w:adjustRightInd w:val="0"/>
        <w:snapToGrid w:val="0"/>
        <w:spacing w:after="0"/>
        <w:ind w:leftChars="0"/>
        <w:textAlignment w:val="auto"/>
        <w:rPr>
          <w:color w:val="auto"/>
          <w:highlight w:val="none"/>
        </w:rPr>
      </w:pPr>
      <w:r>
        <w:rPr>
          <w:rFonts w:hint="eastAsia"/>
          <w:color w:val="auto"/>
          <w:highlight w:val="none"/>
          <w:lang w:val="en-US" w:eastAsia="zh-CN"/>
        </w:rPr>
        <w:t>一、</w:t>
      </w:r>
      <w:r>
        <w:rPr>
          <w:rFonts w:hint="eastAsia"/>
          <w:color w:val="auto"/>
          <w:highlight w:val="none"/>
          <w:lang w:eastAsia="zh-CN"/>
        </w:rPr>
        <w:t>服务范围</w:t>
      </w:r>
    </w:p>
    <w:p>
      <w:pPr>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“牛皮癣”是指</w:t>
      </w:r>
      <w:r>
        <w:rPr>
          <w:rFonts w:hint="eastAsia" w:ascii="宋体" w:hAnsi="宋体" w:eastAsia="宋体"/>
          <w:color w:val="auto"/>
          <w:sz w:val="21"/>
          <w:szCs w:val="21"/>
          <w:highlight w:val="none"/>
          <w:lang w:eastAsia="zh-CN"/>
        </w:rPr>
        <w:t>非法、未经许可、</w:t>
      </w:r>
      <w:r>
        <w:rPr>
          <w:rFonts w:hint="eastAsia" w:ascii="宋体" w:hAnsi="宋体" w:eastAsia="宋体"/>
          <w:color w:val="auto"/>
          <w:sz w:val="21"/>
          <w:szCs w:val="21"/>
          <w:highlight w:val="none"/>
        </w:rPr>
        <w:t>擅自在城市建筑物、构筑物、线杆、树杆、护栏、公共设施或其他设施上乱拉、乱挂的条幅横额和乱写、乱画、乱贴的违法小广告。</w:t>
      </w:r>
    </w:p>
    <w:p>
      <w:pPr>
        <w:spacing w:after="0" w:line="360" w:lineRule="auto"/>
        <w:ind w:firstLine="420" w:firstLineChars="2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w:t>
      </w:r>
      <w:r>
        <w:rPr>
          <w:rFonts w:hint="eastAsia" w:ascii="宋体" w:hAnsi="宋体" w:eastAsia="宋体"/>
          <w:color w:val="auto"/>
          <w:sz w:val="21"/>
          <w:szCs w:val="21"/>
          <w:highlight w:val="none"/>
          <w:lang w:eastAsia="zh-CN"/>
        </w:rPr>
        <w:t>寮步镇原环卫二三片区</w:t>
      </w:r>
      <w:r>
        <w:rPr>
          <w:rFonts w:hint="eastAsia" w:ascii="宋体" w:hAnsi="宋体" w:eastAsia="宋体"/>
          <w:color w:val="auto"/>
          <w:sz w:val="21"/>
          <w:szCs w:val="21"/>
          <w:highlight w:val="none"/>
        </w:rPr>
        <w:t>范围内</w:t>
      </w:r>
      <w:r>
        <w:rPr>
          <w:rFonts w:hint="eastAsia" w:ascii="宋体" w:hAnsi="宋体" w:eastAsia="宋体"/>
          <w:color w:val="auto"/>
          <w:sz w:val="21"/>
          <w:szCs w:val="21"/>
          <w:highlight w:val="none"/>
          <w:lang w:eastAsia="zh-CN"/>
        </w:rPr>
        <w:t>的</w:t>
      </w:r>
      <w:r>
        <w:rPr>
          <w:rFonts w:hint="eastAsia" w:ascii="宋体" w:hAnsi="宋体" w:eastAsia="宋体"/>
          <w:color w:val="auto"/>
          <w:sz w:val="21"/>
          <w:szCs w:val="21"/>
          <w:highlight w:val="none"/>
        </w:rPr>
        <w:t>地面、建筑物和构筑物立面、房屋间巷道墙体、灯杆、电线杆、电箱、桥梁、灯箱、电话亭、书报亭、</w:t>
      </w:r>
      <w:r>
        <w:rPr>
          <w:rFonts w:hint="eastAsia" w:ascii="宋体" w:hAnsi="宋体" w:eastAsia="宋体"/>
          <w:color w:val="auto"/>
          <w:sz w:val="21"/>
          <w:szCs w:val="21"/>
          <w:highlight w:val="none"/>
          <w:lang w:eastAsia="zh-CN"/>
        </w:rPr>
        <w:t>花池、</w:t>
      </w:r>
      <w:r>
        <w:rPr>
          <w:rFonts w:hint="eastAsia" w:ascii="宋体" w:hAnsi="宋体" w:eastAsia="宋体" w:cs="宋体"/>
          <w:color w:val="auto"/>
          <w:sz w:val="21"/>
          <w:szCs w:val="21"/>
          <w:highlight w:val="none"/>
        </w:rPr>
        <w:t>广告牌</w:t>
      </w:r>
      <w:r>
        <w:rPr>
          <w:rFonts w:hint="eastAsia" w:ascii="宋体" w:hAnsi="宋体" w:eastAsia="宋体"/>
          <w:color w:val="auto"/>
          <w:sz w:val="21"/>
          <w:szCs w:val="21"/>
          <w:highlight w:val="none"/>
        </w:rPr>
        <w:t>（包括无架安装的墙体广告）</w:t>
      </w:r>
      <w:r>
        <w:rPr>
          <w:rFonts w:hint="eastAsia" w:ascii="宋体" w:hAnsi="宋体" w:eastAsia="宋体" w:cs="宋体"/>
          <w:color w:val="auto"/>
          <w:sz w:val="21"/>
          <w:szCs w:val="21"/>
          <w:highlight w:val="none"/>
        </w:rPr>
        <w:t>、公交汽车站牌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olor w:val="auto"/>
          <w:sz w:val="21"/>
          <w:szCs w:val="21"/>
          <w:highlight w:val="none"/>
        </w:rPr>
        <w:t>绿化树等所有城市设施立面上</w:t>
      </w:r>
      <w:r>
        <w:rPr>
          <w:rFonts w:hint="eastAsia" w:ascii="宋体" w:hAnsi="宋体" w:eastAsia="宋体" w:cs="宋体"/>
          <w:color w:val="auto"/>
          <w:sz w:val="21"/>
          <w:szCs w:val="21"/>
          <w:highlight w:val="none"/>
        </w:rPr>
        <w:t>乱张贴、乱涂改、乱悬挂等影响市容的“牛皮癣”</w:t>
      </w:r>
      <w:r>
        <w:rPr>
          <w:rFonts w:hint="eastAsia" w:ascii="宋体" w:hAnsi="宋体" w:eastAsia="宋体"/>
          <w:color w:val="auto"/>
          <w:sz w:val="21"/>
          <w:szCs w:val="21"/>
          <w:highlight w:val="none"/>
        </w:rPr>
        <w:t>进行清理。此次“牛皮癣”清理总长度约为</w:t>
      </w:r>
      <w:r>
        <w:rPr>
          <w:rFonts w:hint="eastAsia" w:ascii="宋体" w:hAnsi="宋体" w:eastAsia="宋体"/>
          <w:color w:val="auto"/>
          <w:sz w:val="21"/>
          <w:szCs w:val="21"/>
          <w:highlight w:val="none"/>
          <w:lang w:val="en-US" w:eastAsia="zh-CN"/>
        </w:rPr>
        <w:t>523.5</w:t>
      </w:r>
      <w:r>
        <w:rPr>
          <w:rFonts w:hint="eastAsia" w:ascii="宋体" w:hAnsi="宋体" w:eastAsia="宋体"/>
          <w:color w:val="auto"/>
          <w:sz w:val="21"/>
          <w:szCs w:val="21"/>
          <w:highlight w:val="none"/>
        </w:rPr>
        <w:t>公里（详见“寮步镇原环卫二三“牛皮癣”清理承包范围汇总一览表”），以</w:t>
      </w:r>
      <w:r>
        <w:rPr>
          <w:rFonts w:hint="eastAsia" w:ascii="宋体" w:hAnsi="宋体" w:eastAsia="宋体"/>
          <w:color w:val="auto"/>
          <w:sz w:val="21"/>
          <w:szCs w:val="21"/>
          <w:highlight w:val="none"/>
          <w:lang w:val="en-US" w:eastAsia="zh-CN"/>
        </w:rPr>
        <w:t>采购人</w:t>
      </w:r>
      <w:r>
        <w:rPr>
          <w:rFonts w:hint="eastAsia" w:ascii="宋体" w:hAnsi="宋体" w:eastAsia="宋体"/>
          <w:color w:val="auto"/>
          <w:sz w:val="21"/>
          <w:szCs w:val="21"/>
          <w:highlight w:val="none"/>
        </w:rPr>
        <w:t>及</w:t>
      </w:r>
      <w:r>
        <w:rPr>
          <w:rFonts w:hint="eastAsia" w:ascii="宋体" w:hAnsi="宋体" w:eastAsia="宋体"/>
          <w:color w:val="auto"/>
          <w:sz w:val="21"/>
          <w:szCs w:val="21"/>
          <w:highlight w:val="none"/>
          <w:lang w:val="en-US" w:eastAsia="zh-CN"/>
        </w:rPr>
        <w:t>中标人</w:t>
      </w:r>
      <w:r>
        <w:rPr>
          <w:rFonts w:hint="eastAsia" w:ascii="宋体" w:hAnsi="宋体" w:eastAsia="宋体"/>
          <w:color w:val="auto"/>
          <w:sz w:val="21"/>
          <w:szCs w:val="21"/>
          <w:highlight w:val="none"/>
        </w:rPr>
        <w:t>现场丈量数据为准</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若实际</w:t>
      </w:r>
      <w:r>
        <w:rPr>
          <w:rFonts w:hint="eastAsia" w:ascii="宋体" w:hAnsi="宋体" w:eastAsia="宋体"/>
          <w:color w:val="auto"/>
          <w:sz w:val="21"/>
          <w:szCs w:val="21"/>
          <w:highlight w:val="none"/>
          <w:lang w:eastAsia="zh-CN"/>
        </w:rPr>
        <w:t>公里长度</w:t>
      </w:r>
      <w:r>
        <w:rPr>
          <w:rFonts w:hint="eastAsia" w:ascii="宋体" w:hAnsi="宋体" w:eastAsia="宋体"/>
          <w:color w:val="auto"/>
          <w:sz w:val="21"/>
          <w:szCs w:val="21"/>
          <w:highlight w:val="none"/>
        </w:rPr>
        <w:t>与招标文件相关内容不符，以实际</w:t>
      </w:r>
      <w:r>
        <w:rPr>
          <w:rFonts w:hint="eastAsia" w:ascii="宋体" w:hAnsi="宋体" w:eastAsia="宋体"/>
          <w:color w:val="auto"/>
          <w:sz w:val="21"/>
          <w:szCs w:val="21"/>
          <w:highlight w:val="none"/>
          <w:lang w:eastAsia="zh-CN"/>
        </w:rPr>
        <w:t>长度</w:t>
      </w:r>
      <w:r>
        <w:rPr>
          <w:rFonts w:hint="eastAsia" w:ascii="宋体" w:hAnsi="宋体" w:eastAsia="宋体"/>
          <w:color w:val="auto"/>
          <w:sz w:val="21"/>
          <w:szCs w:val="21"/>
          <w:highlight w:val="none"/>
        </w:rPr>
        <w:t>为准进行</w:t>
      </w:r>
      <w:r>
        <w:rPr>
          <w:rFonts w:hint="eastAsia" w:ascii="宋体" w:hAnsi="宋体" w:eastAsia="宋体"/>
          <w:color w:val="auto"/>
          <w:sz w:val="21"/>
          <w:szCs w:val="21"/>
          <w:highlight w:val="none"/>
          <w:lang w:eastAsia="zh-CN"/>
        </w:rPr>
        <w:t>清理服务</w:t>
      </w:r>
      <w:r>
        <w:rPr>
          <w:rFonts w:hint="eastAsia" w:ascii="宋体" w:hAnsi="宋体" w:eastAsia="宋体"/>
          <w:color w:val="auto"/>
          <w:sz w:val="21"/>
          <w:szCs w:val="21"/>
          <w:highlight w:val="none"/>
        </w:rPr>
        <w:t>，中标单价不作调整。</w:t>
      </w:r>
    </w:p>
    <w:p>
      <w:pPr>
        <w:spacing w:after="0" w:line="360" w:lineRule="auto"/>
        <w:ind w:firstLine="420" w:firstLineChars="200"/>
        <w:rPr>
          <w:rFonts w:hint="eastAsia" w:ascii="宋体" w:hAnsi="宋体" w:eastAsia="宋体"/>
          <w:color w:val="auto"/>
          <w:sz w:val="21"/>
          <w:szCs w:val="21"/>
          <w:highlight w:val="none"/>
        </w:rPr>
      </w:pPr>
    </w:p>
    <w:p>
      <w:pPr>
        <w:pStyle w:val="5"/>
        <w:keepNext/>
        <w:keepLines/>
        <w:widowControl/>
        <w:numPr>
          <w:ilvl w:val="0"/>
          <w:numId w:val="0"/>
        </w:numPr>
        <w:wordWrap/>
        <w:adjustRightInd w:val="0"/>
        <w:snapToGrid w:val="0"/>
        <w:spacing w:after="0"/>
        <w:ind w:leftChars="0"/>
        <w:textAlignment w:val="auto"/>
        <w:rPr>
          <w:rFonts w:hint="eastAsia" w:eastAsia="宋体"/>
          <w:color w:val="auto"/>
          <w:highlight w:val="none"/>
          <w:lang w:eastAsia="zh-CN"/>
        </w:rPr>
      </w:pPr>
      <w:r>
        <w:rPr>
          <w:rFonts w:hint="eastAsia" w:eastAsia="宋体"/>
          <w:color w:val="auto"/>
          <w:highlight w:val="none"/>
          <w:lang w:val="en-US" w:eastAsia="zh-CN"/>
        </w:rPr>
        <w:t>二、</w:t>
      </w:r>
      <w:r>
        <w:rPr>
          <w:rFonts w:hint="eastAsia" w:eastAsia="宋体"/>
          <w:color w:val="auto"/>
          <w:highlight w:val="none"/>
          <w:lang w:eastAsia="zh-CN"/>
        </w:rPr>
        <w:t>管理服务要求</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（一）服务内容</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中标单位负责清理服务范围包括所有</w:t>
      </w:r>
      <w:r>
        <w:rPr>
          <w:rFonts w:hint="eastAsia" w:ascii="宋体" w:hAnsi="宋体" w:eastAsia="宋体"/>
          <w:color w:val="auto"/>
          <w:sz w:val="21"/>
          <w:szCs w:val="21"/>
          <w:highlight w:val="none"/>
        </w:rPr>
        <w:t>地面、建筑物和构筑物立面、房屋间巷道墙体、灯杆、电线杆、电箱、桥梁、灯箱、电话亭、书报亭、</w:t>
      </w:r>
      <w:r>
        <w:rPr>
          <w:rFonts w:hint="eastAsia" w:ascii="宋体" w:hAnsi="宋体" w:eastAsia="宋体"/>
          <w:color w:val="auto"/>
          <w:sz w:val="21"/>
          <w:szCs w:val="21"/>
          <w:highlight w:val="none"/>
          <w:lang w:eastAsia="zh-CN"/>
        </w:rPr>
        <w:t>花池、</w:t>
      </w:r>
      <w:r>
        <w:rPr>
          <w:rFonts w:hint="eastAsia" w:ascii="宋体" w:hAnsi="宋体" w:eastAsia="宋体" w:cs="宋体"/>
          <w:color w:val="auto"/>
          <w:sz w:val="21"/>
          <w:szCs w:val="21"/>
          <w:highlight w:val="none"/>
        </w:rPr>
        <w:t>广告牌</w:t>
      </w:r>
      <w:r>
        <w:rPr>
          <w:rFonts w:hint="eastAsia" w:ascii="宋体" w:hAnsi="宋体" w:eastAsia="宋体"/>
          <w:color w:val="auto"/>
          <w:sz w:val="21"/>
          <w:szCs w:val="21"/>
          <w:highlight w:val="none"/>
        </w:rPr>
        <w:t>（包括无架安装的墙体广告）</w:t>
      </w:r>
      <w:r>
        <w:rPr>
          <w:rFonts w:hint="eastAsia" w:ascii="宋体" w:hAnsi="宋体" w:eastAsia="宋体" w:cs="宋体"/>
          <w:color w:val="auto"/>
          <w:sz w:val="21"/>
          <w:szCs w:val="21"/>
          <w:highlight w:val="none"/>
        </w:rPr>
        <w:t>、公交汽车站牌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olor w:val="auto"/>
          <w:sz w:val="21"/>
          <w:szCs w:val="21"/>
          <w:highlight w:val="none"/>
        </w:rPr>
        <w:t>绿化树等所有城市设施立面上</w:t>
      </w:r>
      <w:r>
        <w:rPr>
          <w:rFonts w:hint="eastAsia" w:ascii="宋体" w:hAnsi="宋体" w:eastAsia="宋体" w:cs="宋体"/>
          <w:color w:val="auto"/>
          <w:sz w:val="21"/>
          <w:szCs w:val="21"/>
          <w:highlight w:val="none"/>
        </w:rPr>
        <w:t>乱张贴、乱涂改、乱悬挂等影响市容的“牛皮癣”</w:t>
      </w:r>
      <w:r>
        <w:rPr>
          <w:rFonts w:hint="eastAsia" w:ascii="宋体" w:hAnsi="宋体" w:eastAsia="宋体" w:cs="Times New Roman"/>
          <w:color w:val="auto"/>
          <w:sz w:val="21"/>
          <w:szCs w:val="21"/>
          <w:highlight w:val="none"/>
        </w:rPr>
        <w:t>。</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（二）服务范围：</w:t>
      </w:r>
      <w:r>
        <w:rPr>
          <w:rFonts w:hint="eastAsia" w:ascii="宋体" w:hAnsi="宋体" w:eastAsia="宋体" w:cs="Times New Roman"/>
          <w:color w:val="auto"/>
          <w:sz w:val="21"/>
          <w:szCs w:val="21"/>
          <w:highlight w:val="none"/>
          <w:lang w:val="en-US" w:eastAsia="zh-CN"/>
        </w:rPr>
        <w:t>采购人</w:t>
      </w:r>
      <w:r>
        <w:rPr>
          <w:rFonts w:hint="eastAsia" w:ascii="宋体" w:hAnsi="宋体" w:eastAsia="宋体" w:cs="Times New Roman"/>
          <w:color w:val="auto"/>
          <w:sz w:val="21"/>
          <w:szCs w:val="21"/>
          <w:highlight w:val="none"/>
        </w:rPr>
        <w:t>指定地点（详见</w:t>
      </w:r>
      <w:r>
        <w:rPr>
          <w:rFonts w:hint="eastAsia" w:ascii="宋体" w:hAnsi="宋体" w:eastAsia="宋体" w:cs="Times New Roman"/>
          <w:color w:val="auto"/>
          <w:sz w:val="21"/>
          <w:szCs w:val="21"/>
          <w:highlight w:val="none"/>
          <w:lang w:val="en-US" w:eastAsia="zh-CN"/>
        </w:rPr>
        <w:t>附件</w:t>
      </w:r>
      <w:r>
        <w:rPr>
          <w:rFonts w:hint="eastAsia" w:ascii="宋体" w:hAnsi="宋体" w:eastAsia="宋体" w:cs="Times New Roman"/>
          <w:color w:val="auto"/>
          <w:sz w:val="21"/>
          <w:szCs w:val="21"/>
          <w:highlight w:val="none"/>
          <w:lang w:eastAsia="zh-CN"/>
        </w:rPr>
        <w:t>二</w:t>
      </w:r>
      <w:r>
        <w:rPr>
          <w:rFonts w:hint="eastAsia" w:ascii="宋体" w:hAnsi="宋体" w:eastAsia="宋体" w:cs="Times New Roman"/>
          <w:color w:val="auto"/>
          <w:sz w:val="21"/>
          <w:szCs w:val="21"/>
          <w:highlight w:val="none"/>
        </w:rPr>
        <w:t>），如有变化另行确定。</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（三）承包方式</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1、本项目实行大包干，即</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只向中标公司支付</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款</w:t>
      </w:r>
      <w:r>
        <w:rPr>
          <w:rFonts w:hint="eastAsia" w:ascii="宋体" w:hAnsi="宋体" w:eastAsia="宋体" w:cs="Times New Roman"/>
          <w:color w:val="auto"/>
          <w:sz w:val="21"/>
          <w:szCs w:val="21"/>
          <w:highlight w:val="none"/>
        </w:rPr>
        <w:t>（凭发票），</w:t>
      </w:r>
      <w:r>
        <w:rPr>
          <w:rFonts w:hint="eastAsia" w:ascii="宋体" w:hAnsi="宋体" w:eastAsia="宋体" w:cs="宋体"/>
          <w:color w:val="auto"/>
          <w:sz w:val="21"/>
          <w:szCs w:val="21"/>
          <w:highlight w:val="none"/>
          <w:lang w:eastAsia="zh-CN"/>
        </w:rPr>
        <w:t>服务</w:t>
      </w:r>
      <w:r>
        <w:rPr>
          <w:rFonts w:hint="eastAsia" w:ascii="宋体" w:hAnsi="宋体" w:eastAsia="宋体" w:cs="Times New Roman"/>
          <w:color w:val="auto"/>
          <w:sz w:val="21"/>
          <w:szCs w:val="21"/>
          <w:highlight w:val="none"/>
        </w:rPr>
        <w:t>期内与本项目有关的一切责任和费用均由中标公司自行承担（如人员安全、水费、污水处理费、机械设备、工具、管理员及工作人员的工资、食宿、保险费、车辆维修以及各项机械设备报废、更新添置等费用），与</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无关。</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2、按国家规定应由中标</w:t>
      </w:r>
      <w:r>
        <w:rPr>
          <w:rFonts w:hint="eastAsia" w:ascii="宋体" w:hAnsi="宋体" w:eastAsia="宋体" w:cs="Times New Roman"/>
          <w:color w:val="auto"/>
          <w:sz w:val="21"/>
          <w:szCs w:val="21"/>
          <w:highlight w:val="none"/>
          <w:lang w:eastAsia="zh-CN"/>
        </w:rPr>
        <w:t>人</w:t>
      </w:r>
      <w:r>
        <w:rPr>
          <w:rFonts w:hint="eastAsia" w:ascii="宋体" w:hAnsi="宋体" w:eastAsia="宋体" w:cs="Times New Roman"/>
          <w:color w:val="auto"/>
          <w:sz w:val="21"/>
          <w:szCs w:val="21"/>
          <w:highlight w:val="none"/>
        </w:rPr>
        <w:t>缴纳的各种税费已包含在</w:t>
      </w:r>
      <w:r>
        <w:rPr>
          <w:rFonts w:hint="eastAsia" w:ascii="宋体" w:hAnsi="宋体" w:eastAsia="宋体" w:cs="宋体"/>
          <w:color w:val="auto"/>
          <w:sz w:val="21"/>
          <w:szCs w:val="21"/>
          <w:highlight w:val="none"/>
          <w:lang w:eastAsia="zh-CN"/>
        </w:rPr>
        <w:t>服务</w:t>
      </w:r>
      <w:r>
        <w:rPr>
          <w:rFonts w:hint="eastAsia" w:ascii="宋体" w:hAnsi="宋体" w:eastAsia="宋体" w:cs="Times New Roman"/>
          <w:color w:val="auto"/>
          <w:sz w:val="21"/>
          <w:szCs w:val="21"/>
          <w:highlight w:val="none"/>
        </w:rPr>
        <w:t>款内，由中标</w:t>
      </w:r>
      <w:r>
        <w:rPr>
          <w:rFonts w:hint="eastAsia" w:ascii="宋体" w:hAnsi="宋体" w:eastAsia="宋体" w:cs="Times New Roman"/>
          <w:color w:val="auto"/>
          <w:sz w:val="21"/>
          <w:szCs w:val="21"/>
          <w:highlight w:val="none"/>
          <w:lang w:eastAsia="zh-CN"/>
        </w:rPr>
        <w:t>人</w:t>
      </w:r>
      <w:r>
        <w:rPr>
          <w:rFonts w:hint="eastAsia" w:ascii="宋体" w:hAnsi="宋体" w:eastAsia="宋体" w:cs="Times New Roman"/>
          <w:color w:val="auto"/>
          <w:sz w:val="21"/>
          <w:szCs w:val="21"/>
          <w:highlight w:val="none"/>
        </w:rPr>
        <w:t>自行向有关部门缴纳。</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与</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合同存续期内，</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对其招用的劳动者承担主体资格。在</w:t>
      </w:r>
      <w:r>
        <w:rPr>
          <w:rFonts w:hint="eastAsia" w:ascii="宋体" w:hAnsi="宋体" w:eastAsia="宋体" w:cs="Times New Roman"/>
          <w:color w:val="auto"/>
          <w:sz w:val="21"/>
          <w:szCs w:val="21"/>
          <w:highlight w:val="none"/>
          <w:lang w:eastAsia="zh-CN"/>
        </w:rPr>
        <w:t>服务</w:t>
      </w:r>
      <w:r>
        <w:rPr>
          <w:rFonts w:hint="eastAsia" w:ascii="宋体" w:hAnsi="宋体" w:eastAsia="宋体" w:cs="Times New Roman"/>
          <w:color w:val="auto"/>
          <w:sz w:val="21"/>
          <w:szCs w:val="21"/>
          <w:highlight w:val="none"/>
        </w:rPr>
        <w:t>期内，</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依法执行国家实行的最低工资保障制度义务，依法为劳动者缴纳社保。</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对</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所招用的劳动者不承担主体资格。</w:t>
      </w:r>
    </w:p>
    <w:p>
      <w:pPr>
        <w:spacing w:after="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服务期</w:t>
      </w:r>
      <w:r>
        <w:rPr>
          <w:rFonts w:hint="eastAsia" w:ascii="宋体" w:hAnsi="宋体" w:eastAsia="宋体" w:cs="Times New Roman"/>
          <w:color w:val="auto"/>
          <w:sz w:val="21"/>
          <w:szCs w:val="21"/>
          <w:highlight w:val="none"/>
        </w:rPr>
        <w:t>内</w:t>
      </w:r>
      <w:r>
        <w:rPr>
          <w:rFonts w:hint="eastAsia" w:ascii="宋体" w:hAnsi="宋体" w:eastAsia="宋体" w:cs="Times New Roman"/>
          <w:color w:val="auto"/>
          <w:sz w:val="21"/>
          <w:szCs w:val="21"/>
          <w:highlight w:val="none"/>
          <w:lang w:val="en-US" w:eastAsia="zh-CN"/>
        </w:rPr>
        <w:t>基本工资上浮调整或物价上涨，采购人均不调整承包费用，运营成本的增加由中标人自行负责。</w:t>
      </w:r>
    </w:p>
    <w:p>
      <w:pPr>
        <w:spacing w:after="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中标</w:t>
      </w:r>
      <w:r>
        <w:rPr>
          <w:rFonts w:hint="eastAsia" w:ascii="宋体" w:hAnsi="宋体" w:eastAsia="宋体" w:cs="Times New Roman"/>
          <w:color w:val="auto"/>
          <w:sz w:val="21"/>
          <w:szCs w:val="21"/>
          <w:highlight w:val="none"/>
          <w:lang w:eastAsia="zh-CN"/>
        </w:rPr>
        <w:t>人</w:t>
      </w:r>
      <w:r>
        <w:rPr>
          <w:rFonts w:hint="eastAsia" w:ascii="宋体" w:hAnsi="宋体" w:eastAsia="宋体" w:cs="Times New Roman"/>
          <w:color w:val="auto"/>
          <w:sz w:val="21"/>
          <w:szCs w:val="21"/>
          <w:highlight w:val="none"/>
          <w:lang w:val="en-US" w:eastAsia="zh-CN"/>
        </w:rPr>
        <w:t>参与清理工作的所有人员均属于</w:t>
      </w:r>
      <w:r>
        <w:rPr>
          <w:rFonts w:hint="eastAsia" w:ascii="宋体" w:hAnsi="宋体" w:eastAsia="宋体" w:cs="Times New Roman"/>
          <w:color w:val="auto"/>
          <w:sz w:val="21"/>
          <w:szCs w:val="21"/>
          <w:highlight w:val="none"/>
        </w:rPr>
        <w:t>中标</w:t>
      </w:r>
      <w:r>
        <w:rPr>
          <w:rFonts w:hint="eastAsia" w:ascii="宋体" w:hAnsi="宋体" w:eastAsia="宋体" w:cs="Times New Roman"/>
          <w:color w:val="auto"/>
          <w:sz w:val="21"/>
          <w:szCs w:val="21"/>
          <w:highlight w:val="none"/>
          <w:lang w:eastAsia="zh-CN"/>
        </w:rPr>
        <w:t>人</w:t>
      </w:r>
      <w:r>
        <w:rPr>
          <w:rFonts w:hint="eastAsia" w:ascii="宋体" w:hAnsi="宋体" w:eastAsia="宋体" w:cs="Times New Roman"/>
          <w:color w:val="auto"/>
          <w:sz w:val="21"/>
          <w:szCs w:val="21"/>
          <w:highlight w:val="none"/>
          <w:lang w:val="en-US" w:eastAsia="zh-CN"/>
        </w:rPr>
        <w:t>员工，跟</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lang w:val="en-US" w:eastAsia="zh-CN"/>
        </w:rPr>
        <w:t>无关。</w:t>
      </w:r>
      <w:r>
        <w:rPr>
          <w:rFonts w:hint="eastAsia" w:ascii="宋体" w:hAnsi="宋体" w:eastAsia="宋体" w:cs="Times New Roman"/>
          <w:color w:val="auto"/>
          <w:sz w:val="21"/>
          <w:szCs w:val="21"/>
          <w:highlight w:val="none"/>
        </w:rPr>
        <w:t>中标</w:t>
      </w:r>
      <w:r>
        <w:rPr>
          <w:rFonts w:hint="eastAsia" w:ascii="宋体" w:hAnsi="宋体" w:eastAsia="宋体" w:cs="Times New Roman"/>
          <w:color w:val="auto"/>
          <w:sz w:val="21"/>
          <w:szCs w:val="21"/>
          <w:highlight w:val="none"/>
          <w:lang w:eastAsia="zh-CN"/>
        </w:rPr>
        <w:t>人</w:t>
      </w:r>
      <w:r>
        <w:rPr>
          <w:rFonts w:hint="eastAsia" w:ascii="宋体" w:hAnsi="宋体" w:eastAsia="宋体" w:cs="Times New Roman"/>
          <w:color w:val="auto"/>
          <w:sz w:val="21"/>
          <w:szCs w:val="21"/>
          <w:highlight w:val="none"/>
          <w:lang w:val="en-US" w:eastAsia="zh-CN"/>
        </w:rPr>
        <w:t>必须保证用工的合法性，妥善处理好劳资、工伤纠纷等，并负责因上述人员作业不当给第三人造成的人身、财产损害赔偿。</w:t>
      </w:r>
    </w:p>
    <w:p>
      <w:pPr>
        <w:pStyle w:val="7"/>
        <w:rPr>
          <w:rFonts w:hint="eastAsia"/>
          <w:color w:val="auto"/>
          <w:highlight w:val="none"/>
          <w:lang w:val="en-US" w:eastAsia="zh-CN"/>
        </w:rPr>
      </w:pP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四</w:t>
      </w:r>
      <w:r>
        <w:rPr>
          <w:rFonts w:hint="eastAsia" w:ascii="宋体" w:hAnsi="宋体" w:eastAsia="宋体" w:cs="Times New Roman"/>
          <w:color w:val="auto"/>
          <w:sz w:val="21"/>
          <w:szCs w:val="21"/>
          <w:highlight w:val="none"/>
        </w:rPr>
        <w:t>）质量要求</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对服务范围进行全天巡查保洁，确保每天早上8时30分前做好服务区域内的城市“牛皮癣”第一遍巡查清理，清洁率达95%以上，每天第一次巡查清理后为保洁时间，清理人员需不定时进行巡查及清理，新“牛皮癣”应在第二天早上8时30分前清理完毕。</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清除墙体或物体上张贴的纸质城市“牛皮癣”做到不留污染痕迹，尽量恢复原貌；不能损坏被张贴的设施、墙身等表面，确有损坏的，要及时采取相应补救措施，恢复原样；及时清理现场，确保作业场地整洁。</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3、清除表面为光滑材质上喷绘、涂写的城市“牛皮癣”使用化学物品全面清洗，不得使用涂料。</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4、清除表面不光滑且不可使用化学清洁剂材质上喷绘、涂写的城市“牛皮癣”，要使用相近颜色进行复原，按照“色差一致、形状统一、干净整洁、协调美观”的要求，做到基本无色差。</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（1）“色差一致”就是根据建筑物、构筑物、各类管线及其他市政公共设施表面不同颜色，使用与原颜色相近或基本一致的涂料，最大限度地将污染处恢复原来的色泽；</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（2）采用涂料进行粉刷覆盖的“牛皮癣”要保证清除覆盖后，不会因雨水冲刷、涂料过稀滴落、涂料结块开裂等原因造成涂料脱落，“牛皮癣”重新泛出；</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（3）“形状统一”就是对清洗保洁的被污染处表面要求有统一的覆盖形状（四方形、长方形），并有完整的轮廓；</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（4）“干净整洁”就是对要涂刷的覆盖面，按照“一刮、二铲、三粉刷”的程序操作，力求达到整体干净整洁；</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（5）“协调美观”就是力求使整治覆盖后的表面在“色、形、洁”的方面与周边环境协调和谐，基本达到美观要求。</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w:t>
      </w:r>
      <w:r>
        <w:rPr>
          <w:rFonts w:hint="eastAsia" w:ascii="宋体" w:hAnsi="宋体" w:eastAsia="宋体" w:cs="宋体"/>
          <w:color w:val="auto"/>
          <w:sz w:val="21"/>
          <w:szCs w:val="21"/>
          <w:highlight w:val="none"/>
          <w:lang w:eastAsia="zh-CN"/>
        </w:rPr>
        <w:t>中标人</w:t>
      </w:r>
      <w:r>
        <w:rPr>
          <w:rFonts w:hint="eastAsia" w:ascii="宋体" w:hAnsi="宋体" w:eastAsia="宋体" w:cs="Times New Roman"/>
          <w:color w:val="auto"/>
          <w:sz w:val="21"/>
          <w:szCs w:val="21"/>
          <w:highlight w:val="none"/>
        </w:rPr>
        <w:t>在清理城市“牛皮癣”时应及时收集有关产生城市“牛皮癣”的信息，并向城管部门提供查处线索。如发现张贴“牛皮癣”人员的应及时通知城管部门，由城管部门进行处理。</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五</w:t>
      </w:r>
      <w:r>
        <w:rPr>
          <w:rFonts w:hint="eastAsia" w:ascii="宋体" w:hAnsi="宋体" w:eastAsia="宋体" w:cs="Times New Roman"/>
          <w:color w:val="auto"/>
          <w:sz w:val="21"/>
          <w:szCs w:val="21"/>
          <w:highlight w:val="none"/>
        </w:rPr>
        <w:t>）其他要求：</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宋体"/>
          <w:color w:val="auto"/>
          <w:sz w:val="21"/>
          <w:szCs w:val="21"/>
          <w:highlight w:val="none"/>
          <w:lang w:eastAsia="zh-CN"/>
        </w:rPr>
        <w:t>中标</w:t>
      </w:r>
      <w:r>
        <w:rPr>
          <w:rFonts w:hint="eastAsia" w:ascii="宋体" w:hAnsi="宋体" w:eastAsia="宋体" w:cs="Times New Roman"/>
          <w:color w:val="auto"/>
          <w:sz w:val="21"/>
          <w:szCs w:val="21"/>
          <w:highlight w:val="none"/>
        </w:rPr>
        <w:t>公司清理人员需按要求统一穿着工作服及佩戴工作证上岗。</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2、主干道及</w:t>
      </w:r>
      <w:r>
        <w:rPr>
          <w:rFonts w:hint="eastAsia" w:ascii="宋体" w:hAnsi="宋体" w:eastAsia="宋体" w:cs="Times New Roman"/>
          <w:color w:val="auto"/>
          <w:sz w:val="21"/>
          <w:szCs w:val="21"/>
          <w:highlight w:val="none"/>
          <w:lang w:eastAsia="zh-CN"/>
        </w:rPr>
        <w:t>重点区域</w:t>
      </w:r>
      <w:r>
        <w:rPr>
          <w:rFonts w:hint="eastAsia" w:ascii="宋体" w:hAnsi="宋体" w:eastAsia="宋体" w:cs="Times New Roman"/>
          <w:color w:val="auto"/>
          <w:sz w:val="21"/>
          <w:szCs w:val="21"/>
          <w:highlight w:val="none"/>
        </w:rPr>
        <w:t>的巡查每天不少于3次。</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3、主干道</w:t>
      </w:r>
      <w:r>
        <w:rPr>
          <w:rFonts w:hint="eastAsia" w:ascii="宋体" w:hAnsi="宋体" w:eastAsia="宋体" w:cs="Times New Roman"/>
          <w:color w:val="auto"/>
          <w:sz w:val="21"/>
          <w:szCs w:val="21"/>
          <w:highlight w:val="none"/>
          <w:lang w:eastAsia="zh-CN"/>
        </w:rPr>
        <w:t>范围</w:t>
      </w:r>
      <w:r>
        <w:rPr>
          <w:rFonts w:hint="eastAsia" w:ascii="宋体" w:hAnsi="宋体" w:eastAsia="宋体" w:cs="Times New Roman"/>
          <w:color w:val="auto"/>
          <w:sz w:val="21"/>
          <w:szCs w:val="21"/>
          <w:highlight w:val="none"/>
        </w:rPr>
        <w:t>“牛皮癣”的清理，宜选择在非交通繁忙时段进行。作业人员必须披戴具有反光标志的背心，并应在距离作业点正、反方向分别不少于80m和150m的地方设置反光警示牌及其他警示标志。</w:t>
      </w:r>
    </w:p>
    <w:p>
      <w:pPr>
        <w:spacing w:after="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4、“牛皮癣”作业车辆，应严格遵守交通安全规则，车身应喷涂或张贴明显的安全警示标语。</w:t>
      </w:r>
    </w:p>
    <w:p>
      <w:pPr>
        <w:spacing w:after="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宋体"/>
          <w:color w:val="auto"/>
          <w:sz w:val="21"/>
          <w:szCs w:val="21"/>
          <w:highlight w:val="none"/>
          <w:lang w:eastAsia="zh-CN"/>
        </w:rPr>
        <w:t>中标</w:t>
      </w:r>
      <w:r>
        <w:rPr>
          <w:rFonts w:hint="eastAsia" w:ascii="宋体" w:hAnsi="宋体" w:eastAsia="宋体" w:cs="Times New Roman"/>
          <w:color w:val="auto"/>
          <w:sz w:val="21"/>
          <w:szCs w:val="21"/>
          <w:highlight w:val="none"/>
          <w:lang w:eastAsia="zh-CN"/>
        </w:rPr>
        <w:t>公司必须详细制订内部管理工作责任制，建立管理工作台帐，台账要做到记录完整、书写清楚、数据准确、按时汇总、妥善保管。设立固定办公场所和办公室电话，指定专人负责与政府相关职能部门联系。</w:t>
      </w:r>
    </w:p>
    <w:p>
      <w:pPr>
        <w:spacing w:after="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lang w:eastAsia="zh-CN"/>
        </w:rPr>
        <w:t>配备清理、巡查交通工具，清理保洁工具和材料。</w:t>
      </w:r>
    </w:p>
    <w:p>
      <w:pPr>
        <w:spacing w:after="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lang w:eastAsia="zh-CN"/>
        </w:rPr>
        <w:t>清理保洁工作按照行业相关规定进行，并做到覆盖“乱张贴、乱涂写、乱拉挂、乱刻划”处的颜色与原来的墙体颜色基本一样。清理保洁管理实施范围、分步实施、目标要求、清理保洁方法要求等按文件要求执行。</w:t>
      </w:r>
    </w:p>
    <w:p>
      <w:pPr>
        <w:rPr>
          <w:rFonts w:hint="eastAsia"/>
          <w:color w:val="auto"/>
          <w:highlight w:val="none"/>
          <w:lang w:eastAsia="zh-CN"/>
        </w:rPr>
      </w:pPr>
    </w:p>
    <w:p>
      <w:pPr>
        <w:pStyle w:val="5"/>
        <w:keepNext/>
        <w:keepLines/>
        <w:widowControl/>
        <w:numPr>
          <w:ilvl w:val="0"/>
          <w:numId w:val="0"/>
        </w:numPr>
        <w:wordWrap/>
        <w:adjustRightInd w:val="0"/>
        <w:snapToGrid w:val="0"/>
        <w:spacing w:after="0"/>
        <w:ind w:leftChars="0"/>
        <w:textAlignment w:val="auto"/>
        <w:rPr>
          <w:rFonts w:hint="eastAsia" w:eastAsia="宋体"/>
          <w:color w:val="auto"/>
          <w:highlight w:val="none"/>
          <w:lang w:eastAsia="zh-CN"/>
        </w:rPr>
      </w:pPr>
      <w:r>
        <w:rPr>
          <w:rFonts w:hint="eastAsia" w:eastAsia="宋体"/>
          <w:color w:val="auto"/>
          <w:highlight w:val="none"/>
          <w:lang w:val="en-US" w:eastAsia="zh-CN"/>
        </w:rPr>
        <w:t>三、</w:t>
      </w:r>
      <w:r>
        <w:rPr>
          <w:rFonts w:hint="eastAsia" w:eastAsia="宋体"/>
          <w:color w:val="auto"/>
          <w:highlight w:val="none"/>
          <w:lang w:eastAsia="zh-CN"/>
        </w:rPr>
        <w:t>考核标准</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（一）考核方式</w:t>
      </w:r>
    </w:p>
    <w:p>
      <w:pPr>
        <w:spacing w:after="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随机抽查与定期组织村</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社区</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及</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现场检查考核相结合，每月至少考评一次</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凡达不到标准要求被扣分的，要扣减当月承包款，具体按</w:t>
      </w:r>
      <w:r>
        <w:rPr>
          <w:rFonts w:hint="eastAsia" w:ascii="宋体" w:hAnsi="宋体" w:eastAsia="宋体" w:cs="Times New Roman"/>
          <w:color w:val="auto"/>
          <w:sz w:val="21"/>
          <w:szCs w:val="21"/>
          <w:highlight w:val="none"/>
        </w:rPr>
        <w:t>寮步镇原环卫二三片区清理“牛皮癣”考核评分标</w:t>
      </w:r>
      <w:r>
        <w:rPr>
          <w:rFonts w:hint="eastAsia" w:ascii="宋体" w:hAnsi="宋体" w:eastAsia="宋体" w:cs="Times New Roman"/>
          <w:color w:val="auto"/>
          <w:sz w:val="21"/>
          <w:szCs w:val="21"/>
          <w:highlight w:val="none"/>
          <w:lang w:val="en-US" w:eastAsia="zh-CN"/>
        </w:rPr>
        <w:t>准执行（详见附件一）。</w:t>
      </w:r>
    </w:p>
    <w:p>
      <w:pPr>
        <w:spacing w:after="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2、每月考核得分＝100分-（随机抽查扣分+定期检查扣分）</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（二）计分方式</w:t>
      </w:r>
    </w:p>
    <w:p>
      <w:pPr>
        <w:spacing w:after="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评分采用百分制：100—95分为优良达标（含95分）、94分至85分为合格（含85分）、85分以下为不合格，中标方每月管理应达到优良水平，考核分数低于95分，每减少一分扣当月合同价的2%。</w:t>
      </w:r>
    </w:p>
    <w:p>
      <w:pPr>
        <w:spacing w:after="0" w:line="360" w:lineRule="auto"/>
        <w:ind w:firstLine="420" w:firstLineChars="200"/>
        <w:rPr>
          <w:rFonts w:hint="eastAsia"/>
          <w:color w:val="auto"/>
          <w:highlight w:val="none"/>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连续三个月或在</w:t>
      </w:r>
      <w:r>
        <w:rPr>
          <w:rFonts w:hint="eastAsia" w:ascii="宋体" w:hAnsi="宋体" w:eastAsia="宋体" w:cs="Times New Roman"/>
          <w:color w:val="auto"/>
          <w:sz w:val="21"/>
          <w:szCs w:val="21"/>
          <w:highlight w:val="none"/>
          <w:lang w:eastAsia="zh-CN"/>
        </w:rPr>
        <w:t>服务期</w:t>
      </w:r>
      <w:r>
        <w:rPr>
          <w:rFonts w:hint="eastAsia" w:ascii="宋体" w:hAnsi="宋体" w:eastAsia="宋体" w:cs="Times New Roman"/>
          <w:color w:val="auto"/>
          <w:sz w:val="21"/>
          <w:szCs w:val="21"/>
          <w:highlight w:val="none"/>
        </w:rPr>
        <w:t>内累计五个月考核分值低于8</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分的，</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有权单方面终止合同。因此造成的损失，</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不负任何责任。</w:t>
      </w:r>
    </w:p>
    <w:p>
      <w:pPr>
        <w:spacing w:after="0" w:line="360" w:lineRule="auto"/>
        <w:ind w:firstLine="420" w:firstLineChars="200"/>
        <w:rPr>
          <w:rFonts w:hint="eastAsia"/>
          <w:color w:val="auto"/>
          <w:highlight w:val="none"/>
        </w:rPr>
      </w:pPr>
      <w:r>
        <w:rPr>
          <w:rFonts w:hint="eastAsia" w:ascii="宋体" w:hAnsi="宋体" w:eastAsia="宋体" w:cs="Times New Roman"/>
          <w:color w:val="auto"/>
          <w:sz w:val="21"/>
          <w:szCs w:val="21"/>
          <w:highlight w:val="none"/>
        </w:rPr>
        <w:t>详见</w:t>
      </w:r>
      <w:r>
        <w:rPr>
          <w:rFonts w:hint="eastAsia" w:ascii="宋体" w:hAnsi="宋体" w:eastAsia="宋体" w:cs="Times New Roman"/>
          <w:color w:val="auto"/>
          <w:sz w:val="21"/>
          <w:szCs w:val="21"/>
          <w:highlight w:val="none"/>
          <w:lang w:eastAsia="zh-CN"/>
        </w:rPr>
        <w:t>附件一</w:t>
      </w:r>
      <w:r>
        <w:rPr>
          <w:rFonts w:hint="eastAsia" w:ascii="宋体" w:hAnsi="宋体" w:eastAsia="宋体" w:cs="Times New Roman"/>
          <w:color w:val="auto"/>
          <w:sz w:val="21"/>
          <w:szCs w:val="21"/>
          <w:highlight w:val="none"/>
        </w:rPr>
        <w:t>《寮步镇原环卫二三片区清理“牛皮癣”考核评分标准》。招标人保留对上述标准的修改权和解释权。</w:t>
      </w:r>
    </w:p>
    <w:p>
      <w:pPr>
        <w:spacing w:after="0" w:line="360" w:lineRule="auto"/>
        <w:ind w:firstLine="420" w:firstLineChars="200"/>
        <w:rPr>
          <w:rFonts w:hint="eastAsia" w:ascii="宋体" w:hAnsi="宋体" w:eastAsia="宋体" w:cs="Times New Roman"/>
          <w:color w:val="auto"/>
          <w:sz w:val="21"/>
          <w:szCs w:val="21"/>
          <w:highlight w:val="none"/>
        </w:rPr>
      </w:pPr>
    </w:p>
    <w:p>
      <w:pPr>
        <w:pStyle w:val="5"/>
        <w:keepNext/>
        <w:keepLines/>
        <w:widowControl/>
        <w:numPr>
          <w:ilvl w:val="0"/>
          <w:numId w:val="0"/>
        </w:numPr>
        <w:wordWrap/>
        <w:adjustRightInd w:val="0"/>
        <w:snapToGrid w:val="0"/>
        <w:spacing w:after="0"/>
        <w:ind w:leftChars="0"/>
        <w:textAlignment w:val="auto"/>
        <w:rPr>
          <w:rFonts w:hint="eastAsia" w:eastAsia="宋体"/>
          <w:color w:val="auto"/>
          <w:highlight w:val="none"/>
          <w:lang w:eastAsia="zh-CN"/>
        </w:rPr>
      </w:pPr>
      <w:r>
        <w:rPr>
          <w:rFonts w:hint="eastAsia" w:eastAsia="宋体"/>
          <w:color w:val="auto"/>
          <w:highlight w:val="none"/>
          <w:lang w:val="en-US" w:eastAsia="zh-CN"/>
        </w:rPr>
        <w:t>四、</w:t>
      </w:r>
      <w:r>
        <w:rPr>
          <w:rFonts w:hint="eastAsia" w:eastAsia="宋体"/>
          <w:color w:val="auto"/>
          <w:highlight w:val="none"/>
          <w:lang w:eastAsia="zh-CN"/>
        </w:rPr>
        <w:t>★人员及设备配备要求</w:t>
      </w:r>
    </w:p>
    <w:p>
      <w:pPr>
        <w:spacing w:after="0" w:line="360" w:lineRule="auto"/>
        <w:ind w:firstLine="420" w:firstLineChars="200"/>
        <w:rPr>
          <w:rFonts w:hint="eastAsia"/>
          <w:color w:val="auto"/>
          <w:highlight w:val="none"/>
          <w:lang w:val="en-US" w:eastAsia="zh-CN"/>
        </w:rPr>
      </w:pPr>
      <w:r>
        <w:rPr>
          <w:rFonts w:hint="eastAsia" w:ascii="宋体" w:hAnsi="宋体" w:eastAsia="宋体" w:cs="Times New Roman"/>
          <w:color w:val="auto"/>
          <w:sz w:val="21"/>
          <w:szCs w:val="21"/>
          <w:highlight w:val="none"/>
        </w:rPr>
        <w:t>清理“牛皮癣”人员及工具安排：该服务项目需设立项目经理、现场主管、现场作业班长、作业人员及投入相应作业设备，中标单位投入人员不得小于</w:t>
      </w:r>
      <w:r>
        <w:rPr>
          <w:rFonts w:hint="eastAsia" w:ascii="宋体" w:hAnsi="宋体" w:eastAsia="宋体" w:cs="Times New Roman"/>
          <w:color w:val="auto"/>
          <w:sz w:val="21"/>
          <w:szCs w:val="21"/>
          <w:highlight w:val="none"/>
          <w:lang w:val="en-US" w:eastAsia="zh-CN"/>
        </w:rPr>
        <w:t>45</w:t>
      </w:r>
      <w:r>
        <w:rPr>
          <w:rFonts w:hint="eastAsia" w:ascii="宋体" w:hAnsi="宋体" w:eastAsia="宋体" w:cs="Times New Roman"/>
          <w:color w:val="auto"/>
          <w:sz w:val="21"/>
          <w:szCs w:val="21"/>
          <w:highlight w:val="none"/>
        </w:rPr>
        <w:t>人，每名管理人员及作业人员应配备巡查交通及清理“牛皮癣”工具。工具含全自动高压冲洗机11台、油漆喷涂机3台、移动升降平台3台、中型（5座）运输车3台、中型（5座）巡查车3台、小型机动（或电动）运输车13台、小型机动（或电动）巡查车7台</w:t>
      </w:r>
      <w:r>
        <w:rPr>
          <w:rFonts w:hint="eastAsia" w:ascii="宋体" w:hAnsi="宋体" w:eastAsia="宋体" w:cs="Times New Roman"/>
          <w:color w:val="auto"/>
          <w:sz w:val="21"/>
          <w:szCs w:val="21"/>
          <w:highlight w:val="none"/>
          <w:lang w:val="en-US" w:eastAsia="zh-CN"/>
        </w:rPr>
        <w:t>。</w:t>
      </w:r>
      <w:r>
        <w:rPr>
          <w:rFonts w:hint="eastAsia" w:ascii="宋体" w:hAnsi="宋体" w:eastAsia="宋体" w:cs="宋体"/>
          <w:color w:val="auto"/>
          <w:sz w:val="21"/>
          <w:szCs w:val="21"/>
          <w:highlight w:val="none"/>
        </w:rPr>
        <w:t>以上数据为合同规定数量，纳入每月评分。</w:t>
      </w:r>
      <w:r>
        <w:rPr>
          <w:rFonts w:hint="eastAsia" w:ascii="宋体" w:hAnsi="宋体" w:eastAsia="宋体" w:cs="Times New Roman"/>
          <w:color w:val="auto"/>
          <w:sz w:val="21"/>
          <w:szCs w:val="21"/>
          <w:highlight w:val="none"/>
          <w:lang w:val="en-US" w:eastAsia="zh-CN"/>
        </w:rPr>
        <w:t>投标人须承诺中标后一个月内配备齐全项目所需人员及设备。</w:t>
      </w:r>
    </w:p>
    <w:p>
      <w:pPr>
        <w:spacing w:after="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具体人员名单如下：</w:t>
      </w: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7"/>
        <w:gridCol w:w="2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02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职位名称</w:t>
            </w:r>
          </w:p>
        </w:tc>
        <w:tc>
          <w:tcPr>
            <w:tcW w:w="249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02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项目经理</w:t>
            </w:r>
          </w:p>
        </w:tc>
        <w:tc>
          <w:tcPr>
            <w:tcW w:w="249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02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项目现场主管</w:t>
            </w:r>
          </w:p>
        </w:tc>
        <w:tc>
          <w:tcPr>
            <w:tcW w:w="249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eastAsia="zh-CN"/>
              </w:rPr>
            </w:pPr>
            <w:r>
              <w:rPr>
                <w:rFonts w:hint="eastAsia" w:ascii="宋体" w:hAnsi="宋体" w:eastAsia="宋体" w:cs="Times New Roman"/>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02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现场作业班长</w:t>
            </w:r>
          </w:p>
        </w:tc>
        <w:tc>
          <w:tcPr>
            <w:tcW w:w="249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eastAsia="zh-CN"/>
              </w:rPr>
            </w:pPr>
            <w:r>
              <w:rPr>
                <w:rFonts w:hint="eastAsia" w:ascii="宋体" w:hAnsi="宋体" w:eastAsia="宋体" w:cs="Times New Roman"/>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02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现场作业人员</w:t>
            </w:r>
          </w:p>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（含司机、替换班人员）</w:t>
            </w:r>
          </w:p>
        </w:tc>
        <w:tc>
          <w:tcPr>
            <w:tcW w:w="249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02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专职巡防“牛皮癣”工作人员</w:t>
            </w:r>
          </w:p>
        </w:tc>
        <w:tc>
          <w:tcPr>
            <w:tcW w:w="249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02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总人数</w:t>
            </w:r>
          </w:p>
        </w:tc>
        <w:tc>
          <w:tcPr>
            <w:tcW w:w="249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wordWrap/>
              <w:adjustRightInd w:val="0"/>
              <w:snapToGrid w:val="0"/>
              <w:spacing w:after="0" w:line="240" w:lineRule="auto"/>
              <w:ind w:firstLine="0" w:firstLineChars="0"/>
              <w:jc w:val="center"/>
              <w:textAlignment w:val="auto"/>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45</w:t>
            </w:r>
          </w:p>
        </w:tc>
      </w:tr>
    </w:tbl>
    <w:p>
      <w:pPr>
        <w:spacing w:after="0" w:line="360" w:lineRule="auto"/>
        <w:ind w:firstLine="420" w:firstLineChars="200"/>
        <w:rPr>
          <w:rFonts w:hint="eastAsia" w:ascii="宋体" w:hAnsi="宋体" w:eastAsia="宋体" w:cs="Times New Roman"/>
          <w:color w:val="auto"/>
          <w:sz w:val="21"/>
          <w:szCs w:val="21"/>
          <w:highlight w:val="none"/>
          <w:lang w:val="en-US" w:eastAsia="zh-CN"/>
        </w:rPr>
      </w:pP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投标人必须提供一套详细的清理“牛皮癣”的工作方案，要求合理，符合实际，便于管理。</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投标人管理机构需有完善的管理制度、清晰的人员架构、有内部考核考评制度、运作流程职责分工及各项服务管理质量指标。</w:t>
      </w:r>
    </w:p>
    <w:p>
      <w:pPr>
        <w:spacing w:after="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注：以上人员、机械和设备的类型及数量仅供参考，最终以中标服务公司提供的服务方案为准，但中标服务方案的人员、机械和设备的类型及数量必需优于本配置方案。</w:t>
      </w:r>
    </w:p>
    <w:p>
      <w:pPr>
        <w:spacing w:after="0" w:line="360" w:lineRule="auto"/>
        <w:ind w:firstLine="420" w:firstLineChars="200"/>
        <w:rPr>
          <w:rFonts w:hint="eastAsia" w:ascii="宋体" w:hAnsi="宋体" w:eastAsia="宋体" w:cs="Times New Roman"/>
          <w:color w:val="auto"/>
          <w:sz w:val="21"/>
          <w:szCs w:val="21"/>
          <w:highlight w:val="none"/>
          <w:lang w:val="en-US" w:eastAsia="zh-CN"/>
        </w:rPr>
      </w:pPr>
    </w:p>
    <w:p>
      <w:pPr>
        <w:pStyle w:val="5"/>
        <w:keepNext/>
        <w:keepLines/>
        <w:widowControl/>
        <w:numPr>
          <w:ilvl w:val="0"/>
          <w:numId w:val="0"/>
        </w:numPr>
        <w:wordWrap/>
        <w:adjustRightInd w:val="0"/>
        <w:snapToGrid w:val="0"/>
        <w:spacing w:after="0"/>
        <w:ind w:leftChars="0"/>
        <w:textAlignment w:val="auto"/>
        <w:rPr>
          <w:rFonts w:hint="eastAsia" w:eastAsia="宋体"/>
          <w:color w:val="auto"/>
          <w:highlight w:val="none"/>
          <w:lang w:eastAsia="zh-CN"/>
        </w:rPr>
      </w:pPr>
      <w:r>
        <w:rPr>
          <w:rFonts w:hint="eastAsia" w:eastAsia="宋体"/>
          <w:color w:val="auto"/>
          <w:highlight w:val="none"/>
          <w:lang w:val="en-US" w:eastAsia="zh-CN"/>
        </w:rPr>
        <w:t>五、</w:t>
      </w:r>
      <w:r>
        <w:rPr>
          <w:rFonts w:hint="eastAsia" w:eastAsia="宋体"/>
          <w:color w:val="auto"/>
          <w:highlight w:val="none"/>
          <w:lang w:eastAsia="zh-CN"/>
        </w:rPr>
        <w:t>承包方责任及其他要求</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Times New Roman"/>
          <w:color w:val="auto"/>
          <w:sz w:val="21"/>
          <w:szCs w:val="21"/>
          <w:highlight w:val="none"/>
        </w:rPr>
        <w:t>应全天对承包范围内的“牛皮癣”进行清理，保持整洁。当发现有人张贴“牛皮癣”时应及时制止，</w:t>
      </w:r>
      <w:r>
        <w:rPr>
          <w:rFonts w:hint="eastAsia" w:ascii="宋体" w:hAnsi="宋体" w:eastAsia="宋体" w:cs="Times New Roman"/>
          <w:color w:val="auto"/>
          <w:sz w:val="21"/>
          <w:szCs w:val="21"/>
          <w:highlight w:val="none"/>
          <w:lang w:eastAsia="zh-CN"/>
        </w:rPr>
        <w:t>经劝阻无效的，</w:t>
      </w:r>
      <w:r>
        <w:rPr>
          <w:rFonts w:hint="eastAsia" w:ascii="宋体" w:hAnsi="宋体" w:eastAsia="宋体" w:cs="Times New Roman"/>
          <w:color w:val="auto"/>
          <w:sz w:val="21"/>
          <w:szCs w:val="21"/>
          <w:highlight w:val="none"/>
          <w:lang w:val="en-US" w:eastAsia="zh-CN"/>
        </w:rPr>
        <w:t>及时将相关情况反映至城管部门。</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）根据按</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临时指定任务或迎检所需要求对指定区域进行针对性不间断清理作业。</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）遇突发事件要无条件服从安排，并完成政府临时指定任务（包括各级领导检查工作）。</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）作业时要符合有关作业安全的标准、规定，穿戴好相应护具，落实各类的安全、防护措施，确保人员及财产的安全。</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）所有物品需按照规定摆放妥当，不可乱堆放，物品摆放位置严禁吸烟，禁止存放易燃、易爆及剧毒等危险品。</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）定期对员工进行安全生产教育，落实责任制，落实有关安全措施。</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）车辆行驶必须严格遵守交通规则。</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）路面作业人员必须统一穿着带反光标志和服务公司标志的工作服。</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）路面作业时必须落实警示标志及防护措施。</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）清扫斗车必须沿马路侧石或路边摆放，不得妨碍交通。</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11</w:t>
      </w:r>
      <w:r>
        <w:rPr>
          <w:rFonts w:hint="eastAsia" w:ascii="宋体" w:hAnsi="宋体" w:eastAsia="宋体" w:cs="Times New Roman"/>
          <w:color w:val="auto"/>
          <w:sz w:val="21"/>
          <w:szCs w:val="21"/>
          <w:highlight w:val="none"/>
        </w:rPr>
        <w:t>）必须密切掌握车辆的性能状况，及时维修，杜绝事故隐患。</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）做好车辆年审、购买保险等相关工作。</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）落实防火措施，配足性能良好的消防器材。</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）落实安全用电措施，不得乱拉、乱挂、乱接电线，不使用非生产性大功率电器，不得超线路负载使用电器。</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）发生安全生产事故的，要在24小时内上报。</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16</w:t>
      </w:r>
      <w:r>
        <w:rPr>
          <w:rFonts w:hint="eastAsia" w:ascii="宋体" w:hAnsi="宋体" w:eastAsia="宋体" w:cs="Times New Roman"/>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Times New Roman"/>
          <w:color w:val="auto"/>
          <w:sz w:val="21"/>
          <w:szCs w:val="21"/>
          <w:highlight w:val="none"/>
        </w:rPr>
        <w:t>必须接受</w:t>
      </w:r>
      <w:r>
        <w:rPr>
          <w:rFonts w:hint="eastAsia" w:ascii="宋体" w:hAnsi="宋体" w:eastAsia="宋体" w:cs="宋体"/>
          <w:color w:val="auto"/>
          <w:sz w:val="21"/>
          <w:szCs w:val="21"/>
          <w:highlight w:val="none"/>
          <w:lang w:eastAsia="zh-CN"/>
        </w:rPr>
        <w:t>采购人</w:t>
      </w:r>
      <w:r>
        <w:rPr>
          <w:rFonts w:hint="eastAsia" w:ascii="宋体" w:hAnsi="宋体" w:eastAsia="宋体" w:cs="Times New Roman"/>
          <w:color w:val="auto"/>
          <w:sz w:val="21"/>
          <w:szCs w:val="21"/>
          <w:highlight w:val="none"/>
        </w:rPr>
        <w:t>的监督检查和工作指导。</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17</w:t>
      </w:r>
      <w:r>
        <w:rPr>
          <w:rFonts w:hint="eastAsia" w:ascii="宋体" w:hAnsi="宋体" w:eastAsia="宋体" w:cs="Times New Roman"/>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Times New Roman"/>
          <w:color w:val="auto"/>
          <w:sz w:val="21"/>
          <w:szCs w:val="21"/>
          <w:highlight w:val="none"/>
        </w:rPr>
        <w:t>在</w:t>
      </w:r>
      <w:r>
        <w:rPr>
          <w:rFonts w:hint="eastAsia" w:ascii="宋体" w:hAnsi="宋体" w:eastAsia="宋体" w:cs="宋体"/>
          <w:color w:val="auto"/>
          <w:sz w:val="21"/>
          <w:szCs w:val="21"/>
          <w:highlight w:val="none"/>
          <w:lang w:eastAsia="zh-CN"/>
        </w:rPr>
        <w:t>服务</w:t>
      </w:r>
      <w:r>
        <w:rPr>
          <w:rFonts w:hint="eastAsia" w:ascii="宋体" w:hAnsi="宋体" w:eastAsia="宋体" w:cs="Times New Roman"/>
          <w:color w:val="auto"/>
          <w:sz w:val="21"/>
          <w:szCs w:val="21"/>
          <w:highlight w:val="none"/>
        </w:rPr>
        <w:t>期间必须落实安全操作和交通安全措施，</w:t>
      </w:r>
      <w:r>
        <w:rPr>
          <w:rFonts w:hint="eastAsia" w:ascii="宋体" w:hAnsi="宋体" w:eastAsia="宋体" w:cs="宋体"/>
          <w:color w:val="auto"/>
          <w:sz w:val="21"/>
          <w:szCs w:val="21"/>
          <w:highlight w:val="none"/>
          <w:lang w:eastAsia="zh-CN"/>
        </w:rPr>
        <w:t>中标人</w:t>
      </w:r>
      <w:r>
        <w:rPr>
          <w:rFonts w:hint="eastAsia" w:ascii="宋体" w:hAnsi="宋体" w:eastAsia="宋体" w:cs="Times New Roman"/>
          <w:color w:val="auto"/>
          <w:sz w:val="21"/>
          <w:szCs w:val="21"/>
          <w:highlight w:val="none"/>
        </w:rPr>
        <w:t>员工在工作过程中如发生任何意外或违反法律法规的行为，一切责任及造成的损失由</w:t>
      </w:r>
      <w:r>
        <w:rPr>
          <w:rFonts w:hint="eastAsia" w:ascii="宋体" w:hAnsi="宋体" w:eastAsia="宋体" w:cs="宋体"/>
          <w:color w:val="auto"/>
          <w:sz w:val="21"/>
          <w:szCs w:val="21"/>
          <w:highlight w:val="none"/>
          <w:lang w:eastAsia="zh-CN"/>
        </w:rPr>
        <w:t>中标人</w:t>
      </w:r>
      <w:r>
        <w:rPr>
          <w:rFonts w:hint="eastAsia" w:ascii="宋体" w:hAnsi="宋体" w:eastAsia="宋体" w:cs="Times New Roman"/>
          <w:color w:val="auto"/>
          <w:sz w:val="21"/>
          <w:szCs w:val="21"/>
          <w:highlight w:val="none"/>
        </w:rPr>
        <w:t>自行负责，与</w:t>
      </w:r>
      <w:r>
        <w:rPr>
          <w:rFonts w:hint="eastAsia" w:ascii="宋体" w:hAnsi="宋体" w:eastAsia="宋体" w:cs="宋体"/>
          <w:color w:val="auto"/>
          <w:sz w:val="21"/>
          <w:szCs w:val="21"/>
          <w:highlight w:val="none"/>
          <w:lang w:eastAsia="zh-CN"/>
        </w:rPr>
        <w:t>采购人</w:t>
      </w:r>
      <w:r>
        <w:rPr>
          <w:rFonts w:hint="eastAsia" w:ascii="宋体" w:hAnsi="宋体" w:eastAsia="宋体" w:cs="Times New Roman"/>
          <w:color w:val="auto"/>
          <w:sz w:val="21"/>
          <w:szCs w:val="21"/>
          <w:highlight w:val="none"/>
        </w:rPr>
        <w:t>无关。同时，</w:t>
      </w:r>
      <w:r>
        <w:rPr>
          <w:rFonts w:hint="eastAsia" w:ascii="宋体" w:hAnsi="宋体" w:eastAsia="宋体" w:cs="宋体"/>
          <w:color w:val="auto"/>
          <w:sz w:val="21"/>
          <w:szCs w:val="21"/>
          <w:highlight w:val="none"/>
          <w:lang w:eastAsia="zh-CN"/>
        </w:rPr>
        <w:t>中标人</w:t>
      </w:r>
      <w:r>
        <w:rPr>
          <w:rFonts w:hint="eastAsia" w:ascii="宋体" w:hAnsi="宋体" w:eastAsia="宋体" w:cs="Times New Roman"/>
          <w:color w:val="auto"/>
          <w:sz w:val="21"/>
          <w:szCs w:val="21"/>
          <w:highlight w:val="none"/>
        </w:rPr>
        <w:t>在工作过程中不得破坏相关设施，如对相关设施造成损害由</w:t>
      </w:r>
      <w:r>
        <w:rPr>
          <w:rFonts w:hint="eastAsia" w:ascii="宋体" w:hAnsi="宋体" w:eastAsia="宋体" w:cs="宋体"/>
          <w:color w:val="auto"/>
          <w:sz w:val="21"/>
          <w:szCs w:val="21"/>
          <w:highlight w:val="none"/>
          <w:lang w:eastAsia="zh-CN"/>
        </w:rPr>
        <w:t>中标人</w:t>
      </w:r>
      <w:r>
        <w:rPr>
          <w:rFonts w:hint="eastAsia" w:ascii="宋体" w:hAnsi="宋体" w:eastAsia="宋体" w:cs="Times New Roman"/>
          <w:color w:val="auto"/>
          <w:sz w:val="21"/>
          <w:szCs w:val="21"/>
          <w:highlight w:val="none"/>
        </w:rPr>
        <w:t>照价赔偿。</w:t>
      </w:r>
      <w:r>
        <w:rPr>
          <w:rFonts w:hint="eastAsia" w:ascii="宋体" w:hAnsi="宋体" w:eastAsia="宋体" w:cs="宋体"/>
          <w:color w:val="auto"/>
          <w:sz w:val="21"/>
          <w:szCs w:val="21"/>
          <w:highlight w:val="none"/>
          <w:lang w:eastAsia="zh-CN"/>
        </w:rPr>
        <w:t>服务期</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必须文明作业。</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18</w:t>
      </w:r>
      <w:r>
        <w:rPr>
          <w:rFonts w:hint="eastAsia" w:ascii="宋体" w:hAnsi="宋体" w:eastAsia="宋体" w:cs="Times New Roman"/>
          <w:color w:val="auto"/>
          <w:sz w:val="21"/>
          <w:szCs w:val="21"/>
          <w:highlight w:val="none"/>
        </w:rPr>
        <w:t>）如遇上级检查和重大节假日等特殊情况，</w:t>
      </w:r>
      <w:r>
        <w:rPr>
          <w:rFonts w:hint="eastAsia" w:ascii="宋体" w:hAnsi="宋体" w:eastAsia="宋体" w:cs="宋体"/>
          <w:color w:val="auto"/>
          <w:sz w:val="21"/>
          <w:szCs w:val="21"/>
          <w:highlight w:val="none"/>
          <w:lang w:eastAsia="zh-CN"/>
        </w:rPr>
        <w:t>中标人</w:t>
      </w:r>
      <w:r>
        <w:rPr>
          <w:rFonts w:hint="eastAsia" w:ascii="宋体" w:hAnsi="宋体" w:eastAsia="宋体" w:cs="Times New Roman"/>
          <w:color w:val="auto"/>
          <w:sz w:val="21"/>
          <w:szCs w:val="21"/>
          <w:highlight w:val="none"/>
        </w:rPr>
        <w:t>必须提前检查和清理“牛皮癣”，加强保洁，确保清洁率达95%以上。</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19</w:t>
      </w:r>
      <w:r>
        <w:rPr>
          <w:rFonts w:hint="eastAsia" w:ascii="宋体" w:hAnsi="宋体" w:eastAsia="宋体" w:cs="Times New Roman"/>
          <w:color w:val="auto"/>
          <w:sz w:val="21"/>
          <w:szCs w:val="21"/>
          <w:highlight w:val="none"/>
        </w:rPr>
        <w:t>）“牛皮癣”清理后产生的垃圾必须及时清走，不得将垃圾留在路面或倒入下水道、绿化带等地段。</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20</w:t>
      </w:r>
      <w:r>
        <w:rPr>
          <w:rFonts w:hint="eastAsia" w:ascii="宋体" w:hAnsi="宋体" w:eastAsia="宋体" w:cs="Times New Roman"/>
          <w:color w:val="auto"/>
          <w:sz w:val="21"/>
          <w:szCs w:val="21"/>
          <w:highlight w:val="none"/>
        </w:rPr>
        <w:t>）“牛皮癣”清理工作人员必须统一穿着工作服，并佩戴统一的工作证上岗作业。</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21</w:t>
      </w:r>
      <w:r>
        <w:rPr>
          <w:rFonts w:hint="eastAsia" w:ascii="宋体" w:hAnsi="宋体" w:eastAsia="宋体" w:cs="Times New Roman"/>
          <w:color w:val="auto"/>
          <w:sz w:val="21"/>
          <w:szCs w:val="21"/>
          <w:highlight w:val="none"/>
        </w:rPr>
        <w:t>）严禁分包与转包，未经</w:t>
      </w:r>
      <w:r>
        <w:rPr>
          <w:rFonts w:hint="eastAsia" w:ascii="宋体" w:hAnsi="宋体" w:eastAsia="宋体" w:cs="宋体"/>
          <w:color w:val="auto"/>
          <w:sz w:val="21"/>
          <w:szCs w:val="21"/>
          <w:highlight w:val="none"/>
          <w:lang w:eastAsia="zh-CN"/>
        </w:rPr>
        <w:t>采购人</w:t>
      </w:r>
      <w:r>
        <w:rPr>
          <w:rFonts w:hint="eastAsia" w:ascii="宋体" w:hAnsi="宋体" w:eastAsia="宋体" w:cs="Times New Roman"/>
          <w:color w:val="auto"/>
          <w:sz w:val="21"/>
          <w:szCs w:val="21"/>
          <w:highlight w:val="none"/>
        </w:rPr>
        <w:t>同意，严禁分包与转包，否则</w:t>
      </w:r>
      <w:r>
        <w:rPr>
          <w:rFonts w:hint="eastAsia" w:ascii="宋体" w:hAnsi="宋体" w:eastAsia="宋体" w:cs="宋体"/>
          <w:color w:val="auto"/>
          <w:sz w:val="21"/>
          <w:szCs w:val="21"/>
          <w:highlight w:val="none"/>
          <w:lang w:eastAsia="zh-CN"/>
        </w:rPr>
        <w:t>采购人</w:t>
      </w:r>
      <w:r>
        <w:rPr>
          <w:rFonts w:hint="eastAsia" w:ascii="宋体" w:hAnsi="宋体" w:eastAsia="宋体" w:cs="Times New Roman"/>
          <w:color w:val="auto"/>
          <w:sz w:val="21"/>
          <w:szCs w:val="21"/>
          <w:highlight w:val="none"/>
        </w:rPr>
        <w:t>可单方</w:t>
      </w:r>
      <w:r>
        <w:rPr>
          <w:rFonts w:hint="eastAsia" w:ascii="宋体" w:hAnsi="宋体" w:eastAsia="宋体" w:cs="Times New Roman"/>
          <w:color w:val="auto"/>
          <w:sz w:val="21"/>
          <w:szCs w:val="21"/>
          <w:highlight w:val="none"/>
          <w:lang w:eastAsia="zh-CN"/>
        </w:rPr>
        <w:t>解除</w:t>
      </w:r>
      <w:r>
        <w:rPr>
          <w:rFonts w:hint="eastAsia" w:ascii="宋体" w:hAnsi="宋体" w:eastAsia="宋体" w:cs="Times New Roman"/>
          <w:color w:val="auto"/>
          <w:sz w:val="21"/>
          <w:szCs w:val="21"/>
          <w:highlight w:val="none"/>
        </w:rPr>
        <w:t>合同，因此造成的损失</w:t>
      </w:r>
      <w:r>
        <w:rPr>
          <w:rFonts w:hint="eastAsia" w:ascii="宋体" w:hAnsi="宋体" w:eastAsia="宋体" w:cs="Times New Roman"/>
          <w:color w:val="auto"/>
          <w:sz w:val="21"/>
          <w:szCs w:val="21"/>
          <w:highlight w:val="none"/>
          <w:lang w:eastAsia="zh-CN"/>
        </w:rPr>
        <w:t>由</w:t>
      </w:r>
      <w:r>
        <w:rPr>
          <w:rFonts w:hint="eastAsia" w:ascii="宋体" w:hAnsi="宋体" w:eastAsia="宋体" w:cs="宋体"/>
          <w:color w:val="auto"/>
          <w:sz w:val="21"/>
          <w:szCs w:val="21"/>
          <w:highlight w:val="none"/>
          <w:lang w:eastAsia="zh-CN"/>
        </w:rPr>
        <w:t>中标人</w:t>
      </w:r>
      <w:r>
        <w:rPr>
          <w:rFonts w:hint="eastAsia" w:ascii="宋体" w:hAnsi="宋体" w:eastAsia="宋体" w:cs="Times New Roman"/>
          <w:color w:val="auto"/>
          <w:sz w:val="21"/>
          <w:szCs w:val="21"/>
          <w:highlight w:val="none"/>
        </w:rPr>
        <w:t>自行承担，</w:t>
      </w:r>
      <w:r>
        <w:rPr>
          <w:rFonts w:hint="eastAsia" w:ascii="宋体" w:hAnsi="宋体" w:eastAsia="宋体" w:cs="宋体"/>
          <w:color w:val="auto"/>
          <w:sz w:val="21"/>
          <w:szCs w:val="21"/>
          <w:highlight w:val="none"/>
          <w:lang w:eastAsia="zh-CN"/>
        </w:rPr>
        <w:t>采购人</w:t>
      </w:r>
      <w:r>
        <w:rPr>
          <w:rFonts w:hint="eastAsia" w:ascii="宋体" w:hAnsi="宋体" w:eastAsia="宋体" w:cs="Times New Roman"/>
          <w:color w:val="auto"/>
          <w:sz w:val="21"/>
          <w:szCs w:val="21"/>
          <w:highlight w:val="none"/>
        </w:rPr>
        <w:t>不负任何责任。同时</w:t>
      </w:r>
      <w:r>
        <w:rPr>
          <w:rFonts w:hint="eastAsia" w:ascii="宋体" w:hAnsi="宋体" w:eastAsia="宋体" w:cs="宋体"/>
          <w:color w:val="auto"/>
          <w:sz w:val="21"/>
          <w:szCs w:val="21"/>
          <w:highlight w:val="none"/>
          <w:lang w:eastAsia="zh-CN"/>
        </w:rPr>
        <w:t>采购人</w:t>
      </w:r>
      <w:r>
        <w:rPr>
          <w:rFonts w:hint="eastAsia" w:ascii="宋体" w:hAnsi="宋体" w:eastAsia="宋体" w:cs="Times New Roman"/>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Times New Roman"/>
          <w:color w:val="auto"/>
          <w:sz w:val="21"/>
          <w:szCs w:val="21"/>
          <w:highlight w:val="none"/>
        </w:rPr>
        <w:t>支付相当于</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年总</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款</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%的违约金。</w:t>
      </w:r>
    </w:p>
    <w:p>
      <w:pPr>
        <w:spacing w:after="0" w:line="360" w:lineRule="auto"/>
        <w:ind w:firstLine="420" w:firstLineChars="200"/>
        <w:rPr>
          <w:rFonts w:hint="eastAsia" w:ascii="宋体" w:hAnsi="宋体" w:eastAsia="宋体" w:cs="Times New Roman"/>
          <w:color w:val="auto"/>
          <w:sz w:val="21"/>
          <w:szCs w:val="21"/>
          <w:highlight w:val="none"/>
        </w:rPr>
      </w:pPr>
    </w:p>
    <w:p>
      <w:pPr>
        <w:rPr>
          <w:rFonts w:hint="eastAsia"/>
          <w:color w:val="auto"/>
          <w:highlight w:val="none"/>
        </w:rPr>
      </w:pPr>
    </w:p>
    <w:p>
      <w:pPr>
        <w:spacing w:after="0" w:line="360" w:lineRule="auto"/>
        <w:ind w:firstLine="422" w:firstLineChars="20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p>
    <w:p>
      <w:pPr>
        <w:jc w:val="center"/>
        <w:rPr>
          <w:color w:val="auto"/>
          <w:highlight w:val="none"/>
        </w:rPr>
      </w:pPr>
      <w:r>
        <w:rPr>
          <w:color w:val="auto"/>
          <w:highlight w:val="none"/>
        </w:rPr>
        <w:br w:type="page"/>
      </w:r>
    </w:p>
    <w:p>
      <w:pPr>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附件一：</w:t>
      </w:r>
    </w:p>
    <w:p>
      <w:pPr>
        <w:jc w:val="cente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寮步镇原环卫二三片区清理“牛皮癣”考核评分标准</w:t>
      </w:r>
    </w:p>
    <w:p>
      <w:pPr>
        <w:jc w:val="center"/>
        <w:rPr>
          <w:rFonts w:hint="eastAsia"/>
          <w:color w:val="auto"/>
          <w:highlight w:val="none"/>
        </w:rPr>
      </w:pPr>
      <w:r>
        <w:rPr>
          <w:rFonts w:hint="eastAsia" w:ascii="仿宋" w:hAnsi="仿宋" w:eastAsia="仿宋" w:cs="黑体"/>
          <w:color w:val="auto"/>
          <w:sz w:val="26"/>
          <w:szCs w:val="26"/>
          <w:highlight w:val="none"/>
          <w:lang w:eastAsia="zh-CN"/>
        </w:rPr>
        <w:t>制表</w:t>
      </w:r>
      <w:r>
        <w:rPr>
          <w:rFonts w:hint="eastAsia" w:ascii="仿宋" w:hAnsi="仿宋" w:eastAsia="仿宋" w:cs="黑体"/>
          <w:color w:val="auto"/>
          <w:sz w:val="26"/>
          <w:szCs w:val="26"/>
          <w:highlight w:val="none"/>
        </w:rPr>
        <w:t>单位：寮步城市</w:t>
      </w:r>
      <w:r>
        <w:rPr>
          <w:rFonts w:hint="eastAsia" w:ascii="仿宋" w:hAnsi="仿宋" w:eastAsia="仿宋" w:cs="黑体"/>
          <w:color w:val="auto"/>
          <w:sz w:val="26"/>
          <w:szCs w:val="26"/>
          <w:highlight w:val="none"/>
          <w:lang w:eastAsia="zh-CN"/>
        </w:rPr>
        <w:t>管理和综合执法</w:t>
      </w:r>
      <w:r>
        <w:rPr>
          <w:rFonts w:hint="eastAsia" w:ascii="仿宋" w:hAnsi="仿宋" w:eastAsia="仿宋" w:cs="黑体"/>
          <w:color w:val="auto"/>
          <w:sz w:val="26"/>
          <w:szCs w:val="26"/>
          <w:highlight w:val="none"/>
        </w:rPr>
        <w:t>分局</w:t>
      </w:r>
      <w:r>
        <w:rPr>
          <w:rFonts w:ascii="仿宋" w:hAnsi="仿宋" w:eastAsia="仿宋" w:cs="黑体"/>
          <w:color w:val="auto"/>
          <w:sz w:val="26"/>
          <w:szCs w:val="26"/>
          <w:highlight w:val="none"/>
        </w:rPr>
        <w:t xml:space="preserve">    </w:t>
      </w:r>
      <w:r>
        <w:rPr>
          <w:rFonts w:hint="eastAsia" w:ascii="仿宋" w:hAnsi="仿宋" w:eastAsia="仿宋" w:cs="黑体"/>
          <w:color w:val="auto"/>
          <w:sz w:val="26"/>
          <w:szCs w:val="26"/>
          <w:highlight w:val="none"/>
          <w:lang w:eastAsia="zh-CN"/>
        </w:rPr>
        <w:t>制表</w:t>
      </w:r>
      <w:r>
        <w:rPr>
          <w:rFonts w:hint="eastAsia" w:ascii="仿宋" w:hAnsi="仿宋" w:eastAsia="仿宋" w:cs="黑体"/>
          <w:color w:val="auto"/>
          <w:sz w:val="26"/>
          <w:szCs w:val="26"/>
          <w:highlight w:val="none"/>
        </w:rPr>
        <w:t>日期：</w:t>
      </w:r>
      <w:r>
        <w:rPr>
          <w:rFonts w:ascii="仿宋" w:hAnsi="仿宋" w:eastAsia="仿宋" w:cs="黑体"/>
          <w:color w:val="auto"/>
          <w:sz w:val="26"/>
          <w:szCs w:val="26"/>
          <w:highlight w:val="none"/>
        </w:rPr>
        <w:t xml:space="preserve">   </w:t>
      </w:r>
      <w:r>
        <w:rPr>
          <w:rFonts w:hint="eastAsia" w:ascii="仿宋" w:hAnsi="仿宋" w:eastAsia="仿宋" w:cs="黑体"/>
          <w:color w:val="auto"/>
          <w:sz w:val="26"/>
          <w:szCs w:val="26"/>
          <w:highlight w:val="none"/>
        </w:rPr>
        <w:t>年</w:t>
      </w:r>
      <w:r>
        <w:rPr>
          <w:rFonts w:ascii="仿宋" w:hAnsi="仿宋" w:eastAsia="仿宋" w:cs="黑体"/>
          <w:color w:val="auto"/>
          <w:sz w:val="26"/>
          <w:szCs w:val="26"/>
          <w:highlight w:val="none"/>
        </w:rPr>
        <w:t xml:space="preserve">  </w:t>
      </w:r>
      <w:r>
        <w:rPr>
          <w:rFonts w:hint="eastAsia" w:ascii="仿宋" w:hAnsi="仿宋" w:eastAsia="仿宋" w:cs="黑体"/>
          <w:color w:val="auto"/>
          <w:sz w:val="26"/>
          <w:szCs w:val="26"/>
          <w:highlight w:val="none"/>
        </w:rPr>
        <w:t>月</w:t>
      </w:r>
      <w:r>
        <w:rPr>
          <w:rFonts w:ascii="仿宋" w:hAnsi="仿宋" w:eastAsia="仿宋" w:cs="黑体"/>
          <w:color w:val="auto"/>
          <w:sz w:val="26"/>
          <w:szCs w:val="26"/>
          <w:highlight w:val="none"/>
        </w:rPr>
        <w:t xml:space="preserve"> </w:t>
      </w:r>
      <w:r>
        <w:rPr>
          <w:rFonts w:hint="eastAsia" w:ascii="仿宋" w:hAnsi="仿宋" w:eastAsia="仿宋" w:cs="黑体"/>
          <w:color w:val="auto"/>
          <w:sz w:val="26"/>
          <w:szCs w:val="26"/>
          <w:highlight w:val="none"/>
        </w:rPr>
        <w:t>日</w:t>
      </w:r>
    </w:p>
    <w:tbl>
      <w:tblPr>
        <w:tblStyle w:val="1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37"/>
        <w:gridCol w:w="3825"/>
        <w:gridCol w:w="626"/>
        <w:gridCol w:w="646"/>
        <w:gridCol w:w="6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6"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37"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3825"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考核内容及评分标准</w:t>
            </w:r>
          </w:p>
        </w:tc>
        <w:tc>
          <w:tcPr>
            <w:tcW w:w="626"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46"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w:t>
            </w:r>
          </w:p>
        </w:tc>
        <w:tc>
          <w:tcPr>
            <w:tcW w:w="675"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得分</w:t>
            </w:r>
          </w:p>
        </w:tc>
        <w:tc>
          <w:tcPr>
            <w:tcW w:w="885"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26"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7"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人员设备配置（10分）</w:t>
            </w: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未按照合同规定配置设备和人员数量的，每缺少1台或1人，扣1分；缺2台或2人，扣2分，以此类推，扣完为止。</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无穿着统一工作服不计入清理人员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26" w:type="dxa"/>
            <w:vMerge w:val="continue"/>
            <w:vAlign w:val="top"/>
          </w:tcPr>
          <w:p>
            <w:pPr>
              <w:jc w:val="center"/>
              <w:rPr>
                <w:rFonts w:hint="eastAsia" w:ascii="宋体" w:hAnsi="宋体" w:eastAsia="宋体" w:cs="宋体"/>
                <w:color w:val="auto"/>
                <w:sz w:val="21"/>
                <w:szCs w:val="21"/>
                <w:highlight w:val="none"/>
              </w:rPr>
            </w:pPr>
          </w:p>
        </w:tc>
        <w:tc>
          <w:tcPr>
            <w:tcW w:w="1137" w:type="dxa"/>
            <w:vMerge w:val="continue"/>
            <w:vAlign w:val="center"/>
          </w:tcPr>
          <w:p>
            <w:pPr>
              <w:jc w:val="center"/>
              <w:rPr>
                <w:rFonts w:hint="eastAsia" w:ascii="宋体" w:hAnsi="宋体" w:eastAsia="宋体" w:cs="宋体"/>
                <w:color w:val="auto"/>
                <w:sz w:val="21"/>
                <w:szCs w:val="21"/>
                <w:highlight w:val="none"/>
              </w:rPr>
            </w:pP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清理人员未按照要求统一穿着工作服或佩戴统一工作证上岗的，每发现一人次扣1分，扣完为止，情节严重的建议承包人予以解聘。</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日常巡查情况（10分）</w:t>
            </w: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主干道及</w:t>
            </w:r>
            <w:r>
              <w:rPr>
                <w:rFonts w:hint="eastAsia" w:ascii="宋体" w:hAnsi="宋体" w:eastAsia="宋体" w:cs="宋体"/>
                <w:color w:val="auto"/>
                <w:sz w:val="21"/>
                <w:szCs w:val="21"/>
                <w:highlight w:val="none"/>
                <w:lang w:eastAsia="zh-CN"/>
              </w:rPr>
              <w:t>重点</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eastAsia="zh-CN"/>
              </w:rPr>
              <w:t>域</w:t>
            </w:r>
            <w:r>
              <w:rPr>
                <w:rFonts w:hint="eastAsia" w:ascii="宋体" w:hAnsi="宋体" w:eastAsia="宋体" w:cs="宋体"/>
                <w:color w:val="auto"/>
                <w:sz w:val="21"/>
                <w:szCs w:val="21"/>
                <w:highlight w:val="none"/>
              </w:rPr>
              <w:t>的巡查每天不少于2次，巡查发现有“牛皮癣”必须及时清理。若见不到巡查人员</w:t>
            </w:r>
            <w:r>
              <w:rPr>
                <w:rFonts w:hint="eastAsia" w:ascii="宋体" w:hAnsi="宋体" w:eastAsia="宋体" w:cs="宋体"/>
                <w:b w:val="0"/>
                <w:bCs w:val="0"/>
                <w:color w:val="auto"/>
                <w:kern w:val="0"/>
                <w:sz w:val="21"/>
                <w:szCs w:val="21"/>
                <w:highlight w:val="none"/>
              </w:rPr>
              <w:t>或作业人员，</w:t>
            </w:r>
            <w:r>
              <w:rPr>
                <w:rFonts w:hint="eastAsia" w:ascii="宋体" w:hAnsi="宋体" w:eastAsia="宋体" w:cs="宋体"/>
                <w:color w:val="auto"/>
                <w:sz w:val="21"/>
                <w:szCs w:val="21"/>
                <w:highlight w:val="none"/>
              </w:rPr>
              <w:t>每发现一次扣1分。</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26"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7"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日常“去癣”工作（35分）</w:t>
            </w: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各主干道以及主要街道第一排建筑物和构筑物等“牛皮癣”没有及时清理的，每发现一张“牛皮癣”扣0.2分，其他范围的每处扣0.1分。</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6" w:type="dxa"/>
            <w:vMerge w:val="continue"/>
            <w:vAlign w:val="top"/>
          </w:tcPr>
          <w:p>
            <w:pPr>
              <w:rPr>
                <w:rFonts w:hint="eastAsia" w:ascii="宋体" w:hAnsi="宋体" w:eastAsia="宋体" w:cs="宋体"/>
                <w:color w:val="auto"/>
                <w:sz w:val="21"/>
                <w:szCs w:val="21"/>
                <w:highlight w:val="none"/>
              </w:rPr>
            </w:pPr>
          </w:p>
        </w:tc>
        <w:tc>
          <w:tcPr>
            <w:tcW w:w="1137" w:type="dxa"/>
            <w:vMerge w:val="continue"/>
            <w:vAlign w:val="center"/>
          </w:tcPr>
          <w:p>
            <w:pPr>
              <w:rPr>
                <w:rFonts w:hint="eastAsia" w:ascii="宋体" w:hAnsi="宋体" w:eastAsia="宋体" w:cs="宋体"/>
                <w:color w:val="auto"/>
                <w:sz w:val="21"/>
                <w:szCs w:val="21"/>
                <w:highlight w:val="none"/>
              </w:rPr>
            </w:pP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在清理“牛皮癣”作业时造成路面污染未及时清扫的每处扣0.5分。</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0" w:hRule="atLeast"/>
          <w:jc w:val="center"/>
        </w:trPr>
        <w:tc>
          <w:tcPr>
            <w:tcW w:w="726" w:type="dxa"/>
            <w:vMerge w:val="continue"/>
            <w:vAlign w:val="top"/>
          </w:tcPr>
          <w:p>
            <w:pPr>
              <w:rPr>
                <w:rFonts w:hint="eastAsia" w:ascii="宋体" w:hAnsi="宋体" w:eastAsia="宋体" w:cs="宋体"/>
                <w:color w:val="auto"/>
                <w:sz w:val="21"/>
                <w:szCs w:val="21"/>
                <w:highlight w:val="none"/>
              </w:rPr>
            </w:pPr>
          </w:p>
        </w:tc>
        <w:tc>
          <w:tcPr>
            <w:tcW w:w="1137" w:type="dxa"/>
            <w:vMerge w:val="continue"/>
            <w:vAlign w:val="center"/>
          </w:tcPr>
          <w:p>
            <w:pPr>
              <w:rPr>
                <w:rFonts w:hint="eastAsia" w:ascii="宋体" w:hAnsi="宋体" w:eastAsia="宋体" w:cs="宋体"/>
                <w:color w:val="auto"/>
                <w:sz w:val="21"/>
                <w:szCs w:val="21"/>
                <w:highlight w:val="none"/>
              </w:rPr>
            </w:pP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在清理“牛皮癣”作业时，造成建筑物、构筑物、管线及其他市政公用设施损坏，未及时采取相应补救措施恢复原貌的，每处扣1分。情节严重的应给予合理赔偿。</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26" w:type="dxa"/>
            <w:vMerge w:val="continue"/>
            <w:vAlign w:val="top"/>
          </w:tcPr>
          <w:p>
            <w:pPr>
              <w:rPr>
                <w:rFonts w:hint="eastAsia" w:ascii="宋体" w:hAnsi="宋体" w:eastAsia="宋体" w:cs="宋体"/>
                <w:color w:val="auto"/>
                <w:spacing w:val="-8"/>
                <w:sz w:val="21"/>
                <w:szCs w:val="21"/>
                <w:highlight w:val="none"/>
              </w:rPr>
            </w:pPr>
          </w:p>
        </w:tc>
        <w:tc>
          <w:tcPr>
            <w:tcW w:w="1137" w:type="dxa"/>
            <w:vMerge w:val="continue"/>
            <w:vAlign w:val="center"/>
          </w:tcPr>
          <w:p>
            <w:pPr>
              <w:rPr>
                <w:rFonts w:hint="eastAsia" w:ascii="宋体" w:hAnsi="宋体" w:eastAsia="宋体" w:cs="宋体"/>
                <w:color w:val="auto"/>
                <w:spacing w:val="-8"/>
                <w:sz w:val="21"/>
                <w:szCs w:val="21"/>
                <w:highlight w:val="none"/>
              </w:rPr>
            </w:pP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对张贴式的城市“牛皮癣”，清理后遗留超过原张贴面积20%痕迹的每处扣0.2分。</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26" w:type="dxa"/>
            <w:vMerge w:val="continue"/>
            <w:vAlign w:val="center"/>
          </w:tcPr>
          <w:p>
            <w:pPr>
              <w:jc w:val="center"/>
              <w:rPr>
                <w:rFonts w:hint="eastAsia" w:ascii="宋体" w:hAnsi="宋体" w:eastAsia="宋体" w:cs="宋体"/>
                <w:color w:val="auto"/>
                <w:sz w:val="21"/>
                <w:szCs w:val="21"/>
                <w:highlight w:val="none"/>
              </w:rPr>
            </w:pPr>
          </w:p>
        </w:tc>
        <w:tc>
          <w:tcPr>
            <w:tcW w:w="1137" w:type="dxa"/>
            <w:vMerge w:val="continue"/>
            <w:vAlign w:val="center"/>
          </w:tcPr>
          <w:p>
            <w:pPr>
              <w:jc w:val="center"/>
              <w:rPr>
                <w:rFonts w:hint="eastAsia" w:ascii="宋体" w:hAnsi="宋体" w:eastAsia="宋体" w:cs="宋体"/>
                <w:color w:val="auto"/>
                <w:sz w:val="21"/>
                <w:szCs w:val="21"/>
                <w:highlight w:val="none"/>
              </w:rPr>
            </w:pP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对表面为不同颜色的涂料或水泥墙面上刻画的“牛皮癣”，虽然按照“色差一致、形状统一、干净整洁、协调美观”的要求，使用相近颜色进行复原，但复原效果差的，每处扣0.2分</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26" w:type="dxa"/>
            <w:vMerge w:val="continue"/>
            <w:vAlign w:val="center"/>
          </w:tcPr>
          <w:p>
            <w:pPr>
              <w:jc w:val="center"/>
              <w:rPr>
                <w:rFonts w:hint="eastAsia" w:ascii="宋体" w:hAnsi="宋体" w:eastAsia="宋体" w:cs="宋体"/>
                <w:color w:val="auto"/>
                <w:sz w:val="21"/>
                <w:szCs w:val="21"/>
                <w:highlight w:val="none"/>
              </w:rPr>
            </w:pPr>
          </w:p>
        </w:tc>
        <w:tc>
          <w:tcPr>
            <w:tcW w:w="1137" w:type="dxa"/>
            <w:vMerge w:val="continue"/>
            <w:vAlign w:val="center"/>
          </w:tcPr>
          <w:p>
            <w:pPr>
              <w:jc w:val="center"/>
              <w:rPr>
                <w:rFonts w:hint="eastAsia" w:ascii="宋体" w:hAnsi="宋体" w:eastAsia="宋体" w:cs="宋体"/>
                <w:color w:val="auto"/>
                <w:sz w:val="21"/>
                <w:szCs w:val="21"/>
                <w:highlight w:val="none"/>
              </w:rPr>
            </w:pP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清理“乱张贴、乱涂写、乱拉挂、乱刻划”作业完毕后，应清扫作业现场，无作业垃圾遗留，并将产生的垃圾必须到采购人指定地点倾倒，不得偷倒。未能达到的每处（次）扣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val="zh-CN"/>
              </w:rPr>
              <w:t>。</w:t>
            </w:r>
          </w:p>
        </w:tc>
        <w:tc>
          <w:tcPr>
            <w:tcW w:w="626"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7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法定节假日及上级重大检查需提前清理情况（5分）</w:t>
            </w:r>
          </w:p>
        </w:tc>
        <w:tc>
          <w:tcPr>
            <w:tcW w:w="3825" w:type="dxa"/>
            <w:vAlign w:val="center"/>
          </w:tcPr>
          <w:p>
            <w:pPr>
              <w:ind w:left="110" w:leftChars="50" w:firstLine="105" w:firstLineChars="50"/>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积极主动响应清理的得1-5分，清理不力的不得分。</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4" w:hRule="atLeast"/>
          <w:jc w:val="center"/>
        </w:trPr>
        <w:tc>
          <w:tcPr>
            <w:tcW w:w="7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现场考评情况（15分）</w:t>
            </w: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在</w:t>
            </w:r>
            <w:r>
              <w:rPr>
                <w:rFonts w:hint="eastAsia" w:ascii="宋体" w:hAnsi="宋体" w:eastAsia="宋体" w:cs="宋体"/>
                <w:b w:val="0"/>
                <w:bCs w:val="0"/>
                <w:color w:val="auto"/>
                <w:kern w:val="0"/>
                <w:sz w:val="21"/>
                <w:szCs w:val="21"/>
                <w:highlight w:val="none"/>
                <w:lang w:eastAsia="zh-CN"/>
              </w:rPr>
              <w:t>甲方</w:t>
            </w:r>
            <w:r>
              <w:rPr>
                <w:rFonts w:hint="eastAsia" w:ascii="宋体" w:hAnsi="宋体" w:eastAsia="宋体" w:cs="宋体"/>
                <w:b w:val="0"/>
                <w:bCs w:val="0"/>
                <w:color w:val="auto"/>
                <w:kern w:val="0"/>
                <w:sz w:val="21"/>
                <w:szCs w:val="21"/>
                <w:highlight w:val="none"/>
              </w:rPr>
              <w:t>组织（或邀请第三方）定期到现场检查考评中，</w:t>
            </w:r>
            <w:r>
              <w:rPr>
                <w:rFonts w:hint="eastAsia" w:ascii="宋体" w:hAnsi="宋体" w:eastAsia="宋体" w:cs="宋体"/>
                <w:color w:val="auto"/>
                <w:sz w:val="21"/>
                <w:szCs w:val="21"/>
                <w:highlight w:val="none"/>
              </w:rPr>
              <w:t>发现有“牛皮癣”，1张至5张扣1分；6张至10张扣2分；11张至15张扣3分；16张至20张扣4分，如此类推，超过75张此项不得分。</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26"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7"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检查发现“牛皮癣”后跟进完成清理情况（</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检查发现“牛皮癣”，被通知整改后1天内未清理的扣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分，2天内未清理的扣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分，3天内未清理的扣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分，超过3天以上此项不得分。</w:t>
            </w:r>
          </w:p>
        </w:tc>
        <w:tc>
          <w:tcPr>
            <w:tcW w:w="626"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26" w:type="dxa"/>
            <w:vMerge w:val="continue"/>
            <w:vAlign w:val="center"/>
          </w:tcPr>
          <w:p>
            <w:pPr>
              <w:jc w:val="center"/>
              <w:rPr>
                <w:rFonts w:hint="eastAsia" w:ascii="宋体" w:hAnsi="宋体" w:eastAsia="宋体" w:cs="宋体"/>
                <w:color w:val="auto"/>
                <w:sz w:val="21"/>
                <w:szCs w:val="21"/>
                <w:highlight w:val="none"/>
              </w:rPr>
            </w:pPr>
          </w:p>
        </w:tc>
        <w:tc>
          <w:tcPr>
            <w:tcW w:w="1137" w:type="dxa"/>
            <w:vMerge w:val="continue"/>
            <w:vAlign w:val="center"/>
          </w:tcPr>
          <w:p>
            <w:pPr>
              <w:jc w:val="center"/>
              <w:rPr>
                <w:rFonts w:hint="eastAsia" w:ascii="宋体" w:hAnsi="宋体" w:eastAsia="宋体" w:cs="宋体"/>
                <w:color w:val="auto"/>
                <w:sz w:val="21"/>
                <w:szCs w:val="21"/>
                <w:highlight w:val="none"/>
              </w:rPr>
            </w:pP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督查发现有“牛皮癣”或清“癣”工作不到位的，在“寮步城管”微信群通报后，在一天内没有落实清理反馈的，每宗次扣0.2分。</w:t>
            </w:r>
          </w:p>
        </w:tc>
        <w:tc>
          <w:tcPr>
            <w:tcW w:w="626"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26" w:type="dxa"/>
            <w:vAlign w:val="center"/>
          </w:tcPr>
          <w:p>
            <w:pPr>
              <w:widowControl/>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7</w:t>
            </w:r>
          </w:p>
        </w:tc>
        <w:tc>
          <w:tcPr>
            <w:tcW w:w="1137" w:type="dxa"/>
            <w:vAlign w:val="center"/>
          </w:tcPr>
          <w:p>
            <w:pPr>
              <w:widowControl/>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eastAsia="zh-CN"/>
              </w:rPr>
              <w:t>紧急处理</w:t>
            </w:r>
            <w:r>
              <w:rPr>
                <w:rFonts w:hint="eastAsia" w:ascii="宋体" w:hAnsi="宋体" w:eastAsia="宋体" w:cs="宋体"/>
                <w:b w:val="0"/>
                <w:bCs w:val="0"/>
                <w:color w:val="auto"/>
                <w:kern w:val="0"/>
                <w:sz w:val="21"/>
                <w:szCs w:val="21"/>
                <w:highlight w:val="none"/>
              </w:rPr>
              <w:t>情况（10分）</w:t>
            </w:r>
          </w:p>
        </w:tc>
        <w:tc>
          <w:tcPr>
            <w:tcW w:w="3825" w:type="dxa"/>
            <w:vAlign w:val="center"/>
          </w:tcPr>
          <w:p>
            <w:pPr>
              <w:widowControl/>
              <w:adjustRightInd/>
              <w:snapToGrid/>
              <w:spacing w:after="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甲方通知或市民投诉，除特殊情况外（指涉及整改的位置复杂，面积较大或用户不配合清理的），乙方需在30分钟内处理完毕，如未及时处理，每次扣1-2分，扣完</w:t>
            </w:r>
            <w:r>
              <w:rPr>
                <w:rFonts w:hint="eastAsia" w:ascii="宋体" w:hAnsi="宋体" w:eastAsia="宋体" w:cs="宋体"/>
                <w:b w:val="0"/>
                <w:bCs w:val="0"/>
                <w:color w:val="auto"/>
                <w:kern w:val="0"/>
                <w:sz w:val="21"/>
                <w:szCs w:val="21"/>
                <w:highlight w:val="none"/>
                <w:lang w:eastAsia="zh-CN"/>
              </w:rPr>
              <w:t>为</w:t>
            </w:r>
            <w:r>
              <w:rPr>
                <w:rFonts w:hint="eastAsia" w:ascii="宋体" w:hAnsi="宋体" w:eastAsia="宋体" w:cs="宋体"/>
                <w:b w:val="0"/>
                <w:bCs w:val="0"/>
                <w:color w:val="auto"/>
                <w:kern w:val="0"/>
                <w:sz w:val="21"/>
                <w:szCs w:val="21"/>
                <w:highlight w:val="none"/>
              </w:rPr>
              <w:t>止。</w:t>
            </w:r>
          </w:p>
        </w:tc>
        <w:tc>
          <w:tcPr>
            <w:tcW w:w="626" w:type="dxa"/>
            <w:vAlign w:val="center"/>
          </w:tcPr>
          <w:p>
            <w:pPr>
              <w:widowControl/>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10</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投诉情况（5分）</w:t>
            </w:r>
          </w:p>
        </w:tc>
        <w:tc>
          <w:tcPr>
            <w:tcW w:w="3825" w:type="dxa"/>
            <w:vAlign w:val="center"/>
          </w:tcPr>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每接到关于“牛皮癣”投诉、新闻舆论批评的。经查情况属实，视情况严重程度每宗扣1-5分。</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688" w:type="dxa"/>
            <w:gridSpan w:val="3"/>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62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46" w:type="dxa"/>
            <w:vAlign w:val="center"/>
          </w:tcPr>
          <w:p>
            <w:pPr>
              <w:jc w:val="center"/>
              <w:rPr>
                <w:rFonts w:hint="eastAsia" w:ascii="宋体" w:hAnsi="宋体" w:eastAsia="宋体" w:cs="宋体"/>
                <w:color w:val="auto"/>
                <w:sz w:val="21"/>
                <w:szCs w:val="21"/>
                <w:highlight w:val="none"/>
              </w:rPr>
            </w:pPr>
          </w:p>
        </w:tc>
        <w:tc>
          <w:tcPr>
            <w:tcW w:w="675" w:type="dxa"/>
            <w:vAlign w:val="center"/>
          </w:tcPr>
          <w:p>
            <w:pPr>
              <w:jc w:val="center"/>
              <w:rPr>
                <w:rFonts w:hint="eastAsia" w:ascii="宋体" w:hAnsi="宋体" w:eastAsia="宋体" w:cs="宋体"/>
                <w:color w:val="auto"/>
                <w:sz w:val="21"/>
                <w:szCs w:val="21"/>
                <w:highlight w:val="none"/>
              </w:rPr>
            </w:pPr>
          </w:p>
        </w:tc>
        <w:tc>
          <w:tcPr>
            <w:tcW w:w="885" w:type="dxa"/>
            <w:vAlign w:val="center"/>
          </w:tcPr>
          <w:p>
            <w:pPr>
              <w:jc w:val="center"/>
              <w:rPr>
                <w:rFonts w:hint="eastAsia" w:ascii="宋体" w:hAnsi="宋体" w:eastAsia="宋体" w:cs="宋体"/>
                <w:color w:val="auto"/>
                <w:sz w:val="21"/>
                <w:szCs w:val="21"/>
                <w:highlight w:val="none"/>
              </w:rPr>
            </w:pPr>
          </w:p>
        </w:tc>
      </w:tr>
    </w:tbl>
    <w:p>
      <w:pPr>
        <w:spacing w:after="0"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说明：</w:t>
      </w:r>
    </w:p>
    <w:p>
      <w:pPr>
        <w:spacing w:after="0"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1、随机抽查与定期检查相结合，每月至少考评一次。</w:t>
      </w:r>
    </w:p>
    <w:p>
      <w:pPr>
        <w:spacing w:after="0"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2、每月考核得分</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100分-（随机抽查扣分+定期检查扣分）。</w:t>
      </w:r>
    </w:p>
    <w:p>
      <w:pPr>
        <w:spacing w:after="0"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3、月度考核得分在9</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分以上（含9</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分）的，承包款全额支付。低于9</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分，按每1分</w:t>
      </w:r>
      <w:r>
        <w:rPr>
          <w:rFonts w:hint="eastAsia" w:ascii="宋体" w:hAnsi="宋体" w:eastAsia="宋体" w:cs="Times New Roman"/>
          <w:color w:val="auto"/>
          <w:sz w:val="21"/>
          <w:szCs w:val="21"/>
          <w:highlight w:val="none"/>
          <w:lang w:eastAsia="zh-CN"/>
        </w:rPr>
        <w:t>扣</w:t>
      </w:r>
      <w:r>
        <w:rPr>
          <w:rFonts w:hint="eastAsia" w:ascii="宋体" w:hAnsi="宋体" w:eastAsia="宋体" w:cs="Times New Roman"/>
          <w:color w:val="auto"/>
          <w:sz w:val="21"/>
          <w:szCs w:val="21"/>
          <w:highlight w:val="none"/>
        </w:rPr>
        <w:t>除当月承包款</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p>
    <w:p>
      <w:pPr>
        <w:spacing w:after="0"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4、在合同期内由甲方每个月负责或组织考核打分，如乙方连续三个月或在承包期内累计五个月考核分值低于8</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分的，甲方有权单方面终止合同。因此造成的损失，甲方不负任何责任。</w:t>
      </w:r>
    </w:p>
    <w:p>
      <w:pPr>
        <w:spacing w:after="0"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5、甲方保留对上述标准的修改权和解释权。</w:t>
      </w:r>
    </w:p>
    <w:p>
      <w:pPr>
        <w:rPr>
          <w:rFonts w:hint="eastAsia" w:ascii="宋体" w:hAnsi="宋体" w:eastAsia="宋体" w:cs="宋体"/>
          <w:b/>
          <w:color w:val="auto"/>
          <w:kern w:val="0"/>
          <w:sz w:val="21"/>
          <w:szCs w:val="21"/>
          <w:highlight w:val="none"/>
          <w:lang w:eastAsia="zh-CN"/>
        </w:rPr>
      </w:pPr>
      <w:r>
        <w:rPr>
          <w:rFonts w:hint="eastAsia" w:ascii="宋体" w:hAnsi="宋体" w:eastAsia="宋体" w:cs="宋体"/>
          <w:color w:val="auto"/>
          <w:sz w:val="21"/>
          <w:szCs w:val="21"/>
          <w:highlight w:val="none"/>
        </w:rPr>
        <w:br w:type="page"/>
      </w:r>
      <w:r>
        <w:rPr>
          <w:rFonts w:hint="eastAsia" w:ascii="宋体" w:hAnsi="宋体" w:eastAsia="宋体" w:cs="宋体"/>
          <w:b/>
          <w:color w:val="auto"/>
          <w:kern w:val="0"/>
          <w:sz w:val="21"/>
          <w:szCs w:val="21"/>
          <w:highlight w:val="none"/>
          <w:lang w:eastAsia="zh-CN"/>
        </w:rPr>
        <w:t>附件二：寮步镇原环卫二三“牛皮癣”清理承包范围汇总一览表</w:t>
      </w:r>
    </w:p>
    <w:p>
      <w:pPr>
        <w:jc w:val="right"/>
        <w:rPr>
          <w:rFonts w:hint="eastAsia" w:ascii="宋体" w:hAnsi="宋体" w:eastAsia="宋体" w:cs="宋体"/>
          <w:b/>
          <w:color w:val="auto"/>
          <w:kern w:val="0"/>
          <w:sz w:val="21"/>
          <w:szCs w:val="21"/>
          <w:highlight w:val="none"/>
          <w:lang w:eastAsia="zh-CN"/>
        </w:rPr>
      </w:pPr>
      <w:r>
        <w:rPr>
          <w:rFonts w:hint="eastAsia" w:ascii="宋体" w:hAnsi="宋体" w:eastAsia="宋体" w:cs="宋体"/>
          <w:color w:val="auto"/>
          <w:kern w:val="0"/>
          <w:sz w:val="21"/>
          <w:szCs w:val="21"/>
          <w:highlight w:val="none"/>
        </w:rPr>
        <w:t>单位：公里</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492"/>
        <w:gridCol w:w="2979"/>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3" w:type="dxa"/>
            <w:tcBorders>
              <w:top w:val="single" w:color="auto" w:sz="4" w:space="0"/>
            </w:tcBorders>
            <w:vAlign w:val="center"/>
          </w:tcPr>
          <w:p>
            <w:pPr>
              <w:widowControl/>
              <w:wordWrap/>
              <w:adjustRightInd w:val="0"/>
              <w:snapToGrid w:val="0"/>
              <w:spacing w:after="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492" w:type="dxa"/>
            <w:tcBorders>
              <w:top w:val="single" w:color="auto" w:sz="4" w:space="0"/>
            </w:tcBorders>
            <w:vAlign w:val="center"/>
          </w:tcPr>
          <w:p>
            <w:pPr>
              <w:widowControl/>
              <w:wordWrap/>
              <w:adjustRightInd w:val="0"/>
              <w:snapToGrid w:val="0"/>
              <w:spacing w:after="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村（社区）</w:t>
            </w:r>
          </w:p>
        </w:tc>
        <w:tc>
          <w:tcPr>
            <w:tcW w:w="2979" w:type="dxa"/>
            <w:tcBorders>
              <w:top w:val="single" w:color="auto" w:sz="4" w:space="0"/>
            </w:tcBorders>
            <w:vAlign w:val="center"/>
          </w:tcPr>
          <w:p>
            <w:pPr>
              <w:widowControl/>
              <w:wordWrap/>
              <w:adjustRightInd w:val="0"/>
              <w:snapToGrid w:val="0"/>
              <w:spacing w:after="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范围（长度）</w:t>
            </w:r>
          </w:p>
        </w:tc>
        <w:tc>
          <w:tcPr>
            <w:tcW w:w="2028" w:type="dxa"/>
            <w:tcBorders>
              <w:top w:val="single" w:color="auto" w:sz="4" w:space="0"/>
            </w:tcBorders>
            <w:vAlign w:val="center"/>
          </w:tcPr>
          <w:p>
            <w:pPr>
              <w:widowControl/>
              <w:wordWrap/>
              <w:adjustRightInd w:val="0"/>
              <w:snapToGrid w:val="0"/>
              <w:spacing w:after="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长坑</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8.95</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井巷</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10.09</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小坑</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8.63</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浮竹山</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22.23</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刘屋巷</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8.05</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上底</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12.48</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牛杨</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17.49</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缪边</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19.10</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泉塘</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34.65</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药勒</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12.76</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陈家埔</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9.91</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富竹山</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23.38</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良边</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38.24</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塘边</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8.72</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石龙坑</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44.81</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坑口</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26.30</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凫山</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90.09</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top"/>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西溪</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87.20</w:t>
            </w:r>
          </w:p>
        </w:tc>
        <w:tc>
          <w:tcPr>
            <w:tcW w:w="2028"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3" w:type="dxa"/>
            <w:vAlign w:val="top"/>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2492"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石步</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40.42</w:t>
            </w:r>
          </w:p>
        </w:tc>
        <w:tc>
          <w:tcPr>
            <w:tcW w:w="2028" w:type="dxa"/>
            <w:vAlign w:val="top"/>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15" w:type="dxa"/>
            <w:gridSpan w:val="2"/>
            <w:vAlign w:val="top"/>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总计</w:t>
            </w:r>
          </w:p>
        </w:tc>
        <w:tc>
          <w:tcPr>
            <w:tcW w:w="2979" w:type="dxa"/>
            <w:vAlign w:val="center"/>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523.5</w:t>
            </w:r>
          </w:p>
        </w:tc>
        <w:tc>
          <w:tcPr>
            <w:tcW w:w="2028" w:type="dxa"/>
            <w:vAlign w:val="top"/>
          </w:tcPr>
          <w:p>
            <w:pPr>
              <w:widowControl/>
              <w:wordWrap/>
              <w:adjustRightInd w:val="0"/>
              <w:snapToGrid w:val="0"/>
              <w:spacing w:after="0"/>
              <w:jc w:val="center"/>
              <w:textAlignment w:val="auto"/>
              <w:outlineLvl w:val="9"/>
              <w:rPr>
                <w:rFonts w:hint="eastAsia" w:ascii="宋体" w:hAnsi="宋体" w:eastAsia="宋体" w:cs="宋体"/>
                <w:color w:val="auto"/>
                <w:kern w:val="0"/>
                <w:sz w:val="21"/>
                <w:szCs w:val="21"/>
                <w:highlight w:val="none"/>
              </w:rPr>
            </w:pPr>
          </w:p>
        </w:tc>
      </w:tr>
    </w:tbl>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注：采购人将提供划分区域的村（社区）卫星图作为签订合同时的合同附件，服务范围以合同中附带的村（社区）卫星图划分为准。</w:t>
      </w:r>
    </w:p>
    <w:p>
      <w:pPr>
        <w:rPr>
          <w:color w:val="auto"/>
          <w:highlight w:val="none"/>
        </w:rPr>
      </w:pPr>
    </w:p>
    <w:bookmarkEnd w:id="7"/>
    <w:bookmarkEnd w:id="8"/>
    <w:bookmarkEnd w:id="9"/>
    <w:bookmarkEnd w:id="10"/>
    <w:p>
      <w:pPr>
        <w:pStyle w:val="2"/>
        <w:spacing w:before="0" w:after="0" w:line="240" w:lineRule="auto"/>
        <w:rPr>
          <w:color w:val="auto"/>
          <w:sz w:val="24"/>
          <w:szCs w:val="24"/>
          <w:highlight w:val="none"/>
        </w:rPr>
      </w:pPr>
      <w:r>
        <w:rPr>
          <w:rFonts w:hint="eastAsia"/>
          <w:color w:val="auto"/>
          <w:sz w:val="24"/>
          <w:szCs w:val="24"/>
          <w:highlight w:val="none"/>
        </w:rPr>
        <w:br w:type="page"/>
      </w:r>
      <w:bookmarkStart w:id="11" w:name="_Toc2479"/>
      <w:r>
        <w:rPr>
          <w:rFonts w:hint="eastAsia"/>
          <w:color w:val="auto"/>
          <w:sz w:val="28"/>
          <w:szCs w:val="28"/>
          <w:highlight w:val="none"/>
        </w:rPr>
        <w:t>第四部分 投标人须知</w:t>
      </w:r>
      <w:bookmarkEnd w:id="11"/>
    </w:p>
    <w:p>
      <w:pPr>
        <w:pStyle w:val="4"/>
        <w:numPr>
          <w:ilvl w:val="0"/>
          <w:numId w:val="1"/>
        </w:numPr>
        <w:spacing w:before="0" w:after="0" w:line="480" w:lineRule="auto"/>
        <w:jc w:val="center"/>
        <w:rPr>
          <w:rFonts w:ascii="宋体" w:hAnsi="宋体" w:eastAsia="宋体"/>
          <w:color w:val="auto"/>
          <w:highlight w:val="none"/>
        </w:rPr>
      </w:pPr>
      <w:bookmarkStart w:id="12" w:name="_Toc19746"/>
      <w:r>
        <w:rPr>
          <w:rFonts w:hint="eastAsia" w:ascii="宋体" w:hAnsi="宋体" w:eastAsia="宋体"/>
          <w:color w:val="auto"/>
          <w:highlight w:val="none"/>
        </w:rPr>
        <w:t>说明</w:t>
      </w:r>
      <w:bookmarkEnd w:id="12"/>
    </w:p>
    <w:p>
      <w:pPr>
        <w:pStyle w:val="5"/>
        <w:widowControl w:val="0"/>
        <w:overflowPunct w:val="0"/>
        <w:spacing w:before="0" w:after="0" w:line="240" w:lineRule="auto"/>
        <w:rPr>
          <w:rFonts w:ascii="宋体" w:hAnsi="宋体" w:eastAsia="宋体"/>
          <w:color w:val="auto"/>
          <w:sz w:val="21"/>
          <w:szCs w:val="21"/>
          <w:highlight w:val="none"/>
        </w:rPr>
      </w:pPr>
      <w:bookmarkStart w:id="13" w:name="_Toc18488"/>
      <w:r>
        <w:rPr>
          <w:rFonts w:hint="eastAsia" w:ascii="宋体" w:hAnsi="宋体" w:eastAsia="宋体"/>
          <w:color w:val="auto"/>
          <w:sz w:val="21"/>
          <w:szCs w:val="21"/>
          <w:highlight w:val="none"/>
        </w:rPr>
        <w:t>1.适用范围</w:t>
      </w:r>
      <w:bookmarkEnd w:id="13"/>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4" w:name="_Toc13400"/>
      <w:r>
        <w:rPr>
          <w:rFonts w:hint="eastAsia" w:ascii="宋体" w:hAnsi="宋体" w:eastAsia="宋体"/>
          <w:color w:val="auto"/>
          <w:sz w:val="21"/>
          <w:szCs w:val="21"/>
          <w:highlight w:val="none"/>
        </w:rPr>
        <w:t>2.</w:t>
      </w:r>
      <w:bookmarkStart w:id="15" w:name="_Toc298847174"/>
      <w:bookmarkStart w:id="16" w:name="_Toc303084246"/>
      <w:bookmarkStart w:id="17" w:name="_Toc1530"/>
      <w:bookmarkStart w:id="18" w:name="_Toc382049092"/>
      <w:r>
        <w:rPr>
          <w:rFonts w:hint="eastAsia" w:ascii="宋体" w:hAnsi="宋体" w:eastAsia="宋体"/>
          <w:color w:val="auto"/>
          <w:sz w:val="21"/>
          <w:szCs w:val="21"/>
          <w:highlight w:val="none"/>
        </w:rPr>
        <w:t>定义</w:t>
      </w:r>
      <w:bookmarkEnd w:id="14"/>
      <w:bookmarkEnd w:id="15"/>
      <w:bookmarkEnd w:id="16"/>
      <w:bookmarkEnd w:id="17"/>
      <w:bookmarkEnd w:id="18"/>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9" w:name="_Toc3780"/>
      <w:r>
        <w:rPr>
          <w:rFonts w:hint="eastAsia" w:ascii="宋体" w:hAnsi="宋体" w:eastAsia="宋体"/>
          <w:color w:val="auto"/>
          <w:sz w:val="21"/>
          <w:szCs w:val="21"/>
          <w:highlight w:val="none"/>
        </w:rPr>
        <w:t>3.货物和服务</w:t>
      </w:r>
      <w:bookmarkEnd w:id="19"/>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0" w:name="_Toc15945"/>
      <w:r>
        <w:rPr>
          <w:rFonts w:hint="eastAsia" w:ascii="宋体" w:hAnsi="宋体" w:eastAsia="宋体"/>
          <w:color w:val="auto"/>
          <w:sz w:val="21"/>
          <w:szCs w:val="21"/>
          <w:highlight w:val="none"/>
        </w:rPr>
        <w:t>4.投标费用</w:t>
      </w:r>
      <w:bookmarkEnd w:id="20"/>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1" w:name="_Toc25040"/>
      <w:r>
        <w:rPr>
          <w:rFonts w:hint="eastAsia" w:ascii="宋体" w:hAnsi="宋体" w:eastAsia="宋体"/>
          <w:color w:val="auto"/>
          <w:sz w:val="21"/>
          <w:szCs w:val="21"/>
          <w:highlight w:val="none"/>
        </w:rPr>
        <w:t>5.知识产权</w:t>
      </w:r>
      <w:bookmarkEnd w:id="21"/>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2" w:name="_Toc21930"/>
      <w:r>
        <w:rPr>
          <w:rFonts w:hint="eastAsia" w:ascii="宋体" w:hAnsi="宋体" w:eastAsia="宋体"/>
          <w:color w:val="auto"/>
          <w:sz w:val="21"/>
          <w:szCs w:val="21"/>
          <w:highlight w:val="none"/>
        </w:rPr>
        <w:t>6.关于联合体投标</w:t>
      </w:r>
      <w:bookmarkEnd w:id="22"/>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3" w:name="_Toc16571"/>
      <w:r>
        <w:rPr>
          <w:rFonts w:hint="eastAsia" w:ascii="宋体" w:hAnsi="宋体" w:eastAsia="宋体"/>
          <w:color w:val="auto"/>
          <w:sz w:val="21"/>
          <w:szCs w:val="21"/>
          <w:highlight w:val="none"/>
        </w:rPr>
        <w:t>7.关于分支机构投标</w:t>
      </w:r>
      <w:bookmarkEnd w:id="23"/>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24" w:name="EB389f116341dd4693875bc7987e7327f3"/>
    </w:p>
    <w:p>
      <w:pPr>
        <w:widowControl w:val="0"/>
        <w:numPr>
          <w:ilvl w:val="1"/>
          <w:numId w:val="2"/>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4"/>
    </w:p>
    <w:p>
      <w:pPr>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25" w:name="_Toc17879"/>
      <w:r>
        <w:rPr>
          <w:rFonts w:hint="eastAsia" w:ascii="宋体" w:hAnsi="宋体" w:eastAsia="宋体"/>
          <w:color w:val="auto"/>
          <w:highlight w:val="none"/>
        </w:rPr>
        <w:t>招标文件</w:t>
      </w:r>
      <w:bookmarkEnd w:id="25"/>
    </w:p>
    <w:p>
      <w:pPr>
        <w:pStyle w:val="5"/>
        <w:widowControl w:val="0"/>
        <w:overflowPunct w:val="0"/>
        <w:spacing w:before="0" w:after="0" w:line="240" w:lineRule="auto"/>
        <w:rPr>
          <w:rFonts w:ascii="宋体" w:hAnsi="宋体" w:eastAsia="宋体"/>
          <w:color w:val="auto"/>
          <w:sz w:val="21"/>
          <w:szCs w:val="21"/>
          <w:highlight w:val="none"/>
        </w:rPr>
      </w:pPr>
      <w:bookmarkStart w:id="26" w:name="_Toc21771"/>
      <w:r>
        <w:rPr>
          <w:rFonts w:hint="eastAsia" w:ascii="宋体" w:hAnsi="宋体" w:eastAsia="宋体"/>
          <w:color w:val="auto"/>
          <w:sz w:val="21"/>
          <w:szCs w:val="21"/>
          <w:highlight w:val="none"/>
        </w:rPr>
        <w:t>8.招标文件的组成</w:t>
      </w:r>
      <w:bookmarkEnd w:id="26"/>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7" w:name="_Toc14217"/>
      <w:r>
        <w:rPr>
          <w:rFonts w:hint="eastAsia" w:ascii="宋体" w:hAnsi="宋体" w:eastAsia="宋体"/>
          <w:color w:val="auto"/>
          <w:sz w:val="21"/>
          <w:szCs w:val="21"/>
          <w:highlight w:val="none"/>
        </w:rPr>
        <w:t>9.招标文件的澄清或修改</w:t>
      </w:r>
      <w:bookmarkEnd w:id="27"/>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2"/>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1"/>
        </w:numPr>
        <w:spacing w:before="0" w:after="0" w:line="480" w:lineRule="auto"/>
        <w:jc w:val="center"/>
        <w:rPr>
          <w:rFonts w:ascii="宋体" w:hAnsi="宋体" w:eastAsia="宋体"/>
          <w:color w:val="auto"/>
          <w:highlight w:val="none"/>
        </w:rPr>
      </w:pPr>
      <w:bookmarkStart w:id="28" w:name="_Toc23726"/>
      <w:r>
        <w:rPr>
          <w:rFonts w:hint="eastAsia" w:ascii="宋体" w:hAnsi="宋体" w:eastAsia="宋体"/>
          <w:color w:val="auto"/>
          <w:highlight w:val="none"/>
        </w:rPr>
        <w:t>投标文件的编制</w:t>
      </w:r>
      <w:bookmarkEnd w:id="28"/>
    </w:p>
    <w:p>
      <w:pPr>
        <w:pStyle w:val="5"/>
        <w:widowControl w:val="0"/>
        <w:overflowPunct w:val="0"/>
        <w:spacing w:before="0" w:after="0" w:line="240" w:lineRule="auto"/>
        <w:rPr>
          <w:rFonts w:ascii="宋体" w:hAnsi="宋体" w:eastAsia="宋体"/>
          <w:color w:val="auto"/>
          <w:sz w:val="21"/>
          <w:szCs w:val="21"/>
          <w:highlight w:val="none"/>
        </w:rPr>
      </w:pPr>
      <w:bookmarkStart w:id="29" w:name="_Toc20623"/>
      <w:r>
        <w:rPr>
          <w:rFonts w:hint="eastAsia" w:ascii="宋体" w:hAnsi="宋体" w:eastAsia="宋体"/>
          <w:color w:val="auto"/>
          <w:sz w:val="21"/>
          <w:szCs w:val="21"/>
          <w:highlight w:val="none"/>
        </w:rPr>
        <w:t>10.投标文件的语言及度量衡单位</w:t>
      </w:r>
      <w:bookmarkEnd w:id="29"/>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0" w:name="_Toc303084256"/>
      <w:bookmarkStart w:id="31" w:name="_Toc382049103"/>
      <w:bookmarkStart w:id="32" w:name="_Toc12145"/>
      <w:bookmarkStart w:id="33" w:name="_Toc307934854"/>
      <w:bookmarkStart w:id="34" w:name="_Toc28866"/>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30"/>
      <w:bookmarkEnd w:id="31"/>
      <w:bookmarkEnd w:id="32"/>
      <w:bookmarkEnd w:id="33"/>
      <w:bookmarkEnd w:id="34"/>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2"/>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5" w:name="_Toc30189"/>
      <w:r>
        <w:rPr>
          <w:rFonts w:hint="eastAsia" w:ascii="宋体" w:hAnsi="宋体" w:eastAsia="宋体"/>
          <w:color w:val="auto"/>
          <w:sz w:val="21"/>
          <w:szCs w:val="21"/>
          <w:highlight w:val="none"/>
        </w:rPr>
        <w:t>12.投标文件编制</w:t>
      </w:r>
      <w:bookmarkEnd w:id="35"/>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36" w:name="_Toc303084258"/>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26"/>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6"/>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36"/>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7" w:name="_Toc259"/>
      <w:r>
        <w:rPr>
          <w:rFonts w:hint="eastAsia" w:ascii="宋体" w:hAnsi="宋体" w:eastAsia="宋体"/>
          <w:color w:val="auto"/>
          <w:sz w:val="21"/>
          <w:szCs w:val="21"/>
          <w:highlight w:val="none"/>
        </w:rPr>
        <w:t>13.投标报价说明</w:t>
      </w:r>
      <w:bookmarkEnd w:id="37"/>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8" w:name="_Toc27724"/>
      <w:r>
        <w:rPr>
          <w:rFonts w:hint="eastAsia" w:ascii="宋体" w:hAnsi="宋体" w:eastAsia="宋体"/>
          <w:color w:val="auto"/>
          <w:sz w:val="21"/>
          <w:szCs w:val="21"/>
          <w:highlight w:val="none"/>
        </w:rPr>
        <w:t>14.投标人所提供的服务或货物的证明文件</w:t>
      </w:r>
      <w:bookmarkEnd w:id="38"/>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bookmarkStart w:id="39" w:name="_Hlt107925668"/>
      <w:bookmarkEnd w:id="39"/>
      <w:bookmarkStart w:id="40" w:name="_Hlt107925638"/>
      <w:bookmarkEnd w:id="40"/>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6"/>
        <w:widowControl w:val="0"/>
        <w:adjustRightInd/>
        <w:snapToGrid/>
        <w:spacing w:after="0" w:line="360" w:lineRule="exact"/>
        <w:ind w:left="425" w:firstLine="0" w:firstLineChars="0"/>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1" w:name="_Toc19520"/>
      <w:r>
        <w:rPr>
          <w:rFonts w:hint="eastAsia" w:ascii="宋体" w:hAnsi="宋体" w:eastAsia="宋体"/>
          <w:color w:val="auto"/>
          <w:sz w:val="21"/>
          <w:szCs w:val="21"/>
          <w:highlight w:val="none"/>
        </w:rPr>
        <w:t>15.★投标有效期</w:t>
      </w:r>
      <w:bookmarkEnd w:id="41"/>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2" w:name="_Toc12456"/>
      <w:r>
        <w:rPr>
          <w:rFonts w:hint="eastAsia" w:ascii="宋体" w:hAnsi="宋体" w:eastAsia="宋体"/>
          <w:color w:val="auto"/>
          <w:sz w:val="21"/>
          <w:szCs w:val="21"/>
          <w:highlight w:val="none"/>
        </w:rPr>
        <w:t>16.★投标保证金</w:t>
      </w:r>
      <w:bookmarkEnd w:id="42"/>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43" w:name="_Ref179619405"/>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3"/>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44" w:name="_Toc31124"/>
      <w:r>
        <w:rPr>
          <w:rFonts w:hint="eastAsia" w:ascii="宋体" w:hAnsi="宋体" w:eastAsia="宋体"/>
          <w:color w:val="auto"/>
          <w:highlight w:val="none"/>
        </w:rPr>
        <w:t>投标文件的递交</w:t>
      </w:r>
      <w:bookmarkEnd w:id="44"/>
    </w:p>
    <w:p>
      <w:pPr>
        <w:pStyle w:val="5"/>
        <w:widowControl w:val="0"/>
        <w:overflowPunct w:val="0"/>
        <w:spacing w:before="0" w:after="0" w:line="240" w:lineRule="auto"/>
        <w:rPr>
          <w:rFonts w:ascii="宋体" w:hAnsi="宋体" w:eastAsia="宋体"/>
          <w:color w:val="auto"/>
          <w:sz w:val="21"/>
          <w:szCs w:val="21"/>
          <w:highlight w:val="none"/>
        </w:rPr>
      </w:pPr>
      <w:bookmarkStart w:id="45" w:name="_Toc382049111"/>
      <w:bookmarkStart w:id="46" w:name="_Toc303084264"/>
      <w:bookmarkStart w:id="47" w:name="_Toc29590"/>
      <w:bookmarkStart w:id="48" w:name="_Toc24997"/>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5"/>
      <w:bookmarkEnd w:id="46"/>
      <w:bookmarkEnd w:id="47"/>
      <w:bookmarkEnd w:id="48"/>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9" w:name="_Toc8628"/>
      <w:r>
        <w:rPr>
          <w:rFonts w:hint="eastAsia" w:ascii="宋体" w:hAnsi="宋体" w:eastAsia="宋体"/>
          <w:color w:val="auto"/>
          <w:sz w:val="21"/>
          <w:szCs w:val="21"/>
          <w:highlight w:val="none"/>
        </w:rPr>
        <w:t>18.迟交的投标文件</w:t>
      </w:r>
      <w:bookmarkEnd w:id="49"/>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0" w:name="_Toc13212"/>
      <w:r>
        <w:rPr>
          <w:rFonts w:hint="eastAsia" w:ascii="宋体" w:hAnsi="宋体" w:eastAsia="宋体"/>
          <w:color w:val="auto"/>
          <w:sz w:val="21"/>
          <w:szCs w:val="21"/>
          <w:highlight w:val="none"/>
        </w:rPr>
        <w:t>19.投标样品（如需提交）</w:t>
      </w:r>
      <w:bookmarkEnd w:id="50"/>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1" w:name="_Toc5900"/>
      <w:bookmarkStart w:id="52" w:name="_Toc303084265"/>
      <w:bookmarkStart w:id="53" w:name="_Toc382049112"/>
      <w:bookmarkStart w:id="54" w:name="_Toc9777"/>
      <w:r>
        <w:rPr>
          <w:rFonts w:hint="eastAsia" w:ascii="宋体" w:hAnsi="宋体" w:eastAsia="宋体"/>
          <w:color w:val="auto"/>
          <w:sz w:val="21"/>
          <w:szCs w:val="21"/>
          <w:highlight w:val="none"/>
        </w:rPr>
        <w:t>20.投标截止期</w:t>
      </w:r>
      <w:bookmarkEnd w:id="51"/>
      <w:bookmarkEnd w:id="52"/>
      <w:bookmarkEnd w:id="53"/>
      <w:bookmarkEnd w:id="54"/>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5" w:name="_Toc6003"/>
      <w:r>
        <w:rPr>
          <w:rFonts w:hint="eastAsia" w:ascii="宋体" w:hAnsi="宋体" w:eastAsia="宋体"/>
          <w:color w:val="auto"/>
          <w:sz w:val="21"/>
          <w:szCs w:val="21"/>
          <w:highlight w:val="none"/>
        </w:rPr>
        <w:t>21.投标文件的补充、修改与撤回</w:t>
      </w:r>
      <w:bookmarkEnd w:id="55"/>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7"/>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56" w:name="_Toc29574"/>
      <w:r>
        <w:rPr>
          <w:rFonts w:hint="eastAsia" w:ascii="宋体" w:hAnsi="宋体" w:eastAsia="宋体"/>
          <w:color w:val="auto"/>
          <w:highlight w:val="none"/>
        </w:rPr>
        <w:t>开标与评标</w:t>
      </w:r>
      <w:bookmarkEnd w:id="56"/>
    </w:p>
    <w:p>
      <w:pPr>
        <w:pStyle w:val="5"/>
        <w:widowControl w:val="0"/>
        <w:overflowPunct w:val="0"/>
        <w:spacing w:before="0" w:after="0" w:line="240" w:lineRule="auto"/>
        <w:rPr>
          <w:rFonts w:ascii="宋体" w:hAnsi="宋体" w:eastAsia="宋体"/>
          <w:color w:val="auto"/>
          <w:sz w:val="21"/>
          <w:szCs w:val="21"/>
          <w:highlight w:val="none"/>
        </w:rPr>
      </w:pPr>
      <w:bookmarkStart w:id="57" w:name="_Toc28458"/>
      <w:r>
        <w:rPr>
          <w:rFonts w:hint="eastAsia" w:ascii="宋体" w:hAnsi="宋体" w:eastAsia="宋体"/>
          <w:color w:val="auto"/>
          <w:sz w:val="21"/>
          <w:szCs w:val="21"/>
          <w:highlight w:val="none"/>
        </w:rPr>
        <w:t>22.开标</w:t>
      </w:r>
      <w:bookmarkEnd w:id="57"/>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2"/>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2"/>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2"/>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8" w:name="_Toc5524"/>
      <w:r>
        <w:rPr>
          <w:rFonts w:hint="eastAsia" w:ascii="宋体" w:hAnsi="宋体" w:eastAsia="宋体"/>
          <w:color w:val="auto"/>
          <w:sz w:val="21"/>
          <w:szCs w:val="21"/>
          <w:highlight w:val="none"/>
        </w:rPr>
        <w:t>23.评标委员会及评标方法</w:t>
      </w:r>
      <w:bookmarkEnd w:id="58"/>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方有资格提交最终报价及进入综合评审。</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9" w:name="_Toc15231"/>
      <w:r>
        <w:rPr>
          <w:rFonts w:hint="eastAsia" w:ascii="宋体" w:hAnsi="宋体" w:eastAsia="宋体"/>
          <w:color w:val="auto"/>
          <w:sz w:val="21"/>
          <w:szCs w:val="21"/>
          <w:highlight w:val="none"/>
        </w:rPr>
        <w:t>24.评审原则及评标过程的保密</w:t>
      </w:r>
      <w:bookmarkEnd w:id="59"/>
    </w:p>
    <w:p>
      <w:pPr>
        <w:pStyle w:val="26"/>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招标</w:t>
      </w:r>
      <w:r>
        <w:rPr>
          <w:rFonts w:hint="eastAsia" w:ascii="宋体" w:hAnsi="宋体" w:eastAsia="宋体"/>
          <w:color w:val="auto"/>
          <w:sz w:val="21"/>
          <w:szCs w:val="21"/>
          <w:highlight w:val="none"/>
        </w:rPr>
        <w:t>文件中要求</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提供的相关资质证书证明材料因国家政策变动导致新旧证书名称不一致</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提供新证书</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提供在有效期内的旧证书</w:t>
      </w:r>
      <w:r>
        <w:rPr>
          <w:rFonts w:hint="eastAsia" w:ascii="宋体" w:hAnsi="宋体" w:eastAsia="宋体"/>
          <w:color w:val="auto"/>
          <w:sz w:val="21"/>
          <w:szCs w:val="21"/>
          <w:highlight w:val="none"/>
          <w:lang w:val="en-US" w:eastAsia="zh-CN"/>
        </w:rPr>
        <w:t>经评审委员会认定后，均具有同等效力，</w:t>
      </w:r>
      <w:r>
        <w:rPr>
          <w:rFonts w:hint="eastAsia" w:ascii="宋体" w:hAnsi="宋体" w:eastAsia="宋体"/>
          <w:color w:val="auto"/>
          <w:sz w:val="21"/>
          <w:szCs w:val="21"/>
          <w:highlight w:val="none"/>
        </w:rPr>
        <w:t>给予同等认可。</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0" w:name="_Toc3762"/>
      <w:r>
        <w:rPr>
          <w:rFonts w:hint="eastAsia" w:ascii="宋体" w:hAnsi="宋体" w:eastAsia="宋体"/>
          <w:color w:val="auto"/>
          <w:sz w:val="21"/>
          <w:szCs w:val="21"/>
          <w:highlight w:val="none"/>
        </w:rPr>
        <w:t>25.投标文件的初审</w:t>
      </w:r>
      <w:bookmarkEnd w:id="60"/>
    </w:p>
    <w:p>
      <w:pPr>
        <w:pStyle w:val="26"/>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2"/>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1" w:name="_Toc21742"/>
      <w:r>
        <w:rPr>
          <w:rFonts w:hint="eastAsia" w:ascii="宋体" w:hAnsi="宋体" w:eastAsia="宋体"/>
          <w:color w:val="auto"/>
          <w:sz w:val="21"/>
          <w:szCs w:val="21"/>
          <w:highlight w:val="none"/>
        </w:rPr>
        <w:t>26.商务、技术、价格评审（具体评审项目详见投标资料表）</w:t>
      </w:r>
      <w:bookmarkEnd w:id="61"/>
    </w:p>
    <w:p>
      <w:pPr>
        <w:pStyle w:val="26"/>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2" w:name="_Toc22192"/>
      <w:r>
        <w:rPr>
          <w:rFonts w:hint="eastAsia" w:ascii="宋体" w:hAnsi="宋体" w:eastAsia="宋体"/>
          <w:color w:val="auto"/>
          <w:sz w:val="21"/>
          <w:szCs w:val="21"/>
          <w:highlight w:val="none"/>
        </w:rPr>
        <w:t>27.优惠政策</w:t>
      </w:r>
      <w:bookmarkEnd w:id="62"/>
    </w:p>
    <w:p>
      <w:pPr>
        <w:pStyle w:val="26"/>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2"/>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3" w:name="_Toc316375620"/>
      <w:bookmarkStart w:id="64" w:name="_Toc382049120"/>
      <w:bookmarkStart w:id="65" w:name="_Toc22591"/>
      <w:bookmarkStart w:id="66"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3"/>
      <w:r>
        <w:rPr>
          <w:rFonts w:hint="eastAsia" w:ascii="宋体" w:hAnsi="宋体" w:eastAsia="宋体"/>
          <w:color w:val="auto"/>
          <w:sz w:val="21"/>
          <w:szCs w:val="21"/>
          <w:highlight w:val="none"/>
        </w:rPr>
        <w:t>事项</w:t>
      </w:r>
      <w:bookmarkEnd w:id="64"/>
      <w:bookmarkEnd w:id="65"/>
      <w:bookmarkEnd w:id="66"/>
    </w:p>
    <w:p>
      <w:pPr>
        <w:pStyle w:val="26"/>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67" w:name="_Toc29310"/>
      <w:r>
        <w:rPr>
          <w:rFonts w:hint="eastAsia" w:ascii="宋体" w:hAnsi="宋体" w:eastAsia="宋体"/>
          <w:color w:val="auto"/>
          <w:highlight w:val="none"/>
        </w:rPr>
        <w:t>授予合同</w:t>
      </w:r>
      <w:bookmarkEnd w:id="67"/>
    </w:p>
    <w:p>
      <w:pPr>
        <w:pStyle w:val="5"/>
        <w:widowControl w:val="0"/>
        <w:overflowPunct w:val="0"/>
        <w:spacing w:before="0" w:after="0" w:line="240" w:lineRule="auto"/>
        <w:rPr>
          <w:rFonts w:ascii="宋体" w:hAnsi="宋体" w:eastAsia="宋体"/>
          <w:color w:val="auto"/>
          <w:sz w:val="21"/>
          <w:szCs w:val="21"/>
          <w:highlight w:val="none"/>
        </w:rPr>
      </w:pPr>
      <w:bookmarkStart w:id="68" w:name="_Toc508284011"/>
      <w:bookmarkStart w:id="69"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8"/>
      <w:bookmarkEnd w:id="69"/>
    </w:p>
    <w:p>
      <w:pPr>
        <w:pStyle w:val="26"/>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0" w:name="_Toc29283"/>
      <w:bookmarkStart w:id="71" w:name="_Toc508284013"/>
      <w:r>
        <w:rPr>
          <w:rFonts w:hint="eastAsia" w:ascii="宋体" w:hAnsi="宋体" w:eastAsia="宋体"/>
          <w:color w:val="auto"/>
          <w:sz w:val="21"/>
          <w:szCs w:val="21"/>
          <w:highlight w:val="none"/>
        </w:rPr>
        <w:t>30.发布采购结果</w:t>
      </w:r>
      <w:bookmarkEnd w:id="70"/>
      <w:bookmarkEnd w:id="71"/>
    </w:p>
    <w:p>
      <w:pPr>
        <w:pStyle w:val="26"/>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2"/>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2"/>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2" w:name="_Toc22451"/>
      <w:r>
        <w:rPr>
          <w:rFonts w:hint="eastAsia" w:ascii="宋体" w:hAnsi="宋体" w:eastAsia="宋体"/>
          <w:color w:val="auto"/>
          <w:sz w:val="21"/>
          <w:szCs w:val="21"/>
          <w:highlight w:val="none"/>
        </w:rPr>
        <w:t>31.合同的签订与履行</w:t>
      </w:r>
      <w:bookmarkEnd w:id="72"/>
    </w:p>
    <w:p>
      <w:pPr>
        <w:pStyle w:val="26"/>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2"/>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3" w:name="_Toc303084277"/>
      <w:bookmarkStart w:id="74" w:name="_Toc2744"/>
      <w:bookmarkStart w:id="75" w:name="_Toc29009"/>
      <w:bookmarkStart w:id="76" w:name="_Toc38204912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3"/>
      <w:bookmarkEnd w:id="74"/>
      <w:bookmarkEnd w:id="75"/>
      <w:bookmarkEnd w:id="76"/>
    </w:p>
    <w:p>
      <w:pPr>
        <w:pStyle w:val="26"/>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77" w:name="_Toc13694"/>
      <w:r>
        <w:rPr>
          <w:rFonts w:hint="eastAsia" w:ascii="宋体" w:hAnsi="宋体" w:eastAsia="宋体"/>
          <w:color w:val="auto"/>
          <w:highlight w:val="none"/>
        </w:rPr>
        <w:t>询问或质疑</w:t>
      </w:r>
      <w:bookmarkEnd w:id="77"/>
    </w:p>
    <w:p>
      <w:pPr>
        <w:pStyle w:val="5"/>
        <w:widowControl w:val="0"/>
        <w:overflowPunct w:val="0"/>
        <w:spacing w:before="0" w:after="0" w:line="240" w:lineRule="auto"/>
        <w:rPr>
          <w:rFonts w:ascii="宋体" w:hAnsi="宋体" w:eastAsia="宋体"/>
          <w:color w:val="auto"/>
          <w:sz w:val="21"/>
          <w:szCs w:val="21"/>
          <w:highlight w:val="none"/>
        </w:rPr>
      </w:pPr>
      <w:bookmarkStart w:id="78" w:name="_Toc25498"/>
      <w:r>
        <w:rPr>
          <w:rFonts w:hint="eastAsia" w:ascii="宋体" w:hAnsi="宋体" w:eastAsia="宋体"/>
          <w:color w:val="auto"/>
          <w:sz w:val="21"/>
          <w:szCs w:val="21"/>
          <w:highlight w:val="none"/>
        </w:rPr>
        <w:t>33.询问</w:t>
      </w:r>
      <w:bookmarkEnd w:id="78"/>
    </w:p>
    <w:p>
      <w:pPr>
        <w:pStyle w:val="26"/>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9" w:name="_Toc8234"/>
      <w:r>
        <w:rPr>
          <w:rFonts w:hint="eastAsia" w:ascii="宋体" w:hAnsi="宋体" w:eastAsia="宋体"/>
          <w:color w:val="auto"/>
          <w:sz w:val="21"/>
          <w:szCs w:val="21"/>
          <w:highlight w:val="none"/>
        </w:rPr>
        <w:t>34.质疑</w:t>
      </w:r>
      <w:bookmarkEnd w:id="79"/>
    </w:p>
    <w:p>
      <w:pPr>
        <w:pStyle w:val="26"/>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2"/>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80" w:name="_Toc24383"/>
      <w:r>
        <w:rPr>
          <w:rFonts w:hint="eastAsia" w:ascii="宋体" w:hAnsi="宋体" w:eastAsia="宋体"/>
          <w:color w:val="auto"/>
          <w:highlight w:val="none"/>
        </w:rPr>
        <w:t>其他</w:t>
      </w:r>
      <w:bookmarkEnd w:id="80"/>
    </w:p>
    <w:p>
      <w:pPr>
        <w:pStyle w:val="5"/>
        <w:widowControl w:val="0"/>
        <w:overflowPunct w:val="0"/>
        <w:spacing w:before="0" w:after="0" w:line="240" w:lineRule="auto"/>
        <w:rPr>
          <w:rFonts w:ascii="宋体" w:hAnsi="宋体" w:eastAsia="宋体"/>
          <w:color w:val="auto"/>
          <w:sz w:val="21"/>
          <w:szCs w:val="21"/>
          <w:highlight w:val="none"/>
        </w:rPr>
      </w:pPr>
      <w:bookmarkStart w:id="81" w:name="_Toc10082"/>
      <w:r>
        <w:rPr>
          <w:rFonts w:hint="eastAsia" w:ascii="宋体" w:hAnsi="宋体" w:eastAsia="宋体"/>
          <w:color w:val="auto"/>
          <w:sz w:val="21"/>
          <w:szCs w:val="21"/>
          <w:highlight w:val="none"/>
        </w:rPr>
        <w:t>35.招标文件的解释权</w:t>
      </w:r>
      <w:bookmarkEnd w:id="81"/>
    </w:p>
    <w:p>
      <w:pPr>
        <w:pStyle w:val="26"/>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w:t>
      </w:r>
      <w:r>
        <w:rPr>
          <w:rFonts w:hint="eastAsia" w:ascii="宋体" w:hAnsi="宋体" w:eastAsia="宋体"/>
          <w:color w:val="auto"/>
          <w:sz w:val="21"/>
          <w:szCs w:val="21"/>
          <w:highlight w:val="none"/>
          <w:lang w:val="en-US" w:eastAsia="zh-CN"/>
        </w:rPr>
        <w:t>广东政通</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01。</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2"/>
        <w:spacing w:before="0" w:after="0" w:line="240" w:lineRule="auto"/>
        <w:rPr>
          <w:color w:val="auto"/>
          <w:sz w:val="28"/>
          <w:szCs w:val="28"/>
          <w:highlight w:val="none"/>
        </w:rPr>
      </w:pPr>
      <w:bookmarkStart w:id="82" w:name="_Toc21448"/>
      <w:r>
        <w:rPr>
          <w:rFonts w:hint="eastAsia"/>
          <w:color w:val="auto"/>
          <w:sz w:val="28"/>
          <w:szCs w:val="28"/>
          <w:highlight w:val="none"/>
        </w:rPr>
        <w:t>第五部分 合同格式（仅供参考）</w:t>
      </w:r>
      <w:bookmarkEnd w:id="82"/>
      <w:bookmarkStart w:id="83" w:name="_Toc13430"/>
      <w:bookmarkStart w:id="84" w:name="_Toc1534"/>
      <w:bookmarkStart w:id="85" w:name="_Toc21155"/>
    </w:p>
    <w:p>
      <w:pPr>
        <w:pStyle w:val="4"/>
        <w:spacing w:before="0" w:after="0" w:line="240" w:lineRule="auto"/>
        <w:jc w:val="center"/>
        <w:rPr>
          <w:rFonts w:ascii="宋体" w:hAnsi="宋体" w:eastAsia="宋体" w:cs="宋体"/>
          <w:color w:val="auto"/>
          <w:highlight w:val="none"/>
        </w:rPr>
      </w:pPr>
      <w:bookmarkStart w:id="86" w:name="_Toc16730"/>
      <w:r>
        <w:rPr>
          <w:rFonts w:hint="eastAsia" w:ascii="宋体" w:hAnsi="宋体" w:eastAsia="宋体" w:cs="宋体"/>
          <w:color w:val="auto"/>
          <w:highlight w:val="none"/>
        </w:rPr>
        <w:t>合同格式</w:t>
      </w:r>
      <w:bookmarkEnd w:id="83"/>
      <w:bookmarkEnd w:id="84"/>
      <w:bookmarkEnd w:id="85"/>
      <w:bookmarkEnd w:id="86"/>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lang w:val="en-US"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87"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7"/>
    <w:p>
      <w:pPr>
        <w:spacing w:after="0" w:line="360" w:lineRule="auto"/>
        <w:ind w:firstLine="422" w:firstLineChars="200"/>
        <w:rPr>
          <w:rFonts w:ascii="宋体" w:hAnsi="宋体" w:eastAsia="宋体"/>
          <w:b/>
          <w:color w:val="auto"/>
          <w:sz w:val="21"/>
          <w:szCs w:val="21"/>
          <w:highlight w:val="none"/>
        </w:rPr>
      </w:pPr>
      <w:bookmarkStart w:id="88"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89" w:name="_Toc86481569"/>
      <w:r>
        <w:rPr>
          <w:rFonts w:hint="eastAsia" w:ascii="宋体" w:hAnsi="宋体" w:eastAsia="宋体"/>
          <w:b/>
          <w:color w:val="auto"/>
          <w:sz w:val="21"/>
          <w:szCs w:val="21"/>
          <w:highlight w:val="none"/>
        </w:rPr>
        <w:t>第十二条 合同生效</w:t>
      </w:r>
      <w:bookmarkEnd w:id="89"/>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88"/>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2"/>
        <w:spacing w:before="0" w:after="0" w:line="240" w:lineRule="auto"/>
        <w:rPr>
          <w:color w:val="auto"/>
          <w:sz w:val="28"/>
          <w:szCs w:val="28"/>
          <w:highlight w:val="none"/>
        </w:rPr>
      </w:pPr>
      <w:bookmarkStart w:id="90" w:name="_Toc23749"/>
      <w:r>
        <w:rPr>
          <w:rFonts w:hint="eastAsia"/>
          <w:color w:val="auto"/>
          <w:sz w:val="28"/>
          <w:szCs w:val="28"/>
          <w:highlight w:val="none"/>
        </w:rPr>
        <w:t>第六部分  附件－投标文件格式</w:t>
      </w:r>
      <w:bookmarkEnd w:id="90"/>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91" w:name="_Toc26830"/>
      <w:r>
        <w:rPr>
          <w:rFonts w:hint="eastAsia" w:ascii="宋体" w:hAnsi="宋体" w:eastAsia="宋体"/>
          <w:color w:val="auto"/>
          <w:sz w:val="21"/>
          <w:szCs w:val="21"/>
          <w:highlight w:val="none"/>
        </w:rPr>
        <w:t>附件1.投标文件目录</w:t>
      </w:r>
      <w:bookmarkEnd w:id="91"/>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2" w:name="_Toc18893"/>
      <w:r>
        <w:rPr>
          <w:rFonts w:hint="eastAsia" w:ascii="宋体" w:hAnsi="宋体" w:eastAsia="宋体"/>
          <w:color w:val="auto"/>
          <w:sz w:val="21"/>
          <w:szCs w:val="21"/>
          <w:highlight w:val="none"/>
        </w:rPr>
        <w:t>附件1-1 评分标准索引表</w:t>
      </w:r>
      <w:bookmarkEnd w:id="92"/>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8"/>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7"/>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3" w:name="_Toc30640"/>
      <w:r>
        <w:rPr>
          <w:rFonts w:hint="eastAsia" w:ascii="宋体" w:hAnsi="宋体" w:eastAsia="宋体"/>
          <w:color w:val="auto"/>
          <w:sz w:val="21"/>
          <w:szCs w:val="21"/>
          <w:highlight w:val="none"/>
        </w:rPr>
        <w:t>附件2.投标书格式</w:t>
      </w:r>
      <w:bookmarkEnd w:id="93"/>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5"/>
        <w:widowControl w:val="0"/>
        <w:overflowPunct w:val="0"/>
        <w:spacing w:before="0" w:after="0" w:line="240" w:lineRule="auto"/>
        <w:rPr>
          <w:rFonts w:ascii="宋体" w:hAnsi="宋体" w:eastAsia="宋体"/>
          <w:color w:val="auto"/>
          <w:sz w:val="21"/>
          <w:szCs w:val="21"/>
          <w:highlight w:val="none"/>
        </w:rPr>
      </w:pPr>
      <w:bookmarkStart w:id="94" w:name="_Toc6866"/>
      <w:r>
        <w:rPr>
          <w:rFonts w:hint="eastAsia" w:ascii="宋体" w:hAnsi="宋体" w:eastAsia="宋体"/>
          <w:color w:val="auto"/>
          <w:sz w:val="21"/>
          <w:szCs w:val="21"/>
          <w:highlight w:val="none"/>
        </w:rPr>
        <w:t>附件3.开标一览表格式</w:t>
      </w:r>
      <w:bookmarkEnd w:id="94"/>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1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vAlign w:val="top"/>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vAlign w:val="top"/>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vAlign w:val="top"/>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vAlign w:val="top"/>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5"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5"/>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40"/>
                <w:rFonts w:ascii="宋体" w:hAnsi="宋体" w:eastAsia="宋体" w:cs="宋体"/>
                <w:b/>
                <w:color w:val="auto"/>
                <w:sz w:val="21"/>
                <w:szCs w:val="21"/>
                <w:highlight w:val="none"/>
              </w:rPr>
            </w:pPr>
            <w:r>
              <w:rPr>
                <w:rStyle w:val="40"/>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40"/>
                <w:rFonts w:hint="eastAsia" w:ascii="宋体" w:hAnsi="宋体" w:eastAsia="宋体" w:cs="宋体"/>
                <w:b/>
                <w:color w:val="auto"/>
                <w:sz w:val="21"/>
                <w:szCs w:val="21"/>
                <w:highlight w:val="none"/>
              </w:rPr>
              <w:t>；</w:t>
            </w:r>
          </w:p>
          <w:p>
            <w:pPr>
              <w:tabs>
                <w:tab w:val="left" w:pos="284"/>
              </w:tabs>
              <w:spacing w:after="0"/>
              <w:rPr>
                <w:rStyle w:val="40"/>
                <w:rFonts w:ascii="宋体" w:hAnsi="宋体" w:eastAsia="宋体" w:cs="宋体"/>
                <w:b/>
                <w:color w:val="auto"/>
                <w:sz w:val="21"/>
                <w:szCs w:val="21"/>
                <w:highlight w:val="none"/>
              </w:rPr>
            </w:pPr>
            <w:r>
              <w:rPr>
                <w:rStyle w:val="40"/>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0"/>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6"/>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40"/>
                <w:rFonts w:ascii="宋体" w:hAnsi="宋体" w:eastAsia="宋体" w:cs="宋体"/>
                <w:b/>
                <w:color w:val="auto"/>
                <w:sz w:val="21"/>
                <w:szCs w:val="21"/>
                <w:highlight w:val="none"/>
              </w:rPr>
            </w:pPr>
            <w:r>
              <w:rPr>
                <w:rStyle w:val="40"/>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40"/>
                <w:rFonts w:ascii="宋体" w:hAnsi="宋体" w:eastAsia="宋体" w:cs="宋体"/>
                <w:b/>
                <w:color w:val="auto"/>
                <w:sz w:val="21"/>
                <w:szCs w:val="21"/>
                <w:highlight w:val="none"/>
              </w:rPr>
            </w:pPr>
            <w:r>
              <w:rPr>
                <w:rStyle w:val="40"/>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0"/>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6" w:name="_Toc16412"/>
      <w:r>
        <w:rPr>
          <w:rFonts w:hint="eastAsia" w:ascii="宋体" w:hAnsi="宋体" w:eastAsia="宋体"/>
          <w:color w:val="auto"/>
          <w:sz w:val="21"/>
          <w:szCs w:val="21"/>
          <w:highlight w:val="none"/>
        </w:rPr>
        <w:t>附件5. 法定代表人证明书格式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27"/>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27"/>
        <w:spacing w:line="420" w:lineRule="atLeast"/>
        <w:ind w:firstLine="433"/>
        <w:rPr>
          <w:rFonts w:ascii="宋体" w:eastAsia="宋体"/>
          <w:color w:val="auto"/>
          <w:sz w:val="21"/>
          <w:szCs w:val="21"/>
          <w:highlight w:val="none"/>
        </w:rPr>
      </w:pPr>
    </w:p>
    <w:p>
      <w:pPr>
        <w:pStyle w:val="2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2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2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2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2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9"/>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hAnsi="Cambria" w:eastAsia="楷体_GB2312" w:cs="黑体"/>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97" w:name="_Toc31205"/>
      <w:r>
        <w:rPr>
          <w:rFonts w:hint="eastAsia" w:ascii="宋体" w:hAnsi="宋体" w:eastAsia="宋体"/>
          <w:color w:val="auto"/>
          <w:sz w:val="21"/>
          <w:szCs w:val="21"/>
          <w:highlight w:val="none"/>
        </w:rPr>
        <w:t>附件6.法定代表人授权书格式</w:t>
      </w:r>
      <w:bookmarkEnd w:id="9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27"/>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27"/>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2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2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2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27"/>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9"/>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8" w:name="_Toc22486"/>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9" w:name="_Toc17164"/>
      <w:r>
        <w:rPr>
          <w:rFonts w:hint="eastAsia" w:ascii="宋体" w:hAnsi="宋体" w:eastAsia="宋体"/>
          <w:color w:val="auto"/>
          <w:sz w:val="21"/>
          <w:szCs w:val="21"/>
          <w:highlight w:val="none"/>
        </w:rPr>
        <w:t>附件7.资格申明</w:t>
      </w:r>
      <w:bookmarkEnd w:id="99"/>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2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0" w:name="_Toc27839"/>
      <w:r>
        <w:rPr>
          <w:rFonts w:hint="eastAsia" w:ascii="宋体" w:hAnsi="宋体" w:eastAsia="宋体"/>
          <w:color w:val="auto"/>
          <w:sz w:val="21"/>
          <w:szCs w:val="21"/>
          <w:highlight w:val="none"/>
        </w:rPr>
        <w:t>附件8.营业执照</w:t>
      </w:r>
      <w:bookmarkEnd w:id="100"/>
    </w:p>
    <w:p>
      <w:pPr>
        <w:jc w:val="center"/>
        <w:rPr>
          <w:rFonts w:ascii="黑体" w:eastAsia="黑体"/>
          <w:color w:val="auto"/>
          <w:sz w:val="28"/>
          <w:szCs w:val="28"/>
          <w:highlight w:val="none"/>
        </w:rPr>
      </w:pPr>
      <w:bookmarkStart w:id="101" w:name="_Toc5919"/>
      <w:bookmarkStart w:id="102" w:name="_Toc17470"/>
      <w:bookmarkStart w:id="103" w:name="_Toc24210"/>
      <w:bookmarkStart w:id="104" w:name="_Toc1511"/>
      <w:bookmarkStart w:id="105" w:name="_Toc4926"/>
      <w:r>
        <w:rPr>
          <w:rFonts w:hint="eastAsia" w:ascii="黑体" w:eastAsia="黑体"/>
          <w:color w:val="auto"/>
          <w:sz w:val="28"/>
          <w:szCs w:val="28"/>
          <w:highlight w:val="none"/>
        </w:rPr>
        <w:t>营业执照</w:t>
      </w:r>
      <w:bookmarkEnd w:id="101"/>
      <w:bookmarkEnd w:id="102"/>
      <w:bookmarkEnd w:id="103"/>
      <w:bookmarkEnd w:id="104"/>
      <w:bookmarkEnd w:id="105"/>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6" w:name="_Toc26141"/>
      <w:r>
        <w:rPr>
          <w:rFonts w:hint="eastAsia" w:ascii="宋体" w:hAnsi="宋体" w:eastAsia="宋体"/>
          <w:color w:val="auto"/>
          <w:sz w:val="21"/>
          <w:szCs w:val="21"/>
          <w:highlight w:val="none"/>
        </w:rPr>
        <w:t>附件9.相关资质证明文件</w:t>
      </w:r>
      <w:bookmarkEnd w:id="106"/>
    </w:p>
    <w:p>
      <w:pPr>
        <w:rPr>
          <w:color w:val="auto"/>
          <w:highlight w:val="none"/>
        </w:rPr>
      </w:pPr>
    </w:p>
    <w:p>
      <w:pPr>
        <w:jc w:val="center"/>
        <w:rPr>
          <w:rFonts w:ascii="黑体" w:eastAsia="黑体"/>
          <w:color w:val="auto"/>
          <w:sz w:val="28"/>
          <w:szCs w:val="28"/>
          <w:highlight w:val="none"/>
        </w:rPr>
      </w:pPr>
      <w:bookmarkStart w:id="107" w:name="_Toc16698"/>
      <w:bookmarkStart w:id="108" w:name="_Toc16233"/>
      <w:bookmarkStart w:id="109" w:name="_Toc30307"/>
      <w:bookmarkStart w:id="110" w:name="_Toc13458"/>
      <w:bookmarkStart w:id="111" w:name="_Toc9592"/>
      <w:r>
        <w:rPr>
          <w:rFonts w:hint="eastAsia" w:ascii="黑体" w:eastAsia="黑体"/>
          <w:color w:val="auto"/>
          <w:sz w:val="28"/>
          <w:szCs w:val="28"/>
          <w:highlight w:val="none"/>
        </w:rPr>
        <w:t>相关资质证明文件</w:t>
      </w:r>
      <w:bookmarkEnd w:id="98"/>
      <w:bookmarkEnd w:id="107"/>
      <w:bookmarkEnd w:id="108"/>
      <w:bookmarkEnd w:id="109"/>
      <w:bookmarkEnd w:id="110"/>
      <w:bookmarkEnd w:id="111"/>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2" w:name="_Toc17618"/>
      <w:r>
        <w:rPr>
          <w:rFonts w:hint="eastAsia" w:ascii="宋体" w:hAnsi="宋体" w:eastAsia="宋体"/>
          <w:color w:val="auto"/>
          <w:sz w:val="21"/>
          <w:szCs w:val="21"/>
          <w:highlight w:val="none"/>
        </w:rPr>
        <w:t>附件10. 商务条款偏离表格式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3" w:name="_Toc32183"/>
      <w:r>
        <w:rPr>
          <w:rFonts w:hint="eastAsia" w:ascii="宋体" w:hAnsi="宋体" w:eastAsia="宋体"/>
          <w:color w:val="auto"/>
          <w:sz w:val="21"/>
          <w:szCs w:val="21"/>
          <w:highlight w:val="none"/>
        </w:rPr>
        <w:t>附件11. 技术规格偏离表格式</w:t>
      </w:r>
      <w:bookmarkEnd w:id="11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4" w:name="_Toc17691"/>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s="Times New Roman"/>
          <w:b w:val="0"/>
          <w:bCs w:val="0"/>
          <w:color w:val="auto"/>
          <w:sz w:val="32"/>
          <w:szCs w:val="32"/>
          <w:highlight w:val="none"/>
        </w:rPr>
      </w:pPr>
      <w:bookmarkStart w:id="115" w:name="_Toc29613"/>
      <w:r>
        <w:rPr>
          <w:rFonts w:hint="eastAsia" w:ascii="宋体" w:hAnsi="宋体" w:eastAsia="宋体"/>
          <w:color w:val="auto"/>
          <w:sz w:val="21"/>
          <w:szCs w:val="21"/>
          <w:highlight w:val="none"/>
        </w:rPr>
        <w:t>附件12.重要技术参数（▲）响应表</w:t>
      </w:r>
      <w:bookmarkEnd w:id="114"/>
      <w:bookmarkEnd w:id="115"/>
    </w:p>
    <w:p>
      <w:pPr>
        <w:jc w:val="center"/>
        <w:rPr>
          <w:rFonts w:ascii="黑体" w:eastAsia="黑体"/>
          <w:color w:val="auto"/>
          <w:sz w:val="28"/>
          <w:szCs w:val="28"/>
          <w:highlight w:val="none"/>
        </w:rPr>
      </w:pPr>
      <w:bookmarkStart w:id="116" w:name="_Toc18668"/>
      <w:bookmarkStart w:id="117" w:name="_Toc4464"/>
      <w:bookmarkStart w:id="118" w:name="_Toc26078"/>
      <w:bookmarkStart w:id="119" w:name="_Toc4827"/>
      <w:bookmarkStart w:id="120" w:name="_Toc1274"/>
      <w:bookmarkStart w:id="121" w:name="_Toc6080"/>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6"/>
      <w:bookmarkEnd w:id="117"/>
      <w:bookmarkEnd w:id="118"/>
      <w:bookmarkEnd w:id="119"/>
      <w:bookmarkEnd w:id="120"/>
      <w:bookmarkEnd w:id="121"/>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22" w:name="_Toc14815"/>
            <w:bookmarkStart w:id="123" w:name="_Toc4304"/>
            <w:bookmarkStart w:id="124" w:name="_Toc15903"/>
            <w:bookmarkStart w:id="125" w:name="_Toc2700"/>
            <w:bookmarkStart w:id="126" w:name="_Toc12049"/>
            <w:bookmarkStart w:id="127" w:name="_Toc27090"/>
            <w:bookmarkStart w:id="128" w:name="_Toc10045"/>
            <w:bookmarkStart w:id="129" w:name="_Toc21739"/>
            <w:bookmarkStart w:id="130" w:name="_Toc22448"/>
            <w:bookmarkStart w:id="131" w:name="_Toc16872"/>
            <w:r>
              <w:rPr>
                <w:rFonts w:hint="eastAsia" w:ascii="宋体" w:hAnsi="宋体" w:eastAsia="宋体" w:cs="Times New Roman"/>
                <w:color w:val="auto"/>
                <w:sz w:val="21"/>
                <w:szCs w:val="21"/>
                <w:highlight w:val="none"/>
              </w:rPr>
              <w:t>技术参数（▲）</w:t>
            </w:r>
            <w:bookmarkEnd w:id="122"/>
            <w:bookmarkEnd w:id="123"/>
            <w:bookmarkEnd w:id="124"/>
            <w:bookmarkEnd w:id="125"/>
            <w:bookmarkEnd w:id="126"/>
            <w:bookmarkEnd w:id="127"/>
            <w:bookmarkEnd w:id="128"/>
            <w:bookmarkEnd w:id="129"/>
            <w:bookmarkEnd w:id="130"/>
            <w:bookmarkEnd w:id="131"/>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32" w:name="_Toc22879"/>
            <w:bookmarkStart w:id="133" w:name="_Toc32531"/>
            <w:bookmarkStart w:id="134" w:name="_Toc7333"/>
            <w:bookmarkStart w:id="135" w:name="_Toc8490"/>
            <w:bookmarkStart w:id="136" w:name="_Toc22917"/>
            <w:bookmarkStart w:id="137" w:name="_Toc27442"/>
            <w:bookmarkStart w:id="138" w:name="_Toc24662"/>
            <w:bookmarkStart w:id="139" w:name="_Toc21809"/>
            <w:bookmarkStart w:id="140" w:name="_Toc19251"/>
            <w:bookmarkStart w:id="141" w:name="_Toc8312"/>
            <w:r>
              <w:rPr>
                <w:rFonts w:hint="eastAsia" w:ascii="宋体" w:hAnsi="宋体" w:eastAsia="宋体" w:cs="Times New Roman"/>
                <w:color w:val="auto"/>
                <w:sz w:val="21"/>
                <w:szCs w:val="21"/>
                <w:highlight w:val="none"/>
              </w:rPr>
              <w:t>是否响应</w:t>
            </w:r>
            <w:bookmarkEnd w:id="132"/>
            <w:bookmarkEnd w:id="133"/>
            <w:bookmarkEnd w:id="134"/>
            <w:bookmarkEnd w:id="135"/>
            <w:bookmarkEnd w:id="136"/>
            <w:bookmarkEnd w:id="137"/>
            <w:bookmarkEnd w:id="138"/>
            <w:bookmarkEnd w:id="139"/>
            <w:bookmarkEnd w:id="140"/>
            <w:bookmarkEnd w:id="141"/>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42" w:name="_Toc27185"/>
            <w:bookmarkStart w:id="143" w:name="_Toc20139"/>
            <w:bookmarkStart w:id="144" w:name="_Toc1330"/>
            <w:bookmarkStart w:id="145" w:name="_Toc1912"/>
            <w:bookmarkStart w:id="146" w:name="_Toc17296"/>
            <w:bookmarkStart w:id="147" w:name="_Toc5563"/>
            <w:bookmarkStart w:id="148" w:name="_Toc20820"/>
            <w:bookmarkStart w:id="149" w:name="_Toc5992"/>
            <w:bookmarkStart w:id="150" w:name="_Toc3701"/>
            <w:bookmarkStart w:id="151" w:name="_Toc17642"/>
            <w:r>
              <w:rPr>
                <w:rFonts w:hint="eastAsia" w:ascii="宋体" w:hAnsi="宋体" w:eastAsia="宋体" w:cs="Times New Roman"/>
                <w:color w:val="auto"/>
                <w:sz w:val="21"/>
                <w:szCs w:val="21"/>
                <w:highlight w:val="none"/>
              </w:rPr>
              <w:t>页码范围</w:t>
            </w:r>
            <w:bookmarkEnd w:id="142"/>
            <w:bookmarkEnd w:id="143"/>
            <w:bookmarkEnd w:id="144"/>
            <w:bookmarkEnd w:id="145"/>
            <w:bookmarkEnd w:id="146"/>
            <w:bookmarkEnd w:id="147"/>
            <w:bookmarkEnd w:id="148"/>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6"/>
        <w:spacing w:after="0" w:line="360" w:lineRule="auto"/>
        <w:rPr>
          <w:rFonts w:ascii="宋体" w:hAnsi="宋体" w:eastAsia="宋体"/>
          <w:color w:val="auto"/>
          <w:sz w:val="21"/>
          <w:szCs w:val="21"/>
          <w:highlight w:val="none"/>
        </w:rPr>
      </w:pPr>
    </w:p>
    <w:p>
      <w:pPr>
        <w:pStyle w:val="26"/>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6"/>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6"/>
        <w:numPr>
          <w:ilvl w:val="0"/>
          <w:numId w:val="10"/>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26"/>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6"/>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6"/>
        <w:numPr>
          <w:ilvl w:val="0"/>
          <w:numId w:val="10"/>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30"/>
          <w:szCs w:val="30"/>
          <w:highlight w:val="none"/>
        </w:rPr>
      </w:pPr>
      <w:bookmarkStart w:id="152" w:name="_Toc27674"/>
      <w:r>
        <w:rPr>
          <w:rFonts w:hint="eastAsia" w:ascii="宋体" w:hAnsi="宋体" w:eastAsia="宋体"/>
          <w:color w:val="auto"/>
          <w:sz w:val="21"/>
          <w:szCs w:val="21"/>
          <w:highlight w:val="none"/>
        </w:rPr>
        <w:t>附件13.业绩表</w:t>
      </w:r>
      <w:bookmarkEnd w:id="152"/>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706"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697" w:type="dxa"/>
            <w:vAlign w:val="top"/>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1705"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706"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697" w:type="dxa"/>
            <w:vAlign w:val="top"/>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706"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697" w:type="dxa"/>
            <w:vAlign w:val="top"/>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706"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697" w:type="dxa"/>
            <w:vAlign w:val="top"/>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706"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697" w:type="dxa"/>
            <w:vAlign w:val="top"/>
          </w:tcPr>
          <w:p>
            <w:pPr>
              <w:adjustRightInd/>
              <w:snapToGrid/>
              <w:spacing w:after="0"/>
              <w:rPr>
                <w:rFonts w:ascii="宋体" w:hAnsi="宋体" w:eastAsia="宋体"/>
                <w:color w:val="auto"/>
                <w:sz w:val="21"/>
                <w:szCs w:val="21"/>
                <w:highlight w:val="none"/>
              </w:rPr>
            </w:pPr>
          </w:p>
        </w:tc>
      </w:tr>
    </w:tbl>
    <w:p>
      <w:pPr>
        <w:pStyle w:val="26"/>
        <w:spacing w:after="0"/>
        <w:rPr>
          <w:rFonts w:ascii="宋体" w:hAnsi="宋体" w:eastAsia="宋体"/>
          <w:color w:val="auto"/>
          <w:sz w:val="21"/>
          <w:szCs w:val="21"/>
          <w:highlight w:val="none"/>
        </w:rPr>
      </w:pPr>
    </w:p>
    <w:p>
      <w:pPr>
        <w:pStyle w:val="26"/>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6"/>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6"/>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6"/>
        <w:numPr>
          <w:ilvl w:val="0"/>
          <w:numId w:val="11"/>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3" w:name="_Toc7860"/>
      <w:r>
        <w:rPr>
          <w:rFonts w:hint="eastAsia" w:ascii="宋体" w:hAnsi="宋体" w:eastAsia="宋体"/>
          <w:color w:val="auto"/>
          <w:sz w:val="21"/>
          <w:szCs w:val="21"/>
          <w:highlight w:val="none"/>
        </w:rPr>
        <w:t>附件14. 项目实施方案格式</w:t>
      </w:r>
      <w:bookmarkEnd w:id="153"/>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4" w:name="_Toc8596"/>
      <w:r>
        <w:rPr>
          <w:rFonts w:hint="eastAsia" w:ascii="宋体" w:hAnsi="宋体" w:eastAsia="宋体"/>
          <w:color w:val="auto"/>
          <w:sz w:val="21"/>
          <w:szCs w:val="21"/>
          <w:highlight w:val="none"/>
        </w:rPr>
        <w:t>附件15. 实施本项目的有关人员资料表格式</w:t>
      </w:r>
      <w:bookmarkEnd w:id="154"/>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9"/>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6"/>
        <w:numPr>
          <w:ilvl w:val="0"/>
          <w:numId w:val="1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26"/>
        <w:numPr>
          <w:ilvl w:val="0"/>
          <w:numId w:val="12"/>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6"/>
        <w:numPr>
          <w:ilvl w:val="0"/>
          <w:numId w:val="12"/>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5" w:name="_Toc21598"/>
      <w:r>
        <w:rPr>
          <w:rFonts w:hint="eastAsia" w:ascii="宋体" w:hAnsi="宋体" w:eastAsia="宋体"/>
          <w:color w:val="auto"/>
          <w:sz w:val="21"/>
          <w:szCs w:val="21"/>
          <w:highlight w:val="none"/>
        </w:rPr>
        <w:t>附件16.投标货物说明一览表格式</w:t>
      </w:r>
      <w:bookmarkEnd w:id="155"/>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6"/>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6"/>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6"/>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6" w:name="_Toc10094"/>
      <w:bookmarkStart w:id="157" w:name="_Toc417907703"/>
      <w:bookmarkStart w:id="158" w:name="_Toc21223"/>
      <w:r>
        <w:rPr>
          <w:rFonts w:hint="eastAsia" w:ascii="宋体" w:hAnsi="宋体" w:eastAsia="宋体"/>
          <w:color w:val="auto"/>
          <w:sz w:val="21"/>
          <w:szCs w:val="21"/>
          <w:highlight w:val="none"/>
        </w:rPr>
        <w:t>附件17.在经营活动中没有重大违法记录的书面声明格式</w:t>
      </w:r>
      <w:bookmarkEnd w:id="15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hAnsi="Cambria" w:eastAsia="楷体_GB2312" w:cs="黑体"/>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57"/>
      <w:bookmarkEnd w:id="158"/>
    </w:p>
    <w:p>
      <w:pPr>
        <w:jc w:val="center"/>
        <w:rPr>
          <w:rFonts w:ascii="微软雅黑" w:hAnsi="微软雅黑" w:cs="微软雅黑"/>
          <w:b/>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widowControl/>
        <w:wordWrap/>
        <w:adjustRightInd w:val="0"/>
        <w:snapToGrid w:val="0"/>
        <w:spacing w:line="360" w:lineRule="auto"/>
        <w:ind w:firstLine="630" w:firstLineChars="3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lang w:val="en-US" w:eastAsia="zh-CN"/>
        </w:rPr>
        <w:t>（单位名称）</w:t>
      </w:r>
      <w:r>
        <w:rPr>
          <w:rFonts w:hint="eastAsia" w:ascii="宋体" w:hAnsi="宋体" w:eastAsia="宋体" w:cs="宋体"/>
          <w:color w:val="auto"/>
          <w:sz w:val="21"/>
          <w:szCs w:val="21"/>
          <w:highlight w:val="none"/>
          <w:u w:val="none"/>
          <w:lang w:val="en-US" w:eastAsia="zh-CN"/>
        </w:rPr>
        <w:t>的</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none"/>
          <w:lang w:val="en-US" w:eastAsia="zh-CN"/>
        </w:rPr>
        <w:t>采购活动，提供的货物全部由符合政策要求的中小企业制造。相关企业</w:t>
      </w:r>
      <w:r>
        <w:rPr>
          <w:rFonts w:hint="eastAsia" w:ascii="宋体" w:hAnsi="宋体" w:eastAsia="宋体" w:cs="宋体"/>
          <w:color w:val="auto"/>
          <w:sz w:val="21"/>
          <w:szCs w:val="21"/>
          <w:highlight w:val="none"/>
          <w:u w:val="single"/>
          <w:lang w:val="en-US" w:eastAsia="zh-CN"/>
        </w:rPr>
        <w:t>（含联合体中的中小企业、签订分包意向协议的中小企业）</w:t>
      </w:r>
      <w:r>
        <w:rPr>
          <w:rFonts w:hint="eastAsia" w:ascii="宋体" w:hAnsi="宋体" w:eastAsia="宋体" w:cs="宋体"/>
          <w:color w:val="auto"/>
          <w:sz w:val="21"/>
          <w:szCs w:val="21"/>
          <w:highlight w:val="none"/>
          <w:u w:val="none"/>
          <w:lang w:val="en-US" w:eastAsia="zh-CN"/>
        </w:rPr>
        <w:t>的具体情况如下：</w:t>
      </w:r>
    </w:p>
    <w:p>
      <w:pPr>
        <w:pStyle w:val="7"/>
        <w:widowControl/>
        <w:wordWrap/>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u w:val="single"/>
          <w:lang w:val="en-US" w:eastAsia="zh-CN"/>
        </w:rPr>
        <w:t>（标的名称）</w:t>
      </w:r>
      <w:r>
        <w:rPr>
          <w:rFonts w:hint="eastAsia" w:ascii="宋体" w:hAnsi="宋体" w:eastAsia="宋体" w:cs="宋体"/>
          <w:color w:val="auto"/>
          <w:sz w:val="21"/>
          <w:szCs w:val="21"/>
          <w:highlight w:val="none"/>
          <w:u w:val="none"/>
          <w:lang w:val="en-US" w:eastAsia="zh-CN"/>
        </w:rPr>
        <w:t>，属于</w:t>
      </w:r>
      <w:r>
        <w:rPr>
          <w:rFonts w:hint="eastAsia" w:ascii="宋体" w:hAnsi="宋体" w:eastAsia="宋体" w:cs="宋体"/>
          <w:color w:val="auto"/>
          <w:sz w:val="21"/>
          <w:szCs w:val="21"/>
          <w:highlight w:val="none"/>
          <w:u w:val="single"/>
          <w:lang w:val="en-US" w:eastAsia="zh-CN"/>
        </w:rPr>
        <w:t>（采购文件中明确的所属行业）行业</w:t>
      </w:r>
      <w:r>
        <w:rPr>
          <w:rFonts w:hint="eastAsia" w:ascii="宋体" w:hAnsi="宋体" w:eastAsia="宋体" w:cs="宋体"/>
          <w:color w:val="auto"/>
          <w:sz w:val="21"/>
          <w:szCs w:val="21"/>
          <w:highlight w:val="none"/>
          <w:u w:val="none"/>
          <w:lang w:val="en-US" w:eastAsia="zh-CN"/>
        </w:rPr>
        <w:t>；制造商为</w:t>
      </w:r>
      <w:r>
        <w:rPr>
          <w:rFonts w:hint="eastAsia" w:ascii="宋体" w:hAnsi="宋体" w:eastAsia="宋体" w:cs="宋体"/>
          <w:color w:val="auto"/>
          <w:sz w:val="21"/>
          <w:szCs w:val="21"/>
          <w:highlight w:val="none"/>
          <w:u w:val="single"/>
          <w:lang w:val="en-US" w:eastAsia="zh-CN"/>
        </w:rPr>
        <w:t>（企业名称）</w:t>
      </w:r>
      <w:r>
        <w:rPr>
          <w:rFonts w:hint="eastAsia" w:ascii="宋体" w:hAnsi="宋体" w:eastAsia="宋体" w:cs="宋体"/>
          <w:color w:val="auto"/>
          <w:sz w:val="21"/>
          <w:szCs w:val="21"/>
          <w:highlight w:val="none"/>
          <w:u w:val="none"/>
          <w:lang w:val="en-US" w:eastAsia="zh-CN"/>
        </w:rPr>
        <w:t>，从业人员_______人，营业收入为_______万元，资产总额为______万元</w:t>
      </w:r>
      <w:r>
        <w:rPr>
          <w:rStyle w:val="25"/>
          <w:rFonts w:hint="eastAsia" w:ascii="宋体" w:hAnsi="宋体" w:eastAsia="宋体" w:cs="宋体"/>
          <w:color w:val="auto"/>
          <w:sz w:val="21"/>
          <w:szCs w:val="21"/>
          <w:highlight w:val="none"/>
          <w:u w:val="none"/>
          <w:lang w:val="en-US" w:eastAsia="zh-CN"/>
        </w:rPr>
        <w:footnoteReference w:id="0"/>
      </w:r>
      <w:r>
        <w:rPr>
          <w:rFonts w:hint="eastAsia" w:ascii="宋体" w:hAnsi="宋体" w:eastAsia="宋体" w:cs="宋体"/>
          <w:color w:val="auto"/>
          <w:sz w:val="21"/>
          <w:szCs w:val="21"/>
          <w:highlight w:val="none"/>
          <w:u w:val="none"/>
          <w:lang w:val="en-US" w:eastAsia="zh-CN"/>
        </w:rPr>
        <w:t>，属于</w:t>
      </w:r>
      <w:r>
        <w:rPr>
          <w:rFonts w:hint="eastAsia" w:ascii="宋体" w:hAnsi="宋体" w:eastAsia="宋体" w:cs="宋体"/>
          <w:color w:val="auto"/>
          <w:sz w:val="21"/>
          <w:szCs w:val="21"/>
          <w:highlight w:val="none"/>
          <w:u w:val="single"/>
          <w:lang w:val="en-US" w:eastAsia="zh-CN"/>
        </w:rPr>
        <w:t>（中型企业、小型企业、微型企业）</w:t>
      </w:r>
      <w:r>
        <w:rPr>
          <w:rFonts w:hint="eastAsia" w:ascii="宋体" w:hAnsi="宋体" w:eastAsia="宋体" w:cs="宋体"/>
          <w:color w:val="auto"/>
          <w:sz w:val="21"/>
          <w:szCs w:val="21"/>
          <w:highlight w:val="none"/>
          <w:u w:val="none"/>
          <w:lang w:val="en-US" w:eastAsia="zh-CN"/>
        </w:rPr>
        <w:t>；</w:t>
      </w:r>
    </w:p>
    <w:p>
      <w:pPr>
        <w:pStyle w:val="7"/>
        <w:widowControl/>
        <w:wordWrap/>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2.</w:t>
      </w:r>
      <w:r>
        <w:rPr>
          <w:rFonts w:hint="eastAsia" w:ascii="宋体" w:hAnsi="宋体" w:eastAsia="宋体" w:cs="宋体"/>
          <w:color w:val="auto"/>
          <w:sz w:val="21"/>
          <w:szCs w:val="21"/>
          <w:highlight w:val="none"/>
          <w:u w:val="single"/>
          <w:lang w:val="en-US" w:eastAsia="zh-CN"/>
        </w:rPr>
        <w:t>（标的名称）</w:t>
      </w:r>
      <w:r>
        <w:rPr>
          <w:rFonts w:hint="eastAsia" w:ascii="宋体" w:hAnsi="宋体" w:eastAsia="宋体" w:cs="宋体"/>
          <w:color w:val="auto"/>
          <w:sz w:val="21"/>
          <w:szCs w:val="21"/>
          <w:highlight w:val="none"/>
          <w:u w:val="none"/>
          <w:lang w:val="en-US" w:eastAsia="zh-CN"/>
        </w:rPr>
        <w:t>，属于</w:t>
      </w:r>
      <w:r>
        <w:rPr>
          <w:rFonts w:hint="eastAsia" w:ascii="宋体" w:hAnsi="宋体" w:eastAsia="宋体" w:cs="宋体"/>
          <w:color w:val="auto"/>
          <w:sz w:val="21"/>
          <w:szCs w:val="21"/>
          <w:highlight w:val="none"/>
          <w:u w:val="single"/>
          <w:lang w:val="en-US" w:eastAsia="zh-CN"/>
        </w:rPr>
        <w:t>（采购文件中明确的所属行业）行业</w:t>
      </w:r>
      <w:r>
        <w:rPr>
          <w:rFonts w:hint="eastAsia" w:ascii="宋体" w:hAnsi="宋体" w:eastAsia="宋体" w:cs="宋体"/>
          <w:color w:val="auto"/>
          <w:sz w:val="21"/>
          <w:szCs w:val="21"/>
          <w:highlight w:val="none"/>
          <w:u w:val="none"/>
          <w:lang w:val="en-US" w:eastAsia="zh-CN"/>
        </w:rPr>
        <w:t>；制造商为</w:t>
      </w:r>
      <w:r>
        <w:rPr>
          <w:rFonts w:hint="eastAsia" w:ascii="宋体" w:hAnsi="宋体" w:eastAsia="宋体" w:cs="宋体"/>
          <w:color w:val="auto"/>
          <w:sz w:val="21"/>
          <w:szCs w:val="21"/>
          <w:highlight w:val="none"/>
          <w:u w:val="single"/>
          <w:lang w:val="en-US" w:eastAsia="zh-CN"/>
        </w:rPr>
        <w:t>（企业名称）</w:t>
      </w:r>
      <w:r>
        <w:rPr>
          <w:rFonts w:hint="eastAsia" w:ascii="宋体" w:hAnsi="宋体" w:eastAsia="宋体" w:cs="宋体"/>
          <w:color w:val="auto"/>
          <w:sz w:val="21"/>
          <w:szCs w:val="21"/>
          <w:highlight w:val="none"/>
          <w:u w:val="none"/>
          <w:lang w:val="en-US" w:eastAsia="zh-CN"/>
        </w:rPr>
        <w:t>，从业人员_______人，营业收入为_______万元，资产总额为______万元，属于</w:t>
      </w:r>
      <w:r>
        <w:rPr>
          <w:rFonts w:hint="eastAsia" w:ascii="宋体" w:hAnsi="宋体" w:eastAsia="宋体" w:cs="宋体"/>
          <w:color w:val="auto"/>
          <w:sz w:val="21"/>
          <w:szCs w:val="21"/>
          <w:highlight w:val="none"/>
          <w:u w:val="single"/>
          <w:lang w:val="en-US" w:eastAsia="zh-CN"/>
        </w:rPr>
        <w:t>（中型企业、小型企业、微型企业）</w:t>
      </w:r>
      <w:r>
        <w:rPr>
          <w:rFonts w:hint="eastAsia" w:ascii="宋体" w:hAnsi="宋体" w:eastAsia="宋体" w:cs="宋体"/>
          <w:color w:val="auto"/>
          <w:sz w:val="21"/>
          <w:szCs w:val="21"/>
          <w:highlight w:val="none"/>
          <w:u w:val="none"/>
          <w:lang w:val="en-US" w:eastAsia="zh-CN"/>
        </w:rPr>
        <w:t>；</w:t>
      </w:r>
    </w:p>
    <w:p>
      <w:pPr>
        <w:pStyle w:val="7"/>
        <w:widowControl/>
        <w:wordWrap/>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p>
      <w:pPr>
        <w:pStyle w:val="7"/>
        <w:widowControl/>
        <w:wordWrap/>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7"/>
        <w:widowControl/>
        <w:wordWrap/>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本企业对上诉声明内容的真实性负责。如有虚假，将依法承担相应责任。</w:t>
      </w:r>
    </w:p>
    <w:p>
      <w:pPr>
        <w:pStyle w:val="7"/>
        <w:widowControl/>
        <w:wordWrap w:val="0"/>
        <w:adjustRightInd w:val="0"/>
        <w:snapToGrid w:val="0"/>
        <w:spacing w:line="360" w:lineRule="auto"/>
        <w:ind w:left="0" w:leftChars="0" w:firstLine="480" w:firstLineChars="0"/>
        <w:jc w:val="righ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w:t>
      </w:r>
    </w:p>
    <w:p>
      <w:pPr>
        <w:pStyle w:val="7"/>
        <w:widowControl/>
        <w:wordWrap/>
        <w:adjustRightInd w:val="0"/>
        <w:snapToGrid w:val="0"/>
        <w:spacing w:line="360" w:lineRule="auto"/>
        <w:ind w:firstLine="4830" w:firstLineChars="23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企业名称（盖章）：</w:t>
      </w:r>
    </w:p>
    <w:p>
      <w:pPr>
        <w:pStyle w:val="7"/>
        <w:widowControl/>
        <w:wordWrap/>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widowControl/>
        <w:wordWrap/>
        <w:adjustRightInd w:val="0"/>
        <w:snapToGrid w:val="0"/>
        <w:spacing w:line="360" w:lineRule="auto"/>
        <w:ind w:firstLine="220" w:firstLineChars="100"/>
        <w:textAlignment w:val="auto"/>
        <w:rPr>
          <w:rFonts w:hint="eastAsia" w:ascii="宋体" w:hAnsi="宋体" w:eastAsia="宋体" w:cs="宋体"/>
          <w:color w:val="auto"/>
          <w:sz w:val="21"/>
          <w:szCs w:val="21"/>
          <w:highlight w:val="none"/>
          <w:u w:val="none"/>
          <w:lang w:val="en-US" w:eastAsia="zh-CN"/>
        </w:rPr>
      </w:pPr>
      <w:r>
        <w:rPr>
          <w:rFonts w:hint="eastAsia" w:eastAsia="宋体"/>
          <w:color w:val="auto"/>
          <w:highlight w:val="none"/>
          <w:lang w:val="en-US" w:eastAsia="zh-CN"/>
        </w:rPr>
        <w:t xml:space="preserve">     </w:t>
      </w:r>
      <w:r>
        <w:rPr>
          <w:rFonts w:hint="eastAsia" w:ascii="宋体" w:hAnsi="宋体" w:eastAsia="宋体" w:cs="宋体"/>
          <w:color w:val="auto"/>
          <w:sz w:val="21"/>
          <w:szCs w:val="21"/>
          <w:highlight w:val="none"/>
          <w:lang w:val="en-US" w:eastAsia="zh-CN"/>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lang w:val="en-US" w:eastAsia="zh-CN"/>
        </w:rPr>
        <w:t>（单位名称）</w:t>
      </w:r>
      <w:r>
        <w:rPr>
          <w:rFonts w:hint="eastAsia" w:ascii="宋体" w:hAnsi="宋体" w:eastAsia="宋体" w:cs="宋体"/>
          <w:color w:val="auto"/>
          <w:sz w:val="21"/>
          <w:szCs w:val="21"/>
          <w:highlight w:val="none"/>
          <w:u w:val="none"/>
          <w:lang w:val="en-US" w:eastAsia="zh-CN"/>
        </w:rPr>
        <w:t>的</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7"/>
        <w:widowControl/>
        <w:wordWrap/>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u w:val="single"/>
          <w:lang w:val="en-US" w:eastAsia="zh-CN"/>
        </w:rPr>
        <w:t>（标的名称）</w:t>
      </w:r>
      <w:r>
        <w:rPr>
          <w:rFonts w:hint="eastAsia" w:ascii="宋体" w:hAnsi="宋体" w:eastAsia="宋体" w:cs="宋体"/>
          <w:color w:val="auto"/>
          <w:sz w:val="21"/>
          <w:szCs w:val="21"/>
          <w:highlight w:val="none"/>
          <w:u w:val="none"/>
          <w:lang w:val="en-US" w:eastAsia="zh-CN"/>
        </w:rPr>
        <w:t>，属于</w:t>
      </w:r>
      <w:r>
        <w:rPr>
          <w:rFonts w:hint="eastAsia" w:ascii="宋体" w:hAnsi="宋体" w:eastAsia="宋体" w:cs="宋体"/>
          <w:color w:val="auto"/>
          <w:sz w:val="21"/>
          <w:szCs w:val="21"/>
          <w:highlight w:val="none"/>
          <w:u w:val="single"/>
          <w:lang w:val="en-US" w:eastAsia="zh-CN"/>
        </w:rPr>
        <w:t>（采购文件中明确的所属行业）行业</w:t>
      </w:r>
      <w:r>
        <w:rPr>
          <w:rFonts w:hint="eastAsia" w:ascii="宋体" w:hAnsi="宋体" w:eastAsia="宋体" w:cs="宋体"/>
          <w:color w:val="auto"/>
          <w:sz w:val="21"/>
          <w:szCs w:val="21"/>
          <w:highlight w:val="none"/>
          <w:u w:val="none"/>
          <w:lang w:val="en-US" w:eastAsia="zh-CN"/>
        </w:rPr>
        <w:t>；承建（承接）企业为</w:t>
      </w:r>
      <w:r>
        <w:rPr>
          <w:rFonts w:hint="eastAsia" w:ascii="宋体" w:hAnsi="宋体" w:eastAsia="宋体" w:cs="宋体"/>
          <w:color w:val="auto"/>
          <w:sz w:val="21"/>
          <w:szCs w:val="21"/>
          <w:highlight w:val="none"/>
          <w:u w:val="single"/>
          <w:lang w:val="en-US" w:eastAsia="zh-CN"/>
        </w:rPr>
        <w:t>（企业名称）</w:t>
      </w:r>
      <w:r>
        <w:rPr>
          <w:rFonts w:hint="eastAsia" w:ascii="宋体" w:hAnsi="宋体" w:eastAsia="宋体" w:cs="宋体"/>
          <w:color w:val="auto"/>
          <w:sz w:val="21"/>
          <w:szCs w:val="21"/>
          <w:highlight w:val="none"/>
          <w:u w:val="none"/>
          <w:lang w:val="en-US" w:eastAsia="zh-CN"/>
        </w:rPr>
        <w:t>，从业人员_______人，营业收入为_______万元，资产总额为______万元</w:t>
      </w:r>
      <w:r>
        <w:rPr>
          <w:rStyle w:val="25"/>
          <w:rFonts w:hint="eastAsia" w:ascii="宋体" w:hAnsi="宋体" w:eastAsia="宋体" w:cs="宋体"/>
          <w:color w:val="auto"/>
          <w:sz w:val="21"/>
          <w:szCs w:val="21"/>
          <w:highlight w:val="none"/>
          <w:u w:val="none"/>
          <w:lang w:val="en-US" w:eastAsia="zh-CN"/>
        </w:rPr>
        <w:footnoteReference w:id="1"/>
      </w:r>
      <w:r>
        <w:rPr>
          <w:rFonts w:hint="eastAsia" w:ascii="宋体" w:hAnsi="宋体" w:eastAsia="宋体" w:cs="宋体"/>
          <w:color w:val="auto"/>
          <w:sz w:val="21"/>
          <w:szCs w:val="21"/>
          <w:highlight w:val="none"/>
          <w:u w:val="none"/>
          <w:lang w:val="en-US" w:eastAsia="zh-CN"/>
        </w:rPr>
        <w:t>，属于</w:t>
      </w:r>
      <w:r>
        <w:rPr>
          <w:rFonts w:hint="eastAsia" w:ascii="宋体" w:hAnsi="宋体" w:eastAsia="宋体" w:cs="宋体"/>
          <w:color w:val="auto"/>
          <w:sz w:val="21"/>
          <w:szCs w:val="21"/>
          <w:highlight w:val="none"/>
          <w:u w:val="single"/>
          <w:lang w:val="en-US" w:eastAsia="zh-CN"/>
        </w:rPr>
        <w:t>（中型企业、小型企业、微型企业）</w:t>
      </w:r>
      <w:r>
        <w:rPr>
          <w:rFonts w:hint="eastAsia" w:ascii="宋体" w:hAnsi="宋体" w:eastAsia="宋体" w:cs="宋体"/>
          <w:color w:val="auto"/>
          <w:sz w:val="21"/>
          <w:szCs w:val="21"/>
          <w:highlight w:val="none"/>
          <w:u w:val="none"/>
          <w:lang w:val="en-US" w:eastAsia="zh-CN"/>
        </w:rPr>
        <w:t>；</w:t>
      </w:r>
    </w:p>
    <w:p>
      <w:pPr>
        <w:pStyle w:val="7"/>
        <w:widowControl/>
        <w:wordWrap/>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2.</w:t>
      </w:r>
      <w:r>
        <w:rPr>
          <w:rFonts w:hint="eastAsia" w:ascii="宋体" w:hAnsi="宋体" w:eastAsia="宋体" w:cs="宋体"/>
          <w:color w:val="auto"/>
          <w:sz w:val="21"/>
          <w:szCs w:val="21"/>
          <w:highlight w:val="none"/>
          <w:u w:val="single"/>
          <w:lang w:val="en-US" w:eastAsia="zh-CN"/>
        </w:rPr>
        <w:t>（标的名称）</w:t>
      </w:r>
      <w:r>
        <w:rPr>
          <w:rFonts w:hint="eastAsia" w:ascii="宋体" w:hAnsi="宋体" w:eastAsia="宋体" w:cs="宋体"/>
          <w:color w:val="auto"/>
          <w:sz w:val="21"/>
          <w:szCs w:val="21"/>
          <w:highlight w:val="none"/>
          <w:u w:val="none"/>
          <w:lang w:val="en-US" w:eastAsia="zh-CN"/>
        </w:rPr>
        <w:t>，属于</w:t>
      </w:r>
      <w:r>
        <w:rPr>
          <w:rFonts w:hint="eastAsia" w:ascii="宋体" w:hAnsi="宋体" w:eastAsia="宋体" w:cs="宋体"/>
          <w:color w:val="auto"/>
          <w:sz w:val="21"/>
          <w:szCs w:val="21"/>
          <w:highlight w:val="none"/>
          <w:u w:val="single"/>
          <w:lang w:val="en-US" w:eastAsia="zh-CN"/>
        </w:rPr>
        <w:t>（采购文件中明确的所属行业）行业</w:t>
      </w:r>
      <w:r>
        <w:rPr>
          <w:rFonts w:hint="eastAsia" w:ascii="宋体" w:hAnsi="宋体" w:eastAsia="宋体" w:cs="宋体"/>
          <w:color w:val="auto"/>
          <w:sz w:val="21"/>
          <w:szCs w:val="21"/>
          <w:highlight w:val="none"/>
          <w:u w:val="none"/>
          <w:lang w:val="en-US" w:eastAsia="zh-CN"/>
        </w:rPr>
        <w:t>；承建（承接）企业为</w:t>
      </w:r>
      <w:r>
        <w:rPr>
          <w:rFonts w:hint="eastAsia" w:ascii="宋体" w:hAnsi="宋体" w:eastAsia="宋体" w:cs="宋体"/>
          <w:color w:val="auto"/>
          <w:sz w:val="21"/>
          <w:szCs w:val="21"/>
          <w:highlight w:val="none"/>
          <w:u w:val="single"/>
          <w:lang w:val="en-US" w:eastAsia="zh-CN"/>
        </w:rPr>
        <w:t>（企业名称）</w:t>
      </w:r>
      <w:r>
        <w:rPr>
          <w:rFonts w:hint="eastAsia" w:ascii="宋体" w:hAnsi="宋体" w:eastAsia="宋体" w:cs="宋体"/>
          <w:color w:val="auto"/>
          <w:sz w:val="21"/>
          <w:szCs w:val="21"/>
          <w:highlight w:val="none"/>
          <w:u w:val="none"/>
          <w:lang w:val="en-US" w:eastAsia="zh-CN"/>
        </w:rPr>
        <w:t>，从业人员_______人，营业收入为_______万元，资产总额为______万元，属于</w:t>
      </w:r>
      <w:r>
        <w:rPr>
          <w:rFonts w:hint="eastAsia" w:ascii="宋体" w:hAnsi="宋体" w:eastAsia="宋体" w:cs="宋体"/>
          <w:color w:val="auto"/>
          <w:sz w:val="21"/>
          <w:szCs w:val="21"/>
          <w:highlight w:val="none"/>
          <w:u w:val="single"/>
          <w:lang w:val="en-US" w:eastAsia="zh-CN"/>
        </w:rPr>
        <w:t>（中型企业、小型企业、微型企业）</w:t>
      </w:r>
      <w:r>
        <w:rPr>
          <w:rFonts w:hint="eastAsia" w:ascii="宋体" w:hAnsi="宋体" w:eastAsia="宋体" w:cs="宋体"/>
          <w:color w:val="auto"/>
          <w:sz w:val="21"/>
          <w:szCs w:val="21"/>
          <w:highlight w:val="none"/>
          <w:u w:val="none"/>
          <w:lang w:val="en-US" w:eastAsia="zh-CN"/>
        </w:rPr>
        <w:t>；</w:t>
      </w:r>
    </w:p>
    <w:p>
      <w:pPr>
        <w:pStyle w:val="7"/>
        <w:widowControl/>
        <w:wordWrap/>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p>
      <w:pPr>
        <w:pStyle w:val="7"/>
        <w:widowControl/>
        <w:wordWrap/>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7"/>
        <w:widowControl/>
        <w:wordWrap/>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本企业对上诉声明内容的真实性负责。如有虚假，将依法承担相应责任。</w:t>
      </w:r>
    </w:p>
    <w:p>
      <w:pPr>
        <w:pStyle w:val="7"/>
        <w:widowControl/>
        <w:wordWrap/>
        <w:adjustRightInd w:val="0"/>
        <w:snapToGrid w:val="0"/>
        <w:spacing w:line="360" w:lineRule="auto"/>
        <w:ind w:left="0" w:leftChars="0" w:firstLine="480" w:firstLineChars="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w:t>
      </w:r>
    </w:p>
    <w:p>
      <w:pPr>
        <w:pStyle w:val="7"/>
        <w:widowControl/>
        <w:wordWrap/>
        <w:adjustRightInd w:val="0"/>
        <w:snapToGrid w:val="0"/>
        <w:spacing w:line="360" w:lineRule="auto"/>
        <w:ind w:firstLine="4830" w:firstLineChars="23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企业名称（盖章）：</w:t>
      </w:r>
    </w:p>
    <w:p>
      <w:pPr>
        <w:pStyle w:val="7"/>
        <w:widowControl/>
        <w:wordWrap/>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hAnsi="Cambria" w:eastAsia="楷体_GB2312" w:cs="黑体"/>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9" w:name="_Toc28081"/>
      <w:r>
        <w:rPr>
          <w:rFonts w:hint="eastAsia" w:ascii="宋体" w:hAnsi="宋体" w:eastAsia="宋体"/>
          <w:color w:val="auto"/>
          <w:sz w:val="21"/>
          <w:szCs w:val="21"/>
          <w:highlight w:val="none"/>
        </w:rPr>
        <w:t>附件19.《残疾人福利性单位声明函》（残疾人福利性单位适用）</w:t>
      </w:r>
      <w:bookmarkEnd w:id="159"/>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60" w:name="_Toc22970"/>
      <w:bookmarkStart w:id="161" w:name="_Toc30277"/>
      <w:bookmarkStart w:id="162" w:name="_Toc509927455"/>
      <w:bookmarkStart w:id="163" w:name="_Toc508958703"/>
      <w:bookmarkStart w:id="164" w:name="_Toc509479530"/>
      <w:bookmarkStart w:id="165" w:name="_Toc17761"/>
      <w:bookmarkStart w:id="166" w:name="_Toc508960153"/>
      <w:bookmarkStart w:id="167" w:name="_Toc509844825"/>
      <w:bookmarkStart w:id="168" w:name="_Toc508898066"/>
      <w:bookmarkStart w:id="169" w:name="_Toc20910"/>
      <w:bookmarkStart w:id="170" w:name="_Toc30247"/>
      <w:bookmarkStart w:id="171" w:name="_Toc510171693"/>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60"/>
      <w:bookmarkEnd w:id="161"/>
      <w:bookmarkEnd w:id="162"/>
      <w:bookmarkEnd w:id="163"/>
      <w:bookmarkEnd w:id="164"/>
      <w:bookmarkEnd w:id="165"/>
      <w:bookmarkEnd w:id="166"/>
      <w:bookmarkEnd w:id="167"/>
      <w:bookmarkEnd w:id="168"/>
      <w:bookmarkEnd w:id="169"/>
      <w:bookmarkEnd w:id="170"/>
      <w:bookmarkEnd w:id="171"/>
    </w:p>
    <w:p>
      <w:pPr>
        <w:bidi w:val="0"/>
      </w:pPr>
    </w:p>
    <w:p>
      <w:pPr>
        <w:spacing w:after="0" w:line="480" w:lineRule="auto"/>
        <w:ind w:firstLine="420" w:firstLineChars="200"/>
        <w:rPr>
          <w:rFonts w:ascii="宋体" w:hAnsi="宋体" w:eastAsia="宋体"/>
          <w:color w:val="auto"/>
          <w:sz w:val="21"/>
          <w:szCs w:val="21"/>
          <w:highlight w:val="none"/>
        </w:rPr>
      </w:pPr>
      <w:bookmarkStart w:id="172" w:name="_Toc508958704"/>
      <w:bookmarkStart w:id="173" w:name="_Toc509927456"/>
      <w:bookmarkStart w:id="174" w:name="_Toc508898067"/>
      <w:bookmarkStart w:id="175" w:name="_Toc509479531"/>
      <w:bookmarkStart w:id="176" w:name="_Toc510171694"/>
      <w:bookmarkStart w:id="177" w:name="_Toc5447"/>
      <w:bookmarkStart w:id="178" w:name="_Toc28527"/>
      <w:bookmarkStart w:id="179" w:name="_Toc26216"/>
      <w:bookmarkStart w:id="180" w:name="_Toc509844826"/>
      <w:bookmarkStart w:id="181" w:name="_Toc21053"/>
      <w:bookmarkStart w:id="182" w:name="_Toc31520"/>
      <w:bookmarkStart w:id="183" w:name="_Toc508960154"/>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2"/>
      <w:bookmarkEnd w:id="173"/>
      <w:bookmarkEnd w:id="174"/>
      <w:bookmarkEnd w:id="175"/>
      <w:bookmarkEnd w:id="176"/>
      <w:bookmarkEnd w:id="177"/>
      <w:bookmarkEnd w:id="178"/>
      <w:bookmarkEnd w:id="179"/>
      <w:bookmarkEnd w:id="180"/>
      <w:bookmarkEnd w:id="181"/>
      <w:bookmarkEnd w:id="182"/>
      <w:bookmarkEnd w:id="183"/>
    </w:p>
    <w:p>
      <w:pPr>
        <w:spacing w:after="0" w:line="480" w:lineRule="auto"/>
        <w:ind w:firstLine="420" w:firstLineChars="200"/>
        <w:rPr>
          <w:rFonts w:ascii="宋体" w:hAnsi="宋体" w:eastAsia="宋体"/>
          <w:color w:val="auto"/>
          <w:sz w:val="21"/>
          <w:szCs w:val="21"/>
          <w:highlight w:val="none"/>
        </w:rPr>
      </w:pPr>
      <w:bookmarkStart w:id="184" w:name="_Toc9148"/>
      <w:bookmarkStart w:id="185" w:name="_Toc24848"/>
      <w:bookmarkStart w:id="186" w:name="_Toc510171695"/>
      <w:bookmarkStart w:id="187" w:name="_Toc509479532"/>
      <w:bookmarkStart w:id="188" w:name="_Toc28626"/>
      <w:bookmarkStart w:id="189" w:name="_Toc509927457"/>
      <w:bookmarkStart w:id="190" w:name="_Toc508958705"/>
      <w:bookmarkStart w:id="191" w:name="_Toc14653"/>
      <w:bookmarkStart w:id="192" w:name="_Toc28126"/>
      <w:bookmarkStart w:id="193" w:name="_Toc509844827"/>
      <w:bookmarkStart w:id="194" w:name="_Toc508898068"/>
      <w:bookmarkStart w:id="195" w:name="_Toc508960155"/>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4"/>
      <w:bookmarkEnd w:id="185"/>
      <w:bookmarkEnd w:id="186"/>
      <w:bookmarkEnd w:id="187"/>
      <w:bookmarkEnd w:id="188"/>
      <w:bookmarkEnd w:id="189"/>
      <w:bookmarkEnd w:id="190"/>
      <w:bookmarkEnd w:id="191"/>
      <w:bookmarkEnd w:id="192"/>
      <w:bookmarkEnd w:id="193"/>
      <w:bookmarkEnd w:id="194"/>
      <w:bookmarkEnd w:id="195"/>
    </w:p>
    <w:p>
      <w:pPr>
        <w:spacing w:after="0" w:line="480" w:lineRule="auto"/>
        <w:ind w:firstLine="420" w:firstLineChars="200"/>
        <w:rPr>
          <w:rFonts w:ascii="宋体" w:hAnsi="宋体" w:eastAsia="宋体"/>
          <w:color w:val="auto"/>
          <w:sz w:val="21"/>
          <w:szCs w:val="21"/>
          <w:highlight w:val="none"/>
        </w:rPr>
      </w:pPr>
      <w:bookmarkStart w:id="196" w:name="_Toc7858"/>
      <w:bookmarkStart w:id="197" w:name="_Toc509844828"/>
      <w:bookmarkStart w:id="198" w:name="_Toc508898069"/>
      <w:bookmarkStart w:id="199" w:name="_Toc508960156"/>
      <w:bookmarkStart w:id="200" w:name="_Toc28044"/>
      <w:bookmarkStart w:id="201" w:name="_Toc509927458"/>
      <w:bookmarkStart w:id="202" w:name="_Toc508958706"/>
      <w:bookmarkStart w:id="203" w:name="_Toc510171696"/>
      <w:bookmarkStart w:id="204" w:name="_Toc28686"/>
      <w:bookmarkStart w:id="205" w:name="_Toc22981"/>
      <w:bookmarkStart w:id="206" w:name="_Toc9837"/>
      <w:bookmarkStart w:id="207" w:name="_Toc509479533"/>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6"/>
      <w:bookmarkEnd w:id="197"/>
      <w:bookmarkEnd w:id="198"/>
      <w:bookmarkEnd w:id="199"/>
      <w:bookmarkEnd w:id="200"/>
      <w:bookmarkEnd w:id="201"/>
      <w:bookmarkEnd w:id="202"/>
      <w:bookmarkEnd w:id="203"/>
      <w:bookmarkEnd w:id="204"/>
      <w:bookmarkEnd w:id="205"/>
      <w:bookmarkEnd w:id="206"/>
      <w:bookmarkEnd w:id="207"/>
    </w:p>
    <w:p>
      <w:pPr>
        <w:spacing w:after="0" w:line="480" w:lineRule="auto"/>
        <w:ind w:firstLine="420" w:firstLineChars="200"/>
        <w:rPr>
          <w:rFonts w:ascii="宋体" w:hAnsi="宋体" w:eastAsia="宋体"/>
          <w:color w:val="auto"/>
          <w:sz w:val="21"/>
          <w:szCs w:val="21"/>
          <w:highlight w:val="none"/>
        </w:rPr>
      </w:pPr>
      <w:bookmarkStart w:id="208" w:name="_Toc509844829"/>
      <w:bookmarkStart w:id="209" w:name="_Toc18843"/>
      <w:bookmarkStart w:id="210" w:name="_Toc509927459"/>
      <w:bookmarkStart w:id="211" w:name="_Toc509479534"/>
      <w:bookmarkStart w:id="212" w:name="_Toc508958707"/>
      <w:bookmarkStart w:id="213" w:name="_Toc508960157"/>
      <w:bookmarkStart w:id="214" w:name="_Toc510171697"/>
      <w:bookmarkStart w:id="215" w:name="_Toc5289"/>
      <w:bookmarkStart w:id="216" w:name="_Toc508898070"/>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8"/>
      <w:bookmarkEnd w:id="209"/>
      <w:bookmarkEnd w:id="210"/>
      <w:bookmarkEnd w:id="211"/>
      <w:bookmarkEnd w:id="212"/>
      <w:bookmarkEnd w:id="213"/>
      <w:bookmarkEnd w:id="214"/>
      <w:bookmarkEnd w:id="215"/>
      <w:bookmarkEnd w:id="216"/>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5"/>
        <w:widowControl w:val="0"/>
        <w:overflowPunct w:val="0"/>
        <w:spacing w:before="0" w:after="0" w:line="240" w:lineRule="auto"/>
        <w:rPr>
          <w:color w:val="auto"/>
          <w:highlight w:val="none"/>
        </w:rPr>
      </w:pPr>
      <w:bookmarkStart w:id="217" w:name="_Toc25634"/>
      <w:r>
        <w:rPr>
          <w:rFonts w:hint="eastAsia" w:ascii="宋体" w:hAnsi="宋体" w:eastAsia="宋体"/>
          <w:color w:val="auto"/>
          <w:sz w:val="21"/>
          <w:szCs w:val="21"/>
          <w:highlight w:val="none"/>
        </w:rPr>
        <w:t>附件20. 投标保证金汇入情况说明格式</w:t>
      </w:r>
      <w:bookmarkEnd w:id="21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218" w:name="_Toc4363"/>
      <w:r>
        <w:rPr>
          <w:rFonts w:hint="eastAsia" w:ascii="宋体" w:hAnsi="宋体" w:eastAsia="宋体"/>
          <w:color w:val="auto"/>
          <w:sz w:val="21"/>
          <w:szCs w:val="21"/>
          <w:highlight w:val="none"/>
        </w:rPr>
        <w:t>附件21.政府采购投标担保函</w:t>
      </w:r>
      <w:bookmarkEnd w:id="218"/>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sz w:val="30"/>
          <w:szCs w:val="30"/>
        </w:rPr>
      </w:pPr>
      <w:r>
        <w:rPr>
          <w:rFonts w:hint="eastAsia" w:ascii="宋体" w:hAnsi="宋体" w:eastAsia="宋体"/>
          <w:color w:val="auto"/>
          <w:sz w:val="21"/>
          <w:szCs w:val="21"/>
          <w:highlight w:val="none"/>
        </w:rPr>
        <w:br w:type="page"/>
      </w:r>
      <w:bookmarkStart w:id="219" w:name="_Toc27534"/>
      <w:r>
        <w:rPr>
          <w:rFonts w:hint="eastAsia" w:ascii="宋体" w:hAnsi="宋体" w:eastAsia="宋体" w:cs="宋体"/>
          <w:b/>
          <w:bCs/>
          <w:sz w:val="21"/>
          <w:szCs w:val="21"/>
          <w:lang w:val="en-US" w:eastAsia="zh-CN" w:bidi="ar-SA"/>
        </w:rPr>
        <w:t>附件22.政府采购履约担保函</w:t>
      </w:r>
      <w:bookmarkEnd w:id="219"/>
    </w:p>
    <w:p>
      <w:pPr>
        <w:jc w:val="center"/>
        <w:rPr>
          <w:rFonts w:ascii="黑体" w:eastAsia="黑体"/>
          <w:sz w:val="28"/>
          <w:szCs w:val="28"/>
        </w:rPr>
      </w:pPr>
      <w:r>
        <w:rPr>
          <w:rFonts w:hint="eastAsia" w:ascii="黑体" w:eastAsia="黑体"/>
          <w:sz w:val="28"/>
          <w:szCs w:val="28"/>
        </w:rPr>
        <w:t>政府采购履约担保函</w:t>
      </w:r>
    </w:p>
    <w:p>
      <w:pPr>
        <w:wordWrap w:val="0"/>
        <w:jc w:val="right"/>
        <w:rPr>
          <w:rFonts w:ascii="仿宋_GB2312" w:eastAsia="仿宋_GB2312"/>
          <w:sz w:val="32"/>
          <w:szCs w:val="32"/>
        </w:rPr>
      </w:pPr>
      <w:r>
        <w:rPr>
          <w:rFonts w:hint="eastAsia" w:ascii="黑体" w:eastAsia="黑体"/>
          <w:sz w:val="28"/>
          <w:szCs w:val="28"/>
        </w:rPr>
        <w:t xml:space="preserve">编号：  </w:t>
      </w:r>
    </w:p>
    <w:p>
      <w:pPr>
        <w:spacing w:after="0" w:line="480" w:lineRule="auto"/>
        <w:rPr>
          <w:rFonts w:ascii="宋体" w:hAnsi="宋体" w:eastAsia="宋体" w:cs="宋体"/>
          <w:sz w:val="21"/>
          <w:szCs w:val="21"/>
        </w:rPr>
      </w:pPr>
      <w:r>
        <w:rPr>
          <w:rFonts w:hint="eastAsia" w:ascii="宋体" w:hAnsi="宋体" w:eastAsia="宋体" w:cs="宋体"/>
          <w:sz w:val="21"/>
          <w:szCs w:val="21"/>
        </w:rPr>
        <w:t>（采购人）：</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一、保证责任的情形及保证金额</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（一）在供应商出现下列情形之一时，我方承担保证责任：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2．主合同约定的应当缴纳履约保证金的情形: </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（1）未按主合同约定的质量、数量和期限供应货物/提供服务/完成工程的；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w:t>
      </w:r>
    </w:p>
    <w:p>
      <w:pPr>
        <w:spacing w:after="0" w:line="480" w:lineRule="auto"/>
        <w:ind w:right="-1291" w:rightChars="-587" w:firstLine="420" w:firstLineChars="200"/>
        <w:rPr>
          <w:rFonts w:ascii="宋体" w:hAnsi="宋体" w:eastAsia="宋体" w:cs="宋体"/>
          <w:sz w:val="21"/>
          <w:szCs w:val="21"/>
        </w:rPr>
      </w:pPr>
      <w:r>
        <w:rPr>
          <w:rFonts w:hint="eastAsia" w:ascii="宋体" w:hAnsi="宋体" w:eastAsia="宋体" w:cs="宋体"/>
          <w:sz w:val="21"/>
          <w:szCs w:val="21"/>
        </w:rPr>
        <w:t>（二）我方的保证范围是主合同约定的合同价款总额</w:t>
      </w:r>
    </w:p>
    <w:p>
      <w:pPr>
        <w:spacing w:after="0" w:line="480" w:lineRule="auto"/>
        <w:ind w:right="26" w:rightChars="12"/>
        <w:rPr>
          <w:rFonts w:ascii="宋体" w:hAnsi="宋体" w:eastAsia="宋体" w:cs="宋体"/>
          <w:sz w:val="21"/>
          <w:szCs w:val="21"/>
        </w:rPr>
      </w:pPr>
      <w:r>
        <w:rPr>
          <w:rFonts w:hint="eastAsia" w:ascii="宋体" w:hAnsi="宋体" w:eastAsia="宋体" w:cs="宋体"/>
          <w:sz w:val="21"/>
          <w:szCs w:val="21"/>
        </w:rPr>
        <w:t>%数额为元（大写），为。（即主合同履约保证金金额）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二、保证的方式及保证期间</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我方保证的方式为：连带责任保证。</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三、承担保证责任的程序</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sz w:val="21"/>
          <w:szCs w:val="21"/>
          <w:u w:val="single"/>
        </w:rPr>
      </w:pPr>
      <w:r>
        <w:rPr>
          <w:rFonts w:hint="eastAsia" w:ascii="宋体" w:hAnsi="宋体" w:eastAsia="宋体" w:cs="宋体"/>
          <w:sz w:val="21"/>
          <w:szCs w:val="21"/>
        </w:rPr>
        <w:t>2．我方收到你方的书面索赔通知及相应证明材料，在</w:t>
      </w:r>
    </w:p>
    <w:p>
      <w:pPr>
        <w:spacing w:after="0" w:line="480" w:lineRule="auto"/>
        <w:ind w:right="-726" w:rightChars="-330"/>
        <w:rPr>
          <w:rFonts w:ascii="宋体" w:hAnsi="宋体" w:eastAsia="宋体" w:cs="宋体"/>
          <w:sz w:val="21"/>
          <w:szCs w:val="21"/>
        </w:rPr>
      </w:pPr>
      <w:r>
        <w:rPr>
          <w:rFonts w:hint="eastAsia" w:ascii="宋体" w:hAnsi="宋体" w:eastAsia="宋体" w:cs="宋体"/>
          <w:sz w:val="21"/>
          <w:szCs w:val="21"/>
        </w:rPr>
        <w:t>工作日内进行核定后按照本保函的承诺承担保证责任。</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四、保证责任的终止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五、免责条款</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1．因你方违反主合同约定致使供应商不能履行义务的，我方不承担保证责任。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3．因不可抗力造成供应商不能履行供货义务的，我方不承担保证责任。</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六、争议的解决</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七、保函的生效</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本保函自我方加盖公章之日起生效。</w:t>
      </w:r>
    </w:p>
    <w:p>
      <w:pPr>
        <w:spacing w:after="0" w:line="480" w:lineRule="auto"/>
        <w:rPr>
          <w:rFonts w:ascii="宋体" w:hAnsi="宋体" w:eastAsia="宋体" w:cs="宋体"/>
          <w:sz w:val="21"/>
          <w:szCs w:val="21"/>
        </w:rPr>
      </w:pPr>
    </w:p>
    <w:p>
      <w:pPr>
        <w:spacing w:after="0" w:line="480" w:lineRule="auto"/>
        <w:rPr>
          <w:rFonts w:ascii="宋体" w:hAnsi="宋体" w:eastAsia="宋体" w:cs="宋体"/>
          <w:sz w:val="21"/>
          <w:szCs w:val="21"/>
        </w:rPr>
      </w:pPr>
    </w:p>
    <w:p>
      <w:pPr>
        <w:spacing w:after="0" w:line="480" w:lineRule="auto"/>
        <w:jc w:val="right"/>
        <w:rPr>
          <w:rFonts w:ascii="宋体" w:hAnsi="宋体" w:eastAsia="宋体" w:cs="宋体"/>
          <w:sz w:val="21"/>
          <w:szCs w:val="21"/>
        </w:rPr>
      </w:pPr>
      <w:r>
        <w:rPr>
          <w:rFonts w:hint="eastAsia" w:ascii="宋体" w:hAnsi="宋体" w:eastAsia="宋体" w:cs="宋体"/>
          <w:sz w:val="21"/>
          <w:szCs w:val="21"/>
        </w:rPr>
        <w:t>保证人：（公章）</w:t>
      </w:r>
    </w:p>
    <w:p>
      <w:pPr>
        <w:spacing w:after="0" w:line="480" w:lineRule="auto"/>
        <w:jc w:val="right"/>
        <w:rPr>
          <w:rFonts w:ascii="宋体" w:hAnsi="宋体" w:eastAsia="宋体" w:cs="宋体"/>
          <w:sz w:val="21"/>
          <w:szCs w:val="21"/>
        </w:rPr>
      </w:pPr>
      <w:r>
        <w:rPr>
          <w:rFonts w:hint="eastAsia" w:ascii="宋体" w:hAnsi="宋体" w:eastAsia="宋体" w:cs="宋体"/>
          <w:sz w:val="21"/>
          <w:szCs w:val="21"/>
        </w:rPr>
        <w:t>年     月      日</w:t>
      </w:r>
    </w:p>
    <w:p>
      <w:pPr>
        <w:spacing w:after="0"/>
        <w:rPr>
          <w:rFonts w:ascii="宋体" w:hAnsi="宋体" w:eastAsia="宋体"/>
          <w:sz w:val="21"/>
          <w:szCs w:val="21"/>
        </w:rPr>
      </w:pPr>
      <w:r>
        <w:rPr>
          <w:rFonts w:hint="eastAsia" w:ascii="宋体" w:hAnsi="宋体" w:eastAsia="宋体"/>
          <w:sz w:val="21"/>
          <w:szCs w:val="21"/>
        </w:rPr>
        <w:t>注：</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（1）此格式为履约担保函格式，无需在投标文件中提供此格式。</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textAlignment w:val="auto"/>
        <w:rPr>
          <w:color w:val="auto"/>
          <w:highlight w:val="none"/>
        </w:rPr>
      </w:pPr>
    </w:p>
    <w:p>
      <w:pPr>
        <w:bidi w:val="0"/>
      </w:pPr>
      <w:r>
        <w:br w:type="page"/>
      </w:r>
    </w:p>
    <w:p>
      <w:pPr>
        <w:pStyle w:val="5"/>
        <w:spacing w:before="0" w:after="0" w:line="240" w:lineRule="auto"/>
        <w:rPr>
          <w:rFonts w:ascii="宋体" w:hAnsi="宋体" w:eastAsia="宋体" w:cs="宋体"/>
          <w:color w:val="auto"/>
          <w:sz w:val="21"/>
          <w:szCs w:val="21"/>
          <w:highlight w:val="none"/>
        </w:rPr>
      </w:pPr>
      <w:bookmarkStart w:id="220" w:name="_Toc17023"/>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8255</wp:posOffset>
            </wp:positionH>
            <wp:positionV relativeFrom="paragraph">
              <wp:posOffset>-464820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0"/>
                    <a:stretch>
                      <a:fillRect/>
                    </a:stretch>
                  </pic:blipFill>
                  <pic:spPr>
                    <a:xfrm>
                      <a:off x="0" y="0"/>
                      <a:ext cx="5264150" cy="444500"/>
                    </a:xfrm>
                    <a:prstGeom prst="rect">
                      <a:avLst/>
                    </a:prstGeom>
                  </pic:spPr>
                </pic:pic>
              </a:graphicData>
            </a:graphic>
          </wp:anchor>
        </w:drawing>
      </w:r>
      <w:r>
        <w:rPr>
          <w:rFonts w:hint="eastAsia" w:ascii="宋体" w:hAnsi="宋体" w:eastAsia="宋体" w:cs="宋体"/>
          <w:color w:val="auto"/>
          <w:sz w:val="21"/>
          <w:szCs w:val="21"/>
          <w:highlight w:val="none"/>
        </w:rPr>
        <w:t>附件23.获取招标文件登记表</w:t>
      </w:r>
      <w:bookmarkEnd w:id="220"/>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rPr>
      </w:pPr>
      <w:r>
        <w:rPr>
          <w:rFonts w:hint="eastAsia" w:ascii="黑体" w:hAnsi="黑体" w:eastAsia="黑体" w:cs="黑体"/>
          <w:color w:val="auto"/>
          <w:sz w:val="52"/>
          <w:szCs w:val="52"/>
        </w:rPr>
        <w:t>获取</w:t>
      </w:r>
      <w:r>
        <w:rPr>
          <w:rFonts w:hint="eastAsia" w:ascii="黑体" w:hAnsi="黑体" w:eastAsia="黑体" w:cs="黑体"/>
          <w:color w:val="auto"/>
          <w:sz w:val="52"/>
          <w:szCs w:val="52"/>
          <w:lang w:eastAsia="zh-CN"/>
        </w:rPr>
        <w:t>招标文件</w:t>
      </w:r>
      <w:r>
        <w:rPr>
          <w:rFonts w:hint="eastAsia" w:ascii="黑体" w:hAnsi="黑体" w:eastAsia="黑体" w:cs="黑体"/>
          <w:color w:val="auto"/>
          <w:sz w:val="52"/>
          <w:szCs w:val="52"/>
        </w:rPr>
        <w:t>登记表</w:t>
      </w:r>
    </w:p>
    <w:tbl>
      <w:tblPr>
        <w:tblStyle w:val="19"/>
        <w:tblW w:w="4998" w:type="pct"/>
        <w:tblInd w:w="0" w:type="dxa"/>
        <w:shd w:val="clear" w:color="auto" w:fill="auto"/>
        <w:tblLayout w:type="fixed"/>
        <w:tblCellMar>
          <w:top w:w="0" w:type="dxa"/>
          <w:left w:w="108" w:type="dxa"/>
          <w:bottom w:w="0" w:type="dxa"/>
          <w:right w:w="108" w:type="dxa"/>
        </w:tblCellMar>
      </w:tblPr>
      <w:tblGrid>
        <w:gridCol w:w="2769"/>
        <w:gridCol w:w="2355"/>
        <w:gridCol w:w="1027"/>
        <w:gridCol w:w="2368"/>
      </w:tblGrid>
      <w:tr>
        <w:tblPrEx>
          <w:shd w:val="clear" w:color="auto" w:fill="auto"/>
          <w:tblCellMar>
            <w:top w:w="0" w:type="dxa"/>
            <w:left w:w="108" w:type="dxa"/>
            <w:bottom w:w="0" w:type="dxa"/>
            <w:right w:w="108" w:type="dxa"/>
          </w:tblCellMar>
        </w:tblPrEx>
        <w:trPr>
          <w:trHeight w:val="153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包号</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手机</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年    月    日    时    分</w:t>
            </w:r>
          </w:p>
        </w:tc>
      </w:tr>
      <w:tr>
        <w:tblPrEx>
          <w:shd w:val="clear" w:color="auto" w:fill="auto"/>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承诺:</w:t>
            </w:r>
          </w:p>
          <w:p>
            <w:pPr>
              <w:keepNext w:val="0"/>
              <w:keepLines w:val="0"/>
              <w:pageBreakBefore w:val="0"/>
              <w:widowControl/>
              <w:numPr>
                <w:ilvl w:val="0"/>
                <w:numId w:val="13"/>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本公司对招标文件的内容已经了解，并自愿购买该招标文件。</w:t>
            </w:r>
          </w:p>
          <w:p>
            <w:pPr>
              <w:keepNext w:val="0"/>
              <w:keepLines w:val="0"/>
              <w:pageBreakBefore w:val="0"/>
              <w:widowControl/>
              <w:numPr>
                <w:ilvl w:val="0"/>
                <w:numId w:val="13"/>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本公司对提供的所有资料的真实性、有效性承担责任。</w:t>
            </w:r>
          </w:p>
          <w:p>
            <w:pPr>
              <w:keepNext w:val="0"/>
              <w:keepLines w:val="0"/>
              <w:pageBreakBefore w:val="0"/>
              <w:widowControl/>
              <w:numPr>
                <w:ilvl w:val="0"/>
                <w:numId w:val="13"/>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招标文件售后不退。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招标文件领取人签名: </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none"/>
                <w:vertAlign w:val="subscript"/>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single"/>
                <w:lang w:val="en-US" w:eastAsia="zh-CN" w:bidi="ar"/>
              </w:rPr>
              <w:t xml:space="preserve">                </w:t>
            </w:r>
          </w:p>
        </w:tc>
      </w:tr>
      <w:tr>
        <w:tblPrEx>
          <w:shd w:val="clear" w:color="auto" w:fill="auto"/>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人民币150元/份</w:t>
            </w:r>
          </w:p>
        </w:tc>
      </w:tr>
      <w:tr>
        <w:tblPrEx>
          <w:shd w:val="clear" w:color="auto" w:fill="auto"/>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sz w:val="28"/>
                <w:szCs w:val="28"/>
              </w:rPr>
              <w:t>注：开完发票后请把报名表格交还至前台</w:t>
            </w:r>
          </w:p>
        </w:tc>
      </w:tr>
    </w:tbl>
    <w:p>
      <w:pPr>
        <w:rPr>
          <w:color w:val="auto"/>
          <w:highlight w:val="none"/>
        </w:rPr>
      </w:pPr>
      <w:r>
        <w:rPr>
          <w:color w:val="auto"/>
          <w:highlight w:val="none"/>
        </w:rPr>
        <w:br w:type="page"/>
      </w:r>
    </w:p>
    <w:p>
      <w:pPr>
        <w:pStyle w:val="5"/>
        <w:spacing w:before="0" w:after="0" w:line="240" w:lineRule="auto"/>
        <w:rPr>
          <w:rFonts w:ascii="宋体" w:hAnsi="宋体" w:eastAsia="宋体" w:cs="宋体"/>
          <w:color w:val="auto"/>
          <w:sz w:val="21"/>
          <w:szCs w:val="21"/>
          <w:highlight w:val="none"/>
        </w:rPr>
      </w:pPr>
      <w:bookmarkStart w:id="221" w:name="_Toc11182"/>
      <w:r>
        <w:rPr>
          <w:rFonts w:hint="eastAsia" w:ascii="宋体" w:hAnsi="宋体" w:eastAsia="宋体" w:cs="宋体"/>
          <w:color w:val="auto"/>
          <w:sz w:val="21"/>
          <w:szCs w:val="21"/>
          <w:highlight w:val="none"/>
        </w:rPr>
        <w:t>附件 24.质疑函范本</w:t>
      </w:r>
      <w:bookmarkEnd w:id="221"/>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7"/>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6" w:type="first"/>
      <w:footerReference r:id="rId5" w:type="default"/>
      <w:pgSz w:w="11906" w:h="16838"/>
      <w:pgMar w:top="1440" w:right="1800" w:bottom="1440" w:left="1800" w:header="708" w:footer="708" w:gutter="0"/>
      <w:pgNumType w:fmt="decimal" w:start="1"/>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Tahoma" w:hAnsi="Tahoma" w:eastAsia="微软雅黑" w:cs="黑体"/>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003300" cy="32321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003300" cy="323215"/>
                      </a:xfrm>
                      <a:prstGeom prst="rect">
                        <a:avLst/>
                      </a:prstGeom>
                      <a:noFill/>
                      <a:ln>
                        <a:noFill/>
                      </a:ln>
                    </wps:spPr>
                    <wps:txbx>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78</w:t>
                          </w:r>
                          <w:r>
                            <w:rPr>
                              <w:rFonts w:hint="eastAsia"/>
                              <w:lang w:eastAsia="zh-CN"/>
                            </w:rPr>
                            <w:t xml:space="preserve"> 页</w:t>
                          </w:r>
                        </w:p>
                      </w:txbxContent>
                    </wps:txbx>
                    <wps:bodyPr lIns="0" tIns="0" rIns="0" bIns="0" upright="1"/>
                  </wps:wsp>
                </a:graphicData>
              </a:graphic>
            </wp:anchor>
          </w:drawing>
        </mc:Choice>
        <mc:Fallback>
          <w:pict>
            <v:shape id="文本框 1026" o:spid="_x0000_s1026" o:spt="202" type="#_x0000_t202" style="position:absolute;left:0pt;margin-top:0.05pt;height:25.45pt;width:79pt;mso-position-horizontal:center;mso-position-horizontal-relative:margin;z-index:251659264;mso-width-relative:page;mso-height-relative:page;" filled="f" stroked="f" coordsize="21600,21600" o:gfxdata="UEsDBAoAAAAAAIdO4kAAAAAAAAAAAAAAAAAEAAAAZHJzL1BLAwQUAAAACACHTuJAzjOEEtIAAAAE&#10;AQAADwAAAGRycy9kb3ducmV2LnhtbE2PzU7DMBCE70i8g7VI3KgdpFYlxKkQghNSRRoOHJ14m1iN&#10;1yF2/96ezQmOs7Oa+abYXPwgTjhFF0hDtlAgkNpgHXUavur3hzWImAxZMwRCDVeMsClvbwqT23Cm&#10;Ck+71AkOoZgbDX1KYy5lbHv0Ji7CiMTePkzeJJZTJ+1kzhzuB/mo1Ep644gbejPia4/tYXf0Gl6+&#10;qXpzP9vms9pXrq6fFH2sDlrf32XqGUTCS/p7hhmf0aFkpiYcyUYxaOAhab6K2VuuWTYalpkCWRby&#10;P3z5C1BLAwQUAAAACACHTuJATrMf07sBAAB1AwAADgAAAGRycy9lMm9Eb2MueG1srVPBjtMwEL0j&#10;8Q+W79RpCisUNV0JVYuQECAtfIDr2I0l22PZbpP+APwBJy7c+a5+B2On6cJy2QMXZzwzfjPvzWR9&#10;O1pDjjJEDa6ly0VFiXQCOu32Lf3y+e7Fa0pi4q7jBpxs6UlGert5/mw9+EbW0IPpZCAI4mIz+Jb2&#10;KfmGsSh6aXlcgJcOgwqC5QmvYc+6wAdEt4bVVXXDBgidDyBkjOjdTkF6QQxPAQSltJBbEAcrXZpQ&#10;gzQ8IaXYax/ppnSrlBTpo1JRJmJaikxTObEI2rt8ss2aN/vAfa/FpQX+lBYecbJcOyx6hdryxMkh&#10;6H+grBYBIqi0EGDZRKQogiyW1SNt7nvuZeGCUkd/FT3+P1jx4fgpEN219CUljlsc+Pn7t/OPX+ef&#10;X8myqm+yQoOPDSbee0xN4xsYcW9mf0RnJj6qYPMXKRGMo76nq75yTETkR1W1WlUYEhhb1at6+SrD&#10;sIfXPsT0VoIl2WhpwPkVWfnxfUxT6pySizm408aUGRr3lwMxs4fl1qcWs5XG3Xjhs4PuhHTMO4dq&#10;5s2YjTAbu9k4+KD3PbZTSBdInEbp+7I5edx/3kvhh79l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M4QS0gAAAAQBAAAPAAAAAAAAAAEAIAAAACIAAABkcnMvZG93bnJldi54bWxQSwECFAAUAAAA&#10;CACHTuJATrMf07sBAAB1AwAADgAAAAAAAAABACAAAAAhAQAAZHJzL2Uyb0RvYy54bWxQSwUGAAAA&#10;AAYABgBZAQAATgUAAAAA&#10;">
              <v:fill on="f" focussize="0,0"/>
              <v:stroke on="f"/>
              <v:imagedata o:title=""/>
              <o:lock v:ext="edit" aspectratio="f"/>
              <v:textbox inset="0mm,0mm,0mm,0mm">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78</w:t>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78</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fMsoBAACc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sfMsoBAACcAwAADgAAAAAAAAABACAAAAAeAQAAZHJzL2Uyb0Rv&#10;Yy54bWxQSwUGAAAAAAYABgBZAQAAWgUAAAAA&#10;">
              <v:fill on="f" focussize="0,0"/>
              <v:stroke on="f"/>
              <v:imagedata o:title=""/>
              <o:lock v:ext="edit" aspectratio="f"/>
              <v:textbox inset="0mm,0mm,0mm,0mm" style="mso-fit-shape-to-text:t;">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78</w:t>
                    </w:r>
                    <w:r>
                      <w:rPr>
                        <w:rFonts w:hint="eastAsia"/>
                        <w:lang w:eastAsia="zh-CN"/>
                      </w:rPr>
                      <w:t xml:space="preserve"> 页</w:t>
                    </w:r>
                  </w:p>
                </w:txbxContent>
              </v:textbox>
            </v:shape>
          </w:pict>
        </mc:Fallback>
      </mc:AlternateContent>
    </w:r>
    <w:r>
      <w:rPr>
        <w:rFonts w:ascii="Tahoma" w:hAnsi="Tahoma" w:eastAsia="微软雅黑" w:cs="黑体"/>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026160" cy="323215"/>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026160" cy="323215"/>
                      </a:xfrm>
                      <a:prstGeom prst="rect">
                        <a:avLst/>
                      </a:prstGeom>
                      <a:noFill/>
                      <a:ln>
                        <a:noFill/>
                      </a:ln>
                    </wps:spPr>
                    <wps:txbx>
                      <w:txbxContent>
                        <w:p>
                          <w:pPr>
                            <w:pStyle w:val="11"/>
                          </w:pPr>
                        </w:p>
                      </w:txbxContent>
                    </wps:txbx>
                    <wps:bodyPr lIns="0" tIns="0" rIns="0" bIns="0" upright="1"/>
                  </wps:wsp>
                </a:graphicData>
              </a:graphic>
            </wp:anchor>
          </w:drawing>
        </mc:Choice>
        <mc:Fallback>
          <w:pict>
            <v:shape id="文本框 1025" o:spid="_x0000_s1026" o:spt="202" type="#_x0000_t202" style="position:absolute;left:0pt;margin-top:0.05pt;height:25.45pt;width:80.8pt;mso-position-horizontal:center;mso-position-horizontal-relative:margin;z-index:251660288;mso-width-relative:page;mso-height-relative:page;" filled="f" stroked="f" coordsize="21600,21600" o:gfxdata="UEsDBAoAAAAAAIdO4kAAAAAAAAAAAAAAAAAEAAAAZHJzL1BLAwQUAAAACACHTuJAkBDPB9IAAAAE&#10;AQAADwAAAGRycy9kb3ducmV2LnhtbE2PzU7DMBCE70i8g7VIvVE7SEQQ4lQIwQmpIg0Hjpt4m1iN&#10;1yF2f3h7nBMcd2Y08225ubhRnGgO1rOGbK1AEHfeWO41fDZvtw8gQkQ2OHomDT8UYFNdX5VYGH/m&#10;mk672ItUwqFADUOMUyFl6AZyGNZ+Ik7e3s8OYzrnXpoZz6ncjfJOqVw6tJwWBpzoZaDusDs6Dc9f&#10;XL/a7237Ue9r2zSPit/zg9arm0w9gYh0iX9hWPATOlSJqfVHNkGMGtIjcVHF4uVZDqLVcJ8pkFUp&#10;/8NXv1BLAwQUAAAACACHTuJA8LmEKLwBAAB1AwAADgAAAGRycy9lMm9Eb2MueG1srVPNjtMwEL4j&#10;8Q6W79RJVluhqOlKqFqEhABp4QFcx24s+U9jt0lfAN6AExfuPFefg7HbdGG57IGLM54Zf/6+b5zV&#10;3WQNOUiI2ruO1ouKEumE77XbdfTL5/tXrymJibueG+9kR48y0rv1yxerMbSy8YM3vQSCIC62Y+jo&#10;kFJoGYtikJbHhQ/SYVF5sDzhFnasBz4iujWsqaolGz30AbyQMWJ2cy7SCyI8B9ArpYXceLG30qUz&#10;KkjDE0qKgw6RrgtbpaRIH5WKMhHTUVSayoqXYLzNK1uveLsDHgYtLhT4cyg80WS5dnjpFWrDEyd7&#10;0P9AWS3AR6/SQnjLzkKKI6iirp548zDwIIsWtDqGq+nx/8GKD4dPQHTf0VtKHLc48NP3b6cfv04/&#10;v5K6am6zQ2OILTY+BGxN0xs/4buZ8xGTWfikwOYvSiJYR3+PV3/llIjIh6pmWS+xJLB209w0dYFn&#10;j6cDxPRWekty0FHA+RVb+eF9TMgEW+eWfJnz99qYMkPj/kpgY86wTP1MMUdp2k4XPVvfH1GOeefQ&#10;zfwy5gDmYDsH+wB6NyCdIrpA4jQKmcvLyeP+c18ufvxb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BDPB9IAAAAEAQAADwAAAAAAAAABACAAAAAiAAAAZHJzL2Rvd25yZXYueG1sUEsBAhQAFAAA&#10;AAgAh07iQPC5hCi8AQAAdQMAAA4AAAAAAAAAAQAgAAAAIQEAAGRycy9lMm9Eb2MueG1sUEsFBgAA&#10;AAAGAAYAWQEAAE8FAAAAAA==&#10;">
              <v:fill on="f" focussize="0,0"/>
              <v:stroke on="f"/>
              <v:imagedata o:title=""/>
              <o:lock v:ext="edit" aspectratio="f"/>
              <v:textbox inset="0mm,0mm,0mm,0mm">
                <w:txbxContent>
                  <w:p>
                    <w:pPr>
                      <w:pStyle w:val="11"/>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5"/>
        <w:snapToGrid w:val="0"/>
        <w:rPr>
          <w:rFonts w:hint="eastAsia" w:eastAsia="微软雅黑"/>
          <w:lang w:eastAsia="zh-CN"/>
        </w:rPr>
      </w:pPr>
      <w:r>
        <w:rPr>
          <w:rStyle w:val="25"/>
        </w:rPr>
        <w:footnoteRef/>
      </w:r>
      <w:r>
        <w:t xml:space="preserve"> </w:t>
      </w:r>
      <w:r>
        <w:rPr>
          <w:rFonts w:hint="eastAsia"/>
          <w:lang w:eastAsia="zh-CN"/>
        </w:rPr>
        <w:t>从业人员、营业人员、资产总额填报上一年度数据，无上一年度数据的新成立企业可不填报。</w:t>
      </w:r>
    </w:p>
  </w:footnote>
  <w:footnote w:id="1">
    <w:p>
      <w:pPr>
        <w:pStyle w:val="15"/>
        <w:snapToGrid w:val="0"/>
      </w:pPr>
      <w:r>
        <w:rPr>
          <w:rStyle w:val="25"/>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316010E5"/>
    <w:multiLevelType w:val="singleLevel"/>
    <w:tmpl w:val="316010E5"/>
    <w:lvl w:ilvl="0" w:tentative="0">
      <w:start w:val="1"/>
      <w:numFmt w:val="decimal"/>
      <w:suff w:val="nothing"/>
      <w:lvlText w:val="%1．"/>
      <w:lvlJc w:val="left"/>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7"/>
  </w:num>
  <w:num w:numId="3">
    <w:abstractNumId w:val="10"/>
  </w:num>
  <w:num w:numId="4">
    <w:abstractNumId w:val="8"/>
  </w:num>
  <w:num w:numId="5">
    <w:abstractNumId w:val="4"/>
  </w:num>
  <w:num w:numId="6">
    <w:abstractNumId w:val="5"/>
  </w:num>
  <w:num w:numId="7">
    <w:abstractNumId w:val="1"/>
  </w:num>
  <w:num w:numId="8">
    <w:abstractNumId w:val="2"/>
  </w:num>
  <w:num w:numId="9">
    <w:abstractNumId w:val="6"/>
  </w:num>
  <w:num w:numId="10">
    <w:abstractNumId w:val="0"/>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4"/>
    <w:footnote w:id="5"/>
  </w:foot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1E45C67"/>
    <w:rsid w:val="02126CDB"/>
    <w:rsid w:val="021832B7"/>
    <w:rsid w:val="024E2E49"/>
    <w:rsid w:val="02A741FD"/>
    <w:rsid w:val="02C16E5D"/>
    <w:rsid w:val="02D964CF"/>
    <w:rsid w:val="0340787C"/>
    <w:rsid w:val="03707410"/>
    <w:rsid w:val="037F03E3"/>
    <w:rsid w:val="03A0770F"/>
    <w:rsid w:val="03A27BF9"/>
    <w:rsid w:val="03A448B8"/>
    <w:rsid w:val="03AD071E"/>
    <w:rsid w:val="04DF1036"/>
    <w:rsid w:val="050F4037"/>
    <w:rsid w:val="05906E9F"/>
    <w:rsid w:val="05A97DEC"/>
    <w:rsid w:val="05C81981"/>
    <w:rsid w:val="06BC41F2"/>
    <w:rsid w:val="07197D08"/>
    <w:rsid w:val="071C2CFD"/>
    <w:rsid w:val="071E5C55"/>
    <w:rsid w:val="073F7319"/>
    <w:rsid w:val="07536A42"/>
    <w:rsid w:val="07595F41"/>
    <w:rsid w:val="07615EC0"/>
    <w:rsid w:val="077005AB"/>
    <w:rsid w:val="078F4581"/>
    <w:rsid w:val="07995C5E"/>
    <w:rsid w:val="07BE179A"/>
    <w:rsid w:val="07BF027F"/>
    <w:rsid w:val="08031A31"/>
    <w:rsid w:val="081A5CC7"/>
    <w:rsid w:val="08A276E5"/>
    <w:rsid w:val="08A94D41"/>
    <w:rsid w:val="09061A75"/>
    <w:rsid w:val="09182241"/>
    <w:rsid w:val="093C069F"/>
    <w:rsid w:val="09855177"/>
    <w:rsid w:val="09870F93"/>
    <w:rsid w:val="09F1637C"/>
    <w:rsid w:val="0A25628F"/>
    <w:rsid w:val="0AA534D5"/>
    <w:rsid w:val="0AA650EB"/>
    <w:rsid w:val="0AB8066A"/>
    <w:rsid w:val="0AF47339"/>
    <w:rsid w:val="0B22594B"/>
    <w:rsid w:val="0B797387"/>
    <w:rsid w:val="0BC044BE"/>
    <w:rsid w:val="0BDF26F7"/>
    <w:rsid w:val="0C264099"/>
    <w:rsid w:val="0C2B4952"/>
    <w:rsid w:val="0C7B2220"/>
    <w:rsid w:val="0D890E47"/>
    <w:rsid w:val="0DC64A00"/>
    <w:rsid w:val="0DFC60BA"/>
    <w:rsid w:val="0E4249F1"/>
    <w:rsid w:val="0F4A78B6"/>
    <w:rsid w:val="0F7C5FF6"/>
    <w:rsid w:val="0FC63FBD"/>
    <w:rsid w:val="106C564D"/>
    <w:rsid w:val="107B7B8F"/>
    <w:rsid w:val="107C67CE"/>
    <w:rsid w:val="109D68CB"/>
    <w:rsid w:val="10A949B8"/>
    <w:rsid w:val="11200D07"/>
    <w:rsid w:val="11CA58A9"/>
    <w:rsid w:val="11DA73AF"/>
    <w:rsid w:val="12C60D80"/>
    <w:rsid w:val="131F7A3A"/>
    <w:rsid w:val="132645D0"/>
    <w:rsid w:val="1338763C"/>
    <w:rsid w:val="13455ABC"/>
    <w:rsid w:val="1370322B"/>
    <w:rsid w:val="13B27845"/>
    <w:rsid w:val="141A03E1"/>
    <w:rsid w:val="143B2E0B"/>
    <w:rsid w:val="14672B11"/>
    <w:rsid w:val="14892735"/>
    <w:rsid w:val="14CC769D"/>
    <w:rsid w:val="15D359D7"/>
    <w:rsid w:val="15D81E0F"/>
    <w:rsid w:val="163C77BE"/>
    <w:rsid w:val="1679588C"/>
    <w:rsid w:val="16994962"/>
    <w:rsid w:val="16A71041"/>
    <w:rsid w:val="16AA24BF"/>
    <w:rsid w:val="16E322F0"/>
    <w:rsid w:val="16F72341"/>
    <w:rsid w:val="17680CAB"/>
    <w:rsid w:val="176E4128"/>
    <w:rsid w:val="1783371F"/>
    <w:rsid w:val="17E62B67"/>
    <w:rsid w:val="180F4499"/>
    <w:rsid w:val="18221ECE"/>
    <w:rsid w:val="19A2789F"/>
    <w:rsid w:val="1A460CF5"/>
    <w:rsid w:val="1A4B5971"/>
    <w:rsid w:val="1A7F297D"/>
    <w:rsid w:val="1AB16AC1"/>
    <w:rsid w:val="1B034A52"/>
    <w:rsid w:val="1B1F34AD"/>
    <w:rsid w:val="1B8D5DC6"/>
    <w:rsid w:val="1BFE1D3B"/>
    <w:rsid w:val="1C2775EC"/>
    <w:rsid w:val="1C750ECE"/>
    <w:rsid w:val="1C8F4685"/>
    <w:rsid w:val="1D0836D7"/>
    <w:rsid w:val="1D196139"/>
    <w:rsid w:val="1DB85900"/>
    <w:rsid w:val="1E010AF7"/>
    <w:rsid w:val="1E0178EB"/>
    <w:rsid w:val="1E301173"/>
    <w:rsid w:val="1E38333E"/>
    <w:rsid w:val="1EA40BB4"/>
    <w:rsid w:val="1F43381C"/>
    <w:rsid w:val="1FA4148D"/>
    <w:rsid w:val="20121621"/>
    <w:rsid w:val="201A421D"/>
    <w:rsid w:val="204E554F"/>
    <w:rsid w:val="20590035"/>
    <w:rsid w:val="20FC799E"/>
    <w:rsid w:val="212B446D"/>
    <w:rsid w:val="22154DDD"/>
    <w:rsid w:val="22213E42"/>
    <w:rsid w:val="22336873"/>
    <w:rsid w:val="238C2182"/>
    <w:rsid w:val="239015D1"/>
    <w:rsid w:val="23BB4E7D"/>
    <w:rsid w:val="23C172D6"/>
    <w:rsid w:val="23F04F64"/>
    <w:rsid w:val="24814CBE"/>
    <w:rsid w:val="24AC168B"/>
    <w:rsid w:val="24FE7582"/>
    <w:rsid w:val="258C3BEC"/>
    <w:rsid w:val="260E3862"/>
    <w:rsid w:val="262569FC"/>
    <w:rsid w:val="26344C98"/>
    <w:rsid w:val="26F56CE2"/>
    <w:rsid w:val="27435D49"/>
    <w:rsid w:val="27A34F71"/>
    <w:rsid w:val="27B36A67"/>
    <w:rsid w:val="27EB0D9B"/>
    <w:rsid w:val="286602C8"/>
    <w:rsid w:val="28665C95"/>
    <w:rsid w:val="28DD3814"/>
    <w:rsid w:val="290B3EB9"/>
    <w:rsid w:val="291418C2"/>
    <w:rsid w:val="2950768C"/>
    <w:rsid w:val="297A5FC4"/>
    <w:rsid w:val="2A1113BC"/>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BF10D0"/>
    <w:rsid w:val="30FF27D2"/>
    <w:rsid w:val="31170995"/>
    <w:rsid w:val="31264A30"/>
    <w:rsid w:val="31884E67"/>
    <w:rsid w:val="31A0275E"/>
    <w:rsid w:val="31B7357A"/>
    <w:rsid w:val="31ED6B08"/>
    <w:rsid w:val="328464CE"/>
    <w:rsid w:val="32AB70C5"/>
    <w:rsid w:val="32D05345"/>
    <w:rsid w:val="32DC33E0"/>
    <w:rsid w:val="335D0AF5"/>
    <w:rsid w:val="3370088C"/>
    <w:rsid w:val="33A3154A"/>
    <w:rsid w:val="33DC2F78"/>
    <w:rsid w:val="3428227C"/>
    <w:rsid w:val="35186C67"/>
    <w:rsid w:val="35260F83"/>
    <w:rsid w:val="35602226"/>
    <w:rsid w:val="356B72E7"/>
    <w:rsid w:val="3572424F"/>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B53F1F"/>
    <w:rsid w:val="3BCD72F7"/>
    <w:rsid w:val="3C414142"/>
    <w:rsid w:val="3CF737A2"/>
    <w:rsid w:val="3D10295A"/>
    <w:rsid w:val="3E0572FD"/>
    <w:rsid w:val="3E1A5292"/>
    <w:rsid w:val="3E5A7FE7"/>
    <w:rsid w:val="3EC8179E"/>
    <w:rsid w:val="3EF66B2E"/>
    <w:rsid w:val="3F217914"/>
    <w:rsid w:val="3F5D52BD"/>
    <w:rsid w:val="3FD70BB0"/>
    <w:rsid w:val="3FFB55AC"/>
    <w:rsid w:val="401C5F9D"/>
    <w:rsid w:val="401C690C"/>
    <w:rsid w:val="401D7195"/>
    <w:rsid w:val="40CE3DC0"/>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1A0BE0"/>
    <w:rsid w:val="479D1D34"/>
    <w:rsid w:val="47B609C0"/>
    <w:rsid w:val="482D31EA"/>
    <w:rsid w:val="485970A0"/>
    <w:rsid w:val="48A41906"/>
    <w:rsid w:val="48B65C71"/>
    <w:rsid w:val="48F303D7"/>
    <w:rsid w:val="492837FF"/>
    <w:rsid w:val="492E6A57"/>
    <w:rsid w:val="4A0030EE"/>
    <w:rsid w:val="4AC36065"/>
    <w:rsid w:val="4B7501F5"/>
    <w:rsid w:val="4B8C2DEB"/>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475B39"/>
    <w:rsid w:val="514C3EA7"/>
    <w:rsid w:val="519849E5"/>
    <w:rsid w:val="51B36892"/>
    <w:rsid w:val="52506DA7"/>
    <w:rsid w:val="52A27E1D"/>
    <w:rsid w:val="533B2B84"/>
    <w:rsid w:val="537A7243"/>
    <w:rsid w:val="539C1B81"/>
    <w:rsid w:val="53AE750F"/>
    <w:rsid w:val="53F263AD"/>
    <w:rsid w:val="54693932"/>
    <w:rsid w:val="549A6BFA"/>
    <w:rsid w:val="54E72921"/>
    <w:rsid w:val="55806F07"/>
    <w:rsid w:val="55FA2961"/>
    <w:rsid w:val="565E7F4F"/>
    <w:rsid w:val="56775789"/>
    <w:rsid w:val="56857D06"/>
    <w:rsid w:val="56914056"/>
    <w:rsid w:val="56DB613D"/>
    <w:rsid w:val="57FC2169"/>
    <w:rsid w:val="580907F2"/>
    <w:rsid w:val="58096275"/>
    <w:rsid w:val="581C04F1"/>
    <w:rsid w:val="582E6EF7"/>
    <w:rsid w:val="58434392"/>
    <w:rsid w:val="584E30E6"/>
    <w:rsid w:val="58D73C60"/>
    <w:rsid w:val="59014D02"/>
    <w:rsid w:val="597B384D"/>
    <w:rsid w:val="59996DA8"/>
    <w:rsid w:val="59C30F1B"/>
    <w:rsid w:val="5A0D5854"/>
    <w:rsid w:val="5A20156F"/>
    <w:rsid w:val="5AB1404C"/>
    <w:rsid w:val="5AC7121C"/>
    <w:rsid w:val="5AD90B8D"/>
    <w:rsid w:val="5AE12927"/>
    <w:rsid w:val="5B2243E9"/>
    <w:rsid w:val="5B4E1A44"/>
    <w:rsid w:val="5B666742"/>
    <w:rsid w:val="5B873201"/>
    <w:rsid w:val="5B89551D"/>
    <w:rsid w:val="5B967767"/>
    <w:rsid w:val="5B9E55DE"/>
    <w:rsid w:val="5C286807"/>
    <w:rsid w:val="5C446BC8"/>
    <w:rsid w:val="5C4C687B"/>
    <w:rsid w:val="5C7C2768"/>
    <w:rsid w:val="5CB23AE6"/>
    <w:rsid w:val="5CF55792"/>
    <w:rsid w:val="5CFD533A"/>
    <w:rsid w:val="5D6146FD"/>
    <w:rsid w:val="5D893B14"/>
    <w:rsid w:val="5E2B7D62"/>
    <w:rsid w:val="5E38320E"/>
    <w:rsid w:val="5EA06921"/>
    <w:rsid w:val="5ED5006A"/>
    <w:rsid w:val="5F576E4B"/>
    <w:rsid w:val="5F7A2C30"/>
    <w:rsid w:val="5FBE370A"/>
    <w:rsid w:val="60292845"/>
    <w:rsid w:val="612E1A5D"/>
    <w:rsid w:val="61816046"/>
    <w:rsid w:val="61E078B4"/>
    <w:rsid w:val="62391564"/>
    <w:rsid w:val="62816669"/>
    <w:rsid w:val="62BA0953"/>
    <w:rsid w:val="62D03A7C"/>
    <w:rsid w:val="62F16BCB"/>
    <w:rsid w:val="62F648FE"/>
    <w:rsid w:val="63341DB1"/>
    <w:rsid w:val="63A10995"/>
    <w:rsid w:val="63C23EFA"/>
    <w:rsid w:val="643A070A"/>
    <w:rsid w:val="644C573D"/>
    <w:rsid w:val="648667A7"/>
    <w:rsid w:val="64DB383A"/>
    <w:rsid w:val="65032F85"/>
    <w:rsid w:val="65136B50"/>
    <w:rsid w:val="657E2A35"/>
    <w:rsid w:val="65A94E9D"/>
    <w:rsid w:val="65B353C8"/>
    <w:rsid w:val="65C60A92"/>
    <w:rsid w:val="662203DD"/>
    <w:rsid w:val="66236C39"/>
    <w:rsid w:val="66651FD7"/>
    <w:rsid w:val="66DD6702"/>
    <w:rsid w:val="679406CB"/>
    <w:rsid w:val="67C35C0B"/>
    <w:rsid w:val="68652AB3"/>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A3931"/>
    <w:rsid w:val="6CE127A1"/>
    <w:rsid w:val="6D3933CA"/>
    <w:rsid w:val="6D415F28"/>
    <w:rsid w:val="6D7B61EC"/>
    <w:rsid w:val="6DD049FF"/>
    <w:rsid w:val="6E09491E"/>
    <w:rsid w:val="6E0D3655"/>
    <w:rsid w:val="6E5F4465"/>
    <w:rsid w:val="6E8C54DA"/>
    <w:rsid w:val="6EF11E03"/>
    <w:rsid w:val="6F111C62"/>
    <w:rsid w:val="6F2176E5"/>
    <w:rsid w:val="6F3053CA"/>
    <w:rsid w:val="6F592303"/>
    <w:rsid w:val="6F5F5B74"/>
    <w:rsid w:val="6F9B1C65"/>
    <w:rsid w:val="6FA46A97"/>
    <w:rsid w:val="6FD47A25"/>
    <w:rsid w:val="6FFB146E"/>
    <w:rsid w:val="701A5C74"/>
    <w:rsid w:val="706516C3"/>
    <w:rsid w:val="707E401E"/>
    <w:rsid w:val="70896E68"/>
    <w:rsid w:val="70D80019"/>
    <w:rsid w:val="71455D42"/>
    <w:rsid w:val="715B60E9"/>
    <w:rsid w:val="71EA1FED"/>
    <w:rsid w:val="72C16204"/>
    <w:rsid w:val="730313F6"/>
    <w:rsid w:val="731E1007"/>
    <w:rsid w:val="73370D24"/>
    <w:rsid w:val="73447841"/>
    <w:rsid w:val="7359268C"/>
    <w:rsid w:val="739503EB"/>
    <w:rsid w:val="73A05B28"/>
    <w:rsid w:val="73C07D69"/>
    <w:rsid w:val="74B42AE4"/>
    <w:rsid w:val="750A429D"/>
    <w:rsid w:val="755D38A7"/>
    <w:rsid w:val="75614792"/>
    <w:rsid w:val="75784473"/>
    <w:rsid w:val="757E044C"/>
    <w:rsid w:val="75977BC3"/>
    <w:rsid w:val="75B161B3"/>
    <w:rsid w:val="75E470E3"/>
    <w:rsid w:val="76736B32"/>
    <w:rsid w:val="76E3765E"/>
    <w:rsid w:val="76FC2AFA"/>
    <w:rsid w:val="77653671"/>
    <w:rsid w:val="778546CC"/>
    <w:rsid w:val="77B56730"/>
    <w:rsid w:val="77C04A8B"/>
    <w:rsid w:val="77D85DB3"/>
    <w:rsid w:val="780252A0"/>
    <w:rsid w:val="78027772"/>
    <w:rsid w:val="78A50513"/>
    <w:rsid w:val="796518DD"/>
    <w:rsid w:val="796E0C55"/>
    <w:rsid w:val="79AA0532"/>
    <w:rsid w:val="79FE1DDD"/>
    <w:rsid w:val="7A075767"/>
    <w:rsid w:val="7A212062"/>
    <w:rsid w:val="7A282A11"/>
    <w:rsid w:val="7AC21562"/>
    <w:rsid w:val="7AD474A4"/>
    <w:rsid w:val="7B43200C"/>
    <w:rsid w:val="7B5350AD"/>
    <w:rsid w:val="7B697C89"/>
    <w:rsid w:val="7B8D34C3"/>
    <w:rsid w:val="7B971D84"/>
    <w:rsid w:val="7BF32F03"/>
    <w:rsid w:val="7C1724A5"/>
    <w:rsid w:val="7C8E3CCF"/>
    <w:rsid w:val="7CA54112"/>
    <w:rsid w:val="7CE50CE4"/>
    <w:rsid w:val="7D2E5ABF"/>
    <w:rsid w:val="7E2142A2"/>
    <w:rsid w:val="7E4F5384"/>
    <w:rsid w:val="7E5A6DFA"/>
    <w:rsid w:val="7E7B0BF2"/>
    <w:rsid w:val="7E7F06B0"/>
    <w:rsid w:val="7E8D75B6"/>
    <w:rsid w:val="7EB2417D"/>
    <w:rsid w:val="7EF760EE"/>
    <w:rsid w:val="7F2A21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link w:val="33"/>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9"/>
    <w:pPr>
      <w:keepNext/>
      <w:keepLines/>
      <w:spacing w:line="360" w:lineRule="auto"/>
      <w:outlineLvl w:val="3"/>
    </w:pPr>
    <w:rPr>
      <w:rFonts w:ascii="宋体" w:hAnsi="宋体" w:eastAsia="宋体" w:cs="黑体"/>
      <w:b/>
      <w:bCs/>
      <w:sz w:val="24"/>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style>
  <w:style w:type="paragraph" w:styleId="7">
    <w:name w:val="Body Text"/>
    <w:basedOn w:val="1"/>
    <w:next w:val="1"/>
    <w:qFormat/>
    <w:uiPriority w:val="1"/>
    <w:pPr>
      <w:spacing w:before="161"/>
      <w:ind w:left="120"/>
    </w:pPr>
    <w:rPr>
      <w:rFonts w:ascii="宋体" w:hAnsi="宋体" w:eastAsia="宋体" w:cs="宋体"/>
      <w:sz w:val="24"/>
      <w:lang w:val="zh-CN" w:bidi="zh-CN"/>
    </w:rPr>
  </w:style>
  <w:style w:type="paragraph" w:styleId="8">
    <w:name w:val="toc 3"/>
    <w:basedOn w:val="1"/>
    <w:next w:val="1"/>
    <w:unhideWhenUsed/>
    <w:qFormat/>
    <w:uiPriority w:val="39"/>
    <w:pPr>
      <w:tabs>
        <w:tab w:val="right" w:leader="dot" w:pos="8296"/>
      </w:tabs>
      <w:ind w:left="838" w:leftChars="381"/>
    </w:pPr>
    <w:rPr>
      <w:sz w:val="21"/>
      <w:szCs w:val="21"/>
    </w:rPr>
  </w:style>
  <w:style w:type="paragraph" w:styleId="9">
    <w:name w:val="Plain Text"/>
    <w:basedOn w:val="1"/>
    <w:link w:val="42"/>
    <w:qFormat/>
    <w:uiPriority w:val="0"/>
    <w:pPr>
      <w:widowControl w:val="0"/>
      <w:adjustRightInd/>
      <w:snapToGrid/>
      <w:spacing w:after="0"/>
      <w:jc w:val="both"/>
    </w:pPr>
    <w:rPr>
      <w:rFonts w:ascii="宋体" w:hAnsi="Courier New" w:eastAsia="宋体" w:cs="Times New Roman"/>
      <w:b/>
      <w:kern w:val="2"/>
      <w:sz w:val="21"/>
      <w:szCs w:val="20"/>
    </w:rPr>
  </w:style>
  <w:style w:type="paragraph" w:styleId="10">
    <w:name w:val="Balloon Text"/>
    <w:basedOn w:val="1"/>
    <w:link w:val="45"/>
    <w:unhideWhenUsed/>
    <w:qFormat/>
    <w:uiPriority w:val="99"/>
    <w:pPr>
      <w:spacing w:after="0"/>
    </w:pPr>
    <w:rPr>
      <w:sz w:val="18"/>
      <w:szCs w:val="18"/>
    </w:rPr>
  </w:style>
  <w:style w:type="paragraph" w:styleId="11">
    <w:name w:val="footer"/>
    <w:basedOn w:val="1"/>
    <w:link w:val="44"/>
    <w:unhideWhenUsed/>
    <w:qFormat/>
    <w:uiPriority w:val="99"/>
    <w:pPr>
      <w:tabs>
        <w:tab w:val="center" w:pos="4153"/>
        <w:tab w:val="right" w:pos="8306"/>
      </w:tabs>
    </w:pPr>
    <w:rPr>
      <w:sz w:val="18"/>
      <w:szCs w:val="18"/>
    </w:rPr>
  </w:style>
  <w:style w:type="paragraph" w:styleId="12">
    <w:name w:val="header"/>
    <w:basedOn w:val="1"/>
    <w:link w:val="43"/>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tabs>
        <w:tab w:val="right" w:leader="dot" w:pos="8296"/>
      </w:tabs>
      <w:spacing w:after="120"/>
      <w:ind w:left="1320" w:leftChars="600"/>
    </w:pPr>
  </w:style>
  <w:style w:type="paragraph" w:styleId="15">
    <w:name w:val="footnote text"/>
    <w:basedOn w:val="1"/>
    <w:unhideWhenUsed/>
    <w:qFormat/>
    <w:uiPriority w:val="99"/>
    <w:pPr>
      <w:snapToGrid w:val="0"/>
      <w:jc w:val="left"/>
    </w:pPr>
    <w:rPr>
      <w:sz w:val="18"/>
    </w:rPr>
  </w:style>
  <w:style w:type="paragraph" w:styleId="16">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7">
    <w:name w:val="Normal (Web)"/>
    <w:basedOn w:val="1"/>
    <w:link w:val="46"/>
    <w:qFormat/>
    <w:uiPriority w:val="0"/>
    <w:pPr>
      <w:widowControl w:val="0"/>
      <w:adjustRightInd/>
      <w:snapToGrid/>
      <w:spacing w:after="0"/>
      <w:jc w:val="both"/>
    </w:pPr>
    <w:rPr>
      <w:rFonts w:ascii="Calibri" w:hAnsi="Calibri" w:eastAsia="宋体"/>
      <w:kern w:val="2"/>
      <w:sz w:val="24"/>
      <w:szCs w:val="24"/>
    </w:rPr>
  </w:style>
  <w:style w:type="paragraph" w:styleId="18">
    <w:name w:val="Body Text First Indent"/>
    <w:basedOn w:val="7"/>
    <w:unhideWhenUsed/>
    <w:qFormat/>
    <w:uiPriority w:val="99"/>
    <w:pPr>
      <w:ind w:firstLine="420" w:firstLineChars="100"/>
    </w:pPr>
    <w:rPr>
      <w:rFonts w:ascii="Times New Roman" w:hAnsi="Times New Roman" w:cs="Times New Roman"/>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iCs/>
    </w:rPr>
  </w:style>
  <w:style w:type="character" w:styleId="23">
    <w:name w:val="Hyperlink"/>
    <w:qFormat/>
    <w:uiPriority w:val="99"/>
    <w:rPr>
      <w:rFonts w:hint="eastAsia" w:ascii="宋体" w:hAnsi="宋体" w:eastAsia="宋体" w:cs="宋体"/>
      <w:b/>
      <w:color w:val="0031C1"/>
      <w:kern w:val="0"/>
      <w:sz w:val="18"/>
      <w:szCs w:val="18"/>
      <w:u w:val="none"/>
      <w:lang w:eastAsia="en-US"/>
    </w:rPr>
  </w:style>
  <w:style w:type="character" w:styleId="24">
    <w:name w:val="annotation reference"/>
    <w:basedOn w:val="21"/>
    <w:unhideWhenUsed/>
    <w:qFormat/>
    <w:uiPriority w:val="99"/>
    <w:rPr>
      <w:sz w:val="21"/>
      <w:szCs w:val="21"/>
    </w:rPr>
  </w:style>
  <w:style w:type="character" w:styleId="25">
    <w:name w:val="footnote reference"/>
    <w:basedOn w:val="21"/>
    <w:unhideWhenUsed/>
    <w:qFormat/>
    <w:uiPriority w:val="99"/>
    <w:rPr>
      <w:vertAlign w:val="superscript"/>
    </w:rPr>
  </w:style>
  <w:style w:type="paragraph" w:customStyle="1" w:styleId="26">
    <w:name w:val="List Paragraph"/>
    <w:basedOn w:val="1"/>
    <w:qFormat/>
    <w:uiPriority w:val="34"/>
    <w:pPr>
      <w:ind w:firstLine="420" w:firstLineChars="200"/>
    </w:pPr>
  </w:style>
  <w:style w:type="paragraph" w:customStyle="1" w:styleId="27">
    <w:name w:val="正文缩进2格"/>
    <w:basedOn w:val="1"/>
    <w:link w:val="36"/>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8">
    <w:name w:val="正文缩进4格"/>
    <w:basedOn w:val="27"/>
    <w:qFormat/>
    <w:uiPriority w:val="0"/>
    <w:pPr>
      <w:ind w:left="2" w:firstLine="538" w:firstLineChars="192"/>
    </w:pPr>
    <w:rPr>
      <w:color w:val="0000FF"/>
      <w:sz w:val="28"/>
    </w:rPr>
  </w:style>
  <w:style w:type="paragraph" w:customStyle="1" w:styleId="29">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30">
    <w:name w:val="标题 3.1"/>
    <w:basedOn w:val="4"/>
    <w:link w:val="39"/>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paragraph" w:customStyle="1" w:styleId="31">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paragraph" w:customStyle="1" w:styleId="32">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33">
    <w:name w:val="标题 2 Char"/>
    <w:basedOn w:val="21"/>
    <w:link w:val="2"/>
    <w:qFormat/>
    <w:uiPriority w:val="9"/>
    <w:rPr>
      <w:rFonts w:ascii="Cambria" w:hAnsi="Cambria" w:eastAsia="宋体" w:cs="黑体"/>
      <w:b/>
      <w:bCs/>
      <w:sz w:val="32"/>
      <w:szCs w:val="32"/>
    </w:rPr>
  </w:style>
  <w:style w:type="character" w:customStyle="1" w:styleId="34">
    <w:name w:val="标题 3 Char"/>
    <w:basedOn w:val="21"/>
    <w:link w:val="4"/>
    <w:qFormat/>
    <w:uiPriority w:val="9"/>
    <w:rPr>
      <w:rFonts w:ascii="Tahoma" w:hAnsi="Tahoma"/>
      <w:b/>
      <w:bCs/>
      <w:sz w:val="32"/>
      <w:szCs w:val="32"/>
    </w:rPr>
  </w:style>
  <w:style w:type="character" w:customStyle="1" w:styleId="35">
    <w:name w:val="标题 4 Char"/>
    <w:basedOn w:val="21"/>
    <w:link w:val="5"/>
    <w:qFormat/>
    <w:uiPriority w:val="9"/>
    <w:rPr>
      <w:rFonts w:ascii="宋体" w:hAnsi="宋体" w:eastAsia="宋体" w:cs="黑体"/>
      <w:b/>
      <w:bCs/>
      <w:sz w:val="24"/>
      <w:szCs w:val="28"/>
    </w:rPr>
  </w:style>
  <w:style w:type="character" w:customStyle="1" w:styleId="36">
    <w:name w:val="正文缩进2格 Char"/>
    <w:link w:val="27"/>
    <w:qFormat/>
    <w:uiPriority w:val="0"/>
    <w:rPr>
      <w:rFonts w:ascii="仿宋_GB2312" w:hAnsi="宋体" w:eastAsia="仿宋_GB2312"/>
      <w:kern w:val="2"/>
      <w:sz w:val="31"/>
    </w:rPr>
  </w:style>
  <w:style w:type="character" w:customStyle="1" w:styleId="37">
    <w:name w:val="正文缩进2格 Char Char"/>
    <w:qFormat/>
    <w:uiPriority w:val="0"/>
    <w:rPr>
      <w:rFonts w:ascii="仿宋_GB2312" w:hAnsi="宋体" w:eastAsia="仿宋_GB2312" w:cs="Times New Roman"/>
      <w:b/>
      <w:kern w:val="2"/>
      <w:sz w:val="31"/>
      <w:szCs w:val="28"/>
      <w:lang w:val="en-US" w:eastAsia="zh-CN" w:bidi="ar-SA"/>
    </w:rPr>
  </w:style>
  <w:style w:type="character" w:customStyle="1" w:styleId="38">
    <w:name w:val="标题1"/>
    <w:qFormat/>
    <w:uiPriority w:val="0"/>
    <w:rPr>
      <w:rFonts w:ascii="Times New Roman" w:hAnsi="Times New Roman" w:eastAsia="宋体" w:cs="Times New Roman"/>
      <w:b/>
      <w:kern w:val="0"/>
      <w:sz w:val="24"/>
      <w:szCs w:val="20"/>
      <w:lang w:eastAsia="en-US"/>
    </w:rPr>
  </w:style>
  <w:style w:type="character" w:customStyle="1" w:styleId="39">
    <w:name w:val="标题 3.1 Char"/>
    <w:link w:val="30"/>
    <w:qFormat/>
    <w:uiPriority w:val="0"/>
    <w:rPr>
      <w:rFonts w:ascii="宋体" w:hAnsi="宋体" w:eastAsia="宋体"/>
      <w:b/>
      <w:color w:val="FF0000"/>
      <w:kern w:val="2"/>
      <w:sz w:val="32"/>
    </w:rPr>
  </w:style>
  <w:style w:type="character" w:customStyle="1" w:styleId="40">
    <w:name w:val="样式 楷体_GB2312 小四"/>
    <w:qFormat/>
    <w:uiPriority w:val="0"/>
    <w:rPr>
      <w:rFonts w:ascii="楷体_GB2312" w:hAnsi="楷体_GB2312" w:eastAsia="仿宋_GB2312"/>
      <w:sz w:val="24"/>
    </w:rPr>
  </w:style>
  <w:style w:type="character" w:customStyle="1" w:styleId="41">
    <w:name w:val="纯文本 Char"/>
    <w:qFormat/>
    <w:uiPriority w:val="0"/>
    <w:rPr>
      <w:rFonts w:ascii="宋体" w:hAnsi="Courier New" w:eastAsia="宋体" w:cs="Times New Roman"/>
      <w:b/>
      <w:kern w:val="2"/>
      <w:sz w:val="21"/>
      <w:szCs w:val="20"/>
    </w:rPr>
  </w:style>
  <w:style w:type="character" w:customStyle="1" w:styleId="42">
    <w:name w:val="纯文本 Char1"/>
    <w:basedOn w:val="21"/>
    <w:link w:val="9"/>
    <w:semiHidden/>
    <w:qFormat/>
    <w:uiPriority w:val="99"/>
    <w:rPr>
      <w:rFonts w:ascii="宋体" w:hAnsi="Courier New" w:eastAsia="宋体" w:cs="Courier New"/>
      <w:sz w:val="21"/>
      <w:szCs w:val="21"/>
    </w:rPr>
  </w:style>
  <w:style w:type="character" w:customStyle="1" w:styleId="43">
    <w:name w:val="页眉 Char"/>
    <w:basedOn w:val="21"/>
    <w:link w:val="12"/>
    <w:qFormat/>
    <w:uiPriority w:val="99"/>
    <w:rPr>
      <w:rFonts w:ascii="Tahoma" w:hAnsi="Tahoma"/>
      <w:sz w:val="18"/>
      <w:szCs w:val="18"/>
    </w:rPr>
  </w:style>
  <w:style w:type="character" w:customStyle="1" w:styleId="44">
    <w:name w:val="页脚 Char"/>
    <w:basedOn w:val="21"/>
    <w:link w:val="11"/>
    <w:qFormat/>
    <w:uiPriority w:val="99"/>
    <w:rPr>
      <w:rFonts w:ascii="Tahoma" w:hAnsi="Tahoma"/>
      <w:sz w:val="18"/>
      <w:szCs w:val="18"/>
    </w:rPr>
  </w:style>
  <w:style w:type="character" w:customStyle="1" w:styleId="45">
    <w:name w:val="批注框文本 Char"/>
    <w:basedOn w:val="21"/>
    <w:link w:val="10"/>
    <w:semiHidden/>
    <w:qFormat/>
    <w:uiPriority w:val="99"/>
    <w:rPr>
      <w:rFonts w:ascii="Tahoma" w:hAnsi="Tahoma"/>
      <w:sz w:val="18"/>
      <w:szCs w:val="18"/>
    </w:rPr>
  </w:style>
  <w:style w:type="character" w:customStyle="1" w:styleId="46">
    <w:name w:val="普通(网站) Char"/>
    <w:link w:val="17"/>
    <w:qFormat/>
    <w:uiPriority w:val="0"/>
    <w:rPr>
      <w:rFonts w:eastAsia="宋体"/>
      <w:kern w:val="2"/>
      <w:sz w:val="24"/>
      <w:szCs w:val="24"/>
    </w:rPr>
  </w:style>
  <w:style w:type="character" w:customStyle="1" w:styleId="47">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5566</Words>
  <Characters>31731</Characters>
  <Lines>264</Lines>
  <Paragraphs>74</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Lu</cp:lastModifiedBy>
  <cp:lastPrinted>2021-07-15T06:27:00Z</cp:lastPrinted>
  <dcterms:modified xsi:type="dcterms:W3CDTF">2021-08-13T06:40:11Z</dcterms:modified>
  <dc:subject>公开招标文件版本</dc:subject>
  <dc:title>公开招标文件版本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5FE1F059FA034B8C8D80F50CC3745C52</vt:lpwstr>
  </property>
</Properties>
</file>