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eastAsia="黑体"/>
          <w:b/>
          <w:color w:val="auto"/>
          <w:sz w:val="36"/>
          <w:highlight w:val="none"/>
          <w:lang w:eastAsia="zh-CN"/>
        </w:rPr>
      </w:pPr>
      <w:r>
        <w:rPr>
          <w:rFonts w:hint="eastAsia" w:ascii="黑体" w:eastAsia="黑体"/>
          <w:color w:val="auto"/>
          <w:szCs w:val="21"/>
          <w:highlight w:val="none"/>
        </w:rPr>
        <w:drawing>
          <wp:inline distT="0" distB="0" distL="114300" distR="114300">
            <wp:extent cx="682625" cy="652145"/>
            <wp:effectExtent l="0" t="0" r="3175" b="1460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cstate="print"/>
                    <a:srcRect l="6233" t="18358" r="67326" b="19339"/>
                    <a:stretch>
                      <a:fillRect/>
                    </a:stretch>
                  </pic:blipFill>
                  <pic:spPr>
                    <a:xfrm>
                      <a:off x="0" y="0"/>
                      <a:ext cx="682625" cy="652145"/>
                    </a:xfrm>
                    <a:prstGeom prst="rect">
                      <a:avLst/>
                    </a:prstGeom>
                  </pic:spPr>
                </pic:pic>
              </a:graphicData>
            </a:graphic>
          </wp:inline>
        </w:drawing>
      </w:r>
    </w:p>
    <w:p>
      <w:pPr>
        <w:jc w:val="right"/>
        <w:rPr>
          <w:rFonts w:ascii="黑体" w:eastAsia="黑体"/>
          <w:color w:val="auto"/>
          <w:szCs w:val="21"/>
          <w:highlight w:val="none"/>
        </w:rPr>
      </w:pPr>
    </w:p>
    <w:p>
      <w:pPr>
        <w:jc w:val="right"/>
        <w:rPr>
          <w:rFonts w:eastAsia="黑体"/>
          <w:b/>
          <w:color w:val="auto"/>
          <w:sz w:val="36"/>
          <w:highlight w:val="none"/>
        </w:rPr>
      </w:pPr>
    </w:p>
    <w:p>
      <w:pPr>
        <w:rPr>
          <w:color w:val="auto"/>
          <w:highlight w:val="none"/>
        </w:rPr>
      </w:pPr>
    </w:p>
    <w:p>
      <w:pPr>
        <w:rPr>
          <w:color w:val="auto"/>
          <w:highlight w:val="none"/>
        </w:rPr>
      </w:pPr>
    </w:p>
    <w:p>
      <w:pPr>
        <w:rPr>
          <w:color w:val="auto"/>
          <w:highlight w:val="none"/>
        </w:rPr>
      </w:pPr>
    </w:p>
    <w:p>
      <w:pPr>
        <w:ind w:right="-28"/>
        <w:jc w:val="center"/>
        <w:textAlignment w:val="bottom"/>
        <w:rPr>
          <w:rFonts w:ascii="黑体" w:hAnsi="黑体" w:eastAsia="黑体" w:cs="黑体"/>
          <w:bCs/>
          <w:color w:val="auto"/>
          <w:spacing w:val="57"/>
          <w:sz w:val="72"/>
          <w:szCs w:val="72"/>
          <w:highlight w:val="none"/>
        </w:rPr>
      </w:pPr>
      <w:r>
        <w:rPr>
          <w:rFonts w:hint="eastAsia" w:ascii="黑体" w:hAnsi="黑体" w:eastAsia="黑体" w:cs="黑体"/>
          <w:bCs/>
          <w:color w:val="auto"/>
          <w:spacing w:val="57"/>
          <w:sz w:val="72"/>
          <w:szCs w:val="72"/>
          <w:highlight w:val="none"/>
        </w:rPr>
        <w:t>公开招标文件</w:t>
      </w:r>
    </w:p>
    <w:p>
      <w:pPr>
        <w:jc w:val="center"/>
        <w:rPr>
          <w:rFonts w:ascii="黑体" w:hAnsi="黑体" w:eastAsia="黑体" w:cs="黑体"/>
          <w:color w:val="auto"/>
          <w:highlight w:val="none"/>
        </w:rPr>
      </w:pPr>
      <w:r>
        <w:rPr>
          <w:rFonts w:hint="eastAsia" w:ascii="黑体" w:hAnsi="黑体" w:eastAsia="黑体" w:cs="黑体"/>
          <w:bCs/>
          <w:color w:val="auto"/>
          <w:spacing w:val="57"/>
          <w:sz w:val="72"/>
          <w:szCs w:val="72"/>
          <w:highlight w:val="none"/>
        </w:rPr>
        <w:t>东莞市政府采购</w:t>
      </w:r>
    </w:p>
    <w:p>
      <w:pPr>
        <w:jc w:val="center"/>
        <w:rPr>
          <w:color w:val="auto"/>
          <w:highlight w:val="none"/>
        </w:rPr>
      </w:pPr>
    </w:p>
    <w:p>
      <w:pPr>
        <w:rPr>
          <w:color w:val="auto"/>
          <w:highlight w:val="none"/>
        </w:rPr>
      </w:pPr>
    </w:p>
    <w:tbl>
      <w:tblPr>
        <w:tblStyle w:val="21"/>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2021年常平镇市政排渠常态化清淤疏浚采购项目（重新招标）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441900018-2021-00577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203" w:type="dxa"/>
            <w:noWrap/>
            <w:vAlign w:val="center"/>
          </w:tcPr>
          <w:p>
            <w:pPr>
              <w:spacing w:before="200"/>
              <w:jc w:val="both"/>
              <w:rPr>
                <w:rFonts w:ascii="黑体" w:hAnsi="黑体" w:eastAsia="黑体" w:cs="黑体"/>
                <w:bCs/>
                <w:color w:val="auto"/>
                <w:sz w:val="32"/>
                <w:szCs w:val="24"/>
                <w:highlight w:val="none"/>
              </w:rPr>
            </w:pPr>
            <w:r>
              <w:rPr>
                <w:rFonts w:ascii="Helvetica" w:hAnsi="Helvetica" w:eastAsia="Helvetica" w:cs="Helvetica"/>
                <w:b/>
                <w:color w:val="auto"/>
                <w:sz w:val="30"/>
                <w:szCs w:val="30"/>
                <w:highlight w:val="none"/>
                <w:shd w:val="clear" w:color="auto" w:fill="FFFFFF"/>
              </w:rPr>
              <w:t>东莞市常平镇水务工程运营中心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w:t>
            </w:r>
          </w:p>
        </w:tc>
        <w:tc>
          <w:tcPr>
            <w:tcW w:w="6203" w:type="dxa"/>
            <w:noWrap/>
            <w:vAlign w:val="center"/>
          </w:tcPr>
          <w:p>
            <w:pPr>
              <w:spacing w:before="200"/>
              <w:jc w:val="both"/>
              <w:rPr>
                <w:rFonts w:ascii="Helvetica" w:hAnsi="Helvetica" w:eastAsia="Helvetica" w:cs="Helvetica"/>
                <w:b/>
                <w:color w:val="auto"/>
                <w:sz w:val="30"/>
                <w:szCs w:val="30"/>
                <w:highlight w:val="none"/>
                <w:shd w:val="clear" w:color="auto" w:fill="FFFFFF"/>
              </w:rPr>
            </w:pPr>
            <w:r>
              <w:rPr>
                <w:rFonts w:hint="eastAsia" w:ascii="Helvetica" w:hAnsi="Helvetica" w:eastAsia="Helvetica" w:cs="Helvetica"/>
                <w:b/>
                <w:color w:val="auto"/>
                <w:sz w:val="30"/>
                <w:szCs w:val="30"/>
                <w:highlight w:val="none"/>
                <w:shd w:val="clear" w:color="auto" w:fill="FFFFFF"/>
              </w:rPr>
              <w:t>广东政通招标有限公司</w:t>
            </w:r>
          </w:p>
        </w:tc>
      </w:tr>
    </w:tbl>
    <w:p>
      <w:pPr>
        <w:jc w:val="center"/>
        <w:rPr>
          <w:rFonts w:ascii="黑体" w:eastAsia="黑体"/>
          <w:color w:val="auto"/>
          <w:szCs w:val="21"/>
          <w:highlight w:val="none"/>
        </w:rPr>
      </w:pPr>
    </w:p>
    <w:p>
      <w:pPr>
        <w:jc w:val="center"/>
        <w:rPr>
          <w:rFonts w:ascii="黑体" w:eastAsia="黑体"/>
          <w:color w:val="auto"/>
          <w:szCs w:val="21"/>
          <w:highlight w:val="none"/>
        </w:rPr>
      </w:pPr>
    </w:p>
    <w:p>
      <w:pPr>
        <w:jc w:val="both"/>
        <w:rPr>
          <w:rFonts w:ascii="黑体" w:eastAsia="黑体"/>
          <w:color w:val="auto"/>
          <w:szCs w:val="21"/>
          <w:highlight w:val="none"/>
        </w:rPr>
      </w:pPr>
    </w:p>
    <w:p>
      <w:pPr>
        <w:pStyle w:val="18"/>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0"/>
          <w:cols w:space="708" w:num="1"/>
          <w:titlePg/>
          <w:docGrid w:type="lines" w:linePitch="360" w:charSpace="0"/>
        </w:sectPr>
      </w:pPr>
      <w:r>
        <w:rPr>
          <w:rFonts w:hint="eastAsia" w:ascii="黑体" w:eastAsia="黑体"/>
          <w:color w:val="auto"/>
          <w:szCs w:val="21"/>
          <w:highlight w:val="none"/>
        </w:rPr>
        <w:drawing>
          <wp:inline distT="0" distB="0" distL="114300" distR="114300">
            <wp:extent cx="3716020" cy="633730"/>
            <wp:effectExtent l="0" t="0" r="17780" b="13970"/>
            <wp:docPr id="14" name="图片 14" descr="QQ截图202006031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00603163515"/>
                    <pic:cNvPicPr>
                      <a:picLocks noChangeAspect="1"/>
                    </pic:cNvPicPr>
                  </pic:nvPicPr>
                  <pic:blipFill>
                    <a:blip r:embed="rId15" cstate="print"/>
                    <a:srcRect l="6033" t="52170" r="5754" b="9299"/>
                    <a:stretch>
                      <a:fillRect/>
                    </a:stretch>
                  </pic:blipFill>
                  <pic:spPr>
                    <a:xfrm>
                      <a:off x="0" y="0"/>
                      <a:ext cx="3716020" cy="633730"/>
                    </a:xfrm>
                    <a:prstGeom prst="rect">
                      <a:avLst/>
                    </a:prstGeom>
                  </pic:spPr>
                </pic:pic>
              </a:graphicData>
            </a:graphic>
          </wp:inline>
        </w:drawing>
      </w:r>
    </w:p>
    <w:p>
      <w:pPr>
        <w:pStyle w:val="18"/>
        <w:ind w:left="420"/>
        <w:rPr>
          <w:color w:val="auto"/>
          <w:sz w:val="40"/>
          <w:szCs w:val="40"/>
          <w:highlight w:val="none"/>
        </w:rPr>
      </w:pPr>
      <w:r>
        <w:rPr>
          <w:rFonts w:hint="eastAsia"/>
          <w:color w:val="auto"/>
          <w:sz w:val="40"/>
          <w:szCs w:val="40"/>
          <w:highlight w:val="none"/>
        </w:rPr>
        <w:t>目录</w:t>
      </w:r>
    </w:p>
    <w:p>
      <w:pPr>
        <w:pStyle w:val="10"/>
        <w:tabs>
          <w:tab w:val="right" w:leader="dot" w:pos="8306"/>
          <w:tab w:val="clear" w:pos="8296"/>
        </w:tabs>
        <w:ind w:left="0" w:leftChars="0"/>
        <w:rPr>
          <w:rFonts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TOC \o "1-4" \h \z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"_Toc1420"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_Toc1420 </w:instrText>
      </w:r>
      <w:r>
        <w:rPr>
          <w:rFonts w:hint="eastAsia" w:ascii="宋体" w:hAnsi="宋体" w:cs="宋体"/>
          <w:color w:val="auto"/>
          <w:highlight w:val="none"/>
        </w:rPr>
        <w:fldChar w:fldCharType="separate"/>
      </w:r>
      <w:r>
        <w:rPr>
          <w:rFonts w:hint="eastAsia" w:ascii="宋体" w:hAnsi="宋体" w:cs="宋体"/>
          <w:color w:val="auto"/>
          <w:highlight w:val="none"/>
        </w:rPr>
        <w:t>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"_Toc14146" </w:instrText>
      </w:r>
      <w:r>
        <w:rPr>
          <w:color w:val="auto"/>
          <w:highlight w:val="none"/>
        </w:rPr>
        <w:fldChar w:fldCharType="separate"/>
      </w:r>
      <w:r>
        <w:rPr>
          <w:rFonts w:hint="eastAsia" w:cs="宋体"/>
          <w:color w:val="auto"/>
          <w:sz w:val="21"/>
          <w:szCs w:val="21"/>
          <w:highlight w:val="none"/>
        </w:rPr>
        <w:t>第二部分 相关资料表格</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_Toc14146 </w:instrText>
      </w:r>
      <w:r>
        <w:rPr>
          <w:rFonts w:hint="eastAsia" w:cs="宋体"/>
          <w:color w:val="auto"/>
          <w:sz w:val="21"/>
          <w:szCs w:val="21"/>
          <w:highlight w:val="none"/>
        </w:rPr>
        <w:fldChar w:fldCharType="separate"/>
      </w:r>
      <w:r>
        <w:rPr>
          <w:rFonts w:hint="eastAsia" w:cs="宋体"/>
          <w:color w:val="auto"/>
          <w:sz w:val="21"/>
          <w:szCs w:val="21"/>
          <w:highlight w:val="none"/>
        </w:rPr>
        <w:t>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"_Toc20683" </w:instrText>
      </w:r>
      <w:r>
        <w:rPr>
          <w:color w:val="auto"/>
          <w:highlight w:val="none"/>
        </w:rPr>
        <w:fldChar w:fldCharType="separate"/>
      </w:r>
      <w:r>
        <w:rPr>
          <w:rFonts w:hint="eastAsia" w:ascii="宋体" w:hAnsi="宋体" w:cs="宋体"/>
          <w:color w:val="auto"/>
          <w:highlight w:val="none"/>
        </w:rPr>
        <w:t>附表一：投标资料表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_Toc20683 </w:instrText>
      </w:r>
      <w:r>
        <w:rPr>
          <w:rFonts w:hint="eastAsia" w:ascii="宋体" w:hAnsi="宋体" w:cs="宋体"/>
          <w:color w:val="auto"/>
          <w:highlight w:val="none"/>
        </w:rPr>
        <w:fldChar w:fldCharType="separate"/>
      </w:r>
      <w:r>
        <w:rPr>
          <w:rFonts w:hint="eastAsia" w:ascii="宋体" w:hAnsi="宋体" w:cs="宋体"/>
          <w:color w:val="auto"/>
          <w:highlight w:val="none"/>
        </w:rPr>
        <w:t>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"_Toc9572" </w:instrText>
      </w:r>
      <w:r>
        <w:rPr>
          <w:color w:val="auto"/>
          <w:highlight w:val="none"/>
        </w:rPr>
        <w:fldChar w:fldCharType="separate"/>
      </w:r>
      <w:r>
        <w:rPr>
          <w:rFonts w:hint="eastAsia" w:ascii="宋体" w:hAnsi="宋体" w:cs="宋体"/>
          <w:color w:val="auto"/>
          <w:highlight w:val="none"/>
        </w:rPr>
        <w:t>附表二：商务技术评分及价格权重表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_Toc9572 </w:instrText>
      </w:r>
      <w:r>
        <w:rPr>
          <w:rFonts w:hint="eastAsia" w:ascii="宋体" w:hAnsi="宋体" w:cs="宋体"/>
          <w:color w:val="auto"/>
          <w:highlight w:val="none"/>
        </w:rPr>
        <w:fldChar w:fldCharType="separate"/>
      </w:r>
      <w:r>
        <w:rPr>
          <w:rFonts w:hint="eastAsia" w:ascii="宋体" w:hAnsi="宋体" w:cs="宋体"/>
          <w:color w:val="auto"/>
          <w:highlight w:val="none"/>
        </w:rPr>
        <w:t>10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"_Toc31854" </w:instrText>
      </w:r>
      <w:r>
        <w:rPr>
          <w:color w:val="auto"/>
          <w:highlight w:val="none"/>
        </w:rPr>
        <w:fldChar w:fldCharType="separate"/>
      </w:r>
      <w:r>
        <w:rPr>
          <w:rFonts w:hint="eastAsia" w:cs="宋体"/>
          <w:color w:val="auto"/>
          <w:sz w:val="21"/>
          <w:szCs w:val="21"/>
          <w:highlight w:val="none"/>
        </w:rPr>
        <w:t>第三部分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_Toc31854 </w:instrText>
      </w:r>
      <w:r>
        <w:rPr>
          <w:rFonts w:hint="eastAsia" w:cs="宋体"/>
          <w:color w:val="auto"/>
          <w:sz w:val="21"/>
          <w:szCs w:val="21"/>
          <w:highlight w:val="none"/>
        </w:rPr>
        <w:fldChar w:fldCharType="separate"/>
      </w:r>
      <w:r>
        <w:rPr>
          <w:rFonts w:hint="eastAsia" w:cs="宋体"/>
          <w:color w:val="auto"/>
          <w:sz w:val="21"/>
          <w:szCs w:val="21"/>
          <w:highlight w:val="none"/>
        </w:rPr>
        <w:t>13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"_Toc3968" </w:instrText>
      </w:r>
      <w:r>
        <w:rPr>
          <w:color w:val="auto"/>
          <w:highlight w:val="none"/>
        </w:rPr>
        <w:fldChar w:fldCharType="separate"/>
      </w:r>
      <w:r>
        <w:rPr>
          <w:rFonts w:hint="eastAsia" w:ascii="宋体" w:hAnsi="宋体" w:cs="宋体"/>
          <w:color w:val="auto"/>
          <w:highlight w:val="none"/>
        </w:rPr>
        <w:t>用户需求明细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_Toc3968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"_Toc2479"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_Toc2479 </w:instrText>
      </w:r>
      <w:r>
        <w:rPr>
          <w:rFonts w:hint="eastAsia" w:cs="宋体"/>
          <w:color w:val="auto"/>
          <w:sz w:val="21"/>
          <w:szCs w:val="21"/>
          <w:highlight w:val="none"/>
        </w:rPr>
        <w:fldChar w:fldCharType="separate"/>
      </w:r>
      <w:r>
        <w:rPr>
          <w:rFonts w:hint="eastAsia" w:cs="宋体"/>
          <w:color w:val="auto"/>
          <w:sz w:val="21"/>
          <w:szCs w:val="21"/>
          <w:highlight w:val="none"/>
        </w:rPr>
        <w:t>22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"_Toc19746" </w:instrText>
      </w:r>
      <w:r>
        <w:rPr>
          <w:color w:val="auto"/>
          <w:highlight w:val="none"/>
        </w:rPr>
        <w:fldChar w:fldCharType="separate"/>
      </w:r>
      <w:r>
        <w:rPr>
          <w:rFonts w:hint="eastAsia" w:ascii="宋体" w:hAnsi="宋体" w:cs="宋体"/>
          <w:color w:val="auto"/>
          <w:highlight w:val="none"/>
        </w:rPr>
        <w:t>一、 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_Toc19746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"_Toc18488"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_Toc18488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"_Toc13400"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_Toc13400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"_Toc3780"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_Toc3780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"_Toc15945"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_Toc15945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"_Toc25040"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_Toc25040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"_Toc21930"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_Toc21930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"_Toc16571"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_Toc16571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"_Toc17879" </w:instrText>
      </w:r>
      <w:r>
        <w:rPr>
          <w:color w:val="auto"/>
          <w:highlight w:val="none"/>
        </w:rPr>
        <w:fldChar w:fldCharType="separate"/>
      </w:r>
      <w:r>
        <w:rPr>
          <w:rFonts w:hint="eastAsia" w:ascii="宋体" w:hAnsi="宋体" w:cs="宋体"/>
          <w:color w:val="auto"/>
          <w:highlight w:val="none"/>
        </w:rPr>
        <w:t>二、 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_Toc17879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"_Toc21771"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_Toc21771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"_Toc14217"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"_Toc23726" </w:instrText>
      </w:r>
      <w:r>
        <w:rPr>
          <w:color w:val="auto"/>
          <w:highlight w:val="none"/>
        </w:rPr>
        <w:fldChar w:fldCharType="separate"/>
      </w:r>
      <w:r>
        <w:rPr>
          <w:rFonts w:hint="eastAsia" w:ascii="宋体" w:hAnsi="宋体" w:cs="宋体"/>
          <w:color w:val="auto"/>
          <w:highlight w:val="none"/>
        </w:rPr>
        <w:t>三、 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_Toc23726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"_Toc20623"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_Toc20623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"_Toc12145"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"_Toc30189"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_Toc30189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"_Toc259"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"_Toc27724"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_Toc27724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"_Toc19520"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_Toc19520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"_Toc12456"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"_Toc31124" </w:instrText>
      </w:r>
      <w:r>
        <w:rPr>
          <w:color w:val="auto"/>
          <w:highlight w:val="none"/>
        </w:rPr>
        <w:fldChar w:fldCharType="separate"/>
      </w:r>
      <w:r>
        <w:rPr>
          <w:rFonts w:hint="eastAsia" w:ascii="宋体" w:hAnsi="宋体" w:cs="宋体"/>
          <w:color w:val="auto"/>
          <w:highlight w:val="none"/>
        </w:rPr>
        <w:t>四、 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_Toc31124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"_Toc29590"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_Toc29590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"_Toc8628"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_Toc8628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"_Toc13212"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_Toc13212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"_Toc5900"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_Toc5900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"_Toc6003"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_Toc6003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"_Toc29574" </w:instrText>
      </w:r>
      <w:r>
        <w:rPr>
          <w:color w:val="auto"/>
          <w:highlight w:val="none"/>
        </w:rPr>
        <w:fldChar w:fldCharType="separate"/>
      </w:r>
      <w:r>
        <w:rPr>
          <w:rFonts w:hint="eastAsia" w:ascii="宋体" w:hAnsi="宋体" w:cs="宋体"/>
          <w:color w:val="auto"/>
          <w:highlight w:val="none"/>
        </w:rPr>
        <w:t>五、 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_Toc29574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"_Toc28458"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_Toc28458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"_Toc5524"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_Toc5524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"_Toc15231"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_Toc15231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"_Toc3762"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_Toc3762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"_Toc21742"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_Toc21742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"_Toc22192" </w:instrText>
      </w:r>
      <w:r>
        <w:rPr>
          <w:color w:val="auto"/>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lang w:val="en-US" w:eastAsia="zh-CN"/>
        </w:rPr>
        <w:t>相关</w:t>
      </w:r>
      <w:r>
        <w:rPr>
          <w:rFonts w:hint="eastAsia" w:ascii="宋体" w:hAnsi="宋体" w:cs="宋体"/>
          <w:color w:val="auto"/>
          <w:szCs w:val="21"/>
          <w:highlight w:val="none"/>
        </w:rPr>
        <w:t>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_Toc22192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"_Toc22591"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_Toc22591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"_Toc29310" </w:instrText>
      </w:r>
      <w:r>
        <w:rPr>
          <w:color w:val="auto"/>
          <w:highlight w:val="none"/>
        </w:rPr>
        <w:fldChar w:fldCharType="separate"/>
      </w:r>
      <w:r>
        <w:rPr>
          <w:rFonts w:hint="eastAsia" w:ascii="宋体" w:hAnsi="宋体" w:cs="宋体"/>
          <w:color w:val="auto"/>
          <w:highlight w:val="none"/>
        </w:rPr>
        <w:t>六、 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_Toc29310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"_Toc27817"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"_Toc29283"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_Toc29283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"_Toc22451"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_Toc22451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"_Toc2744"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_Toc2744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"_Toc13694" </w:instrText>
      </w:r>
      <w:r>
        <w:rPr>
          <w:color w:val="auto"/>
          <w:highlight w:val="none"/>
        </w:rPr>
        <w:fldChar w:fldCharType="separate"/>
      </w:r>
      <w:r>
        <w:rPr>
          <w:rFonts w:hint="eastAsia" w:ascii="宋体" w:hAnsi="宋体" w:cs="宋体"/>
          <w:color w:val="auto"/>
          <w:highlight w:val="none"/>
        </w:rPr>
        <w:t>七、询问或质疑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_Toc13694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"_Toc25498"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_Toc25498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"_Toc8234"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_Toc8234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"_Toc24383" </w:instrText>
      </w:r>
      <w:r>
        <w:rPr>
          <w:color w:val="auto"/>
          <w:highlight w:val="none"/>
        </w:rPr>
        <w:fldChar w:fldCharType="separate"/>
      </w:r>
      <w:r>
        <w:rPr>
          <w:rFonts w:hint="eastAsia" w:ascii="宋体" w:hAnsi="宋体" w:cs="宋体"/>
          <w:color w:val="auto"/>
          <w:highlight w:val="none"/>
        </w:rPr>
        <w:t>八、其他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_Toc24383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"_Toc10082"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_Toc10082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"_Toc21448" </w:instrText>
      </w:r>
      <w:r>
        <w:rPr>
          <w:color w:val="auto"/>
          <w:highlight w:val="none"/>
        </w:rPr>
        <w:fldChar w:fldCharType="separate"/>
      </w:r>
      <w:r>
        <w:rPr>
          <w:rFonts w:hint="eastAsia" w:cs="宋体"/>
          <w:color w:val="auto"/>
          <w:sz w:val="21"/>
          <w:szCs w:val="21"/>
          <w:highlight w:val="none"/>
        </w:rPr>
        <w:t>第五部分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_Toc21448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"_Toc16730"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_Toc16730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"_Toc23749" </w:instrText>
      </w:r>
      <w:r>
        <w:rPr>
          <w:color w:val="auto"/>
          <w:highlight w:val="none"/>
        </w:rPr>
        <w:fldChar w:fldCharType="separate"/>
      </w:r>
      <w:r>
        <w:rPr>
          <w:rFonts w:hint="eastAsia" w:cs="宋体"/>
          <w:color w:val="auto"/>
          <w:sz w:val="21"/>
          <w:szCs w:val="21"/>
          <w:highlight w:val="none"/>
        </w:rPr>
        <w:t>第六部分  附件－投标文件格式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_Toc23749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"_Toc26830" </w:instrText>
      </w:r>
      <w:r>
        <w:rPr>
          <w:color w:val="auto"/>
          <w:highlight w:val="none"/>
        </w:rPr>
        <w:fldChar w:fldCharType="separate"/>
      </w:r>
      <w:r>
        <w:rPr>
          <w:rFonts w:hint="eastAsia" w:ascii="宋体" w:hAnsi="宋体" w:cs="宋体"/>
          <w:color w:val="auto"/>
          <w:szCs w:val="21"/>
          <w:highlight w:val="none"/>
        </w:rPr>
        <w:t>附件1.投标文件目录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_Toc26830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"_Toc18893" </w:instrText>
      </w:r>
      <w:r>
        <w:rPr>
          <w:color w:val="auto"/>
          <w:highlight w:val="none"/>
        </w:rPr>
        <w:fldChar w:fldCharType="separate"/>
      </w:r>
      <w:r>
        <w:rPr>
          <w:rFonts w:hint="eastAsia" w:ascii="宋体" w:hAnsi="宋体" w:cs="宋体"/>
          <w:color w:val="auto"/>
          <w:szCs w:val="21"/>
          <w:highlight w:val="none"/>
        </w:rPr>
        <w:t>附件1-1 评分标准索引表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_Toc18893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"_Toc30640" </w:instrText>
      </w:r>
      <w:r>
        <w:rPr>
          <w:color w:val="auto"/>
          <w:highlight w:val="none"/>
        </w:rPr>
        <w:fldChar w:fldCharType="separate"/>
      </w:r>
      <w:r>
        <w:rPr>
          <w:rFonts w:hint="eastAsia" w:ascii="宋体" w:hAnsi="宋体" w:cs="宋体"/>
          <w:color w:val="auto"/>
          <w:szCs w:val="21"/>
          <w:highlight w:val="none"/>
        </w:rPr>
        <w:t>附件2.投标书格式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_Toc30640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"_Toc6866" </w:instrText>
      </w:r>
      <w:r>
        <w:rPr>
          <w:color w:val="auto"/>
          <w:highlight w:val="none"/>
        </w:rPr>
        <w:fldChar w:fldCharType="separate"/>
      </w:r>
      <w:r>
        <w:rPr>
          <w:rFonts w:hint="eastAsia" w:ascii="宋体" w:hAnsi="宋体" w:cs="宋体"/>
          <w:color w:val="auto"/>
          <w:szCs w:val="21"/>
          <w:highlight w:val="none"/>
        </w:rPr>
        <w:t>附件3.开标一览表格式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_Toc6866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"_Toc3254" </w:instrText>
      </w:r>
      <w:r>
        <w:rPr>
          <w:color w:val="auto"/>
          <w:highlight w:val="none"/>
        </w:rPr>
        <w:fldChar w:fldCharType="separate"/>
      </w:r>
      <w:r>
        <w:rPr>
          <w:rFonts w:hint="eastAsia" w:ascii="宋体" w:hAnsi="宋体" w:cs="宋体"/>
          <w:color w:val="auto"/>
          <w:szCs w:val="21"/>
          <w:highlight w:val="none"/>
        </w:rPr>
        <w:t>附件4.投标分项报价表格式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_Toc3254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"_Toc16412" </w:instrText>
      </w:r>
      <w:r>
        <w:rPr>
          <w:color w:val="auto"/>
          <w:highlight w:val="none"/>
        </w:rPr>
        <w:fldChar w:fldCharType="separate"/>
      </w:r>
      <w:r>
        <w:rPr>
          <w:rFonts w:hint="eastAsia" w:ascii="宋体" w:hAnsi="宋体" w:cs="宋体"/>
          <w:color w:val="auto"/>
          <w:szCs w:val="21"/>
          <w:highlight w:val="none"/>
        </w:rPr>
        <w:t>附件5.法定代表人证明书格式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_Toc16412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49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"_Toc31205" </w:instrText>
      </w:r>
      <w:r>
        <w:rPr>
          <w:color w:val="auto"/>
          <w:highlight w:val="none"/>
        </w:rPr>
        <w:fldChar w:fldCharType="separate"/>
      </w:r>
      <w:r>
        <w:rPr>
          <w:rFonts w:hint="eastAsia" w:ascii="宋体" w:hAnsi="宋体" w:cs="宋体"/>
          <w:color w:val="auto"/>
          <w:szCs w:val="21"/>
          <w:highlight w:val="none"/>
        </w:rPr>
        <w:t>附件6.法定代表人授权书格式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_Toc31205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"_Toc17164" </w:instrText>
      </w:r>
      <w:r>
        <w:rPr>
          <w:color w:val="auto"/>
          <w:highlight w:val="none"/>
        </w:rPr>
        <w:fldChar w:fldCharType="separate"/>
      </w:r>
      <w:r>
        <w:rPr>
          <w:rFonts w:hint="eastAsia" w:ascii="宋体" w:hAnsi="宋体" w:cs="宋体"/>
          <w:color w:val="auto"/>
          <w:szCs w:val="21"/>
          <w:highlight w:val="none"/>
        </w:rPr>
        <w:t>附件7.资格申明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_Toc17164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"_Toc27839" </w:instrText>
      </w:r>
      <w:r>
        <w:rPr>
          <w:color w:val="auto"/>
          <w:highlight w:val="none"/>
        </w:rPr>
        <w:fldChar w:fldCharType="separate"/>
      </w:r>
      <w:r>
        <w:rPr>
          <w:rFonts w:hint="eastAsia" w:ascii="宋体" w:hAnsi="宋体" w:cs="宋体"/>
          <w:color w:val="auto"/>
          <w:szCs w:val="21"/>
          <w:highlight w:val="none"/>
        </w:rPr>
        <w:t>附件8.营业执照</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_Toc27839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"_Toc26141" </w:instrText>
      </w:r>
      <w:r>
        <w:rPr>
          <w:color w:val="auto"/>
          <w:highlight w:val="none"/>
        </w:rPr>
        <w:fldChar w:fldCharType="separate"/>
      </w:r>
      <w:r>
        <w:rPr>
          <w:rFonts w:hint="eastAsia" w:ascii="宋体" w:hAnsi="宋体" w:cs="宋体"/>
          <w:color w:val="auto"/>
          <w:szCs w:val="21"/>
          <w:highlight w:val="none"/>
        </w:rPr>
        <w:t>附件9.相关资质证明文件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_Toc26141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"_Toc17618" </w:instrText>
      </w:r>
      <w:r>
        <w:rPr>
          <w:color w:val="auto"/>
          <w:highlight w:val="none"/>
        </w:rPr>
        <w:fldChar w:fldCharType="separate"/>
      </w:r>
      <w:r>
        <w:rPr>
          <w:rFonts w:hint="eastAsia" w:ascii="宋体" w:hAnsi="宋体" w:cs="宋体"/>
          <w:color w:val="auto"/>
          <w:szCs w:val="21"/>
          <w:highlight w:val="none"/>
        </w:rPr>
        <w:t>附件10.商务条款偏离表格式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_Toc17618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"_Toc32183" </w:instrText>
      </w:r>
      <w:r>
        <w:rPr>
          <w:color w:val="auto"/>
          <w:highlight w:val="none"/>
        </w:rPr>
        <w:fldChar w:fldCharType="separate"/>
      </w:r>
      <w:r>
        <w:rPr>
          <w:rFonts w:hint="eastAsia" w:ascii="宋体" w:hAnsi="宋体" w:cs="宋体"/>
          <w:color w:val="auto"/>
          <w:szCs w:val="21"/>
          <w:highlight w:val="none"/>
        </w:rPr>
        <w:t>附件11.技术规格偏离表格式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_Toc32183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"_Toc29613" </w:instrText>
      </w:r>
      <w:r>
        <w:rPr>
          <w:color w:val="auto"/>
          <w:highlight w:val="none"/>
        </w:rPr>
        <w:fldChar w:fldCharType="separate"/>
      </w:r>
      <w:r>
        <w:rPr>
          <w:rFonts w:hint="eastAsia" w:ascii="宋体" w:hAnsi="宋体" w:cs="宋体"/>
          <w:color w:val="auto"/>
          <w:szCs w:val="21"/>
          <w:highlight w:val="none"/>
        </w:rPr>
        <w:t>附件12.重要技术参数（▲）响应表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_Toc29613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"_Toc27674" </w:instrText>
      </w:r>
      <w:r>
        <w:rPr>
          <w:color w:val="auto"/>
          <w:highlight w:val="none"/>
        </w:rPr>
        <w:fldChar w:fldCharType="separate"/>
      </w:r>
      <w:r>
        <w:rPr>
          <w:rFonts w:hint="eastAsia" w:ascii="宋体" w:hAnsi="宋体" w:cs="宋体"/>
          <w:color w:val="auto"/>
          <w:szCs w:val="21"/>
          <w:highlight w:val="none"/>
        </w:rPr>
        <w:t>附件13.业绩表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"_Toc7860" </w:instrText>
      </w:r>
      <w:r>
        <w:rPr>
          <w:color w:val="auto"/>
          <w:highlight w:val="none"/>
        </w:rPr>
        <w:fldChar w:fldCharType="separate"/>
      </w:r>
      <w:r>
        <w:rPr>
          <w:rFonts w:hint="eastAsia" w:ascii="宋体" w:hAnsi="宋体" w:cs="宋体"/>
          <w:color w:val="auto"/>
          <w:szCs w:val="21"/>
          <w:highlight w:val="none"/>
        </w:rPr>
        <w:t>附件14.项目实施方案格式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_Toc7860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"_Toc8596" </w:instrText>
      </w:r>
      <w:r>
        <w:rPr>
          <w:color w:val="auto"/>
          <w:highlight w:val="none"/>
        </w:rPr>
        <w:fldChar w:fldCharType="separate"/>
      </w:r>
      <w:r>
        <w:rPr>
          <w:rFonts w:hint="eastAsia" w:ascii="宋体" w:hAnsi="宋体" w:cs="宋体"/>
          <w:color w:val="auto"/>
          <w:szCs w:val="21"/>
          <w:highlight w:val="none"/>
        </w:rPr>
        <w:t>附件15.实施本项目的有关人员资料表格式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59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"_Toc21598" </w:instrText>
      </w:r>
      <w:r>
        <w:rPr>
          <w:color w:val="auto"/>
          <w:highlight w:val="none"/>
        </w:rPr>
        <w:fldChar w:fldCharType="separate"/>
      </w:r>
      <w:r>
        <w:rPr>
          <w:rFonts w:hint="eastAsia" w:ascii="宋体" w:hAnsi="宋体" w:cs="宋体"/>
          <w:color w:val="auto"/>
          <w:szCs w:val="21"/>
          <w:highlight w:val="none"/>
        </w:rPr>
        <w:t>附件16.投标货物说明一览表格式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_Toc21598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"_Toc10094" </w:instrText>
      </w:r>
      <w:r>
        <w:rPr>
          <w:color w:val="auto"/>
          <w:highlight w:val="none"/>
        </w:rPr>
        <w:fldChar w:fldCharType="separate"/>
      </w:r>
      <w:r>
        <w:rPr>
          <w:rFonts w:hint="eastAsia" w:ascii="宋体" w:hAnsi="宋体" w:cs="宋体"/>
          <w:color w:val="auto"/>
          <w:szCs w:val="21"/>
          <w:highlight w:val="none"/>
        </w:rPr>
        <w:t>附件17.在经营活动中没有重大违法记录的书面声明格式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_Toc10094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"_Toc21223" </w:instrText>
      </w:r>
      <w:r>
        <w:rPr>
          <w:color w:val="auto"/>
          <w:highlight w:val="none"/>
        </w:rPr>
        <w:fldChar w:fldCharType="separate"/>
      </w:r>
      <w:r>
        <w:rPr>
          <w:rFonts w:hint="eastAsia" w:ascii="宋体" w:hAnsi="宋体" w:cs="宋体"/>
          <w:color w:val="auto"/>
          <w:szCs w:val="21"/>
          <w:highlight w:val="none"/>
        </w:rPr>
        <w:t>附件18.中小企业声明函（投标人为中小企业时适用）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_Toc21223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"_Toc28081" </w:instrText>
      </w:r>
      <w:r>
        <w:rPr>
          <w:color w:val="auto"/>
          <w:highlight w:val="none"/>
        </w:rPr>
        <w:fldChar w:fldCharType="separate"/>
      </w:r>
      <w:r>
        <w:rPr>
          <w:rFonts w:hint="eastAsia" w:ascii="宋体" w:hAnsi="宋体" w:cs="宋体"/>
          <w:color w:val="auto"/>
          <w:szCs w:val="21"/>
          <w:highlight w:val="none"/>
        </w:rPr>
        <w:t>附件19.《残疾人福利性单位声明函》（残疾人福利性单位适用）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_Toc28081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"_Toc25634" </w:instrText>
      </w:r>
      <w:r>
        <w:rPr>
          <w:color w:val="auto"/>
          <w:highlight w:val="none"/>
        </w:rPr>
        <w:fldChar w:fldCharType="separate"/>
      </w:r>
      <w:r>
        <w:rPr>
          <w:rFonts w:hint="eastAsia" w:ascii="宋体" w:hAnsi="宋体" w:cs="宋体"/>
          <w:color w:val="auto"/>
          <w:szCs w:val="21"/>
          <w:highlight w:val="none"/>
        </w:rPr>
        <w:t>附件20.投标保证金汇入情况说明格式</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_Toc25634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"_Toc4363" </w:instrText>
      </w:r>
      <w:r>
        <w:rPr>
          <w:color w:val="auto"/>
          <w:highlight w:val="none"/>
        </w:rPr>
        <w:fldChar w:fldCharType="separate"/>
      </w:r>
      <w:r>
        <w:rPr>
          <w:rFonts w:hint="eastAsia" w:ascii="宋体" w:hAnsi="宋体" w:cs="宋体"/>
          <w:color w:val="auto"/>
          <w:szCs w:val="21"/>
          <w:highlight w:val="none"/>
        </w:rPr>
        <w:t>附件21.政府采购投标担保函</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_Toc4363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68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"_Toc27534" </w:instrText>
      </w:r>
      <w:r>
        <w:rPr>
          <w:color w:val="auto"/>
          <w:highlight w:val="none"/>
        </w:rPr>
        <w:fldChar w:fldCharType="separate"/>
      </w:r>
      <w:r>
        <w:rPr>
          <w:rFonts w:hint="eastAsia" w:ascii="宋体" w:hAnsi="宋体" w:cs="宋体"/>
          <w:color w:val="auto"/>
          <w:szCs w:val="21"/>
          <w:highlight w:val="none"/>
        </w:rPr>
        <w:t>附件22.政府采购履约担保函</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_Toc27534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"_Toc17023" </w:instrText>
      </w:r>
      <w:r>
        <w:rPr>
          <w:color w:val="auto"/>
          <w:highlight w:val="none"/>
        </w:rPr>
        <w:fldChar w:fldCharType="separate"/>
      </w:r>
      <w:r>
        <w:rPr>
          <w:rFonts w:hint="eastAsia" w:ascii="宋体" w:hAnsi="宋体" w:cs="宋体"/>
          <w:color w:val="auto"/>
          <w:szCs w:val="21"/>
          <w:highlight w:val="none"/>
        </w:rPr>
        <w:t>附件23.获取招标文件登记表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_Toc17023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"_Toc11182" </w:instrText>
      </w:r>
      <w:r>
        <w:rPr>
          <w:color w:val="auto"/>
          <w:highlight w:val="none"/>
        </w:rPr>
        <w:fldChar w:fldCharType="separate"/>
      </w:r>
      <w:r>
        <w:rPr>
          <w:rFonts w:hint="eastAsia" w:ascii="宋体" w:hAnsi="宋体" w:cs="宋体"/>
          <w:color w:val="auto"/>
          <w:szCs w:val="21"/>
          <w:highlight w:val="none"/>
        </w:rPr>
        <w:t>附件24.质疑函范本</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_Toc11182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hint="eastAsia" w:ascii="宋体" w:hAnsi="宋体"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第一部分 投标邀请</w:t>
      </w:r>
    </w:p>
    <w:p>
      <w:pPr>
        <w:pStyle w:val="5"/>
        <w:rPr>
          <w:rFonts w:ascii="宋体" w:hAnsi="宋体" w:cs="宋体"/>
          <w:color w:val="auto"/>
          <w:highlight w:val="none"/>
        </w:rPr>
      </w:pPr>
      <w:bookmarkStart w:id="0" w:name="_Toc1420"/>
      <w:r>
        <w:rPr>
          <w:rFonts w:hint="eastAsia" w:ascii="宋体" w:hAnsi="宋体" w:cs="宋体"/>
          <w:color w:val="auto"/>
          <w:highlight w:val="none"/>
        </w:rPr>
        <w:t>投标邀请书</w:t>
      </w:r>
      <w:bookmarkEnd w:id="0"/>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ascii="宋体" w:hAnsi="宋体"/>
          <w:b/>
          <w:bCs/>
          <w:color w:val="auto"/>
          <w:szCs w:val="21"/>
          <w:highlight w:val="none"/>
          <w:u w:val="single"/>
        </w:rPr>
        <w:t>东莞市常平镇水务工程运营中心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2021年常平镇市政排渠常态化清淤疏浚采购项目（重新招标）</w:t>
      </w:r>
      <w:r>
        <w:rPr>
          <w:rFonts w:hint="eastAsia" w:ascii="宋体" w:hAnsi="宋体"/>
          <w:color w:val="auto"/>
          <w:szCs w:val="21"/>
          <w:highlight w:val="none"/>
        </w:rPr>
        <w:t>（采购项目编号：</w:t>
      </w:r>
      <w:r>
        <w:rPr>
          <w:rFonts w:hint="eastAsia" w:ascii="宋体" w:hAnsi="宋体"/>
          <w:b/>
          <w:color w:val="auto"/>
          <w:szCs w:val="21"/>
          <w:highlight w:val="none"/>
          <w:u w:val="single"/>
          <w:lang w:eastAsia="zh-CN"/>
        </w:rPr>
        <w:t>441900018-2021-00577</w:t>
      </w:r>
      <w:r>
        <w:rPr>
          <w:rFonts w:hint="eastAsia" w:ascii="宋体" w:hAnsi="宋体"/>
          <w:color w:val="auto"/>
          <w:szCs w:val="21"/>
          <w:highlight w:val="none"/>
        </w:rPr>
        <w:t>）</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。有关事项如下：</w:t>
      </w:r>
    </w:p>
    <w:p>
      <w:pPr>
        <w:ind w:firstLine="413" w:firstLineChars="196"/>
        <w:rPr>
          <w:rFonts w:ascii="宋体" w:hAnsi="宋体"/>
          <w:b/>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一、招标项目的名称、用途、简要技术要求或者招标项目的性质</w:t>
      </w:r>
    </w:p>
    <w:p>
      <w:pPr>
        <w:ind w:firstLine="420" w:firstLineChars="200"/>
        <w:rPr>
          <w:rFonts w:ascii="宋体" w:hAnsi="宋体"/>
          <w:color w:val="auto"/>
          <w:szCs w:val="21"/>
          <w:highlight w:val="none"/>
        </w:rPr>
      </w:pPr>
      <w:r>
        <w:rPr>
          <w:rFonts w:hint="eastAsia" w:ascii="宋体" w:hAnsi="宋体"/>
          <w:color w:val="auto"/>
          <w:szCs w:val="21"/>
          <w:highlight w:val="none"/>
        </w:rPr>
        <w:t>1、项目内容：</w:t>
      </w:r>
      <w:r>
        <w:rPr>
          <w:rFonts w:hint="eastAsia" w:ascii="宋体" w:hAnsi="宋体"/>
          <w:b/>
          <w:color w:val="auto"/>
          <w:szCs w:val="21"/>
          <w:highlight w:val="none"/>
          <w:u w:val="single"/>
          <w:lang w:eastAsia="zh-CN"/>
        </w:rPr>
        <w:t>2021年常平镇市政排渠常态化清淤疏浚采购项目（重新招标）</w:t>
      </w:r>
      <w:r>
        <w:rPr>
          <w:rFonts w:hint="eastAsia" w:ascii="宋体" w:hAnsi="宋体"/>
          <w:color w:val="auto"/>
          <w:szCs w:val="21"/>
          <w:highlight w:val="none"/>
        </w:rPr>
        <w:t>采购一项，预算：</w:t>
      </w:r>
      <w:r>
        <w:rPr>
          <w:rFonts w:hint="eastAsia" w:ascii="宋体" w:hAnsi="宋体"/>
          <w:b/>
          <w:color w:val="auto"/>
          <w:szCs w:val="21"/>
          <w:highlight w:val="none"/>
          <w:u w:val="single"/>
        </w:rPr>
        <w:t>1,899,074.99</w:t>
      </w:r>
      <w:r>
        <w:rPr>
          <w:rFonts w:hint="eastAsia" w:ascii="宋体" w:hAnsi="宋体"/>
          <w:color w:val="auto"/>
          <w:szCs w:val="21"/>
          <w:highlight w:val="none"/>
        </w:rPr>
        <w:t>元。</w:t>
      </w:r>
    </w:p>
    <w:p>
      <w:pPr>
        <w:ind w:firstLine="420" w:firstLineChars="200"/>
        <w:rPr>
          <w:rFonts w:ascii="宋体" w:hAnsi="宋体"/>
          <w:color w:val="auto"/>
          <w:szCs w:val="21"/>
          <w:highlight w:val="none"/>
        </w:rPr>
      </w:pPr>
      <w:r>
        <w:rPr>
          <w:rFonts w:hint="eastAsia" w:ascii="宋体" w:hAnsi="宋体"/>
          <w:color w:val="auto"/>
          <w:szCs w:val="21"/>
          <w:highlight w:val="none"/>
        </w:rPr>
        <w:t>2、简要技术要求或招标项目的性质：详细内容请参阅招标文件第三部分《用户需求书》。</w:t>
      </w:r>
    </w:p>
    <w:p>
      <w:pPr>
        <w:ind w:firstLine="413" w:firstLineChars="196"/>
        <w:rPr>
          <w:rFonts w:ascii="宋体" w:hAnsi="宋体"/>
          <w:b/>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（1）须符合《中华人民共和国政府采购法》第二十二条规定（需提供书面承诺）；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（3）本项目</w:t>
      </w:r>
      <w:r>
        <w:rPr>
          <w:rFonts w:hint="eastAsia" w:ascii="宋体" w:hAnsi="宋体"/>
          <w:color w:val="auto"/>
          <w:szCs w:val="21"/>
          <w:highlight w:val="none"/>
          <w:lang w:val="en-US" w:eastAsia="zh-CN"/>
        </w:rPr>
        <w:t>不</w:t>
      </w:r>
      <w:r>
        <w:rPr>
          <w:rFonts w:hint="eastAsia" w:ascii="宋体" w:hAnsi="宋体"/>
          <w:color w:val="auto"/>
          <w:szCs w:val="21"/>
          <w:highlight w:val="none"/>
        </w:rPr>
        <w:t xml:space="preserve">接受联合体投标；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（1）投标人须具有有效的建设行政主管部门颁发的</w:t>
      </w:r>
      <w:r>
        <w:rPr>
          <w:rFonts w:hint="eastAsia" w:ascii="宋体" w:hAnsi="宋体"/>
          <w:color w:val="auto"/>
          <w:szCs w:val="24"/>
          <w:highlight w:val="none"/>
        </w:rPr>
        <w:t>市政公用工程施工总承包</w:t>
      </w:r>
      <w:r>
        <w:rPr>
          <w:rFonts w:hint="eastAsia" w:ascii="宋体" w:hAnsi="宋体"/>
          <w:color w:val="auto"/>
          <w:szCs w:val="21"/>
          <w:highlight w:val="none"/>
        </w:rPr>
        <w:t>叁级（含）以上资质证书或水利水电工程施工总承包叁级（含）以上级别资质证书。</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olor w:val="auto"/>
          <w:szCs w:val="21"/>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投标</w:t>
      </w:r>
      <w:r>
        <w:rPr>
          <w:rFonts w:hint="eastAsia" w:ascii="宋体" w:hAnsi="宋体"/>
          <w:color w:val="auto"/>
          <w:szCs w:val="21"/>
          <w:highlight w:val="none"/>
          <w:lang w:val="en-US" w:eastAsia="zh-CN"/>
        </w:rPr>
        <w:t>人</w:t>
      </w:r>
      <w:r>
        <w:rPr>
          <w:rFonts w:hint="eastAsia" w:ascii="宋体" w:hAnsi="宋体"/>
          <w:color w:val="auto"/>
          <w:szCs w:val="21"/>
          <w:highlight w:val="none"/>
        </w:rPr>
        <w:t>须具</w:t>
      </w:r>
      <w:r>
        <w:rPr>
          <w:rFonts w:hint="eastAsia" w:ascii="宋体" w:hAnsi="宋体"/>
          <w:color w:val="auto"/>
          <w:szCs w:val="21"/>
          <w:highlight w:val="none"/>
          <w:lang w:val="en-US" w:eastAsia="zh-CN"/>
        </w:rPr>
        <w:t>有</w:t>
      </w:r>
      <w:r>
        <w:rPr>
          <w:rFonts w:hint="eastAsia" w:ascii="宋体" w:hAnsi="宋体"/>
          <w:color w:val="auto"/>
          <w:szCs w:val="21"/>
          <w:highlight w:val="none"/>
        </w:rPr>
        <w:t>2个（或以上）排渠（或管排或管道）清淤类项目业绩。（须提供合同复印件加盖公章）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项目整体专门面向中小企业采购。投标人须符合本项目采购标的对应行业（本项目行业为：其他未列明行业）的政策划分标准。监狱企业、残疾人福利单位视同小型、微型企业。（注：中小企业以供应商填写的《中小企业声明函》（见投标格式）为判定标准，残疾人福利性单位以供应商填写的《残疾人福利性单位声明函》（见投标格式）为判定标准，监狱企业须供应商提供由省级以上监狱管理局、戒毒管理局（含新疆生产建设兵团）出具的属于监狱企业的证明文件，否则不予认定。）</w:t>
      </w:r>
    </w:p>
    <w:p>
      <w:pPr>
        <w:pStyle w:val="2"/>
        <w:keepNext w:val="0"/>
        <w:keepLines w:val="0"/>
        <w:pageBreakBefore w:val="0"/>
        <w:widowControl/>
        <w:kinsoku/>
        <w:wordWrap/>
        <w:overflowPunct/>
        <w:topLinePunct w:val="0"/>
        <w:autoSpaceDE/>
        <w:autoSpaceDN/>
        <w:bidi w:val="0"/>
        <w:adjustRightInd w:val="0"/>
        <w:snapToGrid w:val="0"/>
        <w:spacing w:before="0"/>
        <w:ind w:left="0"/>
        <w:textAlignment w:val="auto"/>
        <w:rPr>
          <w:rFonts w:hint="eastAsia"/>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1、项目公示时间：2021年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日起至2021</w:t>
      </w:r>
      <w:r>
        <w:rPr>
          <w:rFonts w:hint="eastAsia" w:ascii="宋体" w:hAnsi="宋体"/>
          <w:color w:val="auto"/>
          <w:szCs w:val="21"/>
          <w:highlight w:val="none"/>
          <w:lang w:val="en-US" w:eastAsia="zh-CN"/>
        </w:rPr>
        <w:t>年8</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2021年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日起至2021年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注：（1）投标人可自行打印招标文件中的“附件23 获取招标文件登记表”进行填写并带到现场进行领购，并现场领取发票。（招标文件领购价：人民币150元整）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color w:val="auto"/>
          <w:highlight w:val="none"/>
        </w:rPr>
      </w:pPr>
      <w:r>
        <w:rPr>
          <w:rFonts w:hint="eastAsia" w:ascii="宋体" w:hAnsi="宋体"/>
          <w:color w:val="auto"/>
          <w:szCs w:val="21"/>
          <w:highlight w:val="none"/>
        </w:rPr>
        <w:t>（3）招标文件电子版可在广东省政府采购网（https://gdgpo.czt.gd.gov.cn/）相关招标信息公告下自行下载。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3、招标文件领购地点：东莞市南城街道鸿福西路81号国际商会大厦13A01室。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ind w:firstLine="420" w:firstLineChars="200"/>
        <w:rPr>
          <w:color w:val="auto"/>
          <w:highlight w:val="none"/>
        </w:rPr>
      </w:pPr>
      <w:r>
        <w:rPr>
          <w:rFonts w:hint="eastAsia" w:ascii="宋体" w:hAnsi="宋体"/>
          <w:color w:val="auto"/>
          <w:szCs w:val="21"/>
          <w:highlight w:val="none"/>
        </w:rPr>
        <w:t>注：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ind w:firstLine="411" w:firstLineChars="196"/>
        <w:rPr>
          <w:rFonts w:ascii="宋体" w:hAnsi="宋体"/>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1、递交投标文件时间：2021年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及开标时间：2021年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东莞市常平镇荔园路财政大楼四楼开标会议室</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东莞市财政局常平分局</w:t>
      </w:r>
      <w:r>
        <w:rPr>
          <w:rFonts w:hint="eastAsia" w:ascii="宋体" w:hAnsi="宋体"/>
          <w:color w:val="auto"/>
          <w:szCs w:val="21"/>
          <w:highlight w:val="none"/>
        </w:rPr>
        <w:t>四楼开标会议室</w:t>
      </w:r>
      <w:r>
        <w:rPr>
          <w:rFonts w:hint="eastAsia" w:ascii="宋体" w:hAnsi="宋体"/>
          <w:color w:val="auto"/>
          <w:szCs w:val="21"/>
          <w:highlight w:val="none"/>
          <w:lang w:eastAsia="zh-CN"/>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pPr>
        <w:widowControl w:val="0"/>
        <w:adjustRightInd/>
        <w:snapToGrid/>
        <w:ind w:firstLine="420" w:firstLineChars="200"/>
        <w:rPr>
          <w:rFonts w:ascii="宋体" w:hAnsi="宋体"/>
          <w:color w:val="auto"/>
          <w:szCs w:val="21"/>
          <w:highlight w:val="none"/>
        </w:rPr>
      </w:pPr>
      <w:r>
        <w:rPr>
          <w:rFonts w:hint="eastAsia" w:ascii="宋体" w:hAnsi="宋体"/>
          <w:color w:val="auto"/>
          <w:szCs w:val="21"/>
          <w:highlight w:val="none"/>
        </w:rPr>
        <w:t>采购人联系人：蔡燕鹏</w:t>
      </w:r>
    </w:p>
    <w:p>
      <w:pPr>
        <w:widowControl w:val="0"/>
        <w:adjustRightInd/>
        <w:snapToGrid/>
        <w:ind w:firstLine="420" w:firstLineChars="200"/>
        <w:rPr>
          <w:rFonts w:ascii="宋体" w:hAnsi="宋体"/>
          <w:color w:val="auto"/>
          <w:szCs w:val="21"/>
          <w:highlight w:val="none"/>
        </w:rPr>
      </w:pPr>
      <w:r>
        <w:rPr>
          <w:rFonts w:hint="eastAsia" w:ascii="宋体" w:hAnsi="宋体"/>
          <w:color w:val="auto"/>
          <w:szCs w:val="21"/>
          <w:highlight w:val="none"/>
        </w:rPr>
        <w:t>采购人联系电话：0769-83332337</w:t>
      </w:r>
    </w:p>
    <w:p>
      <w:pPr>
        <w:widowControl w:val="0"/>
        <w:adjustRightInd/>
        <w:snapToGrid/>
        <w:ind w:firstLine="420" w:firstLineChars="200"/>
        <w:rPr>
          <w:rFonts w:ascii="宋体" w:hAnsi="宋体"/>
          <w:color w:val="auto"/>
          <w:szCs w:val="21"/>
          <w:highlight w:val="none"/>
        </w:rPr>
      </w:pPr>
      <w:r>
        <w:rPr>
          <w:rFonts w:hint="eastAsia" w:ascii="宋体" w:hAnsi="宋体"/>
          <w:color w:val="auto"/>
          <w:szCs w:val="21"/>
          <w:highlight w:val="none"/>
        </w:rPr>
        <w:t>地址：东莞市常平镇</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地址：东莞市南城街道鸿福西路81号国际商会大厦13A01室。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采购代理机构联系人：杨俊平</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rPr>
        <w:t>2021年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p>
    <w:p>
      <w:pP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1" w:name="_Toc14146"/>
      <w:r>
        <w:rPr>
          <w:rFonts w:hint="eastAsia"/>
          <w:color w:val="auto"/>
          <w:sz w:val="28"/>
          <w:szCs w:val="28"/>
          <w:highlight w:val="none"/>
        </w:rPr>
        <w:t>第二部分 相关资料表格</w:t>
      </w:r>
      <w:bookmarkEnd w:id="1"/>
    </w:p>
    <w:p>
      <w:pPr>
        <w:pStyle w:val="5"/>
        <w:spacing w:line="240" w:lineRule="auto"/>
        <w:rPr>
          <w:rFonts w:ascii="宋体" w:hAnsi="宋体" w:cs="宋体"/>
          <w:color w:val="auto"/>
          <w:szCs w:val="24"/>
          <w:highlight w:val="none"/>
        </w:rPr>
      </w:pPr>
      <w:bookmarkStart w:id="2" w:name="_Toc20683"/>
      <w:r>
        <w:rPr>
          <w:rFonts w:hint="eastAsia" w:ascii="宋体" w:hAnsi="宋体" w:cs="宋体"/>
          <w:color w:val="auto"/>
          <w:szCs w:val="24"/>
          <w:highlight w:val="none"/>
        </w:rPr>
        <w:t>附表一：投标资料表</w:t>
      </w:r>
      <w:bookmarkEnd w:id="2"/>
    </w:p>
    <w:tbl>
      <w:tblPr>
        <w:tblStyle w:val="20"/>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color w:val="auto"/>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
                <w:color w:val="auto"/>
                <w:szCs w:val="21"/>
                <w:highlight w:val="none"/>
              </w:rPr>
              <w:t>所属行业：其他未列明行业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广东省政府采购网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https://gdgpo.czt.gd.gov.cn/</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核心产品（本项目为服务项目，无核心产品）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（1）投标保证金金额：人民币</w:t>
            </w:r>
            <w:r>
              <w:rPr>
                <w:rFonts w:hint="eastAsia" w:ascii="宋体" w:hAnsi="宋体"/>
                <w:b/>
                <w:color w:val="auto"/>
                <w:szCs w:val="21"/>
                <w:highlight w:val="none"/>
              </w:rPr>
              <w:t>贰万</w:t>
            </w:r>
            <w:r>
              <w:rPr>
                <w:rFonts w:hint="eastAsia" w:ascii="宋体" w:hAnsi="宋体"/>
                <w:color w:val="auto"/>
                <w:szCs w:val="21"/>
                <w:highlight w:val="none"/>
              </w:rPr>
              <w:t>元整（￥</w:t>
            </w:r>
            <w:r>
              <w:rPr>
                <w:rFonts w:hint="eastAsia" w:ascii="宋体" w:hAnsi="宋体"/>
                <w:b/>
                <w:color w:val="auto"/>
                <w:szCs w:val="21"/>
                <w:highlight w:val="none"/>
              </w:rPr>
              <w:t>20,000.00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zh-CN"/>
              </w:rPr>
              <w:t>投标保证金须严格按“招标文件第</w:t>
            </w:r>
            <w:r>
              <w:rPr>
                <w:rFonts w:hint="eastAsia" w:ascii="宋体" w:hAnsi="宋体"/>
                <w:color w:val="auto"/>
                <w:szCs w:val="21"/>
                <w:highlight w:val="none"/>
              </w:rPr>
              <w:t>四部分投</w:t>
            </w:r>
            <w:r>
              <w:rPr>
                <w:rFonts w:hint="eastAsia" w:ascii="宋体" w:hAnsi="宋体"/>
                <w:color w:val="auto"/>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（3）保证金递交账户：</w:t>
            </w:r>
          </w:p>
          <w:p>
            <w:pPr>
              <w:jc w:val="both"/>
              <w:rPr>
                <w:rFonts w:ascii="宋体" w:hAnsi="宋体"/>
                <w:color w:val="auto"/>
                <w:szCs w:val="21"/>
                <w:highlight w:val="none"/>
                <w:lang w:val="zh-CN"/>
              </w:rPr>
            </w:pPr>
            <w:r>
              <w:rPr>
                <w:rFonts w:hint="eastAsia" w:ascii="宋体" w:hAnsi="宋体"/>
                <w:color w:val="auto"/>
                <w:szCs w:val="21"/>
                <w:highlight w:val="none"/>
                <w:lang w:val="zh-CN"/>
              </w:rPr>
              <w:t>收款人：广东政通招标有限公司</w:t>
            </w:r>
          </w:p>
          <w:p>
            <w:pPr>
              <w:jc w:val="both"/>
              <w:rPr>
                <w:rFonts w:ascii="宋体" w:hAnsi="宋体"/>
                <w:color w:val="auto"/>
                <w:szCs w:val="21"/>
                <w:highlight w:val="none"/>
                <w:lang w:val="zh-CN"/>
              </w:rPr>
            </w:pPr>
            <w:r>
              <w:rPr>
                <w:rFonts w:hint="eastAsia" w:ascii="宋体" w:hAnsi="宋体"/>
                <w:color w:val="auto"/>
                <w:szCs w:val="21"/>
                <w:highlight w:val="none"/>
                <w:lang w:val="zh-CN"/>
              </w:rPr>
              <w:t>开户行：广发银行股份有限公司东莞新城支行</w:t>
            </w:r>
          </w:p>
          <w:p>
            <w:pPr>
              <w:jc w:val="both"/>
              <w:rPr>
                <w:rFonts w:ascii="宋体" w:hAnsi="宋体"/>
                <w:color w:val="auto"/>
                <w:szCs w:val="21"/>
                <w:highlight w:val="none"/>
                <w:lang w:val="zh-CN"/>
              </w:rPr>
            </w:pPr>
            <w:r>
              <w:rPr>
                <w:rFonts w:hint="eastAsia" w:ascii="宋体" w:hAnsi="宋体"/>
                <w:color w:val="auto"/>
                <w:szCs w:val="21"/>
                <w:highlight w:val="none"/>
                <w:lang w:val="zh-CN"/>
              </w:rPr>
              <w:t>帐  号：6232590699050036720</w:t>
            </w:r>
            <w:bookmarkStart w:id="224" w:name="_GoBack"/>
            <w:bookmarkEnd w:id="224"/>
          </w:p>
          <w:p>
            <w:pPr>
              <w:jc w:val="both"/>
              <w:rPr>
                <w:color w:val="auto"/>
                <w:highlight w:val="none"/>
              </w:rPr>
            </w:pPr>
            <w:r>
              <w:rPr>
                <w:rFonts w:hint="eastAsia" w:ascii="宋体" w:hAnsi="宋体"/>
                <w:color w:val="auto"/>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bCs/>
                <w:color w:val="auto"/>
                <w:szCs w:val="21"/>
                <w:highlight w:val="none"/>
                <w:lang w:val="zh-CN"/>
              </w:rPr>
            </w:pPr>
            <w:r>
              <w:rPr>
                <w:rFonts w:hint="eastAsia" w:ascii="宋体" w:hAnsi="宋体"/>
                <w:b/>
                <w:bCs/>
                <w:color w:val="auto"/>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）未中标的投标人的保证金在采购结果公示发出后5个工作日内退还，中标投标人的保证金在采购合同签订后5个工作日内退还。</w:t>
            </w:r>
          </w:p>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）为方便退还未中标的投保人的保证金，投标人应制作《投标保证金汇入情况说明》随开标文件一并递交。</w:t>
            </w:r>
          </w:p>
          <w:p>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3</w:t>
            </w:r>
            <w:r>
              <w:rPr>
                <w:rFonts w:hint="eastAsia" w:ascii="宋体" w:hAnsi="宋体"/>
                <w:color w:val="auto"/>
                <w:szCs w:val="21"/>
                <w:highlight w:val="none"/>
                <w:lang w:val="zh-CN"/>
              </w:rPr>
              <w:t>）投标保证金退还联系电话：</w:t>
            </w:r>
            <w:r>
              <w:rPr>
                <w:rFonts w:hint="eastAsia" w:ascii="宋体" w:hAnsi="宋体"/>
                <w:color w:val="auto"/>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开标文件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最低评标价法。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最低评标价法评分因素</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见附表二。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投标人所投产品为获得节能产品认证或环境标志产品认证证书的价格折扣标准（相关规定详见投标人须知“相关政策”）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19</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20</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jc w:val="center"/>
        <w:rPr>
          <w:color w:val="auto"/>
          <w:highlight w:val="none"/>
        </w:rPr>
      </w:pPr>
      <w:r>
        <w:rPr>
          <w:rFonts w:hint="eastAsia"/>
          <w:color w:val="auto"/>
          <w:highlight w:val="none"/>
        </w:rPr>
        <w:br w:type="page"/>
      </w:r>
    </w:p>
    <w:p>
      <w:pPr>
        <w:pStyle w:val="5"/>
        <w:spacing w:line="240" w:lineRule="auto"/>
        <w:rPr>
          <w:rFonts w:ascii="宋体" w:hAnsi="宋体" w:cs="宋体"/>
          <w:color w:val="auto"/>
          <w:szCs w:val="24"/>
          <w:highlight w:val="none"/>
        </w:rPr>
      </w:pPr>
      <w:bookmarkStart w:id="3" w:name="_Toc9572"/>
      <w:r>
        <w:rPr>
          <w:rFonts w:hint="eastAsia" w:ascii="宋体" w:hAnsi="宋体" w:cs="宋体"/>
          <w:color w:val="auto"/>
          <w:szCs w:val="24"/>
          <w:highlight w:val="none"/>
        </w:rPr>
        <w:t>附表二：</w:t>
      </w:r>
      <w:bookmarkEnd w:id="3"/>
      <w:r>
        <w:rPr>
          <w:rFonts w:hint="eastAsia" w:ascii="宋体" w:hAnsi="宋体" w:cs="宋体"/>
          <w:color w:val="auto"/>
          <w:szCs w:val="24"/>
          <w:highlight w:val="none"/>
        </w:rPr>
        <w:t>最低评标价法评分因素</w:t>
      </w:r>
    </w:p>
    <w:p>
      <w:pPr>
        <w:adjustRightInd/>
        <w:snapToGrid/>
        <w:ind w:firstLine="480" w:firstLineChars="200"/>
        <w:rPr>
          <w:rFonts w:ascii="宋体" w:hAnsi="宋体"/>
          <w:color w:val="auto"/>
          <w:sz w:val="24"/>
          <w:szCs w:val="24"/>
          <w:highlight w:val="none"/>
        </w:rPr>
      </w:pPr>
    </w:p>
    <w:p>
      <w:pPr>
        <w:ind w:firstLine="422" w:firstLineChars="200"/>
        <w:rPr>
          <w:b/>
          <w:bCs/>
          <w:color w:val="auto"/>
          <w:highlight w:val="none"/>
        </w:rPr>
      </w:pPr>
      <w:r>
        <w:rPr>
          <w:rFonts w:hint="eastAsia"/>
          <w:b/>
          <w:bCs/>
          <w:color w:val="auto"/>
          <w:highlight w:val="none"/>
        </w:rPr>
        <w:t>最低评标价法，是指投标文件满足招标文件全部实质性要求，且投标报价最低的投标人为中标候选人的评标方法。若出现两个（或以上）投标报价最低且相同的，由评标委员会按照技术指标优劣顺序进行推荐（具体技术指标详见附件1），技术指标评分最高的为第一中标候选人。投标报价超过财政预算视为无效投标。报价低于（项目最高限价*70%）的，投标人必须出具详细的成本计算清单及相关证明材料，由评标委员会评定是否低于成本价，是否可能影响产品质量或者不能诚信履约，投标人未出具详细的成本计算清单及相关证明材料或不能证明其报价合理性的，评标委员会应当将其作为无效投标处理。</w:t>
      </w:r>
    </w:p>
    <w:p>
      <w:pPr>
        <w:ind w:firstLine="422" w:firstLineChars="200"/>
        <w:rPr>
          <w:b/>
          <w:bCs/>
          <w:color w:val="auto"/>
          <w:highlight w:val="none"/>
        </w:rPr>
      </w:pPr>
      <w:r>
        <w:rPr>
          <w:rFonts w:hint="eastAsia"/>
          <w:b/>
          <w:bCs/>
          <w:color w:val="auto"/>
          <w:highlight w:val="none"/>
        </w:rPr>
        <w:t>采用最低评标价法评标时，除了算术修正和落实政府采购政策需进行的价格扣除外，不能对投标人的投标价格进行任何调整。</w:t>
      </w: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color w:val="auto"/>
          <w:highlight w:val="none"/>
        </w:rPr>
      </w:pPr>
    </w:p>
    <w:p>
      <w:pPr>
        <w:rPr>
          <w:color w:val="auto"/>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p>
    <w:p>
      <w:pPr>
        <w:rPr>
          <w:color w:val="auto"/>
          <w:highlight w:val="none"/>
        </w:rPr>
      </w:pPr>
    </w:p>
    <w:p>
      <w:pPr>
        <w:rPr>
          <w:color w:val="auto"/>
          <w:highlight w:val="none"/>
        </w:rPr>
      </w:pPr>
    </w:p>
    <w:p>
      <w:pPr>
        <w:rPr>
          <w:color w:val="auto"/>
          <w:highlight w:val="none"/>
        </w:rPr>
      </w:pPr>
    </w:p>
    <w:p>
      <w:pPr>
        <w:rPr>
          <w:rFonts w:ascii="宋体" w:hAnsi="宋体"/>
          <w:b/>
          <w:bCs/>
          <w:color w:val="auto"/>
          <w:sz w:val="24"/>
          <w:szCs w:val="24"/>
          <w:highlight w:val="none"/>
        </w:rPr>
      </w:pPr>
    </w:p>
    <w:p>
      <w:pPr>
        <w:rPr>
          <w:rFonts w:ascii="宋体" w:hAnsi="宋体"/>
          <w:b/>
          <w:bCs/>
          <w:color w:val="auto"/>
          <w:sz w:val="24"/>
          <w:szCs w:val="24"/>
          <w:highlight w:val="none"/>
        </w:rPr>
      </w:pPr>
      <w:r>
        <w:rPr>
          <w:rFonts w:hint="eastAsia" w:ascii="宋体" w:hAnsi="宋体"/>
          <w:b/>
          <w:bCs/>
          <w:color w:val="auto"/>
          <w:sz w:val="24"/>
          <w:szCs w:val="24"/>
          <w:highlight w:val="none"/>
        </w:rPr>
        <w:t>附件1：</w:t>
      </w:r>
    </w:p>
    <w:p>
      <w:pPr>
        <w:jc w:val="center"/>
        <w:rPr>
          <w:color w:val="auto"/>
          <w:highlight w:val="none"/>
        </w:rPr>
      </w:pPr>
      <w:r>
        <w:rPr>
          <w:rFonts w:hint="eastAsia" w:ascii="宋体" w:hAnsi="宋体"/>
          <w:b/>
          <w:bCs/>
          <w:color w:val="auto"/>
          <w:sz w:val="24"/>
          <w:szCs w:val="24"/>
          <w:highlight w:val="none"/>
        </w:rPr>
        <w:t>技术指标评审表（仅适用于两个（或以上）投标报价最低且相同的情况）</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2"/>
              <w:spacing w:beforeLines="20" w:afterLines="20" w:line="240" w:lineRule="auto"/>
              <w:ind w:firstLine="420" w:firstLineChars="20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总分（100分）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2"/>
              <w:spacing w:line="340" w:lineRule="exact"/>
              <w:ind w:firstLine="0" w:firstLineChars="0"/>
              <w:jc w:val="center"/>
              <w:rPr>
                <w:rFonts w:ascii="宋体" w:eastAsia="宋体" w:cs="宋体"/>
                <w:bCs/>
                <w:color w:val="auto"/>
                <w:sz w:val="21"/>
                <w:szCs w:val="21"/>
                <w:highlight w:val="none"/>
                <w:lang w:val="zh-CN"/>
              </w:rPr>
            </w:pPr>
            <w:r>
              <w:rPr>
                <w:rFonts w:hint="eastAsia" w:asci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hint="default" w:asci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投标人对本项目现场的熟悉程度、理解及项目重点和难点的分析，以及根据项目重点和难点所采取的措施等进行综合评审：</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现场的熟悉程度深入，重点和难点分析清晰具体且对应措施完善详细具体、有针对性、操作性强，得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现场的熟悉程度一般，重点和难点分析完整、对应措施可行性较高，得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现场的熟悉程度肤浅，重点和难点分析基本合理、对应措施可行性不高，得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现场的熟悉程度、重点和难点分析不清晰不具体，得1分；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实施方案</w:t>
            </w:r>
          </w:p>
        </w:tc>
        <w:tc>
          <w:tcPr>
            <w:tcW w:w="7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cs="宋体"/>
                <w:color w:val="auto"/>
                <w:sz w:val="21"/>
                <w:szCs w:val="21"/>
                <w:highlight w:val="none"/>
                <w:lang w:val="en-US" w:eastAsia="zh-CN"/>
              </w:rPr>
            </w:pPr>
            <w:r>
              <w:rPr>
                <w:rFonts w:hint="eastAsia" w:ascii="宋体" w:hAnsi="宋体" w:cs="宋体"/>
                <w:color w:val="auto"/>
                <w:szCs w:val="21"/>
                <w:highlight w:val="none"/>
                <w:lang w:val="en-US" w:eastAsia="zh-CN"/>
              </w:rPr>
              <w:t>30</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zh-CN"/>
              </w:rPr>
              <w:t>根据投标人针对本项目制定的整体实施方案（包括整体</w:t>
            </w:r>
            <w:r>
              <w:rPr>
                <w:rFonts w:hint="eastAsia" w:ascii="宋体" w:hAnsi="宋体" w:cs="宋体"/>
                <w:bCs/>
                <w:color w:val="auto"/>
                <w:szCs w:val="21"/>
                <w:highlight w:val="none"/>
              </w:rPr>
              <w:t>清淤</w:t>
            </w:r>
            <w:r>
              <w:rPr>
                <w:rFonts w:hint="eastAsia" w:ascii="宋体" w:hAnsi="宋体" w:cs="宋体"/>
                <w:bCs/>
                <w:color w:val="auto"/>
                <w:szCs w:val="21"/>
                <w:highlight w:val="none"/>
                <w:lang w:val="zh-CN"/>
              </w:rPr>
              <w:t>措施、</w:t>
            </w:r>
            <w:r>
              <w:rPr>
                <w:rFonts w:hint="eastAsia" w:ascii="宋体" w:hAnsi="宋体" w:cs="宋体"/>
                <w:bCs/>
                <w:color w:val="auto"/>
                <w:szCs w:val="21"/>
                <w:highlight w:val="none"/>
              </w:rPr>
              <w:t>对项目整体的施工方案、验收等方案</w:t>
            </w:r>
            <w:r>
              <w:rPr>
                <w:rFonts w:hint="eastAsia" w:ascii="宋体" w:hAnsi="宋体" w:cs="宋体"/>
                <w:bCs/>
                <w:color w:val="auto"/>
                <w:szCs w:val="21"/>
                <w:highlight w:val="none"/>
                <w:lang w:val="zh-CN"/>
              </w:rPr>
              <w:t>）</w:t>
            </w:r>
            <w:r>
              <w:rPr>
                <w:rFonts w:hint="eastAsia" w:ascii="宋体" w:hAnsi="宋体" w:cs="宋体"/>
                <w:bCs/>
                <w:color w:val="auto"/>
                <w:szCs w:val="21"/>
                <w:highlight w:val="none"/>
              </w:rPr>
              <w:t>进行评价。</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项目实施方案详细、细致、科学合理、切实可行，内容切合建筑物建设特点的，得</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项目实施方案详细、合理、可行，内容切合建筑物建设特点的，得</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项目实施方案基本完整、合理性一般，未能体现建筑物建设特点的，得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项目实施方案不完整，内容简单，可靠性差，得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质量保证措施</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根据投标人针对本项目实际提出质量保证措施进行评价。</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质量保证措施具体、可操作性强，保质保修服务承诺具体、优越，得</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质量保证措施较好、可操作性较高，保质保修服务承诺较好，得</w:t>
            </w:r>
            <w:r>
              <w:rPr>
                <w:rFonts w:hint="eastAsia" w:ascii="宋体" w:hAnsi="宋体" w:cs="宋体"/>
                <w:bCs/>
                <w:color w:val="auto"/>
                <w:szCs w:val="21"/>
                <w:highlight w:val="none"/>
                <w:lang w:val="en-US" w:eastAsia="zh-CN"/>
              </w:rPr>
              <w:t>14</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质量保证措施一般、可操作性一般，保质保修服务承诺一般，得</w:t>
            </w:r>
            <w:r>
              <w:rPr>
                <w:rFonts w:hint="eastAsia" w:ascii="宋体" w:hAnsi="宋体" w:cs="宋体"/>
                <w:bCs/>
                <w:color w:val="auto"/>
                <w:szCs w:val="21"/>
                <w:highlight w:val="none"/>
                <w:lang w:val="en-US" w:eastAsia="zh-CN"/>
              </w:rPr>
              <w:t>8</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质量保证措施差、无可操作性，保质保修服务承诺差，得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安全文明施工措施</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hint="default" w:asci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根据投标人保证安全和文明施工的措施进行评价。</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安全和文明施工措施合理全面、详细、可行性强、各项措施落实，得</w:t>
            </w:r>
            <w:r>
              <w:rPr>
                <w:rFonts w:hint="eastAsia" w:ascii="宋体" w:hAnsi="宋体" w:cs="宋体"/>
                <w:bCs/>
                <w:color w:val="auto"/>
                <w:szCs w:val="21"/>
                <w:highlight w:val="none"/>
                <w:lang w:val="en-US" w:eastAsia="zh-CN"/>
              </w:rPr>
              <w:t>20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安全和文明施工措施合理、较具体，各项措施基本能落实，得</w:t>
            </w:r>
            <w:r>
              <w:rPr>
                <w:rFonts w:hint="eastAsia" w:ascii="宋体" w:hAnsi="宋体" w:cs="宋体"/>
                <w:bCs/>
                <w:color w:val="auto"/>
                <w:szCs w:val="21"/>
                <w:highlight w:val="none"/>
                <w:lang w:val="en-US" w:eastAsia="zh-CN"/>
              </w:rPr>
              <w:t>14</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安全和文明施工措施较合理、较详细、可行性较好，得</w:t>
            </w:r>
            <w:r>
              <w:rPr>
                <w:rFonts w:hint="eastAsia" w:ascii="宋体" w:hAnsi="宋体" w:cs="宋体"/>
                <w:bCs/>
                <w:color w:val="auto"/>
                <w:szCs w:val="21"/>
                <w:highlight w:val="none"/>
                <w:lang w:val="en-US" w:eastAsia="zh-CN"/>
              </w:rPr>
              <w:t>8</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安全和文明施工措施不明确、各项措施响应不充分，得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应急预案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2"/>
              <w:spacing w:line="360" w:lineRule="auto"/>
              <w:ind w:firstLine="0" w:firstLineChars="0"/>
              <w:jc w:val="center"/>
              <w:rPr>
                <w:rFonts w:hint="default" w:asci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根据投标人提供的的应急预案进行评价。</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投标人提供的应急预案有详细具体的应急预案且针对性强，预案完善的，得</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投标人提供的应急预案有详细具体的应急预案的但针对性一般的，得</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投标人提供的应急预案一般的，得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投标人提供的应急预案简单的、无条理的，得1分；</w:t>
            </w:r>
          </w:p>
          <w:p>
            <w:pPr>
              <w:ind w:firstLine="420" w:firstLineChars="200"/>
              <w:rPr>
                <w:rFonts w:ascii="宋体" w:eastAsia="宋体" w:cs="宋体"/>
                <w:bCs/>
                <w:color w:val="auto"/>
                <w:sz w:val="21"/>
                <w:szCs w:val="21"/>
                <w:highlight w:val="none"/>
                <w:lang w:val="zh-CN"/>
              </w:rPr>
            </w:pPr>
            <w:r>
              <w:rPr>
                <w:rFonts w:hint="eastAsia" w:ascii="宋体" w:hAnsi="宋体" w:cs="宋体"/>
                <w:bCs/>
                <w:color w:val="auto"/>
                <w:szCs w:val="21"/>
                <w:highlight w:val="none"/>
              </w:rPr>
              <w:t>未提供对应方案不得分。</w:t>
            </w:r>
          </w:p>
        </w:tc>
      </w:tr>
    </w:tbl>
    <w:p>
      <w:pPr>
        <w:pStyle w:val="4"/>
        <w:spacing w:before="0" w:after="0" w:line="360" w:lineRule="auto"/>
        <w:rPr>
          <w:color w:val="auto"/>
          <w:sz w:val="36"/>
          <w:szCs w:val="36"/>
          <w:highlight w:val="none"/>
        </w:rPr>
      </w:pPr>
      <w:r>
        <w:rPr>
          <w:rFonts w:hint="eastAsia"/>
          <w:color w:val="auto"/>
          <w:sz w:val="28"/>
          <w:szCs w:val="28"/>
          <w:highlight w:val="none"/>
        </w:rPr>
        <w:br w:type="page"/>
      </w:r>
      <w:bookmarkStart w:id="4" w:name="_Toc31854"/>
      <w:r>
        <w:rPr>
          <w:rFonts w:hint="eastAsia"/>
          <w:color w:val="auto"/>
          <w:sz w:val="28"/>
          <w:szCs w:val="28"/>
          <w:highlight w:val="none"/>
        </w:rPr>
        <w:t>第三部分 用户需求书</w:t>
      </w:r>
      <w:bookmarkEnd w:id="4"/>
    </w:p>
    <w:p>
      <w:pPr>
        <w:keepNext/>
        <w:keepLines/>
        <w:widowControl w:val="0"/>
        <w:spacing w:line="240" w:lineRule="auto"/>
        <w:jc w:val="center"/>
        <w:outlineLvl w:val="2"/>
        <w:rPr>
          <w:rFonts w:ascii="宋体" w:hAnsi="宋体" w:cs="宋体"/>
          <w:b/>
          <w:color w:val="auto"/>
          <w:kern w:val="2"/>
          <w:szCs w:val="21"/>
          <w:highlight w:val="none"/>
        </w:rPr>
      </w:pPr>
      <w:bookmarkStart w:id="5" w:name="_Toc3968"/>
      <w:bookmarkStart w:id="6" w:name="_Toc14462"/>
      <w:bookmarkStart w:id="7" w:name="_Toc13112"/>
      <w:bookmarkStart w:id="8" w:name="_Toc24679"/>
      <w:bookmarkStart w:id="9" w:name="_Toc31278"/>
      <w:r>
        <w:rPr>
          <w:rFonts w:hint="eastAsia" w:ascii="宋体" w:hAnsi="宋体" w:cs="宋体"/>
          <w:b/>
          <w:bCs/>
          <w:color w:val="auto"/>
          <w:kern w:val="2"/>
          <w:sz w:val="24"/>
          <w:szCs w:val="24"/>
          <w:highlight w:val="none"/>
        </w:rPr>
        <w:t>用户需求明细</w:t>
      </w:r>
      <w:bookmarkEnd w:id="5"/>
    </w:p>
    <w:p>
      <w:pPr>
        <w:pStyle w:val="6"/>
        <w:rPr>
          <w:color w:val="auto"/>
          <w:highlight w:val="none"/>
        </w:rPr>
      </w:pPr>
      <w:r>
        <w:rPr>
          <w:rFonts w:hint="eastAsia"/>
          <w:color w:val="auto"/>
          <w:highlight w:val="none"/>
        </w:rPr>
        <w:t xml:space="preserve">一、项目概况 </w:t>
      </w:r>
    </w:p>
    <w:p>
      <w:pPr>
        <w:ind w:firstLine="420" w:firstLineChars="200"/>
        <w:rPr>
          <w:color w:val="auto"/>
          <w:highlight w:val="none"/>
        </w:rPr>
      </w:pPr>
      <w:r>
        <w:rPr>
          <w:rFonts w:hint="eastAsia"/>
          <w:color w:val="auto"/>
          <w:highlight w:val="none"/>
        </w:rPr>
        <w:t>常平镇环常南路管道、振兴路管道、振兴路箱涵、东兴路后面明渠、东元路箱涵、沥唇河西路管道及振兴三街至新桥泵站箱涵经多年运行，已经产生严重的淤泥及流砂淤积，造成排水行洪极不畅顺，严重影响防洪安全。为确保排水行洪畅通，现对常平镇环常南路管道、振兴路管道、振兴路箱涵、东兴路后面明渠、东元路箱涵、沥唇河西路管道及振兴三街至新桥泵站箱涵实施清淤疏浚工程。本项目各个管道、明渠及箱涵位置图详见附件2。</w:t>
      </w:r>
    </w:p>
    <w:p>
      <w:pPr>
        <w:rPr>
          <w:color w:val="auto"/>
          <w:highlight w:val="none"/>
        </w:rPr>
      </w:pPr>
    </w:p>
    <w:p>
      <w:pPr>
        <w:pStyle w:val="6"/>
        <w:rPr>
          <w:color w:val="auto"/>
          <w:highlight w:val="none"/>
        </w:rPr>
      </w:pPr>
      <w:r>
        <w:rPr>
          <w:rFonts w:hint="eastAsia"/>
          <w:color w:val="auto"/>
          <w:highlight w:val="none"/>
        </w:rPr>
        <w:t>二、项目内容</w:t>
      </w:r>
    </w:p>
    <w:p>
      <w:pPr>
        <w:ind w:firstLine="420" w:firstLineChars="200"/>
        <w:rPr>
          <w:color w:val="auto"/>
          <w:highlight w:val="none"/>
        </w:rPr>
      </w:pPr>
      <w:r>
        <w:rPr>
          <w:rFonts w:hint="eastAsia"/>
          <w:color w:val="auto"/>
          <w:highlight w:val="none"/>
        </w:rPr>
        <w:t>主要内容包括（但不限于）：管道、明渠及箱涵淤泥清淤疏浚，淤泥及流砂处置、运输、填埋堆放，及机动设备和人员在人行道、车道、河道上文明安全施工措施等，并对清淤后的管道、明渠及箱涵进行第三方CCTV或QV检测。</w:t>
      </w:r>
    </w:p>
    <w:p>
      <w:pPr>
        <w:ind w:firstLine="420" w:firstLineChars="200"/>
        <w:rPr>
          <w:color w:val="auto"/>
          <w:highlight w:val="none"/>
        </w:rPr>
      </w:pPr>
      <w:r>
        <w:rPr>
          <w:rFonts w:hint="eastAsia"/>
          <w:color w:val="auto"/>
          <w:highlight w:val="none"/>
        </w:rPr>
        <w:t>该项目包含清淤疏浚的淤泥及流砂处置，淤泥及流砂需达到排放标准后，再自行进行运输、堆放或填埋。</w:t>
      </w:r>
    </w:p>
    <w:p>
      <w:pPr>
        <w:rPr>
          <w:color w:val="auto"/>
          <w:highlight w:val="none"/>
        </w:rPr>
      </w:pPr>
    </w:p>
    <w:p>
      <w:pPr>
        <w:pStyle w:val="6"/>
        <w:numPr>
          <w:ilvl w:val="0"/>
          <w:numId w:val="1"/>
        </w:numPr>
        <w:rPr>
          <w:color w:val="auto"/>
          <w:highlight w:val="none"/>
        </w:rPr>
      </w:pPr>
      <w:r>
        <w:rPr>
          <w:rFonts w:hint="eastAsia"/>
          <w:color w:val="auto"/>
          <w:highlight w:val="none"/>
        </w:rPr>
        <w:t>项目清单</w:t>
      </w:r>
    </w:p>
    <w:p>
      <w:pPr>
        <w:ind w:firstLine="420" w:firstLineChars="200"/>
        <w:rPr>
          <w:color w:val="auto"/>
          <w:highlight w:val="none"/>
        </w:rPr>
      </w:pPr>
      <w:r>
        <w:rPr>
          <w:rFonts w:hint="eastAsia"/>
          <w:color w:val="auto"/>
          <w:highlight w:val="none"/>
        </w:rPr>
        <w:t>详见附件1。</w:t>
      </w:r>
    </w:p>
    <w:p>
      <w:pPr>
        <w:keepNext w:val="0"/>
        <w:keepLines w:val="0"/>
        <w:pageBreakBefore w:val="0"/>
        <w:widowControl/>
        <w:kinsoku/>
        <w:wordWrap/>
        <w:overflowPunct/>
        <w:topLinePunct w:val="0"/>
        <w:autoSpaceDE/>
        <w:autoSpaceDN/>
        <w:bidi w:val="0"/>
        <w:adjustRightInd w:val="0"/>
        <w:snapToGrid w:val="0"/>
        <w:textAlignment w:val="auto"/>
        <w:rPr>
          <w:color w:val="auto"/>
          <w:highlight w:val="none"/>
        </w:rPr>
      </w:pPr>
    </w:p>
    <w:p>
      <w:pPr>
        <w:pStyle w:val="6"/>
        <w:rPr>
          <w:color w:val="auto"/>
          <w:highlight w:val="none"/>
        </w:rPr>
      </w:pPr>
      <w:r>
        <w:rPr>
          <w:rFonts w:hint="eastAsia"/>
          <w:color w:val="auto"/>
          <w:highlight w:val="none"/>
        </w:rPr>
        <w:t>四、工作要求</w:t>
      </w:r>
    </w:p>
    <w:p>
      <w:pPr>
        <w:ind w:firstLine="420" w:firstLineChars="200"/>
        <w:rPr>
          <w:rFonts w:ascii="宋体" w:hAnsi="宋体" w:cs="宋体"/>
          <w:color w:val="auto"/>
          <w:highlight w:val="none"/>
        </w:rPr>
      </w:pPr>
      <w:r>
        <w:rPr>
          <w:rFonts w:hint="eastAsia" w:ascii="宋体" w:hAnsi="宋体" w:cs="宋体"/>
          <w:color w:val="auto"/>
          <w:highlight w:val="none"/>
        </w:rPr>
        <w:t>（1）服务范围内的所有</w:t>
      </w:r>
      <w:r>
        <w:rPr>
          <w:rFonts w:hint="eastAsia"/>
          <w:color w:val="auto"/>
          <w:highlight w:val="none"/>
        </w:rPr>
        <w:t>管道、明渠及箱涵</w:t>
      </w:r>
      <w:r>
        <w:rPr>
          <w:rFonts w:hint="eastAsia" w:ascii="宋体" w:hAnsi="宋体" w:cs="宋体"/>
          <w:color w:val="auto"/>
          <w:highlight w:val="none"/>
        </w:rPr>
        <w:t>要求在服务期结束前全面清淤疏浚一次，在养护期间严格执行但不限于《东莞市直管排水（雨水）设施维护服务管理工作制度（试行）》、《东莞市城市排水设施维护管理质量标准（试行）》、《城镇排水管道维护安全技术规程》（CJJ6-2009）、《城镇排水管渠与泵站维护技术规程》（CJJ68-2007）等规范的要求（注：如有最新相关规范，按最新规范执行），维护期内要求</w:t>
      </w:r>
      <w:r>
        <w:rPr>
          <w:rFonts w:hint="eastAsia"/>
          <w:color w:val="auto"/>
          <w:highlight w:val="none"/>
        </w:rPr>
        <w:t>管道、明渠及箱涵</w:t>
      </w:r>
      <w:r>
        <w:rPr>
          <w:rFonts w:hint="eastAsia" w:ascii="宋体" w:hAnsi="宋体" w:cs="宋体"/>
          <w:color w:val="auto"/>
          <w:highlight w:val="none"/>
        </w:rPr>
        <w:t>通畅、有效，不出现道路积水和内涝。</w:t>
      </w:r>
    </w:p>
    <w:p>
      <w:pPr>
        <w:ind w:firstLine="420" w:firstLineChars="200"/>
        <w:rPr>
          <w:rFonts w:ascii="宋体" w:hAnsi="宋体" w:cs="宋体"/>
          <w:color w:val="auto"/>
          <w:highlight w:val="none"/>
        </w:rPr>
      </w:pPr>
      <w:r>
        <w:rPr>
          <w:rFonts w:hint="eastAsia" w:ascii="宋体" w:hAnsi="宋体" w:cs="宋体"/>
          <w:color w:val="auto"/>
          <w:highlight w:val="none"/>
        </w:rPr>
        <w:t>（2）中标人必须对清疏管渠产生的淤泥、</w:t>
      </w:r>
      <w:r>
        <w:rPr>
          <w:rFonts w:hint="eastAsia" w:ascii="宋体" w:hAnsi="宋体" w:cs="宋体"/>
          <w:color w:val="auto"/>
          <w:szCs w:val="21"/>
          <w:highlight w:val="none"/>
        </w:rPr>
        <w:t>流砂及</w:t>
      </w:r>
      <w:r>
        <w:rPr>
          <w:rFonts w:hint="eastAsia" w:ascii="宋体" w:hAnsi="宋体" w:cs="宋体"/>
          <w:color w:val="auto"/>
          <w:highlight w:val="none"/>
        </w:rPr>
        <w:t>垃圾等进行合法合规处置，用于堆放淤泥的场所须提供相关单位出具的证明材料，因中标人处置淤泥、</w:t>
      </w:r>
      <w:r>
        <w:rPr>
          <w:rFonts w:hint="eastAsia" w:ascii="宋体" w:hAnsi="宋体" w:cs="宋体"/>
          <w:color w:val="auto"/>
          <w:szCs w:val="21"/>
          <w:highlight w:val="none"/>
        </w:rPr>
        <w:t>流砂及</w:t>
      </w:r>
      <w:r>
        <w:rPr>
          <w:rFonts w:hint="eastAsia" w:ascii="宋体" w:hAnsi="宋体" w:cs="宋体"/>
          <w:color w:val="auto"/>
          <w:highlight w:val="none"/>
        </w:rPr>
        <w:t>垃圾不合法不合规造成的一切违法侵权后果和损失赔偿责任全部由中标人承担，中标人应向招标人赔偿因中标人处置淤泥、</w:t>
      </w:r>
      <w:r>
        <w:rPr>
          <w:rFonts w:hint="eastAsia" w:ascii="宋体" w:hAnsi="宋体" w:cs="宋体"/>
          <w:color w:val="auto"/>
          <w:szCs w:val="21"/>
          <w:highlight w:val="none"/>
        </w:rPr>
        <w:t>流砂及</w:t>
      </w:r>
      <w:r>
        <w:rPr>
          <w:rFonts w:hint="eastAsia" w:ascii="宋体" w:hAnsi="宋体" w:cs="宋体"/>
          <w:color w:val="auto"/>
          <w:highlight w:val="none"/>
        </w:rPr>
        <w:t>垃圾不合法不合规给招标人造成的损失（包括但不限于赔偿金、罚金、诉讼费、仲裁费、律师费等）。</w:t>
      </w:r>
    </w:p>
    <w:p>
      <w:pPr>
        <w:ind w:firstLine="420" w:firstLineChars="200"/>
        <w:rPr>
          <w:rFonts w:ascii="宋体" w:hAnsi="宋体" w:cs="宋体"/>
          <w:color w:val="auto"/>
          <w:highlight w:val="none"/>
        </w:rPr>
      </w:pPr>
      <w:r>
        <w:rPr>
          <w:rFonts w:hint="eastAsia" w:ascii="宋体" w:hAnsi="宋体" w:cs="宋体"/>
          <w:color w:val="auto"/>
          <w:highlight w:val="none"/>
        </w:rPr>
        <w:t>（3）自觉接受采购人、监理单位以及有关部门的监督管理，必须无条件服从采购人以及有关部门组织的突击性任务及迎检活动，按时、按标准、按要求完成采购人所分配的工作。</w:t>
      </w:r>
    </w:p>
    <w:p>
      <w:pPr>
        <w:pStyle w:val="6"/>
        <w:rPr>
          <w:color w:val="auto"/>
          <w:highlight w:val="none"/>
        </w:rPr>
      </w:pPr>
      <w:r>
        <w:rPr>
          <w:rFonts w:hint="eastAsia"/>
          <w:color w:val="auto"/>
          <w:highlight w:val="none"/>
        </w:rPr>
        <w:t>五、安全文明施工的要求</w:t>
      </w:r>
    </w:p>
    <w:p>
      <w:pPr>
        <w:ind w:firstLine="420" w:firstLineChars="200"/>
        <w:rPr>
          <w:rFonts w:ascii="宋体" w:hAnsi="宋体" w:cs="宋体"/>
          <w:color w:val="auto"/>
          <w:highlight w:val="none"/>
        </w:rPr>
      </w:pPr>
      <w:r>
        <w:rPr>
          <w:rFonts w:hint="eastAsia" w:ascii="宋体" w:hAnsi="宋体" w:cs="宋体"/>
          <w:color w:val="auto"/>
          <w:highlight w:val="none"/>
        </w:rPr>
        <w:t>（1）中标人必须为本项目危险作业的人员办理意外伤害保险，并为施工场地内自有人员生命财产和施工机械设备办理保险，支付保险费用。</w:t>
      </w:r>
    </w:p>
    <w:p>
      <w:pPr>
        <w:ind w:firstLine="420" w:firstLineChars="200"/>
        <w:rPr>
          <w:rFonts w:ascii="宋体" w:hAnsi="宋体" w:cs="宋体"/>
          <w:color w:val="auto"/>
          <w:highlight w:val="none"/>
        </w:rPr>
      </w:pPr>
      <w:r>
        <w:rPr>
          <w:rFonts w:hint="eastAsia" w:ascii="宋体" w:hAnsi="宋体" w:cs="宋体"/>
          <w:color w:val="auto"/>
          <w:highlight w:val="none"/>
        </w:rPr>
        <w:t>（2）中标人应做到文明施工，安全施工，一切施工安全方面的事故问题均由中标方自行负责。</w:t>
      </w:r>
    </w:p>
    <w:p>
      <w:pPr>
        <w:ind w:firstLine="420" w:firstLineChars="200"/>
        <w:rPr>
          <w:rFonts w:ascii="宋体" w:hAnsi="宋体" w:cs="宋体"/>
          <w:color w:val="auto"/>
          <w:highlight w:val="none"/>
        </w:rPr>
      </w:pPr>
      <w:r>
        <w:rPr>
          <w:rFonts w:hint="eastAsia" w:ascii="宋体" w:hAnsi="宋体" w:cs="宋体"/>
          <w:color w:val="auto"/>
          <w:highlight w:val="none"/>
        </w:rPr>
        <w:t>（3）清淤过程中，要求使用施工围档进行围蔽，设置交通警示标志，做好交通疏导工作，保证车辆和行人的安全；产生的淤泥和垃圾必须及时处理，不能对道路产生污染，不得影响正常交通及周边环境。</w:t>
      </w:r>
    </w:p>
    <w:p>
      <w:pPr>
        <w:ind w:firstLine="420" w:firstLineChars="200"/>
        <w:rPr>
          <w:rFonts w:ascii="宋体" w:hAnsi="宋体" w:cs="宋体"/>
          <w:color w:val="auto"/>
          <w:highlight w:val="none"/>
        </w:rPr>
      </w:pPr>
      <w:r>
        <w:rPr>
          <w:rFonts w:hint="eastAsia" w:ascii="宋体" w:hAnsi="宋体" w:cs="宋体"/>
          <w:color w:val="auto"/>
          <w:highlight w:val="none"/>
        </w:rPr>
        <w:t>（4）中标人必须落实安全生产措施，且按采购人以及有关部门的要求，配备相关安全警示标志及施工安全防护设施，对其参与本工程项目的所有人员进行安全培训，配置统一的工作服和反光袖套，自行解决安全作业问题。在进行作业时，现场一定要做好安全防护后才能进场施工，同时中标人必须认真负责，并注意安全操作，如发生任何意外，中标人负责事故处理及一切费用，概与采购人无关，采购人不承担与此相关的任何责任和费用。如中标人因安全生产问题给采购人造成损失的，中标人应向采购人赔偿全部损失，采购人有权通过法律手段向中标人追偿。</w:t>
      </w:r>
    </w:p>
    <w:p>
      <w:pPr>
        <w:ind w:firstLine="420" w:firstLineChars="200"/>
        <w:rPr>
          <w:rFonts w:ascii="宋体" w:hAnsi="宋体" w:cs="宋体"/>
          <w:color w:val="auto"/>
          <w:highlight w:val="none"/>
        </w:rPr>
      </w:pPr>
      <w:r>
        <w:rPr>
          <w:rFonts w:hint="eastAsia" w:ascii="宋体" w:hAnsi="宋体" w:cs="宋体"/>
          <w:color w:val="auto"/>
          <w:highlight w:val="none"/>
        </w:rPr>
        <w:t>（5）其它参照国家、省、市有关最新规范标准执行。</w:t>
      </w:r>
    </w:p>
    <w:p>
      <w:pPr>
        <w:rPr>
          <w:color w:val="auto"/>
          <w:highlight w:val="none"/>
        </w:rPr>
      </w:pPr>
    </w:p>
    <w:p>
      <w:pPr>
        <w:pStyle w:val="6"/>
        <w:rPr>
          <w:color w:val="auto"/>
          <w:highlight w:val="none"/>
        </w:rPr>
      </w:pPr>
      <w:r>
        <w:rPr>
          <w:rFonts w:hint="eastAsia"/>
          <w:color w:val="auto"/>
          <w:highlight w:val="none"/>
        </w:rPr>
        <w:t>六、完工期</w:t>
      </w:r>
    </w:p>
    <w:p>
      <w:pPr>
        <w:ind w:firstLine="420" w:firstLineChars="200"/>
        <w:rPr>
          <w:rFonts w:ascii="宋体" w:hAnsi="宋体" w:cs="宋体"/>
          <w:color w:val="auto"/>
          <w:highlight w:val="none"/>
        </w:rPr>
      </w:pPr>
      <w:r>
        <w:rPr>
          <w:rFonts w:hint="eastAsia" w:ascii="宋体" w:hAnsi="宋体" w:cs="宋体"/>
          <w:color w:val="auto"/>
          <w:highlight w:val="none"/>
        </w:rPr>
        <w:t>自合同签订日起30个日历日内完成本项目所有</w:t>
      </w:r>
      <w:r>
        <w:rPr>
          <w:rFonts w:hint="eastAsia"/>
          <w:color w:val="auto"/>
          <w:highlight w:val="none"/>
        </w:rPr>
        <w:t>管道、明渠及箱涵的</w:t>
      </w:r>
      <w:r>
        <w:rPr>
          <w:rFonts w:hint="eastAsia" w:ascii="宋体" w:hAnsi="宋体" w:cs="宋体"/>
          <w:color w:val="auto"/>
          <w:highlight w:val="none"/>
        </w:rPr>
        <w:t>清淤疏浚工作。</w:t>
      </w:r>
    </w:p>
    <w:p>
      <w:pPr>
        <w:rPr>
          <w:color w:val="auto"/>
          <w:highlight w:val="none"/>
        </w:rPr>
      </w:pPr>
    </w:p>
    <w:p>
      <w:pPr>
        <w:pStyle w:val="6"/>
        <w:rPr>
          <w:color w:val="auto"/>
          <w:highlight w:val="none"/>
        </w:rPr>
      </w:pPr>
      <w:r>
        <w:rPr>
          <w:rFonts w:hint="eastAsia"/>
          <w:color w:val="auto"/>
          <w:highlight w:val="none"/>
        </w:rPr>
        <w:t>七、项目验收</w:t>
      </w:r>
    </w:p>
    <w:p>
      <w:pPr>
        <w:ind w:firstLine="420" w:firstLineChars="200"/>
        <w:rPr>
          <w:rFonts w:ascii="宋体" w:hAnsi="宋体" w:cs="宋体"/>
          <w:color w:val="auto"/>
          <w:highlight w:val="none"/>
        </w:rPr>
      </w:pPr>
      <w:r>
        <w:rPr>
          <w:rFonts w:hint="eastAsia" w:ascii="宋体" w:hAnsi="宋体" w:cs="宋体"/>
          <w:color w:val="auto"/>
          <w:highlight w:val="none"/>
        </w:rPr>
        <w:t>1、工程施工及验收均应按《给排水管道工程施工及验收规范》（GB50268—2008）等相关规范要求进行。</w:t>
      </w:r>
    </w:p>
    <w:p>
      <w:pPr>
        <w:ind w:firstLine="420" w:firstLineChars="200"/>
        <w:rPr>
          <w:rFonts w:ascii="宋体" w:hAnsi="宋体" w:cs="宋体"/>
          <w:color w:val="auto"/>
          <w:highlight w:val="none"/>
        </w:rPr>
      </w:pPr>
      <w:r>
        <w:rPr>
          <w:rFonts w:hint="eastAsia" w:ascii="宋体" w:hAnsi="宋体" w:cs="宋体"/>
          <w:color w:val="auto"/>
          <w:highlight w:val="none"/>
        </w:rPr>
        <w:t>2、中标人随时接受采购人的检查，并应为检查提供便利条件，如维修施工达不到以上要求，须按采购人要求返工修改，并承担因自身原因导致返工、修改的费用。</w:t>
      </w:r>
    </w:p>
    <w:p>
      <w:pPr>
        <w:ind w:firstLine="420" w:firstLineChars="200"/>
        <w:rPr>
          <w:rFonts w:ascii="宋体" w:hAnsi="宋体" w:cs="宋体"/>
          <w:color w:val="auto"/>
          <w:highlight w:val="none"/>
        </w:rPr>
      </w:pPr>
      <w:r>
        <w:rPr>
          <w:rFonts w:hint="eastAsia" w:ascii="宋体" w:hAnsi="宋体" w:cs="宋体"/>
          <w:color w:val="auto"/>
          <w:highlight w:val="none"/>
        </w:rPr>
        <w:t>3、所有</w:t>
      </w:r>
      <w:r>
        <w:rPr>
          <w:rFonts w:hint="eastAsia"/>
          <w:color w:val="auto"/>
          <w:highlight w:val="none"/>
        </w:rPr>
        <w:t>管道、明渠及箱涵</w:t>
      </w:r>
      <w:r>
        <w:rPr>
          <w:rFonts w:hint="eastAsia" w:ascii="宋体" w:hAnsi="宋体" w:cs="宋体"/>
          <w:color w:val="auto"/>
          <w:highlight w:val="none"/>
        </w:rPr>
        <w:t>清淤疏浚处置完毕后，</w:t>
      </w:r>
      <w:r>
        <w:rPr>
          <w:rFonts w:hint="eastAsia"/>
          <w:color w:val="auto"/>
          <w:highlight w:val="none"/>
        </w:rPr>
        <w:t>必须提供相应线路的第三方CCTV或QV检测报告。</w:t>
      </w:r>
      <w:r>
        <w:rPr>
          <w:rFonts w:hint="eastAsia" w:ascii="宋体" w:hAnsi="宋体" w:cs="宋体"/>
          <w:color w:val="auto"/>
          <w:highlight w:val="none"/>
        </w:rPr>
        <w:t>需组织相关监督检查单位验收，验收合格后，向采购人提交验收材料。对采购人提出的修改意见，中标人按要求修改，并承担由自身原因造成修改的费用。</w:t>
      </w:r>
    </w:p>
    <w:p>
      <w:pPr>
        <w:ind w:firstLine="420" w:firstLineChars="200"/>
        <w:rPr>
          <w:rFonts w:hint="eastAsia" w:ascii="宋体" w:hAnsi="宋体" w:cs="宋体"/>
          <w:color w:val="auto"/>
          <w:highlight w:val="none"/>
        </w:rPr>
      </w:pPr>
      <w:r>
        <w:rPr>
          <w:rFonts w:hint="eastAsia" w:ascii="宋体" w:hAnsi="宋体" w:cs="宋体"/>
          <w:color w:val="auto"/>
          <w:highlight w:val="none"/>
        </w:rPr>
        <w:t>4、本工程使用机械设备须经国家认可的技术检验部门检测合格后方可进场作业。</w:t>
      </w:r>
    </w:p>
    <w:p>
      <w:pPr>
        <w:pStyle w:val="2"/>
      </w:pPr>
    </w:p>
    <w:p>
      <w:pPr>
        <w:pStyle w:val="6"/>
        <w:rPr>
          <w:color w:val="auto"/>
          <w:highlight w:val="none"/>
        </w:rPr>
      </w:pPr>
      <w:r>
        <w:rPr>
          <w:rFonts w:hint="eastAsia"/>
          <w:color w:val="auto"/>
          <w:highlight w:val="none"/>
        </w:rPr>
        <w:t>八、报价要求</w:t>
      </w:r>
    </w:p>
    <w:p>
      <w:pPr>
        <w:ind w:firstLine="420" w:firstLineChars="200"/>
        <w:rPr>
          <w:rFonts w:ascii="宋体" w:hAnsi="宋体" w:cs="宋体"/>
          <w:color w:val="auto"/>
          <w:highlight w:val="none"/>
        </w:rPr>
      </w:pPr>
      <w:r>
        <w:rPr>
          <w:rFonts w:hint="eastAsia" w:ascii="宋体" w:hAnsi="宋体" w:cs="宋体"/>
          <w:color w:val="auto"/>
          <w:highlight w:val="none"/>
        </w:rPr>
        <w:t>1、报价应包含材料费、人工费、机械设备费、运输费、装卸费、淤泥处置费、场地临时堆放费、验收费、机械进场引发破损的路面、围墙修复以及园林绿化恢复等费用、各种税务费及合同实施过程中的不可预见费用等全部费用。</w:t>
      </w:r>
    </w:p>
    <w:p>
      <w:pPr>
        <w:rPr>
          <w:color w:val="auto"/>
          <w:highlight w:val="none"/>
        </w:rPr>
      </w:pPr>
    </w:p>
    <w:p>
      <w:pPr>
        <w:pStyle w:val="6"/>
        <w:rPr>
          <w:color w:val="auto"/>
          <w:highlight w:val="none"/>
        </w:rPr>
      </w:pPr>
      <w:r>
        <w:rPr>
          <w:rFonts w:hint="eastAsia"/>
          <w:color w:val="auto"/>
          <w:highlight w:val="none"/>
        </w:rPr>
        <w:t>九、付款方式</w:t>
      </w:r>
    </w:p>
    <w:p>
      <w:pPr>
        <w:ind w:firstLine="420" w:firstLineChars="200"/>
        <w:rPr>
          <w:rFonts w:ascii="宋体" w:hAnsi="宋体" w:cs="宋体"/>
          <w:color w:val="auto"/>
          <w:highlight w:val="none"/>
        </w:rPr>
      </w:pPr>
      <w:bookmarkStart w:id="10" w:name="_Hlk61969750"/>
      <w:r>
        <w:rPr>
          <w:rFonts w:hint="eastAsia" w:ascii="宋体" w:hAnsi="宋体" w:cs="宋体"/>
          <w:color w:val="auto"/>
          <w:highlight w:val="none"/>
        </w:rPr>
        <w:t>1、中标人完成项目所有所有</w:t>
      </w:r>
      <w:r>
        <w:rPr>
          <w:rFonts w:hint="eastAsia"/>
          <w:color w:val="auto"/>
          <w:highlight w:val="none"/>
        </w:rPr>
        <w:t>管道、明渠及箱涵</w:t>
      </w:r>
      <w:r>
        <w:rPr>
          <w:rFonts w:hint="eastAsia" w:ascii="宋体" w:hAnsi="宋体" w:cs="宋体"/>
          <w:color w:val="auto"/>
          <w:highlight w:val="none"/>
        </w:rPr>
        <w:t>清淤疏浚处置完毕后，需按现场实际清淤疏浚工程量及</w:t>
      </w:r>
      <w:bookmarkStart w:id="11" w:name="_Hlk64995638"/>
      <w:r>
        <w:rPr>
          <w:rFonts w:hint="eastAsia" w:ascii="宋体" w:hAnsi="宋体" w:cs="宋体"/>
          <w:color w:val="auto"/>
          <w:highlight w:val="none"/>
        </w:rPr>
        <w:t>报价明细表</w:t>
      </w:r>
      <w:bookmarkEnd w:id="11"/>
      <w:r>
        <w:rPr>
          <w:rFonts w:hint="eastAsia" w:ascii="宋体" w:hAnsi="宋体" w:cs="宋体"/>
          <w:color w:val="auto"/>
          <w:highlight w:val="none"/>
        </w:rPr>
        <w:t>单价按实结算，并经相关监督检查单位和采购人验收合格后，由办理完验收手续之日起，采购人收到中标人开具的发票后，经财务审核合格后30个工作日内一次性支付按实结算的项目总费用给中标人。</w:t>
      </w:r>
    </w:p>
    <w:p>
      <w:pPr>
        <w:ind w:firstLine="420" w:firstLineChars="200"/>
        <w:rPr>
          <w:rFonts w:ascii="宋体" w:hAnsi="宋体" w:cs="宋体"/>
          <w:color w:val="auto"/>
          <w:highlight w:val="none"/>
        </w:rPr>
      </w:pPr>
      <w:r>
        <w:rPr>
          <w:rFonts w:hint="eastAsia" w:ascii="宋体" w:hAnsi="宋体" w:cs="宋体"/>
          <w:color w:val="auto"/>
          <w:highlight w:val="none"/>
        </w:rPr>
        <w:t>2、最终结算价以实际结算价为准，实际结算价不高于合同价。</w:t>
      </w:r>
    </w:p>
    <w:bookmarkEnd w:id="10"/>
    <w:p>
      <w:pPr>
        <w:ind w:firstLine="420" w:firstLineChars="200"/>
        <w:rPr>
          <w:rFonts w:ascii="宋体" w:hAnsi="宋体" w:cs="Times New Roman"/>
          <w:color w:val="auto"/>
          <w:szCs w:val="21"/>
          <w:highlight w:val="none"/>
        </w:rPr>
      </w:pPr>
    </w:p>
    <w:p>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p>
    <w:p>
      <w:pPr>
        <w:pStyle w:val="2"/>
        <w:rPr>
          <w:rFonts w:cs="Times New Roman"/>
          <w:b/>
          <w:bCs/>
          <w:color w:val="auto"/>
          <w:sz w:val="21"/>
          <w:szCs w:val="21"/>
          <w:highlight w:val="none"/>
        </w:rPr>
      </w:pPr>
    </w:p>
    <w:p>
      <w:pPr>
        <w:pStyle w:val="3"/>
        <w:ind w:firstLine="211"/>
        <w:rPr>
          <w:rFonts w:ascii="宋体" w:hAnsi="宋体"/>
          <w:b/>
          <w:bCs/>
          <w:color w:val="auto"/>
          <w:sz w:val="21"/>
          <w:szCs w:val="21"/>
          <w:highlight w:val="none"/>
        </w:rPr>
      </w:pPr>
    </w:p>
    <w:p>
      <w:pPr>
        <w:pStyle w:val="3"/>
        <w:ind w:firstLine="211"/>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leftChars="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lang w:val="en-US"/>
        </w:rPr>
      </w:pPr>
      <w:r>
        <w:rPr>
          <w:rFonts w:hint="eastAsia" w:ascii="宋体" w:hAnsi="宋体"/>
          <w:b/>
          <w:bCs/>
          <w:color w:val="auto"/>
          <w:sz w:val="21"/>
          <w:szCs w:val="21"/>
          <w:highlight w:val="none"/>
          <w:lang w:val="en-US"/>
        </w:rPr>
        <w:t>附件1</w:t>
      </w:r>
    </w:p>
    <w:tbl>
      <w:tblPr>
        <w:tblStyle w:val="20"/>
        <w:tblW w:w="0" w:type="auto"/>
        <w:jc w:val="center"/>
        <w:tblLayout w:type="fixed"/>
        <w:tblCellMar>
          <w:top w:w="0" w:type="dxa"/>
          <w:left w:w="108" w:type="dxa"/>
          <w:bottom w:w="0" w:type="dxa"/>
          <w:right w:w="108" w:type="dxa"/>
        </w:tblCellMar>
      </w:tblPr>
      <w:tblGrid>
        <w:gridCol w:w="655"/>
        <w:gridCol w:w="1455"/>
        <w:gridCol w:w="4290"/>
        <w:gridCol w:w="1087"/>
        <w:gridCol w:w="1007"/>
      </w:tblGrid>
      <w:tr>
        <w:tblPrEx>
          <w:tblCellMar>
            <w:top w:w="0" w:type="dxa"/>
            <w:left w:w="108" w:type="dxa"/>
            <w:bottom w:w="0" w:type="dxa"/>
            <w:right w:w="108" w:type="dxa"/>
          </w:tblCellMar>
        </w:tblPrEx>
        <w:trPr>
          <w:trHeight w:val="409" w:hRule="atLeast"/>
          <w:jc w:val="center"/>
        </w:trPr>
        <w:tc>
          <w:tcPr>
            <w:tcW w:w="655"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45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项目名称</w:t>
            </w:r>
          </w:p>
        </w:tc>
        <w:tc>
          <w:tcPr>
            <w:tcW w:w="429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项目特征描述</w:t>
            </w:r>
          </w:p>
        </w:tc>
        <w:tc>
          <w:tcPr>
            <w:tcW w:w="108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计量单位</w:t>
            </w:r>
          </w:p>
        </w:tc>
        <w:tc>
          <w:tcPr>
            <w:tcW w:w="100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数量</w:t>
            </w:r>
          </w:p>
        </w:tc>
      </w:tr>
      <w:tr>
        <w:tblPrEx>
          <w:tblCellMar>
            <w:top w:w="0" w:type="dxa"/>
            <w:left w:w="108" w:type="dxa"/>
            <w:bottom w:w="0" w:type="dxa"/>
            <w:right w:w="108" w:type="dxa"/>
          </w:tblCellMar>
        </w:tblPrEx>
        <w:trPr>
          <w:trHeight w:val="409" w:hRule="atLeast"/>
          <w:jc w:val="center"/>
        </w:trPr>
        <w:tc>
          <w:tcPr>
            <w:tcW w:w="65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429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108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00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09" w:hRule="atLeast"/>
          <w:jc w:val="center"/>
        </w:trPr>
        <w:tc>
          <w:tcPr>
            <w:tcW w:w="65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429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108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00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100"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环常南路管道清淤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1.名称:环常南路管道清淤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2.长度:5836m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3.规格:DN1000</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4.淤堵厚度:清渠淤泥深度0.6m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2888.82</w:t>
            </w:r>
          </w:p>
        </w:tc>
      </w:tr>
      <w:tr>
        <w:tblPrEx>
          <w:tblCellMar>
            <w:top w:w="0" w:type="dxa"/>
            <w:left w:w="108" w:type="dxa"/>
            <w:bottom w:w="0" w:type="dxa"/>
            <w:right w:w="108" w:type="dxa"/>
          </w:tblCellMar>
        </w:tblPrEx>
        <w:trPr>
          <w:trHeight w:val="2100"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振兴路管道清淤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1.名称:振兴路管道清淤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2.长度:450m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3.规格:DN600</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4.淤堵厚度:清渠淤泥深度0.4m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90</w:t>
            </w:r>
          </w:p>
        </w:tc>
      </w:tr>
      <w:tr>
        <w:tblPrEx>
          <w:tblCellMar>
            <w:top w:w="0" w:type="dxa"/>
            <w:left w:w="108" w:type="dxa"/>
            <w:bottom w:w="0" w:type="dxa"/>
            <w:right w:w="108" w:type="dxa"/>
          </w:tblCellMar>
        </w:tblPrEx>
        <w:trPr>
          <w:trHeight w:val="1912"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振兴路箱涵清淤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1.名称:振兴路箱涵清淤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2.长度:380m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3.规格:2.5*1.2（宽*高）m</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4.淤堵厚度:清渠淤泥深度0.8m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760</w:t>
            </w:r>
          </w:p>
        </w:tc>
      </w:tr>
      <w:tr>
        <w:tblPrEx>
          <w:tblCellMar>
            <w:top w:w="0" w:type="dxa"/>
            <w:left w:w="108" w:type="dxa"/>
            <w:bottom w:w="0" w:type="dxa"/>
            <w:right w:w="108" w:type="dxa"/>
          </w:tblCellMar>
        </w:tblPrEx>
        <w:trPr>
          <w:trHeight w:val="1845"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东兴路后面明渠清淤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1.名称:东兴路后面明渠清淤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2.长度:231m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3.规格:6*1.5（宽*高）m</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4.淤堵厚度:清渠淤泥深度1m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1386</w:t>
            </w:r>
          </w:p>
        </w:tc>
      </w:tr>
      <w:tr>
        <w:tblPrEx>
          <w:tblCellMar>
            <w:top w:w="0" w:type="dxa"/>
            <w:left w:w="108" w:type="dxa"/>
            <w:bottom w:w="0" w:type="dxa"/>
            <w:right w:w="108" w:type="dxa"/>
          </w:tblCellMar>
        </w:tblPrEx>
        <w:trPr>
          <w:trHeight w:val="355"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东元路箱涵清淤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1.名称:东元路箱涵清淤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2.长度:311m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3.规格:5*3（宽*高）m</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4.淤堵厚度:清渠淤泥深度1m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1555</w:t>
            </w:r>
          </w:p>
        </w:tc>
      </w:tr>
      <w:tr>
        <w:tblPrEx>
          <w:tblCellMar>
            <w:top w:w="0" w:type="dxa"/>
            <w:left w:w="108" w:type="dxa"/>
            <w:bottom w:w="0" w:type="dxa"/>
            <w:right w:w="108" w:type="dxa"/>
          </w:tblCellMar>
        </w:tblPrEx>
        <w:trPr>
          <w:trHeight w:val="2100"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沥唇河西路管道清淤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1.名称:沥唇河西路管道清淤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2.长度:1654m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3.规格:DN1500</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4.淤堵厚度:清渠淤泥深度0.8m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1584.53</w:t>
            </w:r>
          </w:p>
        </w:tc>
      </w:tr>
      <w:tr>
        <w:tblPrEx>
          <w:tblCellMar>
            <w:top w:w="0" w:type="dxa"/>
            <w:left w:w="108" w:type="dxa"/>
            <w:bottom w:w="0" w:type="dxa"/>
            <w:right w:w="108" w:type="dxa"/>
          </w:tblCellMar>
        </w:tblPrEx>
        <w:trPr>
          <w:trHeight w:val="445"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振兴三街至新桥泵站箱涵清淤</w:t>
            </w:r>
          </w:p>
        </w:tc>
        <w:tc>
          <w:tcPr>
            <w:tcW w:w="4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1.名称:振兴三街至新桥泵站箱涵清淤</w:t>
            </w:r>
            <w:r>
              <w:rPr>
                <w:rFonts w:hint="eastAsia" w:ascii="宋体" w:hAnsi="宋体" w:cs="宋体"/>
                <w:color w:val="auto"/>
                <w:szCs w:val="21"/>
                <w:highlight w:val="none"/>
              </w:rPr>
              <w:br w:type="textWrapping"/>
            </w:r>
            <w:r>
              <w:rPr>
                <w:rFonts w:hint="eastAsia" w:ascii="宋体" w:hAnsi="宋体" w:cs="宋体"/>
                <w:color w:val="auto"/>
                <w:szCs w:val="21"/>
                <w:highlight w:val="none"/>
              </w:rPr>
              <w:t>2.长度:653m</w:t>
            </w:r>
            <w:r>
              <w:rPr>
                <w:rFonts w:hint="eastAsia" w:ascii="宋体" w:hAnsi="宋体" w:cs="宋体"/>
                <w:color w:val="auto"/>
                <w:szCs w:val="21"/>
                <w:highlight w:val="none"/>
              </w:rPr>
              <w:br w:type="textWrapping"/>
            </w:r>
            <w:r>
              <w:rPr>
                <w:rFonts w:hint="eastAsia" w:ascii="宋体" w:hAnsi="宋体" w:cs="宋体"/>
                <w:color w:val="auto"/>
                <w:szCs w:val="21"/>
                <w:highlight w:val="none"/>
              </w:rPr>
              <w:t>3.规格:4*2.5（宽*高）m</w:t>
            </w:r>
            <w:r>
              <w:rPr>
                <w:rFonts w:hint="eastAsia" w:ascii="宋体" w:hAnsi="宋体" w:cs="宋体"/>
                <w:color w:val="auto"/>
                <w:szCs w:val="21"/>
                <w:highlight w:val="none"/>
              </w:rPr>
              <w:br w:type="textWrapping"/>
            </w:r>
            <w:r>
              <w:rPr>
                <w:rFonts w:hint="eastAsia" w:ascii="宋体" w:hAnsi="宋体" w:cs="宋体"/>
                <w:color w:val="auto"/>
                <w:szCs w:val="21"/>
                <w:highlight w:val="none"/>
              </w:rPr>
              <w:t>4.淤堵厚度:清渠淤泥深度0.8m</w:t>
            </w:r>
            <w:r>
              <w:rPr>
                <w:rFonts w:hint="eastAsia" w:ascii="宋体" w:hAnsi="宋体" w:cs="宋体"/>
                <w:color w:val="auto"/>
                <w:szCs w:val="21"/>
                <w:highlight w:val="none"/>
              </w:rPr>
              <w:br w:type="textWrapping"/>
            </w:r>
            <w:r>
              <w:rPr>
                <w:rFonts w:hint="eastAsia" w:ascii="宋体" w:hAnsi="宋体" w:cs="宋体"/>
                <w:color w:val="auto"/>
                <w:szCs w:val="21"/>
                <w:highlight w:val="none"/>
              </w:rPr>
              <w:t>5.运输:人工运淤泥、流砂20m内，实际运距155m</w:t>
            </w:r>
            <w:r>
              <w:rPr>
                <w:rFonts w:hint="eastAsia" w:ascii="宋体" w:hAnsi="宋体" w:cs="宋体"/>
                <w:color w:val="auto"/>
                <w:szCs w:val="21"/>
                <w:highlight w:val="none"/>
              </w:rPr>
              <w:br w:type="textWrapping"/>
            </w:r>
            <w:r>
              <w:rPr>
                <w:rFonts w:hint="eastAsia" w:ascii="宋体" w:hAnsi="宋体" w:cs="宋体"/>
                <w:color w:val="auto"/>
                <w:szCs w:val="21"/>
                <w:highlight w:val="none"/>
              </w:rPr>
              <w:t>6.运距:15km</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m3</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2089.6</w:t>
            </w:r>
          </w:p>
        </w:tc>
      </w:tr>
      <w:tr>
        <w:tblPrEx>
          <w:tblCellMar>
            <w:top w:w="0" w:type="dxa"/>
            <w:left w:w="108" w:type="dxa"/>
            <w:bottom w:w="0" w:type="dxa"/>
            <w:right w:w="108" w:type="dxa"/>
          </w:tblCellMar>
        </w:tblPrEx>
        <w:trPr>
          <w:trHeight w:val="570" w:hRule="atLeast"/>
          <w:jc w:val="center"/>
        </w:trPr>
        <w:tc>
          <w:tcPr>
            <w:tcW w:w="655"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57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措施项目</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项</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r>
    </w:tbl>
    <w:p>
      <w:pPr>
        <w:rPr>
          <w:color w:val="auto"/>
          <w:highlight w:val="none"/>
        </w:rPr>
      </w:pPr>
      <w:r>
        <w:rPr>
          <w:rFonts w:hint="eastAsia"/>
          <w:color w:val="auto"/>
          <w:highlight w:val="none"/>
        </w:rPr>
        <w:t>注：以上清单仅供参考，以达到清淤疏浚效果为前提按实际发生数量为准，不增加额外服务费用。</w:t>
      </w: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rFonts w:ascii="宋体" w:hAnsi="宋体"/>
          <w:b/>
          <w:bCs/>
          <w:color w:val="auto"/>
          <w:sz w:val="21"/>
          <w:szCs w:val="21"/>
          <w:highlight w:val="none"/>
        </w:rPr>
      </w:pPr>
    </w:p>
    <w:p>
      <w:pPr>
        <w:pStyle w:val="3"/>
        <w:ind w:left="0" w:firstLine="0" w:firstLineChars="0"/>
        <w:rPr>
          <w:color w:val="auto"/>
          <w:highlight w:val="none"/>
          <w:lang w:val="en-US"/>
        </w:rPr>
      </w:pPr>
      <w:r>
        <w:rPr>
          <w:rFonts w:hint="eastAsia" w:ascii="宋体" w:hAnsi="宋体"/>
          <w:b/>
          <w:bCs/>
          <w:color w:val="auto"/>
          <w:sz w:val="21"/>
          <w:szCs w:val="21"/>
          <w:highlight w:val="none"/>
          <w:lang w:val="en-US"/>
        </w:rPr>
        <w:t>附件2</w:t>
      </w:r>
    </w:p>
    <w:p>
      <w:pPr>
        <w:rPr>
          <w:color w:val="auto"/>
          <w:highlight w:val="none"/>
        </w:rPr>
      </w:pPr>
      <w:r>
        <w:rPr>
          <w:rFonts w:hint="eastAsia"/>
          <w:color w:val="auto"/>
          <w:highlight w:val="none"/>
        </w:rPr>
        <w:drawing>
          <wp:inline distT="0" distB="0" distL="114300" distR="114300">
            <wp:extent cx="5267325" cy="2808605"/>
            <wp:effectExtent l="0" t="0" r="9525" b="10795"/>
            <wp:docPr id="10" name="图片 10" descr="环常南路管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环常南路管道"/>
                    <pic:cNvPicPr>
                      <a:picLocks noChangeAspect="1"/>
                    </pic:cNvPicPr>
                  </pic:nvPicPr>
                  <pic:blipFill>
                    <a:blip r:embed="rId16" cstate="print"/>
                    <a:stretch>
                      <a:fillRect/>
                    </a:stretch>
                  </pic:blipFill>
                  <pic:spPr>
                    <a:xfrm>
                      <a:off x="0" y="0"/>
                      <a:ext cx="5267325" cy="2808605"/>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2-1环常南路管道位置图</w:t>
      </w:r>
    </w:p>
    <w:p>
      <w:pPr>
        <w:rPr>
          <w:color w:val="auto"/>
          <w:highlight w:val="none"/>
        </w:rPr>
      </w:pPr>
      <w:r>
        <w:rPr>
          <w:rFonts w:hint="eastAsia"/>
          <w:color w:val="auto"/>
          <w:highlight w:val="none"/>
        </w:rPr>
        <w:drawing>
          <wp:inline distT="0" distB="0" distL="114300" distR="114300">
            <wp:extent cx="5250180" cy="3116580"/>
            <wp:effectExtent l="0" t="0" r="7620" b="7620"/>
            <wp:docPr id="11" name="图片 11" descr="振兴路管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振兴路管道"/>
                    <pic:cNvPicPr>
                      <a:picLocks noChangeAspect="1"/>
                    </pic:cNvPicPr>
                  </pic:nvPicPr>
                  <pic:blipFill>
                    <a:blip r:embed="rId17" cstate="print"/>
                    <a:stretch>
                      <a:fillRect/>
                    </a:stretch>
                  </pic:blipFill>
                  <pic:spPr>
                    <a:xfrm>
                      <a:off x="0" y="0"/>
                      <a:ext cx="5250180" cy="311658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2-2振兴路管道位置图</w:t>
      </w:r>
    </w:p>
    <w:p>
      <w:pPr>
        <w:rPr>
          <w:color w:val="auto"/>
          <w:highlight w:val="none"/>
        </w:rPr>
      </w:pPr>
      <w:r>
        <w:rPr>
          <w:rFonts w:hint="eastAsia"/>
          <w:color w:val="auto"/>
          <w:highlight w:val="none"/>
        </w:rPr>
        <w:drawing>
          <wp:inline distT="0" distB="0" distL="114300" distR="114300">
            <wp:extent cx="5271135" cy="3243580"/>
            <wp:effectExtent l="0" t="0" r="5715" b="13970"/>
            <wp:docPr id="12" name="图片 12" descr="43166703627a77e32674b976a9bac5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3166703627a77e32674b976a9bac521_"/>
                    <pic:cNvPicPr>
                      <a:picLocks noChangeAspect="1"/>
                    </pic:cNvPicPr>
                  </pic:nvPicPr>
                  <pic:blipFill>
                    <a:blip r:embed="rId18" cstate="print"/>
                    <a:stretch>
                      <a:fillRect/>
                    </a:stretch>
                  </pic:blipFill>
                  <pic:spPr>
                    <a:xfrm>
                      <a:off x="0" y="0"/>
                      <a:ext cx="5271135" cy="324358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2-3振兴路箱涵位置图</w:t>
      </w:r>
    </w:p>
    <w:p>
      <w:pPr>
        <w:jc w:val="both"/>
        <w:rPr>
          <w:color w:val="auto"/>
          <w:highlight w:val="none"/>
        </w:rPr>
      </w:pPr>
      <w:r>
        <w:rPr>
          <w:rFonts w:hint="eastAsia"/>
          <w:color w:val="auto"/>
          <w:highlight w:val="none"/>
        </w:rPr>
        <w:drawing>
          <wp:inline distT="0" distB="0" distL="114300" distR="114300">
            <wp:extent cx="5270500" cy="3550920"/>
            <wp:effectExtent l="0" t="0" r="6350" b="11430"/>
            <wp:docPr id="13" name="图片 13" descr="东兴路后面明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东兴路后面明渠"/>
                    <pic:cNvPicPr>
                      <a:picLocks noChangeAspect="1"/>
                    </pic:cNvPicPr>
                  </pic:nvPicPr>
                  <pic:blipFill>
                    <a:blip r:embed="rId19" cstate="print"/>
                    <a:stretch>
                      <a:fillRect/>
                    </a:stretch>
                  </pic:blipFill>
                  <pic:spPr>
                    <a:xfrm>
                      <a:off x="0" y="0"/>
                      <a:ext cx="5270500" cy="355092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2-4东兴路后面明渠位置图</w:t>
      </w:r>
    </w:p>
    <w:p>
      <w:pPr>
        <w:rPr>
          <w:color w:val="auto"/>
          <w:highlight w:val="none"/>
        </w:rPr>
      </w:pPr>
      <w:r>
        <w:rPr>
          <w:rFonts w:hint="eastAsia"/>
          <w:color w:val="auto"/>
          <w:highlight w:val="none"/>
        </w:rPr>
        <w:drawing>
          <wp:inline distT="0" distB="0" distL="114300" distR="114300">
            <wp:extent cx="5272405" cy="3093720"/>
            <wp:effectExtent l="0" t="0" r="4445" b="11430"/>
            <wp:docPr id="15" name="图片 15" descr="东元路箱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东元路箱涵"/>
                    <pic:cNvPicPr>
                      <a:picLocks noChangeAspect="1"/>
                    </pic:cNvPicPr>
                  </pic:nvPicPr>
                  <pic:blipFill>
                    <a:blip r:embed="rId20" cstate="print"/>
                    <a:stretch>
                      <a:fillRect/>
                    </a:stretch>
                  </pic:blipFill>
                  <pic:spPr>
                    <a:xfrm>
                      <a:off x="0" y="0"/>
                      <a:ext cx="5272405" cy="309372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2-5东元路箱涵位置图</w:t>
      </w:r>
    </w:p>
    <w:p>
      <w:pPr>
        <w:rPr>
          <w:color w:val="auto"/>
          <w:highlight w:val="none"/>
        </w:rPr>
      </w:pPr>
      <w:r>
        <w:rPr>
          <w:rFonts w:hint="eastAsia"/>
          <w:color w:val="auto"/>
          <w:highlight w:val="none"/>
        </w:rPr>
        <w:drawing>
          <wp:inline distT="0" distB="0" distL="114300" distR="114300">
            <wp:extent cx="5273040" cy="4983480"/>
            <wp:effectExtent l="0" t="0" r="3810" b="7620"/>
            <wp:docPr id="16" name="图片 16" descr="沥唇河西路管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沥唇河西路管道"/>
                    <pic:cNvPicPr>
                      <a:picLocks noChangeAspect="1"/>
                    </pic:cNvPicPr>
                  </pic:nvPicPr>
                  <pic:blipFill>
                    <a:blip r:embed="rId21" cstate="print"/>
                    <a:stretch>
                      <a:fillRect/>
                    </a:stretch>
                  </pic:blipFill>
                  <pic:spPr>
                    <a:xfrm>
                      <a:off x="0" y="0"/>
                      <a:ext cx="5273040" cy="498348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2-6沥唇河西路管道位置图</w:t>
      </w:r>
    </w:p>
    <w:p>
      <w:pPr>
        <w:rPr>
          <w:color w:val="auto"/>
          <w:highlight w:val="none"/>
        </w:rPr>
      </w:pPr>
      <w:r>
        <w:rPr>
          <w:rFonts w:hint="eastAsia"/>
          <w:color w:val="auto"/>
          <w:highlight w:val="none"/>
        </w:rPr>
        <w:drawing>
          <wp:inline distT="0" distB="0" distL="114300" distR="114300">
            <wp:extent cx="5273675" cy="4958080"/>
            <wp:effectExtent l="0" t="0" r="3175" b="13970"/>
            <wp:docPr id="17" name="图片 17" descr="振兴三街至新桥泵站箱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振兴三街至新桥泵站箱涵"/>
                    <pic:cNvPicPr>
                      <a:picLocks noChangeAspect="1"/>
                    </pic:cNvPicPr>
                  </pic:nvPicPr>
                  <pic:blipFill>
                    <a:blip r:embed="rId22" cstate="print"/>
                    <a:stretch>
                      <a:fillRect/>
                    </a:stretch>
                  </pic:blipFill>
                  <pic:spPr>
                    <a:xfrm>
                      <a:off x="0" y="0"/>
                      <a:ext cx="5273675" cy="4958080"/>
                    </a:xfrm>
                    <a:prstGeom prst="rect">
                      <a:avLst/>
                    </a:prstGeom>
                  </pic:spPr>
                </pic:pic>
              </a:graphicData>
            </a:graphic>
          </wp:inline>
        </w:drawing>
      </w:r>
    </w:p>
    <w:p>
      <w:pPr>
        <w:ind w:firstLine="420" w:firstLineChars="200"/>
        <w:jc w:val="center"/>
        <w:rPr>
          <w:color w:val="auto"/>
          <w:highlight w:val="none"/>
        </w:rPr>
      </w:pPr>
      <w:r>
        <w:rPr>
          <w:rFonts w:hint="eastAsia"/>
          <w:color w:val="auto"/>
          <w:highlight w:val="none"/>
        </w:rPr>
        <w:t>2-7振兴三街至新桥泵站箱涵位置图</w:t>
      </w:r>
    </w:p>
    <w:p>
      <w:pPr>
        <w:rPr>
          <w:color w:val="auto"/>
          <w:highlight w:val="none"/>
        </w:rPr>
      </w:pPr>
    </w:p>
    <w:p>
      <w:pPr>
        <w:rPr>
          <w:color w:val="auto"/>
          <w:highlight w:val="none"/>
        </w:rPr>
      </w:pPr>
    </w:p>
    <w:p>
      <w:pPr>
        <w:rPr>
          <w:color w:val="auto"/>
          <w:highlight w:val="none"/>
        </w:rPr>
      </w:pPr>
    </w:p>
    <w:p>
      <w:pPr>
        <w:widowControl w:val="0"/>
        <w:adjustRightInd/>
        <w:snapToGrid/>
        <w:jc w:val="both"/>
        <w:rPr>
          <w:rFonts w:ascii="宋体" w:hAnsi="宋体" w:cs="宋体"/>
          <w:b/>
          <w:bCs/>
          <w:color w:val="auto"/>
          <w:kern w:val="2"/>
          <w:szCs w:val="21"/>
          <w:highlight w:val="none"/>
        </w:rPr>
      </w:pPr>
    </w:p>
    <w:bookmarkEnd w:id="6"/>
    <w:bookmarkEnd w:id="7"/>
    <w:bookmarkEnd w:id="8"/>
    <w:bookmarkEnd w:id="9"/>
    <w:p>
      <w:pPr>
        <w:pStyle w:val="4"/>
        <w:spacing w:before="0" w:after="0" w:line="240" w:lineRule="auto"/>
        <w:rPr>
          <w:color w:val="auto"/>
          <w:sz w:val="24"/>
          <w:szCs w:val="24"/>
          <w:highlight w:val="none"/>
        </w:rPr>
      </w:pPr>
      <w:r>
        <w:rPr>
          <w:rFonts w:hint="eastAsia"/>
          <w:color w:val="auto"/>
          <w:sz w:val="24"/>
          <w:szCs w:val="24"/>
          <w:highlight w:val="none"/>
        </w:rPr>
        <w:br w:type="page"/>
      </w:r>
      <w:bookmarkStart w:id="12" w:name="_Toc2479"/>
      <w:r>
        <w:rPr>
          <w:rFonts w:hint="eastAsia"/>
          <w:color w:val="auto"/>
          <w:sz w:val="28"/>
          <w:szCs w:val="28"/>
          <w:highlight w:val="none"/>
        </w:rPr>
        <w:t>第四部分 投标人须知</w:t>
      </w:r>
      <w:bookmarkEnd w:id="12"/>
    </w:p>
    <w:p>
      <w:pPr>
        <w:pStyle w:val="5"/>
        <w:numPr>
          <w:ilvl w:val="0"/>
          <w:numId w:val="2"/>
        </w:numPr>
        <w:spacing w:line="480" w:lineRule="auto"/>
        <w:rPr>
          <w:rFonts w:ascii="宋体" w:hAnsi="宋体"/>
          <w:color w:val="auto"/>
          <w:highlight w:val="none"/>
        </w:rPr>
      </w:pPr>
      <w:bookmarkStart w:id="13" w:name="_Toc19746"/>
      <w:r>
        <w:rPr>
          <w:rFonts w:hint="eastAsia" w:ascii="宋体" w:hAnsi="宋体"/>
          <w:color w:val="auto"/>
          <w:highlight w:val="none"/>
        </w:rPr>
        <w:t>说明</w:t>
      </w:r>
      <w:bookmarkEnd w:id="13"/>
    </w:p>
    <w:p>
      <w:pPr>
        <w:pStyle w:val="6"/>
        <w:widowControl w:val="0"/>
        <w:overflowPunct w:val="0"/>
        <w:spacing w:before="0" w:after="0" w:line="240" w:lineRule="auto"/>
        <w:rPr>
          <w:rFonts w:ascii="宋体" w:hAnsi="宋体" w:eastAsia="宋体"/>
          <w:color w:val="auto"/>
          <w:sz w:val="21"/>
          <w:szCs w:val="21"/>
          <w:highlight w:val="none"/>
        </w:rPr>
      </w:pPr>
      <w:bookmarkStart w:id="14" w:name="_Toc18488"/>
      <w:r>
        <w:rPr>
          <w:rFonts w:hint="eastAsia" w:ascii="宋体" w:hAnsi="宋体" w:eastAsia="宋体"/>
          <w:color w:val="auto"/>
          <w:sz w:val="21"/>
          <w:szCs w:val="21"/>
          <w:highlight w:val="none"/>
        </w:rPr>
        <w:t>1.适用范围</w:t>
      </w:r>
      <w:bookmarkEnd w:id="14"/>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15" w:name="_Toc13400"/>
      <w:r>
        <w:rPr>
          <w:rFonts w:hint="eastAsia" w:ascii="宋体" w:hAnsi="宋体" w:eastAsia="宋体"/>
          <w:color w:val="auto"/>
          <w:sz w:val="21"/>
          <w:szCs w:val="21"/>
          <w:highlight w:val="none"/>
        </w:rPr>
        <w:t>2.</w:t>
      </w:r>
      <w:bookmarkStart w:id="16" w:name="_Toc303084246"/>
      <w:bookmarkStart w:id="17" w:name="_Toc1530"/>
      <w:bookmarkStart w:id="18" w:name="_Toc382049092"/>
      <w:bookmarkStart w:id="19" w:name="_Toc298847174"/>
      <w:r>
        <w:rPr>
          <w:rFonts w:hint="eastAsia" w:ascii="宋体" w:hAnsi="宋体" w:eastAsia="宋体"/>
          <w:color w:val="auto"/>
          <w:sz w:val="21"/>
          <w:szCs w:val="21"/>
          <w:highlight w:val="none"/>
        </w:rPr>
        <w:t>定义</w:t>
      </w:r>
      <w:bookmarkEnd w:id="15"/>
      <w:bookmarkEnd w:id="16"/>
      <w:bookmarkEnd w:id="17"/>
      <w:bookmarkEnd w:id="18"/>
      <w:bookmarkEnd w:id="19"/>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0" w:name="_Toc3780"/>
      <w:r>
        <w:rPr>
          <w:rFonts w:hint="eastAsia" w:ascii="宋体" w:hAnsi="宋体" w:eastAsia="宋体"/>
          <w:color w:val="auto"/>
          <w:sz w:val="21"/>
          <w:szCs w:val="21"/>
          <w:highlight w:val="none"/>
        </w:rPr>
        <w:t>3.货物和服务</w:t>
      </w:r>
      <w:bookmarkEnd w:id="20"/>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1" w:name="_Toc15945"/>
      <w:r>
        <w:rPr>
          <w:rFonts w:hint="eastAsia" w:ascii="宋体" w:hAnsi="宋体" w:eastAsia="宋体"/>
          <w:color w:val="auto"/>
          <w:sz w:val="21"/>
          <w:szCs w:val="21"/>
          <w:highlight w:val="none"/>
        </w:rPr>
        <w:t>4.投标费用</w:t>
      </w:r>
      <w:bookmarkEnd w:id="21"/>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2" w:name="_Toc25040"/>
      <w:r>
        <w:rPr>
          <w:rFonts w:hint="eastAsia" w:ascii="宋体" w:hAnsi="宋体" w:eastAsia="宋体"/>
          <w:color w:val="auto"/>
          <w:sz w:val="21"/>
          <w:szCs w:val="21"/>
          <w:highlight w:val="none"/>
        </w:rPr>
        <w:t>5.知识产权</w:t>
      </w:r>
      <w:bookmarkEnd w:id="22"/>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3" w:name="_Toc21930"/>
      <w:r>
        <w:rPr>
          <w:rFonts w:hint="eastAsia" w:ascii="宋体" w:hAnsi="宋体" w:eastAsia="宋体"/>
          <w:color w:val="auto"/>
          <w:sz w:val="21"/>
          <w:szCs w:val="21"/>
          <w:highlight w:val="none"/>
        </w:rPr>
        <w:t>6.关于联合体投标</w:t>
      </w:r>
      <w:bookmarkEnd w:id="23"/>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4" w:name="_Toc16571"/>
      <w:r>
        <w:rPr>
          <w:rFonts w:hint="eastAsia" w:ascii="宋体" w:hAnsi="宋体" w:eastAsia="宋体"/>
          <w:color w:val="auto"/>
          <w:sz w:val="21"/>
          <w:szCs w:val="21"/>
          <w:highlight w:val="none"/>
        </w:rPr>
        <w:t>7.关于分支机构投标</w:t>
      </w:r>
      <w:bookmarkEnd w:id="24"/>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25"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w:t>
      </w:r>
      <w:r>
        <w:rPr>
          <w:rFonts w:ascii="宋体" w:hAnsi="宋体"/>
          <w:color w:val="auto"/>
          <w:szCs w:val="21"/>
          <w:highlight w:val="none"/>
        </w:rPr>
        <w:t>投标的项目，</w:t>
      </w:r>
      <w:r>
        <w:rPr>
          <w:rFonts w:hint="eastAsia" w:ascii="宋体" w:hAnsi="宋体"/>
          <w:color w:val="auto"/>
          <w:szCs w:val="21"/>
          <w:highlight w:val="none"/>
        </w:rPr>
        <w:t>分支机构</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25"/>
    </w:p>
    <w:p>
      <w:pPr>
        <w:rPr>
          <w:color w:val="auto"/>
          <w:highlight w:val="none"/>
        </w:rPr>
      </w:pPr>
    </w:p>
    <w:p>
      <w:pPr>
        <w:pStyle w:val="5"/>
        <w:numPr>
          <w:ilvl w:val="0"/>
          <w:numId w:val="2"/>
        </w:numPr>
        <w:spacing w:line="480" w:lineRule="auto"/>
        <w:rPr>
          <w:rFonts w:ascii="宋体" w:hAnsi="宋体"/>
          <w:color w:val="auto"/>
          <w:highlight w:val="none"/>
        </w:rPr>
      </w:pPr>
      <w:bookmarkStart w:id="26" w:name="_Toc17879"/>
      <w:r>
        <w:rPr>
          <w:rFonts w:hint="eastAsia" w:ascii="宋体" w:hAnsi="宋体"/>
          <w:color w:val="auto"/>
          <w:highlight w:val="none"/>
        </w:rPr>
        <w:t>招标文件</w:t>
      </w:r>
      <w:bookmarkEnd w:id="26"/>
    </w:p>
    <w:p>
      <w:pPr>
        <w:pStyle w:val="6"/>
        <w:widowControl w:val="0"/>
        <w:overflowPunct w:val="0"/>
        <w:spacing w:before="0" w:after="0" w:line="240" w:lineRule="auto"/>
        <w:rPr>
          <w:rFonts w:ascii="宋体" w:hAnsi="宋体" w:eastAsia="宋体"/>
          <w:color w:val="auto"/>
          <w:sz w:val="21"/>
          <w:szCs w:val="21"/>
          <w:highlight w:val="none"/>
        </w:rPr>
      </w:pPr>
      <w:bookmarkStart w:id="27" w:name="_Toc21771"/>
      <w:r>
        <w:rPr>
          <w:rFonts w:hint="eastAsia" w:ascii="宋体" w:hAnsi="宋体" w:eastAsia="宋体"/>
          <w:color w:val="auto"/>
          <w:sz w:val="21"/>
          <w:szCs w:val="21"/>
          <w:highlight w:val="none"/>
        </w:rPr>
        <w:t>8.招标文件的组成</w:t>
      </w:r>
      <w:bookmarkEnd w:id="27"/>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（3）用户需求书；</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（4）投标人须知；</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8" w:name="_Toc14217"/>
      <w:r>
        <w:rPr>
          <w:rFonts w:hint="eastAsia" w:ascii="宋体" w:hAnsi="宋体" w:eastAsia="宋体"/>
          <w:color w:val="auto"/>
          <w:sz w:val="21"/>
          <w:szCs w:val="21"/>
          <w:highlight w:val="none"/>
        </w:rPr>
        <w:t>9.招标文件的澄清或修改</w:t>
      </w:r>
      <w:bookmarkEnd w:id="28"/>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numPr>
          <w:ilvl w:val="0"/>
          <w:numId w:val="2"/>
        </w:numPr>
        <w:spacing w:line="480" w:lineRule="auto"/>
        <w:rPr>
          <w:rFonts w:ascii="宋体" w:hAnsi="宋体"/>
          <w:color w:val="auto"/>
          <w:highlight w:val="none"/>
        </w:rPr>
      </w:pPr>
      <w:bookmarkStart w:id="29" w:name="_Toc23726"/>
      <w:r>
        <w:rPr>
          <w:rFonts w:hint="eastAsia" w:ascii="宋体" w:hAnsi="宋体"/>
          <w:color w:val="auto"/>
          <w:highlight w:val="none"/>
        </w:rPr>
        <w:t>投标文件的编制</w:t>
      </w:r>
      <w:bookmarkEnd w:id="29"/>
    </w:p>
    <w:p>
      <w:pPr>
        <w:pStyle w:val="6"/>
        <w:widowControl w:val="0"/>
        <w:overflowPunct w:val="0"/>
        <w:spacing w:before="0" w:after="0" w:line="240" w:lineRule="auto"/>
        <w:rPr>
          <w:rFonts w:ascii="宋体" w:hAnsi="宋体" w:eastAsia="宋体"/>
          <w:color w:val="auto"/>
          <w:sz w:val="21"/>
          <w:szCs w:val="21"/>
          <w:highlight w:val="none"/>
        </w:rPr>
      </w:pPr>
      <w:bookmarkStart w:id="30" w:name="_Toc20623"/>
      <w:r>
        <w:rPr>
          <w:rFonts w:hint="eastAsia" w:ascii="宋体" w:hAnsi="宋体" w:eastAsia="宋体"/>
          <w:color w:val="auto"/>
          <w:sz w:val="21"/>
          <w:szCs w:val="21"/>
          <w:highlight w:val="none"/>
        </w:rPr>
        <w:t>10.投标文件的语言及度量衡单位</w:t>
      </w:r>
      <w:bookmarkEnd w:id="30"/>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1" w:name="_Toc12145"/>
      <w:bookmarkStart w:id="32" w:name="_Toc303084256"/>
      <w:bookmarkStart w:id="33" w:name="_Toc382049103"/>
      <w:bookmarkStart w:id="34" w:name="_Toc307934854"/>
      <w:bookmarkStart w:id="35" w:name="_Toc28866"/>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31"/>
      <w:bookmarkEnd w:id="32"/>
      <w:bookmarkEnd w:id="33"/>
      <w:bookmarkEnd w:id="34"/>
      <w:bookmarkEnd w:id="35"/>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spacing w:line="360" w:lineRule="exact"/>
        <w:jc w:val="both"/>
        <w:rPr>
          <w:color w:val="auto"/>
          <w:highlight w:val="none"/>
        </w:rPr>
      </w:pPr>
      <w:r>
        <w:rPr>
          <w:rFonts w:hint="eastAsia" w:ascii="宋体" w:hAnsi="宋体"/>
          <w:color w:val="auto"/>
          <w:szCs w:val="21"/>
          <w:highlight w:val="none"/>
        </w:rPr>
        <w:t>上述文件须按顺序装订成册，并编制投标文件目录。除上述文件资料外投标人还须按投标人须知的要求制作“开标文件”。“开标文件”作为投标文件的一部分，但须单独密封。</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6" w:name="_Toc30189"/>
      <w:r>
        <w:rPr>
          <w:rFonts w:hint="eastAsia" w:ascii="宋体" w:hAnsi="宋体" w:eastAsia="宋体"/>
          <w:color w:val="auto"/>
          <w:sz w:val="21"/>
          <w:szCs w:val="21"/>
          <w:highlight w:val="none"/>
        </w:rPr>
        <w:t>12.投标文件编制</w:t>
      </w:r>
      <w:bookmarkEnd w:id="36"/>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37" w:name="_Toc303084258"/>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投标文件若出现以下内容，经评标委员会认定有可能间接影响评审秩序，其投标无效：</w:t>
      </w:r>
    </w:p>
    <w:p>
      <w:pPr>
        <w:pStyle w:val="29"/>
        <w:widowControl w:val="0"/>
        <w:adjustRightInd/>
        <w:snapToGrid/>
        <w:spacing w:line="360" w:lineRule="exact"/>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29"/>
        <w:widowControl w:val="0"/>
        <w:adjustRightInd/>
        <w:snapToGrid/>
        <w:spacing w:line="360" w:lineRule="exact"/>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37"/>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8" w:name="_Toc259"/>
      <w:r>
        <w:rPr>
          <w:rFonts w:hint="eastAsia" w:ascii="宋体" w:hAnsi="宋体" w:eastAsia="宋体"/>
          <w:color w:val="auto"/>
          <w:sz w:val="21"/>
          <w:szCs w:val="21"/>
          <w:highlight w:val="none"/>
        </w:rPr>
        <w:t>13.投标报价说明</w:t>
      </w:r>
      <w:bookmarkEnd w:id="38"/>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9" w:name="_Toc27724"/>
      <w:r>
        <w:rPr>
          <w:rFonts w:hint="eastAsia" w:ascii="宋体" w:hAnsi="宋体" w:eastAsia="宋体"/>
          <w:color w:val="auto"/>
          <w:sz w:val="21"/>
          <w:szCs w:val="21"/>
          <w:highlight w:val="none"/>
        </w:rPr>
        <w:t>14.投标人所提供的服务或货物的证明文件</w:t>
      </w:r>
      <w:bookmarkEnd w:id="39"/>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bookmarkStart w:id="40" w:name="_Hlt107925668"/>
      <w:bookmarkEnd w:id="40"/>
      <w:bookmarkStart w:id="41" w:name="_Hlt107925638"/>
      <w:bookmarkEnd w:id="41"/>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29"/>
        <w:widowControl w:val="0"/>
        <w:adjustRightInd/>
        <w:snapToGrid/>
        <w:spacing w:line="360" w:lineRule="exact"/>
        <w:ind w:left="425" w:firstLine="0" w:firstLineChars="0"/>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2" w:name="_Toc19520"/>
      <w:r>
        <w:rPr>
          <w:rFonts w:hint="eastAsia" w:ascii="宋体" w:hAnsi="宋体" w:eastAsia="宋体"/>
          <w:color w:val="auto"/>
          <w:sz w:val="21"/>
          <w:szCs w:val="21"/>
          <w:highlight w:val="none"/>
        </w:rPr>
        <w:t>15.★投标有效期</w:t>
      </w:r>
      <w:bookmarkEnd w:id="42"/>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spacing w:line="360" w:lineRule="exact"/>
        <w:ind w:left="567"/>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12456"/>
      <w:r>
        <w:rPr>
          <w:rFonts w:hint="eastAsia" w:ascii="宋体" w:hAnsi="宋体" w:eastAsia="宋体"/>
          <w:color w:val="auto"/>
          <w:sz w:val="21"/>
          <w:szCs w:val="21"/>
          <w:highlight w:val="none"/>
        </w:rPr>
        <w:t>16.★投标保证金</w:t>
      </w:r>
      <w:bookmarkEnd w:id="43"/>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44" w:name="_Ref179619405"/>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44"/>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保证金不接受现金方式（包括以存现方式）提交，未按要求提交投标保证金的将导致废标。</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未中标的投标人的保证金在采购结果公示发出后5个工作日内退还，中标投标人的保证金在采购合同签订后5个工作日内退还。</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为方便退还未中标的投保人的保证金，投标人应制作《投标保证金汇入情况说明》随开标文件一并递交。</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numPr>
          <w:ilvl w:val="0"/>
          <w:numId w:val="2"/>
        </w:numPr>
        <w:spacing w:line="480" w:lineRule="auto"/>
        <w:rPr>
          <w:rFonts w:ascii="宋体" w:hAnsi="宋体"/>
          <w:color w:val="auto"/>
          <w:highlight w:val="none"/>
        </w:rPr>
      </w:pPr>
      <w:bookmarkStart w:id="45" w:name="_Toc31124"/>
      <w:r>
        <w:rPr>
          <w:rFonts w:hint="eastAsia" w:ascii="宋体" w:hAnsi="宋体"/>
          <w:color w:val="auto"/>
          <w:highlight w:val="none"/>
        </w:rPr>
        <w:t>投标文件的递交</w:t>
      </w:r>
      <w:bookmarkEnd w:id="45"/>
    </w:p>
    <w:p>
      <w:pPr>
        <w:pStyle w:val="6"/>
        <w:widowControl w:val="0"/>
        <w:overflowPunct w:val="0"/>
        <w:spacing w:before="0" w:after="0" w:line="240" w:lineRule="auto"/>
        <w:rPr>
          <w:rFonts w:ascii="宋体" w:hAnsi="宋体" w:eastAsia="宋体"/>
          <w:color w:val="auto"/>
          <w:sz w:val="21"/>
          <w:szCs w:val="21"/>
          <w:highlight w:val="none"/>
        </w:rPr>
      </w:pPr>
      <w:bookmarkStart w:id="46" w:name="_Toc24997"/>
      <w:bookmarkStart w:id="47" w:name="_Toc303084264"/>
      <w:bookmarkStart w:id="48" w:name="_Toc382049111"/>
      <w:bookmarkStart w:id="49" w:name="_Toc29590"/>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46"/>
      <w:bookmarkEnd w:id="47"/>
      <w:bookmarkEnd w:id="48"/>
      <w:bookmarkEnd w:id="49"/>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spacing w:line="360" w:lineRule="exact"/>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spacing w:line="360" w:lineRule="exact"/>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spacing w:line="360" w:lineRule="exact"/>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为方便开标唱标，投标人应将开标一览表和授权委托书单独密封提交，并在信封上标明“开标文件”字样。开标文件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开标文件”份数及签章等要求与投标文件正本相同（1份）。</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0" w:name="_Toc8628"/>
      <w:r>
        <w:rPr>
          <w:rFonts w:hint="eastAsia" w:ascii="宋体" w:hAnsi="宋体" w:eastAsia="宋体"/>
          <w:color w:val="auto"/>
          <w:sz w:val="21"/>
          <w:szCs w:val="21"/>
          <w:highlight w:val="none"/>
        </w:rPr>
        <w:t>18.迟交的投标文件</w:t>
      </w:r>
      <w:bookmarkEnd w:id="50"/>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1" w:name="_Toc13212"/>
      <w:r>
        <w:rPr>
          <w:rFonts w:hint="eastAsia" w:ascii="宋体" w:hAnsi="宋体" w:eastAsia="宋体"/>
          <w:color w:val="auto"/>
          <w:sz w:val="21"/>
          <w:szCs w:val="21"/>
          <w:highlight w:val="none"/>
        </w:rPr>
        <w:t>19.投标样品（如需提交）</w:t>
      </w:r>
      <w:bookmarkEnd w:id="51"/>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2" w:name="_Toc5900"/>
      <w:bookmarkStart w:id="53" w:name="_Toc303084265"/>
      <w:bookmarkStart w:id="54" w:name="_Toc382049112"/>
      <w:bookmarkStart w:id="55" w:name="_Toc9777"/>
      <w:r>
        <w:rPr>
          <w:rFonts w:hint="eastAsia" w:ascii="宋体" w:hAnsi="宋体" w:eastAsia="宋体"/>
          <w:color w:val="auto"/>
          <w:sz w:val="21"/>
          <w:szCs w:val="21"/>
          <w:highlight w:val="none"/>
        </w:rPr>
        <w:t>20.投标截止期</w:t>
      </w:r>
      <w:bookmarkEnd w:id="52"/>
      <w:bookmarkEnd w:id="53"/>
      <w:bookmarkEnd w:id="54"/>
      <w:bookmarkEnd w:id="55"/>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6" w:name="_Toc6003"/>
      <w:r>
        <w:rPr>
          <w:rFonts w:hint="eastAsia" w:ascii="宋体" w:hAnsi="宋体" w:eastAsia="宋体"/>
          <w:color w:val="auto"/>
          <w:sz w:val="21"/>
          <w:szCs w:val="21"/>
          <w:highlight w:val="none"/>
        </w:rPr>
        <w:t>21.投标文件的补充、修改与撤回</w:t>
      </w:r>
      <w:bookmarkEnd w:id="56"/>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numPr>
          <w:ilvl w:val="0"/>
          <w:numId w:val="2"/>
        </w:numPr>
        <w:spacing w:line="480" w:lineRule="auto"/>
        <w:rPr>
          <w:rFonts w:ascii="宋体" w:hAnsi="宋体"/>
          <w:color w:val="auto"/>
          <w:highlight w:val="none"/>
        </w:rPr>
      </w:pPr>
      <w:bookmarkStart w:id="57" w:name="_Toc29574"/>
      <w:r>
        <w:rPr>
          <w:rFonts w:hint="eastAsia" w:ascii="宋体" w:hAnsi="宋体"/>
          <w:color w:val="auto"/>
          <w:highlight w:val="none"/>
        </w:rPr>
        <w:t>开标与评标</w:t>
      </w:r>
      <w:bookmarkEnd w:id="57"/>
    </w:p>
    <w:p>
      <w:pPr>
        <w:pStyle w:val="6"/>
        <w:widowControl w:val="0"/>
        <w:overflowPunct w:val="0"/>
        <w:spacing w:before="0" w:after="0" w:line="240" w:lineRule="auto"/>
        <w:rPr>
          <w:rFonts w:ascii="宋体" w:hAnsi="宋体" w:eastAsia="宋体"/>
          <w:color w:val="auto"/>
          <w:sz w:val="21"/>
          <w:szCs w:val="21"/>
          <w:highlight w:val="none"/>
        </w:rPr>
      </w:pPr>
      <w:bookmarkStart w:id="58" w:name="_Toc28458"/>
      <w:r>
        <w:rPr>
          <w:rFonts w:hint="eastAsia" w:ascii="宋体" w:hAnsi="宋体" w:eastAsia="宋体"/>
          <w:color w:val="auto"/>
          <w:sz w:val="21"/>
          <w:szCs w:val="21"/>
          <w:highlight w:val="none"/>
        </w:rPr>
        <w:t>22.开标</w:t>
      </w:r>
      <w:bookmarkEnd w:id="58"/>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spacing w:line="360" w:lineRule="exact"/>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spacing w:line="360" w:lineRule="exact"/>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合格投标人不足3家的，不得开标；</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spacing w:line="360" w:lineRule="exact"/>
        <w:ind w:left="567"/>
        <w:jc w:val="both"/>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59" w:name="_Toc5524"/>
      <w:r>
        <w:rPr>
          <w:rFonts w:hint="eastAsia" w:ascii="宋体" w:hAnsi="宋体" w:eastAsia="宋体"/>
          <w:color w:val="auto"/>
          <w:sz w:val="21"/>
          <w:szCs w:val="21"/>
          <w:highlight w:val="none"/>
        </w:rPr>
        <w:t>23.评标委员会及评标方法</w:t>
      </w:r>
      <w:bookmarkEnd w:id="59"/>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评审方法：本次招标的评审方法采用最低评标价法。</w:t>
      </w:r>
    </w:p>
    <w:p>
      <w:pPr>
        <w:widowControl w:val="0"/>
        <w:numPr>
          <w:ilvl w:val="2"/>
          <w:numId w:val="3"/>
        </w:numPr>
        <w:tabs>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通过资格性检查和符合性审查且报价不超过预算控制金额并同时具备以下条件的投标人应当确定为中标候选供应商或中标供应商：</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（一）满足招标文件实质性要求；</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（二）投标的价格最低。</w:t>
      </w:r>
    </w:p>
    <w:p>
      <w:pPr>
        <w:widowControl w:val="0"/>
        <w:numPr>
          <w:ilvl w:val="2"/>
          <w:numId w:val="3"/>
        </w:numPr>
        <w:tabs>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按投标报价由低到高顺序排列。投标报价相同的，按技术指标优劣顺序排列。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评审流程包括符合性检查、澄清问题、推荐中标候选人或确定中标人、编写评标报告等步骤。</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0" w:name="_Toc15231"/>
      <w:r>
        <w:rPr>
          <w:rFonts w:hint="eastAsia" w:ascii="宋体" w:hAnsi="宋体" w:eastAsia="宋体"/>
          <w:color w:val="auto"/>
          <w:sz w:val="21"/>
          <w:szCs w:val="21"/>
          <w:highlight w:val="none"/>
        </w:rPr>
        <w:t>24.评审原则及评标过程的保密</w:t>
      </w:r>
      <w:bookmarkEnd w:id="60"/>
    </w:p>
    <w:p>
      <w:pPr>
        <w:pStyle w:val="29"/>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lang w:val="en-US" w:eastAsia="zh-CN"/>
        </w:rPr>
        <w:t>招标</w:t>
      </w:r>
      <w:r>
        <w:rPr>
          <w:rFonts w:hint="eastAsia" w:ascii="宋体" w:hAnsi="宋体"/>
          <w:color w:val="auto"/>
          <w:szCs w:val="21"/>
          <w:highlight w:val="none"/>
        </w:rPr>
        <w:t>文件中要求</w:t>
      </w:r>
      <w:r>
        <w:rPr>
          <w:rFonts w:hint="eastAsia" w:ascii="宋体" w:hAnsi="宋体"/>
          <w:color w:val="auto"/>
          <w:szCs w:val="21"/>
          <w:highlight w:val="none"/>
          <w:lang w:val="en-US" w:eastAsia="zh-CN"/>
        </w:rPr>
        <w:t>投标人</w:t>
      </w:r>
      <w:r>
        <w:rPr>
          <w:rFonts w:hint="eastAsia" w:ascii="宋体" w:hAnsi="宋体"/>
          <w:color w:val="auto"/>
          <w:szCs w:val="21"/>
          <w:highlight w:val="none"/>
        </w:rPr>
        <w:t>提供的相关资质证书证明材料因国家政策变动导致新旧证书名称不一致</w:t>
      </w:r>
      <w:r>
        <w:rPr>
          <w:rFonts w:hint="eastAsia" w:ascii="宋体" w:hAnsi="宋体"/>
          <w:color w:val="auto"/>
          <w:szCs w:val="21"/>
          <w:highlight w:val="none"/>
          <w:lang w:val="en-US" w:eastAsia="zh-CN"/>
        </w:rPr>
        <w:t>的</w:t>
      </w:r>
      <w:r>
        <w:rPr>
          <w:rFonts w:hint="eastAsia" w:ascii="宋体" w:hAnsi="宋体"/>
          <w:color w:val="auto"/>
          <w:szCs w:val="21"/>
          <w:highlight w:val="none"/>
        </w:rPr>
        <w:t>，</w:t>
      </w:r>
      <w:r>
        <w:rPr>
          <w:rFonts w:hint="eastAsia" w:ascii="宋体" w:hAnsi="宋体"/>
          <w:color w:val="auto"/>
          <w:szCs w:val="21"/>
          <w:highlight w:val="none"/>
          <w:lang w:val="en-US" w:eastAsia="zh-CN"/>
        </w:rPr>
        <w:t>投标人</w:t>
      </w:r>
      <w:r>
        <w:rPr>
          <w:rFonts w:hint="eastAsia" w:ascii="宋体" w:hAnsi="宋体"/>
          <w:color w:val="auto"/>
          <w:szCs w:val="21"/>
          <w:highlight w:val="none"/>
        </w:rPr>
        <w:t>提供新证书</w:t>
      </w:r>
      <w:r>
        <w:rPr>
          <w:rFonts w:hint="eastAsia" w:ascii="宋体" w:hAnsi="宋体"/>
          <w:color w:val="auto"/>
          <w:szCs w:val="21"/>
          <w:highlight w:val="none"/>
          <w:lang w:val="en-US" w:eastAsia="zh-CN"/>
        </w:rPr>
        <w:t>或</w:t>
      </w:r>
      <w:r>
        <w:rPr>
          <w:rFonts w:hint="eastAsia" w:ascii="宋体" w:hAnsi="宋体"/>
          <w:color w:val="auto"/>
          <w:szCs w:val="21"/>
          <w:highlight w:val="none"/>
        </w:rPr>
        <w:t>提供在有效期内的旧证书</w:t>
      </w:r>
      <w:r>
        <w:rPr>
          <w:rFonts w:hint="eastAsia" w:ascii="宋体" w:hAnsi="宋体"/>
          <w:color w:val="auto"/>
          <w:szCs w:val="21"/>
          <w:highlight w:val="none"/>
          <w:lang w:val="en-US" w:eastAsia="zh-CN"/>
        </w:rPr>
        <w:t>经评审委员会认定后，均具有同等效力，</w:t>
      </w:r>
      <w:r>
        <w:rPr>
          <w:rFonts w:hint="eastAsia" w:ascii="宋体" w:hAnsi="宋体"/>
          <w:color w:val="auto"/>
          <w:szCs w:val="21"/>
          <w:highlight w:val="none"/>
        </w:rPr>
        <w:t>给予同等认可。</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1" w:name="_Toc3762"/>
      <w:r>
        <w:rPr>
          <w:rFonts w:hint="eastAsia" w:ascii="宋体" w:hAnsi="宋体" w:eastAsia="宋体"/>
          <w:color w:val="auto"/>
          <w:sz w:val="21"/>
          <w:szCs w:val="21"/>
          <w:highlight w:val="none"/>
        </w:rPr>
        <w:t>25.投标文件的初审</w:t>
      </w:r>
      <w:bookmarkEnd w:id="61"/>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将一个包中的内容拆开投标的；⑥投标人对同一货物或服务投标时，投标方案不唯一；⑦明显不符合技术规格、技术标准要求的；⑧其他未实质性响应招标文件技术要求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spacing w:line="360" w:lineRule="exact"/>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spacing w:line="360" w:lineRule="exact"/>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2" w:name="_Toc21742"/>
      <w:r>
        <w:rPr>
          <w:rFonts w:hint="eastAsia" w:ascii="宋体" w:hAnsi="宋体" w:eastAsia="宋体"/>
          <w:color w:val="auto"/>
          <w:sz w:val="21"/>
          <w:szCs w:val="21"/>
          <w:highlight w:val="none"/>
        </w:rPr>
        <w:t>26.商务、技术、价格评审（本条款不适用于本项目）</w:t>
      </w:r>
      <w:bookmarkEnd w:id="62"/>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投标文件中开标一览表（报价表）内容与投标文件中相应内容不一致的，以开标一览表（报价表）为准；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单价金额小数点或者百分比有明显错位的，以开标一览表的总价为准，并修改单价；</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3" w:name="_Toc22192"/>
      <w:r>
        <w:rPr>
          <w:rFonts w:hint="eastAsia" w:ascii="宋体" w:hAnsi="宋体" w:eastAsia="宋体"/>
          <w:color w:val="auto"/>
          <w:sz w:val="21"/>
          <w:szCs w:val="21"/>
          <w:highlight w:val="none"/>
        </w:rPr>
        <w:t>27.相关政策</w:t>
      </w:r>
      <w:bookmarkEnd w:id="63"/>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大中型企业和其他自然人、法人或者其他组织与小型、微型企业组成联合体共同参加非专门面向中小企业的政府采购活动。联合协议中约定，小型、微型企业的协议合同金额占到联合体协议合同总金额30%以上的，可给予联合体一定的价格扣除（详见投标资料表）。</w:t>
      </w:r>
    </w:p>
    <w:p>
      <w:pPr>
        <w:widowControl w:val="0"/>
        <w:numPr>
          <w:ilvl w:val="1"/>
          <w:numId w:val="3"/>
        </w:numPr>
        <w:tabs>
          <w:tab w:val="left" w:pos="907"/>
        </w:tabs>
        <w:adjustRightInd/>
        <w:snapToGrid/>
        <w:spacing w:line="360" w:lineRule="exact"/>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spacing w:line="360" w:lineRule="exact"/>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64" w:name="_Toc316375620"/>
      <w:bookmarkStart w:id="65" w:name="_Toc20328"/>
      <w:bookmarkStart w:id="66" w:name="_Toc22591"/>
      <w:bookmarkStart w:id="67" w:name="_Toc382049120"/>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64"/>
      <w:r>
        <w:rPr>
          <w:rFonts w:hint="eastAsia" w:ascii="宋体" w:hAnsi="宋体" w:eastAsia="宋体"/>
          <w:color w:val="auto"/>
          <w:sz w:val="21"/>
          <w:szCs w:val="21"/>
          <w:highlight w:val="none"/>
        </w:rPr>
        <w:t>事项</w:t>
      </w:r>
      <w:bookmarkEnd w:id="65"/>
      <w:bookmarkEnd w:id="66"/>
      <w:bookmarkEnd w:id="67"/>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2"/>
        </w:numPr>
        <w:spacing w:line="480" w:lineRule="auto"/>
        <w:rPr>
          <w:rFonts w:ascii="宋体" w:hAnsi="宋体"/>
          <w:color w:val="auto"/>
          <w:highlight w:val="none"/>
        </w:rPr>
      </w:pPr>
      <w:bookmarkStart w:id="68" w:name="_Toc29310"/>
      <w:r>
        <w:rPr>
          <w:rFonts w:hint="eastAsia" w:ascii="宋体" w:hAnsi="宋体"/>
          <w:color w:val="auto"/>
          <w:highlight w:val="none"/>
        </w:rPr>
        <w:t>授予合同</w:t>
      </w:r>
      <w:bookmarkEnd w:id="68"/>
    </w:p>
    <w:p>
      <w:pPr>
        <w:pStyle w:val="6"/>
        <w:widowControl w:val="0"/>
        <w:overflowPunct w:val="0"/>
        <w:spacing w:before="0" w:after="0" w:line="240" w:lineRule="auto"/>
        <w:rPr>
          <w:rFonts w:ascii="宋体" w:hAnsi="宋体" w:eastAsia="宋体"/>
          <w:color w:val="auto"/>
          <w:sz w:val="21"/>
          <w:szCs w:val="21"/>
          <w:highlight w:val="none"/>
        </w:rPr>
      </w:pPr>
      <w:bookmarkStart w:id="69" w:name="_Toc508284011"/>
      <w:bookmarkStart w:id="70" w:name="_Toc27817"/>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69"/>
      <w:bookmarkEnd w:id="70"/>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71" w:name="_Toc508284013"/>
      <w:bookmarkStart w:id="72" w:name="_Toc29283"/>
      <w:r>
        <w:rPr>
          <w:rFonts w:hint="eastAsia" w:ascii="宋体" w:hAnsi="宋体" w:eastAsia="宋体"/>
          <w:color w:val="auto"/>
          <w:sz w:val="21"/>
          <w:szCs w:val="21"/>
          <w:highlight w:val="none"/>
        </w:rPr>
        <w:t>30.发布采购结果</w:t>
      </w:r>
      <w:bookmarkEnd w:id="71"/>
      <w:bookmarkEnd w:id="72"/>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spacing w:line="360" w:lineRule="exact"/>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73" w:name="_Toc22451"/>
      <w:r>
        <w:rPr>
          <w:rFonts w:hint="eastAsia" w:ascii="宋体" w:hAnsi="宋体" w:eastAsia="宋体"/>
          <w:color w:val="auto"/>
          <w:sz w:val="21"/>
          <w:szCs w:val="21"/>
          <w:highlight w:val="none"/>
        </w:rPr>
        <w:t>31.合同的签订与履行</w:t>
      </w:r>
      <w:bookmarkEnd w:id="73"/>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spacing w:line="360" w:lineRule="exact"/>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74" w:name="_Toc2744"/>
      <w:bookmarkStart w:id="75" w:name="_Toc29009"/>
      <w:bookmarkStart w:id="76" w:name="_Toc382049124"/>
      <w:bookmarkStart w:id="77" w:name="_Toc303084277"/>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74"/>
      <w:bookmarkEnd w:id="75"/>
      <w:bookmarkEnd w:id="76"/>
      <w:bookmarkEnd w:id="77"/>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2"/>
        </w:numPr>
        <w:spacing w:line="480" w:lineRule="auto"/>
        <w:rPr>
          <w:rFonts w:ascii="宋体" w:hAnsi="宋体"/>
          <w:color w:val="auto"/>
          <w:highlight w:val="none"/>
        </w:rPr>
      </w:pPr>
      <w:bookmarkStart w:id="78" w:name="_Toc13694"/>
      <w:r>
        <w:rPr>
          <w:rFonts w:hint="eastAsia" w:ascii="宋体" w:hAnsi="宋体"/>
          <w:color w:val="auto"/>
          <w:highlight w:val="none"/>
        </w:rPr>
        <w:t>询问或质疑</w:t>
      </w:r>
      <w:bookmarkEnd w:id="78"/>
    </w:p>
    <w:p>
      <w:pPr>
        <w:pStyle w:val="6"/>
        <w:widowControl w:val="0"/>
        <w:overflowPunct w:val="0"/>
        <w:spacing w:before="0" w:after="0" w:line="240" w:lineRule="auto"/>
        <w:rPr>
          <w:rFonts w:ascii="宋体" w:hAnsi="宋体" w:eastAsia="宋体"/>
          <w:color w:val="auto"/>
          <w:sz w:val="21"/>
          <w:szCs w:val="21"/>
          <w:highlight w:val="none"/>
        </w:rPr>
      </w:pPr>
      <w:bookmarkStart w:id="79" w:name="_Toc25498"/>
      <w:r>
        <w:rPr>
          <w:rFonts w:hint="eastAsia" w:ascii="宋体" w:hAnsi="宋体" w:eastAsia="宋体"/>
          <w:color w:val="auto"/>
          <w:sz w:val="21"/>
          <w:szCs w:val="21"/>
          <w:highlight w:val="none"/>
        </w:rPr>
        <w:t>33.询问</w:t>
      </w:r>
      <w:bookmarkEnd w:id="79"/>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80" w:name="_Toc8234"/>
      <w:r>
        <w:rPr>
          <w:rFonts w:hint="eastAsia" w:ascii="宋体" w:hAnsi="宋体" w:eastAsia="宋体"/>
          <w:color w:val="auto"/>
          <w:sz w:val="21"/>
          <w:szCs w:val="21"/>
          <w:highlight w:val="none"/>
        </w:rPr>
        <w:t>34.质疑</w:t>
      </w:r>
      <w:bookmarkEnd w:id="80"/>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spacing w:line="360" w:lineRule="exact"/>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spacing w:line="360" w:lineRule="exact"/>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numPr>
          <w:ilvl w:val="0"/>
          <w:numId w:val="2"/>
        </w:numPr>
        <w:spacing w:line="480" w:lineRule="auto"/>
        <w:rPr>
          <w:rFonts w:ascii="宋体" w:hAnsi="宋体"/>
          <w:color w:val="auto"/>
          <w:highlight w:val="none"/>
        </w:rPr>
      </w:pPr>
      <w:bookmarkStart w:id="81" w:name="_Toc24383"/>
      <w:r>
        <w:rPr>
          <w:rFonts w:hint="eastAsia" w:ascii="宋体" w:hAnsi="宋体"/>
          <w:color w:val="auto"/>
          <w:highlight w:val="none"/>
        </w:rPr>
        <w:t>其他</w:t>
      </w:r>
      <w:bookmarkEnd w:id="81"/>
    </w:p>
    <w:p>
      <w:pPr>
        <w:pStyle w:val="6"/>
        <w:widowControl w:val="0"/>
        <w:overflowPunct w:val="0"/>
        <w:spacing w:before="0" w:after="0" w:line="240" w:lineRule="auto"/>
        <w:rPr>
          <w:rFonts w:ascii="宋体" w:hAnsi="宋体" w:eastAsia="宋体"/>
          <w:color w:val="auto"/>
          <w:sz w:val="21"/>
          <w:szCs w:val="21"/>
          <w:highlight w:val="none"/>
        </w:rPr>
      </w:pPr>
      <w:bookmarkStart w:id="82" w:name="_Toc10082"/>
      <w:r>
        <w:rPr>
          <w:rFonts w:hint="eastAsia" w:ascii="宋体" w:hAnsi="宋体" w:eastAsia="宋体"/>
          <w:color w:val="auto"/>
          <w:sz w:val="21"/>
          <w:szCs w:val="21"/>
          <w:highlight w:val="none"/>
        </w:rPr>
        <w:t>35.招标文件的解释权</w:t>
      </w:r>
      <w:bookmarkEnd w:id="82"/>
    </w:p>
    <w:p>
      <w:pPr>
        <w:pStyle w:val="29"/>
        <w:widowControl w:val="0"/>
        <w:numPr>
          <w:ilvl w:val="0"/>
          <w:numId w:val="3"/>
        </w:numPr>
        <w:tabs>
          <w:tab w:val="left" w:pos="907"/>
        </w:tabs>
        <w:adjustRightInd/>
        <w:snapToGrid/>
        <w:spacing w:line="360" w:lineRule="exact"/>
        <w:ind w:firstLineChars="0"/>
        <w:jc w:val="both"/>
        <w:rPr>
          <w:rFonts w:ascii="宋体" w:hAnsi="宋体"/>
          <w:vanish/>
          <w:color w:val="auto"/>
          <w:szCs w:val="21"/>
          <w:highlight w:val="none"/>
        </w:rPr>
      </w:pP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招标文件版本号：广东政通20210101。</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本招标文件是根据国家有关法律、法规以及政府采购管理有关规定和参照国际惯例编制，解释权属本采购代理机构。</w:t>
      </w:r>
    </w:p>
    <w:p>
      <w:pPr>
        <w:widowControl w:val="0"/>
        <w:numPr>
          <w:ilvl w:val="1"/>
          <w:numId w:val="3"/>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br w:type="page"/>
      </w:r>
    </w:p>
    <w:p>
      <w:pPr>
        <w:pStyle w:val="4"/>
        <w:spacing w:before="0" w:after="0" w:line="240" w:lineRule="auto"/>
        <w:rPr>
          <w:color w:val="auto"/>
          <w:sz w:val="28"/>
          <w:szCs w:val="28"/>
          <w:highlight w:val="none"/>
        </w:rPr>
      </w:pPr>
      <w:bookmarkStart w:id="83" w:name="_Toc21448"/>
      <w:r>
        <w:rPr>
          <w:rFonts w:hint="eastAsia"/>
          <w:color w:val="auto"/>
          <w:sz w:val="28"/>
          <w:szCs w:val="28"/>
          <w:highlight w:val="none"/>
        </w:rPr>
        <w:t>第五部分 合同格式（仅供参考）</w:t>
      </w:r>
      <w:bookmarkEnd w:id="83"/>
      <w:bookmarkStart w:id="84" w:name="_Toc1534"/>
      <w:bookmarkStart w:id="85" w:name="_Toc21155"/>
      <w:bookmarkStart w:id="86" w:name="_Toc13430"/>
    </w:p>
    <w:bookmarkEnd w:id="84"/>
    <w:bookmarkEnd w:id="85"/>
    <w:bookmarkEnd w:id="86"/>
    <w:p>
      <w:pPr>
        <w:bidi w:val="0"/>
        <w:rPr>
          <w:rFonts w:hint="eastAsia"/>
        </w:rPr>
      </w:pPr>
      <w:bookmarkStart w:id="87" w:name="_Toc16730"/>
    </w:p>
    <w:p>
      <w:pPr>
        <w:pStyle w:val="5"/>
        <w:spacing w:before="0" w:after="0" w:line="240" w:lineRule="auto"/>
        <w:jc w:val="center"/>
        <w:rPr>
          <w:rFonts w:ascii="宋体" w:hAnsi="宋体" w:cs="宋体"/>
          <w:color w:val="auto"/>
          <w:highlight w:val="none"/>
        </w:rPr>
      </w:pPr>
      <w:r>
        <w:rPr>
          <w:rFonts w:hint="eastAsia" w:ascii="宋体" w:hAnsi="宋体" w:cs="宋体"/>
          <w:color w:val="auto"/>
          <w:highlight w:val="none"/>
        </w:rPr>
        <w:t>合同格式</w:t>
      </w:r>
      <w:bookmarkEnd w:id="87"/>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88"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w:t>
      </w:r>
      <w:r>
        <w:rPr>
          <w:rFonts w:hint="eastAsia" w:ascii="宋体" w:hAnsi="宋体" w:cs="宋体"/>
          <w:color w:val="auto"/>
          <w:highlight w:val="none"/>
        </w:rPr>
        <w:t>材料费、人工费、机械设备费、运输费、装卸费、淤泥处置费、场地临时堆放费、验收费、机械进场引发破损的路面、围墙修复以及园林绿化恢复等费用、各种税务费及合同实施过程中的不可预见费用等全部费用</w:t>
      </w:r>
      <w:r>
        <w:rPr>
          <w:rFonts w:hint="eastAsia" w:ascii="宋体" w:hAnsi="宋体" w:cs="仿宋"/>
          <w:color w:val="auto"/>
          <w:szCs w:val="21"/>
          <w:highlight w:val="none"/>
          <w:shd w:val="clear" w:color="auto" w:fill="FFFFFF"/>
        </w:rPr>
        <w:t>。</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ind w:firstLine="420" w:firstLineChars="200"/>
        <w:rPr>
          <w:rFonts w:ascii="宋体" w:hAnsi="宋体"/>
          <w:color w:val="auto"/>
          <w:szCs w:val="21"/>
          <w:highlight w:val="none"/>
        </w:rPr>
      </w:pPr>
      <w:r>
        <w:rPr>
          <w:rFonts w:hint="eastAsia" w:ascii="宋体" w:hAnsi="宋体"/>
          <w:color w:val="auto"/>
          <w:szCs w:val="21"/>
          <w:highlight w:val="none"/>
        </w:rPr>
        <w:t>1、本合同的付款方式为：</w:t>
      </w:r>
    </w:p>
    <w:p>
      <w:pPr>
        <w:ind w:firstLine="420" w:firstLineChars="200"/>
        <w:rPr>
          <w:rFonts w:ascii="宋体" w:hAnsi="宋体" w:cs="宋体"/>
          <w:color w:val="auto"/>
          <w:highlight w:val="none"/>
        </w:rPr>
      </w:pPr>
      <w:r>
        <w:rPr>
          <w:rFonts w:hint="eastAsia" w:ascii="宋体" w:hAnsi="宋体" w:cs="宋体"/>
          <w:color w:val="auto"/>
          <w:highlight w:val="none"/>
        </w:rPr>
        <w:t>（1）乙方完成项目所有所有</w:t>
      </w:r>
      <w:r>
        <w:rPr>
          <w:rFonts w:hint="eastAsia"/>
          <w:color w:val="auto"/>
          <w:highlight w:val="none"/>
        </w:rPr>
        <w:t>管道、明渠及箱涵</w:t>
      </w:r>
      <w:r>
        <w:rPr>
          <w:rFonts w:hint="eastAsia" w:ascii="宋体" w:hAnsi="宋体" w:cs="宋体"/>
          <w:color w:val="auto"/>
          <w:highlight w:val="none"/>
        </w:rPr>
        <w:t>清淤疏浚处置完毕后，需按现场实际清淤疏浚工程量及报价明细表单价按实结算，并经相关监督检查单位和甲方验收合格后，由办理完验收手续之日起，甲方收到乙方开具的发票后，经财务审核合格后30个工作日内一次性支付按实结算的项目总费用给乙方。</w:t>
      </w:r>
    </w:p>
    <w:p>
      <w:pPr>
        <w:ind w:firstLine="420" w:firstLineChars="200"/>
        <w:rPr>
          <w:rFonts w:ascii="宋体" w:hAnsi="宋体" w:cs="宋体"/>
          <w:color w:val="auto"/>
          <w:highlight w:val="none"/>
        </w:rPr>
      </w:pPr>
      <w:r>
        <w:rPr>
          <w:rFonts w:hint="eastAsia" w:ascii="宋体" w:hAnsi="宋体" w:cs="宋体"/>
          <w:color w:val="auto"/>
          <w:highlight w:val="none"/>
        </w:rPr>
        <w:t>（2）最终结算价以实际结算价为准，实际结算价不高于合同价。</w:t>
      </w:r>
    </w:p>
    <w:p>
      <w:pPr>
        <w:pStyle w:val="19"/>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19"/>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19"/>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19"/>
        <w:ind w:firstLine="480"/>
        <w:rPr>
          <w:rFonts w:hint="eastAsia" w:ascii="宋体" w:hAnsi="宋体"/>
          <w:color w:val="auto"/>
          <w:sz w:val="21"/>
          <w:szCs w:val="21"/>
          <w:highlight w:val="none"/>
        </w:rPr>
      </w:pPr>
      <w:r>
        <w:rPr>
          <w:rFonts w:hint="eastAsia" w:ascii="宋体" w:hAnsi="宋体"/>
          <w:color w:val="auto"/>
          <w:sz w:val="21"/>
          <w:szCs w:val="21"/>
          <w:highlight w:val="none"/>
        </w:rPr>
        <w:t>3、所有管道、明渠及箱涵清淤疏浚处置完毕后，必须提供相应线路的第三方CCTV或QV检测报告。需组织相关监督检查单位验收，验收合格后，向采购人提交验收材料。对采购人提出的修改意见，中标人按要求修改，并承担由自身原因造成修改的费用。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19"/>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19"/>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19"/>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88"/>
    <w:p>
      <w:pPr>
        <w:ind w:firstLine="422" w:firstLineChars="200"/>
        <w:rPr>
          <w:rFonts w:ascii="宋体" w:hAnsi="宋体"/>
          <w:b/>
          <w:color w:val="auto"/>
          <w:szCs w:val="21"/>
          <w:highlight w:val="none"/>
        </w:rPr>
      </w:pPr>
      <w:bookmarkStart w:id="89"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90" w:name="_Toc86481569"/>
      <w:r>
        <w:rPr>
          <w:rFonts w:hint="eastAsia" w:ascii="宋体" w:hAnsi="宋体"/>
          <w:b/>
          <w:color w:val="auto"/>
          <w:szCs w:val="21"/>
          <w:highlight w:val="none"/>
        </w:rPr>
        <w:t>第十二条 合同生效</w:t>
      </w:r>
      <w:bookmarkEnd w:id="90"/>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89"/>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w:t>
      </w:r>
      <w:r>
        <w:rPr>
          <w:rFonts w:hint="eastAsia" w:ascii="宋体" w:hAnsi="宋体"/>
          <w:b/>
          <w:color w:val="auto"/>
          <w:szCs w:val="21"/>
          <w:highlight w:val="none"/>
          <w:lang w:val="en-US" w:eastAsia="zh-CN"/>
        </w:rPr>
        <w:t>乙方</w:t>
      </w:r>
      <w:r>
        <w:rPr>
          <w:rFonts w:hint="eastAsia" w:ascii="宋体" w:hAnsi="宋体"/>
          <w:b/>
          <w:color w:val="auto"/>
          <w:szCs w:val="21"/>
          <w:highlight w:val="none"/>
        </w:rPr>
        <w:t>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91" w:name="_Toc23749"/>
      <w:r>
        <w:rPr>
          <w:rFonts w:hint="eastAsia"/>
          <w:color w:val="auto"/>
          <w:sz w:val="28"/>
          <w:szCs w:val="28"/>
          <w:highlight w:val="none"/>
        </w:rPr>
        <w:t>第六部分  附件－投标文件格式</w:t>
      </w:r>
      <w:bookmarkEnd w:id="91"/>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92" w:name="_Toc26830"/>
      <w:r>
        <w:rPr>
          <w:rFonts w:hint="eastAsia" w:ascii="宋体" w:hAnsi="宋体" w:eastAsia="宋体"/>
          <w:color w:val="auto"/>
          <w:sz w:val="21"/>
          <w:szCs w:val="21"/>
          <w:highlight w:val="none"/>
        </w:rPr>
        <w:t>附件1.投标文件目录</w:t>
      </w:r>
      <w:bookmarkEnd w:id="92"/>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1、投标人制作的投标文件应当具备目录。</w:t>
      </w:r>
      <w:r>
        <w:rPr>
          <w:rFonts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3" w:name="_Toc18893"/>
      <w:r>
        <w:rPr>
          <w:rFonts w:hint="eastAsia" w:ascii="宋体" w:hAnsi="宋体" w:eastAsia="宋体"/>
          <w:color w:val="auto"/>
          <w:sz w:val="21"/>
          <w:szCs w:val="21"/>
          <w:highlight w:val="none"/>
        </w:rPr>
        <w:t>附件1-1 评分标准索引表</w:t>
      </w:r>
      <w:bookmarkEnd w:id="93"/>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评审项目</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评分细则</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分值</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4" w:name="_Toc30640"/>
      <w:r>
        <w:rPr>
          <w:rFonts w:hint="eastAsia" w:ascii="宋体" w:hAnsi="宋体" w:eastAsia="宋体"/>
          <w:color w:val="auto"/>
          <w:sz w:val="21"/>
          <w:szCs w:val="21"/>
          <w:highlight w:val="none"/>
        </w:rPr>
        <w:t>附件2.投标书格式</w:t>
      </w:r>
      <w:bookmarkEnd w:id="94"/>
    </w:p>
    <w:p>
      <w:pPr>
        <w:jc w:val="center"/>
        <w:rPr>
          <w:rFonts w:ascii="宋体" w:hAnsi="宋体"/>
          <w:color w:val="auto"/>
          <w:szCs w:val="21"/>
          <w:highlight w:val="none"/>
        </w:rPr>
      </w:pPr>
      <w:r>
        <w:rPr>
          <w:rFonts w:hint="eastAsia" w:ascii="黑体" w:eastAsia="黑体"/>
          <w:color w:val="auto"/>
          <w:sz w:val="32"/>
          <w:szCs w:val="32"/>
          <w:highlight w:val="none"/>
        </w:rPr>
        <w:t>投标书</w:t>
      </w:r>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hAnsi="宋体"/>
          <w:color w:val="auto"/>
          <w:szCs w:val="21"/>
          <w:highlight w:val="none"/>
        </w:rPr>
        <w:t>提交投标文件及“开标文件”：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招标文件的所有内容（包括澄清，以及所有已提供的参考资料和有关附件），并完全理解上述文件所表达的意思，该项目递交投标文件时间截止后，我方承诺不再对上述文件内容进行询问或质疑。</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我方承诺，我方具备《中华人民共和国政府采购法》第二十二条资格条件，已清楚招标文件所有要求及有关规定；并承诺参加本次政府采购活动中，如有违法、违规、弄虚作假行为，所造成的损失、不良后果及法律责任，一律由我方承担；</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我方同意提供按照贵方可能要求的与其投标有关的一切数据或资料。</w:t>
      </w:r>
    </w:p>
    <w:p>
      <w:pPr>
        <w:widowControl w:val="0"/>
        <w:numPr>
          <w:ilvl w:val="0"/>
          <w:numId w:val="10"/>
        </w:numPr>
        <w:adjustRightInd/>
        <w:snapToGrid/>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传真：</w:t>
      </w:r>
    </w:p>
    <w:p>
      <w:pPr>
        <w:rPr>
          <w:rFonts w:ascii="宋体" w:hAnsi="宋体"/>
          <w:color w:val="auto"/>
          <w:szCs w:val="21"/>
          <w:highlight w:val="none"/>
        </w:rPr>
      </w:pPr>
      <w:r>
        <w:rPr>
          <w:rFonts w:hint="eastAsia" w:ascii="宋体" w:hAnsi="宋体"/>
          <w:color w:val="auto"/>
          <w:szCs w:val="21"/>
          <w:highlight w:val="none"/>
        </w:rPr>
        <w:t>电话/移动电话：　　　　　　　　　　　　　　　电子函件：</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投标人名称（全称）： </w:t>
      </w:r>
    </w:p>
    <w:p>
      <w:pPr>
        <w:rPr>
          <w:rFonts w:ascii="宋体" w:hAnsi="宋体"/>
          <w:color w:val="auto"/>
          <w:szCs w:val="21"/>
          <w:highlight w:val="none"/>
        </w:rPr>
      </w:pPr>
      <w:r>
        <w:rPr>
          <w:rFonts w:hint="eastAsia" w:ascii="宋体" w:hAnsi="宋体"/>
          <w:color w:val="auto"/>
          <w:szCs w:val="21"/>
          <w:highlight w:val="none"/>
        </w:rPr>
        <w:t xml:space="preserve">投标人盖章： </w:t>
      </w:r>
    </w:p>
    <w:p>
      <w:pPr>
        <w:rPr>
          <w:rFonts w:ascii="宋体" w:hAnsi="宋体"/>
          <w:color w:val="auto"/>
          <w:szCs w:val="21"/>
          <w:highlight w:val="none"/>
        </w:rPr>
      </w:pPr>
      <w:r>
        <w:rPr>
          <w:rFonts w:hint="eastAsia" w:ascii="宋体" w:hAnsi="宋体"/>
          <w:color w:val="auto"/>
          <w:szCs w:val="21"/>
          <w:highlight w:val="none"/>
        </w:rPr>
        <w:t>投标人开户银行（全称）：</w:t>
      </w:r>
    </w:p>
    <w:p>
      <w:pPr>
        <w:rPr>
          <w:rFonts w:ascii="宋体" w:hAnsi="宋体"/>
          <w:color w:val="auto"/>
          <w:szCs w:val="21"/>
          <w:highlight w:val="none"/>
        </w:rPr>
      </w:pPr>
      <w:r>
        <w:rPr>
          <w:rFonts w:hint="eastAsia" w:ascii="宋体" w:hAnsi="宋体"/>
          <w:color w:val="auto"/>
          <w:szCs w:val="21"/>
          <w:highlight w:val="none"/>
        </w:rPr>
        <w:t>投标人银行帐号：</w:t>
      </w:r>
    </w:p>
    <w:p>
      <w:pPr>
        <w:rPr>
          <w:rFonts w:ascii="宋体" w:hAnsi="宋体"/>
          <w:color w:val="auto"/>
          <w:szCs w:val="21"/>
          <w:highlight w:val="none"/>
        </w:rPr>
      </w:pPr>
      <w:r>
        <w:rPr>
          <w:rFonts w:hint="eastAsia" w:ascii="宋体" w:hAnsi="宋体"/>
          <w:color w:val="auto"/>
          <w:szCs w:val="21"/>
          <w:highlight w:val="none"/>
        </w:rPr>
        <w:t>日期：</w:t>
      </w:r>
    </w:p>
    <w:p>
      <w:pPr>
        <w:pStyle w:val="6"/>
        <w:widowControl w:val="0"/>
        <w:overflowPunct w:val="0"/>
        <w:spacing w:before="0" w:after="0" w:line="240" w:lineRule="auto"/>
        <w:rPr>
          <w:rFonts w:ascii="宋体" w:hAnsi="宋体" w:eastAsia="宋体"/>
          <w:color w:val="auto"/>
          <w:sz w:val="21"/>
          <w:szCs w:val="21"/>
          <w:highlight w:val="none"/>
        </w:rPr>
      </w:pPr>
      <w:bookmarkStart w:id="95" w:name="_Toc6866"/>
      <w:r>
        <w:rPr>
          <w:rFonts w:hint="eastAsia" w:ascii="宋体" w:hAnsi="宋体" w:eastAsia="宋体"/>
          <w:color w:val="auto"/>
          <w:sz w:val="21"/>
          <w:szCs w:val="21"/>
          <w:highlight w:val="none"/>
        </w:rPr>
        <w:t>附件3.开标一览表格式</w:t>
      </w:r>
      <w:bookmarkEnd w:id="95"/>
    </w:p>
    <w:p>
      <w:pPr>
        <w:jc w:val="center"/>
        <w:rPr>
          <w:rFonts w:ascii="黑体" w:eastAsia="黑体"/>
          <w:color w:val="auto"/>
          <w:sz w:val="32"/>
          <w:szCs w:val="32"/>
          <w:highlight w:val="none"/>
        </w:rPr>
      </w:pPr>
      <w:r>
        <w:rPr>
          <w:rFonts w:hint="eastAsia" w:ascii="黑体" w:eastAsia="黑体"/>
          <w:color w:val="auto"/>
          <w:sz w:val="32"/>
          <w:szCs w:val="32"/>
          <w:highlight w:val="none"/>
        </w:rPr>
        <w:t>开标一览表</w:t>
      </w: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投标人名称：</w:t>
      </w:r>
    </w:p>
    <w:p>
      <w:pPr>
        <w:rPr>
          <w:rFonts w:ascii="宋体" w:hAnsi="宋体"/>
          <w:color w:val="auto"/>
          <w:szCs w:val="21"/>
          <w:highlight w:val="none"/>
        </w:rPr>
      </w:pPr>
      <w:r>
        <w:rPr>
          <w:rFonts w:hint="eastAsia" w:ascii="宋体" w:hAnsi="宋体"/>
          <w:color w:val="auto"/>
          <w:szCs w:val="21"/>
          <w:highlight w:val="none"/>
        </w:rPr>
        <w:t>采购项目编号：</w:t>
      </w:r>
    </w:p>
    <w:tbl>
      <w:tblPr>
        <w:tblStyle w:val="20"/>
        <w:tblW w:w="7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8"/>
        <w:gridCol w:w="2929"/>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3568" w:type="dxa"/>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2929" w:type="dxa"/>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color w:val="auto"/>
                <w:szCs w:val="21"/>
                <w:highlight w:val="none"/>
              </w:rPr>
            </w:pPr>
            <w:r>
              <w:rPr>
                <w:rFonts w:hint="eastAsia" w:ascii="宋体" w:hAnsi="宋体"/>
                <w:color w:val="auto"/>
                <w:szCs w:val="21"/>
                <w:highlight w:val="none"/>
              </w:rPr>
              <w:t>投标总价</w:t>
            </w:r>
          </w:p>
        </w:tc>
        <w:tc>
          <w:tcPr>
            <w:tcW w:w="1433" w:type="dxa"/>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3568" w:type="dxa"/>
            <w:vMerge w:val="restart"/>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2929" w:type="dxa"/>
            <w:vAlign w:val="center"/>
          </w:tcPr>
          <w:p>
            <w:pPr>
              <w:tabs>
                <w:tab w:val="left" w:pos="654"/>
                <w:tab w:val="left" w:pos="1734"/>
                <w:tab w:val="left" w:pos="2814"/>
                <w:tab w:val="left" w:pos="3894"/>
                <w:tab w:val="left" w:pos="5334"/>
                <w:tab w:val="left" w:pos="6414"/>
                <w:tab w:val="left" w:pos="7254"/>
                <w:tab w:val="left" w:pos="8574"/>
                <w:tab w:val="left" w:pos="9654"/>
              </w:tabs>
              <w:jc w:val="both"/>
              <w:rPr>
                <w:rFonts w:hint="eastAsia" w:ascii="宋体" w:hAnsi="宋体"/>
                <w:color w:val="auto"/>
                <w:szCs w:val="21"/>
                <w:highlight w:val="none"/>
              </w:rPr>
            </w:pPr>
            <w:r>
              <w:rPr>
                <w:rFonts w:hint="eastAsia" w:ascii="宋体" w:hAnsi="宋体"/>
                <w:color w:val="auto"/>
                <w:szCs w:val="21"/>
                <w:highlight w:val="none"/>
              </w:rPr>
              <w:t>小写：</w:t>
            </w:r>
          </w:p>
        </w:tc>
        <w:tc>
          <w:tcPr>
            <w:tcW w:w="1433" w:type="dxa"/>
            <w:vMerge w:val="restart"/>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3568" w:type="dxa"/>
            <w:vMerge w:val="continue"/>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2929" w:type="dxa"/>
            <w:vAlign w:val="center"/>
          </w:tcPr>
          <w:p>
            <w:pPr>
              <w:tabs>
                <w:tab w:val="left" w:pos="654"/>
                <w:tab w:val="left" w:pos="1734"/>
                <w:tab w:val="left" w:pos="2814"/>
                <w:tab w:val="left" w:pos="3894"/>
                <w:tab w:val="left" w:pos="5334"/>
                <w:tab w:val="left" w:pos="6414"/>
                <w:tab w:val="left" w:pos="7254"/>
                <w:tab w:val="left" w:pos="8574"/>
                <w:tab w:val="left" w:pos="9654"/>
              </w:tabs>
              <w:jc w:val="both"/>
              <w:rPr>
                <w:rFonts w:hint="eastAsia" w:ascii="宋体" w:hAnsi="宋体"/>
                <w:color w:val="auto"/>
                <w:szCs w:val="21"/>
                <w:highlight w:val="none"/>
              </w:rPr>
            </w:pPr>
            <w:r>
              <w:rPr>
                <w:rFonts w:hint="eastAsia" w:ascii="宋体" w:hAnsi="宋体"/>
                <w:color w:val="auto"/>
                <w:szCs w:val="21"/>
                <w:highlight w:val="none"/>
              </w:rPr>
              <w:t>大写：</w:t>
            </w:r>
          </w:p>
        </w:tc>
        <w:tc>
          <w:tcPr>
            <w:tcW w:w="1433" w:type="dxa"/>
            <w:vMerge w:val="continue"/>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2、此表应按投标人须知的规定密封标记并与《授权委托书》、《投标保证金汇入情况说明》同密封单独提交。</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3、未按招标文件要求报价、填写开标一览表是导致投标人废标的常见问题，请投标人仔细填写，认真核对。</w:t>
      </w: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6" w:name="_Toc3254"/>
      <w:r>
        <w:rPr>
          <w:rFonts w:hint="eastAsia" w:ascii="宋体" w:hAnsi="宋体" w:eastAsia="宋体"/>
          <w:color w:val="auto"/>
          <w:sz w:val="21"/>
          <w:szCs w:val="21"/>
          <w:highlight w:val="none"/>
        </w:rPr>
        <w:t xml:space="preserve">附件4. </w:t>
      </w:r>
      <w:r>
        <w:rPr>
          <w:rFonts w:hint="eastAsia" w:ascii="宋体" w:hAnsi="宋体" w:eastAsia="宋体" w:cs="Times New Roman"/>
          <w:color w:val="auto"/>
          <w:sz w:val="21"/>
          <w:szCs w:val="21"/>
          <w:highlight w:val="none"/>
        </w:rPr>
        <w:t>投标分项报价表格式</w:t>
      </w:r>
      <w:bookmarkEnd w:id="96"/>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货物（服务）分项报价表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77"/>
        <w:gridCol w:w="1917"/>
        <w:gridCol w:w="1050"/>
        <w:gridCol w:w="1100"/>
        <w:gridCol w:w="1183"/>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377"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1917"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1050"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1100"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183"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服务要求</w:t>
            </w:r>
          </w:p>
        </w:tc>
        <w:tc>
          <w:tcPr>
            <w:tcW w:w="1078" w:type="dxa"/>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1</w:t>
            </w:r>
          </w:p>
        </w:tc>
        <w:tc>
          <w:tcPr>
            <w:tcW w:w="1377" w:type="dxa"/>
            <w:vAlign w:val="center"/>
          </w:tcPr>
          <w:p>
            <w:pPr>
              <w:spacing w:before="100" w:beforeAutospacing="1" w:after="100" w:afterAutospacing="1"/>
              <w:rPr>
                <w:rFonts w:ascii="宋体" w:hAnsi="宋体"/>
                <w:color w:val="auto"/>
                <w:szCs w:val="21"/>
                <w:highlight w:val="none"/>
              </w:rPr>
            </w:pPr>
          </w:p>
        </w:tc>
        <w:tc>
          <w:tcPr>
            <w:tcW w:w="1917" w:type="dxa"/>
            <w:vAlign w:val="center"/>
          </w:tcPr>
          <w:p>
            <w:pPr>
              <w:spacing w:before="100" w:beforeAutospacing="1" w:after="100" w:afterAutospacing="1"/>
              <w:jc w:val="center"/>
              <w:rPr>
                <w:rFonts w:ascii="宋体" w:hAnsi="宋体"/>
                <w:color w:val="auto"/>
                <w:szCs w:val="21"/>
                <w:highlight w:val="none"/>
              </w:rPr>
            </w:pPr>
          </w:p>
        </w:tc>
        <w:tc>
          <w:tcPr>
            <w:tcW w:w="1050" w:type="dxa"/>
            <w:vAlign w:val="center"/>
          </w:tcPr>
          <w:p>
            <w:pPr>
              <w:spacing w:before="100" w:beforeAutospacing="1" w:after="100" w:afterAutospacing="1"/>
              <w:jc w:val="center"/>
              <w:rPr>
                <w:rFonts w:ascii="宋体" w:hAnsi="宋体"/>
                <w:color w:val="auto"/>
                <w:szCs w:val="21"/>
                <w:highlight w:val="none"/>
              </w:rPr>
            </w:pPr>
          </w:p>
        </w:tc>
        <w:tc>
          <w:tcPr>
            <w:tcW w:w="1100" w:type="dxa"/>
            <w:vAlign w:val="center"/>
          </w:tcPr>
          <w:p>
            <w:pPr>
              <w:spacing w:before="100" w:beforeAutospacing="1" w:after="100" w:afterAutospacing="1"/>
              <w:jc w:val="center"/>
              <w:rPr>
                <w:rFonts w:ascii="宋体" w:hAnsi="宋体"/>
                <w:color w:val="auto"/>
                <w:szCs w:val="21"/>
                <w:highlight w:val="none"/>
              </w:rPr>
            </w:pPr>
          </w:p>
        </w:tc>
        <w:tc>
          <w:tcPr>
            <w:tcW w:w="1183" w:type="dxa"/>
            <w:vAlign w:val="center"/>
          </w:tcPr>
          <w:p>
            <w:pPr>
              <w:spacing w:before="100" w:beforeAutospacing="1" w:after="100" w:afterAutospacing="1"/>
              <w:jc w:val="center"/>
              <w:rPr>
                <w:rFonts w:ascii="宋体" w:hAnsi="宋体"/>
                <w:color w:val="auto"/>
                <w:szCs w:val="21"/>
                <w:highlight w:val="none"/>
              </w:rPr>
            </w:pPr>
          </w:p>
        </w:tc>
        <w:tc>
          <w:tcPr>
            <w:tcW w:w="1078" w:type="dxa"/>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2</w:t>
            </w:r>
          </w:p>
        </w:tc>
        <w:tc>
          <w:tcPr>
            <w:tcW w:w="1377" w:type="dxa"/>
            <w:vAlign w:val="center"/>
          </w:tcPr>
          <w:p>
            <w:pPr>
              <w:spacing w:before="100" w:beforeAutospacing="1" w:after="100" w:afterAutospacing="1"/>
              <w:rPr>
                <w:rFonts w:ascii="宋体" w:hAnsi="宋体"/>
                <w:color w:val="auto"/>
                <w:szCs w:val="21"/>
                <w:highlight w:val="none"/>
              </w:rPr>
            </w:pPr>
          </w:p>
        </w:tc>
        <w:tc>
          <w:tcPr>
            <w:tcW w:w="1917" w:type="dxa"/>
            <w:vAlign w:val="center"/>
          </w:tcPr>
          <w:p>
            <w:pPr>
              <w:spacing w:before="100" w:beforeAutospacing="1" w:after="100" w:afterAutospacing="1"/>
              <w:jc w:val="center"/>
              <w:rPr>
                <w:rFonts w:ascii="宋体" w:hAnsi="宋体"/>
                <w:color w:val="auto"/>
                <w:szCs w:val="21"/>
                <w:highlight w:val="none"/>
              </w:rPr>
            </w:pPr>
          </w:p>
        </w:tc>
        <w:tc>
          <w:tcPr>
            <w:tcW w:w="1050" w:type="dxa"/>
            <w:vAlign w:val="center"/>
          </w:tcPr>
          <w:p>
            <w:pPr>
              <w:spacing w:before="100" w:beforeAutospacing="1" w:after="100" w:afterAutospacing="1"/>
              <w:jc w:val="center"/>
              <w:rPr>
                <w:rFonts w:ascii="宋体" w:hAnsi="宋体"/>
                <w:color w:val="auto"/>
                <w:szCs w:val="21"/>
                <w:highlight w:val="none"/>
              </w:rPr>
            </w:pPr>
          </w:p>
        </w:tc>
        <w:tc>
          <w:tcPr>
            <w:tcW w:w="1100" w:type="dxa"/>
            <w:vAlign w:val="center"/>
          </w:tcPr>
          <w:p>
            <w:pPr>
              <w:spacing w:before="100" w:beforeAutospacing="1" w:after="100" w:afterAutospacing="1"/>
              <w:jc w:val="center"/>
              <w:rPr>
                <w:rFonts w:ascii="宋体" w:hAnsi="宋体"/>
                <w:color w:val="auto"/>
                <w:szCs w:val="21"/>
                <w:highlight w:val="none"/>
              </w:rPr>
            </w:pPr>
          </w:p>
        </w:tc>
        <w:tc>
          <w:tcPr>
            <w:tcW w:w="1183" w:type="dxa"/>
            <w:vAlign w:val="center"/>
          </w:tcPr>
          <w:p>
            <w:pPr>
              <w:spacing w:before="100" w:beforeAutospacing="1" w:after="100" w:afterAutospacing="1"/>
              <w:jc w:val="center"/>
              <w:rPr>
                <w:rFonts w:ascii="宋体" w:hAnsi="宋体"/>
                <w:color w:val="auto"/>
                <w:szCs w:val="21"/>
                <w:highlight w:val="none"/>
              </w:rPr>
            </w:pPr>
          </w:p>
        </w:tc>
        <w:tc>
          <w:tcPr>
            <w:tcW w:w="1078" w:type="dxa"/>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3</w:t>
            </w:r>
          </w:p>
        </w:tc>
        <w:tc>
          <w:tcPr>
            <w:tcW w:w="1377" w:type="dxa"/>
            <w:vAlign w:val="center"/>
          </w:tcPr>
          <w:p>
            <w:pPr>
              <w:spacing w:before="100" w:beforeAutospacing="1" w:after="100" w:afterAutospacing="1"/>
              <w:rPr>
                <w:rFonts w:ascii="宋体" w:hAnsi="宋体"/>
                <w:color w:val="auto"/>
                <w:szCs w:val="21"/>
                <w:highlight w:val="none"/>
              </w:rPr>
            </w:pPr>
          </w:p>
        </w:tc>
        <w:tc>
          <w:tcPr>
            <w:tcW w:w="1917" w:type="dxa"/>
            <w:vAlign w:val="center"/>
          </w:tcPr>
          <w:p>
            <w:pPr>
              <w:spacing w:before="100" w:beforeAutospacing="1" w:after="100" w:afterAutospacing="1"/>
              <w:jc w:val="center"/>
              <w:rPr>
                <w:rFonts w:ascii="宋体" w:hAnsi="宋体"/>
                <w:color w:val="auto"/>
                <w:szCs w:val="21"/>
                <w:highlight w:val="none"/>
              </w:rPr>
            </w:pPr>
          </w:p>
        </w:tc>
        <w:tc>
          <w:tcPr>
            <w:tcW w:w="1050" w:type="dxa"/>
            <w:vAlign w:val="center"/>
          </w:tcPr>
          <w:p>
            <w:pPr>
              <w:spacing w:before="100" w:beforeAutospacing="1" w:after="100" w:afterAutospacing="1"/>
              <w:jc w:val="center"/>
              <w:rPr>
                <w:rFonts w:ascii="宋体" w:hAnsi="宋体"/>
                <w:color w:val="auto"/>
                <w:szCs w:val="21"/>
                <w:highlight w:val="none"/>
              </w:rPr>
            </w:pPr>
          </w:p>
        </w:tc>
        <w:tc>
          <w:tcPr>
            <w:tcW w:w="1100" w:type="dxa"/>
            <w:vAlign w:val="center"/>
          </w:tcPr>
          <w:p>
            <w:pPr>
              <w:spacing w:before="100" w:beforeAutospacing="1" w:after="100" w:afterAutospacing="1"/>
              <w:jc w:val="center"/>
              <w:rPr>
                <w:rFonts w:ascii="宋体" w:hAnsi="宋体"/>
                <w:color w:val="auto"/>
                <w:szCs w:val="21"/>
                <w:highlight w:val="none"/>
              </w:rPr>
            </w:pPr>
          </w:p>
        </w:tc>
        <w:tc>
          <w:tcPr>
            <w:tcW w:w="1183" w:type="dxa"/>
            <w:vAlign w:val="center"/>
          </w:tcPr>
          <w:p>
            <w:pPr>
              <w:spacing w:before="100" w:beforeAutospacing="1" w:after="100" w:afterAutospacing="1"/>
              <w:jc w:val="center"/>
              <w:rPr>
                <w:rFonts w:ascii="宋体" w:hAnsi="宋体"/>
                <w:color w:val="auto"/>
                <w:szCs w:val="21"/>
                <w:highlight w:val="none"/>
              </w:rPr>
            </w:pPr>
          </w:p>
        </w:tc>
        <w:tc>
          <w:tcPr>
            <w:tcW w:w="1078" w:type="dxa"/>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261" w:type="dxa"/>
            <w:gridSpan w:val="5"/>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总价</w:t>
            </w:r>
          </w:p>
        </w:tc>
        <w:tc>
          <w:tcPr>
            <w:tcW w:w="2261" w:type="dxa"/>
            <w:gridSpan w:val="2"/>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8522" w:type="dxa"/>
            <w:gridSpan w:val="7"/>
            <w:vAlign w:val="center"/>
          </w:tcPr>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r>
              <w:rPr>
                <w:rFonts w:hint="eastAsia" w:ascii="宋体" w:hAnsi="宋体"/>
                <w:color w:val="auto"/>
                <w:szCs w:val="21"/>
                <w:highlight w:val="none"/>
              </w:rPr>
              <w:t>日期：</w:t>
            </w:r>
          </w:p>
        </w:tc>
      </w:tr>
    </w:tbl>
    <w:p>
      <w:pPr>
        <w:rPr>
          <w:rFonts w:ascii="宋体" w:hAnsi="宋体" w:cs="宋体"/>
          <w:b/>
          <w:color w:val="auto"/>
          <w:szCs w:val="21"/>
          <w:highlight w:val="none"/>
        </w:rPr>
      </w:pPr>
    </w:p>
    <w:p>
      <w:pPr>
        <w:rPr>
          <w:rFonts w:ascii="宋体" w:hAnsi="宋体" w:cs="宋体"/>
          <w:b/>
          <w:color w:val="auto"/>
          <w:szCs w:val="21"/>
          <w:highlight w:val="none"/>
        </w:rPr>
      </w:pPr>
      <w:r>
        <w:rPr>
          <w:rFonts w:hint="eastAsia" w:ascii="宋体" w:hAnsi="宋体" w:cs="宋体"/>
          <w:b/>
          <w:color w:val="auto"/>
          <w:szCs w:val="21"/>
          <w:highlight w:val="none"/>
        </w:rPr>
        <w:br w:type="page"/>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小型和微型企业（货物、承担的工程或者服务）列价表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587"/>
        <w:gridCol w:w="1575"/>
        <w:gridCol w:w="1180"/>
        <w:gridCol w:w="778"/>
        <w:gridCol w:w="777"/>
        <w:gridCol w:w="778"/>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575" w:type="dxa"/>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品牌及原产地</w:t>
            </w:r>
          </w:p>
        </w:tc>
        <w:tc>
          <w:tcPr>
            <w:tcW w:w="1180"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778"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77"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78"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972"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1</w:t>
            </w:r>
          </w:p>
        </w:tc>
        <w:tc>
          <w:tcPr>
            <w:tcW w:w="1587" w:type="dxa"/>
            <w:vAlign w:val="center"/>
          </w:tcPr>
          <w:p>
            <w:pPr>
              <w:jc w:val="center"/>
              <w:textAlignment w:val="bottom"/>
              <w:rPr>
                <w:rFonts w:ascii="宋体" w:hAnsi="宋体" w:cs="宋体"/>
                <w:color w:val="auto"/>
                <w:szCs w:val="21"/>
                <w:highlight w:val="none"/>
              </w:rPr>
            </w:pPr>
          </w:p>
        </w:tc>
        <w:tc>
          <w:tcPr>
            <w:tcW w:w="1575" w:type="dxa"/>
            <w:vAlign w:val="center"/>
          </w:tcPr>
          <w:p>
            <w:pPr>
              <w:jc w:val="center"/>
              <w:textAlignment w:val="bottom"/>
              <w:rPr>
                <w:rFonts w:ascii="宋体" w:hAnsi="宋体" w:cs="宋体"/>
                <w:color w:val="auto"/>
                <w:szCs w:val="21"/>
                <w:highlight w:val="none"/>
              </w:rPr>
            </w:pPr>
          </w:p>
        </w:tc>
        <w:tc>
          <w:tcPr>
            <w:tcW w:w="1180"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777"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972"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2</w:t>
            </w:r>
          </w:p>
        </w:tc>
        <w:tc>
          <w:tcPr>
            <w:tcW w:w="1587" w:type="dxa"/>
            <w:vAlign w:val="center"/>
          </w:tcPr>
          <w:p>
            <w:pPr>
              <w:jc w:val="center"/>
              <w:textAlignment w:val="bottom"/>
              <w:rPr>
                <w:rFonts w:ascii="宋体" w:hAnsi="宋体" w:cs="宋体"/>
                <w:color w:val="auto"/>
                <w:szCs w:val="21"/>
                <w:highlight w:val="none"/>
              </w:rPr>
            </w:pPr>
          </w:p>
        </w:tc>
        <w:tc>
          <w:tcPr>
            <w:tcW w:w="1575" w:type="dxa"/>
            <w:vAlign w:val="center"/>
          </w:tcPr>
          <w:p>
            <w:pPr>
              <w:jc w:val="center"/>
              <w:textAlignment w:val="bottom"/>
              <w:rPr>
                <w:rFonts w:ascii="宋体" w:hAnsi="宋体" w:cs="宋体"/>
                <w:color w:val="auto"/>
                <w:szCs w:val="21"/>
                <w:highlight w:val="none"/>
              </w:rPr>
            </w:pPr>
          </w:p>
        </w:tc>
        <w:tc>
          <w:tcPr>
            <w:tcW w:w="1180"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777"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972"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3</w:t>
            </w:r>
          </w:p>
        </w:tc>
        <w:tc>
          <w:tcPr>
            <w:tcW w:w="1587" w:type="dxa"/>
            <w:vAlign w:val="center"/>
          </w:tcPr>
          <w:p>
            <w:pPr>
              <w:jc w:val="center"/>
              <w:textAlignment w:val="bottom"/>
              <w:rPr>
                <w:rFonts w:ascii="宋体" w:hAnsi="宋体" w:cs="宋体"/>
                <w:color w:val="auto"/>
                <w:szCs w:val="21"/>
                <w:highlight w:val="none"/>
              </w:rPr>
            </w:pPr>
          </w:p>
        </w:tc>
        <w:tc>
          <w:tcPr>
            <w:tcW w:w="1575" w:type="dxa"/>
            <w:vAlign w:val="center"/>
          </w:tcPr>
          <w:p>
            <w:pPr>
              <w:jc w:val="center"/>
              <w:textAlignment w:val="bottom"/>
              <w:rPr>
                <w:rFonts w:ascii="宋体" w:hAnsi="宋体" w:cs="宋体"/>
                <w:color w:val="auto"/>
                <w:szCs w:val="21"/>
                <w:highlight w:val="none"/>
              </w:rPr>
            </w:pPr>
          </w:p>
        </w:tc>
        <w:tc>
          <w:tcPr>
            <w:tcW w:w="1180"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777"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972"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w:t>
            </w:r>
          </w:p>
        </w:tc>
        <w:tc>
          <w:tcPr>
            <w:tcW w:w="1587" w:type="dxa"/>
            <w:vAlign w:val="center"/>
          </w:tcPr>
          <w:p>
            <w:pPr>
              <w:jc w:val="center"/>
              <w:textAlignment w:val="bottom"/>
              <w:rPr>
                <w:rFonts w:ascii="宋体" w:hAnsi="宋体" w:cs="宋体"/>
                <w:color w:val="auto"/>
                <w:szCs w:val="21"/>
                <w:highlight w:val="none"/>
              </w:rPr>
            </w:pPr>
          </w:p>
        </w:tc>
        <w:tc>
          <w:tcPr>
            <w:tcW w:w="1575" w:type="dxa"/>
            <w:vAlign w:val="center"/>
          </w:tcPr>
          <w:p>
            <w:pPr>
              <w:jc w:val="center"/>
              <w:textAlignment w:val="bottom"/>
              <w:rPr>
                <w:rFonts w:ascii="宋体" w:hAnsi="宋体" w:cs="宋体"/>
                <w:color w:val="auto"/>
                <w:szCs w:val="21"/>
                <w:highlight w:val="none"/>
              </w:rPr>
            </w:pPr>
          </w:p>
        </w:tc>
        <w:tc>
          <w:tcPr>
            <w:tcW w:w="1180"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777" w:type="dxa"/>
            <w:vAlign w:val="center"/>
          </w:tcPr>
          <w:p>
            <w:pPr>
              <w:jc w:val="center"/>
              <w:textAlignment w:val="bottom"/>
              <w:rPr>
                <w:rFonts w:ascii="宋体" w:hAnsi="宋体" w:cs="宋体"/>
                <w:color w:val="auto"/>
                <w:szCs w:val="21"/>
                <w:highlight w:val="none"/>
              </w:rPr>
            </w:pPr>
          </w:p>
        </w:tc>
        <w:tc>
          <w:tcPr>
            <w:tcW w:w="778" w:type="dxa"/>
            <w:vAlign w:val="center"/>
          </w:tcPr>
          <w:p>
            <w:pPr>
              <w:jc w:val="center"/>
              <w:textAlignment w:val="bottom"/>
              <w:rPr>
                <w:rFonts w:ascii="宋体" w:hAnsi="宋体" w:cs="宋体"/>
                <w:color w:val="auto"/>
                <w:szCs w:val="21"/>
                <w:highlight w:val="none"/>
              </w:rPr>
            </w:pPr>
          </w:p>
        </w:tc>
        <w:tc>
          <w:tcPr>
            <w:tcW w:w="972"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462" w:type="dxa"/>
            <w:gridSpan w:val="2"/>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60" w:type="dxa"/>
            <w:gridSpan w:val="6"/>
            <w:vAlign w:val="center"/>
          </w:tcPr>
          <w:p>
            <w:pPr>
              <w:rPr>
                <w:rFonts w:ascii="宋体" w:hAnsi="宋体" w:cs="宋体"/>
                <w:color w:val="auto"/>
                <w:szCs w:val="21"/>
                <w:highlight w:val="none"/>
              </w:rPr>
            </w:pPr>
            <w:r>
              <w:rPr>
                <w:rStyle w:val="39"/>
                <w:rFonts w:hint="eastAsia" w:ascii="宋体" w:hAnsi="宋体" w:eastAsia="宋体" w:cs="宋体"/>
                <w:color w:val="auto"/>
                <w:sz w:val="21"/>
                <w:szCs w:val="21"/>
                <w:highlight w:val="none"/>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rPr>
                <w:rStyle w:val="39"/>
                <w:rFonts w:ascii="宋体" w:hAnsi="宋体" w:eastAsia="宋体" w:cs="宋体"/>
                <w:b/>
                <w:color w:val="auto"/>
                <w:sz w:val="21"/>
                <w:szCs w:val="21"/>
                <w:highlight w:val="none"/>
              </w:rPr>
            </w:pPr>
            <w:r>
              <w:rPr>
                <w:rStyle w:val="39"/>
                <w:rFonts w:hint="eastAsia" w:ascii="宋体" w:hAnsi="宋体" w:eastAsia="宋体" w:cs="宋体"/>
                <w:b/>
                <w:color w:val="auto"/>
                <w:sz w:val="21"/>
                <w:szCs w:val="21"/>
                <w:highlight w:val="none"/>
              </w:rPr>
              <w:t>注：1、投标人在“货物（服务）分项报价表”中的报价内容中，如有属于</w:t>
            </w:r>
            <w:r>
              <w:rPr>
                <w:rFonts w:hint="eastAsia" w:ascii="宋体" w:hAnsi="宋体" w:cs="宋体"/>
                <w:b/>
                <w:color w:val="auto"/>
                <w:szCs w:val="21"/>
                <w:highlight w:val="none"/>
              </w:rPr>
              <w:t>小型和微型企业产品（货物、承担的工程或者服务）的，必须在此表单独列明，否则在计算价格得分时不予以相应的扣除</w:t>
            </w:r>
            <w:r>
              <w:rPr>
                <w:rStyle w:val="39"/>
                <w:rFonts w:hint="eastAsia" w:ascii="宋体" w:hAnsi="宋体" w:eastAsia="宋体" w:cs="宋体"/>
                <w:b/>
                <w:color w:val="auto"/>
                <w:sz w:val="21"/>
                <w:szCs w:val="21"/>
                <w:highlight w:val="none"/>
              </w:rPr>
              <w:t>；</w:t>
            </w:r>
          </w:p>
          <w:p>
            <w:pPr>
              <w:tabs>
                <w:tab w:val="left" w:pos="284"/>
              </w:tabs>
              <w:rPr>
                <w:rStyle w:val="39"/>
                <w:rFonts w:ascii="宋体" w:hAnsi="宋体" w:eastAsia="宋体" w:cs="宋体"/>
                <w:b/>
                <w:color w:val="auto"/>
                <w:sz w:val="21"/>
                <w:szCs w:val="21"/>
                <w:highlight w:val="none"/>
              </w:rPr>
            </w:pPr>
            <w:r>
              <w:rPr>
                <w:rStyle w:val="39"/>
                <w:rFonts w:hint="eastAsia" w:ascii="宋体" w:hAnsi="宋体" w:eastAsia="宋体" w:cs="宋体"/>
                <w:b/>
                <w:color w:val="auto"/>
                <w:sz w:val="21"/>
                <w:szCs w:val="21"/>
                <w:highlight w:val="none"/>
              </w:rPr>
              <w:t>2、投标人应该如实填写，如投标人所投产品中无小型和微型企业产品的，请留空或删除此表！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tabs>
                <w:tab w:val="left" w:pos="284"/>
              </w:tabs>
              <w:rPr>
                <w:rStyle w:val="39"/>
                <w:rFonts w:ascii="宋体" w:hAnsi="宋体" w:eastAsia="宋体" w:cs="宋体"/>
                <w:b/>
                <w:color w:val="auto"/>
                <w:sz w:val="21"/>
                <w:szCs w:val="21"/>
                <w:highlight w:val="none"/>
              </w:rPr>
            </w:pPr>
            <w:r>
              <w:rPr>
                <w:rFonts w:hint="eastAsia" w:ascii="宋体" w:hAnsi="宋体"/>
                <w:color w:val="auto"/>
                <w:szCs w:val="21"/>
                <w:highlight w:val="none"/>
              </w:rPr>
              <w:t>日期：</w:t>
            </w:r>
          </w:p>
        </w:tc>
      </w:tr>
    </w:tbl>
    <w:p>
      <w:pPr>
        <w:pStyle w:val="29"/>
        <w:ind w:firstLine="0" w:firstLineChars="0"/>
        <w:rPr>
          <w:rFonts w:ascii="宋体" w:hAnsi="宋体"/>
          <w:color w:val="auto"/>
          <w:szCs w:val="21"/>
          <w:highlight w:val="none"/>
        </w:rPr>
      </w:pPr>
      <w:r>
        <w:rPr>
          <w:rFonts w:hint="eastAsia" w:ascii="宋体" w:hAnsi="宋体"/>
          <w:color w:val="auto"/>
          <w:szCs w:val="21"/>
          <w:highlight w:val="none"/>
        </w:rPr>
        <w:br w:type="page"/>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节能产品或环境标志产品列价表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1</w:t>
            </w:r>
          </w:p>
        </w:tc>
        <w:tc>
          <w:tcPr>
            <w:tcW w:w="1381" w:type="dxa"/>
            <w:vAlign w:val="center"/>
          </w:tcPr>
          <w:p>
            <w:pPr>
              <w:jc w:val="center"/>
              <w:textAlignment w:val="bottom"/>
              <w:rPr>
                <w:rFonts w:ascii="宋体" w:hAnsi="宋体" w:cs="宋体"/>
                <w:color w:val="auto"/>
                <w:szCs w:val="21"/>
                <w:highlight w:val="none"/>
              </w:rPr>
            </w:pPr>
          </w:p>
        </w:tc>
        <w:tc>
          <w:tcPr>
            <w:tcW w:w="1316" w:type="dxa"/>
            <w:vAlign w:val="center"/>
          </w:tcPr>
          <w:p>
            <w:pPr>
              <w:jc w:val="center"/>
              <w:textAlignment w:val="bottom"/>
              <w:rPr>
                <w:rFonts w:ascii="宋体" w:hAnsi="宋体" w:cs="宋体"/>
                <w:color w:val="auto"/>
                <w:szCs w:val="21"/>
                <w:highlight w:val="none"/>
              </w:rPr>
            </w:pPr>
          </w:p>
        </w:tc>
        <w:tc>
          <w:tcPr>
            <w:tcW w:w="1067" w:type="dxa"/>
            <w:vAlign w:val="center"/>
          </w:tcPr>
          <w:p>
            <w:pPr>
              <w:jc w:val="center"/>
              <w:textAlignment w:val="bottom"/>
              <w:rPr>
                <w:rFonts w:ascii="宋体" w:hAnsi="宋体" w:cs="宋体"/>
                <w:color w:val="auto"/>
                <w:szCs w:val="21"/>
                <w:highlight w:val="none"/>
              </w:rPr>
            </w:pPr>
          </w:p>
        </w:tc>
        <w:tc>
          <w:tcPr>
            <w:tcW w:w="1150" w:type="dxa"/>
            <w:vAlign w:val="center"/>
          </w:tcPr>
          <w:p>
            <w:pPr>
              <w:jc w:val="center"/>
              <w:textAlignment w:val="bottom"/>
              <w:rPr>
                <w:rFonts w:ascii="宋体" w:hAnsi="宋体" w:cs="宋体"/>
                <w:color w:val="auto"/>
                <w:szCs w:val="21"/>
                <w:highlight w:val="none"/>
              </w:rPr>
            </w:pPr>
          </w:p>
        </w:tc>
        <w:tc>
          <w:tcPr>
            <w:tcW w:w="850" w:type="dxa"/>
            <w:vAlign w:val="center"/>
          </w:tcPr>
          <w:p>
            <w:pPr>
              <w:jc w:val="center"/>
              <w:textAlignment w:val="bottom"/>
              <w:rPr>
                <w:rFonts w:ascii="宋体" w:hAnsi="宋体" w:cs="宋体"/>
                <w:color w:val="auto"/>
                <w:szCs w:val="21"/>
                <w:highlight w:val="none"/>
              </w:rPr>
            </w:pPr>
          </w:p>
        </w:tc>
        <w:tc>
          <w:tcPr>
            <w:tcW w:w="833" w:type="dxa"/>
            <w:vAlign w:val="center"/>
          </w:tcPr>
          <w:p>
            <w:pPr>
              <w:jc w:val="center"/>
              <w:textAlignment w:val="bottom"/>
              <w:rPr>
                <w:rFonts w:ascii="宋体" w:hAnsi="宋体" w:cs="宋体"/>
                <w:color w:val="auto"/>
                <w:szCs w:val="21"/>
                <w:highlight w:val="none"/>
              </w:rPr>
            </w:pPr>
          </w:p>
        </w:tc>
        <w:tc>
          <w:tcPr>
            <w:tcW w:w="1050"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2</w:t>
            </w:r>
          </w:p>
        </w:tc>
        <w:tc>
          <w:tcPr>
            <w:tcW w:w="1381" w:type="dxa"/>
            <w:vAlign w:val="center"/>
          </w:tcPr>
          <w:p>
            <w:pPr>
              <w:jc w:val="center"/>
              <w:textAlignment w:val="bottom"/>
              <w:rPr>
                <w:rFonts w:ascii="宋体" w:hAnsi="宋体" w:cs="宋体"/>
                <w:color w:val="auto"/>
                <w:szCs w:val="21"/>
                <w:highlight w:val="none"/>
              </w:rPr>
            </w:pPr>
          </w:p>
        </w:tc>
        <w:tc>
          <w:tcPr>
            <w:tcW w:w="1316" w:type="dxa"/>
            <w:vAlign w:val="center"/>
          </w:tcPr>
          <w:p>
            <w:pPr>
              <w:jc w:val="center"/>
              <w:textAlignment w:val="bottom"/>
              <w:rPr>
                <w:rFonts w:ascii="宋体" w:hAnsi="宋体" w:cs="宋体"/>
                <w:color w:val="auto"/>
                <w:szCs w:val="21"/>
                <w:highlight w:val="none"/>
              </w:rPr>
            </w:pPr>
          </w:p>
        </w:tc>
        <w:tc>
          <w:tcPr>
            <w:tcW w:w="1067" w:type="dxa"/>
            <w:vAlign w:val="center"/>
          </w:tcPr>
          <w:p>
            <w:pPr>
              <w:jc w:val="center"/>
              <w:textAlignment w:val="bottom"/>
              <w:rPr>
                <w:rFonts w:ascii="宋体" w:hAnsi="宋体" w:cs="宋体"/>
                <w:color w:val="auto"/>
                <w:szCs w:val="21"/>
                <w:highlight w:val="none"/>
              </w:rPr>
            </w:pPr>
          </w:p>
        </w:tc>
        <w:tc>
          <w:tcPr>
            <w:tcW w:w="1150" w:type="dxa"/>
            <w:vAlign w:val="center"/>
          </w:tcPr>
          <w:p>
            <w:pPr>
              <w:jc w:val="center"/>
              <w:textAlignment w:val="bottom"/>
              <w:rPr>
                <w:rFonts w:ascii="宋体" w:hAnsi="宋体" w:cs="宋体"/>
                <w:color w:val="auto"/>
                <w:szCs w:val="21"/>
                <w:highlight w:val="none"/>
              </w:rPr>
            </w:pPr>
          </w:p>
        </w:tc>
        <w:tc>
          <w:tcPr>
            <w:tcW w:w="850" w:type="dxa"/>
            <w:vAlign w:val="center"/>
          </w:tcPr>
          <w:p>
            <w:pPr>
              <w:jc w:val="center"/>
              <w:textAlignment w:val="bottom"/>
              <w:rPr>
                <w:rFonts w:ascii="宋体" w:hAnsi="宋体" w:cs="宋体"/>
                <w:color w:val="auto"/>
                <w:szCs w:val="21"/>
                <w:highlight w:val="none"/>
              </w:rPr>
            </w:pPr>
          </w:p>
        </w:tc>
        <w:tc>
          <w:tcPr>
            <w:tcW w:w="833" w:type="dxa"/>
            <w:vAlign w:val="center"/>
          </w:tcPr>
          <w:p>
            <w:pPr>
              <w:jc w:val="center"/>
              <w:textAlignment w:val="bottom"/>
              <w:rPr>
                <w:rFonts w:ascii="宋体" w:hAnsi="宋体" w:cs="宋体"/>
                <w:color w:val="auto"/>
                <w:szCs w:val="21"/>
                <w:highlight w:val="none"/>
              </w:rPr>
            </w:pPr>
          </w:p>
        </w:tc>
        <w:tc>
          <w:tcPr>
            <w:tcW w:w="1050"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3</w:t>
            </w:r>
          </w:p>
        </w:tc>
        <w:tc>
          <w:tcPr>
            <w:tcW w:w="1381" w:type="dxa"/>
            <w:vAlign w:val="center"/>
          </w:tcPr>
          <w:p>
            <w:pPr>
              <w:jc w:val="center"/>
              <w:textAlignment w:val="bottom"/>
              <w:rPr>
                <w:rFonts w:ascii="宋体" w:hAnsi="宋体" w:cs="宋体"/>
                <w:color w:val="auto"/>
                <w:szCs w:val="21"/>
                <w:highlight w:val="none"/>
              </w:rPr>
            </w:pPr>
          </w:p>
        </w:tc>
        <w:tc>
          <w:tcPr>
            <w:tcW w:w="1316" w:type="dxa"/>
            <w:vAlign w:val="center"/>
          </w:tcPr>
          <w:p>
            <w:pPr>
              <w:jc w:val="center"/>
              <w:textAlignment w:val="bottom"/>
              <w:rPr>
                <w:rFonts w:ascii="宋体" w:hAnsi="宋体" w:cs="宋体"/>
                <w:color w:val="auto"/>
                <w:szCs w:val="21"/>
                <w:highlight w:val="none"/>
              </w:rPr>
            </w:pPr>
          </w:p>
        </w:tc>
        <w:tc>
          <w:tcPr>
            <w:tcW w:w="1067" w:type="dxa"/>
            <w:vAlign w:val="center"/>
          </w:tcPr>
          <w:p>
            <w:pPr>
              <w:jc w:val="center"/>
              <w:textAlignment w:val="bottom"/>
              <w:rPr>
                <w:rFonts w:ascii="宋体" w:hAnsi="宋体" w:cs="宋体"/>
                <w:color w:val="auto"/>
                <w:szCs w:val="21"/>
                <w:highlight w:val="none"/>
              </w:rPr>
            </w:pPr>
          </w:p>
        </w:tc>
        <w:tc>
          <w:tcPr>
            <w:tcW w:w="1150" w:type="dxa"/>
            <w:vAlign w:val="center"/>
          </w:tcPr>
          <w:p>
            <w:pPr>
              <w:jc w:val="center"/>
              <w:textAlignment w:val="bottom"/>
              <w:rPr>
                <w:rFonts w:ascii="宋体" w:hAnsi="宋体" w:cs="宋体"/>
                <w:color w:val="auto"/>
                <w:szCs w:val="21"/>
                <w:highlight w:val="none"/>
              </w:rPr>
            </w:pPr>
          </w:p>
        </w:tc>
        <w:tc>
          <w:tcPr>
            <w:tcW w:w="850" w:type="dxa"/>
            <w:vAlign w:val="center"/>
          </w:tcPr>
          <w:p>
            <w:pPr>
              <w:jc w:val="center"/>
              <w:textAlignment w:val="bottom"/>
              <w:rPr>
                <w:rFonts w:ascii="宋体" w:hAnsi="宋体" w:cs="宋体"/>
                <w:color w:val="auto"/>
                <w:szCs w:val="21"/>
                <w:highlight w:val="none"/>
              </w:rPr>
            </w:pPr>
          </w:p>
        </w:tc>
        <w:tc>
          <w:tcPr>
            <w:tcW w:w="833" w:type="dxa"/>
            <w:vAlign w:val="center"/>
          </w:tcPr>
          <w:p>
            <w:pPr>
              <w:jc w:val="center"/>
              <w:textAlignment w:val="bottom"/>
              <w:rPr>
                <w:rFonts w:ascii="宋体" w:hAnsi="宋体" w:cs="宋体"/>
                <w:color w:val="auto"/>
                <w:szCs w:val="21"/>
                <w:highlight w:val="none"/>
              </w:rPr>
            </w:pPr>
          </w:p>
        </w:tc>
        <w:tc>
          <w:tcPr>
            <w:tcW w:w="1050"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w:t>
            </w:r>
          </w:p>
        </w:tc>
        <w:tc>
          <w:tcPr>
            <w:tcW w:w="1381" w:type="dxa"/>
            <w:vAlign w:val="center"/>
          </w:tcPr>
          <w:p>
            <w:pPr>
              <w:jc w:val="center"/>
              <w:textAlignment w:val="bottom"/>
              <w:rPr>
                <w:rFonts w:ascii="宋体" w:hAnsi="宋体" w:cs="宋体"/>
                <w:color w:val="auto"/>
                <w:szCs w:val="21"/>
                <w:highlight w:val="none"/>
              </w:rPr>
            </w:pPr>
          </w:p>
        </w:tc>
        <w:tc>
          <w:tcPr>
            <w:tcW w:w="1316" w:type="dxa"/>
            <w:vAlign w:val="center"/>
          </w:tcPr>
          <w:p>
            <w:pPr>
              <w:jc w:val="center"/>
              <w:textAlignment w:val="bottom"/>
              <w:rPr>
                <w:rFonts w:ascii="宋体" w:hAnsi="宋体" w:cs="宋体"/>
                <w:color w:val="auto"/>
                <w:szCs w:val="21"/>
                <w:highlight w:val="none"/>
              </w:rPr>
            </w:pPr>
          </w:p>
        </w:tc>
        <w:tc>
          <w:tcPr>
            <w:tcW w:w="1067" w:type="dxa"/>
            <w:vAlign w:val="center"/>
          </w:tcPr>
          <w:p>
            <w:pPr>
              <w:jc w:val="center"/>
              <w:textAlignment w:val="bottom"/>
              <w:rPr>
                <w:rFonts w:ascii="宋体" w:hAnsi="宋体" w:cs="宋体"/>
                <w:color w:val="auto"/>
                <w:szCs w:val="21"/>
                <w:highlight w:val="none"/>
              </w:rPr>
            </w:pPr>
          </w:p>
        </w:tc>
        <w:tc>
          <w:tcPr>
            <w:tcW w:w="1150" w:type="dxa"/>
            <w:vAlign w:val="center"/>
          </w:tcPr>
          <w:p>
            <w:pPr>
              <w:jc w:val="center"/>
              <w:textAlignment w:val="bottom"/>
              <w:rPr>
                <w:rFonts w:ascii="宋体" w:hAnsi="宋体" w:cs="宋体"/>
                <w:color w:val="auto"/>
                <w:szCs w:val="21"/>
                <w:highlight w:val="none"/>
              </w:rPr>
            </w:pPr>
          </w:p>
        </w:tc>
        <w:tc>
          <w:tcPr>
            <w:tcW w:w="850" w:type="dxa"/>
            <w:vAlign w:val="center"/>
          </w:tcPr>
          <w:p>
            <w:pPr>
              <w:jc w:val="center"/>
              <w:textAlignment w:val="bottom"/>
              <w:rPr>
                <w:rFonts w:ascii="宋体" w:hAnsi="宋体" w:cs="宋体"/>
                <w:color w:val="auto"/>
                <w:szCs w:val="21"/>
                <w:highlight w:val="none"/>
              </w:rPr>
            </w:pPr>
          </w:p>
        </w:tc>
        <w:tc>
          <w:tcPr>
            <w:tcW w:w="833" w:type="dxa"/>
            <w:vAlign w:val="center"/>
          </w:tcPr>
          <w:p>
            <w:pPr>
              <w:jc w:val="center"/>
              <w:textAlignment w:val="bottom"/>
              <w:rPr>
                <w:rFonts w:ascii="宋体" w:hAnsi="宋体" w:cs="宋体"/>
                <w:color w:val="auto"/>
                <w:szCs w:val="21"/>
                <w:highlight w:val="none"/>
              </w:rPr>
            </w:pPr>
          </w:p>
        </w:tc>
        <w:tc>
          <w:tcPr>
            <w:tcW w:w="1050" w:type="dxa"/>
            <w:vAlign w:val="center"/>
          </w:tcPr>
          <w:p>
            <w:pPr>
              <w:jc w:val="center"/>
              <w:textAlignment w:val="bottom"/>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256" w:type="dxa"/>
            <w:gridSpan w:val="2"/>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vAlign w:val="center"/>
          </w:tcPr>
          <w:p>
            <w:pPr>
              <w:rPr>
                <w:rFonts w:ascii="宋体" w:hAnsi="宋体" w:cs="宋体"/>
                <w:color w:val="auto"/>
                <w:szCs w:val="21"/>
                <w:highlight w:val="none"/>
              </w:rPr>
            </w:pPr>
            <w:r>
              <w:rPr>
                <w:rStyle w:val="39"/>
                <w:rFonts w:hint="eastAsia" w:ascii="宋体" w:hAnsi="宋体" w:eastAsia="宋体" w:cs="宋体"/>
                <w:color w:val="auto"/>
                <w:sz w:val="21"/>
                <w:szCs w:val="21"/>
                <w:highlight w:val="none"/>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tabs>
                <w:tab w:val="left" w:pos="284"/>
              </w:tabs>
              <w:rPr>
                <w:rStyle w:val="39"/>
                <w:rFonts w:ascii="宋体" w:hAnsi="宋体" w:eastAsia="宋体" w:cs="宋体"/>
                <w:b/>
                <w:color w:val="auto"/>
                <w:sz w:val="21"/>
                <w:szCs w:val="21"/>
                <w:highlight w:val="none"/>
              </w:rPr>
            </w:pPr>
            <w:r>
              <w:rPr>
                <w:rStyle w:val="39"/>
                <w:rFonts w:hint="eastAsia" w:ascii="宋体" w:hAnsi="宋体" w:eastAsia="宋体" w:cs="宋体"/>
                <w:b/>
                <w:color w:val="auto"/>
                <w:sz w:val="21"/>
                <w:szCs w:val="21"/>
                <w:highlight w:val="none"/>
              </w:rPr>
              <w:t>注：1、投标人在“货物（服务）分项报价表”中的报价内容中，如有属于节能产品或环境标志产的，必须在此表单独列明且提供相应的证明材料，否则在计算价格得分时不予以相应的扣除；</w:t>
            </w:r>
          </w:p>
          <w:p>
            <w:pPr>
              <w:tabs>
                <w:tab w:val="left" w:pos="284"/>
              </w:tabs>
              <w:rPr>
                <w:rStyle w:val="39"/>
                <w:rFonts w:ascii="宋体" w:hAnsi="宋体" w:eastAsia="宋体" w:cs="宋体"/>
                <w:b/>
                <w:color w:val="auto"/>
                <w:sz w:val="21"/>
                <w:szCs w:val="21"/>
                <w:highlight w:val="none"/>
              </w:rPr>
            </w:pPr>
            <w:r>
              <w:rPr>
                <w:rStyle w:val="39"/>
                <w:rFonts w:hint="eastAsia" w:ascii="宋体" w:hAnsi="宋体" w:eastAsia="宋体" w:cs="宋体"/>
                <w:b/>
                <w:color w:val="auto"/>
                <w:sz w:val="21"/>
                <w:szCs w:val="21"/>
                <w:highlight w:val="none"/>
              </w:rPr>
              <w:t>2、投标人应该如实填写，如投标人所投产品中无节能或环保产品的，请留空或删除此表！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tabs>
                <w:tab w:val="left" w:pos="284"/>
              </w:tabs>
              <w:rPr>
                <w:rStyle w:val="39"/>
                <w:rFonts w:ascii="宋体" w:hAnsi="宋体" w:eastAsia="宋体" w:cs="宋体"/>
                <w:b/>
                <w:color w:val="auto"/>
                <w:sz w:val="21"/>
                <w:szCs w:val="21"/>
                <w:highlight w:val="none"/>
              </w:rPr>
            </w:pPr>
            <w:r>
              <w:rPr>
                <w:rFonts w:hint="eastAsia" w:ascii="宋体" w:hAnsi="宋体"/>
                <w:color w:val="auto"/>
                <w:szCs w:val="21"/>
                <w:highlight w:val="none"/>
              </w:rPr>
              <w:t>日期：</w:t>
            </w:r>
          </w:p>
        </w:tc>
      </w:tr>
    </w:tbl>
    <w:p>
      <w:pPr>
        <w:jc w:val="both"/>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97" w:name="_Toc16412"/>
      <w:r>
        <w:rPr>
          <w:rFonts w:hint="eastAsia" w:ascii="宋体" w:hAnsi="宋体" w:eastAsia="宋体"/>
          <w:color w:val="auto"/>
          <w:sz w:val="21"/>
          <w:szCs w:val="21"/>
          <w:highlight w:val="none"/>
        </w:rPr>
        <w:t>附件5. 法定代表人证明书格式</w:t>
      </w:r>
      <w:bookmarkEnd w:id="97"/>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32"/>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2"/>
        <w:spacing w:line="420" w:lineRule="atLeast"/>
        <w:ind w:firstLine="433"/>
        <w:rPr>
          <w:rFonts w:ascii="宋体" w:eastAsia="宋体"/>
          <w:color w:val="auto"/>
          <w:sz w:val="21"/>
          <w:szCs w:val="21"/>
          <w:highlight w:val="none"/>
        </w:rPr>
      </w:pPr>
    </w:p>
    <w:p>
      <w:pPr>
        <w:pStyle w:val="3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pPr>
        <w:pStyle w:val="3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32"/>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3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3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3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32"/>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2"/>
        <w:spacing w:line="500" w:lineRule="atLeast"/>
        <w:ind w:firstLine="3517" w:firstLineChars="1675"/>
        <w:rPr>
          <w:rFonts w:ascii="宋体" w:eastAsia="宋体"/>
          <w:color w:val="auto"/>
          <w:sz w:val="21"/>
          <w:szCs w:val="21"/>
          <w:highlight w:val="none"/>
        </w:rPr>
      </w:pP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3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32"/>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20"/>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3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pPr>
              <w:pStyle w:val="3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before="0" w:after="0" w:line="240" w:lineRule="auto"/>
        <w:rPr>
          <w:color w:val="auto"/>
          <w:highlight w:val="none"/>
        </w:rPr>
      </w:pPr>
      <w:bookmarkStart w:id="98" w:name="_Toc31205"/>
      <w:r>
        <w:rPr>
          <w:rFonts w:hint="eastAsia" w:ascii="宋体" w:hAnsi="宋体" w:eastAsia="宋体"/>
          <w:color w:val="auto"/>
          <w:sz w:val="21"/>
          <w:szCs w:val="21"/>
          <w:highlight w:val="none"/>
        </w:rPr>
        <w:t>附件6.法定代表人授权书格式</w:t>
      </w:r>
      <w:bookmarkEnd w:id="98"/>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32"/>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2"/>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投标及参加项目谈判，以本单位名义处理一切与之有关的事务。</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2"/>
        <w:spacing w:line="500" w:lineRule="atLeast"/>
        <w:ind w:firstLine="3517" w:firstLineChars="1675"/>
        <w:rPr>
          <w:rFonts w:ascii="宋体" w:eastAsia="宋体"/>
          <w:color w:val="auto"/>
          <w:sz w:val="21"/>
          <w:szCs w:val="21"/>
          <w:highlight w:val="none"/>
        </w:rPr>
      </w:pP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32"/>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32"/>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32"/>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32"/>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须附：被授权人身份证复印件。</w:t>
      </w:r>
    </w:p>
    <w:tbl>
      <w:tblPr>
        <w:tblStyle w:val="20"/>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3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pPr>
              <w:pStyle w:val="32"/>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99" w:name="_Toc22486"/>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00" w:name="_Toc17164"/>
      <w:r>
        <w:rPr>
          <w:rFonts w:hint="eastAsia" w:ascii="宋体" w:hAnsi="宋体" w:eastAsia="宋体"/>
          <w:color w:val="auto"/>
          <w:sz w:val="21"/>
          <w:szCs w:val="21"/>
          <w:highlight w:val="none"/>
        </w:rPr>
        <w:t>附件7.资格申明</w:t>
      </w:r>
      <w:bookmarkEnd w:id="100"/>
    </w:p>
    <w:p>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32"/>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一、我方具备《中华人民共和国政府采购法》第二十二条资格条件，已清楚招标文件所有要求及有关规定；并承诺参加本次政府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我方依法注册，在法律上、财务上和运作上完全独立于（采购人名称）（采购人）及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2"/>
        <w:spacing w:line="500" w:lineRule="atLeast"/>
        <w:ind w:firstLine="3517" w:firstLineChars="1675"/>
        <w:rPr>
          <w:rFonts w:ascii="宋体" w:eastAsia="宋体"/>
          <w:color w:val="auto"/>
          <w:sz w:val="21"/>
          <w:szCs w:val="21"/>
          <w:highlight w:val="none"/>
        </w:rPr>
      </w:pPr>
    </w:p>
    <w:p>
      <w:pPr>
        <w:pStyle w:val="32"/>
        <w:spacing w:line="500" w:lineRule="atLeast"/>
        <w:ind w:firstLine="3517" w:firstLineChars="1675"/>
        <w:rPr>
          <w:rFonts w:ascii="宋体" w:eastAsia="宋体"/>
          <w:color w:val="auto"/>
          <w:sz w:val="21"/>
          <w:szCs w:val="21"/>
          <w:highlight w:val="none"/>
        </w:rPr>
      </w:pPr>
    </w:p>
    <w:p>
      <w:pPr>
        <w:pStyle w:val="3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3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3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32"/>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01" w:name="_Toc27839"/>
      <w:r>
        <w:rPr>
          <w:rFonts w:hint="eastAsia" w:ascii="宋体" w:hAnsi="宋体" w:eastAsia="宋体"/>
          <w:color w:val="auto"/>
          <w:sz w:val="21"/>
          <w:szCs w:val="21"/>
          <w:highlight w:val="none"/>
        </w:rPr>
        <w:t>附件8.营业执照</w:t>
      </w:r>
      <w:bookmarkEnd w:id="101"/>
    </w:p>
    <w:p>
      <w:pPr>
        <w:jc w:val="center"/>
        <w:rPr>
          <w:rFonts w:ascii="黑体" w:eastAsia="黑体"/>
          <w:color w:val="auto"/>
          <w:sz w:val="28"/>
          <w:szCs w:val="28"/>
          <w:highlight w:val="none"/>
        </w:rPr>
      </w:pPr>
      <w:bookmarkStart w:id="102" w:name="_Toc1511"/>
      <w:bookmarkStart w:id="103" w:name="_Toc17470"/>
      <w:bookmarkStart w:id="104" w:name="_Toc24210"/>
      <w:bookmarkStart w:id="105" w:name="_Toc4926"/>
      <w:bookmarkStart w:id="106" w:name="_Toc5919"/>
      <w:r>
        <w:rPr>
          <w:rFonts w:hint="eastAsia" w:ascii="黑体" w:eastAsia="黑体"/>
          <w:color w:val="auto"/>
          <w:sz w:val="28"/>
          <w:szCs w:val="28"/>
          <w:highlight w:val="none"/>
        </w:rPr>
        <w:t>营业执照</w:t>
      </w:r>
      <w:bookmarkEnd w:id="102"/>
      <w:bookmarkEnd w:id="103"/>
      <w:bookmarkEnd w:id="104"/>
      <w:bookmarkEnd w:id="105"/>
      <w:bookmarkEnd w:id="106"/>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07" w:name="_Toc26141"/>
      <w:r>
        <w:rPr>
          <w:rFonts w:hint="eastAsia" w:ascii="宋体" w:hAnsi="宋体" w:eastAsia="宋体"/>
          <w:color w:val="auto"/>
          <w:sz w:val="21"/>
          <w:szCs w:val="21"/>
          <w:highlight w:val="none"/>
        </w:rPr>
        <w:t>附件9.相关资质证明文件</w:t>
      </w:r>
      <w:bookmarkEnd w:id="107"/>
    </w:p>
    <w:p>
      <w:pPr>
        <w:rPr>
          <w:color w:val="auto"/>
          <w:highlight w:val="none"/>
        </w:rPr>
      </w:pPr>
    </w:p>
    <w:p>
      <w:pPr>
        <w:jc w:val="center"/>
        <w:rPr>
          <w:rFonts w:ascii="黑体" w:eastAsia="黑体"/>
          <w:color w:val="auto"/>
          <w:sz w:val="28"/>
          <w:szCs w:val="28"/>
          <w:highlight w:val="none"/>
        </w:rPr>
      </w:pPr>
      <w:bookmarkStart w:id="108" w:name="_Toc13458"/>
      <w:bookmarkStart w:id="109" w:name="_Toc16698"/>
      <w:bookmarkStart w:id="110" w:name="_Toc30307"/>
      <w:bookmarkStart w:id="111" w:name="_Toc16233"/>
      <w:bookmarkStart w:id="112" w:name="_Toc9592"/>
      <w:r>
        <w:rPr>
          <w:rFonts w:hint="eastAsia" w:ascii="黑体" w:eastAsia="黑体"/>
          <w:color w:val="auto"/>
          <w:sz w:val="28"/>
          <w:szCs w:val="28"/>
          <w:highlight w:val="none"/>
        </w:rPr>
        <w:t>相关资质证明文件</w:t>
      </w:r>
      <w:bookmarkEnd w:id="99"/>
      <w:bookmarkEnd w:id="108"/>
      <w:bookmarkEnd w:id="109"/>
      <w:bookmarkEnd w:id="110"/>
      <w:bookmarkEnd w:id="111"/>
      <w:bookmarkEnd w:id="112"/>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13" w:name="_Toc17618"/>
      <w:r>
        <w:rPr>
          <w:rFonts w:hint="eastAsia" w:ascii="宋体" w:hAnsi="宋体" w:eastAsia="宋体"/>
          <w:color w:val="auto"/>
          <w:sz w:val="21"/>
          <w:szCs w:val="21"/>
          <w:highlight w:val="none"/>
        </w:rPr>
        <w:t>附件10. 商务条款偏离表格式</w:t>
      </w:r>
      <w:bookmarkEnd w:id="113"/>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商务条款偏离表</w:t>
      </w:r>
    </w:p>
    <w:tbl>
      <w:tblPr>
        <w:tblStyle w:val="20"/>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620" w:type="dxa"/>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vAlign w:val="center"/>
          </w:tcPr>
          <w:p>
            <w:pPr>
              <w:jc w:val="center"/>
              <w:rPr>
                <w:rFonts w:ascii="宋体" w:hAnsi="宋体"/>
                <w:color w:val="auto"/>
                <w:szCs w:val="21"/>
                <w:highlight w:val="none"/>
              </w:rPr>
            </w:pPr>
            <w:r>
              <w:rPr>
                <w:rFonts w:hint="eastAsia" w:ascii="宋体" w:hAnsi="宋体"/>
                <w:color w:val="auto"/>
                <w:szCs w:val="21"/>
                <w:highlight w:val="none"/>
              </w:rPr>
              <w:t>招标要求</w:t>
            </w:r>
          </w:p>
        </w:tc>
        <w:tc>
          <w:tcPr>
            <w:tcW w:w="1587"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133"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ind w:left="718" w:hanging="718" w:hangingChars="342"/>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1、投标人应对照招标文件商务要求，说明已对招标文件的商务内容做出了实质性的响应。</w:t>
      </w:r>
    </w:p>
    <w:p>
      <w:pPr>
        <w:rPr>
          <w:rFonts w:ascii="宋体" w:hAnsi="宋体"/>
          <w:color w:val="auto"/>
          <w:szCs w:val="21"/>
          <w:highlight w:val="none"/>
        </w:rPr>
      </w:pPr>
      <w:r>
        <w:rPr>
          <w:rFonts w:hint="eastAsia" w:ascii="宋体" w:hAnsi="宋体"/>
          <w:color w:val="auto"/>
          <w:szCs w:val="21"/>
          <w:highlight w:val="none"/>
        </w:rPr>
        <w:t>2、商务条款包括但不限于合格投标人资格、付款方式、履约保证金、完工期、售后服务、检验及验收等要求。</w:t>
      </w:r>
    </w:p>
    <w:p>
      <w:pPr>
        <w:rPr>
          <w:rFonts w:ascii="宋体" w:hAnsi="宋体"/>
          <w:color w:val="auto"/>
          <w:szCs w:val="21"/>
          <w:highlight w:val="none"/>
        </w:rPr>
      </w:pPr>
      <w:r>
        <w:rPr>
          <w:rFonts w:hint="eastAsia" w:ascii="宋体" w:hAnsi="宋体"/>
          <w:color w:val="auto"/>
          <w:szCs w:val="21"/>
          <w:highlight w:val="none"/>
        </w:rPr>
        <w:t>3、若文件有具体要求的，应按照文件要求进行逐一响应，并提供相应的证明材料。</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14" w:name="_Toc32183"/>
      <w:r>
        <w:rPr>
          <w:rFonts w:hint="eastAsia" w:ascii="宋体" w:hAnsi="宋体" w:eastAsia="宋体"/>
          <w:color w:val="auto"/>
          <w:sz w:val="21"/>
          <w:szCs w:val="21"/>
          <w:highlight w:val="none"/>
        </w:rPr>
        <w:t>附件11. 技术规格偏离表格式</w:t>
      </w:r>
      <w:bookmarkEnd w:id="114"/>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902" w:type="dxa"/>
            <w:vAlign w:val="center"/>
          </w:tcPr>
          <w:p>
            <w:pPr>
              <w:jc w:val="center"/>
              <w:rPr>
                <w:rFonts w:ascii="宋体" w:hAnsi="宋体"/>
                <w:color w:val="auto"/>
                <w:szCs w:val="21"/>
                <w:highlight w:val="none"/>
              </w:rPr>
            </w:pPr>
            <w:r>
              <w:rPr>
                <w:rFonts w:hint="eastAsia" w:ascii="宋体" w:hAnsi="宋体"/>
                <w:color w:val="auto"/>
                <w:szCs w:val="21"/>
                <w:highlight w:val="none"/>
              </w:rPr>
              <w:t>技术规格</w:t>
            </w:r>
          </w:p>
        </w:tc>
        <w:tc>
          <w:tcPr>
            <w:tcW w:w="1370" w:type="dxa"/>
            <w:vAlign w:val="center"/>
          </w:tcPr>
          <w:p>
            <w:pPr>
              <w:jc w:val="center"/>
              <w:rPr>
                <w:rFonts w:ascii="宋体" w:hAnsi="宋体"/>
                <w:color w:val="auto"/>
                <w:szCs w:val="21"/>
                <w:highlight w:val="none"/>
              </w:rPr>
            </w:pPr>
            <w:r>
              <w:rPr>
                <w:rFonts w:hint="eastAsia" w:ascii="宋体" w:hAnsi="宋体"/>
                <w:color w:val="auto"/>
                <w:szCs w:val="21"/>
                <w:highlight w:val="none"/>
              </w:rPr>
              <w:t>招标要求</w:t>
            </w:r>
          </w:p>
        </w:tc>
        <w:tc>
          <w:tcPr>
            <w:tcW w:w="1629"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239"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1、偏离项中填写“正”、“负”或“无”，说明项中填写原因。</w:t>
      </w:r>
    </w:p>
    <w:p>
      <w:pPr>
        <w:rPr>
          <w:rFonts w:ascii="宋体" w:hAnsi="宋体"/>
          <w:color w:val="auto"/>
          <w:szCs w:val="21"/>
          <w:highlight w:val="none"/>
        </w:rPr>
      </w:pPr>
      <w:r>
        <w:rPr>
          <w:rFonts w:hint="eastAsia" w:ascii="宋体" w:hAnsi="宋体"/>
          <w:color w:val="auto"/>
          <w:szCs w:val="21"/>
          <w:highlight w:val="none"/>
        </w:rPr>
        <w:t>2、投标人应对照招标文件技术规格，说明所提供服务已对招标文件的技术规格做出实质性的响应，并申明与技术规格条文的偏差和例外。特别对有具体参数要求的指标，投标人必须提供所投设备的具体参数值。</w:t>
      </w:r>
    </w:p>
    <w:p>
      <w:pPr>
        <w:rPr>
          <w:rFonts w:ascii="宋体" w:hAnsi="宋体"/>
          <w:color w:val="auto"/>
          <w:szCs w:val="21"/>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rPr>
          <w:rFonts w:ascii="宋体" w:hAnsi="宋体"/>
          <w:color w:val="auto"/>
          <w:szCs w:val="21"/>
          <w:highlight w:val="none"/>
        </w:rPr>
      </w:pPr>
      <w:bookmarkStart w:id="115" w:name="_Toc17691"/>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s="Times New Roman"/>
          <w:b w:val="0"/>
          <w:bCs w:val="0"/>
          <w:color w:val="auto"/>
          <w:sz w:val="32"/>
          <w:szCs w:val="32"/>
          <w:highlight w:val="none"/>
        </w:rPr>
      </w:pPr>
      <w:bookmarkStart w:id="116" w:name="_Toc29613"/>
      <w:r>
        <w:rPr>
          <w:rFonts w:hint="eastAsia" w:ascii="宋体" w:hAnsi="宋体" w:eastAsia="宋体"/>
          <w:color w:val="auto"/>
          <w:sz w:val="21"/>
          <w:szCs w:val="21"/>
          <w:highlight w:val="none"/>
        </w:rPr>
        <w:t>附件12.重要技术参数（▲）响应表</w:t>
      </w:r>
      <w:bookmarkEnd w:id="115"/>
      <w:bookmarkEnd w:id="116"/>
    </w:p>
    <w:p>
      <w:pPr>
        <w:jc w:val="center"/>
        <w:rPr>
          <w:rFonts w:ascii="黑体" w:eastAsia="黑体"/>
          <w:color w:val="auto"/>
          <w:sz w:val="28"/>
          <w:szCs w:val="28"/>
          <w:highlight w:val="none"/>
        </w:rPr>
      </w:pPr>
      <w:bookmarkStart w:id="117" w:name="_Toc4464"/>
      <w:bookmarkStart w:id="118" w:name="_Toc1274"/>
      <w:bookmarkStart w:id="119" w:name="_Toc6080"/>
      <w:bookmarkStart w:id="120" w:name="_Toc4827"/>
      <w:bookmarkStart w:id="121" w:name="_Toc26078"/>
      <w:bookmarkStart w:id="122" w:name="_Toc18668"/>
    </w:p>
    <w:p>
      <w:pPr>
        <w:jc w:val="center"/>
        <w:rPr>
          <w:rFonts w:ascii="黑体" w:eastAsia="黑体"/>
          <w:color w:val="auto"/>
          <w:sz w:val="28"/>
          <w:szCs w:val="28"/>
          <w:highlight w:val="none"/>
        </w:rPr>
      </w:pPr>
      <w:r>
        <w:rPr>
          <w:rFonts w:hint="eastAsia" w:ascii="黑体" w:eastAsia="黑体"/>
          <w:color w:val="auto"/>
          <w:sz w:val="28"/>
          <w:szCs w:val="28"/>
          <w:highlight w:val="none"/>
        </w:rPr>
        <w:t>重要技术参数（▲）响应表</w:t>
      </w:r>
      <w:bookmarkEnd w:id="117"/>
      <w:bookmarkEnd w:id="118"/>
      <w:bookmarkEnd w:id="119"/>
      <w:bookmarkEnd w:id="120"/>
      <w:bookmarkEnd w:id="121"/>
      <w:bookmarkEnd w:id="122"/>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2"/>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bookmarkStart w:id="123" w:name="_Toc12049"/>
            <w:bookmarkStart w:id="124" w:name="_Toc16872"/>
            <w:bookmarkStart w:id="125" w:name="_Toc10045"/>
            <w:bookmarkStart w:id="126" w:name="_Toc27090"/>
            <w:bookmarkStart w:id="127" w:name="_Toc2700"/>
            <w:bookmarkStart w:id="128" w:name="_Toc22448"/>
            <w:bookmarkStart w:id="129" w:name="_Toc14815"/>
            <w:bookmarkStart w:id="130" w:name="_Toc15903"/>
            <w:bookmarkStart w:id="131" w:name="_Toc4304"/>
            <w:bookmarkStart w:id="132" w:name="_Toc21739"/>
            <w:r>
              <w:rPr>
                <w:rFonts w:hint="eastAsia" w:ascii="宋体" w:hAnsi="宋体" w:eastAsia="宋体" w:cs="Times New Roman"/>
                <w:color w:val="auto"/>
                <w:sz w:val="21"/>
                <w:szCs w:val="21"/>
                <w:highlight w:val="none"/>
              </w:rPr>
              <w:t>技术参数（▲）</w:t>
            </w:r>
            <w:bookmarkEnd w:id="123"/>
            <w:bookmarkEnd w:id="124"/>
            <w:bookmarkEnd w:id="125"/>
            <w:bookmarkEnd w:id="126"/>
            <w:bookmarkEnd w:id="127"/>
            <w:bookmarkEnd w:id="128"/>
            <w:bookmarkEnd w:id="129"/>
            <w:bookmarkEnd w:id="130"/>
            <w:bookmarkEnd w:id="131"/>
            <w:bookmarkEnd w:id="132"/>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bookmarkStart w:id="133" w:name="_Toc7333"/>
            <w:bookmarkStart w:id="134" w:name="_Toc22917"/>
            <w:bookmarkStart w:id="135" w:name="_Toc27442"/>
            <w:bookmarkStart w:id="136" w:name="_Toc8312"/>
            <w:bookmarkStart w:id="137" w:name="_Toc32531"/>
            <w:bookmarkStart w:id="138" w:name="_Toc24662"/>
            <w:bookmarkStart w:id="139" w:name="_Toc21809"/>
            <w:bookmarkStart w:id="140" w:name="_Toc8490"/>
            <w:bookmarkStart w:id="141" w:name="_Toc19251"/>
            <w:bookmarkStart w:id="142" w:name="_Toc22879"/>
            <w:r>
              <w:rPr>
                <w:rFonts w:hint="eastAsia" w:ascii="宋体" w:hAnsi="宋体" w:eastAsia="宋体" w:cs="Times New Roman"/>
                <w:color w:val="auto"/>
                <w:sz w:val="21"/>
                <w:szCs w:val="21"/>
                <w:highlight w:val="none"/>
              </w:rPr>
              <w:t>是否响应</w:t>
            </w:r>
            <w:bookmarkEnd w:id="133"/>
            <w:bookmarkEnd w:id="134"/>
            <w:bookmarkEnd w:id="135"/>
            <w:bookmarkEnd w:id="136"/>
            <w:bookmarkEnd w:id="137"/>
            <w:bookmarkEnd w:id="138"/>
            <w:bookmarkEnd w:id="139"/>
            <w:bookmarkEnd w:id="140"/>
            <w:bookmarkEnd w:id="141"/>
            <w:bookmarkEnd w:id="142"/>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bookmarkStart w:id="143" w:name="_Toc27185"/>
            <w:bookmarkStart w:id="144" w:name="_Toc1330"/>
            <w:bookmarkStart w:id="145" w:name="_Toc17296"/>
            <w:bookmarkStart w:id="146" w:name="_Toc17642"/>
            <w:bookmarkStart w:id="147" w:name="_Toc20820"/>
            <w:bookmarkStart w:id="148" w:name="_Toc5563"/>
            <w:bookmarkStart w:id="149" w:name="_Toc5992"/>
            <w:bookmarkStart w:id="150" w:name="_Toc1912"/>
            <w:bookmarkStart w:id="151" w:name="_Toc3701"/>
            <w:bookmarkStart w:id="152" w:name="_Toc20139"/>
            <w:r>
              <w:rPr>
                <w:rFonts w:hint="eastAsia" w:ascii="宋体" w:hAnsi="宋体" w:eastAsia="宋体" w:cs="Times New Roman"/>
                <w:color w:val="auto"/>
                <w:sz w:val="21"/>
                <w:szCs w:val="21"/>
                <w:highlight w:val="none"/>
              </w:rPr>
              <w:t>页码范围</w:t>
            </w:r>
            <w:bookmarkEnd w:id="143"/>
            <w:bookmarkEnd w:id="144"/>
            <w:bookmarkEnd w:id="145"/>
            <w:bookmarkEnd w:id="146"/>
            <w:bookmarkEnd w:id="147"/>
            <w:bookmarkEnd w:id="148"/>
            <w:bookmarkEnd w:id="149"/>
            <w:bookmarkEnd w:id="150"/>
            <w:bookmarkEnd w:id="151"/>
            <w:bookmarkEnd w:id="1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6"/>
              <w:widowControl w:val="0"/>
              <w:overflowPunct w:val="0"/>
              <w:spacing w:before="0" w:after="0" w:line="240" w:lineRule="auto"/>
              <w:jc w:val="center"/>
              <w:rPr>
                <w:rFonts w:ascii="宋体" w:hAnsi="宋体" w:eastAsia="宋体" w:cs="Times New Roman"/>
                <w:color w:val="auto"/>
                <w:sz w:val="21"/>
                <w:szCs w:val="21"/>
                <w:highlight w:val="none"/>
              </w:rPr>
            </w:pPr>
          </w:p>
        </w:tc>
      </w:tr>
    </w:tbl>
    <w:p>
      <w:pPr>
        <w:pStyle w:val="29"/>
        <w:rPr>
          <w:rFonts w:ascii="宋体" w:hAnsi="宋体"/>
          <w:color w:val="auto"/>
          <w:szCs w:val="21"/>
          <w:highlight w:val="none"/>
        </w:rPr>
      </w:pPr>
    </w:p>
    <w:p>
      <w:pPr>
        <w:pStyle w:val="29"/>
        <w:rPr>
          <w:rFonts w:ascii="宋体" w:hAnsi="宋体"/>
          <w:color w:val="auto"/>
          <w:szCs w:val="21"/>
          <w:highlight w:val="none"/>
        </w:rPr>
      </w:pPr>
      <w:r>
        <w:rPr>
          <w:rFonts w:hint="eastAsia" w:ascii="宋体" w:hAnsi="宋体"/>
          <w:color w:val="auto"/>
          <w:szCs w:val="21"/>
          <w:highlight w:val="none"/>
        </w:rPr>
        <w:t>注：</w:t>
      </w:r>
    </w:p>
    <w:p>
      <w:pPr>
        <w:pStyle w:val="29"/>
        <w:numPr>
          <w:ilvl w:val="0"/>
          <w:numId w:val="11"/>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w:t>
      </w:r>
    </w:p>
    <w:p>
      <w:pPr>
        <w:pStyle w:val="29"/>
        <w:numPr>
          <w:ilvl w:val="0"/>
          <w:numId w:val="11"/>
        </w:numPr>
        <w:ind w:firstLine="422"/>
        <w:rPr>
          <w:rFonts w:ascii="宋体" w:hAnsi="宋体"/>
          <w:b/>
          <w:bCs/>
          <w:color w:val="auto"/>
          <w:szCs w:val="21"/>
          <w:highlight w:val="none"/>
        </w:rPr>
      </w:pPr>
      <w:r>
        <w:rPr>
          <w:rFonts w:hint="eastAsia" w:ascii="宋体" w:hAnsi="宋体"/>
          <w:b/>
          <w:bCs/>
          <w:color w:val="auto"/>
          <w:szCs w:val="21"/>
          <w:highlight w:val="none"/>
        </w:rPr>
        <w:t>投标人可按项目的实际需要提供本表格。招标文件内未涉及▲参数的，此表可以不用提供。</w:t>
      </w:r>
    </w:p>
    <w:p>
      <w:pPr>
        <w:pStyle w:val="29"/>
        <w:numPr>
          <w:ilvl w:val="0"/>
          <w:numId w:val="11"/>
        </w:numPr>
        <w:rPr>
          <w:rFonts w:ascii="宋体" w:hAnsi="宋体"/>
          <w:color w:val="auto"/>
          <w:szCs w:val="21"/>
          <w:highlight w:val="none"/>
        </w:rPr>
      </w:pPr>
      <w:r>
        <w:rPr>
          <w:rFonts w:hint="eastAsia" w:ascii="宋体" w:hAnsi="宋体"/>
          <w:color w:val="auto"/>
          <w:szCs w:val="21"/>
          <w:highlight w:val="none"/>
        </w:rPr>
        <w:t>响应表所列出的材料应为真实准确的，若文件需要，应提供相关证明材料复印件加盖公章。请勿提供虚假、过期材料，否则将依据相关规定严肃处理</w:t>
      </w:r>
    </w:p>
    <w:p>
      <w:pPr>
        <w:pStyle w:val="29"/>
        <w:numPr>
          <w:ilvl w:val="0"/>
          <w:numId w:val="11"/>
        </w:numPr>
        <w:rPr>
          <w:rFonts w:ascii="宋体" w:hAnsi="宋体"/>
          <w:color w:val="auto"/>
          <w:szCs w:val="21"/>
          <w:highlight w:val="none"/>
        </w:rPr>
      </w:pPr>
      <w:r>
        <w:rPr>
          <w:rFonts w:hint="eastAsia" w:ascii="宋体" w:hAnsi="宋体"/>
          <w:color w:val="auto"/>
          <w:szCs w:val="21"/>
          <w:highlight w:val="none"/>
        </w:rPr>
        <w:t>若招标文件有需求，投标文件未提供重要技术参数（</w:t>
      </w:r>
      <w:r>
        <w:rPr>
          <w:rFonts w:hint="eastAsia" w:ascii="宋体" w:hAnsi="宋体" w:cs="Times New Roman"/>
          <w:color w:val="auto"/>
          <w:szCs w:val="21"/>
          <w:highlight w:val="none"/>
        </w:rPr>
        <w:t>▲</w:t>
      </w:r>
      <w:r>
        <w:rPr>
          <w:rFonts w:hint="eastAsia" w:ascii="宋体" w:hAnsi="宋体"/>
          <w:color w:val="auto"/>
          <w:szCs w:val="21"/>
          <w:highlight w:val="none"/>
        </w:rPr>
        <w:t>）响应表对投标人投标产生负面影响的，投标人自行承担后果。</w:t>
      </w:r>
    </w:p>
    <w:p>
      <w:pPr>
        <w:pStyle w:val="29"/>
        <w:numPr>
          <w:ilvl w:val="0"/>
          <w:numId w:val="11"/>
        </w:numPr>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30"/>
          <w:szCs w:val="30"/>
          <w:highlight w:val="none"/>
        </w:rPr>
      </w:pPr>
      <w:bookmarkStart w:id="153" w:name="_Toc27674"/>
      <w:r>
        <w:rPr>
          <w:rFonts w:hint="eastAsia" w:ascii="宋体" w:hAnsi="宋体" w:eastAsia="宋体"/>
          <w:color w:val="auto"/>
          <w:sz w:val="21"/>
          <w:szCs w:val="21"/>
          <w:highlight w:val="none"/>
        </w:rPr>
        <w:t>附件13.业绩表</w:t>
      </w:r>
      <w:bookmarkEnd w:id="153"/>
    </w:p>
    <w:p>
      <w:pP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21"/>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项目合同签订时间</w:t>
            </w:r>
          </w:p>
        </w:tc>
        <w:tc>
          <w:tcPr>
            <w:tcW w:w="1697"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p>
        </w:tc>
        <w:tc>
          <w:tcPr>
            <w:tcW w:w="1705" w:type="dxa"/>
            <w:vAlign w:val="center"/>
          </w:tcPr>
          <w:p>
            <w:pPr>
              <w:adjustRightInd/>
              <w:snapToGrid/>
              <w:jc w:val="center"/>
              <w:rPr>
                <w:rFonts w:ascii="宋体" w:hAnsi="宋体"/>
                <w:color w:val="auto"/>
                <w:szCs w:val="21"/>
                <w:highlight w:val="none"/>
              </w:rPr>
            </w:pPr>
          </w:p>
        </w:tc>
        <w:tc>
          <w:tcPr>
            <w:tcW w:w="1706" w:type="dxa"/>
            <w:vAlign w:val="center"/>
          </w:tcPr>
          <w:p>
            <w:pPr>
              <w:adjustRightInd/>
              <w:snapToGrid/>
              <w:jc w:val="center"/>
              <w:rPr>
                <w:rFonts w:ascii="宋体" w:hAnsi="宋体"/>
                <w:color w:val="auto"/>
                <w:szCs w:val="21"/>
                <w:highlight w:val="none"/>
              </w:rPr>
            </w:pPr>
          </w:p>
        </w:tc>
        <w:tc>
          <w:tcPr>
            <w:tcW w:w="1705" w:type="dxa"/>
            <w:vAlign w:val="center"/>
          </w:tcPr>
          <w:p>
            <w:pPr>
              <w:adjustRightInd/>
              <w:snapToGrid/>
              <w:jc w:val="center"/>
              <w:rPr>
                <w:rFonts w:ascii="宋体" w:hAnsi="宋体"/>
                <w:color w:val="auto"/>
                <w:szCs w:val="21"/>
                <w:highlight w:val="none"/>
              </w:rPr>
            </w:pPr>
          </w:p>
        </w:tc>
        <w:tc>
          <w:tcPr>
            <w:tcW w:w="1697" w:type="dxa"/>
            <w:vAlign w:val="center"/>
          </w:tcPr>
          <w:p>
            <w:pPr>
              <w:adjustRightInd/>
              <w:snapToGrid/>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bl>
    <w:p>
      <w:pPr>
        <w:pStyle w:val="29"/>
        <w:rPr>
          <w:rFonts w:ascii="宋体" w:hAnsi="宋体"/>
          <w:color w:val="auto"/>
          <w:szCs w:val="21"/>
          <w:highlight w:val="none"/>
        </w:rPr>
      </w:pPr>
    </w:p>
    <w:p>
      <w:pPr>
        <w:pStyle w:val="29"/>
        <w:rPr>
          <w:rFonts w:ascii="宋体" w:hAnsi="宋体"/>
          <w:color w:val="auto"/>
          <w:szCs w:val="21"/>
          <w:highlight w:val="none"/>
        </w:rPr>
      </w:pPr>
      <w:r>
        <w:rPr>
          <w:rFonts w:hint="eastAsia" w:ascii="宋体" w:hAnsi="宋体"/>
          <w:color w:val="auto"/>
          <w:szCs w:val="21"/>
          <w:highlight w:val="none"/>
        </w:rPr>
        <w:t>注：</w:t>
      </w:r>
    </w:p>
    <w:p>
      <w:pPr>
        <w:pStyle w:val="29"/>
        <w:numPr>
          <w:ilvl w:val="0"/>
          <w:numId w:val="12"/>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w:t>
      </w:r>
    </w:p>
    <w:p>
      <w:pPr>
        <w:pStyle w:val="29"/>
        <w:numPr>
          <w:ilvl w:val="0"/>
          <w:numId w:val="12"/>
        </w:numP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pPr>
        <w:pStyle w:val="29"/>
        <w:numPr>
          <w:ilvl w:val="0"/>
          <w:numId w:val="12"/>
        </w:numPr>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54" w:name="_Toc7860"/>
      <w:r>
        <w:rPr>
          <w:rFonts w:hint="eastAsia" w:ascii="宋体" w:hAnsi="宋体" w:eastAsia="宋体"/>
          <w:color w:val="auto"/>
          <w:sz w:val="21"/>
          <w:szCs w:val="21"/>
          <w:highlight w:val="none"/>
        </w:rPr>
        <w:t>附件14. 项目实施方案格式</w:t>
      </w:r>
      <w:bookmarkEnd w:id="154"/>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jc w:val="center"/>
        <w:rPr>
          <w:rFonts w:ascii="黑体" w:eastAsia="黑体"/>
          <w:color w:val="auto"/>
          <w:sz w:val="32"/>
          <w:szCs w:val="32"/>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1、为完成本项目投标人临时投入的设备</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2、为完成本项目投标人投入的人员以及具体工作安排</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3、投标人为本项目制定的具体项目实施方案与项目实施流程</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4、售后服务方案</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5、..........</w:t>
      </w:r>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55" w:name="_Toc8596"/>
      <w:r>
        <w:rPr>
          <w:rFonts w:hint="eastAsia" w:ascii="宋体" w:hAnsi="宋体" w:eastAsia="宋体"/>
          <w:color w:val="auto"/>
          <w:sz w:val="21"/>
          <w:szCs w:val="21"/>
          <w:highlight w:val="none"/>
        </w:rPr>
        <w:t>附件15. 实施本项目的有关人员资料表格式</w:t>
      </w:r>
      <w:bookmarkEnd w:id="155"/>
    </w:p>
    <w:p>
      <w:pPr>
        <w:jc w:val="center"/>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20"/>
        <w:tblW w:w="7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22"/>
        <w:gridCol w:w="1392"/>
        <w:gridCol w:w="763"/>
        <w:gridCol w:w="708"/>
        <w:gridCol w:w="851"/>
        <w:gridCol w:w="850"/>
        <w:gridCol w:w="788"/>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822" w:type="dxa"/>
            <w:vAlign w:val="center"/>
          </w:tcPr>
          <w:p>
            <w:pPr>
              <w:jc w:val="center"/>
              <w:rPr>
                <w:rFonts w:ascii="宋体" w:hAnsi="宋体"/>
                <w:color w:val="auto"/>
                <w:szCs w:val="21"/>
                <w:highlight w:val="none"/>
              </w:rPr>
            </w:pPr>
            <w:r>
              <w:rPr>
                <w:rFonts w:hint="eastAsia" w:ascii="宋体" w:hAnsi="宋体"/>
                <w:color w:val="auto"/>
                <w:szCs w:val="21"/>
                <w:highlight w:val="none"/>
              </w:rPr>
              <w:t>姓名</w:t>
            </w:r>
          </w:p>
        </w:tc>
        <w:tc>
          <w:tcPr>
            <w:tcW w:w="1392" w:type="dxa"/>
            <w:vAlign w:val="center"/>
          </w:tcPr>
          <w:p>
            <w:pPr>
              <w:jc w:val="center"/>
              <w:rPr>
                <w:rFonts w:ascii="宋体" w:hAnsi="宋体"/>
                <w:color w:val="auto"/>
                <w:szCs w:val="21"/>
                <w:highlight w:val="none"/>
              </w:rPr>
            </w:pPr>
            <w:r>
              <w:rPr>
                <w:rFonts w:hint="eastAsia" w:ascii="宋体" w:hAnsi="宋体"/>
                <w:color w:val="auto"/>
                <w:szCs w:val="21"/>
                <w:highlight w:val="none"/>
              </w:rPr>
              <w:t>本项目拟任岗位</w:t>
            </w:r>
          </w:p>
        </w:tc>
        <w:tc>
          <w:tcPr>
            <w:tcW w:w="763" w:type="dxa"/>
            <w:vAlign w:val="center"/>
          </w:tcPr>
          <w:p>
            <w:pPr>
              <w:jc w:val="center"/>
              <w:rPr>
                <w:rFonts w:ascii="宋体" w:hAnsi="宋体"/>
                <w:color w:val="auto"/>
                <w:szCs w:val="21"/>
                <w:highlight w:val="none"/>
              </w:rPr>
            </w:pPr>
            <w:r>
              <w:rPr>
                <w:rFonts w:hint="eastAsia" w:ascii="宋体" w:hAnsi="宋体"/>
                <w:color w:val="auto"/>
                <w:szCs w:val="21"/>
                <w:highlight w:val="none"/>
              </w:rPr>
              <w:t>性别</w:t>
            </w:r>
          </w:p>
        </w:tc>
        <w:tc>
          <w:tcPr>
            <w:tcW w:w="708" w:type="dxa"/>
            <w:vAlign w:val="center"/>
          </w:tcPr>
          <w:p>
            <w:pPr>
              <w:jc w:val="center"/>
              <w:rPr>
                <w:rFonts w:ascii="宋体" w:hAnsi="宋体"/>
                <w:color w:val="auto"/>
                <w:szCs w:val="21"/>
                <w:highlight w:val="none"/>
              </w:rPr>
            </w:pPr>
            <w:r>
              <w:rPr>
                <w:rFonts w:hint="eastAsia" w:ascii="宋体" w:hAnsi="宋体"/>
                <w:color w:val="auto"/>
                <w:szCs w:val="21"/>
                <w:highlight w:val="none"/>
              </w:rPr>
              <w:t>年龄</w:t>
            </w:r>
          </w:p>
        </w:tc>
        <w:tc>
          <w:tcPr>
            <w:tcW w:w="851" w:type="dxa"/>
            <w:vAlign w:val="center"/>
          </w:tcPr>
          <w:p>
            <w:pPr>
              <w:jc w:val="center"/>
              <w:rPr>
                <w:rFonts w:ascii="宋体" w:hAnsi="宋体"/>
                <w:color w:val="auto"/>
                <w:szCs w:val="21"/>
                <w:highlight w:val="none"/>
              </w:rPr>
            </w:pPr>
            <w:r>
              <w:rPr>
                <w:rFonts w:hint="eastAsia" w:ascii="宋体" w:hAnsi="宋体"/>
                <w:color w:val="auto"/>
                <w:szCs w:val="21"/>
                <w:highlight w:val="none"/>
              </w:rPr>
              <w:t>技术职称</w:t>
            </w:r>
          </w:p>
        </w:tc>
        <w:tc>
          <w:tcPr>
            <w:tcW w:w="850" w:type="dxa"/>
            <w:vAlign w:val="center"/>
          </w:tcPr>
          <w:p>
            <w:pPr>
              <w:jc w:val="center"/>
              <w:rPr>
                <w:rFonts w:ascii="宋体" w:hAnsi="宋体"/>
                <w:color w:val="auto"/>
                <w:szCs w:val="21"/>
                <w:highlight w:val="none"/>
              </w:rPr>
            </w:pPr>
            <w:r>
              <w:rPr>
                <w:rFonts w:hint="eastAsia" w:ascii="宋体" w:hAnsi="宋体"/>
                <w:color w:val="auto"/>
                <w:szCs w:val="21"/>
                <w:highlight w:val="none"/>
              </w:rPr>
              <w:t>专 业</w:t>
            </w:r>
          </w:p>
        </w:tc>
        <w:tc>
          <w:tcPr>
            <w:tcW w:w="788" w:type="dxa"/>
            <w:vAlign w:val="center"/>
          </w:tcPr>
          <w:p>
            <w:pPr>
              <w:jc w:val="center"/>
              <w:rPr>
                <w:rFonts w:ascii="宋体" w:hAnsi="宋体"/>
                <w:color w:val="auto"/>
                <w:szCs w:val="21"/>
                <w:highlight w:val="none"/>
              </w:rPr>
            </w:pPr>
            <w:r>
              <w:rPr>
                <w:rFonts w:hint="eastAsia" w:ascii="宋体" w:hAnsi="宋体"/>
                <w:color w:val="auto"/>
                <w:szCs w:val="21"/>
                <w:highlight w:val="none"/>
              </w:rPr>
              <w:t>资质证书</w:t>
            </w:r>
          </w:p>
        </w:tc>
        <w:tc>
          <w:tcPr>
            <w:tcW w:w="1090" w:type="dxa"/>
            <w:tcBorders>
              <w:right w:val="single" w:color="auto" w:sz="6" w:space="0"/>
            </w:tcBorders>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ascii="宋体" w:hAnsi="宋体"/>
                <w:color w:val="auto"/>
                <w:szCs w:val="21"/>
                <w:highlight w:val="none"/>
              </w:rPr>
            </w:pPr>
          </w:p>
        </w:tc>
        <w:tc>
          <w:tcPr>
            <w:tcW w:w="822" w:type="dxa"/>
            <w:vAlign w:val="center"/>
          </w:tcPr>
          <w:p>
            <w:pPr>
              <w:spacing w:line="288" w:lineRule="auto"/>
              <w:jc w:val="center"/>
              <w:rPr>
                <w:rFonts w:ascii="宋体" w:hAnsi="宋体"/>
                <w:color w:val="auto"/>
                <w:szCs w:val="21"/>
                <w:highlight w:val="none"/>
              </w:rPr>
            </w:pPr>
          </w:p>
        </w:tc>
        <w:tc>
          <w:tcPr>
            <w:tcW w:w="1392" w:type="dxa"/>
            <w:vAlign w:val="center"/>
          </w:tcPr>
          <w:p>
            <w:pPr>
              <w:spacing w:line="288" w:lineRule="auto"/>
              <w:jc w:val="center"/>
              <w:rPr>
                <w:rFonts w:ascii="宋体" w:hAnsi="宋体"/>
                <w:color w:val="auto"/>
                <w:szCs w:val="21"/>
                <w:highlight w:val="none"/>
              </w:rPr>
            </w:pPr>
          </w:p>
        </w:tc>
        <w:tc>
          <w:tcPr>
            <w:tcW w:w="763" w:type="dxa"/>
            <w:vAlign w:val="center"/>
          </w:tcPr>
          <w:p>
            <w:pPr>
              <w:spacing w:line="288" w:lineRule="auto"/>
              <w:jc w:val="center"/>
              <w:rPr>
                <w:rFonts w:ascii="宋体" w:hAnsi="宋体"/>
                <w:color w:val="auto"/>
                <w:szCs w:val="21"/>
                <w:highlight w:val="none"/>
              </w:rPr>
            </w:pPr>
          </w:p>
        </w:tc>
        <w:tc>
          <w:tcPr>
            <w:tcW w:w="708" w:type="dxa"/>
            <w:vAlign w:val="center"/>
          </w:tcPr>
          <w:p>
            <w:pPr>
              <w:spacing w:line="288" w:lineRule="auto"/>
              <w:jc w:val="center"/>
              <w:rPr>
                <w:rFonts w:ascii="宋体" w:hAnsi="宋体"/>
                <w:color w:val="auto"/>
                <w:szCs w:val="21"/>
                <w:highlight w:val="none"/>
              </w:rPr>
            </w:pPr>
          </w:p>
        </w:tc>
        <w:tc>
          <w:tcPr>
            <w:tcW w:w="851" w:type="dxa"/>
            <w:vAlign w:val="center"/>
          </w:tcPr>
          <w:p>
            <w:pPr>
              <w:spacing w:line="288" w:lineRule="auto"/>
              <w:jc w:val="center"/>
              <w:rPr>
                <w:rFonts w:ascii="宋体" w:hAnsi="宋体"/>
                <w:color w:val="auto"/>
                <w:szCs w:val="21"/>
                <w:highlight w:val="none"/>
              </w:rPr>
            </w:pPr>
          </w:p>
        </w:tc>
        <w:tc>
          <w:tcPr>
            <w:tcW w:w="850" w:type="dxa"/>
            <w:vAlign w:val="center"/>
          </w:tcPr>
          <w:p>
            <w:pPr>
              <w:spacing w:line="288" w:lineRule="auto"/>
              <w:jc w:val="center"/>
              <w:rPr>
                <w:rFonts w:ascii="宋体" w:hAnsi="宋体"/>
                <w:color w:val="auto"/>
                <w:szCs w:val="21"/>
                <w:highlight w:val="none"/>
              </w:rPr>
            </w:pPr>
          </w:p>
        </w:tc>
        <w:tc>
          <w:tcPr>
            <w:tcW w:w="788" w:type="dxa"/>
            <w:vAlign w:val="center"/>
          </w:tcPr>
          <w:p>
            <w:pPr>
              <w:spacing w:line="288" w:lineRule="auto"/>
              <w:jc w:val="center"/>
              <w:rPr>
                <w:rFonts w:ascii="宋体" w:hAnsi="宋体"/>
                <w:color w:val="auto"/>
                <w:szCs w:val="21"/>
                <w:highlight w:val="none"/>
              </w:rPr>
            </w:pPr>
          </w:p>
        </w:tc>
        <w:tc>
          <w:tcPr>
            <w:tcW w:w="1090" w:type="dxa"/>
            <w:tcBorders>
              <w:right w:val="single" w:color="auto" w:sz="6" w:space="0"/>
            </w:tcBorders>
            <w:vAlign w:val="center"/>
          </w:tcPr>
          <w:p>
            <w:pPr>
              <w:spacing w:line="288" w:lineRule="auto"/>
              <w:jc w:val="center"/>
              <w:rPr>
                <w:rFonts w:ascii="宋体" w:hAnsi="宋体"/>
                <w:color w:val="auto"/>
                <w:szCs w:val="21"/>
                <w:highlight w:val="none"/>
              </w:rPr>
            </w:pPr>
          </w:p>
        </w:tc>
      </w:tr>
    </w:tbl>
    <w:p>
      <w:pPr>
        <w:ind w:firstLine="178" w:firstLineChars="85"/>
        <w:rPr>
          <w:rFonts w:ascii="宋体" w:hAnsi="宋体"/>
          <w:color w:val="auto"/>
          <w:szCs w:val="21"/>
          <w:highlight w:val="none"/>
        </w:rPr>
      </w:pPr>
    </w:p>
    <w:p>
      <w:pP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pPr>
        <w:ind w:firstLine="178" w:firstLineChars="85"/>
        <w:rPr>
          <w:rFonts w:ascii="宋体" w:hAnsi="宋体"/>
          <w:color w:val="auto"/>
          <w:szCs w:val="21"/>
          <w:highlight w:val="none"/>
        </w:rPr>
      </w:pPr>
      <w:r>
        <w:rPr>
          <w:rFonts w:hint="eastAsia" w:ascii="宋体" w:hAnsi="宋体"/>
          <w:color w:val="auto"/>
          <w:szCs w:val="21"/>
          <w:highlight w:val="none"/>
        </w:rPr>
        <w:t>投标人代表签字：</w:t>
      </w:r>
    </w:p>
    <w:p>
      <w:pPr>
        <w:ind w:firstLine="178" w:firstLineChars="85"/>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r>
        <w:rPr>
          <w:rFonts w:hint="eastAsia" w:ascii="宋体" w:hAnsi="宋体"/>
          <w:color w:val="auto"/>
          <w:szCs w:val="21"/>
          <w:highlight w:val="none"/>
        </w:rPr>
        <w:t>注：</w:t>
      </w:r>
    </w:p>
    <w:p>
      <w:pPr>
        <w:pStyle w:val="29"/>
        <w:numPr>
          <w:ilvl w:val="0"/>
          <w:numId w:val="13"/>
        </w:numPr>
        <w:ind w:firstLineChars="0"/>
        <w:rPr>
          <w:rFonts w:ascii="宋体" w:hAnsi="宋体"/>
          <w:color w:val="auto"/>
          <w:szCs w:val="21"/>
          <w:highlight w:val="none"/>
        </w:rPr>
      </w:pPr>
      <w:r>
        <w:rPr>
          <w:rFonts w:hint="eastAsia" w:ascii="宋体" w:hAnsi="宋体"/>
          <w:color w:val="auto"/>
          <w:szCs w:val="21"/>
          <w:highlight w:val="none"/>
        </w:rPr>
        <w:t>投标人可按项目的实际需要或招标文件的要求提供本表格。</w:t>
      </w:r>
    </w:p>
    <w:p>
      <w:pPr>
        <w:pStyle w:val="29"/>
        <w:numPr>
          <w:ilvl w:val="0"/>
          <w:numId w:val="13"/>
        </w:numPr>
        <w:ind w:firstLineChars="0"/>
        <w:rPr>
          <w:rFonts w:ascii="宋体" w:hAnsi="宋体" w:cs="Times New Roman"/>
          <w:color w:val="auto"/>
          <w:szCs w:val="21"/>
          <w:highlight w:val="none"/>
        </w:rPr>
      </w:pPr>
      <w:r>
        <w:rPr>
          <w:rFonts w:hint="eastAsia" w:ascii="宋体" w:hAnsi="宋体"/>
          <w:color w:val="auto"/>
          <w:szCs w:val="21"/>
          <w:highlight w:val="none"/>
        </w:rPr>
        <w:t>该表格为参考格式，投标人可按实际情况自行制订。</w:t>
      </w:r>
    </w:p>
    <w:p>
      <w:pPr>
        <w:pStyle w:val="29"/>
        <w:numPr>
          <w:ilvl w:val="0"/>
          <w:numId w:val="13"/>
        </w:numPr>
        <w:ind w:firstLineChars="0"/>
        <w:rPr>
          <w:rFonts w:ascii="宋体" w:hAnsi="宋体" w:cs="Times New Roman"/>
          <w:color w:val="auto"/>
          <w:szCs w:val="21"/>
          <w:highlight w:val="none"/>
        </w:rPr>
      </w:pPr>
      <w:r>
        <w:rPr>
          <w:rFonts w:hint="eastAsia" w:ascii="宋体" w:hAnsi="宋体"/>
          <w:color w:val="auto"/>
          <w:szCs w:val="21"/>
          <w:highlight w:val="none"/>
        </w:rPr>
        <w:t>如本项目不涉及此表内容，则无需提供此表。</w:t>
      </w: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156" w:name="_Toc21598"/>
      <w:r>
        <w:rPr>
          <w:rFonts w:hint="eastAsia" w:ascii="宋体" w:hAnsi="宋体" w:eastAsia="宋体"/>
          <w:color w:val="auto"/>
          <w:sz w:val="21"/>
          <w:szCs w:val="21"/>
          <w:highlight w:val="none"/>
        </w:rPr>
        <w:t>附件16.投标货物说明一览表格式</w:t>
      </w:r>
      <w:bookmarkEnd w:id="156"/>
    </w:p>
    <w:p>
      <w:pPr>
        <w:jc w:val="center"/>
        <w:rPr>
          <w:rFonts w:ascii="黑体" w:eastAsia="黑体"/>
          <w:color w:val="auto"/>
          <w:sz w:val="28"/>
          <w:szCs w:val="28"/>
          <w:highlight w:val="none"/>
        </w:rPr>
      </w:pPr>
    </w:p>
    <w:p>
      <w:pPr>
        <w:jc w:val="center"/>
        <w:rPr>
          <w:rFonts w:ascii="黑体" w:eastAsia="黑体" w:cs="Times New Roman"/>
          <w:color w:val="auto"/>
          <w:sz w:val="28"/>
          <w:szCs w:val="28"/>
          <w:highlight w:val="none"/>
        </w:rPr>
      </w:pPr>
      <w:r>
        <w:rPr>
          <w:rFonts w:hint="eastAsia" w:ascii="黑体" w:eastAsia="黑体" w:cs="Times New Roman"/>
          <w:color w:val="auto"/>
          <w:sz w:val="28"/>
          <w:szCs w:val="28"/>
          <w:highlight w:val="none"/>
        </w:rPr>
        <w:t>投标货物说明一览表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775"/>
        <w:gridCol w:w="1618"/>
        <w:gridCol w:w="1217"/>
        <w:gridCol w:w="1656"/>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序号</w:t>
            </w:r>
          </w:p>
        </w:tc>
        <w:tc>
          <w:tcPr>
            <w:tcW w:w="1775"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货物名称</w:t>
            </w:r>
          </w:p>
        </w:tc>
        <w:tc>
          <w:tcPr>
            <w:tcW w:w="1618"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规格型号</w:t>
            </w:r>
          </w:p>
        </w:tc>
        <w:tc>
          <w:tcPr>
            <w:tcW w:w="1217"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数量</w:t>
            </w:r>
          </w:p>
        </w:tc>
        <w:tc>
          <w:tcPr>
            <w:tcW w:w="1656"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单价</w:t>
            </w:r>
          </w:p>
        </w:tc>
        <w:tc>
          <w:tcPr>
            <w:tcW w:w="1305" w:type="dxa"/>
            <w:vAlign w:val="center"/>
          </w:tcPr>
          <w:p>
            <w:pPr>
              <w:jc w:val="center"/>
              <w:rPr>
                <w:rFonts w:ascii="宋体" w:hAnsi="宋体" w:cs="Times New Roman"/>
                <w:color w:val="auto"/>
                <w:szCs w:val="21"/>
                <w:highlight w:val="none"/>
              </w:rPr>
            </w:pPr>
            <w:r>
              <w:rPr>
                <w:rFonts w:hint="eastAsia" w:ascii="宋体" w:hAnsi="宋体" w:cs="Times New Roman"/>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jc w:val="center"/>
              <w:rPr>
                <w:rFonts w:ascii="宋体" w:hAnsi="宋体" w:cs="Times New Roman"/>
                <w:color w:val="auto"/>
                <w:szCs w:val="21"/>
                <w:highlight w:val="none"/>
              </w:rPr>
            </w:pPr>
          </w:p>
        </w:tc>
        <w:tc>
          <w:tcPr>
            <w:tcW w:w="1775" w:type="dxa"/>
            <w:vAlign w:val="center"/>
          </w:tcPr>
          <w:p>
            <w:pPr>
              <w:jc w:val="center"/>
              <w:rPr>
                <w:rFonts w:ascii="宋体" w:hAnsi="宋体" w:cs="Times New Roman"/>
                <w:color w:val="auto"/>
                <w:szCs w:val="21"/>
                <w:highlight w:val="none"/>
              </w:rPr>
            </w:pPr>
          </w:p>
        </w:tc>
        <w:tc>
          <w:tcPr>
            <w:tcW w:w="1618" w:type="dxa"/>
            <w:vAlign w:val="center"/>
          </w:tcPr>
          <w:p>
            <w:pPr>
              <w:jc w:val="center"/>
              <w:rPr>
                <w:rFonts w:ascii="宋体" w:hAnsi="宋体" w:cs="Times New Roman"/>
                <w:color w:val="auto"/>
                <w:szCs w:val="21"/>
                <w:highlight w:val="none"/>
              </w:rPr>
            </w:pPr>
          </w:p>
        </w:tc>
        <w:tc>
          <w:tcPr>
            <w:tcW w:w="1217" w:type="dxa"/>
            <w:vAlign w:val="center"/>
          </w:tcPr>
          <w:p>
            <w:pPr>
              <w:jc w:val="center"/>
              <w:rPr>
                <w:rFonts w:ascii="宋体" w:hAnsi="宋体" w:cs="Times New Roman"/>
                <w:color w:val="auto"/>
                <w:szCs w:val="21"/>
                <w:highlight w:val="none"/>
              </w:rPr>
            </w:pPr>
          </w:p>
        </w:tc>
        <w:tc>
          <w:tcPr>
            <w:tcW w:w="1656" w:type="dxa"/>
            <w:vAlign w:val="center"/>
          </w:tcPr>
          <w:p>
            <w:pPr>
              <w:jc w:val="center"/>
              <w:rPr>
                <w:rFonts w:ascii="宋体" w:hAnsi="宋体" w:cs="Times New Roman"/>
                <w:color w:val="auto"/>
                <w:szCs w:val="21"/>
                <w:highlight w:val="none"/>
              </w:rPr>
            </w:pPr>
          </w:p>
        </w:tc>
        <w:tc>
          <w:tcPr>
            <w:tcW w:w="1305" w:type="dxa"/>
            <w:vAlign w:val="center"/>
          </w:tcPr>
          <w:p>
            <w:pPr>
              <w:jc w:val="center"/>
              <w:rPr>
                <w:rFonts w:ascii="宋体" w:hAnsi="宋体" w:cs="Times New Roman"/>
                <w:color w:val="auto"/>
                <w:szCs w:val="21"/>
                <w:highlight w:val="none"/>
              </w:rPr>
            </w:pPr>
          </w:p>
        </w:tc>
      </w:tr>
    </w:tbl>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s="Times New Roman"/>
          <w:color w:val="auto"/>
          <w:szCs w:val="21"/>
          <w:highlight w:val="none"/>
        </w:rPr>
      </w:pPr>
      <w:r>
        <w:rPr>
          <w:rFonts w:hint="eastAsia" w:ascii="宋体" w:hAnsi="宋体" w:cs="Times New Roman"/>
          <w:color w:val="auto"/>
          <w:szCs w:val="21"/>
          <w:highlight w:val="none"/>
        </w:rPr>
        <w:t>投标人盖章：</w:t>
      </w: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注：</w:t>
      </w:r>
    </w:p>
    <w:p>
      <w:pPr>
        <w:pStyle w:val="29"/>
        <w:ind w:firstLine="0" w:firstLineChars="0"/>
        <w:rPr>
          <w:rFonts w:ascii="宋体" w:hAnsi="宋体"/>
          <w:color w:val="auto"/>
          <w:szCs w:val="21"/>
          <w:highlight w:val="none"/>
        </w:rPr>
      </w:pPr>
      <w:r>
        <w:rPr>
          <w:rFonts w:hint="eastAsia" w:ascii="宋体" w:hAnsi="宋体"/>
          <w:color w:val="auto"/>
          <w:szCs w:val="21"/>
          <w:highlight w:val="none"/>
        </w:rPr>
        <w:t>1、投标人可按项目的实际需要提供本表格。</w:t>
      </w:r>
    </w:p>
    <w:p>
      <w:pPr>
        <w:pStyle w:val="29"/>
        <w:ind w:firstLine="0" w:firstLineChars="0"/>
        <w:rPr>
          <w:rFonts w:ascii="宋体" w:hAnsi="宋体"/>
          <w:color w:val="auto"/>
          <w:szCs w:val="21"/>
          <w:highlight w:val="none"/>
        </w:rPr>
      </w:pPr>
      <w:r>
        <w:rPr>
          <w:rFonts w:hint="eastAsia" w:ascii="宋体" w:hAnsi="宋体"/>
          <w:color w:val="auto"/>
          <w:szCs w:val="21"/>
          <w:highlight w:val="none"/>
        </w:rPr>
        <w:t>2、该表格为参考格式，投标人可按实际情况自行制订。</w:t>
      </w:r>
    </w:p>
    <w:p>
      <w:pPr>
        <w:pStyle w:val="29"/>
        <w:ind w:firstLine="0" w:firstLineChars="0"/>
        <w:rPr>
          <w:rFonts w:ascii="宋体" w:hAnsi="宋体"/>
          <w:color w:val="auto"/>
          <w:szCs w:val="21"/>
          <w:highlight w:val="none"/>
        </w:rPr>
      </w:pPr>
      <w:r>
        <w:rPr>
          <w:rFonts w:hint="eastAsia" w:ascii="宋体" w:hAnsi="宋体"/>
          <w:color w:val="auto"/>
          <w:szCs w:val="21"/>
          <w:highlight w:val="none"/>
        </w:rPr>
        <w:t>3、如本项目不涉及此表内容，则无需提供此表。</w:t>
      </w:r>
      <w:r>
        <w:rPr>
          <w:rFonts w:hint="eastAsia" w:ascii="宋体" w:hAnsi="宋体"/>
          <w:color w:val="auto"/>
          <w:szCs w:val="21"/>
          <w:highlight w:val="none"/>
        </w:rPr>
        <w:br w:type="page"/>
      </w:r>
    </w:p>
    <w:p>
      <w:pPr>
        <w:pStyle w:val="6"/>
        <w:widowControl w:val="0"/>
        <w:overflowPunct w:val="0"/>
        <w:spacing w:before="0" w:after="0" w:line="240" w:lineRule="auto"/>
        <w:rPr>
          <w:rFonts w:ascii="楷体_GB2312" w:eastAsia="楷体_GB2312"/>
          <w:color w:val="auto"/>
          <w:sz w:val="24"/>
          <w:highlight w:val="none"/>
        </w:rPr>
      </w:pPr>
      <w:bookmarkStart w:id="157" w:name="_Toc10094"/>
      <w:bookmarkStart w:id="158" w:name="_Toc417907703"/>
      <w:bookmarkStart w:id="159" w:name="_Toc21223"/>
      <w:r>
        <w:rPr>
          <w:rFonts w:hint="eastAsia" w:ascii="宋体" w:hAnsi="宋体" w:eastAsia="宋体"/>
          <w:color w:val="auto"/>
          <w:sz w:val="21"/>
          <w:szCs w:val="21"/>
          <w:highlight w:val="none"/>
        </w:rPr>
        <w:t>附件17.在经营活动中没有重大违法记录的书面声明格式</w:t>
      </w:r>
      <w:bookmarkEnd w:id="157"/>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投标人在参与政府采购活动前三年未有重大违法记录、没有不良信用记录的声明函</w:t>
      </w:r>
    </w:p>
    <w:p>
      <w:pPr>
        <w:ind w:firstLine="420" w:firstLineChars="200"/>
        <w:rPr>
          <w:rFonts w:ascii="宋体" w:hAnsi="宋体" w:cs="宋体"/>
          <w:color w:val="auto"/>
          <w:szCs w:val="21"/>
          <w:highlight w:val="none"/>
        </w:rPr>
      </w:pP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政府采购活动前三年内（设立不满三年的从设立之日计算），在经营活动中没有重大违法记录；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before="0" w:after="0" w:line="240" w:lineRule="auto"/>
        <w:rPr>
          <w:color w:val="auto"/>
          <w:highlight w:val="none"/>
        </w:rPr>
      </w:pPr>
      <w:r>
        <w:rPr>
          <w:rFonts w:hint="eastAsia" w:ascii="宋体" w:hAnsi="宋体" w:eastAsia="宋体"/>
          <w:color w:val="auto"/>
          <w:sz w:val="21"/>
          <w:szCs w:val="21"/>
          <w:highlight w:val="none"/>
        </w:rPr>
        <w:t>附件18. 中小企业声明函（投标人为中小企业时适用）</w:t>
      </w:r>
      <w:bookmarkEnd w:id="158"/>
      <w:bookmarkEnd w:id="159"/>
    </w:p>
    <w:p>
      <w:pPr>
        <w:jc w:val="center"/>
        <w:rPr>
          <w:rFonts w:ascii="微软雅黑" w:hAnsi="微软雅黑" w:cs="微软雅黑"/>
          <w:b/>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中小企业声明函（货物）</w:t>
      </w:r>
    </w:p>
    <w:p>
      <w:pPr>
        <w:ind w:firstLine="630" w:firstLineChars="3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6"/>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以上企业，不属于大企业的分支机构，不存在控股股东为大企业的情形，也不存在与大企业的负责人为同一人的情形。</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color w:val="auto"/>
          <w:szCs w:val="21"/>
          <w:highlight w:val="none"/>
        </w:rPr>
      </w:pPr>
      <w:r>
        <w:rPr>
          <w:rFonts w:hint="eastAsia" w:ascii="宋体" w:hAnsi="宋体"/>
          <w:color w:val="auto"/>
          <w:szCs w:val="21"/>
          <w:highlight w:val="none"/>
        </w:rPr>
        <w:br w:type="page"/>
      </w:r>
    </w:p>
    <w:p>
      <w:pPr>
        <w:jc w:val="center"/>
        <w:rPr>
          <w:rFonts w:ascii="黑体" w:eastAsia="黑体"/>
          <w:color w:val="auto"/>
          <w:sz w:val="28"/>
          <w:szCs w:val="28"/>
          <w:highlight w:val="none"/>
        </w:rPr>
      </w:pPr>
      <w:r>
        <w:rPr>
          <w:rFonts w:hint="eastAsia" w:ascii="黑体" w:eastAsia="黑体"/>
          <w:color w:val="auto"/>
          <w:sz w:val="28"/>
          <w:szCs w:val="28"/>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6"/>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以上企业，不属于大企业的分支机构，不存在控股股东为大企业的情形，也不存在与大企业的负责人为同一人的情形。</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color w:val="auto"/>
          <w:szCs w:val="21"/>
          <w:highlight w:val="none"/>
        </w:rPr>
      </w:pPr>
      <w:r>
        <w:rPr>
          <w:rFonts w:hint="eastAsia" w:ascii="宋体" w:hAnsi="宋体"/>
          <w:color w:val="auto"/>
          <w:szCs w:val="21"/>
          <w:highlight w:val="none"/>
        </w:rPr>
        <w:br w:type="page"/>
      </w:r>
    </w:p>
    <w:p>
      <w:pPr>
        <w:rPr>
          <w:rFonts w:ascii="宋体" w:hAnsi="宋体"/>
          <w:color w:val="auto"/>
          <w:szCs w:val="21"/>
          <w:highlight w:val="none"/>
        </w:rPr>
      </w:pPr>
      <w:r>
        <w:rPr>
          <w:rFonts w:hint="eastAsia" w:ascii="宋体" w:hAnsi="宋体"/>
          <w:color w:val="auto"/>
          <w:szCs w:val="21"/>
          <w:highlight w:val="none"/>
        </w:rPr>
        <w:t>注：</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2、若投标人不属于规定的中小企业范围，或提供的产品不是中小企业制造的，则无需提供此表。</w:t>
      </w:r>
    </w:p>
    <w:p>
      <w:pPr>
        <w:spacing w:line="480" w:lineRule="auto"/>
        <w:ind w:firstLine="420" w:firstLineChars="200"/>
        <w:rPr>
          <w:rFonts w:ascii="楷体_GB2312" w:eastAsia="楷体_GB2312"/>
          <w:color w:val="auto"/>
          <w:sz w:val="24"/>
          <w:highlight w:val="none"/>
        </w:rPr>
      </w:pPr>
      <w:r>
        <w:rPr>
          <w:rFonts w:hint="eastAsia" w:ascii="宋体" w:hAnsi="宋体"/>
          <w:color w:val="auto"/>
          <w:szCs w:val="21"/>
          <w:highlight w:val="none"/>
        </w:rPr>
        <w:t>3、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before="0" w:after="0" w:line="240" w:lineRule="auto"/>
        <w:rPr>
          <w:rFonts w:ascii="楷体_GB2312" w:eastAsia="楷体_GB2312"/>
          <w:color w:val="auto"/>
          <w:sz w:val="24"/>
          <w:highlight w:val="none"/>
        </w:rPr>
      </w:pPr>
      <w:bookmarkStart w:id="160" w:name="_Toc28081"/>
      <w:r>
        <w:rPr>
          <w:rFonts w:hint="eastAsia" w:ascii="宋体" w:hAnsi="宋体" w:eastAsia="宋体"/>
          <w:color w:val="auto"/>
          <w:sz w:val="21"/>
          <w:szCs w:val="21"/>
          <w:highlight w:val="none"/>
        </w:rPr>
        <w:t>附件19.《残疾人福利性单位声明函》（残疾人福利性单位适用）</w:t>
      </w:r>
      <w:bookmarkEnd w:id="160"/>
    </w:p>
    <w:p>
      <w:pPr>
        <w:jc w:val="cente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残疾人福利性单位声明函</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spacing w:line="480" w:lineRule="auto"/>
        <w:jc w:val="right"/>
        <w:rPr>
          <w:rFonts w:ascii="宋体" w:hAnsi="宋体"/>
          <w:color w:val="auto"/>
          <w:szCs w:val="21"/>
          <w:highlight w:val="none"/>
        </w:rPr>
      </w:pPr>
      <w:r>
        <w:rPr>
          <w:rFonts w:hint="eastAsia" w:ascii="宋体" w:hAnsi="宋体"/>
          <w:color w:val="auto"/>
          <w:szCs w:val="21"/>
          <w:highlight w:val="none"/>
        </w:rPr>
        <w:t>单位名称（盖章）：</w:t>
      </w:r>
      <w:bookmarkStart w:id="161" w:name="_Toc20910"/>
      <w:bookmarkStart w:id="162" w:name="_Toc508960153"/>
      <w:bookmarkStart w:id="163" w:name="_Toc30247"/>
      <w:bookmarkStart w:id="164" w:name="_Toc17761"/>
      <w:bookmarkStart w:id="165" w:name="_Toc509479530"/>
      <w:bookmarkStart w:id="166" w:name="_Toc22970"/>
      <w:bookmarkStart w:id="167" w:name="_Toc510171693"/>
      <w:bookmarkStart w:id="168" w:name="_Toc508898066"/>
      <w:bookmarkStart w:id="169" w:name="_Toc509927455"/>
      <w:bookmarkStart w:id="170" w:name="_Toc509844825"/>
      <w:bookmarkStart w:id="171" w:name="_Toc508958703"/>
      <w:bookmarkStart w:id="172" w:name="_Toc30277"/>
    </w:p>
    <w:p>
      <w:pPr>
        <w:spacing w:line="480" w:lineRule="auto"/>
        <w:jc w:val="right"/>
        <w:rPr>
          <w:rFonts w:ascii="宋体" w:hAnsi="宋体"/>
          <w:color w:val="auto"/>
          <w:szCs w:val="21"/>
          <w:highlight w:val="none"/>
        </w:rPr>
      </w:pPr>
    </w:p>
    <w:p>
      <w:pPr>
        <w:spacing w:line="480" w:lineRule="auto"/>
        <w:jc w:val="right"/>
        <w:rPr>
          <w:rFonts w:ascii="宋体" w:hAnsi="宋体"/>
          <w:color w:val="auto"/>
          <w:szCs w:val="21"/>
          <w:highlight w:val="none"/>
        </w:rPr>
      </w:pPr>
      <w:r>
        <w:rPr>
          <w:rFonts w:hint="eastAsia" w:ascii="宋体" w:hAnsi="宋体"/>
          <w:color w:val="auto"/>
          <w:szCs w:val="21"/>
          <w:highlight w:val="none"/>
        </w:rPr>
        <w:t>日  期：</w:t>
      </w:r>
      <w:bookmarkEnd w:id="161"/>
      <w:bookmarkEnd w:id="162"/>
      <w:bookmarkEnd w:id="163"/>
      <w:bookmarkEnd w:id="164"/>
      <w:bookmarkEnd w:id="165"/>
      <w:bookmarkEnd w:id="166"/>
      <w:bookmarkEnd w:id="167"/>
      <w:bookmarkEnd w:id="168"/>
      <w:bookmarkEnd w:id="169"/>
      <w:bookmarkEnd w:id="170"/>
      <w:bookmarkEnd w:id="171"/>
      <w:bookmarkEnd w:id="172"/>
    </w:p>
    <w:p>
      <w:pPr>
        <w:pStyle w:val="2"/>
        <w:rPr>
          <w:color w:val="auto"/>
          <w:highlight w:val="none"/>
        </w:rPr>
      </w:pPr>
    </w:p>
    <w:p>
      <w:pPr>
        <w:spacing w:line="480" w:lineRule="auto"/>
        <w:ind w:firstLine="420" w:firstLineChars="200"/>
        <w:rPr>
          <w:rFonts w:ascii="宋体" w:hAnsi="宋体"/>
          <w:color w:val="auto"/>
          <w:szCs w:val="21"/>
          <w:highlight w:val="none"/>
        </w:rPr>
      </w:pPr>
      <w:bookmarkStart w:id="173" w:name="_Toc508958704"/>
      <w:bookmarkStart w:id="174" w:name="_Toc31520"/>
      <w:bookmarkStart w:id="175" w:name="_Toc509927456"/>
      <w:bookmarkStart w:id="176" w:name="_Toc510171694"/>
      <w:bookmarkStart w:id="177" w:name="_Toc21053"/>
      <w:bookmarkStart w:id="178" w:name="_Toc5447"/>
      <w:bookmarkStart w:id="179" w:name="_Toc508960154"/>
      <w:bookmarkStart w:id="180" w:name="_Toc28527"/>
      <w:bookmarkStart w:id="181" w:name="_Toc509479531"/>
      <w:bookmarkStart w:id="182" w:name="_Toc509844826"/>
      <w:bookmarkStart w:id="183" w:name="_Toc508898067"/>
      <w:bookmarkStart w:id="184" w:name="_Toc26216"/>
      <w:r>
        <w:rPr>
          <w:rFonts w:hint="eastAsia" w:ascii="宋体" w:hAnsi="宋体"/>
          <w:color w:val="auto"/>
          <w:szCs w:val="21"/>
          <w:highlight w:val="none"/>
        </w:rPr>
        <w:t>注：（1）符合《财政部 民政部 中国残疾人联合会关于促进残疾人就业政府采购政策的通知》（财库〔2017〕 141号）规定条件的残疾人福利性单位应当提供《残疾人福利性单位声明函》。</w:t>
      </w:r>
      <w:bookmarkEnd w:id="173"/>
      <w:bookmarkEnd w:id="174"/>
      <w:bookmarkEnd w:id="175"/>
      <w:bookmarkEnd w:id="176"/>
      <w:bookmarkEnd w:id="177"/>
      <w:bookmarkEnd w:id="178"/>
      <w:bookmarkEnd w:id="179"/>
      <w:bookmarkEnd w:id="180"/>
      <w:bookmarkEnd w:id="181"/>
      <w:bookmarkEnd w:id="182"/>
      <w:bookmarkEnd w:id="183"/>
      <w:bookmarkEnd w:id="184"/>
    </w:p>
    <w:p>
      <w:pPr>
        <w:spacing w:line="480" w:lineRule="auto"/>
        <w:ind w:firstLine="420" w:firstLineChars="200"/>
        <w:rPr>
          <w:rFonts w:ascii="宋体" w:hAnsi="宋体"/>
          <w:color w:val="auto"/>
          <w:szCs w:val="21"/>
          <w:highlight w:val="none"/>
        </w:rPr>
      </w:pPr>
      <w:bookmarkStart w:id="185" w:name="_Toc509844827"/>
      <w:bookmarkStart w:id="186" w:name="_Toc508958705"/>
      <w:bookmarkStart w:id="187" w:name="_Toc509927457"/>
      <w:bookmarkStart w:id="188" w:name="_Toc508898068"/>
      <w:bookmarkStart w:id="189" w:name="_Toc9148"/>
      <w:bookmarkStart w:id="190" w:name="_Toc509479532"/>
      <w:bookmarkStart w:id="191" w:name="_Toc24848"/>
      <w:bookmarkStart w:id="192" w:name="_Toc28126"/>
      <w:bookmarkStart w:id="193" w:name="_Toc510171695"/>
      <w:bookmarkStart w:id="194" w:name="_Toc508960155"/>
      <w:bookmarkStart w:id="195" w:name="_Toc28626"/>
      <w:bookmarkStart w:id="196" w:name="_Toc14653"/>
      <w:r>
        <w:rPr>
          <w:rFonts w:hint="eastAsia" w:ascii="宋体" w:hAnsi="宋体"/>
          <w:color w:val="auto"/>
          <w:szCs w:val="21"/>
          <w:highlight w:val="none"/>
        </w:rPr>
        <w:t>（2）中标人为残疾人福利性单位的，采购代理机构将随中标结果同时公告其《残疾人福利性单位声明函》，接受社会监督。</w:t>
      </w:r>
      <w:bookmarkEnd w:id="185"/>
      <w:bookmarkEnd w:id="186"/>
      <w:bookmarkEnd w:id="187"/>
      <w:bookmarkEnd w:id="188"/>
      <w:bookmarkEnd w:id="189"/>
      <w:bookmarkEnd w:id="190"/>
      <w:bookmarkEnd w:id="191"/>
      <w:bookmarkEnd w:id="192"/>
      <w:bookmarkEnd w:id="193"/>
      <w:bookmarkEnd w:id="194"/>
      <w:bookmarkEnd w:id="195"/>
      <w:bookmarkEnd w:id="196"/>
    </w:p>
    <w:p>
      <w:pPr>
        <w:spacing w:line="480" w:lineRule="auto"/>
        <w:ind w:firstLine="420" w:firstLineChars="200"/>
        <w:rPr>
          <w:rFonts w:ascii="宋体" w:hAnsi="宋体"/>
          <w:color w:val="auto"/>
          <w:szCs w:val="21"/>
          <w:highlight w:val="none"/>
        </w:rPr>
      </w:pPr>
      <w:bookmarkStart w:id="197" w:name="_Toc22981"/>
      <w:bookmarkStart w:id="198" w:name="_Toc510171696"/>
      <w:bookmarkStart w:id="199" w:name="_Toc508960156"/>
      <w:bookmarkStart w:id="200" w:name="_Toc508898069"/>
      <w:bookmarkStart w:id="201" w:name="_Toc509927458"/>
      <w:bookmarkStart w:id="202" w:name="_Toc508958706"/>
      <w:bookmarkStart w:id="203" w:name="_Toc509479533"/>
      <w:bookmarkStart w:id="204" w:name="_Toc9837"/>
      <w:bookmarkStart w:id="205" w:name="_Toc28686"/>
      <w:bookmarkStart w:id="206" w:name="_Toc28044"/>
      <w:bookmarkStart w:id="207" w:name="_Toc7858"/>
      <w:bookmarkStart w:id="208" w:name="_Toc509844828"/>
      <w:r>
        <w:rPr>
          <w:rFonts w:hint="eastAsia" w:ascii="宋体" w:hAnsi="宋体"/>
          <w:color w:val="auto"/>
          <w:szCs w:val="21"/>
          <w:highlight w:val="none"/>
        </w:rPr>
        <w:t>（3）投标人提供的《残疾人福利性单位声明函》与事实不符的，依照《政府采购法》第七十七条第一款的规定追究法律责任。</w:t>
      </w:r>
      <w:bookmarkEnd w:id="197"/>
      <w:bookmarkEnd w:id="198"/>
      <w:bookmarkEnd w:id="199"/>
      <w:bookmarkEnd w:id="200"/>
      <w:bookmarkEnd w:id="201"/>
      <w:bookmarkEnd w:id="202"/>
      <w:bookmarkEnd w:id="203"/>
      <w:bookmarkEnd w:id="204"/>
      <w:bookmarkEnd w:id="205"/>
      <w:bookmarkEnd w:id="206"/>
      <w:bookmarkEnd w:id="207"/>
      <w:bookmarkEnd w:id="208"/>
    </w:p>
    <w:p>
      <w:pPr>
        <w:spacing w:line="480" w:lineRule="auto"/>
        <w:ind w:firstLine="420" w:firstLineChars="200"/>
        <w:rPr>
          <w:rFonts w:ascii="宋体" w:hAnsi="宋体"/>
          <w:color w:val="auto"/>
          <w:szCs w:val="21"/>
          <w:highlight w:val="none"/>
        </w:rPr>
      </w:pPr>
      <w:bookmarkStart w:id="209" w:name="_Toc5289"/>
      <w:bookmarkStart w:id="210" w:name="_Toc510171697"/>
      <w:bookmarkStart w:id="211" w:name="_Toc508958707"/>
      <w:bookmarkStart w:id="212" w:name="_Toc508960157"/>
      <w:bookmarkStart w:id="213" w:name="_Toc509927459"/>
      <w:bookmarkStart w:id="214" w:name="_Toc18843"/>
      <w:bookmarkStart w:id="215" w:name="_Toc509844829"/>
      <w:bookmarkStart w:id="216" w:name="_Toc509479534"/>
      <w:bookmarkStart w:id="217"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09"/>
      <w:bookmarkEnd w:id="210"/>
      <w:bookmarkEnd w:id="211"/>
      <w:bookmarkEnd w:id="212"/>
      <w:bookmarkEnd w:id="213"/>
      <w:bookmarkEnd w:id="214"/>
      <w:bookmarkEnd w:id="215"/>
      <w:bookmarkEnd w:id="216"/>
      <w:bookmarkEnd w:id="217"/>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rFonts w:ascii="宋体" w:hAnsi="宋体"/>
          <w:bCs/>
          <w:color w:val="auto"/>
          <w:szCs w:val="21"/>
          <w:highlight w:val="none"/>
        </w:rPr>
      </w:pPr>
      <w:r>
        <w:rPr>
          <w:rFonts w:hint="eastAsia" w:ascii="宋体" w:hAnsi="宋体"/>
          <w:bCs/>
          <w:color w:val="auto"/>
          <w:szCs w:val="21"/>
          <w:highlight w:val="none"/>
        </w:rPr>
        <w:br w:type="page"/>
      </w:r>
    </w:p>
    <w:p>
      <w:pPr>
        <w:pStyle w:val="6"/>
        <w:widowControl w:val="0"/>
        <w:overflowPunct w:val="0"/>
        <w:spacing w:before="0" w:after="0" w:line="240" w:lineRule="auto"/>
        <w:rPr>
          <w:color w:val="auto"/>
          <w:highlight w:val="none"/>
        </w:rPr>
      </w:pPr>
      <w:bookmarkStart w:id="218" w:name="_Toc25634"/>
      <w:r>
        <w:rPr>
          <w:rFonts w:hint="eastAsia" w:ascii="宋体" w:hAnsi="宋体" w:eastAsia="宋体"/>
          <w:color w:val="auto"/>
          <w:sz w:val="21"/>
          <w:szCs w:val="21"/>
          <w:highlight w:val="none"/>
        </w:rPr>
        <w:t>附件20. 投标保证金汇入情况说明格式</w:t>
      </w:r>
      <w:bookmarkEnd w:id="218"/>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投标保证金汇入情况说明</w:t>
      </w:r>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本单位已按项目包（采购项目编号：）的招标文件要求，于年月日前以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 ,开户银行：）。</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汇款金额：（大写）人民币元（小写：￥元），</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pacing w:line="480" w:lineRule="auto"/>
        <w:rPr>
          <w:rFonts w:ascii="宋体" w:hAnsi="宋体"/>
          <w:color w:val="auto"/>
          <w:szCs w:val="21"/>
          <w:highlight w:val="none"/>
        </w:rPr>
      </w:pPr>
      <w:r>
        <w:rPr>
          <w:rFonts w:hint="eastAsia" w:ascii="宋体" w:hAnsi="宋体"/>
          <w:color w:val="auto"/>
          <w:szCs w:val="21"/>
          <w:highlight w:val="none"/>
        </w:rPr>
        <w:t>单位名称：</w:t>
      </w:r>
    </w:p>
    <w:p>
      <w:pPr>
        <w:spacing w:line="480" w:lineRule="auto"/>
        <w:rPr>
          <w:rFonts w:ascii="宋体" w:hAnsi="宋体"/>
          <w:color w:val="auto"/>
          <w:szCs w:val="21"/>
          <w:highlight w:val="none"/>
        </w:rPr>
      </w:pPr>
      <w:r>
        <w:rPr>
          <w:rFonts w:hint="eastAsia" w:ascii="宋体" w:hAnsi="宋体"/>
          <w:color w:val="auto"/>
          <w:szCs w:val="21"/>
          <w:highlight w:val="none"/>
        </w:rPr>
        <w:t>单位地址：</w:t>
      </w:r>
    </w:p>
    <w:p>
      <w:pPr>
        <w:spacing w:line="480" w:lineRule="auto"/>
        <w:rPr>
          <w:rFonts w:ascii="宋体" w:hAnsi="宋体"/>
          <w:color w:val="auto"/>
          <w:szCs w:val="21"/>
          <w:highlight w:val="none"/>
        </w:rPr>
      </w:pPr>
      <w:r>
        <w:rPr>
          <w:rFonts w:hint="eastAsia" w:ascii="宋体" w:hAnsi="宋体"/>
          <w:color w:val="auto"/>
          <w:szCs w:val="21"/>
          <w:highlight w:val="none"/>
        </w:rPr>
        <w:t>联系人：</w:t>
      </w:r>
    </w:p>
    <w:p>
      <w:pPr>
        <w:spacing w:line="480" w:lineRule="auto"/>
        <w:rPr>
          <w:rFonts w:ascii="宋体" w:hAnsi="宋体"/>
          <w:color w:val="auto"/>
          <w:szCs w:val="21"/>
          <w:highlight w:val="none"/>
        </w:rPr>
      </w:pPr>
      <w:r>
        <w:rPr>
          <w:rFonts w:hint="eastAsia" w:ascii="宋体" w:hAnsi="宋体"/>
          <w:color w:val="auto"/>
          <w:szCs w:val="21"/>
          <w:highlight w:val="none"/>
        </w:rPr>
        <w:t xml:space="preserve">单位电话： </w:t>
      </w:r>
    </w:p>
    <w:p>
      <w:pPr>
        <w:spacing w:line="480" w:lineRule="auto"/>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0"/>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953"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注：此表既要装订在投标文件中，又要按投标人须知的规定与开标一览表、投标保证金汇款底单复印件及授权委托书一同密封装入开标文件，开标文件单独提交。</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before="0" w:after="0" w:line="240" w:lineRule="auto"/>
        <w:rPr>
          <w:rFonts w:ascii="宋体" w:hAnsi="宋体" w:eastAsia="宋体"/>
          <w:color w:val="auto"/>
          <w:sz w:val="21"/>
          <w:szCs w:val="21"/>
          <w:highlight w:val="none"/>
        </w:rPr>
      </w:pPr>
      <w:bookmarkStart w:id="219" w:name="_Toc4363"/>
      <w:r>
        <w:rPr>
          <w:rFonts w:hint="eastAsia" w:ascii="宋体" w:hAnsi="宋体" w:eastAsia="宋体"/>
          <w:color w:val="auto"/>
          <w:sz w:val="21"/>
          <w:szCs w:val="21"/>
          <w:highlight w:val="none"/>
        </w:rPr>
        <w:t>附件21.政府采购投标担保函</w:t>
      </w:r>
      <w:bookmarkEnd w:id="219"/>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政府采购投标担保函</w:t>
      </w:r>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（1）若投标人不以投标担保函形式提交投标保证金，则无需在投标文件中提供此格式。</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bookmarkStart w:id="220" w:name="_Toc27534"/>
      <w:r>
        <w:rPr>
          <w:rStyle w:val="30"/>
          <w:rFonts w:hint="eastAsia" w:ascii="宋体" w:hAnsi="宋体" w:eastAsia="宋体" w:cs="宋体"/>
          <w:color w:val="auto"/>
          <w:sz w:val="21"/>
          <w:szCs w:val="21"/>
          <w:highlight w:val="none"/>
        </w:rPr>
        <w:t>附件22.政府采购履约担保函</w:t>
      </w:r>
      <w:bookmarkEnd w:id="220"/>
    </w:p>
    <w:p>
      <w:pPr>
        <w:jc w:val="center"/>
        <w:rPr>
          <w:rFonts w:ascii="黑体" w:eastAsia="黑体"/>
          <w:color w:val="auto"/>
          <w:sz w:val="28"/>
          <w:szCs w:val="28"/>
          <w:highlight w:val="none"/>
        </w:rPr>
      </w:pPr>
      <w:r>
        <w:rPr>
          <w:rFonts w:hint="eastAsia" w:ascii="黑体" w:eastAsia="黑体"/>
          <w:color w:val="auto"/>
          <w:sz w:val="28"/>
          <w:szCs w:val="28"/>
          <w:highlight w:val="none"/>
        </w:rPr>
        <w:t>政府采购履约担保函</w:t>
      </w:r>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spacing w:line="480" w:lineRule="auto"/>
        <w:ind w:right="-1233" w:rightChars="-587"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spacing w:line="480" w:lineRule="auto"/>
        <w:ind w:right="25" w:rightChars="12"/>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spacing w:line="480" w:lineRule="auto"/>
        <w:ind w:right="-693" w:rightChars="-330"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spacing w:line="480" w:lineRule="auto"/>
        <w:ind w:right="-693" w:rightChars="-330"/>
        <w:rPr>
          <w:rFonts w:ascii="宋体" w:hAnsi="宋体" w:cs="宋体"/>
          <w:color w:val="auto"/>
          <w:szCs w:val="21"/>
          <w:highlight w:val="none"/>
        </w:rPr>
      </w:pPr>
      <w:r>
        <w:rPr>
          <w:rFonts w:hint="eastAsia" w:ascii="宋体" w:hAnsi="宋体" w:cs="宋体"/>
          <w:color w:val="auto"/>
          <w:szCs w:val="21"/>
          <w:highlight w:val="none"/>
        </w:rPr>
        <w:t>工作日内进行核定后按照本保函的承诺承担保证责任。</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rPr>
          <w:rFonts w:ascii="宋体" w:hAnsi="宋体" w:cs="宋体"/>
          <w:color w:val="auto"/>
          <w:szCs w:val="21"/>
          <w:highlight w:val="none"/>
        </w:rPr>
      </w:pPr>
    </w:p>
    <w:p>
      <w:pPr>
        <w:spacing w:line="480" w:lineRule="auto"/>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pStyle w:val="4"/>
        <w:spacing w:before="0" w:after="0" w:line="24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br w:type="page"/>
      </w:r>
    </w:p>
    <w:p>
      <w:pPr>
        <w:pStyle w:val="6"/>
        <w:spacing w:before="0" w:after="0" w:line="240" w:lineRule="auto"/>
        <w:rPr>
          <w:rFonts w:ascii="黑体" w:hAnsi="宋体"/>
          <w:color w:val="auto"/>
          <w:sz w:val="44"/>
          <w:szCs w:val="44"/>
          <w:highlight w:val="none"/>
        </w:rPr>
      </w:pPr>
      <w:bookmarkStart w:id="221" w:name="_Toc17023"/>
      <w:r>
        <w:rPr>
          <w:rFonts w:hint="eastAsia" w:ascii="宋体" w:hAnsi="宋体" w:eastAsia="宋体" w:cs="宋体"/>
          <w:color w:val="auto"/>
          <w:sz w:val="21"/>
          <w:szCs w:val="21"/>
          <w:highlight w:val="none"/>
        </w:rPr>
        <w:t>附件23.获取招标文件登记表</w:t>
      </w:r>
      <w:bookmarkEnd w:id="221"/>
      <w:bookmarkStart w:id="222" w:name="_Toc1968"/>
    </w:p>
    <w:p>
      <w:pPr>
        <w:jc w:val="center"/>
        <w:rPr>
          <w:rFonts w:ascii="黑体" w:hAnsi="黑体" w:eastAsia="黑体" w:cs="黑体"/>
          <w:color w:val="auto"/>
          <w:sz w:val="36"/>
          <w:szCs w:val="36"/>
          <w:highlight w:val="none"/>
        </w:rPr>
      </w:pPr>
      <w:r>
        <w:rPr>
          <w:rFonts w:hint="eastAsia" w:ascii="黑体" w:hAnsi="黑体" w:eastAsia="黑体" w:cs="黑体"/>
          <w:color w:val="auto"/>
          <w:sz w:val="36"/>
          <w:szCs w:val="36"/>
          <w:highlight w:val="none"/>
        </w:rPr>
        <w:t>获取招标文件登记表</w:t>
      </w:r>
      <w:bookmarkEnd w:id="222"/>
    </w:p>
    <w:tbl>
      <w:tblPr>
        <w:tblStyle w:val="21"/>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30"/>
        <w:gridCol w:w="58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获取招标文件时间</w:t>
            </w:r>
          </w:p>
        </w:tc>
        <w:tc>
          <w:tcPr>
            <w:tcW w:w="5898"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2021年    月    日    时    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拟投标项目名称</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项目编号</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供应商全称</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供应商联系人</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电话</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手机</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传真</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电子邮箱</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单位地址及邮编</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6"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备注</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招标文件领取人签名</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招标文件发售人签名</w:t>
            </w:r>
          </w:p>
        </w:tc>
        <w:tc>
          <w:tcPr>
            <w:tcW w:w="5898" w:type="dxa"/>
            <w:vAlign w:val="center"/>
          </w:tcPr>
          <w:p>
            <w:pPr>
              <w:jc w:val="center"/>
              <w:rPr>
                <w:rFonts w:ascii="宋体" w:hAnsi="宋体" w:cs="宋体"/>
                <w:color w:val="auto"/>
                <w:sz w:val="32"/>
                <w:szCs w:val="32"/>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招标文件售价</w:t>
            </w:r>
          </w:p>
        </w:tc>
        <w:tc>
          <w:tcPr>
            <w:tcW w:w="5898" w:type="dxa"/>
            <w:vAlign w:val="center"/>
          </w:tcPr>
          <w:p>
            <w:pPr>
              <w:jc w:val="center"/>
              <w:rPr>
                <w:rFonts w:ascii="宋体" w:hAnsi="宋体" w:cs="宋体"/>
                <w:color w:val="auto"/>
                <w:sz w:val="32"/>
                <w:szCs w:val="32"/>
                <w:highlight w:val="none"/>
              </w:rPr>
            </w:pPr>
            <w:r>
              <w:rPr>
                <w:rFonts w:hint="eastAsia" w:ascii="宋体" w:hAnsi="宋体" w:cs="宋体"/>
                <w:color w:val="auto"/>
                <w:sz w:val="32"/>
                <w:szCs w:val="32"/>
                <w:highlight w:val="none"/>
              </w:rPr>
              <w:t>人民币150元/份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8528" w:type="dxa"/>
            <w:gridSpan w:val="2"/>
            <w:vAlign w:val="center"/>
          </w:tcPr>
          <w:p>
            <w:pPr>
              <w:jc w:val="center"/>
              <w:rPr>
                <w:rFonts w:ascii="宋体" w:hAnsi="宋体" w:cs="宋体"/>
                <w:color w:val="auto"/>
                <w:sz w:val="32"/>
                <w:szCs w:val="32"/>
                <w:highlight w:val="none"/>
              </w:rPr>
            </w:pPr>
            <w:r>
              <w:rPr>
                <w:rFonts w:hint="eastAsia" w:ascii="宋体" w:hAnsi="宋体" w:cs="宋体"/>
                <w:b/>
                <w:bCs/>
                <w:color w:val="auto"/>
                <w:sz w:val="32"/>
                <w:szCs w:val="32"/>
                <w:highlight w:val="none"/>
              </w:rPr>
              <w:t>注：开完发票后请把报名表格交还至前台</w:t>
            </w:r>
          </w:p>
        </w:tc>
      </w:tr>
    </w:tbl>
    <w:p>
      <w:pPr>
        <w:rPr>
          <w:color w:val="auto"/>
          <w:highlight w:val="none"/>
        </w:rPr>
      </w:pPr>
      <w:r>
        <w:rPr>
          <w:color w:val="auto"/>
          <w:highlight w:val="none"/>
        </w:rPr>
        <w:br w:type="page"/>
      </w:r>
    </w:p>
    <w:p>
      <w:pPr>
        <w:pStyle w:val="6"/>
        <w:spacing w:before="0" w:after="0" w:line="240" w:lineRule="auto"/>
        <w:rPr>
          <w:rFonts w:ascii="宋体" w:hAnsi="宋体" w:eastAsia="宋体" w:cs="宋体"/>
          <w:color w:val="auto"/>
          <w:sz w:val="21"/>
          <w:szCs w:val="21"/>
          <w:highlight w:val="none"/>
        </w:rPr>
      </w:pPr>
      <w:bookmarkStart w:id="223" w:name="_Toc11182"/>
      <w:r>
        <w:rPr>
          <w:rFonts w:hint="eastAsia" w:ascii="宋体" w:hAnsi="宋体" w:eastAsia="宋体" w:cs="宋体"/>
          <w:color w:val="auto"/>
          <w:sz w:val="21"/>
          <w:szCs w:val="21"/>
          <w:highlight w:val="none"/>
        </w:rPr>
        <w:t>附件 24.质疑函范本</w:t>
      </w:r>
      <w:bookmarkEnd w:id="223"/>
    </w:p>
    <w:p>
      <w:pPr>
        <w:jc w:val="center"/>
        <w:rPr>
          <w:rFonts w:ascii="宋体" w:hAnsi="宋体" w:cs="宋体"/>
          <w:color w:val="auto"/>
          <w:szCs w:val="21"/>
          <w:highlight w:val="none"/>
        </w:rPr>
      </w:pPr>
    </w:p>
    <w:p>
      <w:pPr>
        <w:jc w:val="center"/>
        <w:rPr>
          <w:rFonts w:ascii="宋体" w:hAnsi="宋体" w:cs="宋体"/>
          <w:color w:val="auto"/>
          <w:szCs w:val="21"/>
          <w:highlight w:val="none"/>
        </w:rPr>
      </w:pPr>
      <w:r>
        <w:rPr>
          <w:rFonts w:hint="eastAsia" w:ascii="宋体" w:hAnsi="宋体" w:cs="宋体"/>
          <w:color w:val="auto"/>
          <w:szCs w:val="21"/>
          <w:highlight w:val="none"/>
        </w:rPr>
        <w:t>1.质疑函</w:t>
      </w:r>
    </w:p>
    <w:p>
      <w:pPr>
        <w:rPr>
          <w:rFonts w:ascii="宋体" w:hAnsi="宋体" w:cs="宋体"/>
          <w:color w:val="auto"/>
          <w:szCs w:val="21"/>
          <w:highlight w:val="none"/>
        </w:rPr>
      </w:pPr>
      <w:r>
        <w:rPr>
          <w:rFonts w:hint="eastAsia" w:ascii="宋体" w:hAnsi="宋体" w:cs="宋体"/>
          <w:color w:val="auto"/>
          <w:szCs w:val="21"/>
          <w:highlight w:val="none"/>
        </w:rPr>
        <w:t>一、质疑供应商基本信息</w:t>
      </w:r>
    </w:p>
    <w:p>
      <w:pPr>
        <w:rPr>
          <w:rFonts w:ascii="宋体" w:hAnsi="宋体" w:cs="宋体"/>
          <w:color w:val="auto"/>
          <w:szCs w:val="21"/>
          <w:highlight w:val="none"/>
          <w:u w:val="single"/>
        </w:rPr>
      </w:pPr>
      <w:r>
        <w:rPr>
          <w:rFonts w:hint="eastAsia" w:ascii="宋体" w:hAnsi="宋体" w:cs="宋体"/>
          <w:color w:val="auto"/>
          <w:szCs w:val="21"/>
          <w:highlight w:val="none"/>
        </w:rPr>
        <w:t>质疑供应商：</w:t>
      </w:r>
    </w:p>
    <w:p>
      <w:pPr>
        <w:rPr>
          <w:rFonts w:ascii="宋体" w:hAnsi="宋体" w:cs="宋体"/>
          <w:color w:val="auto"/>
          <w:szCs w:val="21"/>
          <w:highlight w:val="none"/>
          <w:u w:val="single"/>
        </w:rPr>
      </w:pPr>
      <w:r>
        <w:rPr>
          <w:rFonts w:hint="eastAsia" w:ascii="宋体" w:hAnsi="宋体" w:cs="宋体"/>
          <w:color w:val="auto"/>
          <w:szCs w:val="21"/>
          <w:highlight w:val="none"/>
        </w:rPr>
        <w:t>地址：邮编：</w:t>
      </w:r>
    </w:p>
    <w:p>
      <w:pPr>
        <w:rPr>
          <w:rFonts w:ascii="宋体" w:hAnsi="宋体" w:cs="宋体"/>
          <w:color w:val="auto"/>
          <w:szCs w:val="21"/>
          <w:highlight w:val="none"/>
          <w:u w:val="single"/>
        </w:rPr>
      </w:pPr>
      <w:r>
        <w:rPr>
          <w:rFonts w:hint="eastAsia" w:ascii="宋体" w:hAnsi="宋体" w:cs="宋体"/>
          <w:color w:val="auto"/>
          <w:szCs w:val="21"/>
          <w:highlight w:val="none"/>
        </w:rPr>
        <w:t>联系人：联系电话：</w:t>
      </w:r>
    </w:p>
    <w:p>
      <w:pPr>
        <w:rPr>
          <w:rFonts w:ascii="宋体" w:hAnsi="宋体" w:cs="宋体"/>
          <w:color w:val="auto"/>
          <w:szCs w:val="21"/>
          <w:highlight w:val="none"/>
          <w:u w:val="single"/>
        </w:rPr>
      </w:pPr>
      <w:r>
        <w:rPr>
          <w:rFonts w:hint="eastAsia" w:ascii="宋体" w:hAnsi="宋体" w:cs="宋体"/>
          <w:color w:val="auto"/>
          <w:szCs w:val="21"/>
          <w:highlight w:val="none"/>
        </w:rPr>
        <w:t>授权代表：</w:t>
      </w:r>
    </w:p>
    <w:p>
      <w:pPr>
        <w:rPr>
          <w:rFonts w:ascii="宋体" w:hAnsi="宋体" w:cs="宋体"/>
          <w:color w:val="auto"/>
          <w:szCs w:val="21"/>
          <w:highlight w:val="none"/>
          <w:u w:val="singl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二、质疑项目基本情况</w:t>
      </w:r>
    </w:p>
    <w:p>
      <w:pPr>
        <w:rPr>
          <w:rFonts w:ascii="宋体" w:hAnsi="宋体" w:cs="宋体"/>
          <w:color w:val="auto"/>
          <w:szCs w:val="21"/>
          <w:highlight w:val="none"/>
          <w:u w:val="single"/>
        </w:rPr>
      </w:pPr>
      <w:r>
        <w:rPr>
          <w:rFonts w:hint="eastAsia" w:ascii="宋体" w:hAnsi="宋体" w:cs="宋体"/>
          <w:color w:val="auto"/>
          <w:szCs w:val="21"/>
          <w:highlight w:val="none"/>
        </w:rPr>
        <w:t>质疑项目的名称：</w:t>
      </w:r>
    </w:p>
    <w:p>
      <w:pPr>
        <w:rPr>
          <w:rFonts w:ascii="宋体" w:hAnsi="宋体" w:cs="宋体"/>
          <w:color w:val="auto"/>
          <w:szCs w:val="21"/>
          <w:highlight w:val="none"/>
          <w:u w:val="singl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single"/>
        </w:rPr>
      </w:pPr>
      <w:r>
        <w:rPr>
          <w:rFonts w:hint="eastAsia" w:ascii="宋体" w:hAnsi="宋体" w:cs="宋体"/>
          <w:color w:val="auto"/>
          <w:szCs w:val="21"/>
          <w:highlight w:val="none"/>
        </w:rPr>
        <w:t>采购人名称：</w:t>
      </w:r>
    </w:p>
    <w:p>
      <w:pPr>
        <w:rPr>
          <w:rFonts w:ascii="宋体" w:hAnsi="宋体" w:cs="宋体"/>
          <w:color w:val="auto"/>
          <w:szCs w:val="21"/>
          <w:highlight w:val="none"/>
          <w:u w:val="single"/>
        </w:rPr>
      </w:pPr>
      <w:r>
        <w:rPr>
          <w:rFonts w:hint="eastAsia" w:ascii="宋体" w:hAnsi="宋体" w:cs="宋体"/>
          <w:color w:val="auto"/>
          <w:szCs w:val="21"/>
          <w:highlight w:val="none"/>
        </w:rPr>
        <w:t>采购文件获取日期：</w:t>
      </w:r>
    </w:p>
    <w:p>
      <w:pPr>
        <w:rPr>
          <w:rFonts w:ascii="宋体" w:hAnsi="宋体" w:cs="宋体"/>
          <w:color w:val="auto"/>
          <w:szCs w:val="21"/>
          <w:highlight w:val="none"/>
        </w:rPr>
      </w:pPr>
      <w:r>
        <w:rPr>
          <w:rFonts w:hint="eastAsia" w:ascii="宋体" w:hAnsi="宋体" w:cs="宋体"/>
          <w:color w:val="auto"/>
          <w:szCs w:val="21"/>
          <w:highlight w:val="none"/>
        </w:rPr>
        <w:t>三、质疑事项具体内容</w:t>
      </w:r>
    </w:p>
    <w:p>
      <w:pPr>
        <w:rPr>
          <w:rFonts w:ascii="宋体" w:hAnsi="宋体" w:cs="宋体"/>
          <w:color w:val="auto"/>
          <w:szCs w:val="21"/>
          <w:highlight w:val="none"/>
          <w:u w:val="single"/>
        </w:rPr>
      </w:pPr>
      <w:r>
        <w:rPr>
          <w:rFonts w:hint="eastAsia" w:ascii="宋体" w:hAnsi="宋体" w:cs="宋体"/>
          <w:color w:val="auto"/>
          <w:szCs w:val="21"/>
          <w:highlight w:val="none"/>
        </w:rPr>
        <w:t>质疑事项1：</w:t>
      </w:r>
    </w:p>
    <w:p>
      <w:pPr>
        <w:rPr>
          <w:rFonts w:ascii="宋体" w:hAnsi="宋体" w:cs="宋体"/>
          <w:color w:val="auto"/>
          <w:szCs w:val="21"/>
          <w:highlight w:val="none"/>
          <w:u w:val="single"/>
        </w:rPr>
      </w:pPr>
      <w:r>
        <w:rPr>
          <w:rFonts w:hint="eastAsia" w:ascii="宋体" w:hAnsi="宋体" w:cs="宋体"/>
          <w:color w:val="auto"/>
          <w:szCs w:val="21"/>
          <w:highlight w:val="none"/>
        </w:rPr>
        <w:t>事实依据：</w:t>
      </w:r>
    </w:p>
    <w:p>
      <w:pPr>
        <w:rPr>
          <w:rFonts w:ascii="宋体" w:hAnsi="宋体" w:cs="宋体"/>
          <w:color w:val="auto"/>
          <w:szCs w:val="21"/>
          <w:highlight w:val="none"/>
          <w:u w:val="single"/>
        </w:rPr>
      </w:pPr>
    </w:p>
    <w:p>
      <w:pPr>
        <w:rPr>
          <w:rFonts w:ascii="宋体" w:hAnsi="宋体" w:cs="宋体"/>
          <w:color w:val="auto"/>
          <w:szCs w:val="21"/>
          <w:highlight w:val="none"/>
          <w:u w:val="single"/>
        </w:rPr>
      </w:pPr>
      <w:r>
        <w:rPr>
          <w:rFonts w:hint="eastAsia" w:ascii="宋体" w:hAnsi="宋体" w:cs="宋体"/>
          <w:color w:val="auto"/>
          <w:szCs w:val="21"/>
          <w:highlight w:val="none"/>
        </w:rPr>
        <w:t>法律依据：</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color w:val="auto"/>
          <w:szCs w:val="21"/>
          <w:highlight w:val="none"/>
        </w:rPr>
      </w:pPr>
      <w:r>
        <w:rPr>
          <w:rFonts w:hint="eastAsia" w:ascii="宋体" w:hAnsi="宋体" w:cs="宋体"/>
          <w:color w:val="auto"/>
          <w:szCs w:val="21"/>
          <w:highlight w:val="none"/>
        </w:rPr>
        <w:t>四、与质疑事项相关的质疑请求</w:t>
      </w:r>
    </w:p>
    <w:p>
      <w:pPr>
        <w:rPr>
          <w:rFonts w:ascii="宋体" w:hAnsi="宋体" w:cs="宋体"/>
          <w:color w:val="auto"/>
          <w:szCs w:val="21"/>
          <w:highlight w:val="none"/>
          <w:u w:val="single"/>
        </w:rPr>
      </w:pPr>
      <w:r>
        <w:rPr>
          <w:rFonts w:hint="eastAsia" w:ascii="宋体" w:hAnsi="宋体" w:cs="宋体"/>
          <w:color w:val="auto"/>
          <w:szCs w:val="21"/>
          <w:highlight w:val="none"/>
        </w:rPr>
        <w:t>请求：</w:t>
      </w: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 xml:space="preserve">日期：    </w:t>
      </w: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rPr>
          <w:rFonts w:ascii="宋体" w:hAnsi="宋体" w:cs="宋体"/>
          <w:color w:val="auto"/>
          <w:szCs w:val="21"/>
          <w:highlight w:val="none"/>
        </w:rPr>
      </w:pPr>
      <w:r>
        <w:rPr>
          <w:rFonts w:hint="eastAsia" w:ascii="宋体" w:hAnsi="宋体" w:cs="宋体"/>
          <w:color w:val="auto"/>
          <w:szCs w:val="21"/>
          <w:highlight w:val="none"/>
        </w:rPr>
        <w:t>7.质疑供应商提交质疑函时须提供质疑函、法人或者非法人组织的营业执照等证明文件或自然人的身份证复印件（质疑供应商为自然人）。如不是法定代表人或主要负责人提交质疑函的，应同时提供法定代表人或主要负责人有效的授权委托书。</w:t>
      </w:r>
    </w:p>
    <w:p>
      <w:pPr>
        <w:rPr>
          <w:rFonts w:ascii="宋体" w:hAnsi="宋体" w:cs="宋体"/>
          <w:color w:val="auto"/>
          <w:szCs w:val="21"/>
          <w:highlight w:val="none"/>
        </w:rPr>
      </w:pPr>
      <w:r>
        <w:rPr>
          <w:rFonts w:hint="eastAsia" w:ascii="宋体" w:hAnsi="宋体" w:cs="宋体"/>
          <w:color w:val="auto"/>
          <w:szCs w:val="21"/>
          <w:highlight w:val="none"/>
        </w:rPr>
        <w:t>8.质疑函递交地址为采购代理机构办公地址，详细地址详见投标邀请书。</w:t>
      </w: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2.询问函、质疑函授权书参考格式</w:t>
      </w:r>
    </w:p>
    <w:p>
      <w:pPr>
        <w:rPr>
          <w:rFonts w:ascii="宋体" w:hAnsi="宋体" w:cs="宋体"/>
          <w:color w:val="auto"/>
          <w:szCs w:val="21"/>
          <w:highlight w:val="none"/>
        </w:rPr>
      </w:pPr>
    </w:p>
    <w:p>
      <w:pPr>
        <w:jc w:val="center"/>
        <w:rPr>
          <w:rFonts w:ascii="宋体" w:hAnsi="宋体" w:cs="宋体"/>
          <w:color w:val="auto"/>
          <w:szCs w:val="21"/>
          <w:highlight w:val="none"/>
        </w:rPr>
      </w:pPr>
      <w:r>
        <w:rPr>
          <w:rFonts w:hint="eastAsia" w:ascii="宋体" w:hAnsi="宋体" w:cs="宋体"/>
          <w:color w:val="auto"/>
          <w:szCs w:val="21"/>
          <w:highlight w:val="none"/>
        </w:rPr>
        <w:t>法定代表人或负责人授权委托书</w:t>
      </w:r>
    </w:p>
    <w:p>
      <w:pPr>
        <w:rPr>
          <w:rFonts w:ascii="宋体" w:hAnsi="宋体" w:cs="宋体"/>
          <w:color w:val="auto"/>
          <w:szCs w:val="21"/>
          <w:highlight w:val="none"/>
        </w:rPr>
      </w:pP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本委托书声明：在下面签字的</w:t>
      </w:r>
      <w:r>
        <w:rPr>
          <w:rFonts w:hint="eastAsia" w:ascii="宋体" w:hAnsi="宋体" w:cs="宋体"/>
          <w:color w:val="auto"/>
          <w:szCs w:val="21"/>
          <w:highlight w:val="none"/>
          <w:u w:val="single"/>
        </w:rPr>
        <w:t xml:space="preserve">           （法定代表人或负责人姓名、职务）</w:t>
      </w:r>
      <w:r>
        <w:rPr>
          <w:rFonts w:hint="eastAsia" w:ascii="宋体" w:hAnsi="宋体" w:cs="宋体"/>
          <w:color w:val="auto"/>
          <w:szCs w:val="21"/>
          <w:highlight w:val="none"/>
        </w:rPr>
        <w:t xml:space="preserve">代表 </w:t>
      </w:r>
      <w:r>
        <w:rPr>
          <w:rFonts w:hint="eastAsia" w:ascii="宋体" w:hAnsi="宋体" w:cs="宋体"/>
          <w:color w:val="auto"/>
          <w:szCs w:val="21"/>
          <w:highlight w:val="none"/>
          <w:u w:val="single"/>
        </w:rPr>
        <w:t xml:space="preserve">            （供应商名称）</w:t>
      </w:r>
      <w:r>
        <w:rPr>
          <w:rFonts w:hint="eastAsia" w:ascii="宋体" w:hAnsi="宋体" w:cs="宋体"/>
          <w:color w:val="auto"/>
          <w:szCs w:val="21"/>
          <w:highlight w:val="none"/>
        </w:rPr>
        <w:t>委托在下面签字的</w:t>
      </w:r>
      <w:r>
        <w:rPr>
          <w:rFonts w:hint="eastAsia" w:ascii="宋体" w:hAnsi="宋体" w:cs="宋体"/>
          <w:color w:val="auto"/>
          <w:szCs w:val="21"/>
          <w:highlight w:val="none"/>
          <w:u w:val="single"/>
        </w:rPr>
        <w:t xml:space="preserve">          （授权代表的姓名、职务）</w:t>
      </w:r>
      <w:r>
        <w:rPr>
          <w:rFonts w:hint="eastAsia" w:ascii="宋体" w:hAnsi="宋体" w:cs="宋体"/>
          <w:color w:val="auto"/>
          <w:szCs w:val="21"/>
          <w:highlight w:val="none"/>
        </w:rPr>
        <w:t>为本公司的合法代表人，就采购项目（采购编号：</w:t>
      </w:r>
      <w:r>
        <w:rPr>
          <w:rFonts w:hint="eastAsia" w:ascii="宋体" w:hAnsi="宋体" w:cs="宋体"/>
          <w:color w:val="auto"/>
          <w:szCs w:val="21"/>
          <w:highlight w:val="none"/>
          <w:u w:val="single"/>
        </w:rPr>
        <w:t xml:space="preserve">          ）             （填写授权内容）</w:t>
      </w:r>
      <w:r>
        <w:rPr>
          <w:rFonts w:hint="eastAsia" w:ascii="宋体" w:hAnsi="宋体" w:cs="宋体"/>
          <w:color w:val="auto"/>
          <w:szCs w:val="21"/>
          <w:highlight w:val="none"/>
        </w:rPr>
        <w:t>，以本公司的名义处理一切与之有关的事宜</w:t>
      </w:r>
      <w:r>
        <w:rPr>
          <w:rFonts w:hint="eastAsia" w:ascii="宋体" w:hAnsi="宋体" w:cs="宋体"/>
          <w:color w:val="auto"/>
          <w:szCs w:val="21"/>
          <w:highlight w:val="none"/>
          <w:u w:val="single"/>
        </w:rPr>
        <w:t>（须提供法定代表人或负责人、授权代表身份证复印件）。</w:t>
      </w:r>
    </w:p>
    <w:p>
      <w:pPr>
        <w:rPr>
          <w:rFonts w:ascii="宋体" w:hAnsi="宋体" w:cs="宋体"/>
          <w:color w:val="auto"/>
          <w:szCs w:val="21"/>
          <w:highlight w:val="none"/>
        </w:rPr>
      </w:pPr>
      <w:r>
        <w:rPr>
          <w:rFonts w:hint="eastAsia" w:ascii="宋体" w:hAnsi="宋体" w:cs="宋体"/>
          <w:color w:val="auto"/>
          <w:szCs w:val="21"/>
          <w:highlight w:val="none"/>
        </w:rPr>
        <w:t>本委托书于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w:t>
      </w:r>
      <w:r>
        <w:rPr>
          <w:rFonts w:hint="eastAsia" w:ascii="宋体" w:hAnsi="宋体" w:cs="宋体"/>
          <w:color w:val="auto"/>
          <w:szCs w:val="21"/>
          <w:highlight w:val="none"/>
        </w:rPr>
        <w:t>月</w:t>
      </w:r>
      <w:r>
        <w:rPr>
          <w:rFonts w:hint="eastAsia" w:ascii="宋体" w:hAnsi="宋体" w:cs="宋体"/>
          <w:color w:val="auto"/>
          <w:szCs w:val="21"/>
          <w:highlight w:val="none"/>
          <w:u w:val="single"/>
        </w:rPr>
        <w:t>　</w:t>
      </w:r>
      <w:r>
        <w:rPr>
          <w:rFonts w:hint="eastAsia" w:ascii="宋体" w:hAnsi="宋体" w:cs="宋体"/>
          <w:color w:val="auto"/>
          <w:szCs w:val="21"/>
          <w:highlight w:val="none"/>
        </w:rPr>
        <w:t>日签字生效。</w:t>
      </w: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供应商名称（加盖公章）：</w:t>
      </w:r>
    </w:p>
    <w:p>
      <w:pPr>
        <w:rPr>
          <w:rFonts w:ascii="宋体" w:hAnsi="宋体" w:cs="宋体"/>
          <w:color w:val="auto"/>
          <w:szCs w:val="21"/>
          <w:highlight w:val="none"/>
        </w:rPr>
      </w:pPr>
      <w:r>
        <w:rPr>
          <w:rFonts w:hint="eastAsia" w:ascii="宋体" w:hAnsi="宋体" w:cs="宋体"/>
          <w:color w:val="auto"/>
          <w:szCs w:val="21"/>
          <w:highlight w:val="none"/>
        </w:rPr>
        <w:t>法定代表人或负责人（签名或盖私章）：</w:t>
      </w:r>
    </w:p>
    <w:p>
      <w:pPr>
        <w:rPr>
          <w:rFonts w:ascii="宋体" w:hAnsi="宋体" w:cs="宋体"/>
          <w:color w:val="auto"/>
          <w:szCs w:val="21"/>
          <w:highlight w:val="none"/>
        </w:rPr>
      </w:pPr>
      <w:r>
        <w:rPr>
          <w:rFonts w:hint="eastAsia" w:ascii="宋体" w:hAnsi="宋体" w:cs="宋体"/>
          <w:color w:val="auto"/>
          <w:szCs w:val="21"/>
          <w:highlight w:val="none"/>
        </w:rPr>
        <w:t>授权代表（签名或盖私章）：</w:t>
      </w:r>
    </w:p>
    <w:p>
      <w:pPr>
        <w:rPr>
          <w:rFonts w:ascii="仿宋" w:hAnsi="仿宋" w:eastAsia="仿宋"/>
          <w:color w:val="auto"/>
          <w:sz w:val="24"/>
          <w:highlight w:val="none"/>
        </w:rPr>
      </w:pPr>
      <w:r>
        <w:rPr>
          <w:rFonts w:hint="eastAsia" w:ascii="宋体" w:hAnsi="宋体" w:cs="宋体"/>
          <w:color w:val="auto"/>
          <w:szCs w:val="21"/>
          <w:highlight w:val="none"/>
        </w:rPr>
        <w:t>日期：</w:t>
      </w:r>
    </w:p>
    <w:p>
      <w:pPr>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QFJTCzwEAAKoDAAAOAAAAAAAAAAEAIAAAAB4BAABkcnMv&#10;ZTJvRG9jLnhtbFBLBQYAAAAABgAGAFkBAABfBQAAAAA=&#10;">
              <v:fill on="f" focussize="0,0"/>
              <v:stroke on="f"/>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t xml:space="preserve">第 </w:t>
                          </w:r>
                          <w:r>
                            <w:fldChar w:fldCharType="begin"/>
                          </w:r>
                          <w:r>
                            <w:instrText xml:space="preserve"> PAGE  \* MERGEFORMAT </w:instrText>
                          </w:r>
                          <w:r>
                            <w:fldChar w:fldCharType="separate"/>
                          </w:r>
                          <w:r>
                            <w:t>15</w:t>
                          </w:r>
                          <w:r>
                            <w:fldChar w:fldCharType="end"/>
                          </w:r>
                          <w:r>
                            <w:t xml:space="preserve"> 页</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IXCMwzwEAAKoDAAAOAAAAAAAAAAEAIAAAAB4BAABkcnMv&#10;ZTJvRG9jLnhtbFBLBQYAAAAABgAGAFkBAABfBQAAAAA=&#10;">
              <v:fill on="f" focussize="0,0"/>
              <v:stroke on="f"/>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40" w:lineRule="auto"/>
      </w:pPr>
      <w:r>
        <w:separator/>
      </w:r>
    </w:p>
  </w:footnote>
  <w:footnote w:type="continuationSeparator" w:id="5">
    <w:p>
      <w:pPr>
        <w:spacing w:line="240" w:lineRule="auto"/>
      </w:pPr>
      <w:r>
        <w:continuationSeparator/>
      </w:r>
    </w:p>
  </w:footnote>
  <w:footnote w:id="0">
    <w:p>
      <w:pPr>
        <w:pStyle w:val="17"/>
        <w:rPr>
          <w:rFonts w:eastAsia="微软雅黑"/>
        </w:rPr>
      </w:pPr>
      <w:r>
        <w:rPr>
          <w:rStyle w:val="26"/>
        </w:rPr>
        <w:footnoteRef/>
      </w:r>
      <w:r>
        <w:t xml:space="preserve"> </w:t>
      </w:r>
      <w:r>
        <w:rPr>
          <w:rFonts w:hint="eastAsia"/>
        </w:rPr>
        <w:t>从业人员、营业人员、资产总额填报上一年度数据，无上一年度数据的新成立企业可不填报。</w:t>
      </w:r>
    </w:p>
  </w:footnote>
  <w:footnote w:id="1">
    <w:p>
      <w:pPr>
        <w:pStyle w:val="17"/>
      </w:pPr>
      <w:r>
        <w:rPr>
          <w:rStyle w:val="26"/>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rFonts w:hint="eastAsia"/>
      </w:rPr>
      <w:t>东莞市政府采购公开招标文件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0047B7E"/>
    <w:multiLevelType w:val="singleLevel"/>
    <w:tmpl w:val="D0047B7E"/>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E729656A"/>
    <w:multiLevelType w:val="singleLevel"/>
    <w:tmpl w:val="E729656A"/>
    <w:lvl w:ilvl="0" w:tentative="0">
      <w:start w:val="3"/>
      <w:numFmt w:val="chineseCounting"/>
      <w:suff w:val="nothing"/>
      <w:lvlText w:val="%1、"/>
      <w:lvlJc w:val="left"/>
      <w:rPr>
        <w:rFonts w:hint="eastAsia"/>
      </w:rPr>
    </w:lvl>
  </w:abstractNum>
  <w:abstractNum w:abstractNumId="6">
    <w:nsid w:val="F73DC5D7"/>
    <w:multiLevelType w:val="singleLevel"/>
    <w:tmpl w:val="F73DC5D7"/>
    <w:lvl w:ilvl="0" w:tentative="0">
      <w:start w:val="1"/>
      <w:numFmt w:val="decimal"/>
      <w:suff w:val="nothing"/>
      <w:lvlText w:val="（%1）"/>
      <w:lvlJc w:val="left"/>
    </w:lvl>
  </w:abstractNum>
  <w:abstractNum w:abstractNumId="7">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1"/>
  </w:num>
  <w:num w:numId="3">
    <w:abstractNumId w:val="8"/>
  </w:num>
  <w:num w:numId="4">
    <w:abstractNumId w:val="10"/>
  </w:num>
  <w:num w:numId="5">
    <w:abstractNumId w:val="9"/>
  </w:num>
  <w:num w:numId="6">
    <w:abstractNumId w:val="4"/>
  </w:num>
  <w:num w:numId="7">
    <w:abstractNumId w:val="6"/>
  </w:num>
  <w:num w:numId="8">
    <w:abstractNumId w:val="1"/>
  </w:num>
  <w:num w:numId="9">
    <w:abstractNumId w:val="2"/>
  </w:num>
  <w:num w:numId="10">
    <w:abstractNumId w:val="7"/>
  </w:num>
  <w:num w:numId="11">
    <w:abstractNumId w:val="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5B5"/>
    <w:rsid w:val="002C6C78"/>
    <w:rsid w:val="002D1594"/>
    <w:rsid w:val="002D3F9C"/>
    <w:rsid w:val="002D503C"/>
    <w:rsid w:val="002D7E27"/>
    <w:rsid w:val="002E17E5"/>
    <w:rsid w:val="002E5032"/>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1D24"/>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0843"/>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E50C1"/>
    <w:rsid w:val="00AF5796"/>
    <w:rsid w:val="00AF5F1F"/>
    <w:rsid w:val="00B027A4"/>
    <w:rsid w:val="00B236B3"/>
    <w:rsid w:val="00B26534"/>
    <w:rsid w:val="00B26806"/>
    <w:rsid w:val="00B31583"/>
    <w:rsid w:val="00B31B24"/>
    <w:rsid w:val="00B4287F"/>
    <w:rsid w:val="00B4315F"/>
    <w:rsid w:val="00B51AC5"/>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B4258"/>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DDE"/>
    <w:rsid w:val="00F52A5F"/>
    <w:rsid w:val="00F55954"/>
    <w:rsid w:val="00F61962"/>
    <w:rsid w:val="00F62865"/>
    <w:rsid w:val="00F64022"/>
    <w:rsid w:val="00F64660"/>
    <w:rsid w:val="00F97062"/>
    <w:rsid w:val="00F9745D"/>
    <w:rsid w:val="00FC7B53"/>
    <w:rsid w:val="00FD48CC"/>
    <w:rsid w:val="00FE62D1"/>
    <w:rsid w:val="00FF26BF"/>
    <w:rsid w:val="01124C56"/>
    <w:rsid w:val="018023CE"/>
    <w:rsid w:val="01881AD6"/>
    <w:rsid w:val="01B938AA"/>
    <w:rsid w:val="02126CDB"/>
    <w:rsid w:val="021832B7"/>
    <w:rsid w:val="024E2E49"/>
    <w:rsid w:val="02A741FD"/>
    <w:rsid w:val="02C16E5D"/>
    <w:rsid w:val="02D964CF"/>
    <w:rsid w:val="02F35344"/>
    <w:rsid w:val="03341777"/>
    <w:rsid w:val="0340787C"/>
    <w:rsid w:val="03707410"/>
    <w:rsid w:val="037F03E3"/>
    <w:rsid w:val="03A0770F"/>
    <w:rsid w:val="03A27BF9"/>
    <w:rsid w:val="03A448B8"/>
    <w:rsid w:val="03AD071E"/>
    <w:rsid w:val="042F5C16"/>
    <w:rsid w:val="04DF1036"/>
    <w:rsid w:val="04F377D0"/>
    <w:rsid w:val="05A97DEC"/>
    <w:rsid w:val="05C81981"/>
    <w:rsid w:val="06BC41F2"/>
    <w:rsid w:val="07197D08"/>
    <w:rsid w:val="071C2CFD"/>
    <w:rsid w:val="071E5C55"/>
    <w:rsid w:val="073F7319"/>
    <w:rsid w:val="07536A42"/>
    <w:rsid w:val="07595F41"/>
    <w:rsid w:val="07615EC0"/>
    <w:rsid w:val="077005AB"/>
    <w:rsid w:val="078F4581"/>
    <w:rsid w:val="07995C5E"/>
    <w:rsid w:val="07BE179A"/>
    <w:rsid w:val="07BF027F"/>
    <w:rsid w:val="08031A31"/>
    <w:rsid w:val="081A5CC7"/>
    <w:rsid w:val="08362CCB"/>
    <w:rsid w:val="08A276E5"/>
    <w:rsid w:val="08D24587"/>
    <w:rsid w:val="08E13D5E"/>
    <w:rsid w:val="08E6047D"/>
    <w:rsid w:val="09061A75"/>
    <w:rsid w:val="09182241"/>
    <w:rsid w:val="093C069F"/>
    <w:rsid w:val="09855177"/>
    <w:rsid w:val="09870F93"/>
    <w:rsid w:val="09F1637C"/>
    <w:rsid w:val="0A22521C"/>
    <w:rsid w:val="0A25628F"/>
    <w:rsid w:val="0A2F353B"/>
    <w:rsid w:val="0A9E3596"/>
    <w:rsid w:val="0AA534D5"/>
    <w:rsid w:val="0AA650EB"/>
    <w:rsid w:val="0AB8066A"/>
    <w:rsid w:val="0AF47339"/>
    <w:rsid w:val="0B22594B"/>
    <w:rsid w:val="0BC044BE"/>
    <w:rsid w:val="0BDF26F7"/>
    <w:rsid w:val="0C264099"/>
    <w:rsid w:val="0C2B4952"/>
    <w:rsid w:val="0C6D676E"/>
    <w:rsid w:val="0C7B2220"/>
    <w:rsid w:val="0CE416C9"/>
    <w:rsid w:val="0D3C6865"/>
    <w:rsid w:val="0D890E47"/>
    <w:rsid w:val="0DC64A00"/>
    <w:rsid w:val="0DFC60BA"/>
    <w:rsid w:val="0E4249F1"/>
    <w:rsid w:val="0E7D0E71"/>
    <w:rsid w:val="0F7C5FF6"/>
    <w:rsid w:val="0FC63FBD"/>
    <w:rsid w:val="106C564D"/>
    <w:rsid w:val="107B7B8F"/>
    <w:rsid w:val="107C67CE"/>
    <w:rsid w:val="109D68CB"/>
    <w:rsid w:val="10A949B8"/>
    <w:rsid w:val="111E3B7E"/>
    <w:rsid w:val="11200D07"/>
    <w:rsid w:val="11DA73AF"/>
    <w:rsid w:val="12C60D80"/>
    <w:rsid w:val="12D70749"/>
    <w:rsid w:val="131F7A3A"/>
    <w:rsid w:val="132645D0"/>
    <w:rsid w:val="13455ABC"/>
    <w:rsid w:val="135B6059"/>
    <w:rsid w:val="1370322B"/>
    <w:rsid w:val="13B27845"/>
    <w:rsid w:val="13EB7963"/>
    <w:rsid w:val="141A03E1"/>
    <w:rsid w:val="143B2E0B"/>
    <w:rsid w:val="14672B11"/>
    <w:rsid w:val="14892735"/>
    <w:rsid w:val="14917651"/>
    <w:rsid w:val="14CC769D"/>
    <w:rsid w:val="14E25474"/>
    <w:rsid w:val="14F83BDF"/>
    <w:rsid w:val="155D7BAD"/>
    <w:rsid w:val="15D359D7"/>
    <w:rsid w:val="15D81E0F"/>
    <w:rsid w:val="163C77BE"/>
    <w:rsid w:val="166508EE"/>
    <w:rsid w:val="16697673"/>
    <w:rsid w:val="1679588C"/>
    <w:rsid w:val="16994962"/>
    <w:rsid w:val="16A71041"/>
    <w:rsid w:val="16AA24BF"/>
    <w:rsid w:val="16BC6F70"/>
    <w:rsid w:val="16F72341"/>
    <w:rsid w:val="17680CAB"/>
    <w:rsid w:val="176E4128"/>
    <w:rsid w:val="1783371F"/>
    <w:rsid w:val="17E62B67"/>
    <w:rsid w:val="180F4499"/>
    <w:rsid w:val="18221ECE"/>
    <w:rsid w:val="18330244"/>
    <w:rsid w:val="19A2789F"/>
    <w:rsid w:val="19E2510A"/>
    <w:rsid w:val="1A460CF5"/>
    <w:rsid w:val="1A7F297D"/>
    <w:rsid w:val="1AB16AC1"/>
    <w:rsid w:val="1B034A52"/>
    <w:rsid w:val="1B1F34AD"/>
    <w:rsid w:val="1B8D5DC6"/>
    <w:rsid w:val="1BFE1D3B"/>
    <w:rsid w:val="1C2775EC"/>
    <w:rsid w:val="1C750ECE"/>
    <w:rsid w:val="1D0836D7"/>
    <w:rsid w:val="1D0C13BD"/>
    <w:rsid w:val="1D196139"/>
    <w:rsid w:val="1DB85900"/>
    <w:rsid w:val="1DD940A1"/>
    <w:rsid w:val="1E010AF7"/>
    <w:rsid w:val="1E0178EB"/>
    <w:rsid w:val="1E301173"/>
    <w:rsid w:val="1E38333E"/>
    <w:rsid w:val="1E6054A6"/>
    <w:rsid w:val="1EA40BB4"/>
    <w:rsid w:val="1F43381C"/>
    <w:rsid w:val="1FA4148D"/>
    <w:rsid w:val="20121621"/>
    <w:rsid w:val="201A421D"/>
    <w:rsid w:val="204E554F"/>
    <w:rsid w:val="20590035"/>
    <w:rsid w:val="20FC799E"/>
    <w:rsid w:val="220C70A4"/>
    <w:rsid w:val="22154DDD"/>
    <w:rsid w:val="221D5C55"/>
    <w:rsid w:val="22213E42"/>
    <w:rsid w:val="22336873"/>
    <w:rsid w:val="238C2182"/>
    <w:rsid w:val="239015D1"/>
    <w:rsid w:val="23BB4E7D"/>
    <w:rsid w:val="23C172D6"/>
    <w:rsid w:val="23D44814"/>
    <w:rsid w:val="23F04F64"/>
    <w:rsid w:val="24814CBE"/>
    <w:rsid w:val="24AC168B"/>
    <w:rsid w:val="258C3BEC"/>
    <w:rsid w:val="25B30265"/>
    <w:rsid w:val="260E3862"/>
    <w:rsid w:val="262569FC"/>
    <w:rsid w:val="26344C98"/>
    <w:rsid w:val="26F56CE2"/>
    <w:rsid w:val="274130AB"/>
    <w:rsid w:val="27435D49"/>
    <w:rsid w:val="27A34F71"/>
    <w:rsid w:val="27B36A67"/>
    <w:rsid w:val="27EB0D9B"/>
    <w:rsid w:val="286602C8"/>
    <w:rsid w:val="28665C95"/>
    <w:rsid w:val="28795E96"/>
    <w:rsid w:val="290B3EB9"/>
    <w:rsid w:val="291418C2"/>
    <w:rsid w:val="29175C25"/>
    <w:rsid w:val="293D7B74"/>
    <w:rsid w:val="2950768C"/>
    <w:rsid w:val="297A5FC4"/>
    <w:rsid w:val="29E93F6B"/>
    <w:rsid w:val="2A1113BC"/>
    <w:rsid w:val="2A8D4F8F"/>
    <w:rsid w:val="2A911082"/>
    <w:rsid w:val="2A917B34"/>
    <w:rsid w:val="2AE3766F"/>
    <w:rsid w:val="2B7E4054"/>
    <w:rsid w:val="2BAF3334"/>
    <w:rsid w:val="2BB475D2"/>
    <w:rsid w:val="2BF22742"/>
    <w:rsid w:val="2C987C56"/>
    <w:rsid w:val="2CFF149A"/>
    <w:rsid w:val="2D201865"/>
    <w:rsid w:val="2D4B5CEA"/>
    <w:rsid w:val="2D525D83"/>
    <w:rsid w:val="2D652658"/>
    <w:rsid w:val="2DC80C49"/>
    <w:rsid w:val="2DCA6355"/>
    <w:rsid w:val="2DF0699F"/>
    <w:rsid w:val="2E166748"/>
    <w:rsid w:val="2E556F01"/>
    <w:rsid w:val="2E845C3D"/>
    <w:rsid w:val="2E8E20B4"/>
    <w:rsid w:val="2EA53951"/>
    <w:rsid w:val="2ED06066"/>
    <w:rsid w:val="2ED1223D"/>
    <w:rsid w:val="2EE470F7"/>
    <w:rsid w:val="2F000139"/>
    <w:rsid w:val="2F561B8A"/>
    <w:rsid w:val="2F9F42DC"/>
    <w:rsid w:val="2FB163F2"/>
    <w:rsid w:val="2FF37AB3"/>
    <w:rsid w:val="30413281"/>
    <w:rsid w:val="30A0248B"/>
    <w:rsid w:val="30DA4A83"/>
    <w:rsid w:val="30FF27D2"/>
    <w:rsid w:val="31170995"/>
    <w:rsid w:val="31264A30"/>
    <w:rsid w:val="31884E67"/>
    <w:rsid w:val="31A0275E"/>
    <w:rsid w:val="31B7357A"/>
    <w:rsid w:val="31ED6B08"/>
    <w:rsid w:val="328464CE"/>
    <w:rsid w:val="32AB70C5"/>
    <w:rsid w:val="32DC33E0"/>
    <w:rsid w:val="32F9105C"/>
    <w:rsid w:val="335D0AF5"/>
    <w:rsid w:val="3370088C"/>
    <w:rsid w:val="33A3154A"/>
    <w:rsid w:val="33DC2F78"/>
    <w:rsid w:val="3428227C"/>
    <w:rsid w:val="35260F83"/>
    <w:rsid w:val="35602226"/>
    <w:rsid w:val="356B72E7"/>
    <w:rsid w:val="3572424F"/>
    <w:rsid w:val="35FC3844"/>
    <w:rsid w:val="36AD519D"/>
    <w:rsid w:val="36B57705"/>
    <w:rsid w:val="37A103ED"/>
    <w:rsid w:val="37EA5E6E"/>
    <w:rsid w:val="37FF016F"/>
    <w:rsid w:val="3827679A"/>
    <w:rsid w:val="38427C0B"/>
    <w:rsid w:val="387C5ABE"/>
    <w:rsid w:val="389B3A1E"/>
    <w:rsid w:val="38EB6119"/>
    <w:rsid w:val="39FE0BE9"/>
    <w:rsid w:val="3A3C1AAF"/>
    <w:rsid w:val="3A51228C"/>
    <w:rsid w:val="3A552E60"/>
    <w:rsid w:val="3A5D642F"/>
    <w:rsid w:val="3A6A3D8E"/>
    <w:rsid w:val="3AB210FC"/>
    <w:rsid w:val="3AD95C13"/>
    <w:rsid w:val="3B1221CF"/>
    <w:rsid w:val="3B261E51"/>
    <w:rsid w:val="3BC31BB6"/>
    <w:rsid w:val="3BCD72F7"/>
    <w:rsid w:val="3BE50EFB"/>
    <w:rsid w:val="3C414142"/>
    <w:rsid w:val="3C466075"/>
    <w:rsid w:val="3C5D3577"/>
    <w:rsid w:val="3CD341EE"/>
    <w:rsid w:val="3CE03892"/>
    <w:rsid w:val="3CF737A2"/>
    <w:rsid w:val="3D10295A"/>
    <w:rsid w:val="3DD452DD"/>
    <w:rsid w:val="3DEE1CBC"/>
    <w:rsid w:val="3E0572FD"/>
    <w:rsid w:val="3E1A5292"/>
    <w:rsid w:val="3E5A7FE7"/>
    <w:rsid w:val="3E8F667D"/>
    <w:rsid w:val="3EC8179E"/>
    <w:rsid w:val="3EF66B2E"/>
    <w:rsid w:val="3F217914"/>
    <w:rsid w:val="3F9A4C88"/>
    <w:rsid w:val="3FD70BB0"/>
    <w:rsid w:val="3FFB55AC"/>
    <w:rsid w:val="401C5F9D"/>
    <w:rsid w:val="401C690C"/>
    <w:rsid w:val="401D7195"/>
    <w:rsid w:val="404A18CF"/>
    <w:rsid w:val="40CE3DC0"/>
    <w:rsid w:val="40D7455A"/>
    <w:rsid w:val="40DE01A7"/>
    <w:rsid w:val="40E743E5"/>
    <w:rsid w:val="4110038E"/>
    <w:rsid w:val="411311DA"/>
    <w:rsid w:val="41734CBA"/>
    <w:rsid w:val="41C3680E"/>
    <w:rsid w:val="41DD7057"/>
    <w:rsid w:val="420F7A65"/>
    <w:rsid w:val="4216611A"/>
    <w:rsid w:val="423E300F"/>
    <w:rsid w:val="425656C8"/>
    <w:rsid w:val="4257273C"/>
    <w:rsid w:val="425D7213"/>
    <w:rsid w:val="42677B61"/>
    <w:rsid w:val="42756DB0"/>
    <w:rsid w:val="42B21AD2"/>
    <w:rsid w:val="42FD694D"/>
    <w:rsid w:val="43033A74"/>
    <w:rsid w:val="434A6D8F"/>
    <w:rsid w:val="43FA5777"/>
    <w:rsid w:val="44044D92"/>
    <w:rsid w:val="441C1611"/>
    <w:rsid w:val="443C440B"/>
    <w:rsid w:val="443F7DBF"/>
    <w:rsid w:val="44514F52"/>
    <w:rsid w:val="448965CB"/>
    <w:rsid w:val="44FA2D53"/>
    <w:rsid w:val="4571374F"/>
    <w:rsid w:val="458B1BB0"/>
    <w:rsid w:val="4611075B"/>
    <w:rsid w:val="46214818"/>
    <w:rsid w:val="467A0297"/>
    <w:rsid w:val="468B7125"/>
    <w:rsid w:val="46C4691F"/>
    <w:rsid w:val="479D1D34"/>
    <w:rsid w:val="47B609C0"/>
    <w:rsid w:val="482D31EA"/>
    <w:rsid w:val="483352A0"/>
    <w:rsid w:val="485970A0"/>
    <w:rsid w:val="48A41906"/>
    <w:rsid w:val="48B65C71"/>
    <w:rsid w:val="48F303D7"/>
    <w:rsid w:val="492837FF"/>
    <w:rsid w:val="492E6A57"/>
    <w:rsid w:val="49B962F3"/>
    <w:rsid w:val="4A0030EE"/>
    <w:rsid w:val="4AC36065"/>
    <w:rsid w:val="4B7501F5"/>
    <w:rsid w:val="4B8C2DEB"/>
    <w:rsid w:val="4BC725FD"/>
    <w:rsid w:val="4BFA3C9F"/>
    <w:rsid w:val="4C0E3379"/>
    <w:rsid w:val="4C1028FE"/>
    <w:rsid w:val="4C107F48"/>
    <w:rsid w:val="4C3277BC"/>
    <w:rsid w:val="4C7D13DE"/>
    <w:rsid w:val="4CC353EB"/>
    <w:rsid w:val="4CF36F3C"/>
    <w:rsid w:val="4D4F67BA"/>
    <w:rsid w:val="4D603399"/>
    <w:rsid w:val="4D8379F6"/>
    <w:rsid w:val="4D867EE1"/>
    <w:rsid w:val="4DBC4C65"/>
    <w:rsid w:val="4DF6568D"/>
    <w:rsid w:val="4E3623F2"/>
    <w:rsid w:val="4E550010"/>
    <w:rsid w:val="4E5F14CB"/>
    <w:rsid w:val="4EA22702"/>
    <w:rsid w:val="4F3705F8"/>
    <w:rsid w:val="4FAC3540"/>
    <w:rsid w:val="4FBB12F4"/>
    <w:rsid w:val="4FCF1583"/>
    <w:rsid w:val="4FEE6158"/>
    <w:rsid w:val="4FFA7625"/>
    <w:rsid w:val="500131B0"/>
    <w:rsid w:val="501B0BF9"/>
    <w:rsid w:val="507D2599"/>
    <w:rsid w:val="5096229D"/>
    <w:rsid w:val="50DC4184"/>
    <w:rsid w:val="513C0858"/>
    <w:rsid w:val="51475B39"/>
    <w:rsid w:val="514C3EA7"/>
    <w:rsid w:val="519849E5"/>
    <w:rsid w:val="51A55470"/>
    <w:rsid w:val="51B36892"/>
    <w:rsid w:val="52506DA7"/>
    <w:rsid w:val="533B2B84"/>
    <w:rsid w:val="537A7243"/>
    <w:rsid w:val="539C1B81"/>
    <w:rsid w:val="53AE750F"/>
    <w:rsid w:val="53EF1D3D"/>
    <w:rsid w:val="53F263AD"/>
    <w:rsid w:val="54762E3B"/>
    <w:rsid w:val="549A6BFA"/>
    <w:rsid w:val="54E72921"/>
    <w:rsid w:val="55806F07"/>
    <w:rsid w:val="559B1AF5"/>
    <w:rsid w:val="55D93E7A"/>
    <w:rsid w:val="55FA2961"/>
    <w:rsid w:val="565E7F4F"/>
    <w:rsid w:val="56775789"/>
    <w:rsid w:val="56857D06"/>
    <w:rsid w:val="5690654D"/>
    <w:rsid w:val="56914056"/>
    <w:rsid w:val="56DB613D"/>
    <w:rsid w:val="57853A80"/>
    <w:rsid w:val="57DD0E35"/>
    <w:rsid w:val="57FC2169"/>
    <w:rsid w:val="58096275"/>
    <w:rsid w:val="581C04F1"/>
    <w:rsid w:val="582E6EF7"/>
    <w:rsid w:val="58434392"/>
    <w:rsid w:val="584E30E6"/>
    <w:rsid w:val="59014D02"/>
    <w:rsid w:val="597B384D"/>
    <w:rsid w:val="59996DA8"/>
    <w:rsid w:val="59C30F1B"/>
    <w:rsid w:val="5A0D5854"/>
    <w:rsid w:val="5A20156F"/>
    <w:rsid w:val="5AC7121C"/>
    <w:rsid w:val="5AD90B8D"/>
    <w:rsid w:val="5AE12927"/>
    <w:rsid w:val="5B2243E9"/>
    <w:rsid w:val="5B4E1A44"/>
    <w:rsid w:val="5B666742"/>
    <w:rsid w:val="5B873201"/>
    <w:rsid w:val="5B89551D"/>
    <w:rsid w:val="5B967767"/>
    <w:rsid w:val="5B9E55DE"/>
    <w:rsid w:val="5BCD1B1C"/>
    <w:rsid w:val="5C270A98"/>
    <w:rsid w:val="5C286807"/>
    <w:rsid w:val="5C446BC8"/>
    <w:rsid w:val="5C4C687B"/>
    <w:rsid w:val="5C7C2768"/>
    <w:rsid w:val="5CB23AE6"/>
    <w:rsid w:val="5CF55792"/>
    <w:rsid w:val="5CFD533A"/>
    <w:rsid w:val="5D893B14"/>
    <w:rsid w:val="5DB77251"/>
    <w:rsid w:val="5E2B7D62"/>
    <w:rsid w:val="5EA06921"/>
    <w:rsid w:val="5ED5006A"/>
    <w:rsid w:val="5F1163AE"/>
    <w:rsid w:val="5F18670B"/>
    <w:rsid w:val="5F547DB7"/>
    <w:rsid w:val="5F576E4B"/>
    <w:rsid w:val="5F7A2C30"/>
    <w:rsid w:val="5FBE370A"/>
    <w:rsid w:val="60292845"/>
    <w:rsid w:val="611870BC"/>
    <w:rsid w:val="612E1A5D"/>
    <w:rsid w:val="613400D9"/>
    <w:rsid w:val="61721A40"/>
    <w:rsid w:val="61793663"/>
    <w:rsid w:val="61816046"/>
    <w:rsid w:val="61C80637"/>
    <w:rsid w:val="62391564"/>
    <w:rsid w:val="62816669"/>
    <w:rsid w:val="62BA0953"/>
    <w:rsid w:val="62D03A7C"/>
    <w:rsid w:val="62D202A0"/>
    <w:rsid w:val="62F16BCB"/>
    <w:rsid w:val="62F648FE"/>
    <w:rsid w:val="63341DB1"/>
    <w:rsid w:val="639E6057"/>
    <w:rsid w:val="63A10995"/>
    <w:rsid w:val="63C23EFA"/>
    <w:rsid w:val="642712E2"/>
    <w:rsid w:val="643A070A"/>
    <w:rsid w:val="644C573D"/>
    <w:rsid w:val="648667A7"/>
    <w:rsid w:val="64DB383A"/>
    <w:rsid w:val="65032F85"/>
    <w:rsid w:val="65136B50"/>
    <w:rsid w:val="65245187"/>
    <w:rsid w:val="657E2A35"/>
    <w:rsid w:val="657E3EBA"/>
    <w:rsid w:val="65A94E9D"/>
    <w:rsid w:val="65B94F35"/>
    <w:rsid w:val="65C26AF4"/>
    <w:rsid w:val="65C60A92"/>
    <w:rsid w:val="662203DD"/>
    <w:rsid w:val="66DD6702"/>
    <w:rsid w:val="679406CB"/>
    <w:rsid w:val="67C35C0B"/>
    <w:rsid w:val="68652AB3"/>
    <w:rsid w:val="68AD17BB"/>
    <w:rsid w:val="68D94D22"/>
    <w:rsid w:val="692B2E4A"/>
    <w:rsid w:val="694303FB"/>
    <w:rsid w:val="69515A71"/>
    <w:rsid w:val="696A0B34"/>
    <w:rsid w:val="698D6A17"/>
    <w:rsid w:val="69EE3535"/>
    <w:rsid w:val="69F954C1"/>
    <w:rsid w:val="6A2031B6"/>
    <w:rsid w:val="6A440C53"/>
    <w:rsid w:val="6A4771B8"/>
    <w:rsid w:val="6AC61F6F"/>
    <w:rsid w:val="6ADE74F0"/>
    <w:rsid w:val="6B1002C0"/>
    <w:rsid w:val="6B504A71"/>
    <w:rsid w:val="6B723594"/>
    <w:rsid w:val="6B805156"/>
    <w:rsid w:val="6BD50977"/>
    <w:rsid w:val="6BEA2A9B"/>
    <w:rsid w:val="6C95311F"/>
    <w:rsid w:val="6C9718D5"/>
    <w:rsid w:val="6C9C0875"/>
    <w:rsid w:val="6CAA3931"/>
    <w:rsid w:val="6D3933CA"/>
    <w:rsid w:val="6D7B61EC"/>
    <w:rsid w:val="6DD049FF"/>
    <w:rsid w:val="6E09491E"/>
    <w:rsid w:val="6E0D3655"/>
    <w:rsid w:val="6E5F4465"/>
    <w:rsid w:val="6E6925B6"/>
    <w:rsid w:val="6E8C54DA"/>
    <w:rsid w:val="6EA7636A"/>
    <w:rsid w:val="6EEB2F84"/>
    <w:rsid w:val="6EF11E03"/>
    <w:rsid w:val="6F111C62"/>
    <w:rsid w:val="6F2176E5"/>
    <w:rsid w:val="6F3053CA"/>
    <w:rsid w:val="6F592303"/>
    <w:rsid w:val="6F5F5B74"/>
    <w:rsid w:val="6F9B1C65"/>
    <w:rsid w:val="6FD47A25"/>
    <w:rsid w:val="6FFB146E"/>
    <w:rsid w:val="701A5C74"/>
    <w:rsid w:val="701E48DF"/>
    <w:rsid w:val="706428A1"/>
    <w:rsid w:val="706516C3"/>
    <w:rsid w:val="70896E68"/>
    <w:rsid w:val="70DC67E3"/>
    <w:rsid w:val="70EF61B0"/>
    <w:rsid w:val="715B60E9"/>
    <w:rsid w:val="71EA1FED"/>
    <w:rsid w:val="72C16204"/>
    <w:rsid w:val="730313F6"/>
    <w:rsid w:val="731E1007"/>
    <w:rsid w:val="73370D24"/>
    <w:rsid w:val="7359268C"/>
    <w:rsid w:val="739503EB"/>
    <w:rsid w:val="73A05B28"/>
    <w:rsid w:val="73C07D69"/>
    <w:rsid w:val="73DA2CC2"/>
    <w:rsid w:val="74AF7C8C"/>
    <w:rsid w:val="74B42AE4"/>
    <w:rsid w:val="74ED1AB5"/>
    <w:rsid w:val="750A429D"/>
    <w:rsid w:val="755D38A7"/>
    <w:rsid w:val="75614792"/>
    <w:rsid w:val="75784473"/>
    <w:rsid w:val="757E044C"/>
    <w:rsid w:val="75977BC3"/>
    <w:rsid w:val="75B161B3"/>
    <w:rsid w:val="75E470E3"/>
    <w:rsid w:val="76113BE9"/>
    <w:rsid w:val="76736B32"/>
    <w:rsid w:val="76DF511F"/>
    <w:rsid w:val="76E3765E"/>
    <w:rsid w:val="76FC2AFA"/>
    <w:rsid w:val="775733E2"/>
    <w:rsid w:val="77653671"/>
    <w:rsid w:val="778546CC"/>
    <w:rsid w:val="77B56730"/>
    <w:rsid w:val="77C04A8B"/>
    <w:rsid w:val="77D85DB3"/>
    <w:rsid w:val="77F15466"/>
    <w:rsid w:val="780252A0"/>
    <w:rsid w:val="78027772"/>
    <w:rsid w:val="78A50513"/>
    <w:rsid w:val="78A941B5"/>
    <w:rsid w:val="790D394B"/>
    <w:rsid w:val="791D2F47"/>
    <w:rsid w:val="796518DD"/>
    <w:rsid w:val="796E0C55"/>
    <w:rsid w:val="79912EC8"/>
    <w:rsid w:val="79AA0532"/>
    <w:rsid w:val="79FE1DDD"/>
    <w:rsid w:val="7A075767"/>
    <w:rsid w:val="7A102EAC"/>
    <w:rsid w:val="7A212062"/>
    <w:rsid w:val="7A282A11"/>
    <w:rsid w:val="7A5D7C71"/>
    <w:rsid w:val="7AC21562"/>
    <w:rsid w:val="7AD474A4"/>
    <w:rsid w:val="7B5350AD"/>
    <w:rsid w:val="7B586DED"/>
    <w:rsid w:val="7B5F3BEA"/>
    <w:rsid w:val="7B697C89"/>
    <w:rsid w:val="7B8D34C3"/>
    <w:rsid w:val="7B971D84"/>
    <w:rsid w:val="7BC50C77"/>
    <w:rsid w:val="7BF32F03"/>
    <w:rsid w:val="7C1724A5"/>
    <w:rsid w:val="7C8E3CCF"/>
    <w:rsid w:val="7CA54112"/>
    <w:rsid w:val="7CE50CE4"/>
    <w:rsid w:val="7D2E5ABF"/>
    <w:rsid w:val="7E2142A2"/>
    <w:rsid w:val="7E4F5384"/>
    <w:rsid w:val="7E5A6DFA"/>
    <w:rsid w:val="7E7B0BF2"/>
    <w:rsid w:val="7E8D75B6"/>
    <w:rsid w:val="7EA703BE"/>
    <w:rsid w:val="7EB2417D"/>
    <w:rsid w:val="7EF760EE"/>
    <w:rsid w:val="7F2A21E7"/>
    <w:rsid w:val="7F635C98"/>
    <w:rsid w:val="7F713E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8"/>
    <w:unhideWhenUsed/>
    <w:qFormat/>
    <w:uiPriority w:val="9"/>
    <w:pPr>
      <w:keepNext/>
      <w:keepLines/>
      <w:jc w:val="center"/>
      <w:outlineLvl w:val="2"/>
    </w:pPr>
    <w:rPr>
      <w:b/>
      <w:bCs/>
      <w:sz w:val="24"/>
      <w:szCs w:val="32"/>
    </w:rPr>
  </w:style>
  <w:style w:type="paragraph" w:styleId="6">
    <w:name w:val="heading 4"/>
    <w:basedOn w:val="1"/>
    <w:next w:val="1"/>
    <w:link w:val="30"/>
    <w:unhideWhenUsed/>
    <w:qFormat/>
    <w:uiPriority w:val="9"/>
    <w:pPr>
      <w:keepNext/>
      <w:keepLines/>
      <w:spacing w:line="360" w:lineRule="auto"/>
      <w:outlineLvl w:val="3"/>
    </w:pPr>
    <w:rPr>
      <w:rFonts w:eastAsia="宋体" w:asciiTheme="majorAscii" w:hAnsiTheme="majorAscii" w:cstheme="majorBidi"/>
      <w:b/>
      <w:bCs/>
      <w:sz w:val="24"/>
      <w:szCs w:val="28"/>
    </w:rPr>
  </w:style>
  <w:style w:type="paragraph" w:styleId="7">
    <w:name w:val="heading 5"/>
    <w:basedOn w:val="1"/>
    <w:next w:val="1"/>
    <w:unhideWhenUsed/>
    <w:qFormat/>
    <w:uiPriority w:val="9"/>
    <w:pPr>
      <w:keepNext/>
      <w:keepLines/>
      <w:outlineLvl w:val="4"/>
    </w:pPr>
    <w:rPr>
      <w:b/>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8">
    <w:name w:val="Normal Indent"/>
    <w:unhideWhenUsed/>
    <w:qFormat/>
    <w:uiPriority w:val="0"/>
    <w:pPr>
      <w:adjustRightInd w:val="0"/>
      <w:snapToGrid w:val="0"/>
      <w:spacing w:line="360" w:lineRule="auto"/>
      <w:ind w:firstLine="420"/>
      <w:jc w:val="both"/>
    </w:pPr>
    <w:rPr>
      <w:rFonts w:ascii="Times New Roman" w:hAnsi="Times New Roman" w:eastAsia="宋体" w:cs="黑体"/>
      <w:sz w:val="24"/>
      <w:szCs w:val="21"/>
      <w:lang w:val="en-US" w:eastAsia="zh-CN" w:bidi="ar-SA"/>
    </w:rPr>
  </w:style>
  <w:style w:type="paragraph" w:styleId="9">
    <w:name w:val="annotation text"/>
    <w:basedOn w:val="1"/>
    <w:semiHidden/>
    <w:unhideWhenUsed/>
    <w:qFormat/>
    <w:uiPriority w:val="99"/>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1"/>
    <w:qFormat/>
    <w:uiPriority w:val="0"/>
    <w:pPr>
      <w:widowControl w:val="0"/>
      <w:adjustRightInd/>
      <w:snapToGrid/>
      <w:jc w:val="both"/>
    </w:pPr>
    <w:rPr>
      <w:rFonts w:ascii="宋体" w:hAnsi="Courier New" w:cs="Times New Roman"/>
      <w:b/>
      <w:kern w:val="2"/>
      <w:szCs w:val="20"/>
    </w:rPr>
  </w:style>
  <w:style w:type="paragraph" w:styleId="12">
    <w:name w:val="Balloon Text"/>
    <w:basedOn w:val="1"/>
    <w:link w:val="44"/>
    <w:semiHidden/>
    <w:unhideWhenUsed/>
    <w:qFormat/>
    <w:uiPriority w:val="99"/>
    <w:rPr>
      <w:sz w:val="18"/>
      <w:szCs w:val="18"/>
    </w:rPr>
  </w:style>
  <w:style w:type="paragraph" w:styleId="13">
    <w:name w:val="footer"/>
    <w:basedOn w:val="1"/>
    <w:link w:val="43"/>
    <w:unhideWhenUsed/>
    <w:qFormat/>
    <w:uiPriority w:val="99"/>
    <w:pPr>
      <w:tabs>
        <w:tab w:val="center" w:pos="4153"/>
        <w:tab w:val="right" w:pos="8306"/>
      </w:tabs>
    </w:pPr>
    <w:rPr>
      <w:sz w:val="18"/>
      <w:szCs w:val="18"/>
    </w:rPr>
  </w:style>
  <w:style w:type="paragraph" w:styleId="14">
    <w:name w:val="header"/>
    <w:basedOn w:val="1"/>
    <w:link w:val="42"/>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footnote text"/>
    <w:basedOn w:val="1"/>
    <w:semiHidden/>
    <w:unhideWhenUsed/>
    <w:qFormat/>
    <w:uiPriority w:val="99"/>
    <w:rPr>
      <w:sz w:val="18"/>
    </w:rPr>
  </w:style>
  <w:style w:type="paragraph" w:styleId="18">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19">
    <w:name w:val="Normal (Web)"/>
    <w:basedOn w:val="1"/>
    <w:link w:val="46"/>
    <w:qFormat/>
    <w:uiPriority w:val="0"/>
    <w:pPr>
      <w:widowControl w:val="0"/>
      <w:adjustRightInd/>
      <w:snapToGrid/>
      <w:jc w:val="both"/>
    </w:pPr>
    <w:rPr>
      <w:rFonts w:asciiTheme="minorHAnsi" w:hAnsiTheme="minorHAnsi"/>
      <w:kern w:val="2"/>
      <w:sz w:val="24"/>
      <w:szCs w:val="24"/>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Emphasis"/>
    <w:basedOn w:val="22"/>
    <w:qFormat/>
    <w:uiPriority w:val="20"/>
    <w:rPr>
      <w:i/>
      <w:iCs/>
    </w:rPr>
  </w:style>
  <w:style w:type="character" w:styleId="24">
    <w:name w:val="Hyperlink"/>
    <w:qFormat/>
    <w:uiPriority w:val="99"/>
    <w:rPr>
      <w:rFonts w:hint="eastAsia" w:ascii="宋体" w:hAnsi="宋体" w:eastAsia="宋体" w:cs="宋体"/>
      <w:b/>
      <w:color w:val="0031C1"/>
      <w:kern w:val="0"/>
      <w:sz w:val="18"/>
      <w:szCs w:val="18"/>
      <w:u w:val="none"/>
      <w:lang w:eastAsia="en-US"/>
    </w:rPr>
  </w:style>
  <w:style w:type="character" w:styleId="25">
    <w:name w:val="annotation reference"/>
    <w:basedOn w:val="22"/>
    <w:semiHidden/>
    <w:unhideWhenUsed/>
    <w:qFormat/>
    <w:uiPriority w:val="99"/>
    <w:rPr>
      <w:sz w:val="21"/>
      <w:szCs w:val="21"/>
    </w:rPr>
  </w:style>
  <w:style w:type="character" w:styleId="26">
    <w:name w:val="footnote reference"/>
    <w:basedOn w:val="22"/>
    <w:semiHidden/>
    <w:unhideWhenUsed/>
    <w:qFormat/>
    <w:uiPriority w:val="99"/>
    <w:rPr>
      <w:vertAlign w:val="superscript"/>
    </w:rPr>
  </w:style>
  <w:style w:type="character" w:customStyle="1" w:styleId="27">
    <w:name w:val="标题 2 Char"/>
    <w:basedOn w:val="22"/>
    <w:link w:val="4"/>
    <w:qFormat/>
    <w:uiPriority w:val="9"/>
    <w:rPr>
      <w:rFonts w:asciiTheme="majorHAnsi" w:hAnsiTheme="majorHAnsi" w:eastAsiaTheme="majorEastAsia" w:cstheme="majorBidi"/>
      <w:b/>
      <w:bCs/>
      <w:sz w:val="32"/>
      <w:szCs w:val="32"/>
    </w:rPr>
  </w:style>
  <w:style w:type="character" w:customStyle="1" w:styleId="28">
    <w:name w:val="标题 3 Char"/>
    <w:basedOn w:val="22"/>
    <w:link w:val="5"/>
    <w:qFormat/>
    <w:uiPriority w:val="9"/>
    <w:rPr>
      <w:rFonts w:ascii="Tahoma" w:hAnsi="Tahoma" w:eastAsia="宋体"/>
      <w:b/>
      <w:bCs/>
      <w:sz w:val="24"/>
      <w:szCs w:val="32"/>
    </w:rPr>
  </w:style>
  <w:style w:type="paragraph" w:styleId="29">
    <w:name w:val="List Paragraph"/>
    <w:basedOn w:val="1"/>
    <w:qFormat/>
    <w:uiPriority w:val="34"/>
    <w:pPr>
      <w:ind w:firstLine="420" w:firstLineChars="200"/>
    </w:pPr>
  </w:style>
  <w:style w:type="character" w:customStyle="1" w:styleId="30">
    <w:name w:val="标题 4 Char"/>
    <w:basedOn w:val="22"/>
    <w:link w:val="6"/>
    <w:qFormat/>
    <w:uiPriority w:val="9"/>
    <w:rPr>
      <w:rFonts w:eastAsia="宋体" w:asciiTheme="majorAscii" w:hAnsiTheme="majorAscii" w:cstheme="majorBidi"/>
      <w:b/>
      <w:bCs/>
      <w:sz w:val="24"/>
      <w:szCs w:val="28"/>
    </w:rPr>
  </w:style>
  <w:style w:type="character" w:customStyle="1" w:styleId="31">
    <w:name w:val="正文缩进2格 Char"/>
    <w:link w:val="32"/>
    <w:qFormat/>
    <w:uiPriority w:val="0"/>
    <w:rPr>
      <w:rFonts w:ascii="仿宋_GB2312" w:hAnsi="宋体" w:eastAsia="仿宋_GB2312"/>
      <w:kern w:val="2"/>
      <w:sz w:val="31"/>
    </w:rPr>
  </w:style>
  <w:style w:type="paragraph" w:customStyle="1" w:styleId="32">
    <w:name w:val="正文缩进2格"/>
    <w:basedOn w:val="1"/>
    <w:next w:val="1"/>
    <w:link w:val="31"/>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3">
    <w:name w:val="正文缩进4格"/>
    <w:basedOn w:val="32"/>
    <w:qFormat/>
    <w:uiPriority w:val="0"/>
    <w:pPr>
      <w:ind w:left="2" w:firstLine="538" w:firstLineChars="192"/>
    </w:pPr>
    <w:rPr>
      <w:color w:val="0000FF"/>
      <w:sz w:val="28"/>
    </w:rPr>
  </w:style>
  <w:style w:type="character" w:customStyle="1" w:styleId="34">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5">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6">
    <w:name w:val="标题1"/>
    <w:qFormat/>
    <w:uiPriority w:val="0"/>
    <w:rPr>
      <w:rFonts w:ascii="Times New Roman" w:hAnsi="Times New Roman" w:eastAsia="宋体" w:cs="Times New Roman"/>
      <w:b/>
      <w:kern w:val="0"/>
      <w:sz w:val="24"/>
      <w:szCs w:val="20"/>
      <w:lang w:eastAsia="en-US"/>
    </w:rPr>
  </w:style>
  <w:style w:type="character" w:customStyle="1" w:styleId="37">
    <w:name w:val="标题 3.1 Char"/>
    <w:link w:val="38"/>
    <w:qFormat/>
    <w:uiPriority w:val="0"/>
    <w:rPr>
      <w:rFonts w:ascii="宋体" w:hAnsi="宋体" w:eastAsia="宋体"/>
      <w:b/>
      <w:color w:val="FF0000"/>
      <w:kern w:val="2"/>
      <w:sz w:val="32"/>
    </w:rPr>
  </w:style>
  <w:style w:type="paragraph" w:customStyle="1" w:styleId="38">
    <w:name w:val="标题 3.1"/>
    <w:basedOn w:val="5"/>
    <w:link w:val="3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39">
    <w:name w:val="样式 楷体_GB2312 小四"/>
    <w:qFormat/>
    <w:uiPriority w:val="0"/>
    <w:rPr>
      <w:rFonts w:ascii="楷体_GB2312" w:hAnsi="楷体_GB2312" w:eastAsia="仿宋_GB2312"/>
      <w:sz w:val="24"/>
    </w:rPr>
  </w:style>
  <w:style w:type="character" w:customStyle="1" w:styleId="40">
    <w:name w:val="纯文本 Char"/>
    <w:qFormat/>
    <w:uiPriority w:val="0"/>
    <w:rPr>
      <w:rFonts w:ascii="宋体" w:hAnsi="Courier New" w:eastAsia="宋体" w:cs="Times New Roman"/>
      <w:b/>
      <w:kern w:val="2"/>
      <w:sz w:val="21"/>
      <w:szCs w:val="20"/>
    </w:rPr>
  </w:style>
  <w:style w:type="character" w:customStyle="1" w:styleId="41">
    <w:name w:val="纯文本 Char1"/>
    <w:basedOn w:val="22"/>
    <w:link w:val="11"/>
    <w:semiHidden/>
    <w:qFormat/>
    <w:uiPriority w:val="99"/>
    <w:rPr>
      <w:rFonts w:ascii="宋体" w:hAnsi="Courier New" w:eastAsia="宋体" w:cs="Courier New"/>
      <w:sz w:val="21"/>
      <w:szCs w:val="21"/>
    </w:rPr>
  </w:style>
  <w:style w:type="character" w:customStyle="1" w:styleId="42">
    <w:name w:val="页眉 Char"/>
    <w:basedOn w:val="22"/>
    <w:link w:val="14"/>
    <w:qFormat/>
    <w:uiPriority w:val="99"/>
    <w:rPr>
      <w:rFonts w:ascii="Tahoma" w:hAnsi="Tahoma"/>
      <w:sz w:val="18"/>
      <w:szCs w:val="18"/>
    </w:rPr>
  </w:style>
  <w:style w:type="character" w:customStyle="1" w:styleId="43">
    <w:name w:val="页脚 Char"/>
    <w:basedOn w:val="22"/>
    <w:link w:val="13"/>
    <w:qFormat/>
    <w:uiPriority w:val="99"/>
    <w:rPr>
      <w:rFonts w:ascii="Tahoma" w:hAnsi="Tahoma"/>
      <w:sz w:val="18"/>
      <w:szCs w:val="18"/>
    </w:rPr>
  </w:style>
  <w:style w:type="character" w:customStyle="1" w:styleId="44">
    <w:name w:val="批注框文本 Char"/>
    <w:basedOn w:val="22"/>
    <w:link w:val="12"/>
    <w:semiHidden/>
    <w:qFormat/>
    <w:uiPriority w:val="99"/>
    <w:rPr>
      <w:rFonts w:ascii="Tahoma" w:hAnsi="Tahoma"/>
      <w:sz w:val="18"/>
      <w:szCs w:val="18"/>
    </w:rPr>
  </w:style>
  <w:style w:type="paragraph" w:customStyle="1" w:styleId="4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6">
    <w:name w:val="普通(网站) Char"/>
    <w:link w:val="19"/>
    <w:qFormat/>
    <w:uiPriority w:val="0"/>
    <w:rPr>
      <w:rFonts w:eastAsia="宋体"/>
      <w:kern w:val="2"/>
      <w:sz w:val="24"/>
      <w:szCs w:val="24"/>
    </w:rPr>
  </w:style>
  <w:style w:type="paragraph" w:customStyle="1" w:styleId="4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48">
    <w:name w:val="p141"/>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AE9696-60D3-4AED-8FC9-EBF6B87D2B5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86</Pages>
  <Words>7234</Words>
  <Characters>41239</Characters>
  <Lines>343</Lines>
  <Paragraphs>96</Paragraphs>
  <TotalTime>5</TotalTime>
  <ScaleCrop>false</ScaleCrop>
  <LinksUpToDate>false</LinksUpToDate>
  <CharactersWithSpaces>48377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2021-05-07T09:27:00Z</dcterms:created>
  <dc:creator>MyPC</dc:creator>
  <cp:keywords>文件格式版本</cp:keywords>
  <cp:lastModifiedBy>Lu</cp:lastModifiedBy>
  <cp:lastPrinted>2021-05-31T06:10:00Z</cp:lastPrinted>
  <dcterms:modified xsi:type="dcterms:W3CDTF">2021-08-05T06:49:58Z</dcterms:modified>
  <dc:subject>公开招标文件版本</dc:subject>
  <dc:title>公开招标文件版本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BD92D0DC5EA24D449A995F049385B39D</vt:lpwstr>
  </property>
</Properties>
</file>